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C86B" w14:textId="77777777" w:rsidR="00EC7D41" w:rsidRPr="00641BC7" w:rsidRDefault="00EC7D41" w:rsidP="00EA2FA6">
      <w:pPr>
        <w:spacing w:after="0" w:line="276" w:lineRule="auto"/>
        <w:jc w:val="both"/>
        <w:rPr>
          <w:rFonts w:asciiTheme="majorHAnsi" w:eastAsia="Times New Roman" w:hAnsiTheme="majorHAnsi" w:cstheme="majorHAnsi"/>
          <w:bCs/>
          <w:i/>
          <w:noProof/>
          <w:sz w:val="24"/>
          <w:szCs w:val="24"/>
          <w:lang w:val="ro-MD"/>
        </w:rPr>
      </w:pPr>
      <w:bookmarkStart w:id="0" w:name="_GoBack"/>
      <w:bookmarkEnd w:id="0"/>
    </w:p>
    <w:p w14:paraId="568D2DB2" w14:textId="2079AAA9" w:rsidR="002A7174" w:rsidRPr="00641BC7" w:rsidRDefault="002A7174" w:rsidP="00235132">
      <w:pPr>
        <w:spacing w:after="0" w:line="276" w:lineRule="auto"/>
        <w:jc w:val="right"/>
        <w:rPr>
          <w:rFonts w:asciiTheme="majorHAnsi" w:eastAsia="Times New Roman" w:hAnsiTheme="majorHAnsi" w:cstheme="majorHAnsi"/>
          <w:i/>
          <w:noProof/>
          <w:sz w:val="24"/>
          <w:szCs w:val="24"/>
          <w:lang w:val="ro-MD"/>
        </w:rPr>
      </w:pPr>
      <w:r w:rsidRPr="00641BC7">
        <w:rPr>
          <w:rFonts w:asciiTheme="majorHAnsi" w:eastAsia="Times New Roman" w:hAnsiTheme="majorHAnsi" w:cstheme="majorHAnsi"/>
          <w:bCs/>
          <w:i/>
          <w:noProof/>
          <w:sz w:val="24"/>
          <w:szCs w:val="24"/>
          <w:lang w:val="ro-MD"/>
        </w:rPr>
        <w:t>A</w:t>
      </w:r>
      <w:r w:rsidRPr="00641BC7">
        <w:rPr>
          <w:rFonts w:asciiTheme="majorHAnsi" w:eastAsia="Times New Roman" w:hAnsiTheme="majorHAnsi" w:cstheme="majorHAnsi"/>
          <w:i/>
          <w:noProof/>
          <w:sz w:val="24"/>
          <w:szCs w:val="24"/>
          <w:lang w:val="ro-MD"/>
        </w:rPr>
        <w:t xml:space="preserve">nexă </w:t>
      </w:r>
    </w:p>
    <w:p w14:paraId="011EDD1D" w14:textId="77777777" w:rsidR="002A7174" w:rsidRPr="00641BC7" w:rsidRDefault="002A7174" w:rsidP="00235132">
      <w:pPr>
        <w:spacing w:after="0" w:line="276" w:lineRule="auto"/>
        <w:jc w:val="right"/>
        <w:rPr>
          <w:rFonts w:asciiTheme="majorHAnsi" w:eastAsia="Times New Roman" w:hAnsiTheme="majorHAnsi" w:cstheme="majorHAnsi"/>
          <w:noProof/>
          <w:sz w:val="24"/>
          <w:szCs w:val="24"/>
          <w:lang w:val="ro-MD"/>
        </w:rPr>
      </w:pPr>
      <w:r w:rsidRPr="00641BC7">
        <w:rPr>
          <w:rFonts w:asciiTheme="majorHAnsi" w:eastAsia="Times New Roman" w:hAnsiTheme="majorHAnsi" w:cstheme="majorHAnsi"/>
          <w:noProof/>
          <w:sz w:val="24"/>
          <w:szCs w:val="24"/>
          <w:lang w:val="ro-MD"/>
        </w:rPr>
        <w:t xml:space="preserve">la Hotărârea Curții de Conturi </w:t>
      </w:r>
    </w:p>
    <w:p w14:paraId="181544AE" w14:textId="79171BC0" w:rsidR="002A7174" w:rsidRPr="00641BC7" w:rsidRDefault="002A7174" w:rsidP="00235132">
      <w:pPr>
        <w:spacing w:after="0" w:line="276" w:lineRule="auto"/>
        <w:jc w:val="right"/>
        <w:rPr>
          <w:rFonts w:asciiTheme="majorHAnsi" w:eastAsia="Times New Roman" w:hAnsiTheme="majorHAnsi" w:cstheme="majorHAnsi"/>
          <w:noProof/>
          <w:sz w:val="24"/>
          <w:szCs w:val="24"/>
          <w:lang w:val="ro-MD"/>
        </w:rPr>
      </w:pPr>
      <w:r w:rsidRPr="00641BC7">
        <w:rPr>
          <w:rFonts w:asciiTheme="majorHAnsi" w:eastAsia="Times New Roman" w:hAnsiTheme="majorHAnsi" w:cstheme="majorHAnsi"/>
          <w:noProof/>
          <w:sz w:val="24"/>
          <w:szCs w:val="24"/>
          <w:lang w:val="ro-MD"/>
        </w:rPr>
        <w:t xml:space="preserve">nr. </w:t>
      </w:r>
      <w:r w:rsidR="002F073A" w:rsidRPr="00641BC7">
        <w:rPr>
          <w:rFonts w:asciiTheme="majorHAnsi" w:eastAsia="Times New Roman" w:hAnsiTheme="majorHAnsi" w:cstheme="majorHAnsi"/>
          <w:noProof/>
          <w:sz w:val="24"/>
          <w:szCs w:val="24"/>
          <w:lang w:val="ro-MD"/>
        </w:rPr>
        <w:t>66</w:t>
      </w:r>
      <w:r w:rsidR="00B644E9" w:rsidRPr="00641BC7">
        <w:rPr>
          <w:rFonts w:asciiTheme="majorHAnsi" w:eastAsia="Times New Roman" w:hAnsiTheme="majorHAnsi" w:cstheme="majorHAnsi"/>
          <w:noProof/>
          <w:sz w:val="24"/>
          <w:szCs w:val="24"/>
          <w:lang w:val="ro-MD"/>
        </w:rPr>
        <w:t xml:space="preserve"> din </w:t>
      </w:r>
      <w:r w:rsidR="0082141B" w:rsidRPr="00641BC7">
        <w:rPr>
          <w:rFonts w:asciiTheme="majorHAnsi" w:eastAsia="Times New Roman" w:hAnsiTheme="majorHAnsi" w:cstheme="majorHAnsi"/>
          <w:noProof/>
          <w:sz w:val="24"/>
          <w:szCs w:val="24"/>
          <w:lang w:val="ro-MD"/>
        </w:rPr>
        <w:t>13</w:t>
      </w:r>
      <w:r w:rsidR="00B644E9" w:rsidRPr="00641BC7">
        <w:rPr>
          <w:rFonts w:asciiTheme="majorHAnsi" w:eastAsia="Times New Roman" w:hAnsiTheme="majorHAnsi" w:cstheme="majorHAnsi"/>
          <w:noProof/>
          <w:sz w:val="24"/>
          <w:szCs w:val="24"/>
          <w:lang w:val="ro-MD"/>
        </w:rPr>
        <w:t xml:space="preserve"> decembrie</w:t>
      </w:r>
      <w:r w:rsidR="004736B8" w:rsidRPr="00641BC7">
        <w:rPr>
          <w:rFonts w:asciiTheme="majorHAnsi" w:eastAsia="Times New Roman" w:hAnsiTheme="majorHAnsi" w:cstheme="majorHAnsi"/>
          <w:noProof/>
          <w:sz w:val="24"/>
          <w:szCs w:val="24"/>
          <w:lang w:val="ro-MD"/>
        </w:rPr>
        <w:t xml:space="preserve"> </w:t>
      </w:r>
      <w:r w:rsidRPr="00641BC7">
        <w:rPr>
          <w:rFonts w:asciiTheme="majorHAnsi" w:eastAsia="Times New Roman" w:hAnsiTheme="majorHAnsi" w:cstheme="majorHAnsi"/>
          <w:noProof/>
          <w:sz w:val="24"/>
          <w:szCs w:val="24"/>
          <w:lang w:val="ro-MD"/>
        </w:rPr>
        <w:t>2021</w:t>
      </w:r>
    </w:p>
    <w:p w14:paraId="02F881F6" w14:textId="77777777" w:rsidR="002A7174" w:rsidRPr="00641BC7" w:rsidRDefault="002A7174" w:rsidP="00235132">
      <w:pPr>
        <w:spacing w:after="0" w:line="276" w:lineRule="auto"/>
        <w:jc w:val="right"/>
        <w:rPr>
          <w:rFonts w:asciiTheme="majorHAnsi" w:eastAsia="Calibri" w:hAnsiTheme="majorHAnsi" w:cstheme="majorHAnsi"/>
          <w:i/>
          <w:noProof/>
          <w:sz w:val="24"/>
          <w:szCs w:val="24"/>
          <w:lang w:val="ro-MD"/>
        </w:rPr>
      </w:pPr>
    </w:p>
    <w:p w14:paraId="129E6292" w14:textId="77777777" w:rsidR="002A7174" w:rsidRPr="00641BC7" w:rsidRDefault="002A7174" w:rsidP="00EA2FA6">
      <w:pPr>
        <w:spacing w:after="0" w:line="276" w:lineRule="auto"/>
        <w:jc w:val="both"/>
        <w:rPr>
          <w:rFonts w:asciiTheme="majorHAnsi" w:eastAsia="Calibri" w:hAnsiTheme="majorHAnsi" w:cstheme="majorHAnsi"/>
          <w:i/>
          <w:noProof/>
          <w:sz w:val="24"/>
          <w:szCs w:val="24"/>
          <w:lang w:val="ro-MD"/>
        </w:rPr>
      </w:pPr>
    </w:p>
    <w:p w14:paraId="61382C9B" w14:textId="77777777" w:rsidR="002A7174" w:rsidRPr="00641BC7" w:rsidRDefault="002A7174" w:rsidP="00EA2FA6">
      <w:pPr>
        <w:spacing w:after="0" w:line="276" w:lineRule="auto"/>
        <w:jc w:val="both"/>
        <w:rPr>
          <w:rFonts w:asciiTheme="majorHAnsi" w:eastAsia="Calibri" w:hAnsiTheme="majorHAnsi" w:cstheme="majorHAnsi"/>
          <w:i/>
          <w:noProof/>
          <w:sz w:val="24"/>
          <w:szCs w:val="24"/>
          <w:lang w:val="ro-MD"/>
        </w:rPr>
      </w:pPr>
    </w:p>
    <w:p w14:paraId="431419ED" w14:textId="77777777" w:rsidR="002A7174" w:rsidRPr="00641BC7" w:rsidRDefault="002A7174" w:rsidP="00EA2FA6">
      <w:pPr>
        <w:spacing w:after="0" w:line="276" w:lineRule="auto"/>
        <w:jc w:val="both"/>
        <w:rPr>
          <w:rFonts w:asciiTheme="majorHAnsi" w:eastAsia="Calibri" w:hAnsiTheme="majorHAnsi" w:cstheme="majorHAnsi"/>
          <w:i/>
          <w:noProof/>
          <w:sz w:val="24"/>
          <w:szCs w:val="24"/>
          <w:lang w:val="ro-MD"/>
        </w:rPr>
      </w:pPr>
    </w:p>
    <w:p w14:paraId="7533728F" w14:textId="77777777" w:rsidR="002A7174" w:rsidRPr="00641BC7" w:rsidRDefault="002A7174" w:rsidP="00235132">
      <w:pPr>
        <w:spacing w:after="0" w:line="276" w:lineRule="auto"/>
        <w:jc w:val="center"/>
        <w:rPr>
          <w:rFonts w:asciiTheme="majorHAnsi" w:eastAsia="Calibri" w:hAnsiTheme="majorHAnsi" w:cstheme="majorHAnsi"/>
          <w:i/>
          <w:noProof/>
          <w:sz w:val="24"/>
          <w:szCs w:val="24"/>
          <w:lang w:val="ro-MD"/>
        </w:rPr>
      </w:pPr>
    </w:p>
    <w:p w14:paraId="51BED381" w14:textId="77777777" w:rsidR="002A7174" w:rsidRPr="00641BC7" w:rsidRDefault="00B34B19" w:rsidP="00235132">
      <w:pPr>
        <w:spacing w:after="0" w:line="276" w:lineRule="auto"/>
        <w:jc w:val="center"/>
        <w:rPr>
          <w:rFonts w:asciiTheme="majorHAnsi" w:eastAsia="Calibri" w:hAnsiTheme="majorHAnsi" w:cstheme="majorHAnsi"/>
          <w:i/>
          <w:noProof/>
          <w:sz w:val="24"/>
          <w:szCs w:val="24"/>
          <w:lang w:val="ro-MD"/>
        </w:rPr>
      </w:pPr>
      <w:r w:rsidRPr="00641BC7">
        <w:rPr>
          <w:rFonts w:asciiTheme="majorHAnsi" w:hAnsiTheme="majorHAnsi" w:cstheme="majorHAnsi"/>
          <w:b/>
          <w:noProof/>
          <w:color w:val="000000" w:themeColor="text1"/>
          <w:sz w:val="24"/>
          <w:szCs w:val="24"/>
        </w:rPr>
        <w:drawing>
          <wp:inline distT="0" distB="0" distL="0" distR="0" wp14:anchorId="13800772" wp14:editId="31AA6A12">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14:paraId="20C4E9EF" w14:textId="77777777" w:rsidR="002A7174" w:rsidRPr="00641BC7" w:rsidRDefault="002A7174" w:rsidP="00235132">
      <w:pPr>
        <w:spacing w:after="0" w:line="276" w:lineRule="auto"/>
        <w:jc w:val="center"/>
        <w:rPr>
          <w:rFonts w:asciiTheme="majorHAnsi" w:eastAsia="Calibri" w:hAnsiTheme="majorHAnsi" w:cstheme="majorHAnsi"/>
          <w:i/>
          <w:noProof/>
          <w:sz w:val="24"/>
          <w:szCs w:val="24"/>
          <w:lang w:val="ro-MD"/>
        </w:rPr>
      </w:pPr>
    </w:p>
    <w:p w14:paraId="3D4F4925" w14:textId="77777777" w:rsidR="002A7174" w:rsidRPr="00641BC7" w:rsidRDefault="002A7174" w:rsidP="00235132">
      <w:pPr>
        <w:spacing w:after="0" w:line="276" w:lineRule="auto"/>
        <w:jc w:val="center"/>
        <w:rPr>
          <w:rFonts w:asciiTheme="majorHAnsi" w:eastAsia="Calibri" w:hAnsiTheme="majorHAnsi" w:cstheme="majorHAnsi"/>
          <w:b/>
          <w:noProof/>
          <w:sz w:val="24"/>
          <w:szCs w:val="24"/>
          <w:lang w:val="ro-MD"/>
        </w:rPr>
      </w:pPr>
    </w:p>
    <w:p w14:paraId="25B5E9AF" w14:textId="77777777" w:rsidR="002A7174" w:rsidRPr="00641BC7" w:rsidRDefault="002A7174" w:rsidP="00235132">
      <w:pPr>
        <w:spacing w:after="0" w:line="276" w:lineRule="auto"/>
        <w:jc w:val="center"/>
        <w:rPr>
          <w:rFonts w:asciiTheme="majorHAnsi" w:eastAsia="Calibri" w:hAnsiTheme="majorHAnsi" w:cstheme="majorHAnsi"/>
          <w:b/>
          <w:noProof/>
          <w:sz w:val="24"/>
          <w:szCs w:val="24"/>
          <w:lang w:val="ro-MD"/>
        </w:rPr>
      </w:pPr>
    </w:p>
    <w:p w14:paraId="4ED29EDD" w14:textId="77777777" w:rsidR="002A7174" w:rsidRPr="00641BC7" w:rsidRDefault="002A7174" w:rsidP="00235132">
      <w:pPr>
        <w:spacing w:after="0" w:line="276" w:lineRule="auto"/>
        <w:jc w:val="center"/>
        <w:rPr>
          <w:rFonts w:asciiTheme="majorHAnsi" w:eastAsia="Calibri" w:hAnsiTheme="majorHAnsi" w:cstheme="majorHAnsi"/>
          <w:b/>
          <w:noProof/>
          <w:sz w:val="24"/>
          <w:szCs w:val="24"/>
          <w:lang w:val="ro-MD"/>
        </w:rPr>
      </w:pPr>
    </w:p>
    <w:p w14:paraId="01255849" w14:textId="77777777" w:rsidR="002A7174" w:rsidRPr="00641BC7" w:rsidRDefault="002A7174" w:rsidP="00235132">
      <w:pPr>
        <w:spacing w:after="0" w:line="276" w:lineRule="auto"/>
        <w:jc w:val="center"/>
        <w:rPr>
          <w:rFonts w:asciiTheme="majorHAnsi" w:eastAsia="Calibri" w:hAnsiTheme="majorHAnsi" w:cstheme="majorHAnsi"/>
          <w:b/>
          <w:noProof/>
          <w:sz w:val="36"/>
          <w:szCs w:val="36"/>
          <w:lang w:val="ro-MD"/>
        </w:rPr>
      </w:pPr>
      <w:r w:rsidRPr="00641BC7">
        <w:rPr>
          <w:rFonts w:asciiTheme="majorHAnsi" w:eastAsia="Calibri" w:hAnsiTheme="majorHAnsi" w:cstheme="majorHAnsi"/>
          <w:b/>
          <w:noProof/>
          <w:sz w:val="36"/>
          <w:szCs w:val="36"/>
          <w:lang w:val="ro-MD"/>
        </w:rPr>
        <w:t>CURTEA DE CONTURI A REPUBLICII MOLDOVA</w:t>
      </w:r>
    </w:p>
    <w:p w14:paraId="10B88D63" w14:textId="77777777" w:rsidR="002A7174" w:rsidRPr="00641BC7" w:rsidRDefault="002A7174" w:rsidP="00235132">
      <w:pPr>
        <w:spacing w:after="0" w:line="276" w:lineRule="auto"/>
        <w:jc w:val="center"/>
        <w:rPr>
          <w:rFonts w:asciiTheme="majorHAnsi" w:eastAsia="Calibri" w:hAnsiTheme="majorHAnsi" w:cstheme="majorHAnsi"/>
          <w:noProof/>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2A7174" w:rsidRPr="00641BC7" w14:paraId="696CA430" w14:textId="77777777" w:rsidTr="009F3FBB">
        <w:trPr>
          <w:trHeight w:val="396"/>
          <w:jc w:val="center"/>
        </w:trPr>
        <w:tc>
          <w:tcPr>
            <w:tcW w:w="9350" w:type="dxa"/>
          </w:tcPr>
          <w:p w14:paraId="1314D088" w14:textId="0D93090C" w:rsidR="002A7174" w:rsidRPr="00641BC7" w:rsidRDefault="002A7174" w:rsidP="00235132">
            <w:pPr>
              <w:tabs>
                <w:tab w:val="left" w:pos="720"/>
              </w:tabs>
              <w:spacing w:after="0" w:line="276" w:lineRule="auto"/>
              <w:jc w:val="center"/>
              <w:rPr>
                <w:rFonts w:asciiTheme="majorHAnsi" w:eastAsia="Calibri" w:hAnsiTheme="majorHAnsi" w:cstheme="majorHAnsi"/>
                <w:b/>
                <w:bCs/>
                <w:iCs/>
                <w:noProof/>
                <w:sz w:val="24"/>
                <w:szCs w:val="24"/>
                <w:lang w:val="ro-MD"/>
              </w:rPr>
            </w:pPr>
            <w:r w:rsidRPr="00641BC7">
              <w:rPr>
                <w:rFonts w:asciiTheme="majorHAnsi" w:eastAsia="Calibri" w:hAnsiTheme="majorHAnsi" w:cstheme="majorHAnsi"/>
                <w:b/>
                <w:bCs/>
                <w:iCs/>
                <w:noProof/>
                <w:sz w:val="24"/>
                <w:szCs w:val="24"/>
                <w:lang w:val="ro-MD"/>
              </w:rPr>
              <w:t>MD-2001, mun. Chișinău, bd. Ștefan cel Mare și Sfânt nr.69, tel. (+373 22) 26 60 02,</w:t>
            </w:r>
          </w:p>
          <w:p w14:paraId="2090ADEA" w14:textId="77777777" w:rsidR="002A7174" w:rsidRPr="00641BC7" w:rsidRDefault="002A7174" w:rsidP="00235132">
            <w:pPr>
              <w:tabs>
                <w:tab w:val="left" w:pos="720"/>
              </w:tabs>
              <w:spacing w:after="0" w:line="276" w:lineRule="auto"/>
              <w:jc w:val="center"/>
              <w:rPr>
                <w:rFonts w:asciiTheme="majorHAnsi" w:eastAsia="Calibri" w:hAnsiTheme="majorHAnsi" w:cstheme="majorHAnsi"/>
                <w:noProof/>
                <w:color w:val="1F4E79"/>
                <w:sz w:val="24"/>
                <w:szCs w:val="24"/>
                <w:lang w:val="ro-MD"/>
              </w:rPr>
            </w:pPr>
            <w:r w:rsidRPr="00641BC7">
              <w:rPr>
                <w:rFonts w:asciiTheme="majorHAnsi" w:eastAsia="Calibri" w:hAnsiTheme="majorHAnsi" w:cstheme="majorHAnsi"/>
                <w:b/>
                <w:bCs/>
                <w:iCs/>
                <w:noProof/>
                <w:sz w:val="24"/>
                <w:szCs w:val="24"/>
                <w:lang w:val="ro-MD"/>
              </w:rPr>
              <w:t xml:space="preserve">fax: (+373 22) 26 61 00, web: </w:t>
            </w:r>
            <w:hyperlink r:id="rId9" w:history="1">
              <w:r w:rsidRPr="00641BC7">
                <w:rPr>
                  <w:rStyle w:val="Hyperlink"/>
                  <w:rFonts w:asciiTheme="majorHAnsi" w:eastAsia="Calibri" w:hAnsiTheme="majorHAnsi" w:cstheme="majorHAnsi"/>
                  <w:b/>
                  <w:bCs/>
                  <w:iCs/>
                  <w:noProof/>
                  <w:sz w:val="24"/>
                  <w:szCs w:val="24"/>
                  <w:lang w:val="ro-MD"/>
                </w:rPr>
                <w:t>www.ccrm.md</w:t>
              </w:r>
            </w:hyperlink>
            <w:r w:rsidRPr="00641BC7">
              <w:rPr>
                <w:rFonts w:asciiTheme="majorHAnsi" w:eastAsia="Calibri" w:hAnsiTheme="majorHAnsi" w:cstheme="majorHAnsi"/>
                <w:b/>
                <w:bCs/>
                <w:iCs/>
                <w:noProof/>
                <w:sz w:val="24"/>
                <w:szCs w:val="24"/>
                <w:lang w:val="ro-MD"/>
              </w:rPr>
              <w:t xml:space="preserve">, e-mail: </w:t>
            </w:r>
            <w:hyperlink r:id="rId10" w:history="1">
              <w:r w:rsidRPr="00641BC7">
                <w:rPr>
                  <w:rStyle w:val="Hyperlink"/>
                  <w:rFonts w:asciiTheme="majorHAnsi" w:eastAsia="Calibri" w:hAnsiTheme="majorHAnsi" w:cstheme="majorHAnsi"/>
                  <w:b/>
                  <w:bCs/>
                  <w:iCs/>
                  <w:noProof/>
                  <w:sz w:val="24"/>
                  <w:szCs w:val="24"/>
                  <w:lang w:val="ro-MD"/>
                </w:rPr>
                <w:t>ccrm@ccrm.md</w:t>
              </w:r>
            </w:hyperlink>
          </w:p>
        </w:tc>
      </w:tr>
    </w:tbl>
    <w:p w14:paraId="07E3B426" w14:textId="77777777" w:rsidR="002A7174" w:rsidRPr="00641BC7" w:rsidRDefault="002A7174" w:rsidP="00235132">
      <w:pPr>
        <w:spacing w:after="0" w:line="276" w:lineRule="auto"/>
        <w:jc w:val="center"/>
        <w:rPr>
          <w:rFonts w:asciiTheme="majorHAnsi" w:eastAsia="Times New Roman" w:hAnsiTheme="majorHAnsi" w:cstheme="majorHAnsi"/>
          <w:noProof/>
          <w:sz w:val="24"/>
          <w:szCs w:val="24"/>
          <w:lang w:val="ro-MD"/>
        </w:rPr>
      </w:pPr>
    </w:p>
    <w:p w14:paraId="4582C469" w14:textId="5CCEDC49" w:rsidR="00EC7DA6" w:rsidRPr="00641BC7" w:rsidRDefault="00EC7DA6" w:rsidP="00235132">
      <w:pPr>
        <w:spacing w:after="0" w:line="276" w:lineRule="auto"/>
        <w:jc w:val="center"/>
        <w:rPr>
          <w:rFonts w:asciiTheme="majorHAnsi" w:eastAsia="Times New Roman" w:hAnsiTheme="majorHAnsi" w:cstheme="majorHAnsi"/>
          <w:b/>
          <w:bCs/>
          <w:noProof/>
          <w:sz w:val="28"/>
          <w:szCs w:val="28"/>
          <w:lang w:val="ro-MD"/>
        </w:rPr>
      </w:pPr>
      <w:r w:rsidRPr="00641BC7">
        <w:rPr>
          <w:rFonts w:asciiTheme="majorHAnsi" w:eastAsia="Times New Roman" w:hAnsiTheme="majorHAnsi" w:cstheme="majorHAnsi"/>
          <w:b/>
          <w:bCs/>
          <w:noProof/>
          <w:sz w:val="28"/>
          <w:szCs w:val="28"/>
          <w:lang w:val="ro-MD"/>
        </w:rPr>
        <w:t>RAPORTUL</w:t>
      </w:r>
    </w:p>
    <w:p w14:paraId="44B5C93C" w14:textId="3D53391E" w:rsidR="00EC7DA6" w:rsidRPr="00641BC7" w:rsidRDefault="00EC7DA6" w:rsidP="00235132">
      <w:pPr>
        <w:spacing w:after="0" w:line="276" w:lineRule="auto"/>
        <w:jc w:val="center"/>
        <w:rPr>
          <w:rFonts w:asciiTheme="majorHAnsi" w:eastAsia="Calibri" w:hAnsiTheme="majorHAnsi" w:cstheme="majorHAnsi"/>
          <w:sz w:val="28"/>
          <w:szCs w:val="28"/>
          <w:lang w:val="ro-MD"/>
        </w:rPr>
      </w:pPr>
      <w:r w:rsidRPr="00641BC7">
        <w:rPr>
          <w:rFonts w:asciiTheme="majorHAnsi" w:eastAsia="Calibri" w:hAnsiTheme="majorHAnsi" w:cstheme="majorHAnsi"/>
          <w:b/>
          <w:noProof/>
          <w:sz w:val="28"/>
          <w:szCs w:val="28"/>
          <w:lang w:val="ro-MD"/>
        </w:rPr>
        <w:t xml:space="preserve">auditului asupra </w:t>
      </w:r>
      <w:r w:rsidR="006A7C80" w:rsidRPr="00641BC7">
        <w:rPr>
          <w:rFonts w:asciiTheme="majorHAnsi" w:eastAsia="Calibri" w:hAnsiTheme="majorHAnsi" w:cstheme="majorHAnsi"/>
          <w:b/>
          <w:noProof/>
          <w:sz w:val="28"/>
          <w:szCs w:val="28"/>
          <w:lang w:val="ro-MD"/>
        </w:rPr>
        <w:t xml:space="preserve">rapoartelor financiare ale </w:t>
      </w:r>
      <w:r w:rsidR="00F337F2" w:rsidRPr="00641BC7">
        <w:rPr>
          <w:rFonts w:asciiTheme="majorHAnsi" w:eastAsia="Calibri" w:hAnsiTheme="majorHAnsi" w:cstheme="majorHAnsi"/>
          <w:b/>
          <w:noProof/>
          <w:sz w:val="28"/>
          <w:szCs w:val="28"/>
          <w:lang w:val="ro-MD"/>
        </w:rPr>
        <w:t>u</w:t>
      </w:r>
      <w:r w:rsidR="006A7C80" w:rsidRPr="00641BC7">
        <w:rPr>
          <w:rFonts w:asciiTheme="majorHAnsi" w:eastAsia="Calibri" w:hAnsiTheme="majorHAnsi" w:cstheme="majorHAnsi"/>
          <w:b/>
          <w:noProof/>
          <w:sz w:val="28"/>
          <w:szCs w:val="28"/>
          <w:lang w:val="ro-MD"/>
        </w:rPr>
        <w:t xml:space="preserve">nității  </w:t>
      </w:r>
      <w:r w:rsidR="00F337F2" w:rsidRPr="00641BC7">
        <w:rPr>
          <w:rFonts w:asciiTheme="majorHAnsi" w:eastAsia="Calibri" w:hAnsiTheme="majorHAnsi" w:cstheme="majorHAnsi"/>
          <w:b/>
          <w:noProof/>
          <w:sz w:val="28"/>
          <w:szCs w:val="28"/>
          <w:lang w:val="ro-MD"/>
        </w:rPr>
        <w:t>a</w:t>
      </w:r>
      <w:r w:rsidR="00B00106" w:rsidRPr="00641BC7">
        <w:rPr>
          <w:rFonts w:asciiTheme="majorHAnsi" w:eastAsia="Calibri" w:hAnsiTheme="majorHAnsi" w:cstheme="majorHAnsi"/>
          <w:b/>
          <w:noProof/>
          <w:sz w:val="28"/>
          <w:szCs w:val="28"/>
          <w:lang w:val="ro-MD"/>
        </w:rPr>
        <w:t>dministrativ</w:t>
      </w:r>
      <w:r w:rsidR="00F337F2" w:rsidRPr="00641BC7">
        <w:rPr>
          <w:rFonts w:asciiTheme="majorHAnsi" w:eastAsia="Calibri" w:hAnsiTheme="majorHAnsi" w:cstheme="majorHAnsi"/>
          <w:b/>
          <w:noProof/>
          <w:sz w:val="28"/>
          <w:szCs w:val="28"/>
          <w:lang w:val="ro-MD"/>
        </w:rPr>
        <w:t>-t</w:t>
      </w:r>
      <w:r w:rsidR="006A7C80" w:rsidRPr="00641BC7">
        <w:rPr>
          <w:rFonts w:asciiTheme="majorHAnsi" w:eastAsia="Calibri" w:hAnsiTheme="majorHAnsi" w:cstheme="majorHAnsi"/>
          <w:b/>
          <w:noProof/>
          <w:sz w:val="28"/>
          <w:szCs w:val="28"/>
          <w:lang w:val="ro-MD"/>
        </w:rPr>
        <w:t xml:space="preserve">eritoriale </w:t>
      </w:r>
      <w:r w:rsidR="00B00106" w:rsidRPr="00641BC7">
        <w:rPr>
          <w:rFonts w:asciiTheme="majorHAnsi" w:eastAsia="Calibri" w:hAnsiTheme="majorHAnsi" w:cstheme="majorHAnsi"/>
          <w:b/>
          <w:noProof/>
          <w:sz w:val="28"/>
          <w:szCs w:val="28"/>
          <w:lang w:val="ro-MD"/>
        </w:rPr>
        <w:t>r</w:t>
      </w:r>
      <w:r w:rsidR="00F337F2" w:rsidRPr="00641BC7">
        <w:rPr>
          <w:rFonts w:asciiTheme="majorHAnsi" w:eastAsia="Calibri" w:hAnsiTheme="majorHAnsi" w:cstheme="majorHAnsi"/>
          <w:b/>
          <w:noProof/>
          <w:sz w:val="28"/>
          <w:szCs w:val="28"/>
          <w:lang w:val="ro-MD"/>
        </w:rPr>
        <w:t>aio</w:t>
      </w:r>
      <w:r w:rsidR="00B00106" w:rsidRPr="00641BC7">
        <w:rPr>
          <w:rFonts w:asciiTheme="majorHAnsi" w:eastAsia="Calibri" w:hAnsiTheme="majorHAnsi" w:cstheme="majorHAnsi"/>
          <w:b/>
          <w:noProof/>
          <w:sz w:val="28"/>
          <w:szCs w:val="28"/>
          <w:lang w:val="ro-MD"/>
        </w:rPr>
        <w:t>nul Nisporeni</w:t>
      </w:r>
      <w:r w:rsidR="004476F5" w:rsidRPr="00641BC7">
        <w:rPr>
          <w:rFonts w:asciiTheme="majorHAnsi" w:eastAsia="Calibri" w:hAnsiTheme="majorHAnsi" w:cstheme="majorHAnsi"/>
          <w:b/>
          <w:noProof/>
          <w:sz w:val="28"/>
          <w:szCs w:val="28"/>
          <w:lang w:val="ro-MD"/>
        </w:rPr>
        <w:t xml:space="preserve"> </w:t>
      </w:r>
      <w:r w:rsidRPr="00641BC7">
        <w:rPr>
          <w:rFonts w:asciiTheme="majorHAnsi" w:eastAsia="Calibri" w:hAnsiTheme="majorHAnsi" w:cstheme="majorHAnsi"/>
          <w:b/>
          <w:noProof/>
          <w:sz w:val="28"/>
          <w:szCs w:val="28"/>
          <w:lang w:val="ro-MD"/>
        </w:rPr>
        <w:t>încheiate la 31</w:t>
      </w:r>
      <w:r w:rsidR="005954CC" w:rsidRPr="00641BC7">
        <w:rPr>
          <w:rFonts w:asciiTheme="majorHAnsi" w:eastAsia="Calibri" w:hAnsiTheme="majorHAnsi" w:cstheme="majorHAnsi"/>
          <w:b/>
          <w:noProof/>
          <w:sz w:val="28"/>
          <w:szCs w:val="28"/>
          <w:lang w:val="ro-MD"/>
        </w:rPr>
        <w:t xml:space="preserve"> decembrie </w:t>
      </w:r>
      <w:r w:rsidR="006A7C80" w:rsidRPr="00641BC7">
        <w:rPr>
          <w:rFonts w:asciiTheme="majorHAnsi" w:eastAsia="Calibri" w:hAnsiTheme="majorHAnsi" w:cstheme="majorHAnsi"/>
          <w:b/>
          <w:noProof/>
          <w:sz w:val="28"/>
          <w:szCs w:val="28"/>
          <w:lang w:val="ro-MD"/>
        </w:rPr>
        <w:t>2020</w:t>
      </w:r>
      <w:r w:rsidR="008F6BB6" w:rsidRPr="00641BC7">
        <w:rPr>
          <w:rFonts w:asciiTheme="majorHAnsi" w:eastAsia="Calibri" w:hAnsiTheme="majorHAnsi" w:cstheme="majorHAnsi"/>
          <w:b/>
          <w:noProof/>
          <w:sz w:val="28"/>
          <w:szCs w:val="28"/>
          <w:lang w:val="ro-MD"/>
        </w:rPr>
        <w:t xml:space="preserve"> (UAT/bugetul de nivelul II)  </w:t>
      </w:r>
    </w:p>
    <w:p w14:paraId="0CF5DB84" w14:textId="77777777" w:rsidR="002A7174" w:rsidRPr="00641BC7" w:rsidRDefault="002A7174" w:rsidP="00235132">
      <w:pPr>
        <w:spacing w:line="276" w:lineRule="auto"/>
        <w:jc w:val="center"/>
        <w:rPr>
          <w:rFonts w:asciiTheme="majorHAnsi" w:hAnsiTheme="majorHAnsi" w:cstheme="majorHAnsi"/>
          <w:sz w:val="24"/>
          <w:szCs w:val="24"/>
          <w:lang w:val="ro-MD"/>
        </w:rPr>
      </w:pPr>
    </w:p>
    <w:p w14:paraId="4EF30CD3" w14:textId="77777777" w:rsidR="00EC7DA6" w:rsidRPr="00641BC7" w:rsidRDefault="00EC7DA6" w:rsidP="00EA2FA6">
      <w:pPr>
        <w:spacing w:line="276" w:lineRule="auto"/>
        <w:jc w:val="both"/>
        <w:rPr>
          <w:rFonts w:asciiTheme="majorHAnsi" w:hAnsiTheme="majorHAnsi" w:cstheme="majorHAnsi"/>
          <w:sz w:val="24"/>
          <w:szCs w:val="24"/>
          <w:lang w:val="ro-MD"/>
        </w:rPr>
      </w:pPr>
    </w:p>
    <w:p w14:paraId="5D3FEB7E" w14:textId="77777777" w:rsidR="002A7174" w:rsidRPr="00641BC7" w:rsidRDefault="002A7174" w:rsidP="00EA2FA6">
      <w:pPr>
        <w:spacing w:line="276" w:lineRule="auto"/>
        <w:jc w:val="both"/>
        <w:rPr>
          <w:rFonts w:asciiTheme="majorHAnsi" w:hAnsiTheme="majorHAnsi" w:cstheme="majorHAnsi"/>
          <w:sz w:val="24"/>
          <w:szCs w:val="24"/>
          <w:lang w:val="ro-MD"/>
        </w:rPr>
      </w:pPr>
    </w:p>
    <w:p w14:paraId="783A2FBD" w14:textId="77777777" w:rsidR="002A7174" w:rsidRPr="00641BC7" w:rsidRDefault="002A7174" w:rsidP="00EA2FA6">
      <w:pPr>
        <w:spacing w:line="276" w:lineRule="auto"/>
        <w:jc w:val="both"/>
        <w:rPr>
          <w:rFonts w:asciiTheme="majorHAnsi" w:hAnsiTheme="majorHAnsi" w:cstheme="majorHAnsi"/>
          <w:sz w:val="24"/>
          <w:szCs w:val="24"/>
          <w:lang w:val="ro-MD"/>
        </w:rPr>
      </w:pPr>
    </w:p>
    <w:p w14:paraId="6B46663C" w14:textId="77777777" w:rsidR="002A7174" w:rsidRPr="00641BC7" w:rsidRDefault="002A7174" w:rsidP="00EA2FA6">
      <w:pPr>
        <w:spacing w:line="276" w:lineRule="auto"/>
        <w:jc w:val="both"/>
        <w:rPr>
          <w:rFonts w:asciiTheme="majorHAnsi" w:hAnsiTheme="majorHAnsi" w:cstheme="majorHAnsi"/>
          <w:sz w:val="24"/>
          <w:szCs w:val="24"/>
          <w:lang w:val="ro-MD"/>
        </w:rPr>
      </w:pPr>
    </w:p>
    <w:p w14:paraId="06CD0050" w14:textId="77777777" w:rsidR="002A7174" w:rsidRPr="00641BC7" w:rsidRDefault="002A7174" w:rsidP="00EA2FA6">
      <w:pPr>
        <w:spacing w:line="276" w:lineRule="auto"/>
        <w:jc w:val="both"/>
        <w:rPr>
          <w:rFonts w:asciiTheme="majorHAnsi" w:hAnsiTheme="majorHAnsi" w:cstheme="majorHAnsi"/>
          <w:sz w:val="24"/>
          <w:szCs w:val="24"/>
          <w:lang w:val="ro-MD"/>
        </w:rPr>
      </w:pPr>
    </w:p>
    <w:p w14:paraId="0191C1ED" w14:textId="77777777" w:rsidR="002A7174" w:rsidRPr="00641BC7" w:rsidRDefault="002A7174" w:rsidP="00EA2FA6">
      <w:pPr>
        <w:spacing w:line="276" w:lineRule="auto"/>
        <w:jc w:val="both"/>
        <w:rPr>
          <w:rFonts w:asciiTheme="majorHAnsi" w:hAnsiTheme="majorHAnsi" w:cstheme="majorHAnsi"/>
          <w:sz w:val="24"/>
          <w:szCs w:val="24"/>
          <w:lang w:val="ro-MD"/>
        </w:rPr>
      </w:pPr>
    </w:p>
    <w:p w14:paraId="4FC951CD" w14:textId="77777777" w:rsidR="002A7174" w:rsidRPr="00641BC7" w:rsidRDefault="002A7174" w:rsidP="00EA2FA6">
      <w:pPr>
        <w:spacing w:line="276" w:lineRule="auto"/>
        <w:jc w:val="both"/>
        <w:rPr>
          <w:rFonts w:asciiTheme="majorHAnsi" w:hAnsiTheme="majorHAnsi" w:cstheme="majorHAnsi"/>
          <w:sz w:val="24"/>
          <w:szCs w:val="24"/>
          <w:lang w:val="ro-MD"/>
        </w:rPr>
      </w:pPr>
    </w:p>
    <w:p w14:paraId="795401DB" w14:textId="77777777" w:rsidR="002A7174" w:rsidRPr="00641BC7" w:rsidRDefault="002A7174" w:rsidP="00EA2FA6">
      <w:pPr>
        <w:spacing w:line="276" w:lineRule="auto"/>
        <w:jc w:val="both"/>
        <w:rPr>
          <w:rFonts w:asciiTheme="majorHAnsi" w:hAnsiTheme="majorHAnsi" w:cstheme="majorHAnsi"/>
          <w:sz w:val="24"/>
          <w:szCs w:val="24"/>
          <w:lang w:val="ro-MD"/>
        </w:rPr>
      </w:pPr>
    </w:p>
    <w:p w14:paraId="26D838CE" w14:textId="77777777" w:rsidR="002A7174" w:rsidRPr="00641BC7" w:rsidRDefault="002A7174" w:rsidP="00EA2FA6">
      <w:pPr>
        <w:spacing w:line="276" w:lineRule="auto"/>
        <w:jc w:val="both"/>
        <w:rPr>
          <w:rFonts w:asciiTheme="majorHAnsi" w:hAnsiTheme="majorHAnsi" w:cstheme="majorHAnsi"/>
          <w:sz w:val="24"/>
          <w:szCs w:val="24"/>
          <w:lang w:val="ro-MD"/>
        </w:rPr>
      </w:pPr>
    </w:p>
    <w:p w14:paraId="5007EF42" w14:textId="77777777" w:rsidR="00151AF8" w:rsidRPr="00641BC7" w:rsidRDefault="00151AF8" w:rsidP="00EA2FA6">
      <w:pPr>
        <w:spacing w:line="276" w:lineRule="auto"/>
        <w:jc w:val="both"/>
        <w:rPr>
          <w:rFonts w:asciiTheme="majorHAnsi" w:hAnsiTheme="majorHAnsi" w:cstheme="majorHAnsi"/>
          <w:sz w:val="24"/>
          <w:szCs w:val="24"/>
          <w:lang w:val="ro-MD"/>
        </w:rPr>
        <w:sectPr w:rsidR="00151AF8" w:rsidRPr="00641BC7" w:rsidSect="003466C9">
          <w:footerReference w:type="default" r:id="rId11"/>
          <w:pgSz w:w="11907" w:h="16840" w:code="9"/>
          <w:pgMar w:top="851" w:right="851" w:bottom="851" w:left="1701" w:header="709" w:footer="429" w:gutter="0"/>
          <w:cols w:space="720"/>
          <w:docGrid w:linePitch="360"/>
        </w:sectPr>
      </w:pPr>
    </w:p>
    <w:p w14:paraId="5B728833" w14:textId="77777777" w:rsidR="002A7174" w:rsidRPr="00641BC7" w:rsidRDefault="002A7174" w:rsidP="00EA2FA6">
      <w:pPr>
        <w:pStyle w:val="ListParagraph"/>
        <w:numPr>
          <w:ilvl w:val="0"/>
          <w:numId w:val="2"/>
        </w:numPr>
        <w:tabs>
          <w:tab w:val="left" w:pos="0"/>
          <w:tab w:val="left" w:pos="284"/>
        </w:tabs>
        <w:spacing w:after="0" w:line="276" w:lineRule="auto"/>
        <w:ind w:left="0" w:firstLine="0"/>
        <w:jc w:val="both"/>
        <w:outlineLvl w:val="0"/>
        <w:rPr>
          <w:rFonts w:asciiTheme="majorHAnsi" w:eastAsia="Calibri" w:hAnsiTheme="majorHAnsi" w:cstheme="majorHAnsi"/>
          <w:b/>
          <w:sz w:val="24"/>
          <w:szCs w:val="24"/>
          <w:lang w:val="ro-MD"/>
        </w:rPr>
      </w:pPr>
      <w:bookmarkStart w:id="1" w:name="_Toc529533665"/>
      <w:r w:rsidRPr="00641BC7">
        <w:rPr>
          <w:rFonts w:asciiTheme="majorHAnsi" w:eastAsia="Calibri" w:hAnsiTheme="majorHAnsi" w:cstheme="majorHAnsi"/>
          <w:b/>
          <w:sz w:val="24"/>
          <w:szCs w:val="24"/>
          <w:lang w:val="ro-MD"/>
        </w:rPr>
        <w:lastRenderedPageBreak/>
        <w:t>OPINIE C</w:t>
      </w:r>
      <w:bookmarkEnd w:id="1"/>
      <w:r w:rsidRPr="00641BC7">
        <w:rPr>
          <w:rFonts w:asciiTheme="majorHAnsi" w:eastAsia="Calibri" w:hAnsiTheme="majorHAnsi" w:cstheme="majorHAnsi"/>
          <w:b/>
          <w:sz w:val="24"/>
          <w:szCs w:val="24"/>
          <w:lang w:val="ro-MD"/>
        </w:rPr>
        <w:t>ONTRARĂ</w:t>
      </w:r>
    </w:p>
    <w:p w14:paraId="53DFE278" w14:textId="0AF364C9" w:rsidR="002A7174" w:rsidRPr="00641BC7" w:rsidRDefault="002A7174" w:rsidP="00EA2FA6">
      <w:pPr>
        <w:tabs>
          <w:tab w:val="left" w:pos="709"/>
        </w:tabs>
        <w:spacing w:after="0" w:line="276" w:lineRule="auto"/>
        <w:jc w:val="both"/>
        <w:rPr>
          <w:rFonts w:asciiTheme="majorHAnsi" w:eastAsia="Times New Roman" w:hAnsiTheme="majorHAnsi" w:cstheme="majorHAnsi"/>
          <w:sz w:val="24"/>
          <w:szCs w:val="24"/>
          <w:lang w:val="ro-MD"/>
        </w:rPr>
      </w:pPr>
      <w:r w:rsidRPr="00641BC7">
        <w:rPr>
          <w:rFonts w:asciiTheme="majorHAnsi" w:eastAsia="Times New Roman" w:hAnsiTheme="majorHAnsi" w:cstheme="majorHAnsi"/>
          <w:sz w:val="24"/>
          <w:szCs w:val="24"/>
          <w:lang w:val="ro-MD"/>
        </w:rPr>
        <w:t>Am audi</w:t>
      </w:r>
      <w:r w:rsidR="006A7C80" w:rsidRPr="00641BC7">
        <w:rPr>
          <w:rFonts w:asciiTheme="majorHAnsi" w:eastAsia="Times New Roman" w:hAnsiTheme="majorHAnsi" w:cstheme="majorHAnsi"/>
          <w:sz w:val="24"/>
          <w:szCs w:val="24"/>
          <w:lang w:val="ro-MD"/>
        </w:rPr>
        <w:t>tat rapoartele financiare ale U</w:t>
      </w:r>
      <w:r w:rsidRPr="00641BC7">
        <w:rPr>
          <w:rFonts w:asciiTheme="majorHAnsi" w:eastAsia="Times New Roman" w:hAnsiTheme="majorHAnsi" w:cstheme="majorHAnsi"/>
          <w:sz w:val="24"/>
          <w:szCs w:val="24"/>
          <w:lang w:val="ro-MD"/>
        </w:rPr>
        <w:t>T</w:t>
      </w:r>
      <w:r w:rsidR="006A7C80" w:rsidRPr="00641BC7">
        <w:rPr>
          <w:rFonts w:asciiTheme="majorHAnsi" w:eastAsia="Times New Roman" w:hAnsiTheme="majorHAnsi" w:cstheme="majorHAnsi"/>
          <w:sz w:val="24"/>
          <w:szCs w:val="24"/>
          <w:lang w:val="ro-MD"/>
        </w:rPr>
        <w:t xml:space="preserve">A </w:t>
      </w:r>
      <w:r w:rsidR="00FF75D2" w:rsidRPr="00641BC7">
        <w:rPr>
          <w:rFonts w:asciiTheme="majorHAnsi" w:eastAsia="Times New Roman" w:hAnsiTheme="majorHAnsi" w:cstheme="majorHAnsi"/>
          <w:sz w:val="24"/>
          <w:szCs w:val="24"/>
          <w:lang w:val="ro-MD"/>
        </w:rPr>
        <w:t>r-nul Nisporeni</w:t>
      </w:r>
      <w:r w:rsidRPr="00641BC7">
        <w:rPr>
          <w:rFonts w:asciiTheme="majorHAnsi" w:eastAsia="Times New Roman" w:hAnsiTheme="majorHAnsi" w:cstheme="majorHAnsi"/>
          <w:sz w:val="24"/>
          <w:szCs w:val="24"/>
          <w:lang w:val="ro-MD"/>
        </w:rPr>
        <w:t xml:space="preserve"> </w:t>
      </w:r>
      <w:r w:rsidR="004476F5" w:rsidRPr="00641BC7">
        <w:rPr>
          <w:rFonts w:asciiTheme="majorHAnsi" w:eastAsia="Times New Roman" w:hAnsiTheme="majorHAnsi" w:cstheme="majorHAnsi"/>
          <w:sz w:val="24"/>
          <w:szCs w:val="24"/>
          <w:lang w:val="ro-MD"/>
        </w:rPr>
        <w:t xml:space="preserve"> (</w:t>
      </w:r>
      <w:r w:rsidR="009E1346" w:rsidRPr="00641BC7">
        <w:rPr>
          <w:rFonts w:asciiTheme="majorHAnsi" w:eastAsia="Times New Roman" w:hAnsiTheme="majorHAnsi" w:cstheme="majorHAnsi"/>
          <w:sz w:val="24"/>
          <w:szCs w:val="24"/>
          <w:lang w:val="ro-MD"/>
        </w:rPr>
        <w:t>UTA/</w:t>
      </w:r>
      <w:r w:rsidR="00D76386" w:rsidRPr="00641BC7">
        <w:rPr>
          <w:rFonts w:asciiTheme="majorHAnsi" w:eastAsia="Times New Roman" w:hAnsiTheme="majorHAnsi" w:cstheme="majorHAnsi"/>
          <w:sz w:val="24"/>
          <w:szCs w:val="24"/>
          <w:lang w:val="ro-MD"/>
        </w:rPr>
        <w:t xml:space="preserve">bugetul de </w:t>
      </w:r>
      <w:r w:rsidR="004476F5" w:rsidRPr="00641BC7">
        <w:rPr>
          <w:rFonts w:asciiTheme="majorHAnsi" w:eastAsia="Times New Roman" w:hAnsiTheme="majorHAnsi" w:cstheme="majorHAnsi"/>
          <w:sz w:val="24"/>
          <w:szCs w:val="24"/>
          <w:lang w:val="ro-MD"/>
        </w:rPr>
        <w:t xml:space="preserve">nivelul II) </w:t>
      </w:r>
      <w:r w:rsidRPr="00641BC7">
        <w:rPr>
          <w:rFonts w:asciiTheme="majorHAnsi" w:eastAsia="Times New Roman" w:hAnsiTheme="majorHAnsi" w:cstheme="majorHAnsi"/>
          <w:sz w:val="24"/>
          <w:szCs w:val="24"/>
          <w:lang w:val="ro-MD"/>
        </w:rPr>
        <w:t>pentru exerciți</w:t>
      </w:r>
      <w:r w:rsidR="006A7C80" w:rsidRPr="00641BC7">
        <w:rPr>
          <w:rFonts w:asciiTheme="majorHAnsi" w:eastAsia="Times New Roman" w:hAnsiTheme="majorHAnsi" w:cstheme="majorHAnsi"/>
          <w:sz w:val="24"/>
          <w:szCs w:val="24"/>
          <w:lang w:val="ro-MD"/>
        </w:rPr>
        <w:t>ul încheiat la 31 decembrie 2020</w:t>
      </w:r>
      <w:r w:rsidRPr="00641BC7">
        <w:rPr>
          <w:rFonts w:asciiTheme="majorHAnsi" w:eastAsia="Times New Roman" w:hAnsiTheme="majorHAnsi" w:cstheme="majorHAnsi"/>
          <w:sz w:val="24"/>
          <w:szCs w:val="24"/>
          <w:lang w:val="ro-MD"/>
        </w:rPr>
        <w:t xml:space="preserve">, ce cuprind Bilanțul contabil, Rapoartele privind veniturile și cheltuielile, Raportul privind fluxul mijloacelor bănești, Raportul privind executarea bugetului și Raportul narativ privind executarea bugetului. În opinia noastră, ținând cont de semnificația aspectelor descrise în secțiunea </w:t>
      </w:r>
      <w:r w:rsidRPr="00641BC7">
        <w:rPr>
          <w:rFonts w:asciiTheme="majorHAnsi" w:eastAsia="Times New Roman" w:hAnsiTheme="majorHAnsi" w:cstheme="majorHAnsi"/>
          <w:i/>
          <w:sz w:val="24"/>
          <w:szCs w:val="24"/>
          <w:lang w:val="ro-MD"/>
        </w:rPr>
        <w:t>Baza pentru opinia contrară</w:t>
      </w:r>
      <w:r w:rsidRPr="00641BC7">
        <w:rPr>
          <w:rFonts w:asciiTheme="majorHAnsi" w:eastAsia="Times New Roman" w:hAnsiTheme="majorHAnsi" w:cstheme="majorHAnsi"/>
          <w:sz w:val="24"/>
          <w:szCs w:val="24"/>
          <w:lang w:val="ro-MD"/>
        </w:rPr>
        <w:t xml:space="preserve">, rapoartele financiare </w:t>
      </w:r>
      <w:r w:rsidRPr="00641BC7">
        <w:rPr>
          <w:rFonts w:asciiTheme="majorHAnsi" w:eastAsia="Times New Roman" w:hAnsiTheme="majorHAnsi" w:cstheme="majorHAnsi"/>
          <w:b/>
          <w:i/>
          <w:sz w:val="24"/>
          <w:szCs w:val="24"/>
          <w:lang w:val="ro-MD"/>
        </w:rPr>
        <w:t>nu prezintă o imagine corectă și fidelă</w:t>
      </w:r>
      <w:r w:rsidRPr="00641BC7">
        <w:rPr>
          <w:rFonts w:asciiTheme="majorHAnsi" w:eastAsia="Times New Roman" w:hAnsiTheme="majorHAnsi" w:cstheme="majorHAnsi"/>
          <w:sz w:val="24"/>
          <w:szCs w:val="24"/>
          <w:lang w:val="ro-MD"/>
        </w:rPr>
        <w:t xml:space="preserve"> în conformitate cu cadrul de raportare financiară aplicabil</w:t>
      </w:r>
      <w:r w:rsidRPr="00641BC7">
        <w:rPr>
          <w:rFonts w:asciiTheme="majorHAnsi" w:eastAsia="Times New Roman" w:hAnsiTheme="majorHAnsi" w:cstheme="majorHAnsi"/>
          <w:sz w:val="24"/>
          <w:szCs w:val="24"/>
          <w:vertAlign w:val="superscript"/>
          <w:lang w:val="ro-MD"/>
        </w:rPr>
        <w:footnoteReference w:id="1"/>
      </w:r>
      <w:r w:rsidRPr="00641BC7">
        <w:rPr>
          <w:rFonts w:asciiTheme="majorHAnsi" w:eastAsia="Times New Roman" w:hAnsiTheme="majorHAnsi" w:cstheme="majorHAnsi"/>
          <w:sz w:val="24"/>
          <w:szCs w:val="24"/>
          <w:lang w:val="ro-MD"/>
        </w:rPr>
        <w:t>.</w:t>
      </w:r>
    </w:p>
    <w:p w14:paraId="4EFFFC8B" w14:textId="77777777" w:rsidR="0072787C" w:rsidRPr="00641BC7" w:rsidRDefault="0072787C" w:rsidP="00EA2FA6">
      <w:pPr>
        <w:tabs>
          <w:tab w:val="left" w:pos="709"/>
        </w:tabs>
        <w:spacing w:after="0" w:line="276" w:lineRule="auto"/>
        <w:jc w:val="both"/>
        <w:rPr>
          <w:rFonts w:asciiTheme="majorHAnsi" w:eastAsia="Times New Roman" w:hAnsiTheme="majorHAnsi" w:cstheme="majorHAnsi"/>
          <w:sz w:val="24"/>
          <w:szCs w:val="24"/>
          <w:lang w:val="ro-MD"/>
        </w:rPr>
      </w:pPr>
    </w:p>
    <w:p w14:paraId="5C798DEA" w14:textId="3CC3038C" w:rsidR="0012718F" w:rsidRPr="00641BC7" w:rsidRDefault="002A7174" w:rsidP="00641BC7">
      <w:pPr>
        <w:keepNext/>
        <w:keepLines/>
        <w:numPr>
          <w:ilvl w:val="0"/>
          <w:numId w:val="1"/>
        </w:numPr>
        <w:tabs>
          <w:tab w:val="left" w:pos="284"/>
        </w:tabs>
        <w:spacing w:after="0" w:line="276" w:lineRule="auto"/>
        <w:ind w:left="0" w:firstLine="0"/>
        <w:jc w:val="both"/>
        <w:outlineLvl w:val="0"/>
        <w:rPr>
          <w:rFonts w:asciiTheme="majorHAnsi" w:eastAsia="Times New Roman" w:hAnsiTheme="majorHAnsi" w:cstheme="majorHAnsi"/>
          <w:b/>
          <w:sz w:val="24"/>
          <w:szCs w:val="24"/>
          <w:lang w:val="ro-MD"/>
        </w:rPr>
      </w:pPr>
      <w:bookmarkStart w:id="2" w:name="_Toc529533666"/>
      <w:r w:rsidRPr="00641BC7">
        <w:rPr>
          <w:rFonts w:asciiTheme="majorHAnsi" w:eastAsia="Times New Roman" w:hAnsiTheme="majorHAnsi" w:cstheme="majorHAnsi"/>
          <w:b/>
          <w:bCs/>
          <w:sz w:val="24"/>
          <w:szCs w:val="24"/>
          <w:lang w:val="ro-MD"/>
        </w:rPr>
        <w:t xml:space="preserve">BAZA PENTRU OPINIA </w:t>
      </w:r>
      <w:bookmarkEnd w:id="2"/>
      <w:r w:rsidRPr="00641BC7">
        <w:rPr>
          <w:rFonts w:asciiTheme="majorHAnsi" w:eastAsia="Times New Roman" w:hAnsiTheme="majorHAnsi" w:cstheme="majorHAnsi"/>
          <w:b/>
          <w:bCs/>
          <w:sz w:val="24"/>
          <w:szCs w:val="24"/>
          <w:lang w:val="ro-MD"/>
        </w:rPr>
        <w:t>CONTRARĂ</w:t>
      </w:r>
    </w:p>
    <w:p w14:paraId="12BFE54A" w14:textId="7233DAD8" w:rsidR="00E0512F" w:rsidRPr="00641BC7" w:rsidRDefault="00E0512F" w:rsidP="00EA2FA6">
      <w:pPr>
        <w:pStyle w:val="ListParagraph"/>
        <w:spacing w:after="0" w:line="276" w:lineRule="auto"/>
        <w:ind w:left="35"/>
        <w:jc w:val="both"/>
        <w:rPr>
          <w:rFonts w:asciiTheme="majorHAnsi" w:hAnsiTheme="majorHAnsi" w:cstheme="majorHAnsi"/>
          <w:sz w:val="24"/>
          <w:szCs w:val="24"/>
          <w:lang w:val="ro-MD"/>
        </w:rPr>
      </w:pPr>
      <w:r w:rsidRPr="00641BC7">
        <w:rPr>
          <w:rFonts w:asciiTheme="majorHAnsi" w:eastAsia="Calibri" w:hAnsiTheme="majorHAnsi" w:cstheme="majorHAnsi"/>
          <w:b/>
          <w:noProof/>
          <w:color w:val="000000" w:themeColor="text1"/>
          <w:sz w:val="24"/>
          <w:szCs w:val="24"/>
          <w:lang w:val="ro-MD"/>
        </w:rPr>
        <w:t>2.</w:t>
      </w:r>
      <w:r w:rsidR="006D7B05" w:rsidRPr="00641BC7">
        <w:rPr>
          <w:rFonts w:asciiTheme="majorHAnsi" w:eastAsia="Calibri" w:hAnsiTheme="majorHAnsi" w:cstheme="majorHAnsi"/>
          <w:b/>
          <w:noProof/>
          <w:color w:val="000000" w:themeColor="text1"/>
          <w:sz w:val="24"/>
          <w:szCs w:val="24"/>
          <w:lang w:val="ro-MD"/>
        </w:rPr>
        <w:t>1</w:t>
      </w:r>
      <w:r w:rsidRPr="00641BC7">
        <w:rPr>
          <w:rFonts w:asciiTheme="majorHAnsi" w:eastAsia="Calibri" w:hAnsiTheme="majorHAnsi" w:cstheme="majorHAnsi"/>
          <w:b/>
          <w:noProof/>
          <w:color w:val="000000" w:themeColor="text1"/>
          <w:sz w:val="24"/>
          <w:szCs w:val="24"/>
          <w:lang w:val="ro-MD"/>
        </w:rPr>
        <w:t xml:space="preserve">. </w:t>
      </w:r>
      <w:r w:rsidR="00673600" w:rsidRPr="00641BC7">
        <w:rPr>
          <w:rFonts w:asciiTheme="majorHAnsi" w:eastAsia="Calibri" w:hAnsiTheme="majorHAnsi" w:cstheme="majorHAnsi"/>
          <w:sz w:val="24"/>
          <w:szCs w:val="24"/>
          <w:lang w:val="ro-MD"/>
        </w:rPr>
        <w:t>Valoarea contului 311 „Clădiri” a fost s</w:t>
      </w:r>
      <w:r w:rsidRPr="00641BC7">
        <w:rPr>
          <w:rFonts w:asciiTheme="majorHAnsi" w:eastAsia="Calibri" w:hAnsiTheme="majorHAnsi" w:cstheme="majorHAnsi"/>
          <w:sz w:val="24"/>
          <w:szCs w:val="24"/>
          <w:lang w:val="ro-MD"/>
        </w:rPr>
        <w:t>upraevalua</w:t>
      </w:r>
      <w:r w:rsidR="00673600" w:rsidRPr="00641BC7">
        <w:rPr>
          <w:rFonts w:asciiTheme="majorHAnsi" w:eastAsia="Calibri" w:hAnsiTheme="majorHAnsi" w:cstheme="majorHAnsi"/>
          <w:sz w:val="24"/>
          <w:szCs w:val="24"/>
          <w:lang w:val="ro-MD"/>
        </w:rPr>
        <w:t>tă</w:t>
      </w:r>
      <w:r w:rsidRPr="00641BC7">
        <w:rPr>
          <w:rFonts w:asciiTheme="majorHAnsi" w:eastAsia="Calibri" w:hAnsiTheme="majorHAnsi" w:cstheme="majorHAnsi"/>
          <w:sz w:val="24"/>
          <w:szCs w:val="24"/>
          <w:lang w:val="ro-MD"/>
        </w:rPr>
        <w:t xml:space="preserve"> cu suma totală de </w:t>
      </w:r>
      <w:r w:rsidRPr="00641BC7">
        <w:rPr>
          <w:rFonts w:asciiTheme="majorHAnsi" w:eastAsia="Calibri" w:hAnsiTheme="majorHAnsi" w:cstheme="majorHAnsi"/>
          <w:b/>
          <w:sz w:val="24"/>
          <w:szCs w:val="24"/>
          <w:lang w:val="ro-MD"/>
        </w:rPr>
        <w:t xml:space="preserve">16 313,7 </w:t>
      </w:r>
      <w:r w:rsidRPr="00641BC7">
        <w:rPr>
          <w:rFonts w:asciiTheme="majorHAnsi" w:hAnsiTheme="majorHAnsi" w:cstheme="majorHAnsi"/>
          <w:b/>
          <w:sz w:val="24"/>
          <w:szCs w:val="24"/>
          <w:lang w:val="ro-MD"/>
        </w:rPr>
        <w:t>mii lei</w:t>
      </w:r>
      <w:r w:rsidRPr="00641BC7">
        <w:rPr>
          <w:rFonts w:asciiTheme="majorHAnsi" w:eastAsia="Calibri" w:hAnsiTheme="majorHAnsi" w:cstheme="majorHAnsi"/>
          <w:sz w:val="24"/>
          <w:szCs w:val="24"/>
          <w:lang w:val="ro-MD"/>
        </w:rPr>
        <w:t xml:space="preserve"> </w:t>
      </w:r>
      <w:r w:rsidR="00673600" w:rsidRPr="00641BC7">
        <w:rPr>
          <w:rFonts w:asciiTheme="majorHAnsi" w:eastAsia="Calibri" w:hAnsiTheme="majorHAnsi" w:cstheme="majorHAnsi"/>
          <w:sz w:val="24"/>
          <w:szCs w:val="24"/>
          <w:lang w:val="ro-MD"/>
        </w:rPr>
        <w:t xml:space="preserve">din cauza interpretării </w:t>
      </w:r>
      <w:r w:rsidRPr="00641BC7">
        <w:rPr>
          <w:rFonts w:asciiTheme="majorHAnsi" w:hAnsiTheme="majorHAnsi" w:cstheme="majorHAnsi"/>
          <w:sz w:val="24"/>
          <w:szCs w:val="24"/>
          <w:lang w:val="ro-MD"/>
        </w:rPr>
        <w:t>eronat</w:t>
      </w:r>
      <w:r w:rsidR="00673600" w:rsidRPr="00641BC7">
        <w:rPr>
          <w:rFonts w:asciiTheme="majorHAnsi" w:hAnsiTheme="majorHAnsi" w:cstheme="majorHAnsi"/>
          <w:sz w:val="24"/>
          <w:szCs w:val="24"/>
          <w:lang w:val="ro-MD"/>
        </w:rPr>
        <w:t>e</w:t>
      </w:r>
      <w:r w:rsidRPr="00641BC7">
        <w:rPr>
          <w:rFonts w:asciiTheme="majorHAnsi" w:hAnsiTheme="majorHAnsi" w:cstheme="majorHAnsi"/>
          <w:sz w:val="24"/>
          <w:szCs w:val="24"/>
          <w:lang w:val="ro-MD"/>
        </w:rPr>
        <w:t xml:space="preserve"> </w:t>
      </w:r>
      <w:r w:rsidR="00673600" w:rsidRPr="00641BC7">
        <w:rPr>
          <w:rFonts w:asciiTheme="majorHAnsi" w:hAnsiTheme="majorHAnsi" w:cstheme="majorHAnsi"/>
          <w:sz w:val="24"/>
          <w:szCs w:val="24"/>
          <w:lang w:val="ro-MD"/>
        </w:rPr>
        <w:t>a prevederilor Ordinului 216/2015</w:t>
      </w:r>
      <w:r w:rsidR="006573BE" w:rsidRPr="00641BC7">
        <w:rPr>
          <w:rFonts w:asciiTheme="majorHAnsi" w:hAnsiTheme="majorHAnsi" w:cstheme="majorHAnsi"/>
          <w:sz w:val="24"/>
          <w:szCs w:val="24"/>
          <w:lang w:val="ro-MD"/>
        </w:rPr>
        <w:t>. Astfel</w:t>
      </w:r>
      <w:r w:rsidR="001D1621" w:rsidRPr="00641BC7">
        <w:rPr>
          <w:rFonts w:asciiTheme="majorHAnsi" w:hAnsiTheme="majorHAnsi" w:cstheme="majorHAnsi"/>
          <w:sz w:val="24"/>
          <w:szCs w:val="24"/>
          <w:lang w:val="ro-MD"/>
        </w:rPr>
        <w:t>,</w:t>
      </w:r>
      <w:r w:rsidR="006573BE" w:rsidRPr="00641BC7">
        <w:rPr>
          <w:rFonts w:asciiTheme="majorHAnsi" w:hAnsiTheme="majorHAnsi" w:cstheme="majorHAnsi"/>
          <w:sz w:val="24"/>
          <w:szCs w:val="24"/>
          <w:lang w:val="ro-MD"/>
        </w:rPr>
        <w:t xml:space="preserve"> a fost </w:t>
      </w:r>
      <w:r w:rsidR="00D36346" w:rsidRPr="00641BC7">
        <w:rPr>
          <w:rFonts w:asciiTheme="majorHAnsi" w:hAnsiTheme="majorHAnsi" w:cstheme="majorHAnsi"/>
          <w:sz w:val="24"/>
          <w:szCs w:val="24"/>
          <w:lang w:val="ro-MD"/>
        </w:rPr>
        <w:t xml:space="preserve">neconform </w:t>
      </w:r>
      <w:r w:rsidR="006573BE" w:rsidRPr="00641BC7">
        <w:rPr>
          <w:rFonts w:asciiTheme="majorHAnsi" w:hAnsiTheme="majorHAnsi" w:cstheme="majorHAnsi"/>
          <w:sz w:val="24"/>
          <w:szCs w:val="24"/>
          <w:lang w:val="ro-MD"/>
        </w:rPr>
        <w:t>contabilizată</w:t>
      </w:r>
      <w:r w:rsidRPr="00641BC7">
        <w:rPr>
          <w:rFonts w:asciiTheme="majorHAnsi" w:hAnsiTheme="majorHAnsi" w:cstheme="majorHAnsi"/>
          <w:sz w:val="24"/>
          <w:szCs w:val="24"/>
          <w:lang w:val="ro-MD"/>
        </w:rPr>
        <w:t xml:space="preserve"> valo</w:t>
      </w:r>
      <w:r w:rsidR="006573BE" w:rsidRPr="00641BC7">
        <w:rPr>
          <w:rFonts w:asciiTheme="majorHAnsi" w:hAnsiTheme="majorHAnsi" w:cstheme="majorHAnsi"/>
          <w:sz w:val="24"/>
          <w:szCs w:val="24"/>
          <w:lang w:val="ro-MD"/>
        </w:rPr>
        <w:t xml:space="preserve">area </w:t>
      </w:r>
      <w:r w:rsidRPr="00641BC7">
        <w:rPr>
          <w:rFonts w:asciiTheme="majorHAnsi" w:hAnsiTheme="majorHAnsi" w:cstheme="majorHAnsi"/>
          <w:sz w:val="24"/>
          <w:szCs w:val="24"/>
          <w:lang w:val="ro-MD"/>
        </w:rPr>
        <w:t xml:space="preserve">blocului </w:t>
      </w:r>
      <w:r w:rsidR="001A162C" w:rsidRPr="00641BC7">
        <w:rPr>
          <w:rFonts w:asciiTheme="majorHAnsi" w:hAnsiTheme="majorHAnsi" w:cstheme="majorHAnsi"/>
          <w:sz w:val="24"/>
          <w:szCs w:val="24"/>
          <w:lang w:val="ro-MD"/>
        </w:rPr>
        <w:t xml:space="preserve">de </w:t>
      </w:r>
      <w:r w:rsidRPr="00641BC7">
        <w:rPr>
          <w:rFonts w:asciiTheme="majorHAnsi" w:hAnsiTheme="majorHAnsi" w:cstheme="majorHAnsi"/>
          <w:sz w:val="24"/>
          <w:szCs w:val="24"/>
          <w:lang w:val="ro-MD"/>
        </w:rPr>
        <w:t>loc</w:t>
      </w:r>
      <w:r w:rsidR="001A162C" w:rsidRPr="00641BC7">
        <w:rPr>
          <w:rFonts w:asciiTheme="majorHAnsi" w:hAnsiTheme="majorHAnsi" w:cstheme="majorHAnsi"/>
          <w:sz w:val="24"/>
          <w:szCs w:val="24"/>
          <w:lang w:val="ro-MD"/>
        </w:rPr>
        <w:t>uințe,</w:t>
      </w:r>
      <w:r w:rsidRPr="00641BC7">
        <w:rPr>
          <w:rFonts w:asciiTheme="majorHAnsi" w:hAnsiTheme="majorHAnsi" w:cstheme="majorHAnsi"/>
          <w:sz w:val="24"/>
          <w:szCs w:val="24"/>
          <w:lang w:val="ro-MD"/>
        </w:rPr>
        <w:t xml:space="preserve"> </w:t>
      </w:r>
      <w:r w:rsidR="006573BE" w:rsidRPr="00641BC7">
        <w:rPr>
          <w:rFonts w:asciiTheme="majorHAnsi" w:hAnsiTheme="majorHAnsi" w:cstheme="majorHAnsi"/>
          <w:sz w:val="24"/>
          <w:szCs w:val="24"/>
          <w:lang w:val="ro-MD"/>
        </w:rPr>
        <w:t xml:space="preserve">proprietate </w:t>
      </w:r>
      <w:r w:rsidRPr="00641BC7">
        <w:rPr>
          <w:rFonts w:asciiTheme="majorHAnsi" w:hAnsiTheme="majorHAnsi" w:cstheme="majorHAnsi"/>
          <w:sz w:val="24"/>
          <w:szCs w:val="24"/>
          <w:lang w:val="ro-MD"/>
        </w:rPr>
        <w:t>a Partenerului Privat</w:t>
      </w:r>
      <w:r w:rsidR="001A162C" w:rsidRPr="00641BC7">
        <w:rPr>
          <w:rFonts w:asciiTheme="majorHAnsi" w:hAnsiTheme="majorHAnsi" w:cstheme="majorHAnsi"/>
          <w:sz w:val="24"/>
          <w:szCs w:val="24"/>
          <w:lang w:val="ro-MD"/>
        </w:rPr>
        <w:t>,</w:t>
      </w:r>
      <w:r w:rsidRPr="00641BC7">
        <w:rPr>
          <w:rFonts w:asciiTheme="majorHAnsi" w:hAnsiTheme="majorHAnsi" w:cstheme="majorHAnsi"/>
          <w:sz w:val="24"/>
          <w:szCs w:val="24"/>
          <w:lang w:val="ro-MD"/>
        </w:rPr>
        <w:t xml:space="preserve"> </w:t>
      </w:r>
      <w:r w:rsidR="006573BE" w:rsidRPr="00641BC7">
        <w:rPr>
          <w:rFonts w:asciiTheme="majorHAnsi" w:hAnsiTheme="majorHAnsi" w:cstheme="majorHAnsi"/>
          <w:sz w:val="24"/>
          <w:szCs w:val="24"/>
          <w:lang w:val="ro-MD"/>
        </w:rPr>
        <w:t>în sumă</w:t>
      </w:r>
      <w:r w:rsidRPr="00641BC7">
        <w:rPr>
          <w:rFonts w:asciiTheme="majorHAnsi" w:hAnsiTheme="majorHAnsi" w:cstheme="majorHAnsi"/>
          <w:sz w:val="24"/>
          <w:szCs w:val="24"/>
          <w:lang w:val="ro-MD"/>
        </w:rPr>
        <w:t xml:space="preserve"> </w:t>
      </w:r>
      <w:r w:rsidRPr="00641BC7">
        <w:rPr>
          <w:rFonts w:asciiTheme="majorHAnsi" w:eastAsia="Times New Roman" w:hAnsiTheme="majorHAnsi" w:cstheme="majorHAnsi"/>
          <w:sz w:val="24"/>
          <w:szCs w:val="24"/>
          <w:lang w:val="ro-MD"/>
        </w:rPr>
        <w:t xml:space="preserve">de </w:t>
      </w:r>
      <w:r w:rsidRPr="00641BC7">
        <w:rPr>
          <w:rFonts w:asciiTheme="majorHAnsi" w:eastAsia="Times New Roman" w:hAnsiTheme="majorHAnsi" w:cstheme="majorHAnsi"/>
          <w:b/>
          <w:sz w:val="24"/>
          <w:szCs w:val="24"/>
          <w:lang w:val="ro-MD"/>
        </w:rPr>
        <w:t>12 644,6 mii lei</w:t>
      </w:r>
      <w:r w:rsidR="006573BE" w:rsidRPr="00641BC7">
        <w:rPr>
          <w:rFonts w:asciiTheme="majorHAnsi" w:eastAsia="Times New Roman" w:hAnsiTheme="majorHAnsi" w:cstheme="majorHAnsi"/>
          <w:b/>
          <w:sz w:val="24"/>
          <w:szCs w:val="24"/>
          <w:lang w:val="ro-MD"/>
        </w:rPr>
        <w:t xml:space="preserve">, </w:t>
      </w:r>
      <w:r w:rsidRPr="00641BC7">
        <w:rPr>
          <w:rFonts w:asciiTheme="majorHAnsi" w:eastAsia="Times New Roman" w:hAnsiTheme="majorHAnsi" w:cstheme="majorHAnsi"/>
          <w:sz w:val="24"/>
          <w:szCs w:val="24"/>
          <w:lang w:val="ro-MD"/>
        </w:rPr>
        <w:t>terenului aferent</w:t>
      </w:r>
      <w:r w:rsidRPr="00641BC7">
        <w:rPr>
          <w:rFonts w:asciiTheme="majorHAnsi" w:eastAsia="Times New Roman" w:hAnsiTheme="majorHAnsi" w:cstheme="majorHAnsi"/>
          <w:b/>
          <w:sz w:val="24"/>
          <w:szCs w:val="24"/>
          <w:lang w:val="ro-MD"/>
        </w:rPr>
        <w:t xml:space="preserve"> </w:t>
      </w:r>
      <w:r w:rsidR="006573BE" w:rsidRPr="00641BC7">
        <w:rPr>
          <w:rFonts w:asciiTheme="majorHAnsi" w:eastAsia="Times New Roman" w:hAnsiTheme="majorHAnsi" w:cstheme="majorHAnsi"/>
          <w:sz w:val="24"/>
          <w:szCs w:val="24"/>
          <w:lang w:val="ro-MD"/>
        </w:rPr>
        <w:t xml:space="preserve">blocurilor </w:t>
      </w:r>
      <w:r w:rsidR="001A162C" w:rsidRPr="00641BC7">
        <w:rPr>
          <w:rFonts w:asciiTheme="majorHAnsi" w:eastAsia="Times New Roman" w:hAnsiTheme="majorHAnsi" w:cstheme="majorHAnsi"/>
          <w:sz w:val="24"/>
          <w:szCs w:val="24"/>
          <w:lang w:val="ro-MD"/>
        </w:rPr>
        <w:t xml:space="preserve">de </w:t>
      </w:r>
      <w:r w:rsidR="006573BE" w:rsidRPr="00641BC7">
        <w:rPr>
          <w:rFonts w:asciiTheme="majorHAnsi" w:eastAsia="Times New Roman" w:hAnsiTheme="majorHAnsi" w:cstheme="majorHAnsi"/>
          <w:sz w:val="24"/>
          <w:szCs w:val="24"/>
          <w:lang w:val="ro-MD"/>
        </w:rPr>
        <w:t>loc</w:t>
      </w:r>
      <w:r w:rsidR="001A162C" w:rsidRPr="00641BC7">
        <w:rPr>
          <w:rFonts w:asciiTheme="majorHAnsi" w:eastAsia="Times New Roman" w:hAnsiTheme="majorHAnsi" w:cstheme="majorHAnsi"/>
          <w:sz w:val="24"/>
          <w:szCs w:val="24"/>
          <w:lang w:val="ro-MD"/>
        </w:rPr>
        <w:t>uințe</w:t>
      </w:r>
      <w:r w:rsidR="006573BE" w:rsidRPr="00641BC7">
        <w:rPr>
          <w:rFonts w:asciiTheme="majorHAnsi" w:eastAsia="Times New Roman" w:hAnsiTheme="majorHAnsi" w:cstheme="majorHAnsi"/>
          <w:sz w:val="24"/>
          <w:szCs w:val="24"/>
          <w:lang w:val="ro-MD"/>
        </w:rPr>
        <w:t xml:space="preserve"> în sumă</w:t>
      </w:r>
      <w:r w:rsidR="006573BE" w:rsidRPr="00641BC7">
        <w:rPr>
          <w:rFonts w:asciiTheme="majorHAnsi" w:eastAsia="Times New Roman" w:hAnsiTheme="majorHAnsi" w:cstheme="majorHAnsi"/>
          <w:b/>
          <w:sz w:val="24"/>
          <w:szCs w:val="24"/>
          <w:lang w:val="ro-MD"/>
        </w:rPr>
        <w:t xml:space="preserve"> </w:t>
      </w:r>
      <w:r w:rsidRPr="00641BC7">
        <w:rPr>
          <w:rFonts w:asciiTheme="majorHAnsi" w:eastAsia="Times New Roman" w:hAnsiTheme="majorHAnsi" w:cstheme="majorHAnsi"/>
          <w:b/>
          <w:sz w:val="24"/>
          <w:szCs w:val="24"/>
          <w:lang w:val="ro-MD"/>
        </w:rPr>
        <w:t xml:space="preserve">de </w:t>
      </w:r>
      <w:r w:rsidRPr="00641BC7">
        <w:rPr>
          <w:rFonts w:asciiTheme="majorHAnsi" w:hAnsiTheme="majorHAnsi" w:cstheme="majorHAnsi"/>
          <w:b/>
          <w:sz w:val="24"/>
          <w:szCs w:val="24"/>
          <w:lang w:val="ro-MD"/>
        </w:rPr>
        <w:t>2 499,1 mii lei</w:t>
      </w:r>
      <w:r w:rsidRPr="00641BC7">
        <w:rPr>
          <w:rFonts w:asciiTheme="majorHAnsi" w:eastAsia="Times New Roman" w:hAnsiTheme="majorHAnsi" w:cstheme="majorHAnsi"/>
          <w:b/>
          <w:sz w:val="24"/>
          <w:szCs w:val="24"/>
          <w:lang w:val="ro-MD"/>
        </w:rPr>
        <w:t xml:space="preserve">, </w:t>
      </w:r>
      <w:r w:rsidRPr="00641BC7">
        <w:rPr>
          <w:rFonts w:asciiTheme="majorHAnsi" w:hAnsiTheme="majorHAnsi" w:cstheme="majorHAnsi"/>
          <w:sz w:val="24"/>
          <w:szCs w:val="24"/>
          <w:lang w:val="ro-MD"/>
        </w:rPr>
        <w:t xml:space="preserve">clădirii </w:t>
      </w:r>
      <w:r w:rsidR="005A2638" w:rsidRPr="00641BC7">
        <w:rPr>
          <w:rFonts w:asciiTheme="majorHAnsi" w:hAnsiTheme="majorHAnsi" w:cstheme="majorHAnsi"/>
          <w:sz w:val="24"/>
          <w:szCs w:val="24"/>
          <w:lang w:val="ro-MD"/>
        </w:rPr>
        <w:t>primit</w:t>
      </w:r>
      <w:r w:rsidR="001A162C" w:rsidRPr="00641BC7">
        <w:rPr>
          <w:rFonts w:asciiTheme="majorHAnsi" w:hAnsiTheme="majorHAnsi" w:cstheme="majorHAnsi"/>
          <w:sz w:val="24"/>
          <w:szCs w:val="24"/>
          <w:lang w:val="ro-MD"/>
        </w:rPr>
        <w:t>e</w:t>
      </w:r>
      <w:r w:rsidR="005A2638" w:rsidRPr="00641BC7">
        <w:rPr>
          <w:rFonts w:asciiTheme="majorHAnsi" w:hAnsiTheme="majorHAnsi" w:cstheme="majorHAnsi"/>
          <w:sz w:val="24"/>
          <w:szCs w:val="24"/>
          <w:lang w:val="ro-MD"/>
        </w:rPr>
        <w:t xml:space="preserve"> în comodat </w:t>
      </w:r>
      <w:r w:rsidRPr="00641BC7">
        <w:rPr>
          <w:rFonts w:asciiTheme="majorHAnsi" w:hAnsiTheme="majorHAnsi" w:cstheme="majorHAnsi"/>
          <w:sz w:val="24"/>
          <w:szCs w:val="24"/>
          <w:lang w:val="ro-MD"/>
        </w:rPr>
        <w:t>și lucrăril</w:t>
      </w:r>
      <w:r w:rsidR="001A162C" w:rsidRPr="00641BC7">
        <w:rPr>
          <w:rFonts w:asciiTheme="majorHAnsi" w:hAnsiTheme="majorHAnsi" w:cstheme="majorHAnsi"/>
          <w:sz w:val="24"/>
          <w:szCs w:val="24"/>
          <w:lang w:val="ro-MD"/>
        </w:rPr>
        <w:t>or</w:t>
      </w:r>
      <w:r w:rsidRPr="00641BC7">
        <w:rPr>
          <w:rFonts w:asciiTheme="majorHAnsi" w:hAnsiTheme="majorHAnsi" w:cstheme="majorHAnsi"/>
          <w:sz w:val="24"/>
          <w:szCs w:val="24"/>
          <w:lang w:val="ro-MD"/>
        </w:rPr>
        <w:t xml:space="preserve"> de reparați</w:t>
      </w:r>
      <w:r w:rsidR="005A2638" w:rsidRPr="00641BC7">
        <w:rPr>
          <w:rFonts w:asciiTheme="majorHAnsi" w:hAnsiTheme="majorHAnsi" w:cstheme="majorHAnsi"/>
          <w:sz w:val="24"/>
          <w:szCs w:val="24"/>
          <w:lang w:val="ro-MD"/>
        </w:rPr>
        <w:t>e</w:t>
      </w:r>
      <w:r w:rsidRPr="00641BC7">
        <w:rPr>
          <w:rFonts w:asciiTheme="majorHAnsi" w:hAnsiTheme="majorHAnsi" w:cstheme="majorHAnsi"/>
          <w:sz w:val="24"/>
          <w:szCs w:val="24"/>
          <w:lang w:val="ro-MD"/>
        </w:rPr>
        <w:t xml:space="preserve"> capital</w:t>
      </w:r>
      <w:r w:rsidR="005A2638" w:rsidRPr="00641BC7">
        <w:rPr>
          <w:rFonts w:asciiTheme="majorHAnsi" w:hAnsiTheme="majorHAnsi" w:cstheme="majorHAnsi"/>
          <w:sz w:val="24"/>
          <w:szCs w:val="24"/>
          <w:lang w:val="ro-MD"/>
        </w:rPr>
        <w:t>ă a acesteia</w:t>
      </w:r>
      <w:r w:rsidRPr="00641BC7">
        <w:rPr>
          <w:rFonts w:asciiTheme="majorHAnsi" w:hAnsiTheme="majorHAnsi" w:cstheme="majorHAnsi"/>
          <w:sz w:val="24"/>
          <w:szCs w:val="24"/>
          <w:lang w:val="ro-MD"/>
        </w:rPr>
        <w:t xml:space="preserve"> în sumă totală de </w:t>
      </w:r>
      <w:r w:rsidRPr="00641BC7">
        <w:rPr>
          <w:rFonts w:asciiTheme="majorHAnsi" w:hAnsiTheme="majorHAnsi" w:cstheme="majorHAnsi"/>
          <w:b/>
          <w:sz w:val="24"/>
          <w:szCs w:val="24"/>
          <w:lang w:val="ro-MD"/>
        </w:rPr>
        <w:t>1 170,0 mii lei</w:t>
      </w:r>
      <w:r w:rsidRPr="00641BC7">
        <w:rPr>
          <w:rStyle w:val="FootnoteReference"/>
          <w:rFonts w:asciiTheme="majorHAnsi" w:eastAsia="Times New Roman" w:hAnsiTheme="majorHAnsi" w:cstheme="majorHAnsi"/>
          <w:sz w:val="24"/>
          <w:szCs w:val="24"/>
          <w:lang w:val="ro-MD"/>
        </w:rPr>
        <w:footnoteReference w:id="2"/>
      </w:r>
      <w:r w:rsidRPr="00641BC7">
        <w:rPr>
          <w:rFonts w:asciiTheme="majorHAnsi" w:hAnsiTheme="majorHAnsi" w:cstheme="majorHAnsi"/>
          <w:sz w:val="24"/>
          <w:szCs w:val="24"/>
          <w:lang w:val="ro-MD"/>
        </w:rPr>
        <w:t>.</w:t>
      </w:r>
    </w:p>
    <w:p w14:paraId="3ADB7D89" w14:textId="4A5F831C" w:rsidR="00586623" w:rsidRPr="00641BC7" w:rsidRDefault="00586623" w:rsidP="00EA2FA6">
      <w:pPr>
        <w:pStyle w:val="ListParagraph"/>
        <w:spacing w:after="0" w:line="276" w:lineRule="auto"/>
        <w:ind w:left="35"/>
        <w:jc w:val="both"/>
        <w:rPr>
          <w:rFonts w:asciiTheme="majorHAnsi" w:eastAsia="Times New Roman" w:hAnsiTheme="majorHAnsi" w:cstheme="majorHAnsi"/>
          <w:sz w:val="24"/>
          <w:szCs w:val="24"/>
          <w:lang w:val="ro-MD"/>
        </w:rPr>
      </w:pPr>
      <w:r w:rsidRPr="00641BC7">
        <w:rPr>
          <w:rFonts w:asciiTheme="majorHAnsi" w:eastAsia="Calibri" w:hAnsiTheme="majorHAnsi" w:cstheme="majorHAnsi"/>
          <w:b/>
          <w:noProof/>
          <w:color w:val="000000" w:themeColor="text1"/>
          <w:sz w:val="24"/>
          <w:szCs w:val="24"/>
          <w:lang w:val="ro-MD"/>
        </w:rPr>
        <w:t>2.</w:t>
      </w:r>
      <w:r w:rsidR="006D7B05" w:rsidRPr="00641BC7">
        <w:rPr>
          <w:rFonts w:asciiTheme="majorHAnsi" w:eastAsia="Calibri" w:hAnsiTheme="majorHAnsi" w:cstheme="majorHAnsi"/>
          <w:b/>
          <w:noProof/>
          <w:color w:val="000000" w:themeColor="text1"/>
          <w:sz w:val="24"/>
          <w:szCs w:val="24"/>
          <w:lang w:val="ro-MD"/>
        </w:rPr>
        <w:t>2</w:t>
      </w:r>
      <w:r w:rsidRPr="00641BC7">
        <w:rPr>
          <w:rFonts w:asciiTheme="majorHAnsi" w:eastAsia="Calibri" w:hAnsiTheme="majorHAnsi" w:cstheme="majorHAnsi"/>
          <w:b/>
          <w:noProof/>
          <w:color w:val="000000" w:themeColor="text1"/>
          <w:sz w:val="24"/>
          <w:szCs w:val="24"/>
          <w:lang w:val="ro-MD"/>
        </w:rPr>
        <w:t xml:space="preserve">. </w:t>
      </w:r>
      <w:r w:rsidR="005F2769" w:rsidRPr="00641BC7">
        <w:rPr>
          <w:rFonts w:asciiTheme="majorHAnsi" w:eastAsia="Calibri" w:hAnsiTheme="majorHAnsi" w:cstheme="majorHAnsi"/>
          <w:noProof/>
          <w:color w:val="000000" w:themeColor="text1"/>
          <w:sz w:val="24"/>
          <w:szCs w:val="24"/>
          <w:lang w:val="ro-MD"/>
        </w:rPr>
        <w:t>V</w:t>
      </w:r>
      <w:r w:rsidRPr="00641BC7">
        <w:rPr>
          <w:rFonts w:asciiTheme="majorHAnsi" w:eastAsia="Calibri" w:hAnsiTheme="majorHAnsi" w:cstheme="majorHAnsi"/>
          <w:sz w:val="24"/>
          <w:szCs w:val="24"/>
          <w:lang w:val="ro-MD"/>
        </w:rPr>
        <w:t>alo</w:t>
      </w:r>
      <w:r w:rsidR="005F2769" w:rsidRPr="00641BC7">
        <w:rPr>
          <w:rFonts w:asciiTheme="majorHAnsi" w:eastAsia="Calibri" w:hAnsiTheme="majorHAnsi" w:cstheme="majorHAnsi"/>
          <w:sz w:val="24"/>
          <w:szCs w:val="24"/>
          <w:lang w:val="ro-MD"/>
        </w:rPr>
        <w:t>area</w:t>
      </w:r>
      <w:r w:rsidRPr="00641BC7">
        <w:rPr>
          <w:rFonts w:asciiTheme="majorHAnsi" w:eastAsia="Calibri" w:hAnsiTheme="majorHAnsi" w:cstheme="majorHAnsi"/>
          <w:sz w:val="24"/>
          <w:szCs w:val="24"/>
          <w:lang w:val="ro-MD"/>
        </w:rPr>
        <w:t xml:space="preserve"> contului </w:t>
      </w:r>
      <w:r w:rsidRPr="00641BC7">
        <w:rPr>
          <w:rFonts w:asciiTheme="majorHAnsi" w:hAnsiTheme="majorHAnsi" w:cstheme="majorHAnsi"/>
          <w:sz w:val="24"/>
          <w:szCs w:val="24"/>
          <w:lang w:val="ro-MD"/>
        </w:rPr>
        <w:t xml:space="preserve">313 „Instalații de transmisie” </w:t>
      </w:r>
      <w:r w:rsidR="005F2769" w:rsidRPr="00641BC7">
        <w:rPr>
          <w:rFonts w:asciiTheme="majorHAnsi" w:hAnsiTheme="majorHAnsi" w:cstheme="majorHAnsi"/>
          <w:sz w:val="24"/>
          <w:szCs w:val="24"/>
          <w:lang w:val="ro-MD"/>
        </w:rPr>
        <w:t>a fost s</w:t>
      </w:r>
      <w:r w:rsidR="005F2769" w:rsidRPr="00641BC7">
        <w:rPr>
          <w:rFonts w:asciiTheme="majorHAnsi" w:eastAsia="Calibri" w:hAnsiTheme="majorHAnsi" w:cstheme="majorHAnsi"/>
          <w:sz w:val="24"/>
          <w:szCs w:val="24"/>
          <w:lang w:val="ro-MD"/>
        </w:rPr>
        <w:t>ubevaluat</w:t>
      </w:r>
      <w:r w:rsidR="001A162C" w:rsidRPr="00641BC7">
        <w:rPr>
          <w:rFonts w:asciiTheme="majorHAnsi" w:eastAsia="Calibri" w:hAnsiTheme="majorHAnsi" w:cstheme="majorHAnsi"/>
          <w:sz w:val="24"/>
          <w:szCs w:val="24"/>
          <w:lang w:val="ro-MD"/>
        </w:rPr>
        <w:t>ă</w:t>
      </w:r>
      <w:r w:rsidR="005F2769" w:rsidRPr="00641BC7">
        <w:rPr>
          <w:rFonts w:asciiTheme="majorHAnsi" w:eastAsia="Calibri" w:hAnsiTheme="majorHAnsi" w:cstheme="majorHAnsi"/>
          <w:sz w:val="24"/>
          <w:szCs w:val="24"/>
          <w:lang w:val="ro-MD"/>
        </w:rPr>
        <w:t xml:space="preserve"> </w:t>
      </w:r>
      <w:r w:rsidRPr="00641BC7">
        <w:rPr>
          <w:rFonts w:asciiTheme="majorHAnsi" w:eastAsia="Calibri" w:hAnsiTheme="majorHAnsi" w:cstheme="majorHAnsi"/>
          <w:sz w:val="24"/>
          <w:szCs w:val="24"/>
          <w:lang w:val="ro-MD"/>
        </w:rPr>
        <w:t xml:space="preserve">cu suma totală de </w:t>
      </w:r>
      <w:r w:rsidRPr="00641BC7">
        <w:rPr>
          <w:rFonts w:asciiTheme="majorHAnsi" w:eastAsia="Calibri" w:hAnsiTheme="majorHAnsi" w:cstheme="majorHAnsi"/>
          <w:b/>
          <w:sz w:val="24"/>
          <w:szCs w:val="24"/>
          <w:lang w:val="ro-MD"/>
        </w:rPr>
        <w:t xml:space="preserve">4 </w:t>
      </w:r>
      <w:r w:rsidR="002F68D7" w:rsidRPr="00641BC7">
        <w:rPr>
          <w:rFonts w:asciiTheme="majorHAnsi" w:eastAsia="Calibri" w:hAnsiTheme="majorHAnsi" w:cstheme="majorHAnsi"/>
          <w:b/>
          <w:sz w:val="24"/>
          <w:szCs w:val="24"/>
          <w:lang w:val="ro-MD"/>
        </w:rPr>
        <w:t>703,7</w:t>
      </w:r>
      <w:r w:rsidRPr="00641BC7">
        <w:rPr>
          <w:rFonts w:asciiTheme="majorHAnsi" w:eastAsia="Calibri" w:hAnsiTheme="majorHAnsi" w:cstheme="majorHAnsi"/>
          <w:b/>
          <w:sz w:val="24"/>
          <w:szCs w:val="24"/>
          <w:lang w:val="ro-MD"/>
        </w:rPr>
        <w:t xml:space="preserve"> </w:t>
      </w:r>
      <w:r w:rsidRPr="00641BC7">
        <w:rPr>
          <w:rFonts w:asciiTheme="majorHAnsi" w:hAnsiTheme="majorHAnsi" w:cstheme="majorHAnsi"/>
          <w:b/>
          <w:sz w:val="24"/>
          <w:szCs w:val="24"/>
          <w:lang w:val="ro-MD"/>
        </w:rPr>
        <w:t>mii lei</w:t>
      </w:r>
      <w:r w:rsidRPr="00641BC7">
        <w:rPr>
          <w:rFonts w:asciiTheme="majorHAnsi" w:eastAsia="Calibri" w:hAnsiTheme="majorHAnsi" w:cstheme="majorHAnsi"/>
          <w:sz w:val="24"/>
          <w:szCs w:val="24"/>
          <w:lang w:val="ro-MD"/>
        </w:rPr>
        <w:t xml:space="preserve"> </w:t>
      </w:r>
      <w:r w:rsidR="004F429F" w:rsidRPr="00641BC7">
        <w:rPr>
          <w:rFonts w:asciiTheme="majorHAnsi" w:eastAsia="Calibri" w:hAnsiTheme="majorHAnsi" w:cstheme="majorHAnsi"/>
          <w:sz w:val="24"/>
          <w:szCs w:val="24"/>
          <w:lang w:val="ro-MD"/>
        </w:rPr>
        <w:t>ca urmare a</w:t>
      </w:r>
      <w:r w:rsidRPr="00641BC7">
        <w:rPr>
          <w:rFonts w:asciiTheme="majorHAnsi" w:eastAsia="Calibri" w:hAnsiTheme="majorHAnsi" w:cstheme="majorHAnsi"/>
          <w:sz w:val="24"/>
          <w:szCs w:val="24"/>
          <w:lang w:val="ro-MD"/>
        </w:rPr>
        <w:t xml:space="preserve"> </w:t>
      </w:r>
      <w:r w:rsidRPr="00641BC7">
        <w:rPr>
          <w:rFonts w:asciiTheme="majorHAnsi" w:hAnsiTheme="majorHAnsi" w:cstheme="majorHAnsi"/>
          <w:sz w:val="24"/>
          <w:szCs w:val="24"/>
          <w:lang w:val="ro-MD"/>
        </w:rPr>
        <w:t>raport</w:t>
      </w:r>
      <w:r w:rsidR="004F429F" w:rsidRPr="00641BC7">
        <w:rPr>
          <w:rFonts w:asciiTheme="majorHAnsi" w:hAnsiTheme="majorHAnsi" w:cstheme="majorHAnsi"/>
          <w:sz w:val="24"/>
          <w:szCs w:val="24"/>
          <w:lang w:val="ro-MD"/>
        </w:rPr>
        <w:t>ării</w:t>
      </w:r>
      <w:r w:rsidRPr="00641BC7">
        <w:rPr>
          <w:rFonts w:asciiTheme="majorHAnsi" w:hAnsiTheme="majorHAnsi" w:cstheme="majorHAnsi"/>
          <w:sz w:val="24"/>
          <w:szCs w:val="24"/>
          <w:lang w:val="ro-MD"/>
        </w:rPr>
        <w:t xml:space="preserve"> </w:t>
      </w:r>
      <w:r w:rsidR="005A2638" w:rsidRPr="00641BC7">
        <w:rPr>
          <w:rFonts w:asciiTheme="majorHAnsi" w:hAnsiTheme="majorHAnsi" w:cstheme="majorHAnsi"/>
          <w:sz w:val="24"/>
          <w:szCs w:val="24"/>
          <w:lang w:val="ro-MD"/>
        </w:rPr>
        <w:t xml:space="preserve">parțiale </w:t>
      </w:r>
      <w:r w:rsidRPr="00641BC7">
        <w:rPr>
          <w:rFonts w:asciiTheme="majorHAnsi" w:hAnsiTheme="majorHAnsi" w:cstheme="majorHAnsi"/>
          <w:sz w:val="24"/>
          <w:szCs w:val="24"/>
          <w:lang w:val="ro-MD"/>
        </w:rPr>
        <w:t>a valorii gazoductului de presiune înaltă Șendreni</w:t>
      </w:r>
      <w:r w:rsidR="001A162C" w:rsidRPr="00641BC7">
        <w:rPr>
          <w:rFonts w:asciiTheme="majorHAnsi" w:hAnsiTheme="majorHAnsi" w:cstheme="majorHAnsi"/>
          <w:sz w:val="24"/>
          <w:szCs w:val="24"/>
          <w:lang w:val="ro-MD"/>
        </w:rPr>
        <w:t xml:space="preserve"> </w:t>
      </w:r>
      <w:r w:rsidRPr="00641BC7">
        <w:rPr>
          <w:rFonts w:asciiTheme="majorHAnsi" w:hAnsiTheme="majorHAnsi" w:cstheme="majorHAnsi"/>
          <w:sz w:val="24"/>
          <w:szCs w:val="24"/>
          <w:lang w:val="ro-MD"/>
        </w:rPr>
        <w:t>-</w:t>
      </w:r>
      <w:r w:rsidR="001A162C" w:rsidRPr="00641BC7">
        <w:rPr>
          <w:rFonts w:asciiTheme="majorHAnsi" w:hAnsiTheme="majorHAnsi" w:cstheme="majorHAnsi"/>
          <w:sz w:val="24"/>
          <w:szCs w:val="24"/>
          <w:lang w:val="ro-MD"/>
        </w:rPr>
        <w:t xml:space="preserve"> </w:t>
      </w:r>
      <w:r w:rsidRPr="00641BC7">
        <w:rPr>
          <w:rFonts w:asciiTheme="majorHAnsi" w:hAnsiTheme="majorHAnsi" w:cstheme="majorHAnsi"/>
          <w:sz w:val="24"/>
          <w:szCs w:val="24"/>
          <w:lang w:val="ro-MD"/>
        </w:rPr>
        <w:t xml:space="preserve">Bolțun, cu ramificare </w:t>
      </w:r>
      <w:r w:rsidR="00D36346" w:rsidRPr="00641BC7">
        <w:rPr>
          <w:rFonts w:asciiTheme="majorHAnsi" w:hAnsiTheme="majorHAnsi" w:cstheme="majorHAnsi"/>
          <w:sz w:val="24"/>
          <w:szCs w:val="24"/>
          <w:lang w:val="ro-MD"/>
        </w:rPr>
        <w:t>di</w:t>
      </w:r>
      <w:r w:rsidRPr="00641BC7">
        <w:rPr>
          <w:rFonts w:asciiTheme="majorHAnsi" w:hAnsiTheme="majorHAnsi" w:cstheme="majorHAnsi"/>
          <w:sz w:val="24"/>
          <w:szCs w:val="24"/>
          <w:lang w:val="ro-MD"/>
        </w:rPr>
        <w:t>n s.</w:t>
      </w:r>
      <w:r w:rsidR="001A162C" w:rsidRPr="00641BC7">
        <w:rPr>
          <w:rFonts w:asciiTheme="majorHAnsi" w:hAnsiTheme="majorHAnsi" w:cstheme="majorHAnsi"/>
          <w:sz w:val="24"/>
          <w:szCs w:val="24"/>
          <w:lang w:val="ro-MD"/>
        </w:rPr>
        <w:t xml:space="preserve"> </w:t>
      </w:r>
      <w:r w:rsidRPr="00641BC7">
        <w:rPr>
          <w:rFonts w:asciiTheme="majorHAnsi" w:hAnsiTheme="majorHAnsi" w:cstheme="majorHAnsi"/>
          <w:sz w:val="24"/>
          <w:szCs w:val="24"/>
          <w:lang w:val="ro-MD"/>
        </w:rPr>
        <w:t>Bursuc spre satele Micleușeni și Dolna, r</w:t>
      </w:r>
      <w:r w:rsidR="001A162C" w:rsidRPr="00641BC7">
        <w:rPr>
          <w:rFonts w:asciiTheme="majorHAnsi" w:hAnsiTheme="majorHAnsi" w:cstheme="majorHAnsi"/>
          <w:sz w:val="24"/>
          <w:szCs w:val="24"/>
          <w:lang w:val="ro-MD"/>
        </w:rPr>
        <w:t xml:space="preserve">-nul </w:t>
      </w:r>
      <w:r w:rsidRPr="00641BC7">
        <w:rPr>
          <w:rFonts w:asciiTheme="majorHAnsi" w:hAnsiTheme="majorHAnsi" w:cstheme="majorHAnsi"/>
          <w:sz w:val="24"/>
          <w:szCs w:val="24"/>
          <w:lang w:val="ro-MD"/>
        </w:rPr>
        <w:t>Strășeni</w:t>
      </w:r>
      <w:r w:rsidR="001A162C" w:rsidRPr="00641BC7">
        <w:rPr>
          <w:rFonts w:asciiTheme="majorHAnsi" w:hAnsiTheme="majorHAnsi" w:cstheme="majorHAnsi"/>
          <w:sz w:val="24"/>
          <w:szCs w:val="24"/>
          <w:lang w:val="ro-MD"/>
        </w:rPr>
        <w:t>,</w:t>
      </w:r>
      <w:r w:rsidRPr="00641BC7">
        <w:rPr>
          <w:rFonts w:asciiTheme="majorHAnsi" w:hAnsiTheme="majorHAnsi" w:cstheme="majorHAnsi"/>
          <w:sz w:val="24"/>
          <w:szCs w:val="24"/>
          <w:lang w:val="ro-MD"/>
        </w:rPr>
        <w:t xml:space="preserve"> reflectat</w:t>
      </w:r>
      <w:r w:rsidR="001A162C" w:rsidRPr="00641BC7">
        <w:rPr>
          <w:rFonts w:asciiTheme="majorHAnsi" w:hAnsiTheme="majorHAnsi" w:cstheme="majorHAnsi"/>
          <w:sz w:val="24"/>
          <w:szCs w:val="24"/>
          <w:lang w:val="ro-MD"/>
        </w:rPr>
        <w:t>ă</w:t>
      </w:r>
      <w:r w:rsidRPr="00641BC7">
        <w:rPr>
          <w:rFonts w:asciiTheme="majorHAnsi" w:hAnsiTheme="majorHAnsi" w:cstheme="majorHAnsi"/>
          <w:sz w:val="24"/>
          <w:szCs w:val="24"/>
          <w:lang w:val="ro-MD"/>
        </w:rPr>
        <w:t xml:space="preserve"> în evidența contabilă </w:t>
      </w:r>
      <w:r w:rsidR="00DE4F26" w:rsidRPr="00641BC7">
        <w:rPr>
          <w:rFonts w:asciiTheme="majorHAnsi" w:hAnsiTheme="majorHAnsi" w:cstheme="majorHAnsi"/>
          <w:sz w:val="24"/>
          <w:szCs w:val="24"/>
          <w:lang w:val="ro-MD"/>
        </w:rPr>
        <w:t xml:space="preserve">a AP </w:t>
      </w:r>
      <w:r w:rsidRPr="00641BC7">
        <w:rPr>
          <w:rFonts w:asciiTheme="majorHAnsi" w:hAnsiTheme="majorHAnsi" w:cstheme="majorHAnsi"/>
          <w:sz w:val="24"/>
          <w:szCs w:val="24"/>
          <w:lang w:val="ro-MD"/>
        </w:rPr>
        <w:t xml:space="preserve">doar </w:t>
      </w:r>
      <w:r w:rsidR="005A2638" w:rsidRPr="00641BC7">
        <w:rPr>
          <w:rFonts w:asciiTheme="majorHAnsi" w:hAnsiTheme="majorHAnsi" w:cstheme="majorHAnsi"/>
          <w:sz w:val="24"/>
          <w:szCs w:val="24"/>
          <w:lang w:val="ro-MD"/>
        </w:rPr>
        <w:t xml:space="preserve">în sumă </w:t>
      </w:r>
      <w:r w:rsidR="002F68D7" w:rsidRPr="00641BC7">
        <w:rPr>
          <w:rFonts w:asciiTheme="majorHAnsi" w:hAnsiTheme="majorHAnsi" w:cstheme="majorHAnsi"/>
          <w:sz w:val="24"/>
          <w:szCs w:val="24"/>
          <w:lang w:val="ro-MD"/>
        </w:rPr>
        <w:t xml:space="preserve">de </w:t>
      </w:r>
      <w:r w:rsidRPr="00641BC7">
        <w:rPr>
          <w:rFonts w:asciiTheme="majorHAnsi" w:hAnsiTheme="majorHAnsi" w:cstheme="majorHAnsi"/>
          <w:sz w:val="24"/>
          <w:szCs w:val="24"/>
          <w:lang w:val="ro-MD"/>
        </w:rPr>
        <w:t>1 937,5</w:t>
      </w:r>
      <w:r w:rsidRPr="00641BC7">
        <w:rPr>
          <w:rFonts w:asciiTheme="majorHAnsi" w:eastAsia="Times New Roman" w:hAnsiTheme="majorHAnsi" w:cstheme="majorHAnsi"/>
          <w:sz w:val="24"/>
          <w:szCs w:val="24"/>
          <w:lang w:val="ro-MD"/>
        </w:rPr>
        <w:t xml:space="preserve"> mii lei</w:t>
      </w:r>
      <w:r w:rsidR="002F68D7" w:rsidRPr="00641BC7">
        <w:rPr>
          <w:rFonts w:asciiTheme="majorHAnsi" w:eastAsia="Times New Roman" w:hAnsiTheme="majorHAnsi" w:cstheme="majorHAnsi"/>
          <w:sz w:val="24"/>
          <w:szCs w:val="24"/>
          <w:lang w:val="ro-MD"/>
        </w:rPr>
        <w:t>,</w:t>
      </w:r>
      <w:r w:rsidRPr="00641BC7">
        <w:rPr>
          <w:rFonts w:asciiTheme="majorHAnsi" w:eastAsia="Times New Roman" w:hAnsiTheme="majorHAnsi" w:cstheme="majorHAnsi"/>
          <w:sz w:val="24"/>
          <w:szCs w:val="24"/>
          <w:lang w:val="ro-MD"/>
        </w:rPr>
        <w:t xml:space="preserve"> costul total al </w:t>
      </w:r>
      <w:r w:rsidR="005F2769" w:rsidRPr="00641BC7">
        <w:rPr>
          <w:rFonts w:asciiTheme="majorHAnsi" w:eastAsia="Times New Roman" w:hAnsiTheme="majorHAnsi" w:cstheme="majorHAnsi"/>
          <w:sz w:val="24"/>
          <w:szCs w:val="24"/>
          <w:lang w:val="ro-MD"/>
        </w:rPr>
        <w:t>a</w:t>
      </w:r>
      <w:r w:rsidRPr="00641BC7">
        <w:rPr>
          <w:rFonts w:asciiTheme="majorHAnsi" w:eastAsia="Times New Roman" w:hAnsiTheme="majorHAnsi" w:cstheme="majorHAnsi"/>
          <w:sz w:val="24"/>
          <w:szCs w:val="24"/>
          <w:lang w:val="ro-MD"/>
        </w:rPr>
        <w:t>cestuia fiind de 6</w:t>
      </w:r>
      <w:r w:rsidR="002F68D7" w:rsidRPr="00641BC7">
        <w:rPr>
          <w:rFonts w:asciiTheme="majorHAnsi" w:eastAsia="Times New Roman" w:hAnsiTheme="majorHAnsi" w:cstheme="majorHAnsi"/>
          <w:sz w:val="24"/>
          <w:szCs w:val="24"/>
          <w:lang w:val="ro-MD"/>
        </w:rPr>
        <w:t xml:space="preserve"> </w:t>
      </w:r>
      <w:r w:rsidRPr="00641BC7">
        <w:rPr>
          <w:rFonts w:asciiTheme="majorHAnsi" w:eastAsia="Times New Roman" w:hAnsiTheme="majorHAnsi" w:cstheme="majorHAnsi"/>
          <w:sz w:val="24"/>
          <w:szCs w:val="24"/>
          <w:lang w:val="ro-MD"/>
        </w:rPr>
        <w:t>641,2 mii lei</w:t>
      </w:r>
      <w:r w:rsidR="002F68D7" w:rsidRPr="00641BC7">
        <w:rPr>
          <w:rFonts w:asciiTheme="majorHAnsi" w:eastAsia="Times New Roman" w:hAnsiTheme="majorHAnsi" w:cstheme="majorHAnsi"/>
          <w:sz w:val="24"/>
          <w:szCs w:val="24"/>
          <w:lang w:val="ro-MD"/>
        </w:rPr>
        <w:t>.</w:t>
      </w:r>
    </w:p>
    <w:p w14:paraId="5EEF684D" w14:textId="4D359FB7" w:rsidR="006D7B05" w:rsidRPr="00641BC7" w:rsidRDefault="006D7B05" w:rsidP="006D7B05">
      <w:pPr>
        <w:spacing w:after="0" w:line="276" w:lineRule="auto"/>
        <w:contextualSpacing/>
        <w:jc w:val="both"/>
        <w:rPr>
          <w:rFonts w:asciiTheme="majorHAnsi" w:hAnsiTheme="majorHAnsi" w:cstheme="majorHAnsi"/>
          <w:iCs/>
          <w:sz w:val="24"/>
          <w:szCs w:val="24"/>
          <w:lang w:val="ro-MD"/>
        </w:rPr>
      </w:pPr>
      <w:r w:rsidRPr="00641BC7">
        <w:rPr>
          <w:rFonts w:asciiTheme="majorHAnsi" w:hAnsiTheme="majorHAnsi" w:cstheme="majorHAnsi"/>
          <w:b/>
          <w:sz w:val="24"/>
          <w:szCs w:val="24"/>
          <w:lang w:val="ro-MD"/>
        </w:rPr>
        <w:t xml:space="preserve">2.3. </w:t>
      </w:r>
      <w:r w:rsidRPr="00641BC7">
        <w:rPr>
          <w:rFonts w:asciiTheme="majorHAnsi" w:eastAsia="Times New Roman" w:hAnsiTheme="majorHAnsi" w:cstheme="majorHAnsi"/>
          <w:bCs/>
          <w:iCs/>
          <w:sz w:val="24"/>
          <w:szCs w:val="24"/>
          <w:lang w:val="ro-MD"/>
        </w:rPr>
        <w:t xml:space="preserve">Valoarea </w:t>
      </w:r>
      <w:r w:rsidRPr="00641BC7">
        <w:rPr>
          <w:rFonts w:asciiTheme="majorHAnsi" w:hAnsiTheme="majorHAnsi" w:cstheme="majorHAnsi"/>
          <w:sz w:val="24"/>
          <w:szCs w:val="24"/>
          <w:lang w:val="ro-MD"/>
        </w:rPr>
        <w:t>contului 371 „T</w:t>
      </w:r>
      <w:r w:rsidRPr="00641BC7">
        <w:rPr>
          <w:rFonts w:asciiTheme="majorHAnsi" w:eastAsia="Times New Roman" w:hAnsiTheme="majorHAnsi" w:cstheme="majorHAnsi"/>
          <w:bCs/>
          <w:iCs/>
          <w:sz w:val="24"/>
          <w:szCs w:val="24"/>
          <w:lang w:val="ro-MD"/>
        </w:rPr>
        <w:t xml:space="preserve">erenuri” a fost subevaluată cu </w:t>
      </w:r>
      <w:r w:rsidR="00F0606D" w:rsidRPr="00641BC7">
        <w:rPr>
          <w:rFonts w:asciiTheme="majorHAnsi" w:hAnsiTheme="majorHAnsi" w:cstheme="majorHAnsi"/>
          <w:b/>
          <w:sz w:val="24"/>
          <w:szCs w:val="24"/>
          <w:lang w:val="ro-MD"/>
        </w:rPr>
        <w:t>7 800,8</w:t>
      </w:r>
      <w:r w:rsidRPr="00641BC7">
        <w:rPr>
          <w:rFonts w:asciiTheme="majorHAnsi" w:hAnsiTheme="majorHAnsi" w:cstheme="majorHAnsi"/>
          <w:b/>
          <w:sz w:val="24"/>
          <w:szCs w:val="24"/>
          <w:lang w:val="ro-MD"/>
        </w:rPr>
        <w:t xml:space="preserve"> mii lei</w:t>
      </w:r>
      <w:r w:rsidRPr="00641BC7">
        <w:rPr>
          <w:rFonts w:asciiTheme="majorHAnsi" w:hAnsiTheme="majorHAnsi" w:cstheme="majorHAnsi"/>
          <w:sz w:val="24"/>
          <w:szCs w:val="24"/>
          <w:lang w:val="ro-MD"/>
        </w:rPr>
        <w:t xml:space="preserve"> din cauza interpretării eronate a regulilor de recunoaștere și evaluare a terenurilor prevăzute în Ordinul 216/2015</w:t>
      </w:r>
      <w:r w:rsidR="001A162C" w:rsidRPr="00641BC7">
        <w:rPr>
          <w:rFonts w:asciiTheme="majorHAnsi" w:hAnsiTheme="majorHAnsi" w:cstheme="majorHAnsi"/>
          <w:sz w:val="24"/>
          <w:szCs w:val="24"/>
          <w:lang w:val="ro-MD"/>
        </w:rPr>
        <w:t>,</w:t>
      </w:r>
      <w:r w:rsidRPr="00641BC7">
        <w:rPr>
          <w:rFonts w:asciiTheme="majorHAnsi" w:hAnsiTheme="majorHAnsi" w:cstheme="majorHAnsi"/>
          <w:sz w:val="24"/>
          <w:szCs w:val="24"/>
          <w:lang w:val="ro-MD"/>
        </w:rPr>
        <w:t xml:space="preserve"> nefiind recunoscute terenuri</w:t>
      </w:r>
      <w:r w:rsidR="001A162C" w:rsidRPr="00641BC7">
        <w:rPr>
          <w:rFonts w:asciiTheme="majorHAnsi" w:hAnsiTheme="majorHAnsi" w:cstheme="majorHAnsi"/>
          <w:sz w:val="24"/>
          <w:szCs w:val="24"/>
          <w:lang w:val="ro-MD"/>
        </w:rPr>
        <w:t>le</w:t>
      </w:r>
      <w:r w:rsidRPr="00641BC7">
        <w:rPr>
          <w:rFonts w:asciiTheme="majorHAnsi" w:hAnsiTheme="majorHAnsi" w:cstheme="majorHAnsi"/>
          <w:sz w:val="24"/>
          <w:szCs w:val="24"/>
          <w:lang w:val="ro-MD"/>
        </w:rPr>
        <w:t xml:space="preserve"> cu suprafaț</w:t>
      </w:r>
      <w:r w:rsidR="001A162C" w:rsidRPr="00641BC7">
        <w:rPr>
          <w:rFonts w:asciiTheme="majorHAnsi" w:hAnsiTheme="majorHAnsi" w:cstheme="majorHAnsi"/>
          <w:sz w:val="24"/>
          <w:szCs w:val="24"/>
          <w:lang w:val="ro-MD"/>
        </w:rPr>
        <w:t>a</w:t>
      </w:r>
      <w:r w:rsidRPr="00641BC7">
        <w:rPr>
          <w:rFonts w:asciiTheme="majorHAnsi" w:hAnsiTheme="majorHAnsi" w:cstheme="majorHAnsi"/>
          <w:sz w:val="24"/>
          <w:szCs w:val="24"/>
          <w:lang w:val="ro-MD"/>
        </w:rPr>
        <w:t xml:space="preserve"> de </w:t>
      </w:r>
      <w:r w:rsidR="00F0606D" w:rsidRPr="00641BC7">
        <w:rPr>
          <w:rFonts w:asciiTheme="majorHAnsi" w:hAnsiTheme="majorHAnsi" w:cstheme="majorHAnsi"/>
          <w:iCs/>
          <w:sz w:val="24"/>
          <w:szCs w:val="24"/>
          <w:lang w:val="ro-MD"/>
        </w:rPr>
        <w:t>6</w:t>
      </w:r>
      <w:r w:rsidR="00D36346" w:rsidRPr="00641BC7">
        <w:rPr>
          <w:rFonts w:asciiTheme="majorHAnsi" w:hAnsiTheme="majorHAnsi" w:cstheme="majorHAnsi"/>
          <w:iCs/>
          <w:sz w:val="24"/>
          <w:szCs w:val="24"/>
          <w:lang w:val="ro-MD"/>
        </w:rPr>
        <w:t>,</w:t>
      </w:r>
      <w:r w:rsidR="00F0606D" w:rsidRPr="00641BC7">
        <w:rPr>
          <w:rFonts w:asciiTheme="majorHAnsi" w:hAnsiTheme="majorHAnsi" w:cstheme="majorHAnsi"/>
          <w:iCs/>
          <w:sz w:val="24"/>
          <w:szCs w:val="24"/>
          <w:lang w:val="ro-MD"/>
        </w:rPr>
        <w:t>19</w:t>
      </w:r>
      <w:r w:rsidR="00D36346" w:rsidRPr="00641BC7">
        <w:rPr>
          <w:rFonts w:asciiTheme="majorHAnsi" w:hAnsiTheme="majorHAnsi" w:cstheme="majorHAnsi"/>
          <w:iCs/>
          <w:sz w:val="24"/>
          <w:szCs w:val="24"/>
          <w:lang w:val="ro-MD"/>
        </w:rPr>
        <w:t xml:space="preserve"> </w:t>
      </w:r>
      <w:r w:rsidRPr="00641BC7">
        <w:rPr>
          <w:rFonts w:asciiTheme="majorHAnsi" w:hAnsiTheme="majorHAnsi" w:cstheme="majorHAnsi"/>
          <w:iCs/>
          <w:sz w:val="24"/>
          <w:szCs w:val="24"/>
          <w:lang w:val="ro-MD"/>
        </w:rPr>
        <w:t>ha proprietate publică din domeniul public</w:t>
      </w:r>
      <w:r w:rsidR="00D36346" w:rsidRPr="00641BC7">
        <w:rPr>
          <w:rFonts w:asciiTheme="majorHAnsi" w:hAnsiTheme="majorHAnsi" w:cstheme="majorHAnsi"/>
          <w:iCs/>
          <w:sz w:val="24"/>
          <w:szCs w:val="24"/>
          <w:lang w:val="ro-MD"/>
        </w:rPr>
        <w:t xml:space="preserve"> a</w:t>
      </w:r>
      <w:r w:rsidR="001A162C" w:rsidRPr="00641BC7">
        <w:rPr>
          <w:rFonts w:asciiTheme="majorHAnsi" w:hAnsiTheme="majorHAnsi" w:cstheme="majorHAnsi"/>
          <w:iCs/>
          <w:sz w:val="24"/>
          <w:szCs w:val="24"/>
          <w:lang w:val="ro-MD"/>
        </w:rPr>
        <w:t>l</w:t>
      </w:r>
      <w:r w:rsidR="00D36346" w:rsidRPr="00641BC7">
        <w:rPr>
          <w:rFonts w:asciiTheme="majorHAnsi" w:hAnsiTheme="majorHAnsi" w:cstheme="majorHAnsi"/>
          <w:iCs/>
          <w:sz w:val="24"/>
          <w:szCs w:val="24"/>
          <w:lang w:val="ro-MD"/>
        </w:rPr>
        <w:t xml:space="preserve"> UAT</w:t>
      </w:r>
      <w:r w:rsidRPr="00641BC7">
        <w:rPr>
          <w:rFonts w:asciiTheme="majorHAnsi" w:hAnsiTheme="majorHAnsi" w:cstheme="majorHAnsi"/>
          <w:iCs/>
          <w:sz w:val="24"/>
          <w:szCs w:val="24"/>
          <w:lang w:val="ro-MD"/>
        </w:rPr>
        <w:t>.</w:t>
      </w:r>
    </w:p>
    <w:p w14:paraId="22A7584C" w14:textId="43EF94E9" w:rsidR="00E10C00" w:rsidRPr="00641BC7" w:rsidRDefault="009905FB" w:rsidP="00EA2FA6">
      <w:pPr>
        <w:spacing w:after="0" w:line="276" w:lineRule="auto"/>
        <w:ind w:right="-31"/>
        <w:jc w:val="both"/>
        <w:rPr>
          <w:rFonts w:asciiTheme="majorHAnsi" w:hAnsiTheme="majorHAnsi" w:cstheme="majorHAnsi"/>
          <w:sz w:val="24"/>
          <w:szCs w:val="24"/>
          <w:lang w:val="ro-MD"/>
        </w:rPr>
      </w:pPr>
      <w:r w:rsidRPr="00641BC7">
        <w:rPr>
          <w:rFonts w:asciiTheme="majorHAnsi" w:eastAsia="Times New Roman" w:hAnsiTheme="majorHAnsi" w:cstheme="majorHAnsi"/>
          <w:b/>
          <w:bCs/>
          <w:iCs/>
          <w:sz w:val="24"/>
          <w:szCs w:val="24"/>
          <w:lang w:val="ro-MD"/>
        </w:rPr>
        <w:t>2.</w:t>
      </w:r>
      <w:r w:rsidR="006D7B05" w:rsidRPr="00641BC7">
        <w:rPr>
          <w:rFonts w:asciiTheme="majorHAnsi" w:eastAsia="Times New Roman" w:hAnsiTheme="majorHAnsi" w:cstheme="majorHAnsi"/>
          <w:b/>
          <w:bCs/>
          <w:iCs/>
          <w:sz w:val="24"/>
          <w:szCs w:val="24"/>
          <w:lang w:val="ro-MD"/>
        </w:rPr>
        <w:t>4</w:t>
      </w:r>
      <w:r w:rsidRPr="00641BC7">
        <w:rPr>
          <w:rFonts w:asciiTheme="majorHAnsi" w:eastAsia="Times New Roman" w:hAnsiTheme="majorHAnsi" w:cstheme="majorHAnsi"/>
          <w:b/>
          <w:bCs/>
          <w:iCs/>
          <w:sz w:val="24"/>
          <w:szCs w:val="24"/>
          <w:lang w:val="ro-MD"/>
        </w:rPr>
        <w:t>.</w:t>
      </w:r>
      <w:r w:rsidR="00E10C00" w:rsidRPr="00641BC7">
        <w:rPr>
          <w:rFonts w:asciiTheme="majorHAnsi" w:eastAsia="Times New Roman" w:hAnsiTheme="majorHAnsi" w:cstheme="majorHAnsi"/>
          <w:bCs/>
          <w:iCs/>
          <w:sz w:val="24"/>
          <w:szCs w:val="24"/>
          <w:lang w:val="ro-MD"/>
        </w:rPr>
        <w:t xml:space="preserve"> </w:t>
      </w:r>
      <w:r w:rsidR="002B3C87" w:rsidRPr="00641BC7">
        <w:rPr>
          <w:rFonts w:asciiTheme="majorHAnsi" w:eastAsia="Times New Roman" w:hAnsiTheme="majorHAnsi" w:cstheme="majorHAnsi"/>
          <w:bCs/>
          <w:iCs/>
          <w:sz w:val="24"/>
          <w:szCs w:val="24"/>
          <w:lang w:val="ro-MD"/>
        </w:rPr>
        <w:t xml:space="preserve">Instituțiile din cadrul CR </w:t>
      </w:r>
      <w:r w:rsidR="00542FC7" w:rsidRPr="00641BC7">
        <w:rPr>
          <w:rFonts w:asciiTheme="majorHAnsi" w:eastAsia="Times New Roman" w:hAnsiTheme="majorHAnsi" w:cstheme="majorHAnsi"/>
          <w:bCs/>
          <w:iCs/>
          <w:sz w:val="24"/>
          <w:szCs w:val="24"/>
          <w:lang w:val="ro-MD"/>
        </w:rPr>
        <w:t>au</w:t>
      </w:r>
      <w:r w:rsidR="00DD27F9" w:rsidRPr="00641BC7">
        <w:rPr>
          <w:rFonts w:asciiTheme="majorHAnsi" w:hAnsiTheme="majorHAnsi" w:cstheme="majorHAnsi"/>
          <w:sz w:val="24"/>
          <w:szCs w:val="24"/>
          <w:lang w:val="ro-MD"/>
        </w:rPr>
        <w:t xml:space="preserve"> </w:t>
      </w:r>
      <w:r w:rsidR="00542FC7" w:rsidRPr="00641BC7">
        <w:rPr>
          <w:rFonts w:asciiTheme="majorHAnsi" w:hAnsiTheme="majorHAnsi" w:cstheme="majorHAnsi"/>
          <w:sz w:val="24"/>
          <w:szCs w:val="24"/>
          <w:lang w:val="ro-MD"/>
        </w:rPr>
        <w:t xml:space="preserve">aplicat </w:t>
      </w:r>
      <w:r w:rsidR="00DD27F9" w:rsidRPr="00641BC7">
        <w:rPr>
          <w:rFonts w:asciiTheme="majorHAnsi" w:hAnsiTheme="majorHAnsi" w:cstheme="majorHAnsi"/>
          <w:sz w:val="24"/>
          <w:szCs w:val="24"/>
          <w:lang w:val="ro-MD"/>
        </w:rPr>
        <w:t xml:space="preserve">eronat </w:t>
      </w:r>
      <w:r w:rsidR="00542FC7" w:rsidRPr="00641BC7">
        <w:rPr>
          <w:rFonts w:asciiTheme="majorHAnsi" w:hAnsiTheme="majorHAnsi" w:cstheme="majorHAnsi"/>
          <w:sz w:val="24"/>
          <w:szCs w:val="24"/>
          <w:lang w:val="ro-MD"/>
        </w:rPr>
        <w:t xml:space="preserve">regulile de ținere a evidenței </w:t>
      </w:r>
      <w:r w:rsidR="003A7BA9" w:rsidRPr="00641BC7">
        <w:rPr>
          <w:rFonts w:asciiTheme="majorHAnsi" w:hAnsiTheme="majorHAnsi" w:cstheme="majorHAnsi"/>
          <w:sz w:val="24"/>
          <w:szCs w:val="24"/>
          <w:lang w:val="ro-MD"/>
        </w:rPr>
        <w:t xml:space="preserve">contabile </w:t>
      </w:r>
      <w:r w:rsidR="00542FC7" w:rsidRPr="00641BC7">
        <w:rPr>
          <w:rFonts w:asciiTheme="majorHAnsi" w:hAnsiTheme="majorHAnsi" w:cstheme="majorHAnsi"/>
          <w:sz w:val="24"/>
          <w:szCs w:val="24"/>
          <w:lang w:val="ro-MD"/>
        </w:rPr>
        <w:t>prevăzut</w:t>
      </w:r>
      <w:r w:rsidR="00563D95" w:rsidRPr="00641BC7">
        <w:rPr>
          <w:rFonts w:asciiTheme="majorHAnsi" w:hAnsiTheme="majorHAnsi" w:cstheme="majorHAnsi"/>
          <w:sz w:val="24"/>
          <w:szCs w:val="24"/>
          <w:lang w:val="ro-MD"/>
        </w:rPr>
        <w:t>e</w:t>
      </w:r>
      <w:r w:rsidR="00542FC7" w:rsidRPr="00641BC7">
        <w:rPr>
          <w:rFonts w:asciiTheme="majorHAnsi" w:hAnsiTheme="majorHAnsi" w:cstheme="majorHAnsi"/>
          <w:sz w:val="24"/>
          <w:szCs w:val="24"/>
          <w:lang w:val="ro-MD"/>
        </w:rPr>
        <w:t xml:space="preserve"> de </w:t>
      </w:r>
      <w:r w:rsidR="00673600" w:rsidRPr="00641BC7">
        <w:rPr>
          <w:rFonts w:asciiTheme="majorHAnsi" w:hAnsiTheme="majorHAnsi" w:cstheme="majorHAnsi"/>
          <w:sz w:val="24"/>
          <w:szCs w:val="24"/>
          <w:lang w:val="ro-MD"/>
        </w:rPr>
        <w:t>O</w:t>
      </w:r>
      <w:r w:rsidR="00542FC7" w:rsidRPr="00641BC7">
        <w:rPr>
          <w:rFonts w:asciiTheme="majorHAnsi" w:hAnsiTheme="majorHAnsi" w:cstheme="majorHAnsi"/>
          <w:sz w:val="24"/>
          <w:szCs w:val="24"/>
          <w:lang w:val="ro-MD"/>
        </w:rPr>
        <w:t>rdinul 216/2015</w:t>
      </w:r>
      <w:r w:rsidR="00563D95" w:rsidRPr="00641BC7">
        <w:rPr>
          <w:rFonts w:asciiTheme="majorHAnsi" w:hAnsiTheme="majorHAnsi" w:cstheme="majorHAnsi"/>
          <w:sz w:val="24"/>
          <w:szCs w:val="24"/>
          <w:lang w:val="ro-MD"/>
        </w:rPr>
        <w:t>.</w:t>
      </w:r>
      <w:r w:rsidR="00542FC7" w:rsidRPr="00641BC7">
        <w:rPr>
          <w:rFonts w:asciiTheme="majorHAnsi" w:hAnsiTheme="majorHAnsi" w:cstheme="majorHAnsi"/>
          <w:sz w:val="24"/>
          <w:szCs w:val="24"/>
          <w:lang w:val="ro-MD"/>
        </w:rPr>
        <w:t xml:space="preserve"> </w:t>
      </w:r>
      <w:r w:rsidR="00563D95" w:rsidRPr="00641BC7">
        <w:rPr>
          <w:rFonts w:asciiTheme="majorHAnsi" w:hAnsiTheme="majorHAnsi" w:cstheme="majorHAnsi"/>
          <w:sz w:val="24"/>
          <w:szCs w:val="24"/>
          <w:lang w:val="ro-MD"/>
        </w:rPr>
        <w:t>A</w:t>
      </w:r>
      <w:r w:rsidR="00542FC7" w:rsidRPr="00641BC7">
        <w:rPr>
          <w:rFonts w:asciiTheme="majorHAnsi" w:hAnsiTheme="majorHAnsi" w:cstheme="majorHAnsi"/>
          <w:sz w:val="24"/>
          <w:szCs w:val="24"/>
          <w:lang w:val="ro-MD"/>
        </w:rPr>
        <w:t>stfel</w:t>
      </w:r>
      <w:r w:rsidR="00563D95" w:rsidRPr="00641BC7">
        <w:rPr>
          <w:rFonts w:asciiTheme="majorHAnsi" w:eastAsia="Calibri" w:hAnsiTheme="majorHAnsi" w:cstheme="majorHAnsi"/>
          <w:sz w:val="24"/>
          <w:szCs w:val="24"/>
          <w:lang w:val="ro-MD"/>
        </w:rPr>
        <w:t>,</w:t>
      </w:r>
    </w:p>
    <w:p w14:paraId="00CE2EBB" w14:textId="2353B3CD" w:rsidR="00E10C00" w:rsidRPr="00641BC7" w:rsidRDefault="00E10C00" w:rsidP="00EA2FA6">
      <w:pPr>
        <w:spacing w:after="0" w:line="276" w:lineRule="auto"/>
        <w:ind w:right="-31"/>
        <w:jc w:val="both"/>
        <w:rPr>
          <w:rFonts w:asciiTheme="majorHAnsi" w:eastAsia="Calibri" w:hAnsiTheme="majorHAnsi" w:cstheme="majorHAnsi"/>
          <w:sz w:val="24"/>
          <w:szCs w:val="24"/>
          <w:lang w:val="ro-MD"/>
        </w:rPr>
      </w:pPr>
      <w:r w:rsidRPr="00641BC7">
        <w:rPr>
          <w:rFonts w:asciiTheme="majorHAnsi" w:eastAsia="Calibri" w:hAnsiTheme="majorHAnsi" w:cstheme="majorHAnsi"/>
          <w:sz w:val="24"/>
          <w:szCs w:val="24"/>
          <w:lang w:val="ro-MD"/>
        </w:rPr>
        <w:t>-</w:t>
      </w:r>
      <w:r w:rsidR="009905FB" w:rsidRPr="00641BC7">
        <w:rPr>
          <w:rFonts w:asciiTheme="majorHAnsi" w:eastAsia="Calibri" w:hAnsiTheme="majorHAnsi" w:cstheme="majorHAnsi"/>
          <w:sz w:val="24"/>
          <w:szCs w:val="24"/>
          <w:lang w:val="ro-MD"/>
        </w:rPr>
        <w:t xml:space="preserve"> </w:t>
      </w:r>
      <w:r w:rsidR="002605A7" w:rsidRPr="00641BC7">
        <w:rPr>
          <w:rFonts w:asciiTheme="majorHAnsi" w:hAnsiTheme="majorHAnsi" w:cstheme="majorHAnsi"/>
          <w:sz w:val="24"/>
          <w:szCs w:val="24"/>
          <w:lang w:val="ro-MD"/>
        </w:rPr>
        <w:t>a fost m</w:t>
      </w:r>
      <w:r w:rsidR="002605A7" w:rsidRPr="00641BC7">
        <w:rPr>
          <w:rFonts w:asciiTheme="majorHAnsi" w:eastAsia="Calibri" w:hAnsiTheme="majorHAnsi" w:cstheme="majorHAnsi"/>
          <w:sz w:val="24"/>
          <w:szCs w:val="24"/>
          <w:lang w:val="ro-MD"/>
        </w:rPr>
        <w:t>ajorat</w:t>
      </w:r>
      <w:r w:rsidR="009F79B6" w:rsidRPr="00641BC7">
        <w:rPr>
          <w:rFonts w:asciiTheme="majorHAnsi" w:eastAsia="Calibri" w:hAnsiTheme="majorHAnsi" w:cstheme="majorHAnsi"/>
          <w:sz w:val="24"/>
          <w:szCs w:val="24"/>
          <w:lang w:val="ro-MD"/>
        </w:rPr>
        <w:t>ă valoarea</w:t>
      </w:r>
      <w:r w:rsidR="002605A7" w:rsidRPr="00641BC7">
        <w:rPr>
          <w:rFonts w:asciiTheme="majorHAnsi" w:eastAsia="Calibri" w:hAnsiTheme="majorHAnsi" w:cstheme="majorHAnsi"/>
          <w:sz w:val="24"/>
          <w:szCs w:val="24"/>
          <w:lang w:val="ro-MD"/>
        </w:rPr>
        <w:t xml:space="preserve"> contul</w:t>
      </w:r>
      <w:r w:rsidR="009F79B6" w:rsidRPr="00641BC7">
        <w:rPr>
          <w:rFonts w:asciiTheme="majorHAnsi" w:eastAsia="Calibri" w:hAnsiTheme="majorHAnsi" w:cstheme="majorHAnsi"/>
          <w:sz w:val="24"/>
          <w:szCs w:val="24"/>
          <w:lang w:val="ro-MD"/>
        </w:rPr>
        <w:t>ui</w:t>
      </w:r>
      <w:r w:rsidR="002605A7" w:rsidRPr="00641BC7">
        <w:rPr>
          <w:rFonts w:asciiTheme="majorHAnsi" w:eastAsia="Calibri" w:hAnsiTheme="majorHAnsi" w:cstheme="majorHAnsi"/>
          <w:sz w:val="24"/>
          <w:szCs w:val="24"/>
          <w:lang w:val="ro-MD"/>
        </w:rPr>
        <w:t xml:space="preserve"> </w:t>
      </w:r>
      <w:r w:rsidR="009905FB" w:rsidRPr="00641BC7">
        <w:rPr>
          <w:rFonts w:asciiTheme="majorHAnsi" w:eastAsia="Calibri" w:hAnsiTheme="majorHAnsi" w:cstheme="majorHAnsi"/>
          <w:sz w:val="24"/>
          <w:szCs w:val="24"/>
          <w:lang w:val="ro-MD"/>
        </w:rPr>
        <w:t>282 „Alte cheltuieli capitale</w:t>
      </w:r>
      <w:r w:rsidR="00F453A9" w:rsidRPr="00641BC7">
        <w:rPr>
          <w:rFonts w:asciiTheme="majorHAnsi" w:eastAsia="Calibri" w:hAnsiTheme="majorHAnsi" w:cstheme="majorHAnsi"/>
          <w:sz w:val="24"/>
          <w:szCs w:val="24"/>
          <w:lang w:val="ro-MD"/>
        </w:rPr>
        <w:t>”</w:t>
      </w:r>
      <w:r w:rsidR="0038188C" w:rsidRPr="00641BC7">
        <w:rPr>
          <w:rFonts w:asciiTheme="majorHAnsi" w:eastAsia="Calibri" w:hAnsiTheme="majorHAnsi" w:cstheme="majorHAnsi"/>
          <w:sz w:val="24"/>
          <w:szCs w:val="24"/>
          <w:lang w:val="ro-MD"/>
        </w:rPr>
        <w:t xml:space="preserve"> </w:t>
      </w:r>
      <w:r w:rsidR="00563D95" w:rsidRPr="00641BC7">
        <w:rPr>
          <w:rFonts w:asciiTheme="majorHAnsi" w:eastAsia="Calibri" w:hAnsiTheme="majorHAnsi" w:cstheme="majorHAnsi"/>
          <w:sz w:val="24"/>
          <w:szCs w:val="24"/>
          <w:lang w:val="ro-MD"/>
        </w:rPr>
        <w:t>cu</w:t>
      </w:r>
      <w:r w:rsidR="0038188C" w:rsidRPr="00641BC7">
        <w:rPr>
          <w:rFonts w:asciiTheme="majorHAnsi" w:eastAsia="Calibri" w:hAnsiTheme="majorHAnsi" w:cstheme="majorHAnsi"/>
          <w:sz w:val="24"/>
          <w:szCs w:val="24"/>
          <w:lang w:val="ro-MD"/>
        </w:rPr>
        <w:t xml:space="preserve"> sum</w:t>
      </w:r>
      <w:r w:rsidR="00563D95" w:rsidRPr="00641BC7">
        <w:rPr>
          <w:rFonts w:asciiTheme="majorHAnsi" w:eastAsia="Calibri" w:hAnsiTheme="majorHAnsi" w:cstheme="majorHAnsi"/>
          <w:sz w:val="24"/>
          <w:szCs w:val="24"/>
          <w:lang w:val="ro-MD"/>
        </w:rPr>
        <w:t>a</w:t>
      </w:r>
      <w:r w:rsidR="0038188C" w:rsidRPr="00641BC7">
        <w:rPr>
          <w:rFonts w:asciiTheme="majorHAnsi" w:eastAsia="Calibri" w:hAnsiTheme="majorHAnsi" w:cstheme="majorHAnsi"/>
          <w:sz w:val="24"/>
          <w:szCs w:val="24"/>
          <w:lang w:val="ro-MD"/>
        </w:rPr>
        <w:t xml:space="preserve"> de </w:t>
      </w:r>
      <w:r w:rsidR="0038188C" w:rsidRPr="00641BC7">
        <w:rPr>
          <w:rFonts w:asciiTheme="majorHAnsi" w:eastAsia="Calibri" w:hAnsiTheme="majorHAnsi" w:cstheme="majorHAnsi"/>
          <w:b/>
          <w:sz w:val="24"/>
          <w:szCs w:val="24"/>
          <w:lang w:val="ro-MD"/>
        </w:rPr>
        <w:t>6 960,8 mii lei</w:t>
      </w:r>
      <w:r w:rsidR="0038188C" w:rsidRPr="00641BC7">
        <w:rPr>
          <w:rFonts w:asciiTheme="majorHAnsi" w:eastAsia="Calibri" w:hAnsiTheme="majorHAnsi" w:cstheme="majorHAnsi"/>
          <w:sz w:val="24"/>
          <w:szCs w:val="24"/>
          <w:lang w:val="ro-MD"/>
        </w:rPr>
        <w:t xml:space="preserve"> </w:t>
      </w:r>
      <w:r w:rsidR="00833BA5" w:rsidRPr="00641BC7">
        <w:rPr>
          <w:rFonts w:asciiTheme="majorHAnsi" w:eastAsia="Calibri" w:hAnsiTheme="majorHAnsi" w:cstheme="majorHAnsi"/>
          <w:sz w:val="24"/>
          <w:szCs w:val="24"/>
          <w:lang w:val="ro-MD"/>
        </w:rPr>
        <w:t>și</w:t>
      </w:r>
      <w:r w:rsidR="009F79B6" w:rsidRPr="00641BC7">
        <w:rPr>
          <w:rFonts w:asciiTheme="majorHAnsi" w:eastAsia="Calibri" w:hAnsiTheme="majorHAnsi" w:cstheme="majorHAnsi"/>
          <w:sz w:val="24"/>
          <w:szCs w:val="24"/>
          <w:lang w:val="ro-MD"/>
        </w:rPr>
        <w:t xml:space="preserve"> a fost</w:t>
      </w:r>
      <w:r w:rsidR="002605A7" w:rsidRPr="00641BC7">
        <w:rPr>
          <w:rFonts w:asciiTheme="majorHAnsi" w:eastAsia="Calibri" w:hAnsiTheme="majorHAnsi" w:cstheme="majorHAnsi"/>
          <w:sz w:val="24"/>
          <w:szCs w:val="24"/>
          <w:lang w:val="ro-MD"/>
        </w:rPr>
        <w:t xml:space="preserve"> micșorat</w:t>
      </w:r>
      <w:r w:rsidR="009F79B6" w:rsidRPr="00641BC7">
        <w:rPr>
          <w:rFonts w:asciiTheme="majorHAnsi" w:eastAsia="Calibri" w:hAnsiTheme="majorHAnsi" w:cstheme="majorHAnsi"/>
          <w:sz w:val="24"/>
          <w:szCs w:val="24"/>
          <w:lang w:val="ro-MD"/>
        </w:rPr>
        <w:t>ă valoarea</w:t>
      </w:r>
      <w:r w:rsidR="00833BA5" w:rsidRPr="00641BC7">
        <w:rPr>
          <w:rFonts w:asciiTheme="majorHAnsi" w:eastAsia="Calibri" w:hAnsiTheme="majorHAnsi" w:cstheme="majorHAnsi"/>
          <w:sz w:val="24"/>
          <w:szCs w:val="24"/>
          <w:lang w:val="ro-MD"/>
        </w:rPr>
        <w:t xml:space="preserve"> </w:t>
      </w:r>
      <w:r w:rsidR="002605A7" w:rsidRPr="00641BC7">
        <w:rPr>
          <w:rFonts w:asciiTheme="majorHAnsi" w:eastAsia="Calibri" w:hAnsiTheme="majorHAnsi" w:cstheme="majorHAnsi"/>
          <w:sz w:val="24"/>
          <w:szCs w:val="24"/>
          <w:lang w:val="ro-MD"/>
        </w:rPr>
        <w:t>contul</w:t>
      </w:r>
      <w:r w:rsidR="009F79B6" w:rsidRPr="00641BC7">
        <w:rPr>
          <w:rFonts w:asciiTheme="majorHAnsi" w:eastAsia="Calibri" w:hAnsiTheme="majorHAnsi" w:cstheme="majorHAnsi"/>
          <w:sz w:val="24"/>
          <w:szCs w:val="24"/>
          <w:lang w:val="ro-MD"/>
        </w:rPr>
        <w:t>ui</w:t>
      </w:r>
      <w:r w:rsidR="002605A7" w:rsidRPr="00641BC7">
        <w:rPr>
          <w:rFonts w:asciiTheme="majorHAnsi" w:eastAsia="Calibri" w:hAnsiTheme="majorHAnsi" w:cstheme="majorHAnsi"/>
          <w:sz w:val="24"/>
          <w:szCs w:val="24"/>
          <w:lang w:val="ro-MD"/>
        </w:rPr>
        <w:t xml:space="preserve"> </w:t>
      </w:r>
      <w:r w:rsidR="00833BA5" w:rsidRPr="00641BC7">
        <w:rPr>
          <w:rFonts w:asciiTheme="majorHAnsi" w:eastAsia="Calibri" w:hAnsiTheme="majorHAnsi" w:cstheme="majorHAnsi"/>
          <w:sz w:val="24"/>
          <w:szCs w:val="24"/>
          <w:lang w:val="ro-MD"/>
        </w:rPr>
        <w:t>722 „Rezultatul financiar al instituției publice din anii precedenți”</w:t>
      </w:r>
      <w:r w:rsidR="009905FB" w:rsidRPr="00641BC7">
        <w:rPr>
          <w:rFonts w:asciiTheme="majorHAnsi" w:eastAsia="Calibri" w:hAnsiTheme="majorHAnsi" w:cstheme="majorHAnsi"/>
          <w:sz w:val="24"/>
          <w:szCs w:val="24"/>
          <w:lang w:val="ro-MD"/>
        </w:rPr>
        <w:t xml:space="preserve"> </w:t>
      </w:r>
      <w:r w:rsidR="00563D95" w:rsidRPr="00641BC7">
        <w:rPr>
          <w:rFonts w:asciiTheme="majorHAnsi" w:eastAsia="Calibri" w:hAnsiTheme="majorHAnsi" w:cstheme="majorHAnsi"/>
          <w:sz w:val="24"/>
          <w:szCs w:val="24"/>
          <w:lang w:val="ro-MD"/>
        </w:rPr>
        <w:t>cu</w:t>
      </w:r>
      <w:r w:rsidR="009905FB" w:rsidRPr="00641BC7">
        <w:rPr>
          <w:rFonts w:asciiTheme="majorHAnsi" w:eastAsia="Calibri" w:hAnsiTheme="majorHAnsi" w:cstheme="majorHAnsi"/>
          <w:sz w:val="24"/>
          <w:szCs w:val="24"/>
          <w:lang w:val="ro-MD"/>
        </w:rPr>
        <w:t xml:space="preserve"> sum</w:t>
      </w:r>
      <w:r w:rsidR="00563D95" w:rsidRPr="00641BC7">
        <w:rPr>
          <w:rFonts w:asciiTheme="majorHAnsi" w:eastAsia="Calibri" w:hAnsiTheme="majorHAnsi" w:cstheme="majorHAnsi"/>
          <w:sz w:val="24"/>
          <w:szCs w:val="24"/>
          <w:lang w:val="ro-MD"/>
        </w:rPr>
        <w:t>a</w:t>
      </w:r>
      <w:r w:rsidR="009905FB" w:rsidRPr="00641BC7">
        <w:rPr>
          <w:rFonts w:asciiTheme="majorHAnsi" w:eastAsia="Calibri" w:hAnsiTheme="majorHAnsi" w:cstheme="majorHAnsi"/>
          <w:sz w:val="24"/>
          <w:szCs w:val="24"/>
          <w:lang w:val="ro-MD"/>
        </w:rPr>
        <w:t xml:space="preserve"> </w:t>
      </w:r>
      <w:r w:rsidR="00833BA5" w:rsidRPr="00641BC7">
        <w:rPr>
          <w:rFonts w:asciiTheme="majorHAnsi" w:eastAsia="Calibri" w:hAnsiTheme="majorHAnsi" w:cstheme="majorHAnsi"/>
          <w:sz w:val="24"/>
          <w:szCs w:val="24"/>
          <w:lang w:val="ro-MD"/>
        </w:rPr>
        <w:t xml:space="preserve">totală </w:t>
      </w:r>
      <w:r w:rsidR="009905FB" w:rsidRPr="00641BC7">
        <w:rPr>
          <w:rFonts w:asciiTheme="majorHAnsi" w:eastAsia="Calibri" w:hAnsiTheme="majorHAnsi" w:cstheme="majorHAnsi"/>
          <w:sz w:val="24"/>
          <w:szCs w:val="24"/>
          <w:lang w:val="ro-MD"/>
        </w:rPr>
        <w:t xml:space="preserve">de </w:t>
      </w:r>
      <w:r w:rsidR="0038188C" w:rsidRPr="00641BC7">
        <w:rPr>
          <w:rFonts w:asciiTheme="majorHAnsi" w:eastAsia="Calibri" w:hAnsiTheme="majorHAnsi" w:cstheme="majorHAnsi"/>
          <w:b/>
          <w:sz w:val="24"/>
          <w:szCs w:val="24"/>
          <w:lang w:val="ro-MD"/>
        </w:rPr>
        <w:t xml:space="preserve">19 400 </w:t>
      </w:r>
      <w:r w:rsidR="009905FB" w:rsidRPr="00641BC7">
        <w:rPr>
          <w:rFonts w:asciiTheme="majorHAnsi" w:eastAsia="Calibri" w:hAnsiTheme="majorHAnsi" w:cstheme="majorHAnsi"/>
          <w:sz w:val="24"/>
          <w:szCs w:val="24"/>
          <w:lang w:val="ro-MD"/>
        </w:rPr>
        <w:t xml:space="preserve"> </w:t>
      </w:r>
      <w:r w:rsidR="009905FB" w:rsidRPr="00641BC7">
        <w:rPr>
          <w:rFonts w:asciiTheme="majorHAnsi" w:eastAsia="Calibri" w:hAnsiTheme="majorHAnsi" w:cstheme="majorHAnsi"/>
          <w:b/>
          <w:sz w:val="24"/>
          <w:szCs w:val="24"/>
          <w:lang w:val="ro-MD"/>
        </w:rPr>
        <w:t>mi</w:t>
      </w:r>
      <w:r w:rsidR="00F453A9" w:rsidRPr="00641BC7">
        <w:rPr>
          <w:rFonts w:asciiTheme="majorHAnsi" w:eastAsia="Calibri" w:hAnsiTheme="majorHAnsi" w:cstheme="majorHAnsi"/>
          <w:b/>
          <w:sz w:val="24"/>
          <w:szCs w:val="24"/>
          <w:lang w:val="ro-MD"/>
        </w:rPr>
        <w:t xml:space="preserve">i </w:t>
      </w:r>
      <w:r w:rsidR="009905FB" w:rsidRPr="00641BC7">
        <w:rPr>
          <w:rFonts w:asciiTheme="majorHAnsi" w:eastAsia="Calibri" w:hAnsiTheme="majorHAnsi" w:cstheme="majorHAnsi"/>
          <w:b/>
          <w:sz w:val="24"/>
          <w:szCs w:val="24"/>
          <w:lang w:val="ro-MD"/>
        </w:rPr>
        <w:t>lei</w:t>
      </w:r>
      <w:r w:rsidR="009905FB" w:rsidRPr="00641BC7">
        <w:rPr>
          <w:rStyle w:val="FootnoteReference"/>
          <w:rFonts w:asciiTheme="majorHAnsi" w:eastAsia="Calibri" w:hAnsiTheme="majorHAnsi" w:cstheme="majorHAnsi"/>
          <w:sz w:val="24"/>
          <w:szCs w:val="24"/>
          <w:lang w:val="ro-MD"/>
        </w:rPr>
        <w:footnoteReference w:id="3"/>
      </w:r>
      <w:r w:rsidR="009905FB" w:rsidRPr="00641BC7">
        <w:rPr>
          <w:rFonts w:asciiTheme="majorHAnsi" w:eastAsia="Calibri" w:hAnsiTheme="majorHAnsi" w:cstheme="majorHAnsi"/>
          <w:b/>
          <w:sz w:val="24"/>
          <w:szCs w:val="24"/>
          <w:lang w:val="ro-MD"/>
        </w:rPr>
        <w:t xml:space="preserve">, </w:t>
      </w:r>
      <w:r w:rsidR="009905FB" w:rsidRPr="00641BC7">
        <w:rPr>
          <w:rFonts w:asciiTheme="majorHAnsi" w:eastAsia="Calibri" w:hAnsiTheme="majorHAnsi" w:cstheme="majorHAnsi"/>
          <w:sz w:val="24"/>
          <w:szCs w:val="24"/>
          <w:lang w:val="ro-MD"/>
        </w:rPr>
        <w:t xml:space="preserve">concomitent fiind diminuată valoarea contului 419 „Alte creanțe ale instituțiilor bugetare” cu suma </w:t>
      </w:r>
      <w:r w:rsidR="00563D95" w:rsidRPr="00641BC7">
        <w:rPr>
          <w:rFonts w:asciiTheme="majorHAnsi" w:eastAsia="Calibri" w:hAnsiTheme="majorHAnsi" w:cstheme="majorHAnsi"/>
          <w:sz w:val="24"/>
          <w:szCs w:val="24"/>
          <w:lang w:val="ro-MD"/>
        </w:rPr>
        <w:t xml:space="preserve">de </w:t>
      </w:r>
      <w:r w:rsidR="00630965" w:rsidRPr="00641BC7">
        <w:rPr>
          <w:rFonts w:asciiTheme="majorHAnsi" w:eastAsia="Calibri" w:hAnsiTheme="majorHAnsi" w:cstheme="majorHAnsi"/>
          <w:sz w:val="24"/>
          <w:szCs w:val="24"/>
          <w:lang w:val="ro-MD"/>
        </w:rPr>
        <w:t>26 360,8 mii lei</w:t>
      </w:r>
      <w:r w:rsidR="009905FB" w:rsidRPr="00641BC7">
        <w:rPr>
          <w:rFonts w:asciiTheme="majorHAnsi" w:eastAsia="Calibri" w:hAnsiTheme="majorHAnsi" w:cstheme="majorHAnsi"/>
          <w:sz w:val="24"/>
          <w:szCs w:val="24"/>
          <w:lang w:val="ro-MD"/>
        </w:rPr>
        <w:t>, înregistrând la cheltuieli mijloacele financiare</w:t>
      </w:r>
      <w:r w:rsidR="009905FB" w:rsidRPr="00641BC7">
        <w:rPr>
          <w:rFonts w:asciiTheme="majorHAnsi" w:eastAsia="Calibri" w:hAnsiTheme="majorHAnsi" w:cstheme="majorHAnsi"/>
          <w:b/>
          <w:sz w:val="24"/>
          <w:szCs w:val="24"/>
          <w:lang w:val="ro-MD"/>
        </w:rPr>
        <w:t xml:space="preserve"> </w:t>
      </w:r>
      <w:r w:rsidR="009905FB" w:rsidRPr="00641BC7">
        <w:rPr>
          <w:rFonts w:asciiTheme="majorHAnsi" w:eastAsia="Calibri" w:hAnsiTheme="majorHAnsi" w:cstheme="majorHAnsi"/>
          <w:sz w:val="24"/>
          <w:szCs w:val="24"/>
          <w:lang w:val="ro-MD"/>
        </w:rPr>
        <w:t>transferate în calitate de contribuție financiară pentru implementarea un</w:t>
      </w:r>
      <w:r w:rsidR="00F453A9" w:rsidRPr="00641BC7">
        <w:rPr>
          <w:rFonts w:asciiTheme="majorHAnsi" w:eastAsia="Calibri" w:hAnsiTheme="majorHAnsi" w:cstheme="majorHAnsi"/>
          <w:sz w:val="24"/>
          <w:szCs w:val="24"/>
          <w:lang w:val="ro-MD"/>
        </w:rPr>
        <w:t>ui</w:t>
      </w:r>
      <w:r w:rsidR="009905FB" w:rsidRPr="00641BC7">
        <w:rPr>
          <w:rFonts w:asciiTheme="majorHAnsi" w:eastAsia="Calibri" w:hAnsiTheme="majorHAnsi" w:cstheme="majorHAnsi"/>
          <w:sz w:val="24"/>
          <w:szCs w:val="24"/>
          <w:lang w:val="ro-MD"/>
        </w:rPr>
        <w:t xml:space="preserve"> proiect</w:t>
      </w:r>
      <w:r w:rsidR="00070EE5" w:rsidRPr="00641BC7">
        <w:rPr>
          <w:rFonts w:asciiTheme="majorHAnsi" w:eastAsia="Calibri" w:hAnsiTheme="majorHAnsi" w:cstheme="majorHAnsi"/>
          <w:sz w:val="24"/>
          <w:szCs w:val="24"/>
          <w:lang w:val="ro-MD"/>
        </w:rPr>
        <w:t>;</w:t>
      </w:r>
    </w:p>
    <w:p w14:paraId="11D98C5C" w14:textId="008F67C4" w:rsidR="00712577" w:rsidRPr="00641BC7" w:rsidRDefault="00E10C00" w:rsidP="00EA2FA6">
      <w:pPr>
        <w:spacing w:after="0" w:line="276" w:lineRule="auto"/>
        <w:ind w:right="-31"/>
        <w:jc w:val="both"/>
        <w:rPr>
          <w:rFonts w:asciiTheme="majorHAnsi" w:hAnsiTheme="majorHAnsi" w:cstheme="majorHAnsi"/>
          <w:sz w:val="24"/>
          <w:szCs w:val="24"/>
          <w:lang w:val="ro-MD"/>
        </w:rPr>
      </w:pPr>
      <w:r w:rsidRPr="00641BC7">
        <w:rPr>
          <w:rFonts w:asciiTheme="majorHAnsi" w:hAnsiTheme="majorHAnsi" w:cstheme="majorHAnsi"/>
          <w:sz w:val="24"/>
          <w:szCs w:val="24"/>
          <w:lang w:val="ro-MD"/>
        </w:rPr>
        <w:t xml:space="preserve">- </w:t>
      </w:r>
      <w:r w:rsidR="00630965" w:rsidRPr="00641BC7">
        <w:rPr>
          <w:rFonts w:asciiTheme="majorHAnsi" w:hAnsiTheme="majorHAnsi" w:cstheme="majorHAnsi"/>
          <w:sz w:val="24"/>
          <w:szCs w:val="24"/>
          <w:lang w:val="ro-MD"/>
        </w:rPr>
        <w:t>a fost m</w:t>
      </w:r>
      <w:r w:rsidR="00630965" w:rsidRPr="00641BC7">
        <w:rPr>
          <w:rFonts w:asciiTheme="majorHAnsi" w:eastAsia="Calibri" w:hAnsiTheme="majorHAnsi" w:cstheme="majorHAnsi"/>
          <w:sz w:val="24"/>
          <w:szCs w:val="24"/>
          <w:lang w:val="ro-MD"/>
        </w:rPr>
        <w:t>ajorat</w:t>
      </w:r>
      <w:r w:rsidR="009F79B6" w:rsidRPr="00641BC7">
        <w:rPr>
          <w:rFonts w:asciiTheme="majorHAnsi" w:eastAsia="Calibri" w:hAnsiTheme="majorHAnsi" w:cstheme="majorHAnsi"/>
          <w:sz w:val="24"/>
          <w:szCs w:val="24"/>
          <w:lang w:val="ro-MD"/>
        </w:rPr>
        <w:t>ă valoarea</w:t>
      </w:r>
      <w:r w:rsidR="00630965" w:rsidRPr="00641BC7">
        <w:rPr>
          <w:rFonts w:asciiTheme="majorHAnsi" w:eastAsia="Calibri" w:hAnsiTheme="majorHAnsi" w:cstheme="majorHAnsi"/>
          <w:sz w:val="24"/>
          <w:szCs w:val="24"/>
          <w:lang w:val="ro-MD"/>
        </w:rPr>
        <w:t xml:space="preserve"> contul</w:t>
      </w:r>
      <w:r w:rsidR="009F79B6" w:rsidRPr="00641BC7">
        <w:rPr>
          <w:rFonts w:asciiTheme="majorHAnsi" w:eastAsia="Calibri" w:hAnsiTheme="majorHAnsi" w:cstheme="majorHAnsi"/>
          <w:sz w:val="24"/>
          <w:szCs w:val="24"/>
          <w:lang w:val="ro-MD"/>
        </w:rPr>
        <w:t>ui</w:t>
      </w:r>
      <w:r w:rsidR="00630965" w:rsidRPr="00641BC7">
        <w:rPr>
          <w:rFonts w:asciiTheme="majorHAnsi" w:eastAsia="Calibri" w:hAnsiTheme="majorHAnsi" w:cstheme="majorHAnsi"/>
          <w:sz w:val="24"/>
          <w:szCs w:val="24"/>
          <w:lang w:val="ro-MD"/>
        </w:rPr>
        <w:t xml:space="preserve"> </w:t>
      </w:r>
      <w:r w:rsidRPr="00641BC7">
        <w:rPr>
          <w:rFonts w:asciiTheme="majorHAnsi" w:hAnsiTheme="majorHAnsi" w:cstheme="majorHAnsi"/>
          <w:sz w:val="24"/>
          <w:szCs w:val="24"/>
          <w:lang w:val="ro-MD"/>
        </w:rPr>
        <w:t>289 „Cheltuieli privind transmiterea activelor cu titlul gratuit”</w:t>
      </w:r>
      <w:r w:rsidR="009F79B6" w:rsidRPr="00641BC7">
        <w:rPr>
          <w:rFonts w:asciiTheme="majorHAnsi" w:hAnsiTheme="majorHAnsi" w:cstheme="majorHAnsi"/>
          <w:sz w:val="24"/>
          <w:szCs w:val="24"/>
          <w:lang w:val="ro-MD"/>
        </w:rPr>
        <w:t>,</w:t>
      </w:r>
      <w:r w:rsidRPr="00641BC7">
        <w:rPr>
          <w:rFonts w:asciiTheme="majorHAnsi" w:hAnsiTheme="majorHAnsi" w:cstheme="majorHAnsi"/>
          <w:sz w:val="24"/>
          <w:szCs w:val="24"/>
          <w:lang w:val="ro-MD"/>
        </w:rPr>
        <w:t xml:space="preserve"> în sumă de </w:t>
      </w:r>
      <w:r w:rsidR="00712577" w:rsidRPr="00641BC7">
        <w:rPr>
          <w:rFonts w:asciiTheme="majorHAnsi" w:hAnsiTheme="majorHAnsi" w:cstheme="majorHAnsi"/>
          <w:b/>
          <w:sz w:val="24"/>
          <w:szCs w:val="24"/>
          <w:lang w:val="ro-MD"/>
        </w:rPr>
        <w:t>7 613,7</w:t>
      </w:r>
      <w:r w:rsidR="00070EE5" w:rsidRPr="00641BC7">
        <w:rPr>
          <w:rFonts w:asciiTheme="majorHAnsi" w:hAnsiTheme="majorHAnsi" w:cstheme="majorHAnsi"/>
          <w:b/>
          <w:sz w:val="24"/>
          <w:szCs w:val="24"/>
          <w:lang w:val="ro-MD"/>
        </w:rPr>
        <w:t xml:space="preserve"> mii lei</w:t>
      </w:r>
      <w:r w:rsidR="00070EE5" w:rsidRPr="00641BC7">
        <w:rPr>
          <w:rStyle w:val="FootnoteReference"/>
          <w:rFonts w:asciiTheme="majorHAnsi" w:hAnsiTheme="majorHAnsi" w:cstheme="majorHAnsi"/>
          <w:b/>
          <w:sz w:val="24"/>
          <w:szCs w:val="24"/>
          <w:lang w:val="ro-MD"/>
        </w:rPr>
        <w:footnoteReference w:id="4"/>
      </w:r>
      <w:r w:rsidR="009F79B6" w:rsidRPr="00641BC7">
        <w:rPr>
          <w:rFonts w:asciiTheme="majorHAnsi" w:hAnsiTheme="majorHAnsi" w:cstheme="majorHAnsi"/>
          <w:b/>
          <w:sz w:val="24"/>
          <w:szCs w:val="24"/>
          <w:lang w:val="ro-MD"/>
        </w:rPr>
        <w:t>,</w:t>
      </w:r>
      <w:r w:rsidR="00070EE5" w:rsidRPr="00641BC7">
        <w:rPr>
          <w:rFonts w:asciiTheme="majorHAnsi" w:hAnsiTheme="majorHAnsi" w:cstheme="majorHAnsi"/>
          <w:sz w:val="24"/>
          <w:szCs w:val="24"/>
          <w:lang w:val="ro-MD"/>
        </w:rPr>
        <w:t xml:space="preserve"> aferentă lucrărilor de construcție a 5 obiecte</w:t>
      </w:r>
      <w:r w:rsidR="00D36346" w:rsidRPr="00641BC7">
        <w:rPr>
          <w:rFonts w:asciiTheme="majorHAnsi" w:hAnsiTheme="majorHAnsi" w:cstheme="majorHAnsi"/>
          <w:sz w:val="24"/>
          <w:szCs w:val="24"/>
          <w:lang w:val="ro-MD"/>
        </w:rPr>
        <w:t>,</w:t>
      </w:r>
      <w:r w:rsidR="00070EE5" w:rsidRPr="00641BC7">
        <w:rPr>
          <w:rFonts w:asciiTheme="majorHAnsi" w:hAnsiTheme="majorHAnsi" w:cstheme="majorHAnsi"/>
          <w:sz w:val="24"/>
          <w:szCs w:val="24"/>
          <w:lang w:val="ro-MD"/>
        </w:rPr>
        <w:t xml:space="preserve"> transmise neregulamentar </w:t>
      </w:r>
      <w:r w:rsidR="00630965" w:rsidRPr="00641BC7">
        <w:rPr>
          <w:rFonts w:asciiTheme="majorHAnsi" w:hAnsiTheme="majorHAnsi" w:cstheme="majorHAnsi"/>
          <w:sz w:val="24"/>
          <w:szCs w:val="24"/>
          <w:lang w:val="ro-MD"/>
        </w:rPr>
        <w:t xml:space="preserve">la balanța </w:t>
      </w:r>
      <w:r w:rsidR="00070EE5" w:rsidRPr="00641BC7">
        <w:rPr>
          <w:rFonts w:asciiTheme="majorHAnsi" w:hAnsiTheme="majorHAnsi" w:cstheme="majorHAnsi"/>
          <w:sz w:val="24"/>
          <w:szCs w:val="24"/>
          <w:lang w:val="ro-MD"/>
        </w:rPr>
        <w:t>UAT de nivelul I</w:t>
      </w:r>
      <w:r w:rsidR="009F79B6" w:rsidRPr="00641BC7">
        <w:rPr>
          <w:rFonts w:asciiTheme="majorHAnsi" w:hAnsiTheme="majorHAnsi" w:cstheme="majorHAnsi"/>
          <w:sz w:val="24"/>
          <w:szCs w:val="24"/>
          <w:lang w:val="ro-MD"/>
        </w:rPr>
        <w:t>,</w:t>
      </w:r>
      <w:r w:rsidR="00712577" w:rsidRPr="00641BC7">
        <w:rPr>
          <w:rFonts w:asciiTheme="majorHAnsi" w:hAnsiTheme="majorHAnsi" w:cstheme="majorHAnsi"/>
          <w:sz w:val="24"/>
          <w:szCs w:val="24"/>
          <w:lang w:val="ro-MD"/>
        </w:rPr>
        <w:t xml:space="preserve"> și </w:t>
      </w:r>
      <w:r w:rsidR="00712577" w:rsidRPr="00641BC7">
        <w:rPr>
          <w:rFonts w:asciiTheme="majorHAnsi" w:eastAsia="Calibri" w:hAnsiTheme="majorHAnsi" w:cstheme="majorHAnsi"/>
          <w:sz w:val="24"/>
          <w:szCs w:val="24"/>
          <w:lang w:val="ro-MD" w:eastAsia="lv-LV"/>
        </w:rPr>
        <w:t xml:space="preserve">unui teren transmis </w:t>
      </w:r>
      <w:r w:rsidR="00702642" w:rsidRPr="00641BC7">
        <w:rPr>
          <w:rFonts w:asciiTheme="majorHAnsi" w:eastAsia="Calibri" w:hAnsiTheme="majorHAnsi" w:cstheme="majorHAnsi"/>
          <w:sz w:val="24"/>
          <w:szCs w:val="24"/>
          <w:lang w:val="ro-MD" w:eastAsia="lv-LV"/>
        </w:rPr>
        <w:t>în gestiune către o instituție publică</w:t>
      </w:r>
      <w:r w:rsidR="00630965" w:rsidRPr="00641BC7">
        <w:rPr>
          <w:rFonts w:asciiTheme="majorHAnsi" w:eastAsia="Calibri" w:hAnsiTheme="majorHAnsi" w:cstheme="majorHAnsi"/>
          <w:sz w:val="24"/>
          <w:szCs w:val="24"/>
          <w:lang w:val="ro-MD" w:eastAsia="lv-LV"/>
        </w:rPr>
        <w:t xml:space="preserve"> fondată</w:t>
      </w:r>
      <w:r w:rsidR="00712577" w:rsidRPr="00641BC7">
        <w:rPr>
          <w:rStyle w:val="FootnoteReference"/>
          <w:rFonts w:asciiTheme="majorHAnsi" w:eastAsia="Calibri" w:hAnsiTheme="majorHAnsi" w:cstheme="majorHAnsi"/>
          <w:sz w:val="24"/>
          <w:szCs w:val="24"/>
          <w:lang w:val="ro-MD" w:eastAsia="lv-LV"/>
        </w:rPr>
        <w:footnoteReference w:id="5"/>
      </w:r>
      <w:r w:rsidR="00070EE5" w:rsidRPr="00641BC7">
        <w:rPr>
          <w:rFonts w:asciiTheme="majorHAnsi" w:hAnsiTheme="majorHAnsi" w:cstheme="majorHAnsi"/>
          <w:sz w:val="24"/>
          <w:szCs w:val="24"/>
          <w:lang w:val="ro-MD"/>
        </w:rPr>
        <w:t>, fiind diminuat</w:t>
      </w:r>
      <w:r w:rsidR="009F79B6" w:rsidRPr="00641BC7">
        <w:rPr>
          <w:rFonts w:asciiTheme="majorHAnsi" w:hAnsiTheme="majorHAnsi" w:cstheme="majorHAnsi"/>
          <w:sz w:val="24"/>
          <w:szCs w:val="24"/>
          <w:lang w:val="ro-MD"/>
        </w:rPr>
        <w:t>ă,</w:t>
      </w:r>
      <w:r w:rsidR="00070EE5" w:rsidRPr="00641BC7">
        <w:rPr>
          <w:rFonts w:asciiTheme="majorHAnsi" w:hAnsiTheme="majorHAnsi" w:cstheme="majorHAnsi"/>
          <w:sz w:val="24"/>
          <w:szCs w:val="24"/>
          <w:lang w:val="ro-MD"/>
        </w:rPr>
        <w:t xml:space="preserve"> </w:t>
      </w:r>
      <w:r w:rsidR="00630965" w:rsidRPr="00641BC7">
        <w:rPr>
          <w:rFonts w:asciiTheme="majorHAnsi" w:hAnsiTheme="majorHAnsi" w:cstheme="majorHAnsi"/>
          <w:sz w:val="24"/>
          <w:szCs w:val="24"/>
          <w:lang w:val="ro-MD"/>
        </w:rPr>
        <w:t>respectiv</w:t>
      </w:r>
      <w:r w:rsidR="009F79B6" w:rsidRPr="00641BC7">
        <w:rPr>
          <w:rFonts w:asciiTheme="majorHAnsi" w:hAnsiTheme="majorHAnsi" w:cstheme="majorHAnsi"/>
          <w:sz w:val="24"/>
          <w:szCs w:val="24"/>
          <w:lang w:val="ro-MD"/>
        </w:rPr>
        <w:t>, valoarea</w:t>
      </w:r>
      <w:r w:rsidR="00630965" w:rsidRPr="00641BC7">
        <w:rPr>
          <w:rFonts w:asciiTheme="majorHAnsi" w:hAnsiTheme="majorHAnsi" w:cstheme="majorHAnsi"/>
          <w:sz w:val="24"/>
          <w:szCs w:val="24"/>
          <w:lang w:val="ro-MD"/>
        </w:rPr>
        <w:t xml:space="preserve"> </w:t>
      </w:r>
      <w:r w:rsidR="00070EE5" w:rsidRPr="00641BC7">
        <w:rPr>
          <w:rFonts w:asciiTheme="majorHAnsi" w:hAnsiTheme="majorHAnsi" w:cstheme="majorHAnsi"/>
          <w:sz w:val="24"/>
          <w:szCs w:val="24"/>
          <w:lang w:val="ro-MD"/>
        </w:rPr>
        <w:t>contul</w:t>
      </w:r>
      <w:r w:rsidR="009F79B6" w:rsidRPr="00641BC7">
        <w:rPr>
          <w:rFonts w:asciiTheme="majorHAnsi" w:hAnsiTheme="majorHAnsi" w:cstheme="majorHAnsi"/>
          <w:sz w:val="24"/>
          <w:szCs w:val="24"/>
          <w:lang w:val="ro-MD"/>
        </w:rPr>
        <w:t>ui</w:t>
      </w:r>
      <w:r w:rsidR="00070EE5" w:rsidRPr="00641BC7">
        <w:rPr>
          <w:rFonts w:asciiTheme="majorHAnsi" w:hAnsiTheme="majorHAnsi" w:cstheme="majorHAnsi"/>
          <w:sz w:val="24"/>
          <w:szCs w:val="24"/>
          <w:lang w:val="ro-MD"/>
        </w:rPr>
        <w:t xml:space="preserve"> 311 „Clădiri”</w:t>
      </w:r>
      <w:r w:rsidR="00712577" w:rsidRPr="00641BC7">
        <w:rPr>
          <w:rFonts w:asciiTheme="majorHAnsi" w:hAnsiTheme="majorHAnsi" w:cstheme="majorHAnsi"/>
          <w:sz w:val="24"/>
          <w:szCs w:val="24"/>
          <w:lang w:val="ro-MD"/>
        </w:rPr>
        <w:t xml:space="preserve"> cu suma de 1646,5 mii lei și contul</w:t>
      </w:r>
      <w:r w:rsidR="009F79B6" w:rsidRPr="00641BC7">
        <w:rPr>
          <w:rFonts w:asciiTheme="majorHAnsi" w:hAnsiTheme="majorHAnsi" w:cstheme="majorHAnsi"/>
          <w:sz w:val="24"/>
          <w:szCs w:val="24"/>
          <w:lang w:val="ro-MD"/>
        </w:rPr>
        <w:t>ui</w:t>
      </w:r>
      <w:r w:rsidR="00712577" w:rsidRPr="00641BC7">
        <w:rPr>
          <w:rFonts w:asciiTheme="majorHAnsi" w:hAnsiTheme="majorHAnsi" w:cstheme="majorHAnsi"/>
          <w:sz w:val="24"/>
          <w:szCs w:val="24"/>
          <w:lang w:val="ro-MD"/>
        </w:rPr>
        <w:t xml:space="preserve"> 371„Tereniri” cu 5967,2 mii lei</w:t>
      </w:r>
      <w:r w:rsidR="00070EE5" w:rsidRPr="00641BC7">
        <w:rPr>
          <w:rFonts w:asciiTheme="majorHAnsi" w:hAnsiTheme="majorHAnsi" w:cstheme="majorHAnsi"/>
          <w:sz w:val="24"/>
          <w:szCs w:val="24"/>
          <w:lang w:val="ro-MD"/>
        </w:rPr>
        <w:t>;</w:t>
      </w:r>
      <w:r w:rsidR="00630965" w:rsidRPr="00641BC7">
        <w:rPr>
          <w:rFonts w:asciiTheme="majorHAnsi" w:hAnsiTheme="majorHAnsi" w:cstheme="majorHAnsi"/>
          <w:sz w:val="24"/>
          <w:szCs w:val="24"/>
          <w:lang w:val="ro-MD"/>
        </w:rPr>
        <w:t xml:space="preserve"> </w:t>
      </w:r>
    </w:p>
    <w:p w14:paraId="6FE1C2F1" w14:textId="79BD6776" w:rsidR="00F36369" w:rsidRPr="00641BC7" w:rsidRDefault="00070EE5" w:rsidP="00EA2FA6">
      <w:pPr>
        <w:spacing w:after="0" w:line="276" w:lineRule="auto"/>
        <w:ind w:right="-31"/>
        <w:jc w:val="both"/>
        <w:rPr>
          <w:rFonts w:asciiTheme="majorHAnsi" w:hAnsiTheme="majorHAnsi" w:cstheme="majorHAnsi"/>
          <w:sz w:val="24"/>
          <w:szCs w:val="24"/>
          <w:lang w:val="ro-MD"/>
        </w:rPr>
      </w:pPr>
      <w:r w:rsidRPr="00641BC7">
        <w:rPr>
          <w:rFonts w:asciiTheme="majorHAnsi" w:eastAsia="Calibri" w:hAnsiTheme="majorHAnsi" w:cstheme="majorHAnsi"/>
          <w:sz w:val="24"/>
          <w:szCs w:val="24"/>
          <w:lang w:val="ro-MD"/>
        </w:rPr>
        <w:t xml:space="preserve">- </w:t>
      </w:r>
      <w:r w:rsidR="006B0EBB" w:rsidRPr="00641BC7">
        <w:rPr>
          <w:rFonts w:asciiTheme="majorHAnsi" w:hAnsiTheme="majorHAnsi" w:cstheme="majorHAnsi"/>
          <w:sz w:val="24"/>
          <w:szCs w:val="24"/>
          <w:lang w:val="ro-MD"/>
        </w:rPr>
        <w:t>a fost m</w:t>
      </w:r>
      <w:r w:rsidR="006B0EBB" w:rsidRPr="00641BC7">
        <w:rPr>
          <w:rFonts w:asciiTheme="majorHAnsi" w:eastAsia="Calibri" w:hAnsiTheme="majorHAnsi" w:cstheme="majorHAnsi"/>
          <w:sz w:val="24"/>
          <w:szCs w:val="24"/>
          <w:lang w:val="ro-MD"/>
        </w:rPr>
        <w:t>ajorat</w:t>
      </w:r>
      <w:r w:rsidR="00F1126F" w:rsidRPr="00641BC7">
        <w:rPr>
          <w:rFonts w:asciiTheme="majorHAnsi" w:eastAsia="Calibri" w:hAnsiTheme="majorHAnsi" w:cstheme="majorHAnsi"/>
          <w:sz w:val="24"/>
          <w:szCs w:val="24"/>
          <w:lang w:val="ro-MD"/>
        </w:rPr>
        <w:t>ă valoarea</w:t>
      </w:r>
      <w:r w:rsidR="006B0EBB" w:rsidRPr="00641BC7">
        <w:rPr>
          <w:rFonts w:asciiTheme="majorHAnsi" w:eastAsia="Calibri" w:hAnsiTheme="majorHAnsi" w:cstheme="majorHAnsi"/>
          <w:sz w:val="24"/>
          <w:szCs w:val="24"/>
          <w:lang w:val="ro-MD"/>
        </w:rPr>
        <w:t xml:space="preserve"> contul</w:t>
      </w:r>
      <w:r w:rsidR="00F1126F" w:rsidRPr="00641BC7">
        <w:rPr>
          <w:rFonts w:asciiTheme="majorHAnsi" w:eastAsia="Calibri" w:hAnsiTheme="majorHAnsi" w:cstheme="majorHAnsi"/>
          <w:sz w:val="24"/>
          <w:szCs w:val="24"/>
          <w:lang w:val="ro-MD"/>
        </w:rPr>
        <w:t>ui</w:t>
      </w:r>
      <w:r w:rsidR="006B0EBB" w:rsidRPr="00641BC7">
        <w:rPr>
          <w:rFonts w:asciiTheme="majorHAnsi" w:eastAsia="Calibri" w:hAnsiTheme="majorHAnsi" w:cstheme="majorHAnsi"/>
          <w:sz w:val="24"/>
          <w:szCs w:val="24"/>
          <w:lang w:val="ro-MD"/>
        </w:rPr>
        <w:t xml:space="preserve"> </w:t>
      </w:r>
      <w:r w:rsidR="000B32FC" w:rsidRPr="00641BC7">
        <w:rPr>
          <w:rFonts w:asciiTheme="majorHAnsi" w:hAnsiTheme="majorHAnsi" w:cstheme="majorHAnsi"/>
          <w:sz w:val="24"/>
          <w:szCs w:val="24"/>
          <w:lang w:val="ro-MD"/>
        </w:rPr>
        <w:t>254 „</w:t>
      </w:r>
      <w:r w:rsidR="000B32FC" w:rsidRPr="00641BC7">
        <w:rPr>
          <w:rFonts w:asciiTheme="majorHAnsi" w:eastAsia="Times New Roman" w:hAnsiTheme="majorHAnsi" w:cstheme="majorHAnsi"/>
          <w:sz w:val="24"/>
          <w:szCs w:val="24"/>
          <w:lang w:val="ro-MD"/>
        </w:rPr>
        <w:t>Subvenţii acordate autorităţilor/instituţiilor publice la autogestiune”</w:t>
      </w:r>
      <w:r w:rsidR="00FE63EA" w:rsidRPr="00641BC7">
        <w:rPr>
          <w:rFonts w:asciiTheme="majorHAnsi" w:eastAsia="Times New Roman" w:hAnsiTheme="majorHAnsi" w:cstheme="majorHAnsi"/>
          <w:sz w:val="24"/>
          <w:szCs w:val="24"/>
          <w:lang w:val="ro-MD"/>
        </w:rPr>
        <w:t>,</w:t>
      </w:r>
      <w:r w:rsidR="000B32FC" w:rsidRPr="00641BC7">
        <w:rPr>
          <w:rFonts w:asciiTheme="majorHAnsi" w:eastAsia="Times New Roman" w:hAnsiTheme="majorHAnsi" w:cstheme="majorHAnsi"/>
          <w:sz w:val="24"/>
          <w:szCs w:val="24"/>
          <w:lang w:val="ro-MD"/>
        </w:rPr>
        <w:t xml:space="preserve"> în sumă totală de </w:t>
      </w:r>
      <w:r w:rsidR="00F36369" w:rsidRPr="00641BC7">
        <w:rPr>
          <w:rFonts w:asciiTheme="majorHAnsi" w:eastAsia="Times New Roman" w:hAnsiTheme="majorHAnsi" w:cstheme="majorHAnsi"/>
          <w:b/>
          <w:sz w:val="24"/>
          <w:szCs w:val="24"/>
          <w:lang w:val="ro-MD"/>
        </w:rPr>
        <w:t>1739,3 mii lei</w:t>
      </w:r>
      <w:r w:rsidR="00A20599" w:rsidRPr="00641BC7">
        <w:rPr>
          <w:rFonts w:asciiTheme="majorHAnsi" w:eastAsia="Times New Roman" w:hAnsiTheme="majorHAnsi" w:cstheme="majorHAnsi"/>
          <w:sz w:val="24"/>
          <w:szCs w:val="24"/>
          <w:lang w:val="ro-MD"/>
        </w:rPr>
        <w:t>,</w:t>
      </w:r>
      <w:r w:rsidR="00F36369" w:rsidRPr="00641BC7">
        <w:rPr>
          <w:rFonts w:asciiTheme="majorHAnsi" w:eastAsia="Times New Roman" w:hAnsiTheme="majorHAnsi" w:cstheme="majorHAnsi"/>
          <w:sz w:val="24"/>
          <w:szCs w:val="24"/>
          <w:lang w:val="ro-MD"/>
        </w:rPr>
        <w:t xml:space="preserve"> </w:t>
      </w:r>
      <w:r w:rsidR="00F36369" w:rsidRPr="00641BC7">
        <w:rPr>
          <w:rFonts w:asciiTheme="majorHAnsi" w:eastAsia="Calibri" w:hAnsiTheme="majorHAnsi" w:cstheme="majorHAnsi"/>
          <w:sz w:val="24"/>
          <w:szCs w:val="24"/>
          <w:lang w:val="ro-MD"/>
        </w:rPr>
        <w:t xml:space="preserve">concomitent fiind diminuată valoarea contului 415 </w:t>
      </w:r>
      <w:r w:rsidR="00F36369" w:rsidRPr="00641BC7">
        <w:rPr>
          <w:rFonts w:asciiTheme="majorHAnsi" w:eastAsia="Calibri" w:hAnsiTheme="majorHAnsi" w:cstheme="majorHAnsi"/>
          <w:sz w:val="24"/>
          <w:szCs w:val="24"/>
          <w:lang w:val="ro-MD"/>
        </w:rPr>
        <w:lastRenderedPageBreak/>
        <w:t>„</w:t>
      </w:r>
      <w:r w:rsidR="00F36369" w:rsidRPr="00641BC7">
        <w:rPr>
          <w:rFonts w:asciiTheme="majorHAnsi" w:eastAsia="Times New Roman" w:hAnsiTheme="majorHAnsi" w:cstheme="majorHAnsi"/>
          <w:sz w:val="24"/>
          <w:szCs w:val="24"/>
          <w:lang w:val="ro-MD"/>
        </w:rPr>
        <w:t xml:space="preserve">Acţiuni şi alte forme de participare în capital în interiorul ţării” </w:t>
      </w:r>
      <w:r w:rsidR="00F36369" w:rsidRPr="00641BC7">
        <w:rPr>
          <w:rFonts w:asciiTheme="majorHAnsi" w:eastAsia="Calibri" w:hAnsiTheme="majorHAnsi" w:cstheme="majorHAnsi"/>
          <w:sz w:val="24"/>
          <w:szCs w:val="24"/>
          <w:lang w:val="ro-MD"/>
        </w:rPr>
        <w:t>cu suma respectivă, înregistrând la cheltuieli mijloacele financiare</w:t>
      </w:r>
      <w:r w:rsidR="00F36369" w:rsidRPr="00641BC7">
        <w:rPr>
          <w:rFonts w:asciiTheme="majorHAnsi" w:eastAsia="Calibri" w:hAnsiTheme="majorHAnsi" w:cstheme="majorHAnsi"/>
          <w:b/>
          <w:sz w:val="24"/>
          <w:szCs w:val="24"/>
          <w:lang w:val="ro-MD"/>
        </w:rPr>
        <w:t xml:space="preserve"> </w:t>
      </w:r>
      <w:r w:rsidR="00F36369" w:rsidRPr="00641BC7">
        <w:rPr>
          <w:rFonts w:asciiTheme="majorHAnsi" w:eastAsia="Calibri" w:hAnsiTheme="majorHAnsi" w:cstheme="majorHAnsi"/>
          <w:sz w:val="24"/>
          <w:szCs w:val="24"/>
          <w:lang w:val="ro-MD"/>
        </w:rPr>
        <w:t>transferate instituțiilor medico</w:t>
      </w:r>
      <w:r w:rsidR="00A20599" w:rsidRPr="00641BC7">
        <w:rPr>
          <w:rFonts w:asciiTheme="majorHAnsi" w:eastAsia="Calibri" w:hAnsiTheme="majorHAnsi" w:cstheme="majorHAnsi"/>
          <w:sz w:val="24"/>
          <w:szCs w:val="24"/>
          <w:lang w:val="ro-MD"/>
        </w:rPr>
        <w:t>-</w:t>
      </w:r>
      <w:r w:rsidR="00F36369" w:rsidRPr="00641BC7">
        <w:rPr>
          <w:rFonts w:asciiTheme="majorHAnsi" w:eastAsia="Calibri" w:hAnsiTheme="majorHAnsi" w:cstheme="majorHAnsi"/>
          <w:sz w:val="24"/>
          <w:szCs w:val="24"/>
          <w:lang w:val="ro-MD"/>
        </w:rPr>
        <w:t xml:space="preserve">sanitare publice </w:t>
      </w:r>
      <w:r w:rsidR="00A20599" w:rsidRPr="00641BC7">
        <w:rPr>
          <w:rFonts w:asciiTheme="majorHAnsi" w:eastAsia="Calibri" w:hAnsiTheme="majorHAnsi" w:cstheme="majorHAnsi"/>
          <w:sz w:val="24"/>
          <w:szCs w:val="24"/>
          <w:lang w:val="ro-MD"/>
        </w:rPr>
        <w:t xml:space="preserve">pentru procurarea echipamentului de protecție, utilajului medical și altor materiale necesare </w:t>
      </w:r>
      <w:r w:rsidR="00FE63EA" w:rsidRPr="00641BC7">
        <w:rPr>
          <w:rFonts w:asciiTheme="majorHAnsi" w:eastAsia="Calibri" w:hAnsiTheme="majorHAnsi" w:cstheme="majorHAnsi"/>
          <w:sz w:val="24"/>
          <w:szCs w:val="24"/>
          <w:lang w:val="ro-MD"/>
        </w:rPr>
        <w:t>pentru</w:t>
      </w:r>
      <w:r w:rsidR="00A20599" w:rsidRPr="00641BC7">
        <w:rPr>
          <w:rFonts w:asciiTheme="majorHAnsi" w:eastAsia="Calibri" w:hAnsiTheme="majorHAnsi" w:cstheme="majorHAnsi"/>
          <w:sz w:val="24"/>
          <w:szCs w:val="24"/>
          <w:lang w:val="ro-MD"/>
        </w:rPr>
        <w:t xml:space="preserve"> protecția personalului implicat în tratarea pacienților cu infecția coronavirus de tip nou „COVID-19”</w:t>
      </w:r>
      <w:r w:rsidR="00064740" w:rsidRPr="00641BC7">
        <w:rPr>
          <w:rFonts w:asciiTheme="majorHAnsi" w:eastAsia="Calibri" w:hAnsiTheme="majorHAnsi" w:cstheme="majorHAnsi"/>
          <w:sz w:val="24"/>
          <w:szCs w:val="24"/>
          <w:lang w:val="ro-MD"/>
        </w:rPr>
        <w:t>;</w:t>
      </w:r>
    </w:p>
    <w:p w14:paraId="5722F059" w14:textId="72371DF7" w:rsidR="00064740" w:rsidRPr="00641BC7" w:rsidRDefault="00064740" w:rsidP="00EA2FA6">
      <w:pPr>
        <w:spacing w:after="0" w:line="276" w:lineRule="auto"/>
        <w:ind w:right="-31"/>
        <w:jc w:val="both"/>
        <w:rPr>
          <w:rFonts w:asciiTheme="majorHAnsi" w:hAnsiTheme="majorHAnsi" w:cstheme="majorHAnsi"/>
          <w:sz w:val="24"/>
          <w:szCs w:val="24"/>
          <w:lang w:val="ro-MD"/>
        </w:rPr>
      </w:pPr>
      <w:r w:rsidRPr="00641BC7">
        <w:rPr>
          <w:rFonts w:asciiTheme="majorHAnsi" w:eastAsia="Calibri" w:hAnsiTheme="majorHAnsi" w:cstheme="majorHAnsi"/>
          <w:sz w:val="24"/>
          <w:szCs w:val="24"/>
          <w:lang w:val="ro-MD"/>
        </w:rPr>
        <w:t xml:space="preserve">- </w:t>
      </w:r>
      <w:r w:rsidR="00630965" w:rsidRPr="00641BC7">
        <w:rPr>
          <w:rFonts w:asciiTheme="majorHAnsi" w:eastAsia="Calibri" w:hAnsiTheme="majorHAnsi" w:cstheme="majorHAnsi"/>
          <w:sz w:val="24"/>
          <w:szCs w:val="24"/>
          <w:lang w:val="ro-MD"/>
        </w:rPr>
        <w:t xml:space="preserve">diminuarea </w:t>
      </w:r>
      <w:r w:rsidR="00F1126F" w:rsidRPr="00641BC7">
        <w:rPr>
          <w:rFonts w:asciiTheme="majorHAnsi" w:eastAsia="Calibri" w:hAnsiTheme="majorHAnsi" w:cstheme="majorHAnsi"/>
          <w:sz w:val="24"/>
          <w:szCs w:val="24"/>
          <w:lang w:val="ro-MD"/>
        </w:rPr>
        <w:t xml:space="preserve">valorii </w:t>
      </w:r>
      <w:r w:rsidR="006B0EBB" w:rsidRPr="00641BC7">
        <w:rPr>
          <w:rFonts w:asciiTheme="majorHAnsi" w:eastAsia="Calibri" w:hAnsiTheme="majorHAnsi" w:cstheme="majorHAnsi"/>
          <w:sz w:val="24"/>
          <w:szCs w:val="24"/>
          <w:lang w:val="ro-MD"/>
        </w:rPr>
        <w:t xml:space="preserve">contului </w:t>
      </w:r>
      <w:r w:rsidRPr="00641BC7">
        <w:rPr>
          <w:rFonts w:asciiTheme="majorHAnsi" w:eastAsia="Calibri" w:hAnsiTheme="majorHAnsi" w:cstheme="majorHAnsi"/>
          <w:sz w:val="24"/>
          <w:szCs w:val="24"/>
          <w:lang w:val="ro-MD"/>
        </w:rPr>
        <w:t xml:space="preserve">722 „Rezultatul financiar al instituției publice din anii precedenți” în sumă totală </w:t>
      </w:r>
      <w:r w:rsidR="00FE63EA" w:rsidRPr="00641BC7">
        <w:rPr>
          <w:rFonts w:asciiTheme="majorHAnsi" w:eastAsia="Calibri" w:hAnsiTheme="majorHAnsi" w:cstheme="majorHAnsi"/>
          <w:sz w:val="24"/>
          <w:szCs w:val="24"/>
          <w:lang w:val="ro-MD"/>
        </w:rPr>
        <w:t xml:space="preserve">de </w:t>
      </w:r>
      <w:r w:rsidRPr="00641BC7">
        <w:rPr>
          <w:rFonts w:asciiTheme="majorHAnsi" w:hAnsiTheme="majorHAnsi" w:cstheme="majorHAnsi"/>
          <w:b/>
          <w:sz w:val="24"/>
          <w:szCs w:val="24"/>
          <w:lang w:val="ro-MD"/>
        </w:rPr>
        <w:t>1 602,1 mii lei</w:t>
      </w:r>
      <w:r w:rsidRPr="00641BC7">
        <w:rPr>
          <w:rFonts w:asciiTheme="majorHAnsi" w:hAnsiTheme="majorHAnsi" w:cstheme="majorHAnsi"/>
          <w:sz w:val="24"/>
          <w:szCs w:val="24"/>
          <w:lang w:val="ro-MD"/>
        </w:rPr>
        <w:t xml:space="preserve"> din cauza excluderii neregulamentare a valorii unei clădiri</w:t>
      </w:r>
      <w:r w:rsidRPr="00641BC7">
        <w:rPr>
          <w:rStyle w:val="FootnoteReference"/>
          <w:rFonts w:asciiTheme="majorHAnsi" w:hAnsiTheme="majorHAnsi" w:cstheme="majorHAnsi"/>
          <w:sz w:val="24"/>
          <w:szCs w:val="24"/>
          <w:lang w:val="ro-MD"/>
        </w:rPr>
        <w:footnoteReference w:id="6"/>
      </w:r>
      <w:r w:rsidRPr="00641BC7">
        <w:rPr>
          <w:rFonts w:asciiTheme="majorHAnsi" w:hAnsiTheme="majorHAnsi" w:cstheme="majorHAnsi"/>
          <w:sz w:val="24"/>
          <w:szCs w:val="24"/>
          <w:lang w:val="ro-MD"/>
        </w:rPr>
        <w:t xml:space="preserve"> transmise în folosință către o instituție publică</w:t>
      </w:r>
      <w:r w:rsidRPr="00641BC7">
        <w:rPr>
          <w:rStyle w:val="FootnoteReference"/>
          <w:rFonts w:asciiTheme="majorHAnsi" w:hAnsiTheme="majorHAnsi" w:cstheme="majorHAnsi"/>
          <w:sz w:val="24"/>
          <w:szCs w:val="24"/>
          <w:lang w:val="ro-MD"/>
        </w:rPr>
        <w:footnoteReference w:id="7"/>
      </w:r>
      <w:r w:rsidRPr="00641BC7">
        <w:rPr>
          <w:rFonts w:asciiTheme="majorHAnsi" w:hAnsiTheme="majorHAnsi" w:cstheme="majorHAnsi"/>
          <w:sz w:val="24"/>
          <w:szCs w:val="24"/>
          <w:lang w:val="ro-MD"/>
        </w:rPr>
        <w:t xml:space="preserve">, fiind </w:t>
      </w:r>
      <w:r w:rsidR="006B0EBB" w:rsidRPr="00641BC7">
        <w:rPr>
          <w:rFonts w:asciiTheme="majorHAnsi" w:hAnsiTheme="majorHAnsi" w:cstheme="majorHAnsi"/>
          <w:sz w:val="24"/>
          <w:szCs w:val="24"/>
          <w:lang w:val="ro-MD"/>
        </w:rPr>
        <w:t xml:space="preserve">concomitent </w:t>
      </w:r>
      <w:r w:rsidRPr="00641BC7">
        <w:rPr>
          <w:rFonts w:asciiTheme="majorHAnsi" w:hAnsiTheme="majorHAnsi" w:cstheme="majorHAnsi"/>
          <w:sz w:val="24"/>
          <w:szCs w:val="24"/>
          <w:lang w:val="ro-MD"/>
        </w:rPr>
        <w:t>diminuat</w:t>
      </w:r>
      <w:r w:rsidR="00F1126F" w:rsidRPr="00641BC7">
        <w:rPr>
          <w:rFonts w:asciiTheme="majorHAnsi" w:hAnsiTheme="majorHAnsi" w:cstheme="majorHAnsi"/>
          <w:sz w:val="24"/>
          <w:szCs w:val="24"/>
          <w:lang w:val="ro-MD"/>
        </w:rPr>
        <w:t>ă valoarea</w:t>
      </w:r>
      <w:r w:rsidRPr="00641BC7">
        <w:rPr>
          <w:rFonts w:asciiTheme="majorHAnsi" w:hAnsiTheme="majorHAnsi" w:cstheme="majorHAnsi"/>
          <w:sz w:val="24"/>
          <w:szCs w:val="24"/>
          <w:lang w:val="ro-MD"/>
        </w:rPr>
        <w:t xml:space="preserve"> contul</w:t>
      </w:r>
      <w:r w:rsidR="00F1126F" w:rsidRPr="00641BC7">
        <w:rPr>
          <w:rFonts w:asciiTheme="majorHAnsi" w:hAnsiTheme="majorHAnsi" w:cstheme="majorHAnsi"/>
          <w:sz w:val="24"/>
          <w:szCs w:val="24"/>
          <w:lang w:val="ro-MD"/>
        </w:rPr>
        <w:t>ui</w:t>
      </w:r>
      <w:r w:rsidRPr="00641BC7">
        <w:rPr>
          <w:rFonts w:asciiTheme="majorHAnsi" w:hAnsiTheme="majorHAnsi" w:cstheme="majorHAnsi"/>
          <w:sz w:val="24"/>
          <w:szCs w:val="24"/>
          <w:lang w:val="ro-MD"/>
        </w:rPr>
        <w:t xml:space="preserve"> 311</w:t>
      </w:r>
      <w:r w:rsidR="00FE63EA" w:rsidRPr="00641BC7">
        <w:rPr>
          <w:rFonts w:asciiTheme="majorHAnsi" w:hAnsiTheme="majorHAnsi" w:cstheme="majorHAnsi"/>
          <w:sz w:val="24"/>
          <w:szCs w:val="24"/>
          <w:lang w:val="ro-MD"/>
        </w:rPr>
        <w:t xml:space="preserve"> </w:t>
      </w:r>
      <w:r w:rsidRPr="00641BC7">
        <w:rPr>
          <w:rFonts w:asciiTheme="majorHAnsi" w:hAnsiTheme="majorHAnsi" w:cstheme="majorHAnsi"/>
          <w:sz w:val="24"/>
          <w:szCs w:val="24"/>
          <w:lang w:val="ro-MD"/>
        </w:rPr>
        <w:t>„Clădiri”.</w:t>
      </w:r>
      <w:r w:rsidR="002B3C87" w:rsidRPr="00641BC7">
        <w:rPr>
          <w:rFonts w:asciiTheme="majorHAnsi" w:hAnsiTheme="majorHAnsi" w:cstheme="majorHAnsi"/>
          <w:sz w:val="24"/>
          <w:szCs w:val="24"/>
          <w:lang w:val="ro-MD"/>
        </w:rPr>
        <w:t xml:space="preserve"> </w:t>
      </w:r>
    </w:p>
    <w:p w14:paraId="345C5EDC" w14:textId="673D986F" w:rsidR="00D36346" w:rsidRPr="00641BC7" w:rsidRDefault="00D36346" w:rsidP="00D36346">
      <w:pPr>
        <w:tabs>
          <w:tab w:val="left" w:pos="0"/>
        </w:tabs>
        <w:spacing w:after="0" w:line="276" w:lineRule="auto"/>
        <w:contextualSpacing/>
        <w:jc w:val="both"/>
        <w:rPr>
          <w:rFonts w:asciiTheme="majorHAnsi" w:hAnsiTheme="majorHAnsi" w:cstheme="majorHAnsi"/>
          <w:iCs/>
          <w:sz w:val="24"/>
          <w:szCs w:val="24"/>
          <w:lang w:val="ro-MD"/>
        </w:rPr>
      </w:pPr>
      <w:r w:rsidRPr="00641BC7">
        <w:rPr>
          <w:rFonts w:asciiTheme="majorHAnsi" w:hAnsiTheme="majorHAnsi" w:cstheme="majorHAnsi"/>
          <w:b/>
          <w:bCs/>
          <w:iCs/>
          <w:sz w:val="24"/>
          <w:szCs w:val="24"/>
          <w:lang w:val="ro-MD"/>
        </w:rPr>
        <w:t>2.</w:t>
      </w:r>
      <w:r w:rsidR="00516C14" w:rsidRPr="00641BC7">
        <w:rPr>
          <w:rFonts w:asciiTheme="majorHAnsi" w:hAnsiTheme="majorHAnsi" w:cstheme="majorHAnsi"/>
          <w:b/>
          <w:bCs/>
          <w:iCs/>
          <w:sz w:val="24"/>
          <w:szCs w:val="24"/>
          <w:lang w:val="ro-MD"/>
        </w:rPr>
        <w:t>5</w:t>
      </w:r>
      <w:r w:rsidRPr="00641BC7">
        <w:rPr>
          <w:rFonts w:asciiTheme="majorHAnsi" w:hAnsiTheme="majorHAnsi" w:cstheme="majorHAnsi"/>
          <w:b/>
          <w:bCs/>
          <w:iCs/>
          <w:sz w:val="24"/>
          <w:szCs w:val="24"/>
          <w:lang w:val="ro-MD"/>
        </w:rPr>
        <w:t>.</w:t>
      </w:r>
      <w:r w:rsidRPr="00641BC7">
        <w:rPr>
          <w:rFonts w:asciiTheme="majorHAnsi" w:hAnsiTheme="majorHAnsi" w:cstheme="majorHAnsi"/>
          <w:sz w:val="24"/>
          <w:szCs w:val="24"/>
          <w:lang w:val="ro-MD"/>
        </w:rPr>
        <w:t xml:space="preserve"> Diminuarea valorii contului „Rezultat al instituției publice din anul curent” cu </w:t>
      </w:r>
      <w:r w:rsidRPr="00641BC7">
        <w:rPr>
          <w:rFonts w:asciiTheme="majorHAnsi" w:hAnsiTheme="majorHAnsi" w:cstheme="majorHAnsi"/>
          <w:b/>
          <w:sz w:val="24"/>
          <w:szCs w:val="24"/>
          <w:lang w:val="ro-MD"/>
        </w:rPr>
        <w:t xml:space="preserve">16393,8 mii lei </w:t>
      </w:r>
      <w:r w:rsidRPr="00641BC7">
        <w:rPr>
          <w:rFonts w:asciiTheme="majorHAnsi" w:hAnsiTheme="majorHAnsi" w:cstheme="majorHAnsi"/>
          <w:bCs/>
          <w:sz w:val="24"/>
          <w:szCs w:val="24"/>
          <w:lang w:val="ro-MD"/>
        </w:rPr>
        <w:t>și a</w:t>
      </w:r>
      <w:r w:rsidRPr="00641BC7">
        <w:rPr>
          <w:rFonts w:asciiTheme="majorHAnsi" w:hAnsiTheme="majorHAnsi" w:cstheme="majorHAnsi"/>
          <w:b/>
          <w:sz w:val="24"/>
          <w:szCs w:val="24"/>
          <w:lang w:val="ro-MD"/>
        </w:rPr>
        <w:t xml:space="preserve"> </w:t>
      </w:r>
      <w:r w:rsidRPr="00641BC7">
        <w:rPr>
          <w:rFonts w:asciiTheme="majorHAnsi" w:hAnsiTheme="majorHAnsi" w:cstheme="majorHAnsi"/>
          <w:sz w:val="24"/>
          <w:szCs w:val="24"/>
          <w:lang w:val="ro-MD"/>
        </w:rPr>
        <w:t xml:space="preserve">valorii contului „Rezultat al instituției publice din anul precedent” cu </w:t>
      </w:r>
      <w:r w:rsidR="00334097" w:rsidRPr="00641BC7">
        <w:rPr>
          <w:rFonts w:asciiTheme="majorHAnsi" w:hAnsiTheme="majorHAnsi" w:cstheme="majorHAnsi"/>
          <w:b/>
          <w:sz w:val="24"/>
          <w:szCs w:val="24"/>
          <w:lang w:val="ro-MD"/>
        </w:rPr>
        <w:t>17030,9</w:t>
      </w:r>
      <w:r w:rsidRPr="00641BC7">
        <w:rPr>
          <w:rFonts w:asciiTheme="majorHAnsi" w:hAnsiTheme="majorHAnsi" w:cstheme="majorHAnsi"/>
          <w:b/>
          <w:sz w:val="24"/>
          <w:szCs w:val="24"/>
          <w:lang w:val="ro-MD"/>
        </w:rPr>
        <w:t xml:space="preserve"> mii lei</w:t>
      </w:r>
      <w:r w:rsidRPr="00641BC7">
        <w:rPr>
          <w:rFonts w:asciiTheme="majorHAnsi" w:hAnsiTheme="majorHAnsi" w:cstheme="majorHAnsi"/>
          <w:sz w:val="24"/>
          <w:szCs w:val="24"/>
          <w:lang w:val="ro-MD"/>
        </w:rPr>
        <w:t xml:space="preserve">, ca urmare a deficiențelor indicate în </w:t>
      </w:r>
      <w:r w:rsidRPr="00641BC7">
        <w:rPr>
          <w:rFonts w:asciiTheme="majorHAnsi" w:hAnsiTheme="majorHAnsi" w:cstheme="majorHAnsi"/>
          <w:i/>
          <w:sz w:val="24"/>
          <w:szCs w:val="24"/>
          <w:lang w:val="ro-MD"/>
        </w:rPr>
        <w:t>Baza pentru opinie</w:t>
      </w:r>
      <w:r w:rsidRPr="00641BC7">
        <w:rPr>
          <w:rFonts w:asciiTheme="majorHAnsi" w:hAnsiTheme="majorHAnsi" w:cstheme="majorHAnsi"/>
          <w:sz w:val="24"/>
          <w:szCs w:val="24"/>
          <w:lang w:val="ro-MD"/>
        </w:rPr>
        <w:t xml:space="preserve"> și în alte </w:t>
      </w:r>
      <w:r w:rsidR="00FC446D" w:rsidRPr="00641BC7">
        <w:rPr>
          <w:rFonts w:asciiTheme="majorHAnsi" w:hAnsiTheme="majorHAnsi" w:cstheme="majorHAnsi"/>
          <w:sz w:val="24"/>
          <w:szCs w:val="24"/>
          <w:lang w:val="ro-MD"/>
        </w:rPr>
        <w:t xml:space="preserve">subcapitole </w:t>
      </w:r>
      <w:r w:rsidRPr="00641BC7">
        <w:rPr>
          <w:rFonts w:asciiTheme="majorHAnsi" w:hAnsiTheme="majorHAnsi" w:cstheme="majorHAnsi"/>
          <w:sz w:val="24"/>
          <w:szCs w:val="24"/>
          <w:lang w:val="ro-MD"/>
        </w:rPr>
        <w:t>din prezentul Raport.</w:t>
      </w:r>
    </w:p>
    <w:p w14:paraId="52EF3143" w14:textId="234C77B2" w:rsidR="00E75C37" w:rsidRPr="00641BC7" w:rsidRDefault="006D7B05" w:rsidP="00EA2FA6">
      <w:pPr>
        <w:spacing w:after="0" w:line="276" w:lineRule="auto"/>
        <w:ind w:right="-31"/>
        <w:jc w:val="both"/>
        <w:rPr>
          <w:rFonts w:asciiTheme="majorHAnsi" w:eastAsia="Calibri" w:hAnsiTheme="majorHAnsi" w:cstheme="majorHAnsi"/>
          <w:sz w:val="24"/>
          <w:szCs w:val="24"/>
          <w:lang w:val="ro-MD"/>
        </w:rPr>
      </w:pPr>
      <w:r w:rsidRPr="00641BC7">
        <w:rPr>
          <w:rFonts w:asciiTheme="majorHAnsi" w:eastAsia="Calibri" w:hAnsiTheme="majorHAnsi" w:cstheme="majorHAnsi"/>
          <w:b/>
          <w:sz w:val="24"/>
          <w:szCs w:val="24"/>
          <w:lang w:val="ro-MD"/>
        </w:rPr>
        <w:t>2.</w:t>
      </w:r>
      <w:r w:rsidR="00FC3CB9" w:rsidRPr="00641BC7">
        <w:rPr>
          <w:rFonts w:asciiTheme="majorHAnsi" w:eastAsia="Calibri" w:hAnsiTheme="majorHAnsi" w:cstheme="majorHAnsi"/>
          <w:b/>
          <w:sz w:val="24"/>
          <w:szCs w:val="24"/>
          <w:lang w:val="ro-MD"/>
        </w:rPr>
        <w:t>6</w:t>
      </w:r>
      <w:r w:rsidR="00295F92" w:rsidRPr="00641BC7">
        <w:rPr>
          <w:rFonts w:asciiTheme="majorHAnsi" w:eastAsia="Calibri" w:hAnsiTheme="majorHAnsi" w:cstheme="majorHAnsi"/>
          <w:b/>
          <w:sz w:val="24"/>
          <w:szCs w:val="24"/>
          <w:lang w:val="ro-MD"/>
        </w:rPr>
        <w:t>.</w:t>
      </w:r>
      <w:r w:rsidR="00295F92" w:rsidRPr="00641BC7">
        <w:rPr>
          <w:rFonts w:asciiTheme="majorHAnsi" w:eastAsia="Calibri" w:hAnsiTheme="majorHAnsi" w:cstheme="majorHAnsi"/>
          <w:sz w:val="24"/>
          <w:szCs w:val="24"/>
          <w:lang w:val="ro-MD"/>
        </w:rPr>
        <w:t xml:space="preserve"> </w:t>
      </w:r>
      <w:r w:rsidR="00295F92" w:rsidRPr="00641BC7">
        <w:rPr>
          <w:rFonts w:asciiTheme="majorHAnsi" w:hAnsiTheme="majorHAnsi" w:cstheme="majorHAnsi"/>
          <w:sz w:val="24"/>
          <w:szCs w:val="24"/>
          <w:lang w:val="ro-MD"/>
        </w:rPr>
        <w:t>CR nu s-a conformat prevederilor Legii nr.</w:t>
      </w:r>
      <w:r w:rsidR="00FC4989" w:rsidRPr="00641BC7">
        <w:rPr>
          <w:rFonts w:asciiTheme="majorHAnsi" w:hAnsiTheme="majorHAnsi" w:cstheme="majorHAnsi"/>
          <w:sz w:val="24"/>
          <w:szCs w:val="24"/>
          <w:lang w:val="ro-MD"/>
        </w:rPr>
        <w:t>436</w:t>
      </w:r>
      <w:r w:rsidR="00295F92" w:rsidRPr="00641BC7">
        <w:rPr>
          <w:rFonts w:asciiTheme="majorHAnsi" w:hAnsiTheme="majorHAnsi" w:cstheme="majorHAnsi"/>
          <w:sz w:val="24"/>
          <w:szCs w:val="24"/>
          <w:lang w:val="ro-MD"/>
        </w:rPr>
        <w:t xml:space="preserve"> din </w:t>
      </w:r>
      <w:r w:rsidR="00FC4989" w:rsidRPr="00641BC7">
        <w:rPr>
          <w:rFonts w:asciiTheme="majorHAnsi" w:hAnsiTheme="majorHAnsi" w:cstheme="majorHAnsi"/>
          <w:sz w:val="24"/>
          <w:szCs w:val="24"/>
          <w:lang w:val="ro-MD"/>
        </w:rPr>
        <w:t>28.12.2006</w:t>
      </w:r>
      <w:r w:rsidR="00295F92" w:rsidRPr="00641BC7">
        <w:rPr>
          <w:rStyle w:val="FootnoteReference"/>
          <w:rFonts w:asciiTheme="majorHAnsi" w:hAnsiTheme="majorHAnsi" w:cstheme="majorHAnsi"/>
          <w:sz w:val="24"/>
          <w:szCs w:val="24"/>
          <w:lang w:val="ro-MD"/>
        </w:rPr>
        <w:footnoteReference w:id="8"/>
      </w:r>
      <w:r w:rsidR="00295F92" w:rsidRPr="00641BC7">
        <w:rPr>
          <w:rFonts w:asciiTheme="majorHAnsi" w:hAnsiTheme="majorHAnsi" w:cstheme="majorHAnsi"/>
          <w:sz w:val="24"/>
          <w:szCs w:val="24"/>
          <w:lang w:val="ro-MD"/>
        </w:rPr>
        <w:t xml:space="preserve">, în ceea ce privește capitalul social și componența bunurilor depuse în </w:t>
      </w:r>
      <w:r w:rsidR="0079532A" w:rsidRPr="00641BC7">
        <w:rPr>
          <w:rFonts w:asciiTheme="majorHAnsi" w:hAnsiTheme="majorHAnsi" w:cstheme="majorHAnsi"/>
          <w:sz w:val="24"/>
          <w:szCs w:val="24"/>
          <w:lang w:val="ro-MD"/>
        </w:rPr>
        <w:t>entitățile fondate</w:t>
      </w:r>
      <w:r w:rsidR="00295F92" w:rsidRPr="00641BC7">
        <w:rPr>
          <w:rStyle w:val="FootnoteReference"/>
          <w:rFonts w:asciiTheme="majorHAnsi" w:hAnsiTheme="majorHAnsi" w:cstheme="majorHAnsi"/>
          <w:sz w:val="24"/>
          <w:szCs w:val="24"/>
          <w:lang w:val="ro-MD"/>
        </w:rPr>
        <w:footnoteReference w:id="9"/>
      </w:r>
      <w:r w:rsidR="00D36346" w:rsidRPr="00641BC7">
        <w:rPr>
          <w:rFonts w:asciiTheme="majorHAnsi" w:hAnsiTheme="majorHAnsi" w:cstheme="majorHAnsi"/>
          <w:sz w:val="24"/>
          <w:szCs w:val="24"/>
          <w:lang w:val="ro-MD"/>
        </w:rPr>
        <w:t xml:space="preserve">, la acesta lipsind lista exhaustivă a bunurilor transmise. </w:t>
      </w:r>
      <w:r w:rsidR="00FC4989" w:rsidRPr="00641BC7">
        <w:rPr>
          <w:rFonts w:asciiTheme="majorHAnsi" w:hAnsiTheme="majorHAnsi" w:cstheme="majorHAnsi"/>
          <w:sz w:val="24"/>
          <w:szCs w:val="24"/>
          <w:lang w:val="ro-MD"/>
        </w:rPr>
        <w:t>A</w:t>
      </w:r>
      <w:r w:rsidR="00D36346" w:rsidRPr="00641BC7">
        <w:rPr>
          <w:rFonts w:asciiTheme="majorHAnsi" w:hAnsiTheme="majorHAnsi" w:cstheme="majorHAnsi"/>
          <w:sz w:val="24"/>
          <w:szCs w:val="24"/>
          <w:lang w:val="ro-MD"/>
        </w:rPr>
        <w:t>stfel</w:t>
      </w:r>
      <w:r w:rsidR="00FC446D" w:rsidRPr="00641BC7">
        <w:rPr>
          <w:rFonts w:asciiTheme="majorHAnsi" w:hAnsiTheme="majorHAnsi" w:cstheme="majorHAnsi"/>
          <w:sz w:val="24"/>
          <w:szCs w:val="24"/>
          <w:lang w:val="ro-MD"/>
        </w:rPr>
        <w:t>,</w:t>
      </w:r>
      <w:r w:rsidR="00D36346" w:rsidRPr="00641BC7">
        <w:rPr>
          <w:rFonts w:asciiTheme="majorHAnsi" w:hAnsiTheme="majorHAnsi" w:cstheme="majorHAnsi"/>
          <w:sz w:val="24"/>
          <w:szCs w:val="24"/>
          <w:lang w:val="ro-MD"/>
        </w:rPr>
        <w:t xml:space="preserve"> a</w:t>
      </w:r>
      <w:r w:rsidR="00FC4989" w:rsidRPr="00641BC7">
        <w:rPr>
          <w:rFonts w:asciiTheme="majorHAnsi" w:hAnsiTheme="majorHAnsi" w:cstheme="majorHAnsi"/>
          <w:sz w:val="24"/>
          <w:szCs w:val="24"/>
          <w:lang w:val="ro-MD"/>
        </w:rPr>
        <w:t xml:space="preserve">uditorul a fost limitat în obținerea probelor de audit suficiente și adecvate cu referire la </w:t>
      </w:r>
      <w:r w:rsidR="008F3415" w:rsidRPr="00641BC7">
        <w:rPr>
          <w:rFonts w:asciiTheme="majorHAnsi" w:hAnsiTheme="majorHAnsi" w:cstheme="majorHAnsi"/>
          <w:sz w:val="24"/>
          <w:szCs w:val="24"/>
          <w:lang w:val="ro-MD"/>
        </w:rPr>
        <w:t>confirmarea</w:t>
      </w:r>
      <w:r w:rsidR="00FC4989" w:rsidRPr="00641BC7">
        <w:rPr>
          <w:rFonts w:asciiTheme="majorHAnsi" w:hAnsiTheme="majorHAnsi" w:cstheme="majorHAnsi"/>
          <w:sz w:val="24"/>
          <w:szCs w:val="24"/>
          <w:lang w:val="ro-MD"/>
        </w:rPr>
        <w:t xml:space="preserve"> valo</w:t>
      </w:r>
      <w:r w:rsidR="00EA36B4" w:rsidRPr="00641BC7">
        <w:rPr>
          <w:rFonts w:asciiTheme="majorHAnsi" w:hAnsiTheme="majorHAnsi" w:cstheme="majorHAnsi"/>
          <w:sz w:val="24"/>
          <w:szCs w:val="24"/>
          <w:lang w:val="ro-MD"/>
        </w:rPr>
        <w:t>rii</w:t>
      </w:r>
      <w:r w:rsidR="00FC4989" w:rsidRPr="00641BC7">
        <w:rPr>
          <w:rFonts w:asciiTheme="majorHAnsi" w:hAnsiTheme="majorHAnsi" w:cstheme="majorHAnsi"/>
          <w:sz w:val="24"/>
          <w:szCs w:val="24"/>
          <w:lang w:val="ro-MD"/>
        </w:rPr>
        <w:t xml:space="preserve"> </w:t>
      </w:r>
      <w:r w:rsidR="006B0EBB" w:rsidRPr="00641BC7">
        <w:rPr>
          <w:rFonts w:asciiTheme="majorHAnsi" w:hAnsiTheme="majorHAnsi" w:cstheme="majorHAnsi"/>
          <w:sz w:val="24"/>
          <w:szCs w:val="24"/>
          <w:lang w:val="ro-MD"/>
        </w:rPr>
        <w:t>acestor</w:t>
      </w:r>
      <w:r w:rsidR="008F3415" w:rsidRPr="00641BC7">
        <w:rPr>
          <w:rFonts w:asciiTheme="majorHAnsi" w:hAnsiTheme="majorHAnsi" w:cstheme="majorHAnsi"/>
          <w:sz w:val="24"/>
          <w:szCs w:val="24"/>
          <w:lang w:val="ro-MD"/>
        </w:rPr>
        <w:t xml:space="preserve"> bunuri înregistrate la APR</w:t>
      </w:r>
      <w:r w:rsidR="006B0EBB" w:rsidRPr="00641BC7">
        <w:rPr>
          <w:rFonts w:asciiTheme="majorHAnsi" w:hAnsiTheme="majorHAnsi" w:cstheme="majorHAnsi"/>
          <w:sz w:val="24"/>
          <w:szCs w:val="24"/>
          <w:lang w:val="ro-MD"/>
        </w:rPr>
        <w:t xml:space="preserve"> în sumă </w:t>
      </w:r>
      <w:r w:rsidR="00FC4989" w:rsidRPr="00641BC7">
        <w:rPr>
          <w:rFonts w:asciiTheme="majorHAnsi" w:hAnsiTheme="majorHAnsi" w:cstheme="majorHAnsi"/>
          <w:sz w:val="24"/>
          <w:szCs w:val="24"/>
          <w:lang w:val="ro-MD"/>
        </w:rPr>
        <w:t xml:space="preserve">de </w:t>
      </w:r>
      <w:r w:rsidR="00603D3D" w:rsidRPr="00641BC7">
        <w:rPr>
          <w:rFonts w:asciiTheme="majorHAnsi" w:hAnsiTheme="majorHAnsi" w:cstheme="majorHAnsi"/>
          <w:b/>
          <w:sz w:val="24"/>
          <w:szCs w:val="24"/>
          <w:lang w:val="ro-MD"/>
        </w:rPr>
        <w:t>39</w:t>
      </w:r>
      <w:r w:rsidR="00BB7603" w:rsidRPr="00641BC7">
        <w:rPr>
          <w:rFonts w:asciiTheme="majorHAnsi" w:hAnsiTheme="majorHAnsi" w:cstheme="majorHAnsi"/>
          <w:b/>
          <w:sz w:val="24"/>
          <w:szCs w:val="24"/>
          <w:lang w:val="ro-MD"/>
        </w:rPr>
        <w:t xml:space="preserve"> </w:t>
      </w:r>
      <w:r w:rsidR="00603D3D" w:rsidRPr="00641BC7">
        <w:rPr>
          <w:rFonts w:asciiTheme="majorHAnsi" w:hAnsiTheme="majorHAnsi" w:cstheme="majorHAnsi"/>
          <w:b/>
          <w:sz w:val="24"/>
          <w:szCs w:val="24"/>
          <w:lang w:val="ro-MD"/>
        </w:rPr>
        <w:t>481,6</w:t>
      </w:r>
      <w:r w:rsidR="00FC4989" w:rsidRPr="00641BC7">
        <w:rPr>
          <w:rFonts w:asciiTheme="majorHAnsi" w:hAnsiTheme="majorHAnsi" w:cstheme="majorHAnsi"/>
          <w:b/>
          <w:sz w:val="24"/>
          <w:szCs w:val="24"/>
          <w:lang w:val="ro-MD"/>
        </w:rPr>
        <w:t xml:space="preserve"> mi</w:t>
      </w:r>
      <w:r w:rsidR="00603D3D" w:rsidRPr="00641BC7">
        <w:rPr>
          <w:rFonts w:asciiTheme="majorHAnsi" w:hAnsiTheme="majorHAnsi" w:cstheme="majorHAnsi"/>
          <w:b/>
          <w:sz w:val="24"/>
          <w:szCs w:val="24"/>
          <w:lang w:val="ro-MD"/>
        </w:rPr>
        <w:t>i</w:t>
      </w:r>
      <w:r w:rsidR="00FC4989" w:rsidRPr="00641BC7">
        <w:rPr>
          <w:rFonts w:asciiTheme="majorHAnsi" w:hAnsiTheme="majorHAnsi" w:cstheme="majorHAnsi"/>
          <w:b/>
          <w:sz w:val="24"/>
          <w:szCs w:val="24"/>
          <w:lang w:val="ro-MD"/>
        </w:rPr>
        <w:t xml:space="preserve"> lei</w:t>
      </w:r>
      <w:r w:rsidR="00FC4989" w:rsidRPr="00641BC7">
        <w:rPr>
          <w:rFonts w:asciiTheme="majorHAnsi" w:hAnsiTheme="majorHAnsi" w:cstheme="majorHAnsi"/>
          <w:sz w:val="24"/>
          <w:szCs w:val="24"/>
          <w:lang w:val="ro-MD"/>
        </w:rPr>
        <w:t>.</w:t>
      </w:r>
    </w:p>
    <w:p w14:paraId="0A7BFFFA" w14:textId="7FB51606" w:rsidR="0065737A" w:rsidRPr="00641BC7" w:rsidRDefault="00A2705E" w:rsidP="0065737A">
      <w:pPr>
        <w:spacing w:after="0" w:line="276" w:lineRule="auto"/>
        <w:jc w:val="both"/>
        <w:rPr>
          <w:rFonts w:asciiTheme="majorHAnsi" w:hAnsiTheme="majorHAnsi" w:cstheme="majorHAnsi"/>
          <w:sz w:val="24"/>
          <w:szCs w:val="24"/>
          <w:lang w:val="ro-MD"/>
        </w:rPr>
      </w:pPr>
      <w:r w:rsidRPr="00641BC7">
        <w:rPr>
          <w:rFonts w:asciiTheme="majorHAnsi" w:hAnsiTheme="majorHAnsi" w:cstheme="majorHAnsi"/>
          <w:b/>
          <w:sz w:val="24"/>
          <w:szCs w:val="24"/>
          <w:lang w:val="ro-MD"/>
        </w:rPr>
        <w:t>2</w:t>
      </w:r>
      <w:r w:rsidR="0065737A" w:rsidRPr="00641BC7">
        <w:rPr>
          <w:rFonts w:asciiTheme="majorHAnsi" w:hAnsiTheme="majorHAnsi" w:cstheme="majorHAnsi"/>
          <w:b/>
          <w:sz w:val="24"/>
          <w:szCs w:val="24"/>
          <w:lang w:val="ro-MD"/>
        </w:rPr>
        <w:t>.</w:t>
      </w:r>
      <w:r w:rsidR="00FC3CB9" w:rsidRPr="00641BC7">
        <w:rPr>
          <w:rFonts w:asciiTheme="majorHAnsi" w:hAnsiTheme="majorHAnsi" w:cstheme="majorHAnsi"/>
          <w:b/>
          <w:sz w:val="24"/>
          <w:szCs w:val="24"/>
          <w:lang w:val="ro-MD"/>
        </w:rPr>
        <w:t>7</w:t>
      </w:r>
      <w:r w:rsidR="0065737A" w:rsidRPr="00641BC7">
        <w:rPr>
          <w:rFonts w:asciiTheme="majorHAnsi" w:hAnsiTheme="majorHAnsi" w:cstheme="majorHAnsi"/>
          <w:b/>
          <w:sz w:val="24"/>
          <w:szCs w:val="24"/>
          <w:lang w:val="ro-MD"/>
        </w:rPr>
        <w:t xml:space="preserve">. </w:t>
      </w:r>
      <w:r w:rsidR="0065737A" w:rsidRPr="00641BC7">
        <w:rPr>
          <w:rFonts w:asciiTheme="majorHAnsi" w:hAnsiTheme="majorHAnsi" w:cstheme="majorHAnsi"/>
          <w:sz w:val="24"/>
          <w:szCs w:val="24"/>
          <w:lang w:val="ro-MD"/>
        </w:rPr>
        <w:t xml:space="preserve">Două instituții muzeale din cadrul Secției cultură și turism a Consiliului </w:t>
      </w:r>
      <w:r w:rsidR="00FC446D" w:rsidRPr="00641BC7">
        <w:rPr>
          <w:rFonts w:asciiTheme="majorHAnsi" w:hAnsiTheme="majorHAnsi" w:cstheme="majorHAnsi"/>
          <w:sz w:val="24"/>
          <w:szCs w:val="24"/>
          <w:lang w:val="ro-MD"/>
        </w:rPr>
        <w:t>r</w:t>
      </w:r>
      <w:r w:rsidR="0065737A" w:rsidRPr="00641BC7">
        <w:rPr>
          <w:rFonts w:asciiTheme="majorHAnsi" w:hAnsiTheme="majorHAnsi" w:cstheme="majorHAnsi"/>
          <w:sz w:val="24"/>
          <w:szCs w:val="24"/>
          <w:lang w:val="ro-MD"/>
        </w:rPr>
        <w:t xml:space="preserve">aional Nisporeni nu </w:t>
      </w:r>
      <w:r w:rsidR="00FC446D" w:rsidRPr="00641BC7">
        <w:rPr>
          <w:rFonts w:asciiTheme="majorHAnsi" w:hAnsiTheme="majorHAnsi" w:cstheme="majorHAnsi"/>
          <w:sz w:val="24"/>
          <w:szCs w:val="24"/>
          <w:lang w:val="ro-MD"/>
        </w:rPr>
        <w:t xml:space="preserve">au </w:t>
      </w:r>
      <w:r w:rsidR="0065737A" w:rsidRPr="00641BC7">
        <w:rPr>
          <w:rFonts w:asciiTheme="majorHAnsi" w:hAnsiTheme="majorHAnsi" w:cstheme="majorHAnsi"/>
          <w:sz w:val="24"/>
          <w:szCs w:val="24"/>
          <w:lang w:val="ro-MD"/>
        </w:rPr>
        <w:t>raport</w:t>
      </w:r>
      <w:r w:rsidR="00FC446D" w:rsidRPr="00641BC7">
        <w:rPr>
          <w:rFonts w:asciiTheme="majorHAnsi" w:hAnsiTheme="majorHAnsi" w:cstheme="majorHAnsi"/>
          <w:sz w:val="24"/>
          <w:szCs w:val="24"/>
          <w:lang w:val="ro-MD"/>
        </w:rPr>
        <w:t>at</w:t>
      </w:r>
      <w:r w:rsidR="0065737A" w:rsidRPr="00641BC7">
        <w:rPr>
          <w:rFonts w:asciiTheme="majorHAnsi" w:hAnsiTheme="majorHAnsi" w:cstheme="majorHAnsi"/>
          <w:sz w:val="24"/>
          <w:szCs w:val="24"/>
          <w:lang w:val="ro-MD"/>
        </w:rPr>
        <w:t xml:space="preserve"> valoarea a circa 8620 </w:t>
      </w:r>
      <w:r w:rsidR="00FC446D" w:rsidRPr="00641BC7">
        <w:rPr>
          <w:rFonts w:asciiTheme="majorHAnsi" w:hAnsiTheme="majorHAnsi" w:cstheme="majorHAnsi"/>
          <w:sz w:val="24"/>
          <w:szCs w:val="24"/>
          <w:lang w:val="ro-MD"/>
        </w:rPr>
        <w:t xml:space="preserve">de </w:t>
      </w:r>
      <w:r w:rsidR="0065737A" w:rsidRPr="00641BC7">
        <w:rPr>
          <w:rFonts w:asciiTheme="majorHAnsi" w:hAnsiTheme="majorHAnsi" w:cstheme="majorHAnsi"/>
          <w:sz w:val="24"/>
          <w:szCs w:val="24"/>
          <w:lang w:val="ro-MD"/>
        </w:rPr>
        <w:t>exponate</w:t>
      </w:r>
      <w:r w:rsidR="0065737A" w:rsidRPr="00641BC7">
        <w:rPr>
          <w:rFonts w:asciiTheme="majorHAnsi" w:hAnsiTheme="majorHAnsi" w:cstheme="majorHAnsi"/>
          <w:sz w:val="24"/>
          <w:szCs w:val="24"/>
          <w:vertAlign w:val="superscript"/>
          <w:lang w:val="ro-MD"/>
        </w:rPr>
        <w:footnoteReference w:id="10"/>
      </w:r>
      <w:r w:rsidR="0065737A" w:rsidRPr="00641BC7">
        <w:rPr>
          <w:rFonts w:asciiTheme="majorHAnsi" w:hAnsiTheme="majorHAnsi" w:cstheme="majorHAnsi"/>
          <w:sz w:val="24"/>
          <w:szCs w:val="24"/>
          <w:lang w:val="ro-MD"/>
        </w:rPr>
        <w:t xml:space="preserve"> care n</w:t>
      </w:r>
      <w:r w:rsidR="00FC446D" w:rsidRPr="00641BC7">
        <w:rPr>
          <w:rFonts w:asciiTheme="majorHAnsi" w:hAnsiTheme="majorHAnsi" w:cstheme="majorHAnsi"/>
          <w:sz w:val="24"/>
          <w:szCs w:val="24"/>
          <w:lang w:val="ro-MD"/>
        </w:rPr>
        <w:t xml:space="preserve">u </w:t>
      </w:r>
      <w:r w:rsidR="0065737A" w:rsidRPr="00641BC7">
        <w:rPr>
          <w:rFonts w:asciiTheme="majorHAnsi" w:hAnsiTheme="majorHAnsi" w:cstheme="majorHAnsi"/>
          <w:sz w:val="24"/>
          <w:szCs w:val="24"/>
          <w:lang w:val="ro-MD"/>
        </w:rPr>
        <w:t>au fost evaluate, nu se regăsesc în evidența contabilă și pentru care nu s-au aplicat regulile generale de recunoaștere prevăzute de Ordinul MF nr.216/2015. Țin</w:t>
      </w:r>
      <w:r w:rsidR="00FC446D" w:rsidRPr="00641BC7">
        <w:rPr>
          <w:rFonts w:asciiTheme="majorHAnsi" w:hAnsiTheme="majorHAnsi" w:cstheme="majorHAnsi"/>
          <w:sz w:val="24"/>
          <w:szCs w:val="24"/>
          <w:lang w:val="ro-MD"/>
        </w:rPr>
        <w:t>â</w:t>
      </w:r>
      <w:r w:rsidR="0065737A" w:rsidRPr="00641BC7">
        <w:rPr>
          <w:rFonts w:asciiTheme="majorHAnsi" w:hAnsiTheme="majorHAnsi" w:cstheme="majorHAnsi"/>
          <w:sz w:val="24"/>
          <w:szCs w:val="24"/>
          <w:lang w:val="ro-MD"/>
        </w:rPr>
        <w:t xml:space="preserve">nd cont de faptul că </w:t>
      </w:r>
      <w:r w:rsidR="00FC446D" w:rsidRPr="00641BC7">
        <w:rPr>
          <w:rFonts w:asciiTheme="majorHAnsi" w:hAnsiTheme="majorHAnsi" w:cstheme="majorHAnsi"/>
          <w:sz w:val="24"/>
          <w:szCs w:val="24"/>
          <w:lang w:val="ro-MD"/>
        </w:rPr>
        <w:t xml:space="preserve">exponatele </w:t>
      </w:r>
      <w:r w:rsidR="0065737A" w:rsidRPr="00641BC7">
        <w:rPr>
          <w:rFonts w:asciiTheme="majorHAnsi" w:hAnsiTheme="majorHAnsi" w:cstheme="majorHAnsi"/>
          <w:sz w:val="24"/>
          <w:szCs w:val="24"/>
          <w:lang w:val="ro-MD"/>
        </w:rPr>
        <w:t xml:space="preserve">fac parte din patrimoniul cultural care datează din diferite perioade, valoarea estimativă a acestora poate fi una semnificativă, astfel valoarea contului 363 </w:t>
      </w:r>
      <w:r w:rsidR="00FC446D" w:rsidRPr="00641BC7">
        <w:rPr>
          <w:rFonts w:asciiTheme="majorHAnsi" w:hAnsiTheme="majorHAnsi" w:cstheme="majorHAnsi"/>
          <w:sz w:val="24"/>
          <w:szCs w:val="24"/>
          <w:lang w:val="ro-MD"/>
        </w:rPr>
        <w:t>„A</w:t>
      </w:r>
      <w:r w:rsidR="0065737A" w:rsidRPr="00641BC7">
        <w:rPr>
          <w:rFonts w:asciiTheme="majorHAnsi" w:hAnsiTheme="majorHAnsi" w:cstheme="majorHAnsi"/>
          <w:sz w:val="24"/>
          <w:szCs w:val="24"/>
          <w:lang w:val="ro-MD"/>
        </w:rPr>
        <w:t>ctivele moștenirii culturale</w:t>
      </w:r>
      <w:r w:rsidR="00FC446D" w:rsidRPr="00641BC7">
        <w:rPr>
          <w:rFonts w:asciiTheme="majorHAnsi" w:hAnsiTheme="majorHAnsi" w:cstheme="majorHAnsi"/>
          <w:sz w:val="24"/>
          <w:szCs w:val="24"/>
          <w:lang w:val="ro-MD"/>
        </w:rPr>
        <w:t>”</w:t>
      </w:r>
      <w:r w:rsidR="0065737A" w:rsidRPr="00641BC7">
        <w:rPr>
          <w:rFonts w:asciiTheme="majorHAnsi" w:hAnsiTheme="majorHAnsi" w:cstheme="majorHAnsi"/>
          <w:sz w:val="24"/>
          <w:szCs w:val="24"/>
          <w:lang w:val="ro-MD"/>
        </w:rPr>
        <w:t>, în opinia echipei de audit, este subestimată. De menționat că un impediment în evaluarea just</w:t>
      </w:r>
      <w:r w:rsidR="00FC446D" w:rsidRPr="00641BC7">
        <w:rPr>
          <w:rFonts w:asciiTheme="majorHAnsi" w:hAnsiTheme="majorHAnsi" w:cstheme="majorHAnsi"/>
          <w:sz w:val="24"/>
          <w:szCs w:val="24"/>
          <w:lang w:val="ro-MD"/>
        </w:rPr>
        <w:t>ă</w:t>
      </w:r>
      <w:r w:rsidR="0065737A" w:rsidRPr="00641BC7">
        <w:rPr>
          <w:rFonts w:asciiTheme="majorHAnsi" w:hAnsiTheme="majorHAnsi" w:cstheme="majorHAnsi"/>
          <w:sz w:val="24"/>
          <w:szCs w:val="24"/>
          <w:lang w:val="ro-MD"/>
        </w:rPr>
        <w:t xml:space="preserve"> a patrimoniului cultural este faptul că p</w:t>
      </w:r>
      <w:r w:rsidR="00FC446D" w:rsidRPr="00641BC7">
        <w:rPr>
          <w:rFonts w:asciiTheme="majorHAnsi" w:hAnsiTheme="majorHAnsi" w:cstheme="majorHAnsi"/>
          <w:sz w:val="24"/>
          <w:szCs w:val="24"/>
          <w:lang w:val="ro-MD"/>
        </w:rPr>
        <w:t>â</w:t>
      </w:r>
      <w:r w:rsidR="0065737A" w:rsidRPr="00641BC7">
        <w:rPr>
          <w:rFonts w:asciiTheme="majorHAnsi" w:hAnsiTheme="majorHAnsi" w:cstheme="majorHAnsi"/>
          <w:sz w:val="24"/>
          <w:szCs w:val="24"/>
          <w:lang w:val="ro-MD"/>
        </w:rPr>
        <w:t xml:space="preserve">nă la moment lipsește o metodologie privind evaluarea patrimoniului cultural, inclusiv din instituțiile muzeale.  </w:t>
      </w:r>
    </w:p>
    <w:p w14:paraId="36AE0E2A" w14:textId="6ACA2F78" w:rsidR="00E0167D" w:rsidRPr="00641BC7" w:rsidRDefault="008F3415" w:rsidP="0021580B">
      <w:pPr>
        <w:pStyle w:val="ListParagraph"/>
        <w:spacing w:after="0" w:line="276" w:lineRule="auto"/>
        <w:ind w:left="0"/>
        <w:jc w:val="both"/>
        <w:rPr>
          <w:rFonts w:asciiTheme="majorHAnsi" w:hAnsiTheme="majorHAnsi" w:cstheme="majorHAnsi"/>
          <w:sz w:val="24"/>
          <w:szCs w:val="24"/>
          <w:lang w:val="ro-MD"/>
        </w:rPr>
      </w:pPr>
      <w:r w:rsidRPr="00641BC7">
        <w:rPr>
          <w:rFonts w:asciiTheme="majorHAnsi" w:hAnsiTheme="majorHAnsi" w:cstheme="majorHAnsi"/>
          <w:b/>
          <w:sz w:val="24"/>
          <w:szCs w:val="24"/>
          <w:lang w:val="ro-MD"/>
        </w:rPr>
        <w:t>2.</w:t>
      </w:r>
      <w:r w:rsidR="00FC3CB9" w:rsidRPr="00641BC7">
        <w:rPr>
          <w:rFonts w:asciiTheme="majorHAnsi" w:hAnsiTheme="majorHAnsi" w:cstheme="majorHAnsi"/>
          <w:b/>
          <w:sz w:val="24"/>
          <w:szCs w:val="24"/>
          <w:lang w:val="ro-MD"/>
        </w:rPr>
        <w:t>8</w:t>
      </w:r>
      <w:r w:rsidRPr="00641BC7">
        <w:rPr>
          <w:rFonts w:asciiTheme="majorHAnsi" w:hAnsiTheme="majorHAnsi" w:cstheme="majorHAnsi"/>
          <w:b/>
          <w:sz w:val="24"/>
          <w:szCs w:val="24"/>
          <w:lang w:val="ro-MD"/>
        </w:rPr>
        <w:t>.</w:t>
      </w:r>
      <w:r w:rsidRPr="00641BC7">
        <w:rPr>
          <w:rFonts w:asciiTheme="majorHAnsi" w:hAnsiTheme="majorHAnsi" w:cstheme="majorHAnsi"/>
          <w:sz w:val="24"/>
          <w:szCs w:val="24"/>
          <w:lang w:val="ro-MD"/>
        </w:rPr>
        <w:t xml:space="preserve"> </w:t>
      </w:r>
      <w:r w:rsidR="00E0167D" w:rsidRPr="00641BC7">
        <w:rPr>
          <w:rFonts w:asciiTheme="majorHAnsi" w:hAnsiTheme="majorHAnsi" w:cstheme="majorHAnsi"/>
          <w:sz w:val="24"/>
          <w:szCs w:val="24"/>
          <w:lang w:val="ro-MD"/>
        </w:rPr>
        <w:t>De</w:t>
      </w:r>
      <w:r w:rsidR="00E0167D" w:rsidRPr="00641BC7">
        <w:rPr>
          <w:rFonts w:asciiTheme="majorHAnsi" w:eastAsia="Times New Roman" w:hAnsiTheme="majorHAnsi" w:cstheme="majorHAnsi"/>
          <w:sz w:val="24"/>
          <w:szCs w:val="24"/>
          <w:lang w:val="ro-MD"/>
        </w:rPr>
        <w:t xml:space="preserve">și ÎS </w:t>
      </w:r>
      <w:r w:rsidR="00FC446D" w:rsidRPr="00641BC7">
        <w:rPr>
          <w:rFonts w:asciiTheme="majorHAnsi" w:eastAsia="Times New Roman" w:hAnsiTheme="majorHAnsi" w:cstheme="majorHAnsi"/>
          <w:sz w:val="24"/>
          <w:szCs w:val="24"/>
          <w:lang w:val="ro-MD"/>
        </w:rPr>
        <w:t>„</w:t>
      </w:r>
      <w:r w:rsidR="00E0167D" w:rsidRPr="00641BC7">
        <w:rPr>
          <w:rFonts w:asciiTheme="majorHAnsi" w:eastAsia="Times New Roman" w:hAnsiTheme="majorHAnsi" w:cstheme="majorHAnsi"/>
          <w:sz w:val="24"/>
          <w:szCs w:val="24"/>
          <w:lang w:val="ro-MD"/>
        </w:rPr>
        <w:t>A</w:t>
      </w:r>
      <w:r w:rsidR="00FC446D" w:rsidRPr="00641BC7">
        <w:rPr>
          <w:rFonts w:asciiTheme="majorHAnsi" w:eastAsia="Times New Roman" w:hAnsiTheme="majorHAnsi" w:cstheme="majorHAnsi"/>
          <w:sz w:val="24"/>
          <w:szCs w:val="24"/>
          <w:lang w:val="ro-MD"/>
        </w:rPr>
        <w:t xml:space="preserve">genția de </w:t>
      </w:r>
      <w:r w:rsidR="00E0167D" w:rsidRPr="00641BC7">
        <w:rPr>
          <w:rFonts w:asciiTheme="majorHAnsi" w:eastAsia="Times New Roman" w:hAnsiTheme="majorHAnsi" w:cstheme="majorHAnsi"/>
          <w:sz w:val="24"/>
          <w:szCs w:val="24"/>
          <w:lang w:val="ro-MD"/>
        </w:rPr>
        <w:t>S</w:t>
      </w:r>
      <w:r w:rsidR="00FC446D" w:rsidRPr="00641BC7">
        <w:rPr>
          <w:rFonts w:asciiTheme="majorHAnsi" w:eastAsia="Times New Roman" w:hAnsiTheme="majorHAnsi" w:cstheme="majorHAnsi"/>
          <w:sz w:val="24"/>
          <w:szCs w:val="24"/>
          <w:lang w:val="ro-MD"/>
        </w:rPr>
        <w:t xml:space="preserve">tat a </w:t>
      </w:r>
      <w:r w:rsidR="00E0167D" w:rsidRPr="00641BC7">
        <w:rPr>
          <w:rFonts w:asciiTheme="majorHAnsi" w:eastAsia="Times New Roman" w:hAnsiTheme="majorHAnsi" w:cstheme="majorHAnsi"/>
          <w:sz w:val="24"/>
          <w:szCs w:val="24"/>
          <w:lang w:val="ro-MD"/>
        </w:rPr>
        <w:t>D</w:t>
      </w:r>
      <w:r w:rsidR="00FC446D" w:rsidRPr="00641BC7">
        <w:rPr>
          <w:rFonts w:asciiTheme="majorHAnsi" w:eastAsia="Times New Roman" w:hAnsiTheme="majorHAnsi" w:cstheme="majorHAnsi"/>
          <w:sz w:val="24"/>
          <w:szCs w:val="24"/>
          <w:lang w:val="ro-MD"/>
        </w:rPr>
        <w:t>rumurilor”,</w:t>
      </w:r>
      <w:r w:rsidR="00E0167D" w:rsidRPr="00641BC7">
        <w:rPr>
          <w:rFonts w:asciiTheme="majorHAnsi" w:eastAsia="Times New Roman" w:hAnsiTheme="majorHAnsi" w:cstheme="majorHAnsi"/>
          <w:sz w:val="24"/>
          <w:szCs w:val="24"/>
          <w:lang w:val="ro-MD"/>
        </w:rPr>
        <w:t xml:space="preserve"> de comun cu specialiștii CR Nisporeni</w:t>
      </w:r>
      <w:r w:rsidR="00FC446D" w:rsidRPr="00641BC7">
        <w:rPr>
          <w:rFonts w:asciiTheme="majorHAnsi" w:eastAsia="Times New Roman" w:hAnsiTheme="majorHAnsi" w:cstheme="majorHAnsi"/>
          <w:sz w:val="24"/>
          <w:szCs w:val="24"/>
          <w:lang w:val="ro-MD"/>
        </w:rPr>
        <w:t>,</w:t>
      </w:r>
      <w:r w:rsidR="00E0167D" w:rsidRPr="00641BC7">
        <w:rPr>
          <w:rFonts w:asciiTheme="majorHAnsi" w:eastAsia="Times New Roman" w:hAnsiTheme="majorHAnsi" w:cstheme="majorHAnsi"/>
          <w:sz w:val="24"/>
          <w:szCs w:val="24"/>
          <w:lang w:val="ro-MD"/>
        </w:rPr>
        <w:t xml:space="preserve"> a efectuat inventarierea drumurilor locale de interes raional și a bunurilor aferente acestora, </w:t>
      </w:r>
      <w:r w:rsidR="00FC446D" w:rsidRPr="00641BC7">
        <w:rPr>
          <w:rFonts w:asciiTheme="majorHAnsi" w:eastAsia="Times New Roman" w:hAnsiTheme="majorHAnsi" w:cstheme="majorHAnsi"/>
          <w:sz w:val="24"/>
          <w:szCs w:val="24"/>
          <w:lang w:val="ro-MD"/>
        </w:rPr>
        <w:t xml:space="preserve">ale cărei </w:t>
      </w:r>
      <w:r w:rsidR="00E0167D" w:rsidRPr="00641BC7">
        <w:rPr>
          <w:rFonts w:asciiTheme="majorHAnsi" w:eastAsia="Times New Roman" w:hAnsiTheme="majorHAnsi" w:cstheme="majorHAnsi"/>
          <w:sz w:val="24"/>
          <w:szCs w:val="24"/>
          <w:lang w:val="ro-MD"/>
        </w:rPr>
        <w:t xml:space="preserve">rezultate au fost înregistrate în lista drumurilor anexată la actul de transmitere a drumurilor din 18.07.2017, </w:t>
      </w:r>
      <w:r w:rsidR="00FC446D" w:rsidRPr="00641BC7">
        <w:rPr>
          <w:rFonts w:asciiTheme="majorHAnsi" w:eastAsia="Times New Roman" w:hAnsiTheme="majorHAnsi" w:cstheme="majorHAnsi"/>
          <w:sz w:val="24"/>
          <w:szCs w:val="24"/>
          <w:lang w:val="ro-MD"/>
        </w:rPr>
        <w:t>a</w:t>
      </w:r>
      <w:r w:rsidR="00E0167D" w:rsidRPr="00641BC7">
        <w:rPr>
          <w:rFonts w:asciiTheme="majorHAnsi" w:eastAsia="Times New Roman" w:hAnsiTheme="majorHAnsi" w:cstheme="majorHAnsi"/>
          <w:sz w:val="24"/>
          <w:szCs w:val="24"/>
          <w:lang w:val="ro-MD"/>
        </w:rPr>
        <w:t>utoritatea executivă a CR nu a asigurat contabilizarea conformă</w:t>
      </w:r>
      <w:r w:rsidR="00E0167D" w:rsidRPr="00641BC7">
        <w:rPr>
          <w:rStyle w:val="FootnoteReference"/>
          <w:rFonts w:asciiTheme="majorHAnsi" w:eastAsia="Times New Roman" w:hAnsiTheme="majorHAnsi" w:cstheme="majorHAnsi"/>
          <w:sz w:val="24"/>
          <w:szCs w:val="24"/>
          <w:lang w:val="ro-MD"/>
        </w:rPr>
        <w:footnoteReference w:id="11"/>
      </w:r>
      <w:r w:rsidR="00E0167D" w:rsidRPr="00641BC7">
        <w:rPr>
          <w:rFonts w:asciiTheme="majorHAnsi" w:eastAsia="Times New Roman" w:hAnsiTheme="majorHAnsi" w:cstheme="majorHAnsi"/>
          <w:sz w:val="24"/>
          <w:szCs w:val="24"/>
          <w:lang w:val="ro-MD"/>
        </w:rPr>
        <w:t xml:space="preserve"> a bunurilor aferente drumurilor raionale. Astfel, potrivit listei documentelor transmise</w:t>
      </w:r>
      <w:r w:rsidR="00E0167D" w:rsidRPr="00641BC7">
        <w:rPr>
          <w:rStyle w:val="FootnoteReference"/>
          <w:rFonts w:asciiTheme="majorHAnsi" w:eastAsia="Times New Roman" w:hAnsiTheme="majorHAnsi" w:cstheme="majorHAnsi"/>
          <w:sz w:val="24"/>
          <w:szCs w:val="24"/>
          <w:lang w:val="ro-MD"/>
        </w:rPr>
        <w:footnoteReference w:id="12"/>
      </w:r>
      <w:r w:rsidR="00E0167D" w:rsidRPr="00641BC7">
        <w:rPr>
          <w:rFonts w:asciiTheme="majorHAnsi" w:eastAsia="Times New Roman" w:hAnsiTheme="majorHAnsi" w:cstheme="majorHAnsi"/>
          <w:sz w:val="24"/>
          <w:szCs w:val="24"/>
          <w:lang w:val="ro-MD"/>
        </w:rPr>
        <w:t xml:space="preserve"> în temeiul HG nr.1468 din 30.12.2016, CR Nisporeni nu a contabilizat: plantații rutiere - 3588 buc</w:t>
      </w:r>
      <w:r w:rsidR="00FC446D" w:rsidRPr="00641BC7">
        <w:rPr>
          <w:rFonts w:asciiTheme="majorHAnsi" w:eastAsia="Times New Roman" w:hAnsiTheme="majorHAnsi" w:cstheme="majorHAnsi"/>
          <w:sz w:val="24"/>
          <w:szCs w:val="24"/>
          <w:lang w:val="ro-MD"/>
        </w:rPr>
        <w:t>.</w:t>
      </w:r>
      <w:r w:rsidR="00E0167D" w:rsidRPr="00641BC7">
        <w:rPr>
          <w:rFonts w:asciiTheme="majorHAnsi" w:eastAsia="Times New Roman" w:hAnsiTheme="majorHAnsi" w:cstheme="majorHAnsi"/>
          <w:sz w:val="24"/>
          <w:szCs w:val="24"/>
          <w:lang w:val="ro-MD"/>
        </w:rPr>
        <w:t xml:space="preserve"> de arbori (inclusiv nuci – 2802), poduri (cu lungimea mai mar</w:t>
      </w:r>
      <w:r w:rsidR="00FC446D" w:rsidRPr="00641BC7">
        <w:rPr>
          <w:rFonts w:asciiTheme="majorHAnsi" w:eastAsia="Times New Roman" w:hAnsiTheme="majorHAnsi" w:cstheme="majorHAnsi"/>
          <w:sz w:val="24"/>
          <w:szCs w:val="24"/>
          <w:lang w:val="ro-MD"/>
        </w:rPr>
        <w:t>e</w:t>
      </w:r>
      <w:r w:rsidR="00E0167D" w:rsidRPr="00641BC7">
        <w:rPr>
          <w:rFonts w:asciiTheme="majorHAnsi" w:eastAsia="Times New Roman" w:hAnsiTheme="majorHAnsi" w:cstheme="majorHAnsi"/>
          <w:sz w:val="24"/>
          <w:szCs w:val="24"/>
          <w:lang w:val="ro-MD"/>
        </w:rPr>
        <w:t xml:space="preserve"> de 10 m) – 5 buc, podețe – 9</w:t>
      </w:r>
      <w:r w:rsidR="00CC2410" w:rsidRPr="00641BC7">
        <w:rPr>
          <w:rFonts w:asciiTheme="majorHAnsi" w:eastAsia="Times New Roman" w:hAnsiTheme="majorHAnsi" w:cstheme="majorHAnsi"/>
          <w:sz w:val="24"/>
          <w:szCs w:val="24"/>
          <w:lang w:val="ro-MD"/>
        </w:rPr>
        <w:t>6</w:t>
      </w:r>
      <w:r w:rsidR="00E0167D" w:rsidRPr="00641BC7">
        <w:rPr>
          <w:rFonts w:asciiTheme="majorHAnsi" w:eastAsia="Times New Roman" w:hAnsiTheme="majorHAnsi" w:cstheme="majorHAnsi"/>
          <w:sz w:val="24"/>
          <w:szCs w:val="24"/>
          <w:lang w:val="ro-MD"/>
        </w:rPr>
        <w:t xml:space="preserve"> buc, pavilioane – 6 și indicatoare rutiere – 253 buc. Totodată, în a</w:t>
      </w:r>
      <w:r w:rsidR="000A7EDD" w:rsidRPr="00641BC7">
        <w:rPr>
          <w:rFonts w:asciiTheme="majorHAnsi" w:eastAsia="Times New Roman" w:hAnsiTheme="majorHAnsi" w:cstheme="majorHAnsi"/>
          <w:sz w:val="24"/>
          <w:szCs w:val="24"/>
          <w:lang w:val="ro-MD"/>
        </w:rPr>
        <w:t xml:space="preserve">nul </w:t>
      </w:r>
      <w:r w:rsidR="00E0167D" w:rsidRPr="00641BC7">
        <w:rPr>
          <w:rFonts w:asciiTheme="majorHAnsi" w:eastAsia="Times New Roman" w:hAnsiTheme="majorHAnsi" w:cstheme="majorHAnsi"/>
          <w:sz w:val="24"/>
          <w:szCs w:val="24"/>
          <w:lang w:val="ro-MD"/>
        </w:rPr>
        <w:t>2020 CR a efectuat cheltuieli privind instalarea a 13 indicatoare în sumă totală de 17,4 mii lei</w:t>
      </w:r>
      <w:r w:rsidR="00E0167D" w:rsidRPr="00641BC7">
        <w:rPr>
          <w:rStyle w:val="FootnoteReference"/>
          <w:rFonts w:asciiTheme="majorHAnsi" w:eastAsia="Times New Roman" w:hAnsiTheme="majorHAnsi" w:cstheme="majorHAnsi"/>
          <w:sz w:val="24"/>
          <w:szCs w:val="24"/>
          <w:lang w:val="ro-MD"/>
        </w:rPr>
        <w:footnoteReference w:id="13"/>
      </w:r>
      <w:r w:rsidR="000A7EDD" w:rsidRPr="00641BC7">
        <w:rPr>
          <w:rFonts w:asciiTheme="majorHAnsi" w:eastAsia="Times New Roman" w:hAnsiTheme="majorHAnsi" w:cstheme="majorHAnsi"/>
          <w:sz w:val="24"/>
          <w:szCs w:val="24"/>
          <w:lang w:val="ro-MD"/>
        </w:rPr>
        <w:t>,</w:t>
      </w:r>
      <w:r w:rsidR="00E0167D" w:rsidRPr="00641BC7">
        <w:rPr>
          <w:rFonts w:asciiTheme="majorHAnsi" w:eastAsia="Times New Roman" w:hAnsiTheme="majorHAnsi" w:cstheme="majorHAnsi"/>
          <w:sz w:val="24"/>
          <w:szCs w:val="24"/>
          <w:lang w:val="ro-MD"/>
        </w:rPr>
        <w:t xml:space="preserve"> care nu au fost înregistrate în evidența contabilă.</w:t>
      </w:r>
      <w:r w:rsidR="00E0167D" w:rsidRPr="00641BC7">
        <w:rPr>
          <w:rFonts w:asciiTheme="majorHAnsi" w:hAnsiTheme="majorHAnsi" w:cstheme="majorHAnsi"/>
          <w:sz w:val="24"/>
          <w:szCs w:val="24"/>
          <w:lang w:val="ro-MD"/>
        </w:rPr>
        <w:t xml:space="preserve"> </w:t>
      </w:r>
    </w:p>
    <w:p w14:paraId="49D3B857" w14:textId="45B3925B" w:rsidR="0065737A" w:rsidRPr="00641BC7" w:rsidRDefault="00A2705E" w:rsidP="0065737A">
      <w:pPr>
        <w:tabs>
          <w:tab w:val="left" w:pos="0"/>
        </w:tabs>
        <w:spacing w:after="0" w:line="276" w:lineRule="auto"/>
        <w:contextualSpacing/>
        <w:jc w:val="both"/>
        <w:rPr>
          <w:rFonts w:asciiTheme="majorHAnsi" w:eastAsia="Calibri" w:hAnsiTheme="majorHAnsi" w:cstheme="majorHAnsi"/>
          <w:sz w:val="24"/>
          <w:szCs w:val="24"/>
          <w:lang w:val="ro-MD"/>
        </w:rPr>
      </w:pPr>
      <w:r w:rsidRPr="00641BC7">
        <w:rPr>
          <w:rFonts w:asciiTheme="majorHAnsi" w:eastAsia="Calibri" w:hAnsiTheme="majorHAnsi" w:cstheme="majorHAnsi"/>
          <w:b/>
          <w:sz w:val="24"/>
          <w:szCs w:val="24"/>
          <w:lang w:val="ro-MD"/>
        </w:rPr>
        <w:t>2</w:t>
      </w:r>
      <w:r w:rsidR="0065737A" w:rsidRPr="00641BC7">
        <w:rPr>
          <w:rFonts w:asciiTheme="majorHAnsi" w:eastAsia="Calibri" w:hAnsiTheme="majorHAnsi" w:cstheme="majorHAnsi"/>
          <w:b/>
          <w:sz w:val="24"/>
          <w:szCs w:val="24"/>
          <w:lang w:val="ro-MD"/>
        </w:rPr>
        <w:t>.</w:t>
      </w:r>
      <w:r w:rsidR="00FC3CB9" w:rsidRPr="00641BC7">
        <w:rPr>
          <w:rFonts w:asciiTheme="majorHAnsi" w:eastAsia="Calibri" w:hAnsiTheme="majorHAnsi" w:cstheme="majorHAnsi"/>
          <w:b/>
          <w:sz w:val="24"/>
          <w:szCs w:val="24"/>
          <w:lang w:val="ro-MD"/>
        </w:rPr>
        <w:t>9</w:t>
      </w:r>
      <w:r w:rsidR="0065737A" w:rsidRPr="00641BC7">
        <w:rPr>
          <w:rFonts w:asciiTheme="majorHAnsi" w:eastAsia="Calibri" w:hAnsiTheme="majorHAnsi" w:cstheme="majorHAnsi"/>
          <w:b/>
          <w:sz w:val="24"/>
          <w:szCs w:val="24"/>
          <w:lang w:val="ro-MD"/>
        </w:rPr>
        <w:t>.</w:t>
      </w:r>
      <w:r w:rsidR="0065737A" w:rsidRPr="00641BC7">
        <w:rPr>
          <w:rFonts w:asciiTheme="majorHAnsi" w:eastAsia="Calibri" w:hAnsiTheme="majorHAnsi" w:cstheme="majorHAnsi"/>
          <w:sz w:val="24"/>
          <w:szCs w:val="24"/>
          <w:lang w:val="ro-MD"/>
        </w:rPr>
        <w:t xml:space="preserve"> Deși Raportul narativ privind executarea bugetului a fost întocmit de către </w:t>
      </w:r>
      <w:r w:rsidR="00CC2410" w:rsidRPr="00641BC7">
        <w:rPr>
          <w:rFonts w:asciiTheme="majorHAnsi" w:eastAsia="Calibri" w:hAnsiTheme="majorHAnsi" w:cstheme="majorHAnsi"/>
          <w:sz w:val="24"/>
          <w:szCs w:val="24"/>
          <w:lang w:val="ro-MD"/>
        </w:rPr>
        <w:t>Direcția Finanțe</w:t>
      </w:r>
      <w:r w:rsidR="0065737A" w:rsidRPr="00641BC7">
        <w:rPr>
          <w:rFonts w:asciiTheme="majorHAnsi" w:eastAsia="Calibri" w:hAnsiTheme="majorHAnsi" w:cstheme="majorHAnsi"/>
          <w:sz w:val="24"/>
          <w:szCs w:val="24"/>
          <w:lang w:val="ro-MD"/>
        </w:rPr>
        <w:t xml:space="preserve"> a CR conform prevederilor Ordinului ministrului Finanțelor nr.164 din 30.12.2016, acesta dispune de unele rezerve privind descrierile performanței pe programe/subprograme și pe contingente. În </w:t>
      </w:r>
      <w:r w:rsidR="0065737A" w:rsidRPr="00641BC7">
        <w:rPr>
          <w:rFonts w:asciiTheme="majorHAnsi" w:eastAsia="Calibri" w:hAnsiTheme="majorHAnsi" w:cstheme="majorHAnsi"/>
          <w:sz w:val="24"/>
          <w:szCs w:val="24"/>
          <w:lang w:val="ro-MD"/>
        </w:rPr>
        <w:lastRenderedPageBreak/>
        <w:t>informația privind descifrarea creanțelor și datoriilor nu a fost indicată data înregistrării creanței/datoriei.</w:t>
      </w:r>
    </w:p>
    <w:p w14:paraId="5A53CC61" w14:textId="26EAD565" w:rsidR="0065737A" w:rsidRPr="00641BC7" w:rsidRDefault="0065737A" w:rsidP="0065737A">
      <w:pPr>
        <w:tabs>
          <w:tab w:val="left" w:pos="0"/>
        </w:tabs>
        <w:spacing w:after="0" w:line="276" w:lineRule="auto"/>
        <w:contextualSpacing/>
        <w:jc w:val="both"/>
        <w:rPr>
          <w:rFonts w:asciiTheme="majorHAnsi" w:eastAsia="Calibri" w:hAnsiTheme="majorHAnsi" w:cstheme="majorHAnsi"/>
          <w:sz w:val="24"/>
          <w:szCs w:val="24"/>
          <w:lang w:val="ro-MD"/>
        </w:rPr>
      </w:pPr>
      <w:r w:rsidRPr="00641BC7">
        <w:rPr>
          <w:rFonts w:asciiTheme="majorHAnsi" w:eastAsia="Calibri" w:hAnsiTheme="majorHAnsi" w:cstheme="majorHAnsi"/>
          <w:sz w:val="24"/>
          <w:szCs w:val="24"/>
          <w:lang w:val="ro-MD"/>
        </w:rPr>
        <w:t xml:space="preserve">De menționat că informațiile cu privire la raportarea pozițiilor bilanțiere, descrierea creanțelor și datoriilor au fost documentate de către </w:t>
      </w:r>
      <w:r w:rsidR="00CC2410" w:rsidRPr="00641BC7">
        <w:rPr>
          <w:rFonts w:asciiTheme="majorHAnsi" w:eastAsia="Calibri" w:hAnsiTheme="majorHAnsi" w:cstheme="majorHAnsi"/>
          <w:sz w:val="24"/>
          <w:szCs w:val="24"/>
          <w:lang w:val="ro-MD"/>
        </w:rPr>
        <w:t>Direcția Finanțe</w:t>
      </w:r>
      <w:r w:rsidRPr="00641BC7">
        <w:rPr>
          <w:rFonts w:asciiTheme="majorHAnsi" w:eastAsia="Calibri" w:hAnsiTheme="majorHAnsi" w:cstheme="majorHAnsi"/>
          <w:sz w:val="24"/>
          <w:szCs w:val="24"/>
          <w:lang w:val="ro-MD"/>
        </w:rPr>
        <w:t xml:space="preserve"> a CR, dar nu au fost utilizate la întocmirea și prezentarea Raportului narativ privind executarea bugetelor autorităților/instituțiilor bugetare.</w:t>
      </w:r>
    </w:p>
    <w:p w14:paraId="4327A91B" w14:textId="77777777" w:rsidR="002A7174" w:rsidRPr="00641BC7" w:rsidRDefault="002A7174" w:rsidP="00EA2FA6">
      <w:pPr>
        <w:pStyle w:val="ListParagraph"/>
        <w:widowControl w:val="0"/>
        <w:shd w:val="clear" w:color="auto" w:fill="FFFFFF"/>
        <w:tabs>
          <w:tab w:val="left" w:pos="0"/>
          <w:tab w:val="left" w:pos="709"/>
        </w:tabs>
        <w:spacing w:line="276" w:lineRule="auto"/>
        <w:ind w:left="0"/>
        <w:jc w:val="both"/>
        <w:rPr>
          <w:rFonts w:asciiTheme="majorHAnsi" w:eastAsia="Calibri" w:hAnsiTheme="majorHAnsi" w:cstheme="majorHAnsi"/>
          <w:sz w:val="24"/>
          <w:szCs w:val="24"/>
          <w:lang w:val="ro-MD"/>
        </w:rPr>
      </w:pPr>
      <w:r w:rsidRPr="00641BC7">
        <w:rPr>
          <w:rFonts w:asciiTheme="majorHAnsi" w:eastAsia="Times New Roman" w:hAnsiTheme="majorHAnsi" w:cstheme="majorHAnsi"/>
          <w:sz w:val="24"/>
          <w:szCs w:val="24"/>
          <w:lang w:val="ro-MD"/>
        </w:rPr>
        <w:t>Am realizat misiunea de audit în conformitate cu Standardele Internaționale de Audit</w:t>
      </w:r>
      <w:r w:rsidRPr="00641BC7">
        <w:rPr>
          <w:rFonts w:asciiTheme="majorHAnsi" w:eastAsia="Times New Roman" w:hAnsiTheme="majorHAnsi" w:cstheme="majorHAnsi"/>
          <w:sz w:val="24"/>
          <w:szCs w:val="24"/>
          <w:vertAlign w:val="superscript"/>
          <w:lang w:val="ro-MD"/>
        </w:rPr>
        <w:footnoteReference w:id="14"/>
      </w:r>
      <w:r w:rsidRPr="00641BC7">
        <w:rPr>
          <w:rFonts w:asciiTheme="majorHAnsi" w:eastAsia="Times New Roman" w:hAnsiTheme="majorHAnsi" w:cstheme="majorHAnsi"/>
          <w:sz w:val="24"/>
          <w:szCs w:val="24"/>
          <w:lang w:val="ro-MD"/>
        </w:rPr>
        <w:t xml:space="preserve">. Responsabilitățile noastre, potrivit standardelor respective, sunt expuse în secțiunea </w:t>
      </w:r>
      <w:r w:rsidRPr="00641BC7">
        <w:rPr>
          <w:rFonts w:asciiTheme="majorHAnsi" w:eastAsia="Times New Roman" w:hAnsiTheme="majorHAnsi" w:cstheme="majorHAnsi"/>
          <w:i/>
          <w:sz w:val="24"/>
          <w:szCs w:val="24"/>
          <w:lang w:val="ro-MD"/>
        </w:rPr>
        <w:t>Responsabilitatea auditorului într-un audit al rapoartelor financiare</w:t>
      </w:r>
      <w:r w:rsidRPr="00641BC7">
        <w:rPr>
          <w:rFonts w:asciiTheme="majorHAnsi" w:eastAsia="Times New Roman" w:hAnsiTheme="majorHAnsi" w:cstheme="majorHAnsi"/>
          <w:sz w:val="24"/>
          <w:szCs w:val="24"/>
          <w:lang w:val="ro-MD"/>
        </w:rPr>
        <w:t xml:space="preserve"> din prezentul Raport. </w:t>
      </w:r>
      <w:r w:rsidRPr="00641BC7">
        <w:rPr>
          <w:rFonts w:asciiTheme="majorHAnsi" w:eastAsia="Calibri" w:hAnsiTheme="majorHAnsi" w:cstheme="majorHAnsi"/>
          <w:sz w:val="24"/>
          <w:szCs w:val="24"/>
          <w:lang w:val="ro-MD"/>
        </w:rPr>
        <w:t>Suntem independenți față de entitatea auditată și am îndeplinit responsabilitățile de etică conform cerințelor Codului etic al Curții de Conturi. Considerăm că probele de audit obținute sunt suficiente și adecvate pentru a furniza o bază pentru opinia noastră.</w:t>
      </w:r>
    </w:p>
    <w:p w14:paraId="6DCF7851" w14:textId="77777777" w:rsidR="00F96CC6" w:rsidRPr="00641BC7" w:rsidRDefault="00F96CC6" w:rsidP="00EA2FA6">
      <w:pPr>
        <w:spacing w:line="276" w:lineRule="auto"/>
        <w:contextualSpacing/>
        <w:jc w:val="both"/>
        <w:rPr>
          <w:rFonts w:asciiTheme="majorHAnsi" w:hAnsiTheme="majorHAnsi" w:cstheme="majorHAnsi"/>
          <w:sz w:val="24"/>
          <w:szCs w:val="24"/>
          <w:lang w:val="ro-MD"/>
        </w:rPr>
      </w:pPr>
      <w:r w:rsidRPr="00641BC7">
        <w:rPr>
          <w:rFonts w:asciiTheme="majorHAnsi" w:hAnsiTheme="majorHAnsi" w:cstheme="majorHAnsi"/>
          <w:b/>
          <w:bCs/>
          <w:sz w:val="24"/>
          <w:szCs w:val="24"/>
          <w:lang w:val="ro-MD"/>
        </w:rPr>
        <w:t xml:space="preserve">III. </w:t>
      </w:r>
      <w:r w:rsidRPr="00641BC7">
        <w:rPr>
          <w:rFonts w:asciiTheme="majorHAnsi" w:hAnsiTheme="majorHAnsi" w:cstheme="majorHAnsi"/>
          <w:b/>
          <w:sz w:val="24"/>
          <w:szCs w:val="24"/>
          <w:lang w:val="ro-MD"/>
        </w:rPr>
        <w:t>PARAGRAF DE EVIDENȚIERE A UNOR ASPECTE</w:t>
      </w:r>
      <w:r w:rsidRPr="00641BC7">
        <w:rPr>
          <w:rFonts w:asciiTheme="majorHAnsi" w:hAnsiTheme="majorHAnsi" w:cstheme="majorHAnsi"/>
          <w:sz w:val="24"/>
          <w:szCs w:val="24"/>
          <w:lang w:val="ro-MD"/>
        </w:rPr>
        <w:t xml:space="preserve"> </w:t>
      </w:r>
    </w:p>
    <w:p w14:paraId="4B479B42" w14:textId="1A0943C2" w:rsidR="00F96CC6" w:rsidRPr="00641BC7" w:rsidRDefault="00FC3CB9" w:rsidP="00EA2FA6">
      <w:pPr>
        <w:spacing w:after="0" w:line="276" w:lineRule="auto"/>
        <w:jc w:val="both"/>
        <w:rPr>
          <w:rFonts w:asciiTheme="majorHAnsi" w:hAnsiTheme="majorHAnsi" w:cstheme="majorHAnsi"/>
          <w:sz w:val="24"/>
          <w:szCs w:val="24"/>
          <w:lang w:val="ro-MD"/>
        </w:rPr>
      </w:pPr>
      <w:r w:rsidRPr="00641BC7">
        <w:rPr>
          <w:rFonts w:asciiTheme="majorHAnsi" w:hAnsiTheme="majorHAnsi" w:cstheme="majorHAnsi"/>
          <w:b/>
          <w:sz w:val="24"/>
          <w:szCs w:val="24"/>
          <w:lang w:val="ro-MD"/>
        </w:rPr>
        <w:t>3.1.</w:t>
      </w:r>
      <w:r w:rsidRPr="00641BC7">
        <w:rPr>
          <w:rFonts w:asciiTheme="majorHAnsi" w:hAnsiTheme="majorHAnsi" w:cstheme="majorHAnsi"/>
          <w:sz w:val="24"/>
          <w:szCs w:val="24"/>
          <w:lang w:val="ro-MD"/>
        </w:rPr>
        <w:t xml:space="preserve"> </w:t>
      </w:r>
      <w:r w:rsidR="00F96CC6" w:rsidRPr="00641BC7">
        <w:rPr>
          <w:rFonts w:asciiTheme="majorHAnsi" w:hAnsiTheme="majorHAnsi" w:cstheme="majorHAnsi"/>
          <w:sz w:val="24"/>
          <w:szCs w:val="24"/>
          <w:lang w:val="ro-MD"/>
        </w:rPr>
        <w:t>Atragem atenția asupra faptului că actualul Plan de conturi, aprobat</w:t>
      </w:r>
      <w:r w:rsidR="00F96CC6" w:rsidRPr="00641BC7">
        <w:rPr>
          <w:rFonts w:asciiTheme="majorHAnsi" w:eastAsia="Times New Roman" w:hAnsiTheme="majorHAnsi" w:cstheme="majorHAnsi"/>
          <w:sz w:val="24"/>
          <w:szCs w:val="24"/>
          <w:lang w:val="ro-MD"/>
        </w:rPr>
        <w:t xml:space="preserve"> prin Ordinul ministrului </w:t>
      </w:r>
      <w:r w:rsidR="000A7EDD" w:rsidRPr="00641BC7">
        <w:rPr>
          <w:rFonts w:asciiTheme="majorHAnsi" w:eastAsia="Times New Roman" w:hAnsiTheme="majorHAnsi" w:cstheme="majorHAnsi"/>
          <w:sz w:val="24"/>
          <w:szCs w:val="24"/>
          <w:lang w:val="ro-MD"/>
        </w:rPr>
        <w:t>F</w:t>
      </w:r>
      <w:r w:rsidR="00F96CC6" w:rsidRPr="00641BC7">
        <w:rPr>
          <w:rFonts w:asciiTheme="majorHAnsi" w:eastAsia="Times New Roman" w:hAnsiTheme="majorHAnsi" w:cstheme="majorHAnsi"/>
          <w:sz w:val="24"/>
          <w:szCs w:val="24"/>
          <w:lang w:val="ro-MD"/>
        </w:rPr>
        <w:t>inanțelor nr.216 din 28.12.2015,</w:t>
      </w:r>
      <w:r w:rsidR="00F96CC6" w:rsidRPr="00641BC7">
        <w:rPr>
          <w:rFonts w:asciiTheme="majorHAnsi" w:hAnsiTheme="majorHAnsi" w:cstheme="majorHAnsi"/>
          <w:sz w:val="24"/>
          <w:szCs w:val="24"/>
          <w:lang w:val="ro-MD"/>
        </w:rPr>
        <w:t xml:space="preserve"> nu face distincție între bunurile care au fost transmise de către fondator unei entități cu titlu de proprietate și cele care sunt transmise în gestiune, folosință sau comodat, ai căror proprietari reali sunt fondatorul sau alte persoane terțe. Ca urmare, până în prezent nu există o reglementare privind executarea prevederilor art.11 alin.(2) din Legea nr.121-XVI din 04.05.2007</w:t>
      </w:r>
      <w:r w:rsidR="00456BE5" w:rsidRPr="00641BC7">
        <w:rPr>
          <w:rStyle w:val="FootnoteReference"/>
          <w:rFonts w:asciiTheme="majorHAnsi" w:hAnsiTheme="majorHAnsi" w:cstheme="majorHAnsi"/>
          <w:sz w:val="24"/>
          <w:szCs w:val="24"/>
          <w:lang w:val="ro-MD"/>
        </w:rPr>
        <w:footnoteReference w:id="15"/>
      </w:r>
      <w:r w:rsidR="00F96CC6" w:rsidRPr="00641BC7">
        <w:rPr>
          <w:rFonts w:asciiTheme="majorHAnsi" w:hAnsiTheme="majorHAnsi" w:cstheme="majorHAnsi"/>
          <w:sz w:val="24"/>
          <w:szCs w:val="24"/>
          <w:lang w:val="ro-MD"/>
        </w:rPr>
        <w:t xml:space="preserve">, prin care urmează a fi asigurată o evidență contabilă distinctă a bunurilor proprietate publică din domeniul public aflate în gestiunea entităților (instituțiilor publice și întreprinderilor) la autogestiune, precum și modul de înregistrare în evidența contabilă la fondator a tranzacțiilor respective.  </w:t>
      </w:r>
    </w:p>
    <w:p w14:paraId="5F40292F" w14:textId="70792890" w:rsidR="00FC3CB9" w:rsidRPr="00641BC7" w:rsidRDefault="00FC3CB9" w:rsidP="00FC3CB9">
      <w:pPr>
        <w:spacing w:after="0" w:line="276" w:lineRule="auto"/>
        <w:jc w:val="both"/>
        <w:rPr>
          <w:rFonts w:asciiTheme="majorHAnsi" w:eastAsia="Calibri" w:hAnsiTheme="majorHAnsi" w:cstheme="majorHAnsi"/>
          <w:b/>
          <w:noProof/>
          <w:color w:val="000000" w:themeColor="text1"/>
          <w:sz w:val="24"/>
          <w:szCs w:val="24"/>
          <w:lang w:val="ro-MD"/>
        </w:rPr>
      </w:pPr>
      <w:r w:rsidRPr="00641BC7">
        <w:rPr>
          <w:rFonts w:asciiTheme="majorHAnsi" w:eastAsia="Calibri" w:hAnsiTheme="majorHAnsi" w:cstheme="majorHAnsi"/>
          <w:b/>
          <w:noProof/>
          <w:color w:val="000000" w:themeColor="text1"/>
          <w:sz w:val="24"/>
          <w:szCs w:val="24"/>
          <w:lang w:val="ro-MD"/>
        </w:rPr>
        <w:t>3.2.</w:t>
      </w:r>
      <w:r w:rsidRPr="00641BC7">
        <w:rPr>
          <w:rFonts w:asciiTheme="majorHAnsi" w:eastAsia="Calibri" w:hAnsiTheme="majorHAnsi" w:cstheme="majorHAnsi"/>
          <w:noProof/>
          <w:color w:val="000000" w:themeColor="text1"/>
          <w:sz w:val="24"/>
          <w:szCs w:val="24"/>
          <w:lang w:val="ro-MD"/>
        </w:rPr>
        <w:t xml:space="preserve"> Necorespunderea prevederilor Ordinului ministrului Finanțelor nr.216 din 28.12.2015 principiilor contabile (contabilitatea de angajamente; consecvența prezentării) și caracteristicilor calitative (relevanță; credibilitate; compatibilitate), prevăzute de art.6 din Legea contabilității nr.113 din 27.04.2007, a cauzat </w:t>
      </w:r>
      <w:r w:rsidRPr="00641BC7">
        <w:rPr>
          <w:rFonts w:asciiTheme="majorHAnsi" w:hAnsiTheme="majorHAnsi" w:cstheme="majorHAnsi"/>
          <w:sz w:val="24"/>
          <w:szCs w:val="24"/>
          <w:lang w:val="ro-MD"/>
        </w:rPr>
        <w:t xml:space="preserve">subevaluarea valorii contului  </w:t>
      </w:r>
      <w:r w:rsidRPr="00641BC7">
        <w:rPr>
          <w:rFonts w:asciiTheme="majorHAnsi" w:hAnsiTheme="majorHAnsi" w:cstheme="majorHAnsi"/>
          <w:b/>
          <w:sz w:val="24"/>
          <w:szCs w:val="24"/>
          <w:lang w:val="ro-MD"/>
        </w:rPr>
        <w:t>561</w:t>
      </w:r>
      <w:r w:rsidRPr="00641BC7">
        <w:rPr>
          <w:rFonts w:asciiTheme="majorHAnsi" w:hAnsiTheme="majorHAnsi" w:cstheme="majorHAnsi"/>
          <w:sz w:val="24"/>
          <w:szCs w:val="24"/>
          <w:lang w:val="ro-MD"/>
        </w:rPr>
        <w:t xml:space="preserve"> „Împrumuturi recreditate între bugetul de stat și bugetele locale” cu suma de </w:t>
      </w:r>
      <w:r w:rsidRPr="00641BC7">
        <w:rPr>
          <w:rFonts w:asciiTheme="majorHAnsi" w:hAnsiTheme="majorHAnsi" w:cstheme="majorHAnsi"/>
          <w:b/>
          <w:sz w:val="24"/>
          <w:szCs w:val="24"/>
          <w:lang w:val="ro-MD"/>
        </w:rPr>
        <w:t>41 895,5 mii lei</w:t>
      </w:r>
      <w:r w:rsidRPr="00641BC7">
        <w:rPr>
          <w:rFonts w:asciiTheme="majorHAnsi" w:hAnsiTheme="majorHAnsi" w:cstheme="majorHAnsi"/>
          <w:sz w:val="24"/>
          <w:szCs w:val="24"/>
          <w:lang w:val="ro-MD"/>
        </w:rPr>
        <w:t xml:space="preserve"> și supraevaluarea valorii contului extrabilanțier 81222</w:t>
      </w:r>
      <w:r w:rsidR="00703FDC" w:rsidRPr="00641BC7">
        <w:rPr>
          <w:rFonts w:asciiTheme="majorHAnsi" w:hAnsiTheme="majorHAnsi" w:cstheme="majorHAnsi"/>
          <w:sz w:val="24"/>
          <w:szCs w:val="24"/>
          <w:lang w:val="ro-MD"/>
        </w:rPr>
        <w:t>2</w:t>
      </w:r>
      <w:r w:rsidRPr="00641BC7">
        <w:rPr>
          <w:rFonts w:asciiTheme="majorHAnsi" w:hAnsiTheme="majorHAnsi" w:cstheme="majorHAnsi"/>
          <w:sz w:val="24"/>
          <w:szCs w:val="24"/>
          <w:lang w:val="ro-MD"/>
        </w:rPr>
        <w:t xml:space="preserve"> „Datoria privind împrumuturile externe acordate de organizațiile financiare internaționale” cu aceeași sumă.</w:t>
      </w:r>
    </w:p>
    <w:p w14:paraId="3AE0E27F" w14:textId="530088CF" w:rsidR="001D48C3" w:rsidRPr="00641BC7" w:rsidRDefault="001D48C3" w:rsidP="00EA2FA6">
      <w:pPr>
        <w:spacing w:after="0" w:line="276" w:lineRule="auto"/>
        <w:jc w:val="both"/>
        <w:rPr>
          <w:rFonts w:asciiTheme="majorHAnsi" w:eastAsia="Times New Roman" w:hAnsiTheme="majorHAnsi" w:cstheme="majorHAnsi"/>
          <w:sz w:val="24"/>
          <w:szCs w:val="24"/>
          <w:lang w:val="ro-MD"/>
        </w:rPr>
      </w:pPr>
      <w:r w:rsidRPr="00641BC7">
        <w:rPr>
          <w:rFonts w:asciiTheme="majorHAnsi" w:hAnsiTheme="majorHAnsi" w:cstheme="majorHAnsi"/>
          <w:sz w:val="24"/>
          <w:szCs w:val="24"/>
          <w:lang w:val="ro-MD"/>
        </w:rPr>
        <w:t>Opinia nu este modificată din cauza acestor aspecte.</w:t>
      </w:r>
      <w:r w:rsidRPr="00641BC7">
        <w:rPr>
          <w:rFonts w:asciiTheme="majorHAnsi" w:eastAsia="Times New Roman" w:hAnsiTheme="majorHAnsi" w:cstheme="majorHAnsi"/>
          <w:sz w:val="24"/>
          <w:szCs w:val="24"/>
          <w:lang w:val="ro-MD"/>
        </w:rPr>
        <w:t xml:space="preserve"> </w:t>
      </w:r>
    </w:p>
    <w:p w14:paraId="24D7938F" w14:textId="77777777" w:rsidR="00713F76" w:rsidRPr="00641BC7" w:rsidRDefault="00713F76" w:rsidP="00EA2FA6">
      <w:pPr>
        <w:tabs>
          <w:tab w:val="left" w:pos="0"/>
          <w:tab w:val="left" w:pos="284"/>
        </w:tabs>
        <w:spacing w:after="0" w:line="276" w:lineRule="auto"/>
        <w:jc w:val="both"/>
        <w:outlineLvl w:val="0"/>
        <w:rPr>
          <w:rFonts w:asciiTheme="majorHAnsi" w:eastAsia="Times New Roman" w:hAnsiTheme="majorHAnsi" w:cstheme="majorHAnsi"/>
          <w:b/>
          <w:sz w:val="24"/>
          <w:szCs w:val="24"/>
          <w:lang w:val="ro-MD"/>
        </w:rPr>
      </w:pPr>
      <w:bookmarkStart w:id="3" w:name="_Toc529533667"/>
    </w:p>
    <w:p w14:paraId="0D577B26" w14:textId="4BBD4D3C" w:rsidR="002A7174" w:rsidRPr="00641BC7" w:rsidRDefault="002A7174" w:rsidP="00EA2FA6">
      <w:pPr>
        <w:tabs>
          <w:tab w:val="left" w:pos="0"/>
          <w:tab w:val="left" w:pos="284"/>
        </w:tabs>
        <w:spacing w:after="0" w:line="276" w:lineRule="auto"/>
        <w:jc w:val="both"/>
        <w:outlineLvl w:val="0"/>
        <w:rPr>
          <w:rFonts w:asciiTheme="majorHAnsi" w:eastAsia="Times New Roman" w:hAnsiTheme="majorHAnsi" w:cstheme="majorHAnsi"/>
          <w:b/>
          <w:sz w:val="24"/>
          <w:szCs w:val="24"/>
          <w:lang w:val="ro-MD"/>
        </w:rPr>
      </w:pPr>
      <w:r w:rsidRPr="00641BC7">
        <w:rPr>
          <w:rFonts w:asciiTheme="majorHAnsi" w:eastAsia="Times New Roman" w:hAnsiTheme="majorHAnsi" w:cstheme="majorHAnsi"/>
          <w:b/>
          <w:sz w:val="24"/>
          <w:szCs w:val="24"/>
          <w:lang w:val="ro-MD"/>
        </w:rPr>
        <w:t>I</w:t>
      </w:r>
      <w:r w:rsidR="00713F76" w:rsidRPr="00641BC7">
        <w:rPr>
          <w:rFonts w:asciiTheme="majorHAnsi" w:eastAsia="Times New Roman" w:hAnsiTheme="majorHAnsi" w:cstheme="majorHAnsi"/>
          <w:b/>
          <w:sz w:val="24"/>
          <w:szCs w:val="24"/>
          <w:lang w:val="ro-MD"/>
        </w:rPr>
        <w:t>V</w:t>
      </w:r>
      <w:r w:rsidRPr="00641BC7">
        <w:rPr>
          <w:rFonts w:asciiTheme="majorHAnsi" w:eastAsia="Times New Roman" w:hAnsiTheme="majorHAnsi" w:cstheme="majorHAnsi"/>
          <w:b/>
          <w:sz w:val="24"/>
          <w:szCs w:val="24"/>
          <w:lang w:val="ro-MD"/>
        </w:rPr>
        <w:t>. ASPECTE-CHEIE DE AUDIT</w:t>
      </w:r>
      <w:bookmarkEnd w:id="3"/>
    </w:p>
    <w:p w14:paraId="1F1EE6D9" w14:textId="58142F7C" w:rsidR="00EA2FA6" w:rsidRPr="00641BC7" w:rsidRDefault="002A7174" w:rsidP="00EA2FA6">
      <w:pPr>
        <w:tabs>
          <w:tab w:val="left" w:pos="0"/>
        </w:tabs>
        <w:spacing w:after="0" w:line="276" w:lineRule="auto"/>
        <w:jc w:val="both"/>
        <w:rPr>
          <w:rFonts w:asciiTheme="majorHAnsi" w:eastAsia="Calibri" w:hAnsiTheme="majorHAnsi" w:cstheme="majorHAnsi"/>
          <w:bCs/>
          <w:sz w:val="24"/>
          <w:szCs w:val="24"/>
          <w:lang w:val="ro-MD"/>
        </w:rPr>
      </w:pPr>
      <w:r w:rsidRPr="00641BC7">
        <w:rPr>
          <w:rFonts w:asciiTheme="majorHAnsi" w:eastAsia="Calibri" w:hAnsiTheme="majorHAnsi" w:cstheme="majorHAnsi"/>
          <w:sz w:val="24"/>
          <w:szCs w:val="24"/>
          <w:lang w:val="ro-MD"/>
        </w:rPr>
        <w:t>Aspecte-cheie de audit sunt acele aspecte care, în baza raționamentului nostru profesional, au avut cea mai mare impor</w:t>
      </w:r>
      <w:r w:rsidR="00AF715A" w:rsidRPr="00641BC7">
        <w:rPr>
          <w:rFonts w:asciiTheme="majorHAnsi" w:eastAsia="Calibri" w:hAnsiTheme="majorHAnsi" w:cstheme="majorHAnsi"/>
          <w:sz w:val="24"/>
          <w:szCs w:val="24"/>
          <w:lang w:val="ro-MD"/>
        </w:rPr>
        <w:t>tanță pentru auditul raportului financiar consolidat al</w:t>
      </w:r>
      <w:r w:rsidRPr="00641BC7">
        <w:rPr>
          <w:rFonts w:asciiTheme="majorHAnsi" w:eastAsia="Calibri" w:hAnsiTheme="majorHAnsi" w:cstheme="majorHAnsi"/>
          <w:sz w:val="24"/>
          <w:szCs w:val="24"/>
          <w:lang w:val="ro-MD"/>
        </w:rPr>
        <w:t xml:space="preserve"> </w:t>
      </w:r>
      <w:r w:rsidR="000A7EDD" w:rsidRPr="00641BC7">
        <w:rPr>
          <w:rFonts w:asciiTheme="majorHAnsi" w:eastAsia="Calibri" w:hAnsiTheme="majorHAnsi" w:cstheme="majorHAnsi"/>
          <w:sz w:val="24"/>
          <w:szCs w:val="24"/>
          <w:lang w:val="ro-MD"/>
        </w:rPr>
        <w:t>u</w:t>
      </w:r>
      <w:r w:rsidR="00AF715A" w:rsidRPr="00641BC7">
        <w:rPr>
          <w:rFonts w:asciiTheme="majorHAnsi" w:eastAsia="Calibri" w:hAnsiTheme="majorHAnsi" w:cstheme="majorHAnsi"/>
          <w:sz w:val="24"/>
          <w:szCs w:val="24"/>
          <w:lang w:val="ro-MD"/>
        </w:rPr>
        <w:t xml:space="preserve">nității </w:t>
      </w:r>
      <w:r w:rsidR="000A7EDD" w:rsidRPr="00641BC7">
        <w:rPr>
          <w:rFonts w:asciiTheme="majorHAnsi" w:eastAsia="Calibri" w:hAnsiTheme="majorHAnsi" w:cstheme="majorHAnsi"/>
          <w:sz w:val="24"/>
          <w:szCs w:val="24"/>
          <w:lang w:val="ro-MD"/>
        </w:rPr>
        <w:t>a</w:t>
      </w:r>
      <w:r w:rsidR="00E44F28" w:rsidRPr="00641BC7">
        <w:rPr>
          <w:rFonts w:asciiTheme="majorHAnsi" w:eastAsia="Calibri" w:hAnsiTheme="majorHAnsi" w:cstheme="majorHAnsi"/>
          <w:sz w:val="24"/>
          <w:szCs w:val="24"/>
          <w:lang w:val="ro-MD"/>
        </w:rPr>
        <w:t>dministrativ</w:t>
      </w:r>
      <w:r w:rsidR="000A7EDD" w:rsidRPr="00641BC7">
        <w:rPr>
          <w:rFonts w:asciiTheme="majorHAnsi" w:eastAsia="Calibri" w:hAnsiTheme="majorHAnsi" w:cstheme="majorHAnsi"/>
          <w:sz w:val="24"/>
          <w:szCs w:val="24"/>
          <w:lang w:val="ro-MD"/>
        </w:rPr>
        <w:t>-t</w:t>
      </w:r>
      <w:r w:rsidR="00AF715A" w:rsidRPr="00641BC7">
        <w:rPr>
          <w:rFonts w:asciiTheme="majorHAnsi" w:eastAsia="Calibri" w:hAnsiTheme="majorHAnsi" w:cstheme="majorHAnsi"/>
          <w:sz w:val="24"/>
          <w:szCs w:val="24"/>
          <w:lang w:val="ro-MD"/>
        </w:rPr>
        <w:t>eritorial</w:t>
      </w:r>
      <w:r w:rsidR="00E44F28" w:rsidRPr="00641BC7">
        <w:rPr>
          <w:rFonts w:asciiTheme="majorHAnsi" w:eastAsia="Calibri" w:hAnsiTheme="majorHAnsi" w:cstheme="majorHAnsi"/>
          <w:sz w:val="24"/>
          <w:szCs w:val="24"/>
          <w:lang w:val="ro-MD"/>
        </w:rPr>
        <w:t>e r</w:t>
      </w:r>
      <w:r w:rsidR="000A7EDD" w:rsidRPr="00641BC7">
        <w:rPr>
          <w:rFonts w:asciiTheme="majorHAnsi" w:eastAsia="Calibri" w:hAnsiTheme="majorHAnsi" w:cstheme="majorHAnsi"/>
          <w:sz w:val="24"/>
          <w:szCs w:val="24"/>
          <w:lang w:val="ro-MD"/>
        </w:rPr>
        <w:t>aio</w:t>
      </w:r>
      <w:r w:rsidR="00E44F28" w:rsidRPr="00641BC7">
        <w:rPr>
          <w:rFonts w:asciiTheme="majorHAnsi" w:eastAsia="Calibri" w:hAnsiTheme="majorHAnsi" w:cstheme="majorHAnsi"/>
          <w:sz w:val="24"/>
          <w:szCs w:val="24"/>
          <w:lang w:val="ro-MD"/>
        </w:rPr>
        <w:t>nul Nisporeni</w:t>
      </w:r>
      <w:r w:rsidR="00D144C8" w:rsidRPr="00641BC7">
        <w:rPr>
          <w:rFonts w:asciiTheme="majorHAnsi" w:eastAsia="Calibri" w:hAnsiTheme="majorHAnsi" w:cstheme="majorHAnsi"/>
          <w:sz w:val="24"/>
          <w:szCs w:val="24"/>
          <w:lang w:val="ro-MD"/>
        </w:rPr>
        <w:t xml:space="preserve"> (bugetul de nivelul II)</w:t>
      </w:r>
      <w:r w:rsidRPr="00641BC7">
        <w:rPr>
          <w:rFonts w:asciiTheme="majorHAnsi" w:eastAsia="Calibri" w:hAnsiTheme="majorHAnsi" w:cstheme="majorHAnsi"/>
          <w:sz w:val="24"/>
          <w:szCs w:val="24"/>
          <w:lang w:val="ro-MD"/>
        </w:rPr>
        <w:t>. Aceste aspecte au fost abordate în contextul auditului rapoartelor financiare în ansamblu și al formării opiniei noastre asupra lor,</w:t>
      </w:r>
      <w:r w:rsidR="005954CC" w:rsidRPr="00641BC7">
        <w:rPr>
          <w:rFonts w:asciiTheme="majorHAnsi" w:eastAsia="Calibri" w:hAnsiTheme="majorHAnsi" w:cstheme="majorHAnsi"/>
          <w:sz w:val="24"/>
          <w:szCs w:val="24"/>
          <w:lang w:val="ro-MD"/>
        </w:rPr>
        <w:t xml:space="preserve"> </w:t>
      </w:r>
      <w:r w:rsidRPr="00641BC7">
        <w:rPr>
          <w:rFonts w:asciiTheme="majorHAnsi" w:eastAsia="Calibri" w:hAnsiTheme="majorHAnsi" w:cstheme="majorHAnsi"/>
          <w:sz w:val="24"/>
          <w:szCs w:val="24"/>
          <w:lang w:val="ro-MD"/>
        </w:rPr>
        <w:t xml:space="preserve">și nu oferim o opinie separată cu privire la ele. </w:t>
      </w:r>
      <w:r w:rsidRPr="00641BC7">
        <w:rPr>
          <w:rFonts w:asciiTheme="majorHAnsi" w:eastAsia="Calibri" w:hAnsiTheme="majorHAnsi" w:cstheme="majorHAnsi"/>
          <w:bCs/>
          <w:sz w:val="24"/>
          <w:szCs w:val="24"/>
          <w:lang w:val="ro-MD"/>
        </w:rPr>
        <w:t xml:space="preserve">Cu excepția aspectelor descrise în </w:t>
      </w:r>
      <w:r w:rsidRPr="00641BC7">
        <w:rPr>
          <w:rFonts w:asciiTheme="majorHAnsi" w:eastAsia="Times New Roman" w:hAnsiTheme="majorHAnsi" w:cstheme="majorHAnsi"/>
          <w:color w:val="000000"/>
          <w:sz w:val="24"/>
          <w:szCs w:val="24"/>
          <w:lang w:val="ro-MD"/>
        </w:rPr>
        <w:t>secțiunea</w:t>
      </w:r>
      <w:r w:rsidRPr="00641BC7">
        <w:rPr>
          <w:rFonts w:asciiTheme="majorHAnsi" w:eastAsia="Calibri" w:hAnsiTheme="majorHAnsi" w:cstheme="majorHAnsi"/>
          <w:bCs/>
          <w:sz w:val="24"/>
          <w:szCs w:val="24"/>
          <w:lang w:val="ro-MD"/>
        </w:rPr>
        <w:t xml:space="preserve"> </w:t>
      </w:r>
      <w:r w:rsidRPr="00641BC7">
        <w:rPr>
          <w:rFonts w:asciiTheme="majorHAnsi" w:eastAsia="Calibri" w:hAnsiTheme="majorHAnsi" w:cstheme="majorHAnsi"/>
          <w:bCs/>
          <w:i/>
          <w:sz w:val="24"/>
          <w:szCs w:val="24"/>
          <w:lang w:val="ro-MD"/>
        </w:rPr>
        <w:t>Baza pentru opini</w:t>
      </w:r>
      <w:r w:rsidR="008C7378" w:rsidRPr="00641BC7">
        <w:rPr>
          <w:rFonts w:asciiTheme="majorHAnsi" w:eastAsia="Calibri" w:hAnsiTheme="majorHAnsi" w:cstheme="majorHAnsi"/>
          <w:bCs/>
          <w:i/>
          <w:sz w:val="24"/>
          <w:szCs w:val="24"/>
          <w:lang w:val="ro-MD"/>
        </w:rPr>
        <w:t>a</w:t>
      </w:r>
      <w:r w:rsidRPr="00641BC7">
        <w:rPr>
          <w:rFonts w:asciiTheme="majorHAnsi" w:eastAsia="Calibri" w:hAnsiTheme="majorHAnsi" w:cstheme="majorHAnsi"/>
          <w:bCs/>
          <w:i/>
          <w:sz w:val="24"/>
          <w:szCs w:val="24"/>
          <w:lang w:val="ro-MD"/>
        </w:rPr>
        <w:t xml:space="preserve"> contrară</w:t>
      </w:r>
      <w:r w:rsidRPr="00641BC7">
        <w:rPr>
          <w:rFonts w:asciiTheme="majorHAnsi" w:eastAsia="Calibri" w:hAnsiTheme="majorHAnsi" w:cstheme="majorHAnsi"/>
          <w:bCs/>
          <w:sz w:val="24"/>
          <w:szCs w:val="24"/>
          <w:lang w:val="ro-MD"/>
        </w:rPr>
        <w:t>, am determinat că nu mai există alte aspecte-cheie de audit care trebuie expuse în Raportul de audit.</w:t>
      </w:r>
    </w:p>
    <w:p w14:paraId="0A335522" w14:textId="77777777" w:rsidR="00B0752D" w:rsidRPr="00641BC7" w:rsidRDefault="00B0752D" w:rsidP="00EA2FA6">
      <w:pPr>
        <w:tabs>
          <w:tab w:val="left" w:pos="0"/>
        </w:tabs>
        <w:spacing w:after="0" w:line="276" w:lineRule="auto"/>
        <w:jc w:val="both"/>
        <w:rPr>
          <w:rFonts w:asciiTheme="majorHAnsi" w:eastAsia="Calibri" w:hAnsiTheme="majorHAnsi" w:cstheme="majorHAnsi"/>
          <w:bCs/>
          <w:sz w:val="24"/>
          <w:szCs w:val="24"/>
          <w:lang w:val="ro-MD"/>
        </w:rPr>
      </w:pPr>
    </w:p>
    <w:p w14:paraId="3FBA9112" w14:textId="6AC284CE" w:rsidR="002A7174" w:rsidRPr="00641BC7" w:rsidRDefault="00DD59F1" w:rsidP="00EA2FA6">
      <w:pPr>
        <w:pStyle w:val="ListParagraph"/>
        <w:tabs>
          <w:tab w:val="left" w:pos="0"/>
          <w:tab w:val="left" w:pos="284"/>
          <w:tab w:val="left" w:pos="1134"/>
        </w:tabs>
        <w:spacing w:after="0" w:line="276" w:lineRule="auto"/>
        <w:ind w:left="0"/>
        <w:jc w:val="both"/>
        <w:outlineLvl w:val="0"/>
        <w:rPr>
          <w:rFonts w:asciiTheme="majorHAnsi" w:eastAsia="Times New Roman" w:hAnsiTheme="majorHAnsi" w:cstheme="majorHAnsi"/>
          <w:b/>
          <w:sz w:val="24"/>
          <w:szCs w:val="24"/>
          <w:lang w:val="ro-MD"/>
        </w:rPr>
      </w:pPr>
      <w:r w:rsidRPr="00641BC7">
        <w:rPr>
          <w:rFonts w:asciiTheme="majorHAnsi" w:eastAsia="Times New Roman" w:hAnsiTheme="majorHAnsi" w:cstheme="majorHAnsi"/>
          <w:b/>
          <w:sz w:val="24"/>
          <w:szCs w:val="24"/>
          <w:lang w:val="ro-MD"/>
        </w:rPr>
        <w:t xml:space="preserve">V. </w:t>
      </w:r>
      <w:r w:rsidR="002A7174" w:rsidRPr="00641BC7">
        <w:rPr>
          <w:rFonts w:asciiTheme="majorHAnsi" w:eastAsia="Times New Roman" w:hAnsiTheme="majorHAnsi" w:cstheme="majorHAnsi"/>
          <w:b/>
          <w:sz w:val="24"/>
          <w:szCs w:val="24"/>
          <w:lang w:val="ro-MD"/>
        </w:rPr>
        <w:t>ALTE INFORMAȚII</w:t>
      </w:r>
    </w:p>
    <w:p w14:paraId="5F6D48EC" w14:textId="2AFFACBC" w:rsidR="004F1A39" w:rsidRPr="00641BC7" w:rsidRDefault="004F1A39" w:rsidP="00EA2FA6">
      <w:pPr>
        <w:pStyle w:val="ListParagraph"/>
        <w:spacing w:line="276" w:lineRule="auto"/>
        <w:ind w:left="35"/>
        <w:jc w:val="both"/>
        <w:rPr>
          <w:rFonts w:asciiTheme="majorHAnsi" w:hAnsiTheme="majorHAnsi" w:cstheme="majorHAnsi"/>
          <w:sz w:val="24"/>
          <w:szCs w:val="24"/>
          <w:lang w:val="ro-MD"/>
        </w:rPr>
      </w:pPr>
      <w:r w:rsidRPr="00641BC7">
        <w:rPr>
          <w:rFonts w:asciiTheme="majorHAnsi" w:eastAsia="Times New Roman" w:hAnsiTheme="majorHAnsi" w:cstheme="majorHAnsi"/>
          <w:b/>
          <w:sz w:val="24"/>
          <w:szCs w:val="24"/>
          <w:lang w:val="ro-MD"/>
        </w:rPr>
        <w:t xml:space="preserve">5.1. </w:t>
      </w:r>
      <w:r w:rsidRPr="00641BC7">
        <w:rPr>
          <w:rFonts w:asciiTheme="majorHAnsi" w:eastAsia="Times New Roman" w:hAnsiTheme="majorHAnsi" w:cstheme="majorHAnsi"/>
          <w:sz w:val="24"/>
          <w:szCs w:val="24"/>
          <w:lang w:val="ro-MD"/>
        </w:rPr>
        <w:t>C</w:t>
      </w:r>
      <w:r w:rsidRPr="00641BC7">
        <w:rPr>
          <w:rFonts w:asciiTheme="majorHAnsi" w:hAnsiTheme="majorHAnsi" w:cstheme="majorHAnsi"/>
          <w:sz w:val="24"/>
          <w:szCs w:val="24"/>
          <w:lang w:val="ro-MD"/>
        </w:rPr>
        <w:t>lasificarea neconformă a mijloacelor fixe raportate la:</w:t>
      </w:r>
    </w:p>
    <w:p w14:paraId="7E937214" w14:textId="196E9B97" w:rsidR="004F1A39" w:rsidRPr="00641BC7" w:rsidRDefault="004F1A39" w:rsidP="00EA2FA6">
      <w:pPr>
        <w:pStyle w:val="ListParagraph"/>
        <w:spacing w:line="276" w:lineRule="auto"/>
        <w:ind w:left="35"/>
        <w:jc w:val="both"/>
        <w:rPr>
          <w:rFonts w:asciiTheme="majorHAnsi" w:hAnsiTheme="majorHAnsi" w:cstheme="majorHAnsi"/>
          <w:sz w:val="24"/>
          <w:szCs w:val="24"/>
          <w:lang w:val="ro-MD"/>
        </w:rPr>
      </w:pPr>
      <w:r w:rsidRPr="00641BC7">
        <w:rPr>
          <w:rFonts w:asciiTheme="majorHAnsi" w:hAnsiTheme="majorHAnsi" w:cstheme="majorHAnsi"/>
          <w:sz w:val="24"/>
          <w:szCs w:val="24"/>
          <w:lang w:val="ro-MD"/>
        </w:rPr>
        <w:lastRenderedPageBreak/>
        <w:t xml:space="preserve">- contul 312 „Construcții speciale” </w:t>
      </w:r>
      <w:r w:rsidR="00312312" w:rsidRPr="00641BC7">
        <w:rPr>
          <w:rFonts w:asciiTheme="majorHAnsi" w:hAnsiTheme="majorHAnsi" w:cstheme="majorHAnsi"/>
          <w:sz w:val="24"/>
          <w:szCs w:val="24"/>
          <w:lang w:val="ro-MD"/>
        </w:rPr>
        <w:t xml:space="preserve">în </w:t>
      </w:r>
      <w:r w:rsidRPr="00641BC7">
        <w:rPr>
          <w:rFonts w:asciiTheme="majorHAnsi" w:hAnsiTheme="majorHAnsi" w:cstheme="majorHAnsi"/>
          <w:sz w:val="24"/>
          <w:szCs w:val="24"/>
          <w:lang w:val="ro-MD"/>
        </w:rPr>
        <w:t>sum</w:t>
      </w:r>
      <w:r w:rsidR="00312312" w:rsidRPr="00641BC7">
        <w:rPr>
          <w:rFonts w:asciiTheme="majorHAnsi" w:hAnsiTheme="majorHAnsi" w:cstheme="majorHAnsi"/>
          <w:sz w:val="24"/>
          <w:szCs w:val="24"/>
          <w:lang w:val="ro-MD"/>
        </w:rPr>
        <w:t>ă</w:t>
      </w:r>
      <w:r w:rsidRPr="00641BC7">
        <w:rPr>
          <w:rFonts w:asciiTheme="majorHAnsi" w:hAnsiTheme="majorHAnsi" w:cstheme="majorHAnsi"/>
          <w:sz w:val="24"/>
          <w:szCs w:val="24"/>
          <w:lang w:val="ro-MD"/>
        </w:rPr>
        <w:t xml:space="preserve"> de </w:t>
      </w:r>
      <w:r w:rsidRPr="00641BC7">
        <w:rPr>
          <w:rFonts w:asciiTheme="majorHAnsi" w:hAnsiTheme="majorHAnsi" w:cstheme="majorHAnsi"/>
          <w:b/>
          <w:sz w:val="24"/>
          <w:szCs w:val="24"/>
          <w:lang w:val="ro-MD"/>
        </w:rPr>
        <w:t xml:space="preserve">1 061,9 mii lei </w:t>
      </w:r>
      <w:r w:rsidRPr="00641BC7">
        <w:rPr>
          <w:rFonts w:asciiTheme="majorHAnsi" w:hAnsiTheme="majorHAnsi" w:cstheme="majorHAnsi"/>
          <w:sz w:val="24"/>
          <w:szCs w:val="24"/>
          <w:lang w:val="ro-MD"/>
        </w:rPr>
        <w:t>a dus la subevaluarea c</w:t>
      </w:r>
      <w:r w:rsidR="004F702A" w:rsidRPr="00641BC7">
        <w:rPr>
          <w:rFonts w:asciiTheme="majorHAnsi" w:hAnsiTheme="majorHAnsi" w:cstheme="majorHAnsi"/>
          <w:sz w:val="24"/>
          <w:szCs w:val="24"/>
          <w:lang w:val="ro-MD"/>
        </w:rPr>
        <w:t xml:space="preserve">ontului </w:t>
      </w:r>
      <w:r w:rsidRPr="00641BC7">
        <w:rPr>
          <w:rFonts w:asciiTheme="majorHAnsi" w:hAnsiTheme="majorHAnsi" w:cstheme="majorHAnsi"/>
          <w:sz w:val="24"/>
          <w:szCs w:val="24"/>
          <w:lang w:val="ro-MD"/>
        </w:rPr>
        <w:t>311</w:t>
      </w:r>
      <w:r w:rsidR="004F702A" w:rsidRPr="00641BC7">
        <w:rPr>
          <w:rFonts w:asciiTheme="majorHAnsi" w:hAnsiTheme="majorHAnsi" w:cstheme="majorHAnsi"/>
          <w:sz w:val="24"/>
          <w:szCs w:val="24"/>
          <w:lang w:val="ro-MD"/>
        </w:rPr>
        <w:t xml:space="preserve"> </w:t>
      </w:r>
      <w:r w:rsidRPr="00641BC7">
        <w:rPr>
          <w:rFonts w:asciiTheme="majorHAnsi" w:hAnsiTheme="majorHAnsi" w:cstheme="majorHAnsi"/>
          <w:sz w:val="24"/>
          <w:szCs w:val="24"/>
          <w:lang w:val="ro-MD"/>
        </w:rPr>
        <w:t>„Clădiri”;</w:t>
      </w:r>
    </w:p>
    <w:p w14:paraId="436DB91D" w14:textId="4353A6C7" w:rsidR="004F1A39" w:rsidRPr="00641BC7" w:rsidRDefault="004F1A39" w:rsidP="00EA2FA6">
      <w:pPr>
        <w:pStyle w:val="ListParagraph"/>
        <w:spacing w:after="0" w:line="276" w:lineRule="auto"/>
        <w:ind w:left="35"/>
        <w:jc w:val="both"/>
        <w:rPr>
          <w:rFonts w:asciiTheme="majorHAnsi" w:hAnsiTheme="majorHAnsi" w:cstheme="majorHAnsi"/>
          <w:sz w:val="24"/>
          <w:szCs w:val="24"/>
          <w:lang w:val="ro-MD"/>
        </w:rPr>
      </w:pPr>
      <w:r w:rsidRPr="00641BC7">
        <w:rPr>
          <w:rFonts w:asciiTheme="majorHAnsi" w:hAnsiTheme="majorHAnsi" w:cstheme="majorHAnsi"/>
          <w:sz w:val="24"/>
          <w:szCs w:val="24"/>
          <w:lang w:val="ro-MD"/>
        </w:rPr>
        <w:t xml:space="preserve">- contul 319 „Investiții capitale în active în curs de execuție” a dus la denaturarea contului 313 „Instalații de transmisie” cu </w:t>
      </w:r>
      <w:r w:rsidR="0030557A" w:rsidRPr="00641BC7">
        <w:rPr>
          <w:rFonts w:asciiTheme="majorHAnsi" w:hAnsiTheme="majorHAnsi" w:cstheme="majorHAnsi"/>
          <w:b/>
          <w:sz w:val="24"/>
          <w:szCs w:val="24"/>
          <w:lang w:val="ro-MD"/>
        </w:rPr>
        <w:t>2 687,4</w:t>
      </w:r>
      <w:r w:rsidRPr="00641BC7">
        <w:rPr>
          <w:rFonts w:asciiTheme="majorHAnsi" w:hAnsiTheme="majorHAnsi" w:cstheme="majorHAnsi"/>
          <w:b/>
          <w:sz w:val="24"/>
          <w:szCs w:val="24"/>
          <w:lang w:val="ro-MD"/>
        </w:rPr>
        <w:t xml:space="preserve"> mii lei</w:t>
      </w:r>
      <w:r w:rsidRPr="00641BC7">
        <w:rPr>
          <w:rFonts w:asciiTheme="majorHAnsi" w:hAnsiTheme="majorHAnsi" w:cstheme="majorHAnsi"/>
          <w:sz w:val="24"/>
          <w:szCs w:val="24"/>
          <w:lang w:val="ro-MD"/>
        </w:rPr>
        <w:t>.</w:t>
      </w:r>
    </w:p>
    <w:p w14:paraId="19418049" w14:textId="7B31FF99" w:rsidR="00B0752D" w:rsidRPr="00641BC7" w:rsidRDefault="00EC7D41" w:rsidP="00B0752D">
      <w:pPr>
        <w:spacing w:after="0" w:line="276" w:lineRule="auto"/>
        <w:jc w:val="both"/>
        <w:rPr>
          <w:rFonts w:asciiTheme="majorHAnsi" w:hAnsiTheme="majorHAnsi" w:cstheme="majorHAnsi"/>
          <w:bCs/>
          <w:iCs/>
          <w:color w:val="000000" w:themeColor="text1"/>
          <w:sz w:val="24"/>
          <w:szCs w:val="24"/>
          <w:lang w:val="ro-MD"/>
        </w:rPr>
      </w:pPr>
      <w:r w:rsidRPr="00641BC7">
        <w:rPr>
          <w:rFonts w:asciiTheme="majorHAnsi" w:hAnsiTheme="majorHAnsi" w:cstheme="majorHAnsi"/>
          <w:b/>
          <w:sz w:val="24"/>
          <w:szCs w:val="24"/>
          <w:lang w:val="ro-MD"/>
        </w:rPr>
        <w:t>5.2.</w:t>
      </w:r>
      <w:r w:rsidRPr="00641BC7">
        <w:rPr>
          <w:rFonts w:asciiTheme="majorHAnsi" w:hAnsiTheme="majorHAnsi" w:cstheme="majorHAnsi"/>
          <w:sz w:val="24"/>
          <w:szCs w:val="24"/>
          <w:lang w:val="ro-MD"/>
        </w:rPr>
        <w:t xml:space="preserve"> </w:t>
      </w:r>
      <w:r w:rsidRPr="00641BC7">
        <w:rPr>
          <w:rFonts w:asciiTheme="majorHAnsi" w:hAnsiTheme="majorHAnsi" w:cstheme="majorHAnsi"/>
          <w:bCs/>
          <w:iCs/>
          <w:color w:val="000000" w:themeColor="text1"/>
          <w:sz w:val="24"/>
          <w:szCs w:val="24"/>
          <w:lang w:val="ro-MD"/>
        </w:rPr>
        <w:t xml:space="preserve">Majorarea valorii contului 337 „Materiale de construcții” cu </w:t>
      </w:r>
      <w:r w:rsidRPr="00641BC7">
        <w:rPr>
          <w:rFonts w:asciiTheme="majorHAnsi" w:hAnsiTheme="majorHAnsi" w:cstheme="majorHAnsi"/>
          <w:b/>
          <w:bCs/>
          <w:iCs/>
          <w:color w:val="000000" w:themeColor="text1"/>
          <w:sz w:val="24"/>
          <w:szCs w:val="24"/>
          <w:lang w:val="ro-MD"/>
        </w:rPr>
        <w:t>162,0 mii lei</w:t>
      </w:r>
      <w:r w:rsidRPr="00641BC7">
        <w:rPr>
          <w:rFonts w:asciiTheme="majorHAnsi" w:hAnsiTheme="majorHAnsi" w:cstheme="majorHAnsi"/>
          <w:bCs/>
          <w:iCs/>
          <w:color w:val="000000" w:themeColor="text1"/>
          <w:sz w:val="24"/>
          <w:szCs w:val="24"/>
          <w:lang w:val="ro-MD"/>
        </w:rPr>
        <w:t xml:space="preserve">, </w:t>
      </w:r>
      <w:r w:rsidR="00BE2596" w:rsidRPr="00641BC7">
        <w:rPr>
          <w:rFonts w:asciiTheme="majorHAnsi" w:hAnsiTheme="majorHAnsi" w:cstheme="majorHAnsi"/>
          <w:bCs/>
          <w:iCs/>
          <w:color w:val="000000" w:themeColor="text1"/>
          <w:sz w:val="24"/>
          <w:szCs w:val="24"/>
          <w:lang w:val="ro-MD"/>
        </w:rPr>
        <w:t xml:space="preserve">din cauza </w:t>
      </w:r>
      <w:r w:rsidRPr="00641BC7">
        <w:rPr>
          <w:rFonts w:asciiTheme="majorHAnsi" w:hAnsiTheme="majorHAnsi" w:cstheme="majorHAnsi"/>
          <w:bCs/>
          <w:iCs/>
          <w:color w:val="000000" w:themeColor="text1"/>
          <w:sz w:val="24"/>
          <w:szCs w:val="24"/>
          <w:lang w:val="ro-MD"/>
        </w:rPr>
        <w:t>nedecontării bunurilor transmise în anii precedenți unei instituții.</w:t>
      </w:r>
    </w:p>
    <w:p w14:paraId="48C18DFA" w14:textId="48279295" w:rsidR="0065737A" w:rsidRPr="00641BC7" w:rsidRDefault="00A2705E" w:rsidP="00516C14">
      <w:pPr>
        <w:tabs>
          <w:tab w:val="left" w:pos="0"/>
        </w:tabs>
        <w:spacing w:after="0" w:line="276" w:lineRule="auto"/>
        <w:jc w:val="both"/>
        <w:rPr>
          <w:rFonts w:asciiTheme="majorHAnsi" w:hAnsiTheme="majorHAnsi" w:cstheme="majorHAnsi"/>
          <w:sz w:val="24"/>
          <w:szCs w:val="24"/>
          <w:lang w:val="ro-MD"/>
        </w:rPr>
      </w:pPr>
      <w:r w:rsidRPr="00641BC7">
        <w:rPr>
          <w:rFonts w:asciiTheme="majorHAnsi" w:hAnsiTheme="majorHAnsi" w:cstheme="majorHAnsi"/>
          <w:b/>
          <w:sz w:val="24"/>
          <w:szCs w:val="24"/>
          <w:lang w:val="ro-MD"/>
        </w:rPr>
        <w:t>5.</w:t>
      </w:r>
      <w:r w:rsidR="0065737A" w:rsidRPr="00641BC7">
        <w:rPr>
          <w:rFonts w:asciiTheme="majorHAnsi" w:eastAsia="Times New Roman" w:hAnsiTheme="majorHAnsi" w:cstheme="majorHAnsi"/>
          <w:b/>
          <w:sz w:val="24"/>
          <w:szCs w:val="24"/>
          <w:lang w:val="ro-MD"/>
        </w:rPr>
        <w:t>3.</w:t>
      </w:r>
      <w:r w:rsidR="0065737A" w:rsidRPr="00641BC7">
        <w:rPr>
          <w:rFonts w:asciiTheme="majorHAnsi" w:eastAsia="Times New Roman" w:hAnsiTheme="majorHAnsi" w:cstheme="majorHAnsi"/>
          <w:sz w:val="24"/>
          <w:szCs w:val="24"/>
          <w:lang w:val="ro-MD"/>
        </w:rPr>
        <w:t xml:space="preserve"> Neconformarea la principiul contabilității de angajamente</w:t>
      </w:r>
      <w:r w:rsidR="00BE2596" w:rsidRPr="00641BC7">
        <w:rPr>
          <w:rFonts w:asciiTheme="majorHAnsi" w:eastAsia="Times New Roman" w:hAnsiTheme="majorHAnsi" w:cstheme="majorHAnsi"/>
          <w:sz w:val="24"/>
          <w:szCs w:val="24"/>
          <w:lang w:val="ro-MD"/>
        </w:rPr>
        <w:t>,</w:t>
      </w:r>
      <w:r w:rsidR="0065737A" w:rsidRPr="00641BC7">
        <w:rPr>
          <w:rFonts w:asciiTheme="majorHAnsi" w:eastAsia="Times New Roman" w:hAnsiTheme="majorHAnsi" w:cstheme="majorHAnsi"/>
          <w:sz w:val="24"/>
          <w:szCs w:val="24"/>
          <w:lang w:val="ro-MD"/>
        </w:rPr>
        <w:t xml:space="preserve"> prevăzut de Ordinul 216/2015 a</w:t>
      </w:r>
      <w:r w:rsidR="00BE2596" w:rsidRPr="00641BC7">
        <w:rPr>
          <w:rFonts w:asciiTheme="majorHAnsi" w:eastAsia="Times New Roman" w:hAnsiTheme="majorHAnsi" w:cstheme="majorHAnsi"/>
          <w:sz w:val="24"/>
          <w:szCs w:val="24"/>
          <w:lang w:val="ro-MD"/>
        </w:rPr>
        <w:t>l ministrului Finanțelor, a</w:t>
      </w:r>
      <w:r w:rsidR="0065737A" w:rsidRPr="00641BC7">
        <w:rPr>
          <w:rFonts w:asciiTheme="majorHAnsi" w:eastAsia="Times New Roman" w:hAnsiTheme="majorHAnsi" w:cstheme="majorHAnsi"/>
          <w:sz w:val="24"/>
          <w:szCs w:val="24"/>
          <w:lang w:val="ro-MD"/>
        </w:rPr>
        <w:t xml:space="preserve"> condiționat nereflectarea </w:t>
      </w:r>
      <w:r w:rsidR="0065737A" w:rsidRPr="00641BC7">
        <w:rPr>
          <w:rFonts w:asciiTheme="majorHAnsi" w:hAnsiTheme="majorHAnsi" w:cstheme="majorHAnsi"/>
          <w:sz w:val="24"/>
          <w:szCs w:val="24"/>
          <w:lang w:val="ro-MD"/>
        </w:rPr>
        <w:t xml:space="preserve">la contul </w:t>
      </w:r>
      <w:r w:rsidR="0065737A" w:rsidRPr="00641BC7">
        <w:rPr>
          <w:rFonts w:asciiTheme="majorHAnsi" w:eastAsia="Times New Roman" w:hAnsiTheme="majorHAnsi" w:cstheme="majorHAnsi"/>
          <w:sz w:val="24"/>
          <w:szCs w:val="24"/>
          <w:lang w:val="ro-MD"/>
        </w:rPr>
        <w:t>bilanțier a creanțelor privind plata pentru locațiunea bunurilor patrimoniului public încasat în bugetul local de nivelul II</w:t>
      </w:r>
      <w:r w:rsidR="00BE2596" w:rsidRPr="00641BC7">
        <w:rPr>
          <w:rFonts w:asciiTheme="majorHAnsi" w:eastAsia="Times New Roman" w:hAnsiTheme="majorHAnsi" w:cstheme="majorHAnsi"/>
          <w:sz w:val="24"/>
          <w:szCs w:val="24"/>
          <w:lang w:val="ro-MD"/>
        </w:rPr>
        <w:t>,</w:t>
      </w:r>
      <w:r w:rsidR="0065737A" w:rsidRPr="00641BC7">
        <w:rPr>
          <w:rFonts w:asciiTheme="majorHAnsi" w:eastAsia="Times New Roman" w:hAnsiTheme="majorHAnsi" w:cstheme="majorHAnsi"/>
          <w:sz w:val="24"/>
          <w:szCs w:val="24"/>
          <w:lang w:val="ro-MD"/>
        </w:rPr>
        <w:t xml:space="preserve"> care </w:t>
      </w:r>
      <w:r w:rsidR="0065737A" w:rsidRPr="00641BC7">
        <w:rPr>
          <w:rFonts w:asciiTheme="majorHAnsi" w:hAnsiTheme="majorHAnsi" w:cstheme="majorHAnsi"/>
          <w:sz w:val="24"/>
          <w:szCs w:val="24"/>
          <w:lang w:val="ro-MD"/>
        </w:rPr>
        <w:t xml:space="preserve">constituie </w:t>
      </w:r>
      <w:r w:rsidR="006D76DE" w:rsidRPr="00641BC7">
        <w:rPr>
          <w:rFonts w:asciiTheme="majorHAnsi" w:hAnsiTheme="majorHAnsi" w:cstheme="majorHAnsi"/>
          <w:b/>
          <w:sz w:val="24"/>
          <w:szCs w:val="24"/>
          <w:lang w:val="ro-MD"/>
        </w:rPr>
        <w:t>80,0</w:t>
      </w:r>
      <w:r w:rsidR="0065737A" w:rsidRPr="00641BC7">
        <w:rPr>
          <w:rFonts w:asciiTheme="majorHAnsi" w:hAnsiTheme="majorHAnsi" w:cstheme="majorHAnsi"/>
          <w:b/>
          <w:sz w:val="24"/>
          <w:szCs w:val="24"/>
          <w:lang w:val="ro-MD"/>
        </w:rPr>
        <w:t xml:space="preserve"> mi</w:t>
      </w:r>
      <w:r w:rsidR="006D76DE" w:rsidRPr="00641BC7">
        <w:rPr>
          <w:rFonts w:asciiTheme="majorHAnsi" w:hAnsiTheme="majorHAnsi" w:cstheme="majorHAnsi"/>
          <w:b/>
          <w:sz w:val="24"/>
          <w:szCs w:val="24"/>
          <w:lang w:val="ro-MD"/>
        </w:rPr>
        <w:t xml:space="preserve">i </w:t>
      </w:r>
      <w:r w:rsidR="0065737A" w:rsidRPr="00641BC7">
        <w:rPr>
          <w:rFonts w:asciiTheme="majorHAnsi" w:hAnsiTheme="majorHAnsi" w:cstheme="majorHAnsi"/>
          <w:b/>
          <w:sz w:val="24"/>
          <w:szCs w:val="24"/>
          <w:lang w:val="ro-MD"/>
        </w:rPr>
        <w:t>lei</w:t>
      </w:r>
      <w:r w:rsidR="0065737A" w:rsidRPr="00641BC7">
        <w:rPr>
          <w:rFonts w:asciiTheme="majorHAnsi" w:hAnsiTheme="majorHAnsi" w:cstheme="majorHAnsi"/>
          <w:sz w:val="24"/>
          <w:szCs w:val="24"/>
          <w:lang w:val="ro-MD"/>
        </w:rPr>
        <w:t>.</w:t>
      </w:r>
    </w:p>
    <w:p w14:paraId="4D824D0D" w14:textId="312F3DAA" w:rsidR="00312312" w:rsidRPr="00641BC7" w:rsidRDefault="00312312" w:rsidP="0021580B">
      <w:pPr>
        <w:widowControl w:val="0"/>
        <w:shd w:val="clear" w:color="auto" w:fill="FFFFFF"/>
        <w:tabs>
          <w:tab w:val="left" w:pos="0"/>
        </w:tabs>
        <w:spacing w:after="0" w:line="276" w:lineRule="auto"/>
        <w:jc w:val="both"/>
        <w:outlineLvl w:val="0"/>
        <w:rPr>
          <w:rFonts w:asciiTheme="majorHAnsi" w:hAnsiTheme="majorHAnsi" w:cstheme="majorHAnsi"/>
          <w:sz w:val="24"/>
          <w:szCs w:val="24"/>
          <w:lang w:val="ro-MD"/>
        </w:rPr>
      </w:pPr>
      <w:r w:rsidRPr="00641BC7">
        <w:rPr>
          <w:rFonts w:asciiTheme="majorHAnsi" w:hAnsiTheme="majorHAnsi" w:cstheme="majorHAnsi"/>
          <w:b/>
          <w:sz w:val="24"/>
          <w:szCs w:val="24"/>
          <w:lang w:val="ro-MD"/>
        </w:rPr>
        <w:t xml:space="preserve">5.4. </w:t>
      </w:r>
      <w:r w:rsidRPr="00641BC7">
        <w:rPr>
          <w:rFonts w:asciiTheme="majorHAnsi" w:hAnsiTheme="majorHAnsi" w:cstheme="majorHAnsi"/>
          <w:sz w:val="24"/>
          <w:szCs w:val="24"/>
          <w:lang w:val="ro-MD"/>
        </w:rPr>
        <w:t xml:space="preserve">Conform Legii </w:t>
      </w:r>
      <w:r w:rsidR="003E1415" w:rsidRPr="00641BC7">
        <w:rPr>
          <w:rFonts w:asciiTheme="majorHAnsi" w:hAnsiTheme="majorHAnsi" w:cstheme="majorHAnsi"/>
          <w:sz w:val="24"/>
          <w:szCs w:val="24"/>
          <w:lang w:val="ro-MD"/>
        </w:rPr>
        <w:t xml:space="preserve">privind </w:t>
      </w:r>
      <w:r w:rsidRPr="00641BC7">
        <w:rPr>
          <w:rFonts w:asciiTheme="majorHAnsi" w:hAnsiTheme="majorHAnsi" w:cstheme="majorHAnsi"/>
          <w:sz w:val="24"/>
          <w:szCs w:val="24"/>
          <w:lang w:val="ro-MD"/>
        </w:rPr>
        <w:t>finanțel</w:t>
      </w:r>
      <w:r w:rsidR="003E1415" w:rsidRPr="00641BC7">
        <w:rPr>
          <w:rFonts w:asciiTheme="majorHAnsi" w:hAnsiTheme="majorHAnsi" w:cstheme="majorHAnsi"/>
          <w:sz w:val="24"/>
          <w:szCs w:val="24"/>
          <w:lang w:val="ro-MD"/>
        </w:rPr>
        <w:t>e</w:t>
      </w:r>
      <w:r w:rsidRPr="00641BC7">
        <w:rPr>
          <w:rFonts w:asciiTheme="majorHAnsi" w:hAnsiTheme="majorHAnsi" w:cstheme="majorHAnsi"/>
          <w:sz w:val="24"/>
          <w:szCs w:val="24"/>
          <w:lang w:val="ro-MD"/>
        </w:rPr>
        <w:t xml:space="preserve"> publice locale</w:t>
      </w:r>
      <w:r w:rsidR="003E1415" w:rsidRPr="00641BC7">
        <w:rPr>
          <w:rStyle w:val="FootnoteReference"/>
          <w:rFonts w:asciiTheme="majorHAnsi" w:hAnsiTheme="majorHAnsi" w:cstheme="majorHAnsi"/>
          <w:sz w:val="24"/>
          <w:szCs w:val="24"/>
          <w:lang w:val="ro-MD"/>
        </w:rPr>
        <w:footnoteReference w:id="16"/>
      </w:r>
      <w:r w:rsidRPr="00641BC7">
        <w:rPr>
          <w:rFonts w:asciiTheme="majorHAnsi" w:hAnsiTheme="majorHAnsi" w:cstheme="majorHAnsi"/>
          <w:sz w:val="24"/>
          <w:szCs w:val="24"/>
          <w:lang w:val="ro-MD"/>
        </w:rPr>
        <w:t>, bugetele raionale se formează din veniturile proprii</w:t>
      </w:r>
      <w:r w:rsidRPr="00641BC7">
        <w:rPr>
          <w:rStyle w:val="FootnoteReference"/>
          <w:rFonts w:asciiTheme="majorHAnsi" w:hAnsiTheme="majorHAnsi" w:cstheme="majorHAnsi"/>
          <w:sz w:val="24"/>
          <w:szCs w:val="24"/>
          <w:lang w:val="ro-MD"/>
        </w:rPr>
        <w:footnoteReference w:id="17"/>
      </w:r>
      <w:r w:rsidRPr="00641BC7">
        <w:rPr>
          <w:rFonts w:asciiTheme="majorHAnsi" w:hAnsiTheme="majorHAnsi" w:cstheme="majorHAnsi"/>
          <w:sz w:val="24"/>
          <w:szCs w:val="24"/>
          <w:lang w:val="ro-MD"/>
        </w:rPr>
        <w:t>, componentă care nu poate fi accesată și vizualizată în sistemul informațional al SFS, acestea fiind integrate în componența veniturilor la nivel de APL de nivelul I. Ca urmare, auditul a fost limitat în identificarea creanțelor și datoriilor aferente impozitelor și taxelor încasate în bugetul UAT r-nul Nisporeni</w:t>
      </w:r>
      <w:r w:rsidR="00284239" w:rsidRPr="00641BC7">
        <w:rPr>
          <w:rFonts w:asciiTheme="majorHAnsi" w:hAnsiTheme="majorHAnsi" w:cstheme="majorHAnsi"/>
          <w:sz w:val="24"/>
          <w:szCs w:val="24"/>
          <w:lang w:val="ro-MD"/>
        </w:rPr>
        <w:t xml:space="preserve"> (de nivelul II)</w:t>
      </w:r>
      <w:r w:rsidRPr="00641BC7">
        <w:rPr>
          <w:rFonts w:asciiTheme="majorHAnsi" w:hAnsiTheme="majorHAnsi" w:cstheme="majorHAnsi"/>
          <w:sz w:val="24"/>
          <w:szCs w:val="24"/>
          <w:lang w:val="ro-MD"/>
        </w:rPr>
        <w:t xml:space="preserve">.  </w:t>
      </w:r>
    </w:p>
    <w:p w14:paraId="71D89C50" w14:textId="38A92746" w:rsidR="002A7174" w:rsidRPr="00641BC7" w:rsidRDefault="002A7174" w:rsidP="00EA2FA6">
      <w:pPr>
        <w:widowControl w:val="0"/>
        <w:shd w:val="clear" w:color="auto" w:fill="FFFFFF"/>
        <w:tabs>
          <w:tab w:val="left" w:pos="0"/>
        </w:tabs>
        <w:spacing w:after="0" w:line="276" w:lineRule="auto"/>
        <w:jc w:val="both"/>
        <w:outlineLvl w:val="0"/>
        <w:rPr>
          <w:rFonts w:asciiTheme="majorHAnsi" w:hAnsiTheme="majorHAnsi" w:cstheme="majorHAnsi"/>
          <w:sz w:val="24"/>
          <w:szCs w:val="24"/>
          <w:lang w:val="ro-MD"/>
        </w:rPr>
      </w:pPr>
    </w:p>
    <w:p w14:paraId="1DF1AF56" w14:textId="793BEFE1" w:rsidR="002A7174" w:rsidRPr="00641BC7" w:rsidRDefault="002A7174" w:rsidP="00EA2FA6">
      <w:pPr>
        <w:spacing w:after="0" w:line="276" w:lineRule="auto"/>
        <w:jc w:val="both"/>
        <w:rPr>
          <w:rFonts w:asciiTheme="majorHAnsi" w:hAnsiTheme="majorHAnsi" w:cstheme="majorHAnsi"/>
          <w:b/>
          <w:sz w:val="24"/>
          <w:szCs w:val="24"/>
          <w:lang w:val="ro-MD"/>
        </w:rPr>
      </w:pPr>
      <w:r w:rsidRPr="00641BC7">
        <w:rPr>
          <w:rFonts w:asciiTheme="majorHAnsi" w:hAnsiTheme="majorHAnsi" w:cstheme="majorHAnsi"/>
          <w:b/>
          <w:sz w:val="24"/>
          <w:szCs w:val="24"/>
          <w:lang w:val="ro-MD"/>
        </w:rPr>
        <w:t>V</w:t>
      </w:r>
      <w:r w:rsidR="00713F76" w:rsidRPr="00641BC7">
        <w:rPr>
          <w:rFonts w:asciiTheme="majorHAnsi" w:hAnsiTheme="majorHAnsi" w:cstheme="majorHAnsi"/>
          <w:b/>
          <w:sz w:val="24"/>
          <w:szCs w:val="24"/>
          <w:lang w:val="ro-MD"/>
        </w:rPr>
        <w:t>I</w:t>
      </w:r>
      <w:r w:rsidRPr="00641BC7">
        <w:rPr>
          <w:rFonts w:asciiTheme="majorHAnsi" w:hAnsiTheme="majorHAnsi" w:cstheme="majorHAnsi"/>
          <w:b/>
          <w:sz w:val="24"/>
          <w:szCs w:val="24"/>
          <w:lang w:val="ro-MD"/>
        </w:rPr>
        <w:t>. BUNA GUVERNANȚĂ</w:t>
      </w:r>
    </w:p>
    <w:p w14:paraId="0426823E" w14:textId="259E6906" w:rsidR="00C9287E" w:rsidRPr="00641BC7" w:rsidRDefault="00713F76" w:rsidP="00A93B1A">
      <w:pPr>
        <w:pStyle w:val="NoSpacing"/>
        <w:spacing w:line="276" w:lineRule="auto"/>
        <w:jc w:val="both"/>
        <w:rPr>
          <w:rFonts w:asciiTheme="majorHAnsi" w:hAnsiTheme="majorHAnsi" w:cstheme="majorHAnsi"/>
          <w:color w:val="202124"/>
          <w:sz w:val="24"/>
          <w:szCs w:val="24"/>
          <w:lang w:val="ro-MD"/>
        </w:rPr>
      </w:pPr>
      <w:r w:rsidRPr="00641BC7">
        <w:rPr>
          <w:rFonts w:asciiTheme="majorHAnsi" w:hAnsiTheme="majorHAnsi" w:cstheme="majorHAnsi"/>
          <w:b/>
          <w:sz w:val="24"/>
          <w:szCs w:val="24"/>
          <w:lang w:val="ro-MD"/>
        </w:rPr>
        <w:t>6</w:t>
      </w:r>
      <w:r w:rsidR="002A7174" w:rsidRPr="00641BC7">
        <w:rPr>
          <w:rFonts w:asciiTheme="majorHAnsi" w:hAnsiTheme="majorHAnsi" w:cstheme="majorHAnsi"/>
          <w:b/>
          <w:sz w:val="24"/>
          <w:szCs w:val="24"/>
          <w:lang w:val="ro-MD"/>
        </w:rPr>
        <w:t>.1.</w:t>
      </w:r>
      <w:r w:rsidR="002A7174" w:rsidRPr="00641BC7">
        <w:rPr>
          <w:rFonts w:asciiTheme="majorHAnsi" w:hAnsiTheme="majorHAnsi" w:cstheme="majorHAnsi"/>
          <w:sz w:val="24"/>
          <w:szCs w:val="24"/>
          <w:lang w:val="ro-MD"/>
        </w:rPr>
        <w:tab/>
      </w:r>
      <w:r w:rsidR="0059657B" w:rsidRPr="00641BC7">
        <w:rPr>
          <w:rFonts w:asciiTheme="majorHAnsi" w:hAnsiTheme="majorHAnsi" w:cstheme="majorHAnsi"/>
          <w:sz w:val="24"/>
          <w:szCs w:val="24"/>
          <w:lang w:val="ro-MD"/>
        </w:rPr>
        <w:t>Implementarea parțială a standardelor naționale de control intern în sectorul public</w:t>
      </w:r>
      <w:r w:rsidR="0059657B" w:rsidRPr="00641BC7">
        <w:rPr>
          <w:rStyle w:val="FootnoteReference"/>
          <w:rFonts w:asciiTheme="majorHAnsi" w:hAnsiTheme="majorHAnsi" w:cstheme="majorHAnsi"/>
          <w:sz w:val="24"/>
          <w:szCs w:val="24"/>
          <w:lang w:val="ro-MD"/>
        </w:rPr>
        <w:footnoteReference w:id="18"/>
      </w:r>
      <w:r w:rsidR="0059657B" w:rsidRPr="00641BC7">
        <w:rPr>
          <w:rFonts w:asciiTheme="majorHAnsi" w:hAnsiTheme="majorHAnsi" w:cstheme="majorHAnsi"/>
          <w:sz w:val="24"/>
          <w:szCs w:val="24"/>
          <w:lang w:val="ro-MD"/>
        </w:rPr>
        <w:t xml:space="preserve">, în special a activităților de control a proceselor din domeniul financiar contabil </w:t>
      </w:r>
      <w:r w:rsidR="0059657B" w:rsidRPr="00641BC7">
        <w:rPr>
          <w:rFonts w:asciiTheme="majorHAnsi" w:eastAsia="Calibri" w:hAnsiTheme="majorHAnsi" w:cstheme="majorHAnsi"/>
          <w:noProof/>
          <w:sz w:val="24"/>
          <w:szCs w:val="24"/>
          <w:lang w:val="ro-MD"/>
        </w:rPr>
        <w:t xml:space="preserve">a </w:t>
      </w:r>
      <w:r w:rsidR="0059657B" w:rsidRPr="00641BC7">
        <w:rPr>
          <w:rFonts w:asciiTheme="majorHAnsi" w:eastAsia="Times New Roman" w:hAnsiTheme="majorHAnsi" w:cstheme="majorHAnsi"/>
          <w:bCs/>
          <w:iCs/>
          <w:sz w:val="24"/>
          <w:szCs w:val="24"/>
          <w:lang w:val="ro-MD"/>
        </w:rPr>
        <w:t xml:space="preserve">influențat veridicitatea și plenitudinea informațiilor reflectate în situațiile financiare, </w:t>
      </w:r>
      <w:r w:rsidR="0059657B" w:rsidRPr="00641BC7">
        <w:rPr>
          <w:rFonts w:asciiTheme="majorHAnsi" w:hAnsiTheme="majorHAnsi" w:cstheme="majorHAnsi"/>
          <w:sz w:val="24"/>
          <w:szCs w:val="24"/>
          <w:lang w:val="ro-MD"/>
        </w:rPr>
        <w:t xml:space="preserve">condiționate de </w:t>
      </w:r>
      <w:r w:rsidR="0059657B" w:rsidRPr="00641BC7">
        <w:rPr>
          <w:rFonts w:asciiTheme="majorHAnsi" w:eastAsia="Times New Roman" w:hAnsiTheme="majorHAnsi" w:cstheme="majorHAnsi"/>
          <w:sz w:val="24"/>
          <w:szCs w:val="24"/>
          <w:lang w:val="ro-MD"/>
        </w:rPr>
        <w:t>nerealizarea în cadrul autorității a prevederilor Legii nr.229/2010</w:t>
      </w:r>
      <w:r w:rsidR="0059657B" w:rsidRPr="00641BC7">
        <w:rPr>
          <w:rStyle w:val="FootnoteReference"/>
          <w:rFonts w:asciiTheme="majorHAnsi" w:eastAsia="Times New Roman" w:hAnsiTheme="majorHAnsi" w:cstheme="majorHAnsi"/>
          <w:sz w:val="24"/>
          <w:szCs w:val="24"/>
          <w:lang w:val="ro-MD"/>
        </w:rPr>
        <w:footnoteReference w:id="19"/>
      </w:r>
      <w:r w:rsidR="0059657B" w:rsidRPr="00641BC7">
        <w:rPr>
          <w:rFonts w:asciiTheme="majorHAnsi" w:eastAsia="Times New Roman" w:hAnsiTheme="majorHAnsi" w:cstheme="majorHAnsi"/>
          <w:sz w:val="24"/>
          <w:szCs w:val="24"/>
          <w:lang w:val="ro-MD"/>
        </w:rPr>
        <w:t xml:space="preserve">. </w:t>
      </w:r>
      <w:r w:rsidR="008E7138" w:rsidRPr="00641BC7">
        <w:rPr>
          <w:rFonts w:asciiTheme="majorHAnsi" w:hAnsiTheme="majorHAnsi" w:cstheme="majorHAnsi"/>
          <w:color w:val="202124"/>
          <w:sz w:val="24"/>
          <w:szCs w:val="24"/>
          <w:lang w:val="ro-MD"/>
        </w:rPr>
        <w:t>De asemenea</w:t>
      </w:r>
      <w:r w:rsidR="00F541BC" w:rsidRPr="00641BC7">
        <w:rPr>
          <w:rFonts w:asciiTheme="majorHAnsi" w:hAnsiTheme="majorHAnsi" w:cstheme="majorHAnsi"/>
          <w:color w:val="202124"/>
          <w:sz w:val="24"/>
          <w:szCs w:val="24"/>
          <w:lang w:val="ro-MD"/>
        </w:rPr>
        <w:t>, a</w:t>
      </w:r>
      <w:r w:rsidR="004A00E3" w:rsidRPr="00641BC7">
        <w:rPr>
          <w:rFonts w:asciiTheme="majorHAnsi" w:hAnsiTheme="majorHAnsi" w:cstheme="majorHAnsi"/>
          <w:color w:val="202124"/>
          <w:sz w:val="24"/>
          <w:szCs w:val="24"/>
          <w:lang w:val="ro-MD"/>
        </w:rPr>
        <w:t xml:space="preserve"> fost constat</w:t>
      </w:r>
      <w:r w:rsidR="00F541BC" w:rsidRPr="00641BC7">
        <w:rPr>
          <w:rFonts w:asciiTheme="majorHAnsi" w:hAnsiTheme="majorHAnsi" w:cstheme="majorHAnsi"/>
          <w:color w:val="202124"/>
          <w:sz w:val="24"/>
          <w:szCs w:val="24"/>
          <w:lang w:val="ro-MD"/>
        </w:rPr>
        <w:t>at</w:t>
      </w:r>
      <w:r w:rsidR="004A00E3" w:rsidRPr="00641BC7">
        <w:rPr>
          <w:rFonts w:asciiTheme="majorHAnsi" w:hAnsiTheme="majorHAnsi" w:cstheme="majorHAnsi"/>
          <w:color w:val="202124"/>
          <w:sz w:val="24"/>
          <w:szCs w:val="24"/>
          <w:lang w:val="ro-MD"/>
        </w:rPr>
        <w:t>ă lips</w:t>
      </w:r>
      <w:r w:rsidR="00F541BC" w:rsidRPr="00641BC7">
        <w:rPr>
          <w:rFonts w:asciiTheme="majorHAnsi" w:hAnsiTheme="majorHAnsi" w:cstheme="majorHAnsi"/>
          <w:color w:val="202124"/>
          <w:sz w:val="24"/>
          <w:szCs w:val="24"/>
          <w:lang w:val="ro-MD"/>
        </w:rPr>
        <w:t>a</w:t>
      </w:r>
      <w:r w:rsidR="004A00E3" w:rsidRPr="00641BC7">
        <w:rPr>
          <w:rFonts w:asciiTheme="majorHAnsi" w:hAnsiTheme="majorHAnsi" w:cstheme="majorHAnsi"/>
          <w:color w:val="202124"/>
          <w:sz w:val="24"/>
          <w:szCs w:val="24"/>
          <w:lang w:val="ro-MD"/>
        </w:rPr>
        <w:t xml:space="preserve"> de dezvoltare profesională continuă a personalului financiar. </w:t>
      </w:r>
      <w:r w:rsidR="00C9287E" w:rsidRPr="00641BC7">
        <w:rPr>
          <w:rStyle w:val="y2iqfc"/>
          <w:rFonts w:asciiTheme="majorHAnsi" w:hAnsiTheme="majorHAnsi" w:cstheme="majorHAnsi"/>
          <w:color w:val="202124"/>
          <w:sz w:val="24"/>
          <w:szCs w:val="24"/>
          <w:lang w:val="ro-MD"/>
        </w:rPr>
        <w:t xml:space="preserve">Prin urmare, </w:t>
      </w:r>
      <w:r w:rsidR="00C9287E" w:rsidRPr="00641BC7">
        <w:rPr>
          <w:rFonts w:asciiTheme="majorHAnsi" w:hAnsiTheme="majorHAnsi" w:cstheme="majorHAnsi"/>
          <w:color w:val="202124"/>
          <w:sz w:val="24"/>
          <w:szCs w:val="24"/>
          <w:lang w:val="ro-MD"/>
        </w:rPr>
        <w:t xml:space="preserve">CR </w:t>
      </w:r>
      <w:r w:rsidR="004A00E3" w:rsidRPr="00641BC7">
        <w:rPr>
          <w:rFonts w:asciiTheme="majorHAnsi" w:hAnsiTheme="majorHAnsi" w:cstheme="majorHAnsi"/>
          <w:color w:val="202124"/>
          <w:sz w:val="24"/>
          <w:szCs w:val="24"/>
          <w:lang w:val="ro-MD"/>
        </w:rPr>
        <w:t>ar trebui să stabilească</w:t>
      </w:r>
      <w:r w:rsidR="00C9287E" w:rsidRPr="00641BC7">
        <w:rPr>
          <w:rFonts w:asciiTheme="majorHAnsi" w:hAnsiTheme="majorHAnsi" w:cstheme="majorHAnsi"/>
          <w:color w:val="202124"/>
          <w:sz w:val="24"/>
          <w:szCs w:val="24"/>
          <w:lang w:val="ro-MD"/>
        </w:rPr>
        <w:t xml:space="preserve"> un sistem intern de control manage</w:t>
      </w:r>
      <w:r w:rsidR="00312312" w:rsidRPr="00641BC7">
        <w:rPr>
          <w:rFonts w:asciiTheme="majorHAnsi" w:hAnsiTheme="majorHAnsi" w:cstheme="majorHAnsi"/>
          <w:color w:val="202124"/>
          <w:sz w:val="24"/>
          <w:szCs w:val="24"/>
          <w:lang w:val="ro-MD"/>
        </w:rPr>
        <w:t>rial</w:t>
      </w:r>
      <w:r w:rsidR="00C9287E" w:rsidRPr="00641BC7">
        <w:rPr>
          <w:rFonts w:asciiTheme="majorHAnsi" w:hAnsiTheme="majorHAnsi" w:cstheme="majorHAnsi"/>
          <w:color w:val="202124"/>
          <w:sz w:val="24"/>
          <w:szCs w:val="24"/>
          <w:lang w:val="ro-MD"/>
        </w:rPr>
        <w:t xml:space="preserve"> care să asigure că entitatea dezvoltă, implementează și menține un control intern adecvat asupra credibilității raportării financiare, a eficacității și eficienței operațiunilor și a respectării legii și reglementărilor aplicabile. </w:t>
      </w:r>
      <w:r w:rsidR="00C237F3" w:rsidRPr="00641BC7">
        <w:rPr>
          <w:rFonts w:asciiTheme="majorHAnsi" w:eastAsia="Times New Roman" w:hAnsiTheme="majorHAnsi" w:cstheme="majorHAnsi"/>
          <w:color w:val="202124"/>
          <w:sz w:val="24"/>
          <w:szCs w:val="24"/>
          <w:lang w:val="ro-MD"/>
        </w:rPr>
        <w:t>Dacă punctele slabe existente nu vor fi remediate, acest lucru poate duce la erori financiare și/sau la obținerea unor rapoarte financiare necalitative.</w:t>
      </w:r>
    </w:p>
    <w:p w14:paraId="7B6D6834" w14:textId="197DE664" w:rsidR="00C9287E" w:rsidRPr="00641BC7" w:rsidRDefault="00822586" w:rsidP="00A93B1A">
      <w:pPr>
        <w:pStyle w:val="NoSpacing"/>
        <w:spacing w:line="276" w:lineRule="auto"/>
        <w:jc w:val="both"/>
        <w:rPr>
          <w:rFonts w:asciiTheme="majorHAnsi" w:eastAsia="Times New Roman" w:hAnsiTheme="majorHAnsi" w:cstheme="majorHAnsi"/>
          <w:color w:val="202124"/>
          <w:sz w:val="24"/>
          <w:szCs w:val="24"/>
          <w:lang w:val="ro-MD"/>
        </w:rPr>
      </w:pPr>
      <w:r w:rsidRPr="00641BC7">
        <w:rPr>
          <w:rFonts w:asciiTheme="majorHAnsi" w:eastAsia="Times New Roman" w:hAnsiTheme="majorHAnsi" w:cstheme="majorHAnsi"/>
          <w:b/>
          <w:color w:val="202124"/>
          <w:sz w:val="24"/>
          <w:szCs w:val="24"/>
          <w:lang w:val="ro-MD"/>
        </w:rPr>
        <w:t>6.2.</w:t>
      </w:r>
      <w:r w:rsidRPr="00641BC7">
        <w:rPr>
          <w:rFonts w:asciiTheme="majorHAnsi" w:eastAsia="Times New Roman" w:hAnsiTheme="majorHAnsi" w:cstheme="majorHAnsi"/>
          <w:color w:val="202124"/>
          <w:sz w:val="24"/>
          <w:szCs w:val="24"/>
          <w:lang w:val="ro-MD"/>
        </w:rPr>
        <w:t xml:space="preserve"> CR a fost limitat în utilizarea </w:t>
      </w:r>
      <w:r w:rsidR="005E1922" w:rsidRPr="00641BC7">
        <w:rPr>
          <w:rFonts w:asciiTheme="majorHAnsi" w:eastAsia="Times New Roman" w:hAnsiTheme="majorHAnsi" w:cstheme="majorHAnsi"/>
          <w:color w:val="202124"/>
          <w:sz w:val="24"/>
          <w:szCs w:val="24"/>
          <w:lang w:val="ro-MD"/>
        </w:rPr>
        <w:t>a</w:t>
      </w:r>
      <w:r w:rsidRPr="00641BC7">
        <w:rPr>
          <w:rFonts w:asciiTheme="majorHAnsi" w:eastAsia="Times New Roman" w:hAnsiTheme="majorHAnsi" w:cstheme="majorHAnsi"/>
          <w:color w:val="202124"/>
          <w:sz w:val="24"/>
          <w:szCs w:val="24"/>
          <w:lang w:val="ro-MD"/>
        </w:rPr>
        <w:t xml:space="preserve">uditului </w:t>
      </w:r>
      <w:r w:rsidR="005E1922" w:rsidRPr="00641BC7">
        <w:rPr>
          <w:rFonts w:asciiTheme="majorHAnsi" w:eastAsia="Times New Roman" w:hAnsiTheme="majorHAnsi" w:cstheme="majorHAnsi"/>
          <w:color w:val="202124"/>
          <w:sz w:val="24"/>
          <w:szCs w:val="24"/>
          <w:lang w:val="ro-MD"/>
        </w:rPr>
        <w:t>i</w:t>
      </w:r>
      <w:r w:rsidRPr="00641BC7">
        <w:rPr>
          <w:rFonts w:asciiTheme="majorHAnsi" w:eastAsia="Times New Roman" w:hAnsiTheme="majorHAnsi" w:cstheme="majorHAnsi"/>
          <w:color w:val="202124"/>
          <w:sz w:val="24"/>
          <w:szCs w:val="24"/>
          <w:lang w:val="ro-MD"/>
        </w:rPr>
        <w:t>ntern ca mijloc de monitorizare și îmbunătățire a mediului de control intern al entităților</w:t>
      </w:r>
      <w:r w:rsidR="000F5CB5" w:rsidRPr="00641BC7">
        <w:rPr>
          <w:rFonts w:asciiTheme="majorHAnsi" w:eastAsia="Times New Roman" w:hAnsiTheme="majorHAnsi" w:cstheme="majorHAnsi"/>
          <w:color w:val="202124"/>
          <w:sz w:val="24"/>
          <w:szCs w:val="24"/>
          <w:lang w:val="ro-MD"/>
        </w:rPr>
        <w:t>, deoarece în perioada auditată a</w:t>
      </w:r>
      <w:r w:rsidR="00F541BC" w:rsidRPr="00641BC7">
        <w:rPr>
          <w:rFonts w:asciiTheme="majorHAnsi" w:eastAsia="Times New Roman" w:hAnsiTheme="majorHAnsi" w:cstheme="majorHAnsi"/>
          <w:color w:val="202124"/>
          <w:sz w:val="24"/>
          <w:szCs w:val="24"/>
          <w:lang w:val="ro-MD"/>
        </w:rPr>
        <w:t>u</w:t>
      </w:r>
      <w:r w:rsidR="000F5CB5" w:rsidRPr="00641BC7">
        <w:rPr>
          <w:rFonts w:asciiTheme="majorHAnsi" w:eastAsia="Times New Roman" w:hAnsiTheme="majorHAnsi" w:cstheme="majorHAnsi"/>
          <w:color w:val="202124"/>
          <w:sz w:val="24"/>
          <w:szCs w:val="24"/>
          <w:lang w:val="ro-MD"/>
        </w:rPr>
        <w:t xml:space="preserve"> fost efectua</w:t>
      </w:r>
      <w:r w:rsidR="0065737A" w:rsidRPr="00641BC7">
        <w:rPr>
          <w:rFonts w:asciiTheme="majorHAnsi" w:eastAsia="Times New Roman" w:hAnsiTheme="majorHAnsi" w:cstheme="majorHAnsi"/>
          <w:color w:val="202124"/>
          <w:sz w:val="24"/>
          <w:szCs w:val="24"/>
          <w:lang w:val="ro-MD"/>
        </w:rPr>
        <w:t>t</w:t>
      </w:r>
      <w:r w:rsidR="000F5CB5" w:rsidRPr="00641BC7">
        <w:rPr>
          <w:rFonts w:asciiTheme="majorHAnsi" w:eastAsia="Times New Roman" w:hAnsiTheme="majorHAnsi" w:cstheme="majorHAnsi"/>
          <w:color w:val="202124"/>
          <w:sz w:val="24"/>
          <w:szCs w:val="24"/>
          <w:lang w:val="ro-MD"/>
        </w:rPr>
        <w:t>e audit</w:t>
      </w:r>
      <w:r w:rsidR="008E7138" w:rsidRPr="00641BC7">
        <w:rPr>
          <w:rFonts w:asciiTheme="majorHAnsi" w:eastAsia="Times New Roman" w:hAnsiTheme="majorHAnsi" w:cstheme="majorHAnsi"/>
          <w:color w:val="202124"/>
          <w:sz w:val="24"/>
          <w:szCs w:val="24"/>
          <w:lang w:val="ro-MD"/>
        </w:rPr>
        <w:t>uri</w:t>
      </w:r>
      <w:r w:rsidR="000F5CB5" w:rsidRPr="00641BC7">
        <w:rPr>
          <w:rFonts w:asciiTheme="majorHAnsi" w:eastAsia="Times New Roman" w:hAnsiTheme="majorHAnsi" w:cstheme="majorHAnsi"/>
          <w:color w:val="202124"/>
          <w:sz w:val="24"/>
          <w:szCs w:val="24"/>
          <w:lang w:val="ro-MD"/>
        </w:rPr>
        <w:t xml:space="preserve"> tematice </w:t>
      </w:r>
      <w:r w:rsidR="00C237F3" w:rsidRPr="00641BC7">
        <w:rPr>
          <w:rFonts w:asciiTheme="majorHAnsi" w:eastAsia="Times New Roman" w:hAnsiTheme="majorHAnsi" w:cstheme="majorHAnsi"/>
          <w:color w:val="202124"/>
          <w:sz w:val="24"/>
          <w:szCs w:val="24"/>
          <w:lang w:val="ro-MD"/>
        </w:rPr>
        <w:t xml:space="preserve">doar </w:t>
      </w:r>
      <w:r w:rsidR="000F5CB5" w:rsidRPr="00641BC7">
        <w:rPr>
          <w:rFonts w:asciiTheme="majorHAnsi" w:eastAsia="Times New Roman" w:hAnsiTheme="majorHAnsi" w:cstheme="majorHAnsi"/>
          <w:color w:val="202124"/>
          <w:sz w:val="24"/>
          <w:szCs w:val="24"/>
          <w:lang w:val="ro-MD"/>
        </w:rPr>
        <w:t xml:space="preserve">la </w:t>
      </w:r>
      <w:r w:rsidR="00C237F3" w:rsidRPr="00641BC7">
        <w:rPr>
          <w:rFonts w:asciiTheme="majorHAnsi" w:eastAsia="Times New Roman" w:hAnsiTheme="majorHAnsi" w:cstheme="majorHAnsi"/>
          <w:color w:val="202124"/>
          <w:sz w:val="24"/>
          <w:szCs w:val="24"/>
          <w:lang w:val="ro-MD"/>
        </w:rPr>
        <w:t xml:space="preserve">2 </w:t>
      </w:r>
      <w:r w:rsidR="000F5CB5" w:rsidRPr="00641BC7">
        <w:rPr>
          <w:rFonts w:asciiTheme="majorHAnsi" w:eastAsia="Times New Roman" w:hAnsiTheme="majorHAnsi" w:cstheme="majorHAnsi"/>
          <w:color w:val="202124"/>
          <w:sz w:val="24"/>
          <w:szCs w:val="24"/>
          <w:lang w:val="ro-MD"/>
        </w:rPr>
        <w:t>direcții din cadrul CR, ce</w:t>
      </w:r>
      <w:r w:rsidR="005E1922" w:rsidRPr="00641BC7">
        <w:rPr>
          <w:rFonts w:asciiTheme="majorHAnsi" w:eastAsia="Times New Roman" w:hAnsiTheme="majorHAnsi" w:cstheme="majorHAnsi"/>
          <w:color w:val="202124"/>
          <w:sz w:val="24"/>
          <w:szCs w:val="24"/>
          <w:lang w:val="ro-MD"/>
        </w:rPr>
        <w:t>e</w:t>
      </w:r>
      <w:r w:rsidR="000F5CB5" w:rsidRPr="00641BC7">
        <w:rPr>
          <w:rFonts w:asciiTheme="majorHAnsi" w:eastAsia="Times New Roman" w:hAnsiTheme="majorHAnsi" w:cstheme="majorHAnsi"/>
          <w:color w:val="202124"/>
          <w:sz w:val="24"/>
          <w:szCs w:val="24"/>
          <w:lang w:val="ro-MD"/>
        </w:rPr>
        <w:t>a ce constituie 5% din numărul total de instituții</w:t>
      </w:r>
      <w:r w:rsidRPr="00641BC7">
        <w:rPr>
          <w:rFonts w:asciiTheme="majorHAnsi" w:eastAsia="Times New Roman" w:hAnsiTheme="majorHAnsi" w:cstheme="majorHAnsi"/>
          <w:color w:val="202124"/>
          <w:sz w:val="24"/>
          <w:szCs w:val="24"/>
          <w:lang w:val="ro-MD"/>
        </w:rPr>
        <w:t xml:space="preserve">. Auditul intern din cadrul </w:t>
      </w:r>
      <w:r w:rsidR="005E1922" w:rsidRPr="00641BC7">
        <w:rPr>
          <w:rFonts w:asciiTheme="majorHAnsi" w:eastAsia="Times New Roman" w:hAnsiTheme="majorHAnsi" w:cstheme="majorHAnsi"/>
          <w:color w:val="202124"/>
          <w:sz w:val="24"/>
          <w:szCs w:val="24"/>
          <w:lang w:val="ro-MD"/>
        </w:rPr>
        <w:t>CR</w:t>
      </w:r>
      <w:r w:rsidRPr="00641BC7">
        <w:rPr>
          <w:rFonts w:asciiTheme="majorHAnsi" w:eastAsia="Times New Roman" w:hAnsiTheme="majorHAnsi" w:cstheme="majorHAnsi"/>
          <w:color w:val="202124"/>
          <w:sz w:val="24"/>
          <w:szCs w:val="24"/>
          <w:lang w:val="ro-MD"/>
        </w:rPr>
        <w:t xml:space="preserve"> este format din</w:t>
      </w:r>
      <w:r w:rsidR="005E1922" w:rsidRPr="00641BC7">
        <w:rPr>
          <w:rFonts w:asciiTheme="majorHAnsi" w:eastAsia="Times New Roman" w:hAnsiTheme="majorHAnsi" w:cstheme="majorHAnsi"/>
          <w:color w:val="202124"/>
          <w:sz w:val="24"/>
          <w:szCs w:val="24"/>
          <w:lang w:val="ro-MD"/>
        </w:rPr>
        <w:t>tr-</w:t>
      </w:r>
      <w:r w:rsidRPr="00641BC7">
        <w:rPr>
          <w:rFonts w:asciiTheme="majorHAnsi" w:eastAsia="Times New Roman" w:hAnsiTheme="majorHAnsi" w:cstheme="majorHAnsi"/>
          <w:color w:val="202124"/>
          <w:sz w:val="24"/>
          <w:szCs w:val="24"/>
          <w:lang w:val="ro-MD"/>
        </w:rPr>
        <w:t>o unitate</w:t>
      </w:r>
      <w:r w:rsidR="0065737A" w:rsidRPr="00641BC7">
        <w:rPr>
          <w:rFonts w:asciiTheme="majorHAnsi" w:eastAsia="Times New Roman" w:hAnsiTheme="majorHAnsi" w:cstheme="majorHAnsi"/>
          <w:color w:val="202124"/>
          <w:sz w:val="24"/>
          <w:szCs w:val="24"/>
          <w:lang w:val="ro-MD"/>
        </w:rPr>
        <w:t xml:space="preserve"> de personal</w:t>
      </w:r>
      <w:r w:rsidRPr="00641BC7">
        <w:rPr>
          <w:rFonts w:asciiTheme="majorHAnsi" w:eastAsia="Times New Roman" w:hAnsiTheme="majorHAnsi" w:cstheme="majorHAnsi"/>
          <w:color w:val="202124"/>
          <w:sz w:val="24"/>
          <w:szCs w:val="24"/>
          <w:lang w:val="ro-MD"/>
        </w:rPr>
        <w:t>. Deși a fost aprobat planul de audit</w:t>
      </w:r>
      <w:r w:rsidR="008E7138" w:rsidRPr="00641BC7">
        <w:rPr>
          <w:rFonts w:asciiTheme="majorHAnsi" w:eastAsia="Times New Roman" w:hAnsiTheme="majorHAnsi" w:cstheme="majorHAnsi"/>
          <w:color w:val="202124"/>
          <w:sz w:val="24"/>
          <w:szCs w:val="24"/>
          <w:lang w:val="ro-MD"/>
        </w:rPr>
        <w:t>uri</w:t>
      </w:r>
      <w:r w:rsidR="00AF52A6" w:rsidRPr="00641BC7">
        <w:rPr>
          <w:rFonts w:asciiTheme="majorHAnsi" w:eastAsia="Times New Roman" w:hAnsiTheme="majorHAnsi" w:cstheme="majorHAnsi"/>
          <w:color w:val="202124"/>
          <w:sz w:val="24"/>
          <w:szCs w:val="24"/>
          <w:lang w:val="ro-MD"/>
        </w:rPr>
        <w:t>, tematicele acestuia nu asigură</w:t>
      </w:r>
      <w:r w:rsidR="0065737A" w:rsidRPr="00641BC7">
        <w:rPr>
          <w:rFonts w:asciiTheme="majorHAnsi" w:eastAsia="Times New Roman" w:hAnsiTheme="majorHAnsi" w:cstheme="majorHAnsi"/>
          <w:color w:val="202124"/>
          <w:sz w:val="24"/>
          <w:szCs w:val="24"/>
          <w:lang w:val="ro-MD"/>
        </w:rPr>
        <w:t xml:space="preserve"> auditarea</w:t>
      </w:r>
      <w:r w:rsidR="00AF52A6" w:rsidRPr="00641BC7">
        <w:rPr>
          <w:rFonts w:asciiTheme="majorHAnsi" w:eastAsia="Times New Roman" w:hAnsiTheme="majorHAnsi" w:cstheme="majorHAnsi"/>
          <w:color w:val="202124"/>
          <w:sz w:val="24"/>
          <w:szCs w:val="24"/>
          <w:lang w:val="ro-MD"/>
        </w:rPr>
        <w:t xml:space="preserve"> proceselor financiare și operaționale, precum și a controalelor interne din cadrul consiliului. </w:t>
      </w:r>
    </w:p>
    <w:p w14:paraId="21E57246" w14:textId="1BD7B08C" w:rsidR="00293356" w:rsidRPr="00641BC7" w:rsidRDefault="00713F76" w:rsidP="00A93B1A">
      <w:pPr>
        <w:pStyle w:val="NoSpacing"/>
        <w:spacing w:line="276" w:lineRule="auto"/>
        <w:jc w:val="both"/>
        <w:rPr>
          <w:rFonts w:asciiTheme="majorHAnsi" w:hAnsiTheme="majorHAnsi" w:cstheme="majorHAnsi"/>
          <w:sz w:val="24"/>
          <w:szCs w:val="24"/>
          <w:lang w:val="ro-MD"/>
        </w:rPr>
      </w:pPr>
      <w:r w:rsidRPr="00641BC7">
        <w:rPr>
          <w:rFonts w:asciiTheme="majorHAnsi" w:hAnsiTheme="majorHAnsi" w:cstheme="majorHAnsi"/>
          <w:b/>
          <w:sz w:val="24"/>
          <w:szCs w:val="24"/>
          <w:lang w:val="ro-MD"/>
        </w:rPr>
        <w:t>6</w:t>
      </w:r>
      <w:r w:rsidR="00010D75" w:rsidRPr="00641BC7">
        <w:rPr>
          <w:rFonts w:asciiTheme="majorHAnsi" w:hAnsiTheme="majorHAnsi" w:cstheme="majorHAnsi"/>
          <w:b/>
          <w:sz w:val="24"/>
          <w:szCs w:val="24"/>
          <w:lang w:val="ro-MD"/>
        </w:rPr>
        <w:t>.3</w:t>
      </w:r>
      <w:r w:rsidR="002A7174" w:rsidRPr="00641BC7">
        <w:rPr>
          <w:rFonts w:asciiTheme="majorHAnsi" w:hAnsiTheme="majorHAnsi" w:cstheme="majorHAnsi"/>
          <w:b/>
          <w:sz w:val="24"/>
          <w:szCs w:val="24"/>
          <w:lang w:val="ro-MD"/>
        </w:rPr>
        <w:t>.</w:t>
      </w:r>
      <w:r w:rsidR="002A7174" w:rsidRPr="00641BC7">
        <w:rPr>
          <w:rFonts w:asciiTheme="majorHAnsi" w:hAnsiTheme="majorHAnsi" w:cstheme="majorHAnsi"/>
          <w:sz w:val="24"/>
          <w:szCs w:val="24"/>
          <w:lang w:val="ro-MD"/>
        </w:rPr>
        <w:t xml:space="preserve"> </w:t>
      </w:r>
      <w:r w:rsidR="003506F6" w:rsidRPr="00641BC7">
        <w:rPr>
          <w:rFonts w:asciiTheme="majorHAnsi" w:hAnsiTheme="majorHAnsi" w:cstheme="majorHAnsi"/>
          <w:sz w:val="24"/>
          <w:szCs w:val="24"/>
          <w:lang w:val="ro-MD"/>
        </w:rPr>
        <w:t>Politicile de contabilitate ale instituțiilor care se consolidează în Raportul U</w:t>
      </w:r>
      <w:r w:rsidR="00650811" w:rsidRPr="00641BC7">
        <w:rPr>
          <w:rFonts w:asciiTheme="majorHAnsi" w:hAnsiTheme="majorHAnsi" w:cstheme="majorHAnsi"/>
          <w:sz w:val="24"/>
          <w:szCs w:val="24"/>
          <w:lang w:val="ro-MD"/>
        </w:rPr>
        <w:t>AT</w:t>
      </w:r>
      <w:r w:rsidR="003506F6" w:rsidRPr="00641BC7">
        <w:rPr>
          <w:rFonts w:asciiTheme="majorHAnsi" w:hAnsiTheme="majorHAnsi" w:cstheme="majorHAnsi"/>
          <w:sz w:val="24"/>
          <w:szCs w:val="24"/>
          <w:lang w:val="ro-MD"/>
        </w:rPr>
        <w:t xml:space="preserve"> </w:t>
      </w:r>
      <w:r w:rsidR="00341001" w:rsidRPr="00641BC7">
        <w:rPr>
          <w:rFonts w:asciiTheme="majorHAnsi" w:hAnsiTheme="majorHAnsi" w:cstheme="majorHAnsi"/>
          <w:sz w:val="24"/>
          <w:szCs w:val="24"/>
          <w:lang w:val="ro-MD"/>
        </w:rPr>
        <w:t>r-nul Nisporeni</w:t>
      </w:r>
      <w:r w:rsidR="004E2CD9" w:rsidRPr="00641BC7">
        <w:rPr>
          <w:rFonts w:asciiTheme="majorHAnsi" w:hAnsiTheme="majorHAnsi" w:cstheme="majorHAnsi"/>
          <w:sz w:val="24"/>
          <w:szCs w:val="24"/>
          <w:lang w:val="ro-MD"/>
        </w:rPr>
        <w:t xml:space="preserve"> (</w:t>
      </w:r>
      <w:r w:rsidR="00C237F3" w:rsidRPr="00641BC7">
        <w:rPr>
          <w:rFonts w:asciiTheme="majorHAnsi" w:hAnsiTheme="majorHAnsi" w:cstheme="majorHAnsi"/>
          <w:sz w:val="24"/>
          <w:szCs w:val="24"/>
          <w:lang w:val="ro-MD"/>
        </w:rPr>
        <w:t>UAT/</w:t>
      </w:r>
      <w:r w:rsidR="004E2CD9" w:rsidRPr="00641BC7">
        <w:rPr>
          <w:rFonts w:asciiTheme="majorHAnsi" w:hAnsiTheme="majorHAnsi" w:cstheme="majorHAnsi"/>
          <w:sz w:val="24"/>
          <w:szCs w:val="24"/>
          <w:lang w:val="ro-MD"/>
        </w:rPr>
        <w:t>bugetul de nivelul II)</w:t>
      </w:r>
      <w:r w:rsidR="009D5FCD" w:rsidRPr="00641BC7">
        <w:rPr>
          <w:rFonts w:asciiTheme="majorHAnsi" w:eastAsia="Times New Roman" w:hAnsiTheme="majorHAnsi" w:cstheme="majorHAnsi"/>
          <w:sz w:val="24"/>
          <w:szCs w:val="24"/>
          <w:lang w:val="ro-MD"/>
        </w:rPr>
        <w:t xml:space="preserve"> </w:t>
      </w:r>
      <w:r w:rsidR="003506F6" w:rsidRPr="00641BC7">
        <w:rPr>
          <w:rFonts w:asciiTheme="majorHAnsi" w:hAnsiTheme="majorHAnsi" w:cstheme="majorHAnsi"/>
          <w:sz w:val="24"/>
          <w:szCs w:val="24"/>
          <w:lang w:val="ro-MD"/>
        </w:rPr>
        <w:t>reprezintă un document preluat din cadrul normativ, nefiind ajustate la specificul activității instituționale. Ca rezultat</w:t>
      </w:r>
      <w:r w:rsidR="005E1922" w:rsidRPr="00641BC7">
        <w:rPr>
          <w:rFonts w:asciiTheme="majorHAnsi" w:hAnsiTheme="majorHAnsi" w:cstheme="majorHAnsi"/>
          <w:sz w:val="24"/>
          <w:szCs w:val="24"/>
          <w:lang w:val="ro-MD"/>
        </w:rPr>
        <w:t>,</w:t>
      </w:r>
      <w:r w:rsidR="003506F6" w:rsidRPr="00641BC7">
        <w:rPr>
          <w:rFonts w:asciiTheme="majorHAnsi" w:hAnsiTheme="majorHAnsi" w:cstheme="majorHAnsi"/>
          <w:sz w:val="24"/>
          <w:szCs w:val="24"/>
          <w:lang w:val="ro-MD"/>
        </w:rPr>
        <w:t xml:space="preserve"> au fost admise nereguli la contabilizarea și raportarea investițiilor</w:t>
      </w:r>
      <w:r w:rsidR="004E2CD9" w:rsidRPr="00641BC7">
        <w:rPr>
          <w:rFonts w:asciiTheme="majorHAnsi" w:hAnsiTheme="majorHAnsi" w:cstheme="majorHAnsi"/>
          <w:sz w:val="24"/>
          <w:szCs w:val="24"/>
          <w:lang w:val="ro-MD"/>
        </w:rPr>
        <w:t>/</w:t>
      </w:r>
      <w:r w:rsidR="003506F6" w:rsidRPr="00641BC7">
        <w:rPr>
          <w:rFonts w:asciiTheme="majorHAnsi" w:hAnsiTheme="majorHAnsi" w:cstheme="majorHAnsi"/>
          <w:sz w:val="24"/>
          <w:szCs w:val="24"/>
          <w:lang w:val="ro-MD"/>
        </w:rPr>
        <w:t>reparațiilor capitale, contabilizarea corespunzătoare a cheltuielilor</w:t>
      </w:r>
      <w:r w:rsidR="004E2CD9" w:rsidRPr="00641BC7">
        <w:rPr>
          <w:rFonts w:asciiTheme="majorHAnsi" w:hAnsiTheme="majorHAnsi" w:cstheme="majorHAnsi"/>
          <w:sz w:val="24"/>
          <w:szCs w:val="24"/>
          <w:lang w:val="ro-MD"/>
        </w:rPr>
        <w:t xml:space="preserve"> și a patrimoniului gestionat de către IMSP</w:t>
      </w:r>
      <w:r w:rsidR="003506F6" w:rsidRPr="00641BC7">
        <w:rPr>
          <w:rFonts w:asciiTheme="majorHAnsi" w:hAnsiTheme="majorHAnsi" w:cstheme="majorHAnsi"/>
          <w:sz w:val="24"/>
          <w:szCs w:val="24"/>
          <w:lang w:val="ro-MD"/>
        </w:rPr>
        <w:t>.</w:t>
      </w:r>
    </w:p>
    <w:p w14:paraId="7841BBEA" w14:textId="7169CBFF" w:rsidR="00871D3B" w:rsidRPr="00641BC7" w:rsidRDefault="00871D3B" w:rsidP="00A93B1A">
      <w:pPr>
        <w:pStyle w:val="NoSpacing"/>
        <w:spacing w:line="276" w:lineRule="auto"/>
        <w:jc w:val="both"/>
        <w:rPr>
          <w:rFonts w:asciiTheme="majorHAnsi" w:hAnsiTheme="majorHAnsi" w:cstheme="majorHAnsi"/>
          <w:sz w:val="24"/>
          <w:szCs w:val="24"/>
          <w:lang w:val="ro-MD"/>
        </w:rPr>
      </w:pPr>
      <w:r w:rsidRPr="00641BC7">
        <w:rPr>
          <w:rFonts w:asciiTheme="majorHAnsi" w:eastAsia="Times New Roman" w:hAnsiTheme="majorHAnsi" w:cstheme="majorHAnsi"/>
          <w:b/>
          <w:sz w:val="24"/>
          <w:szCs w:val="24"/>
          <w:lang w:val="ro-MD"/>
        </w:rPr>
        <w:t>6.4.</w:t>
      </w:r>
      <w:r w:rsidRPr="00641BC7">
        <w:rPr>
          <w:rFonts w:asciiTheme="majorHAnsi" w:eastAsia="Times New Roman" w:hAnsiTheme="majorHAnsi" w:cstheme="majorHAnsi"/>
          <w:sz w:val="24"/>
          <w:szCs w:val="24"/>
          <w:lang w:val="ro-MD"/>
        </w:rPr>
        <w:t xml:space="preserve"> </w:t>
      </w:r>
      <w:r w:rsidR="00006A06" w:rsidRPr="00641BC7">
        <w:rPr>
          <w:rFonts w:asciiTheme="majorHAnsi" w:eastAsia="Times New Roman" w:hAnsiTheme="majorHAnsi" w:cstheme="majorHAnsi"/>
          <w:sz w:val="24"/>
          <w:szCs w:val="24"/>
          <w:lang w:val="ro-MD"/>
        </w:rPr>
        <w:t>Evidența contabilă a entităților din cadrul CR dispune de rezerve</w:t>
      </w:r>
      <w:r w:rsidR="005E1922" w:rsidRPr="00641BC7">
        <w:rPr>
          <w:rFonts w:asciiTheme="majorHAnsi" w:eastAsia="Times New Roman" w:hAnsiTheme="majorHAnsi" w:cstheme="majorHAnsi"/>
          <w:sz w:val="24"/>
          <w:szCs w:val="24"/>
          <w:lang w:val="ro-MD"/>
        </w:rPr>
        <w:t>,</w:t>
      </w:r>
      <w:r w:rsidR="00006A06" w:rsidRPr="00641BC7">
        <w:rPr>
          <w:rFonts w:asciiTheme="majorHAnsi" w:eastAsia="Times New Roman" w:hAnsiTheme="majorHAnsi" w:cstheme="majorHAnsi"/>
          <w:sz w:val="24"/>
          <w:szCs w:val="24"/>
          <w:lang w:val="ro-MD"/>
        </w:rPr>
        <w:t xml:space="preserve"> </w:t>
      </w:r>
      <w:r w:rsidR="005E1922" w:rsidRPr="00641BC7">
        <w:rPr>
          <w:rFonts w:asciiTheme="majorHAnsi" w:eastAsia="Times New Roman" w:hAnsiTheme="majorHAnsi" w:cstheme="majorHAnsi"/>
          <w:sz w:val="24"/>
          <w:szCs w:val="24"/>
          <w:lang w:val="ro-MD"/>
        </w:rPr>
        <w:t>iar e</w:t>
      </w:r>
      <w:r w:rsidRPr="00641BC7">
        <w:rPr>
          <w:rFonts w:asciiTheme="majorHAnsi" w:eastAsia="Times New Roman" w:hAnsiTheme="majorHAnsi" w:cstheme="majorHAnsi"/>
          <w:sz w:val="24"/>
          <w:szCs w:val="24"/>
          <w:lang w:val="ro-MD"/>
        </w:rPr>
        <w:t>vidența sintetic</w:t>
      </w:r>
      <w:r w:rsidR="005E1922" w:rsidRPr="00641BC7">
        <w:rPr>
          <w:rFonts w:asciiTheme="majorHAnsi" w:eastAsia="Times New Roman" w:hAnsiTheme="majorHAnsi" w:cstheme="majorHAnsi"/>
          <w:sz w:val="24"/>
          <w:szCs w:val="24"/>
          <w:lang w:val="ro-MD"/>
        </w:rPr>
        <w:t>ă</w:t>
      </w:r>
      <w:r w:rsidRPr="00641BC7">
        <w:rPr>
          <w:rFonts w:asciiTheme="majorHAnsi" w:eastAsia="Times New Roman" w:hAnsiTheme="majorHAnsi" w:cstheme="majorHAnsi"/>
          <w:sz w:val="24"/>
          <w:szCs w:val="24"/>
          <w:lang w:val="ro-MD"/>
        </w:rPr>
        <w:t xml:space="preserve"> reflectată în rapoartele financiare nu este susținută de o evidență analitică corectă și adecvată.</w:t>
      </w:r>
      <w:r w:rsidRPr="00641BC7">
        <w:rPr>
          <w:rFonts w:asciiTheme="majorHAnsi" w:eastAsia="Times New Roman" w:hAnsiTheme="majorHAnsi" w:cstheme="majorHAnsi"/>
          <w:color w:val="202124"/>
          <w:sz w:val="24"/>
          <w:szCs w:val="24"/>
          <w:lang w:val="ro-MD"/>
        </w:rPr>
        <w:t xml:space="preserve"> Organizarea evidenței contabile în cadrul</w:t>
      </w:r>
      <w:r w:rsidR="009F66B7" w:rsidRPr="00641BC7">
        <w:rPr>
          <w:rFonts w:asciiTheme="majorHAnsi" w:eastAsia="Times New Roman" w:hAnsiTheme="majorHAnsi" w:cstheme="majorHAnsi"/>
          <w:color w:val="202124"/>
          <w:sz w:val="24"/>
          <w:szCs w:val="24"/>
          <w:lang w:val="ro-MD"/>
        </w:rPr>
        <w:t xml:space="preserve"> unor </w:t>
      </w:r>
      <w:r w:rsidRPr="00641BC7">
        <w:rPr>
          <w:rFonts w:asciiTheme="majorHAnsi" w:eastAsia="Times New Roman" w:hAnsiTheme="majorHAnsi" w:cstheme="majorHAnsi"/>
          <w:color w:val="202124"/>
          <w:sz w:val="24"/>
          <w:szCs w:val="24"/>
          <w:lang w:val="ro-MD"/>
        </w:rPr>
        <w:t xml:space="preserve">entități din subordinea </w:t>
      </w:r>
      <w:r w:rsidR="005E1922" w:rsidRPr="00641BC7">
        <w:rPr>
          <w:rFonts w:asciiTheme="majorHAnsi" w:eastAsia="Times New Roman" w:hAnsiTheme="majorHAnsi" w:cstheme="majorHAnsi"/>
          <w:color w:val="202124"/>
          <w:sz w:val="24"/>
          <w:szCs w:val="24"/>
          <w:lang w:val="ro-MD"/>
        </w:rPr>
        <w:t>CR</w:t>
      </w:r>
      <w:r w:rsidRPr="00641BC7">
        <w:rPr>
          <w:rFonts w:asciiTheme="majorHAnsi" w:eastAsia="Times New Roman" w:hAnsiTheme="majorHAnsi" w:cstheme="majorHAnsi"/>
          <w:color w:val="202124"/>
          <w:sz w:val="24"/>
          <w:szCs w:val="24"/>
          <w:lang w:val="ro-MD"/>
        </w:rPr>
        <w:t xml:space="preserve"> nu reflectă pe deplin </w:t>
      </w:r>
      <w:r w:rsidRPr="00641BC7">
        <w:rPr>
          <w:rFonts w:asciiTheme="majorHAnsi" w:eastAsia="Times New Roman" w:hAnsiTheme="majorHAnsi" w:cstheme="majorHAnsi"/>
          <w:color w:val="202124"/>
          <w:sz w:val="24"/>
          <w:szCs w:val="24"/>
          <w:lang w:val="ro-MD"/>
        </w:rPr>
        <w:lastRenderedPageBreak/>
        <w:t>prevederile privind ținerea</w:t>
      </w:r>
      <w:r w:rsidR="009F66B7" w:rsidRPr="00641BC7">
        <w:rPr>
          <w:rFonts w:asciiTheme="majorHAnsi" w:eastAsia="Times New Roman" w:hAnsiTheme="majorHAnsi" w:cstheme="majorHAnsi"/>
          <w:color w:val="202124"/>
          <w:sz w:val="24"/>
          <w:szCs w:val="24"/>
          <w:lang w:val="ro-MD"/>
        </w:rPr>
        <w:t xml:space="preserve"> regulamentară a </w:t>
      </w:r>
      <w:r w:rsidRPr="00641BC7">
        <w:rPr>
          <w:rFonts w:asciiTheme="majorHAnsi" w:eastAsia="Times New Roman" w:hAnsiTheme="majorHAnsi" w:cstheme="majorHAnsi"/>
          <w:color w:val="202124"/>
          <w:sz w:val="24"/>
          <w:szCs w:val="24"/>
          <w:lang w:val="ro-MD"/>
        </w:rPr>
        <w:t>evidenței contabile. Nu au fost puse în aplicare regulile de organizare a contabilității prevăzute în Ordinul 216/2015.</w:t>
      </w:r>
      <w:r w:rsidRPr="00641BC7">
        <w:rPr>
          <w:rFonts w:asciiTheme="majorHAnsi" w:eastAsia="Times New Roman" w:hAnsiTheme="majorHAnsi" w:cstheme="majorHAnsi"/>
          <w:sz w:val="24"/>
          <w:szCs w:val="24"/>
          <w:lang w:val="ro-MD"/>
        </w:rPr>
        <w:t xml:space="preserve"> Prin urmare, </w:t>
      </w:r>
      <w:r w:rsidRPr="00641BC7">
        <w:rPr>
          <w:rFonts w:asciiTheme="majorHAnsi" w:eastAsia="Times New Roman" w:hAnsiTheme="majorHAnsi" w:cstheme="majorHAnsi"/>
          <w:color w:val="202124"/>
          <w:sz w:val="24"/>
          <w:szCs w:val="24"/>
          <w:lang w:val="ro-MD"/>
        </w:rPr>
        <w:t xml:space="preserve">Cartea </w:t>
      </w:r>
      <w:r w:rsidR="005E1922" w:rsidRPr="00641BC7">
        <w:rPr>
          <w:rFonts w:asciiTheme="majorHAnsi" w:eastAsia="Times New Roman" w:hAnsiTheme="majorHAnsi" w:cstheme="majorHAnsi"/>
          <w:color w:val="202124"/>
          <w:sz w:val="24"/>
          <w:szCs w:val="24"/>
          <w:lang w:val="ro-MD"/>
        </w:rPr>
        <w:t>m</w:t>
      </w:r>
      <w:r w:rsidRPr="00641BC7">
        <w:rPr>
          <w:rFonts w:asciiTheme="majorHAnsi" w:eastAsia="Times New Roman" w:hAnsiTheme="majorHAnsi" w:cstheme="majorHAnsi"/>
          <w:color w:val="202124"/>
          <w:sz w:val="24"/>
          <w:szCs w:val="24"/>
          <w:lang w:val="ro-MD"/>
        </w:rPr>
        <w:t xml:space="preserve">are, care este registrul contabil obligatoriu și servește ca bază pentru întocmirea rapoartelor financiare, înregistrează devieri </w:t>
      </w:r>
      <w:r w:rsidR="005E1922" w:rsidRPr="00641BC7">
        <w:rPr>
          <w:rFonts w:asciiTheme="majorHAnsi" w:eastAsia="Times New Roman" w:hAnsiTheme="majorHAnsi" w:cstheme="majorHAnsi"/>
          <w:color w:val="202124"/>
          <w:sz w:val="24"/>
          <w:szCs w:val="24"/>
          <w:lang w:val="ro-MD"/>
        </w:rPr>
        <w:t>de la</w:t>
      </w:r>
      <w:r w:rsidRPr="00641BC7">
        <w:rPr>
          <w:rFonts w:asciiTheme="majorHAnsi" w:eastAsia="Times New Roman" w:hAnsiTheme="majorHAnsi" w:cstheme="majorHAnsi"/>
          <w:color w:val="202124"/>
          <w:sz w:val="24"/>
          <w:szCs w:val="24"/>
          <w:lang w:val="ro-MD"/>
        </w:rPr>
        <w:t xml:space="preserve"> datele </w:t>
      </w:r>
      <w:r w:rsidR="0065737A" w:rsidRPr="00641BC7">
        <w:rPr>
          <w:rFonts w:asciiTheme="majorHAnsi" w:eastAsia="Times New Roman" w:hAnsiTheme="majorHAnsi" w:cstheme="majorHAnsi"/>
          <w:color w:val="202124"/>
          <w:sz w:val="24"/>
          <w:szCs w:val="24"/>
          <w:lang w:val="ro-MD"/>
        </w:rPr>
        <w:t xml:space="preserve">indicate </w:t>
      </w:r>
      <w:r w:rsidRPr="00641BC7">
        <w:rPr>
          <w:rFonts w:asciiTheme="majorHAnsi" w:eastAsia="Times New Roman" w:hAnsiTheme="majorHAnsi" w:cstheme="majorHAnsi"/>
          <w:color w:val="202124"/>
          <w:sz w:val="24"/>
          <w:szCs w:val="24"/>
          <w:lang w:val="ro-MD"/>
        </w:rPr>
        <w:t>în rapoartele financiare</w:t>
      </w:r>
      <w:r w:rsidRPr="00641BC7">
        <w:rPr>
          <w:rFonts w:asciiTheme="majorHAnsi" w:eastAsia="Times New Roman" w:hAnsiTheme="majorHAnsi" w:cstheme="majorHAnsi"/>
          <w:sz w:val="24"/>
          <w:szCs w:val="24"/>
          <w:lang w:val="ro-MD"/>
        </w:rPr>
        <w:t>.</w:t>
      </w:r>
      <w:r w:rsidRPr="00641BC7">
        <w:rPr>
          <w:rFonts w:asciiTheme="majorHAnsi" w:eastAsia="Times New Roman" w:hAnsiTheme="majorHAnsi" w:cstheme="majorHAnsi"/>
          <w:color w:val="202124"/>
          <w:sz w:val="24"/>
          <w:szCs w:val="24"/>
          <w:lang w:val="ro-MD"/>
        </w:rPr>
        <w:t xml:space="preserve"> </w:t>
      </w:r>
      <w:r w:rsidR="003B11E1" w:rsidRPr="00641BC7">
        <w:rPr>
          <w:rFonts w:asciiTheme="majorHAnsi" w:eastAsia="Times New Roman" w:hAnsiTheme="majorHAnsi" w:cstheme="majorHAnsi"/>
          <w:sz w:val="24"/>
          <w:szCs w:val="24"/>
          <w:lang w:val="ro-MD"/>
        </w:rPr>
        <w:t>Drept</w:t>
      </w:r>
      <w:r w:rsidRPr="00641BC7">
        <w:rPr>
          <w:rFonts w:asciiTheme="majorHAnsi" w:eastAsia="Times New Roman" w:hAnsiTheme="majorHAnsi" w:cstheme="majorHAnsi"/>
          <w:sz w:val="24"/>
          <w:szCs w:val="24"/>
          <w:lang w:val="ro-MD"/>
        </w:rPr>
        <w:t xml:space="preserve"> rezultat, </w:t>
      </w:r>
      <w:r w:rsidR="00310116" w:rsidRPr="00641BC7">
        <w:rPr>
          <w:rFonts w:asciiTheme="majorHAnsi" w:eastAsia="Times New Roman" w:hAnsiTheme="majorHAnsi" w:cstheme="majorHAnsi"/>
          <w:sz w:val="24"/>
          <w:szCs w:val="24"/>
          <w:lang w:val="ro-MD"/>
        </w:rPr>
        <w:t xml:space="preserve">există o neconcordanță </w:t>
      </w:r>
      <w:r w:rsidR="003B11E1" w:rsidRPr="00641BC7">
        <w:rPr>
          <w:rFonts w:asciiTheme="majorHAnsi" w:eastAsia="Times New Roman" w:hAnsiTheme="majorHAnsi" w:cstheme="majorHAnsi"/>
          <w:sz w:val="24"/>
          <w:szCs w:val="24"/>
          <w:lang w:val="ro-MD"/>
        </w:rPr>
        <w:t>î</w:t>
      </w:r>
      <w:r w:rsidRPr="00641BC7">
        <w:rPr>
          <w:rFonts w:asciiTheme="majorHAnsi" w:eastAsia="Times New Roman" w:hAnsiTheme="majorHAnsi" w:cstheme="majorHAnsi"/>
          <w:sz w:val="24"/>
          <w:szCs w:val="24"/>
          <w:lang w:val="ro-MD"/>
        </w:rPr>
        <w:t xml:space="preserve">ntre </w:t>
      </w:r>
      <w:r w:rsidRPr="00641BC7">
        <w:rPr>
          <w:rFonts w:asciiTheme="majorHAnsi" w:eastAsia="Times New Roman" w:hAnsiTheme="majorHAnsi" w:cstheme="majorHAnsi"/>
          <w:color w:val="202124"/>
          <w:sz w:val="24"/>
          <w:szCs w:val="24"/>
          <w:lang w:val="ro-MD"/>
        </w:rPr>
        <w:t xml:space="preserve">soldurile rapoartelor financiare și  </w:t>
      </w:r>
      <w:r w:rsidR="00310116" w:rsidRPr="00641BC7">
        <w:rPr>
          <w:rFonts w:asciiTheme="majorHAnsi" w:eastAsia="Times New Roman" w:hAnsiTheme="majorHAnsi" w:cstheme="majorHAnsi"/>
          <w:color w:val="202124"/>
          <w:sz w:val="24"/>
          <w:szCs w:val="24"/>
          <w:lang w:val="ro-MD"/>
        </w:rPr>
        <w:t xml:space="preserve">soldurile </w:t>
      </w:r>
      <w:r w:rsidRPr="00641BC7">
        <w:rPr>
          <w:rFonts w:asciiTheme="majorHAnsi" w:eastAsia="Times New Roman" w:hAnsiTheme="majorHAnsi" w:cstheme="majorHAnsi"/>
          <w:color w:val="202124"/>
          <w:sz w:val="24"/>
          <w:szCs w:val="24"/>
          <w:lang w:val="ro-MD"/>
        </w:rPr>
        <w:t xml:space="preserve">din Cartea mare, care a fost determinată de nereflectarea în Cartea mare a </w:t>
      </w:r>
      <w:r w:rsidR="009F66B7" w:rsidRPr="00641BC7">
        <w:rPr>
          <w:rFonts w:asciiTheme="majorHAnsi" w:eastAsia="Times New Roman" w:hAnsiTheme="majorHAnsi" w:cstheme="majorHAnsi"/>
          <w:color w:val="202124"/>
          <w:sz w:val="24"/>
          <w:szCs w:val="24"/>
          <w:lang w:val="ro-MD"/>
        </w:rPr>
        <w:t xml:space="preserve">tuturor </w:t>
      </w:r>
      <w:r w:rsidRPr="00641BC7">
        <w:rPr>
          <w:rFonts w:asciiTheme="majorHAnsi" w:eastAsia="Times New Roman" w:hAnsiTheme="majorHAnsi" w:cstheme="majorHAnsi"/>
          <w:color w:val="202124"/>
          <w:sz w:val="24"/>
          <w:szCs w:val="24"/>
          <w:lang w:val="ro-MD"/>
        </w:rPr>
        <w:t>formulelor contabile de înregistr</w:t>
      </w:r>
      <w:r w:rsidR="009F66B7" w:rsidRPr="00641BC7">
        <w:rPr>
          <w:rFonts w:asciiTheme="majorHAnsi" w:eastAsia="Times New Roman" w:hAnsiTheme="majorHAnsi" w:cstheme="majorHAnsi"/>
          <w:color w:val="202124"/>
          <w:sz w:val="24"/>
          <w:szCs w:val="24"/>
          <w:lang w:val="ro-MD"/>
        </w:rPr>
        <w:t>are a tranzacțiilor contabilizate</w:t>
      </w:r>
      <w:r w:rsidRPr="00641BC7">
        <w:rPr>
          <w:rFonts w:asciiTheme="majorHAnsi" w:eastAsia="Times New Roman" w:hAnsiTheme="majorHAnsi" w:cstheme="majorHAnsi"/>
          <w:color w:val="202124"/>
          <w:sz w:val="24"/>
          <w:szCs w:val="24"/>
          <w:lang w:val="ro-MD"/>
        </w:rPr>
        <w:t xml:space="preserve">. </w:t>
      </w:r>
      <w:r w:rsidR="009F66B7" w:rsidRPr="00641BC7">
        <w:rPr>
          <w:rFonts w:asciiTheme="majorHAnsi" w:eastAsia="Times New Roman" w:hAnsiTheme="majorHAnsi" w:cstheme="majorHAnsi"/>
          <w:color w:val="202124"/>
          <w:sz w:val="24"/>
          <w:szCs w:val="24"/>
          <w:lang w:val="ro-MD"/>
        </w:rPr>
        <w:t xml:space="preserve">Mai mult </w:t>
      </w:r>
      <w:r w:rsidR="003B11E1" w:rsidRPr="00641BC7">
        <w:rPr>
          <w:rFonts w:asciiTheme="majorHAnsi" w:eastAsia="Times New Roman" w:hAnsiTheme="majorHAnsi" w:cstheme="majorHAnsi"/>
          <w:color w:val="202124"/>
          <w:sz w:val="24"/>
          <w:szCs w:val="24"/>
          <w:lang w:val="ro-MD"/>
        </w:rPr>
        <w:t>decât</w:t>
      </w:r>
      <w:r w:rsidR="009F66B7" w:rsidRPr="00641BC7">
        <w:rPr>
          <w:rFonts w:asciiTheme="majorHAnsi" w:eastAsia="Times New Roman" w:hAnsiTheme="majorHAnsi" w:cstheme="majorHAnsi"/>
          <w:color w:val="202124"/>
          <w:sz w:val="24"/>
          <w:szCs w:val="24"/>
          <w:lang w:val="ro-MD"/>
        </w:rPr>
        <w:t xml:space="preserve"> at</w:t>
      </w:r>
      <w:r w:rsidR="003B11E1" w:rsidRPr="00641BC7">
        <w:rPr>
          <w:rFonts w:asciiTheme="majorHAnsi" w:eastAsia="Times New Roman" w:hAnsiTheme="majorHAnsi" w:cstheme="majorHAnsi"/>
          <w:color w:val="202124"/>
          <w:sz w:val="24"/>
          <w:szCs w:val="24"/>
          <w:lang w:val="ro-MD"/>
        </w:rPr>
        <w:t>â</w:t>
      </w:r>
      <w:r w:rsidR="009F66B7" w:rsidRPr="00641BC7">
        <w:rPr>
          <w:rFonts w:asciiTheme="majorHAnsi" w:eastAsia="Times New Roman" w:hAnsiTheme="majorHAnsi" w:cstheme="majorHAnsi"/>
          <w:color w:val="202124"/>
          <w:sz w:val="24"/>
          <w:szCs w:val="24"/>
          <w:lang w:val="ro-MD"/>
        </w:rPr>
        <w:t xml:space="preserve">t, deși </w:t>
      </w:r>
      <w:r w:rsidR="004C71C9" w:rsidRPr="00641BC7">
        <w:rPr>
          <w:rFonts w:asciiTheme="majorHAnsi" w:eastAsia="Times New Roman" w:hAnsiTheme="majorHAnsi" w:cstheme="majorHAnsi"/>
          <w:color w:val="202124"/>
          <w:sz w:val="24"/>
          <w:szCs w:val="24"/>
          <w:lang w:val="ro-MD"/>
        </w:rPr>
        <w:t xml:space="preserve">unele </w:t>
      </w:r>
      <w:r w:rsidR="009F66B7" w:rsidRPr="00641BC7">
        <w:rPr>
          <w:rFonts w:asciiTheme="majorHAnsi" w:eastAsia="Times New Roman" w:hAnsiTheme="majorHAnsi" w:cstheme="majorHAnsi"/>
          <w:color w:val="202124"/>
          <w:sz w:val="24"/>
          <w:szCs w:val="24"/>
          <w:lang w:val="ro-MD"/>
        </w:rPr>
        <w:t>entități dispun de</w:t>
      </w:r>
      <w:r w:rsidR="00D67A43" w:rsidRPr="00641BC7">
        <w:rPr>
          <w:rFonts w:asciiTheme="majorHAnsi" w:eastAsia="Times New Roman" w:hAnsiTheme="majorHAnsi" w:cstheme="majorHAnsi"/>
          <w:color w:val="202124"/>
          <w:sz w:val="24"/>
          <w:szCs w:val="24"/>
          <w:lang w:val="ro-MD"/>
        </w:rPr>
        <w:t xml:space="preserve"> </w:t>
      </w:r>
      <w:r w:rsidR="009F66B7" w:rsidRPr="00641BC7">
        <w:rPr>
          <w:rFonts w:asciiTheme="majorHAnsi" w:hAnsiTheme="majorHAnsi" w:cstheme="majorHAnsi"/>
          <w:sz w:val="24"/>
          <w:szCs w:val="24"/>
          <w:lang w:val="ro-MD"/>
        </w:rPr>
        <w:t>programe specializate de evidență contab</w:t>
      </w:r>
      <w:r w:rsidR="004C71C9" w:rsidRPr="00641BC7">
        <w:rPr>
          <w:rFonts w:asciiTheme="majorHAnsi" w:hAnsiTheme="majorHAnsi" w:cstheme="majorHAnsi"/>
          <w:sz w:val="24"/>
          <w:szCs w:val="24"/>
          <w:lang w:val="ro-MD"/>
        </w:rPr>
        <w:t>ilă</w:t>
      </w:r>
      <w:r w:rsidR="003B11E1" w:rsidRPr="00641BC7">
        <w:rPr>
          <w:rFonts w:asciiTheme="majorHAnsi" w:hAnsiTheme="majorHAnsi" w:cstheme="majorHAnsi"/>
          <w:sz w:val="24"/>
          <w:szCs w:val="24"/>
          <w:lang w:val="ro-MD"/>
        </w:rPr>
        <w:t>,</w:t>
      </w:r>
      <w:r w:rsidR="004C71C9" w:rsidRPr="00641BC7">
        <w:rPr>
          <w:rFonts w:asciiTheme="majorHAnsi" w:hAnsiTheme="majorHAnsi" w:cstheme="majorHAnsi"/>
          <w:sz w:val="24"/>
          <w:szCs w:val="24"/>
          <w:lang w:val="ro-MD"/>
        </w:rPr>
        <w:t xml:space="preserve"> acestea nu au fost ajustate, </w:t>
      </w:r>
      <w:r w:rsidR="009F66B7" w:rsidRPr="00641BC7">
        <w:rPr>
          <w:rFonts w:asciiTheme="majorHAnsi" w:hAnsiTheme="majorHAnsi" w:cstheme="majorHAnsi"/>
          <w:sz w:val="24"/>
          <w:szCs w:val="24"/>
          <w:lang w:val="ro-MD"/>
        </w:rPr>
        <w:t>iar alte</w:t>
      </w:r>
      <w:r w:rsidR="004C71C9" w:rsidRPr="00641BC7">
        <w:rPr>
          <w:rFonts w:asciiTheme="majorHAnsi" w:hAnsiTheme="majorHAnsi" w:cstheme="majorHAnsi"/>
          <w:sz w:val="24"/>
          <w:szCs w:val="24"/>
          <w:lang w:val="ro-MD"/>
        </w:rPr>
        <w:t xml:space="preserve"> entități</w:t>
      </w:r>
      <w:r w:rsidR="009F66B7" w:rsidRPr="00641BC7">
        <w:rPr>
          <w:rFonts w:asciiTheme="majorHAnsi" w:hAnsiTheme="majorHAnsi" w:cstheme="majorHAnsi"/>
          <w:sz w:val="24"/>
          <w:szCs w:val="24"/>
          <w:lang w:val="ro-MD"/>
        </w:rPr>
        <w:t xml:space="preserve"> țin evidența contabilă manual</w:t>
      </w:r>
      <w:r w:rsidR="004C71C9" w:rsidRPr="00641BC7">
        <w:rPr>
          <w:rFonts w:asciiTheme="majorHAnsi" w:hAnsiTheme="majorHAnsi" w:cstheme="majorHAnsi"/>
          <w:sz w:val="24"/>
          <w:szCs w:val="24"/>
          <w:lang w:val="ro-MD"/>
        </w:rPr>
        <w:t>,</w:t>
      </w:r>
      <w:r w:rsidR="009F66B7" w:rsidRPr="00641BC7">
        <w:rPr>
          <w:rFonts w:asciiTheme="majorHAnsi" w:hAnsiTheme="majorHAnsi" w:cstheme="majorHAnsi"/>
          <w:sz w:val="24"/>
          <w:szCs w:val="24"/>
          <w:lang w:val="ro-MD"/>
        </w:rPr>
        <w:t xml:space="preserve"> fapt ce nu asigură pe deplin veridicitatea datelor raportate.</w:t>
      </w:r>
    </w:p>
    <w:p w14:paraId="308B8C8B" w14:textId="77777777" w:rsidR="00F445D7" w:rsidRPr="00641BC7" w:rsidRDefault="00F445D7" w:rsidP="00A93B1A">
      <w:pPr>
        <w:pStyle w:val="NoSpacing"/>
        <w:spacing w:line="276" w:lineRule="auto"/>
        <w:jc w:val="both"/>
        <w:rPr>
          <w:rFonts w:asciiTheme="majorHAnsi" w:eastAsia="Times New Roman" w:hAnsiTheme="majorHAnsi" w:cstheme="majorHAnsi"/>
          <w:color w:val="202124"/>
          <w:sz w:val="24"/>
          <w:szCs w:val="24"/>
          <w:lang w:val="ro-MD"/>
        </w:rPr>
      </w:pPr>
    </w:p>
    <w:p w14:paraId="46F6C461" w14:textId="387D8F32" w:rsidR="002A7174" w:rsidRPr="00641BC7" w:rsidRDefault="002A7174" w:rsidP="00A93B1A">
      <w:pPr>
        <w:pStyle w:val="NoSpacing"/>
        <w:spacing w:line="276" w:lineRule="auto"/>
        <w:jc w:val="both"/>
        <w:rPr>
          <w:rFonts w:asciiTheme="majorHAnsi" w:eastAsia="Times New Roman" w:hAnsiTheme="majorHAnsi" w:cstheme="majorHAnsi"/>
          <w:b/>
          <w:sz w:val="24"/>
          <w:szCs w:val="24"/>
          <w:lang w:val="ro-MD"/>
        </w:rPr>
      </w:pPr>
      <w:r w:rsidRPr="00641BC7">
        <w:rPr>
          <w:rFonts w:asciiTheme="majorHAnsi" w:eastAsia="Times New Roman" w:hAnsiTheme="majorHAnsi" w:cstheme="majorHAnsi"/>
          <w:b/>
          <w:sz w:val="24"/>
          <w:szCs w:val="24"/>
          <w:lang w:val="ro-MD"/>
        </w:rPr>
        <w:t>VI</w:t>
      </w:r>
      <w:r w:rsidR="00713F76" w:rsidRPr="00641BC7">
        <w:rPr>
          <w:rFonts w:asciiTheme="majorHAnsi" w:eastAsia="Times New Roman" w:hAnsiTheme="majorHAnsi" w:cstheme="majorHAnsi"/>
          <w:b/>
          <w:sz w:val="24"/>
          <w:szCs w:val="24"/>
          <w:lang w:val="ro-MD"/>
        </w:rPr>
        <w:t>I</w:t>
      </w:r>
      <w:r w:rsidRPr="00641BC7">
        <w:rPr>
          <w:rFonts w:asciiTheme="majorHAnsi" w:eastAsia="Times New Roman" w:hAnsiTheme="majorHAnsi" w:cstheme="majorHAnsi"/>
          <w:b/>
          <w:sz w:val="24"/>
          <w:szCs w:val="24"/>
          <w:lang w:val="ro-MD"/>
        </w:rPr>
        <w:t>. RESPONSABILITĂȚILE CONDUCERII PENTRU RAPOARTELE FINANCIARE</w:t>
      </w:r>
    </w:p>
    <w:p w14:paraId="03D89C67" w14:textId="0C8F8AA2" w:rsidR="002A7174" w:rsidRPr="00641BC7" w:rsidRDefault="0049438A" w:rsidP="00EA2FA6">
      <w:pPr>
        <w:spacing w:after="0" w:line="276" w:lineRule="auto"/>
        <w:jc w:val="both"/>
        <w:rPr>
          <w:rFonts w:asciiTheme="majorHAnsi" w:hAnsiTheme="majorHAnsi" w:cstheme="majorHAnsi"/>
          <w:color w:val="000000"/>
          <w:sz w:val="24"/>
          <w:szCs w:val="24"/>
          <w:lang w:val="ro-MD"/>
        </w:rPr>
      </w:pPr>
      <w:r w:rsidRPr="00641BC7">
        <w:rPr>
          <w:rFonts w:asciiTheme="majorHAnsi" w:hAnsiTheme="majorHAnsi" w:cstheme="majorHAnsi"/>
          <w:sz w:val="24"/>
          <w:szCs w:val="24"/>
          <w:lang w:val="ro-MD"/>
        </w:rPr>
        <w:t>Președintele raionului</w:t>
      </w:r>
      <w:r w:rsidR="00FF67DF" w:rsidRPr="00641BC7">
        <w:rPr>
          <w:rFonts w:asciiTheme="majorHAnsi" w:hAnsiTheme="majorHAnsi" w:cstheme="majorHAnsi"/>
          <w:sz w:val="24"/>
          <w:szCs w:val="24"/>
          <w:lang w:val="ro-MD"/>
        </w:rPr>
        <w:t xml:space="preserve"> Nisporeni</w:t>
      </w:r>
      <w:r w:rsidR="002A7174" w:rsidRPr="00641BC7">
        <w:rPr>
          <w:rFonts w:asciiTheme="majorHAnsi" w:eastAsia="Times New Roman" w:hAnsiTheme="majorHAnsi" w:cstheme="majorHAnsi"/>
          <w:iCs/>
          <w:sz w:val="24"/>
          <w:szCs w:val="24"/>
          <w:lang w:val="ro-MD"/>
        </w:rPr>
        <w:t xml:space="preserve"> </w:t>
      </w:r>
      <w:r w:rsidR="002A7174" w:rsidRPr="00641BC7">
        <w:rPr>
          <w:rFonts w:asciiTheme="majorHAnsi" w:hAnsiTheme="majorHAnsi" w:cstheme="majorHAnsi"/>
          <w:sz w:val="24"/>
          <w:szCs w:val="24"/>
          <w:lang w:val="ro-MD"/>
        </w:rPr>
        <w:t>este responsabil de întocmirea și prezentarea fidelă a rapoartelor financiare</w:t>
      </w:r>
      <w:r w:rsidR="002A7174" w:rsidRPr="00641BC7">
        <w:rPr>
          <w:rStyle w:val="FootnoteReference"/>
          <w:rFonts w:asciiTheme="majorHAnsi" w:hAnsiTheme="majorHAnsi" w:cstheme="majorHAnsi"/>
          <w:sz w:val="24"/>
          <w:szCs w:val="24"/>
          <w:lang w:val="ro-MD"/>
        </w:rPr>
        <w:footnoteReference w:id="20"/>
      </w:r>
      <w:r w:rsidR="002A7174" w:rsidRPr="00641BC7">
        <w:rPr>
          <w:rFonts w:asciiTheme="majorHAnsi" w:hAnsiTheme="majorHAnsi" w:cstheme="majorHAnsi"/>
          <w:sz w:val="24"/>
          <w:szCs w:val="24"/>
          <w:lang w:val="ro-MD"/>
        </w:rPr>
        <w:t xml:space="preserve"> în conformitate cu </w:t>
      </w:r>
      <w:r w:rsidR="00A60D75" w:rsidRPr="00641BC7">
        <w:rPr>
          <w:rFonts w:asciiTheme="majorHAnsi" w:hAnsiTheme="majorHAnsi" w:cstheme="majorHAnsi"/>
          <w:color w:val="000000"/>
          <w:sz w:val="24"/>
          <w:szCs w:val="24"/>
          <w:lang w:val="ro-MD"/>
        </w:rPr>
        <w:t>cadrul de raportare financiară aplicabil</w:t>
      </w:r>
      <w:r w:rsidR="002A7174" w:rsidRPr="00641BC7">
        <w:rPr>
          <w:rStyle w:val="FootnoteReference"/>
          <w:rFonts w:asciiTheme="majorHAnsi" w:hAnsiTheme="majorHAnsi" w:cstheme="majorHAnsi"/>
          <w:sz w:val="24"/>
          <w:szCs w:val="24"/>
          <w:lang w:val="ro-MD"/>
        </w:rPr>
        <w:footnoteReference w:id="21"/>
      </w:r>
      <w:r w:rsidR="002A7174" w:rsidRPr="00641BC7">
        <w:rPr>
          <w:rFonts w:asciiTheme="majorHAnsi" w:hAnsiTheme="majorHAnsi" w:cstheme="majorHAnsi"/>
          <w:sz w:val="24"/>
          <w:szCs w:val="24"/>
          <w:lang w:val="ro-MD"/>
        </w:rPr>
        <w:t>. Această responsabilitate include: implementarea, menținerea și</w:t>
      </w:r>
      <w:r w:rsidR="005954CC" w:rsidRPr="00641BC7">
        <w:rPr>
          <w:rFonts w:asciiTheme="majorHAnsi" w:hAnsiTheme="majorHAnsi" w:cstheme="majorHAnsi"/>
          <w:sz w:val="24"/>
          <w:szCs w:val="24"/>
          <w:lang w:val="ro-MD"/>
        </w:rPr>
        <w:t xml:space="preserve"> </w:t>
      </w:r>
      <w:r w:rsidR="002A7174" w:rsidRPr="00641BC7">
        <w:rPr>
          <w:rFonts w:asciiTheme="majorHAnsi" w:hAnsiTheme="majorHAnsi" w:cstheme="majorHAnsi"/>
          <w:sz w:val="24"/>
          <w:szCs w:val="24"/>
          <w:lang w:val="ro-MD"/>
        </w:rPr>
        <w:t>supraveghe</w:t>
      </w:r>
      <w:r w:rsidR="00D4345D" w:rsidRPr="00641BC7">
        <w:rPr>
          <w:rFonts w:asciiTheme="majorHAnsi" w:hAnsiTheme="majorHAnsi" w:cstheme="majorHAnsi"/>
          <w:sz w:val="24"/>
          <w:szCs w:val="24"/>
          <w:lang w:val="ro-MD"/>
        </w:rPr>
        <w:t>re</w:t>
      </w:r>
      <w:r w:rsidR="002A7174" w:rsidRPr="00641BC7">
        <w:rPr>
          <w:rFonts w:asciiTheme="majorHAnsi" w:hAnsiTheme="majorHAnsi" w:cstheme="majorHAnsi"/>
          <w:sz w:val="24"/>
          <w:szCs w:val="24"/>
          <w:lang w:val="ro-MD"/>
        </w:rPr>
        <w:t>a unui control intern relevant pentru întocmirea și prezentarea adecvată a rapoartelor financiare</w:t>
      </w:r>
      <w:r w:rsidR="00D4345D" w:rsidRPr="00641BC7">
        <w:rPr>
          <w:rFonts w:asciiTheme="majorHAnsi" w:hAnsiTheme="majorHAnsi" w:cstheme="majorHAnsi"/>
          <w:sz w:val="24"/>
          <w:szCs w:val="24"/>
          <w:lang w:val="ro-MD"/>
        </w:rPr>
        <w:t>,</w:t>
      </w:r>
      <w:r w:rsidR="002A7174" w:rsidRPr="00641BC7">
        <w:rPr>
          <w:rFonts w:asciiTheme="majorHAnsi" w:hAnsiTheme="majorHAnsi" w:cstheme="majorHAnsi"/>
          <w:sz w:val="24"/>
          <w:szCs w:val="24"/>
          <w:lang w:val="ro-MD"/>
        </w:rPr>
        <w:t xml:space="preserve"> care să nu conțină denaturări semnificative cauzate de fraude sau erori, selectarea și aplicarea politicilor contabile adecvate, </w:t>
      </w:r>
      <w:r w:rsidR="002A7174" w:rsidRPr="00641BC7">
        <w:rPr>
          <w:rFonts w:asciiTheme="majorHAnsi" w:hAnsiTheme="majorHAnsi" w:cstheme="majorHAnsi"/>
          <w:color w:val="000000"/>
          <w:sz w:val="24"/>
          <w:szCs w:val="24"/>
          <w:lang w:val="ro-MD"/>
        </w:rPr>
        <w:t>exactitatea și plenitudinea înregistrărilor contabile, precum și pregătirea oportună a unor informații financiare credibile.</w:t>
      </w:r>
    </w:p>
    <w:p w14:paraId="27F4C2C2" w14:textId="77777777" w:rsidR="0072787C" w:rsidRPr="00641BC7" w:rsidRDefault="0072787C" w:rsidP="00EA2FA6">
      <w:pPr>
        <w:spacing w:after="0" w:line="276" w:lineRule="auto"/>
        <w:jc w:val="both"/>
        <w:rPr>
          <w:rFonts w:asciiTheme="majorHAnsi" w:hAnsiTheme="majorHAnsi" w:cstheme="majorHAnsi"/>
          <w:color w:val="000000"/>
          <w:sz w:val="24"/>
          <w:szCs w:val="24"/>
          <w:lang w:val="ro-MD"/>
        </w:rPr>
      </w:pPr>
    </w:p>
    <w:p w14:paraId="73E04DD0" w14:textId="66405FBF" w:rsidR="002A7174" w:rsidRPr="00641BC7" w:rsidRDefault="002A7174" w:rsidP="00EA2FA6">
      <w:pPr>
        <w:keepNext/>
        <w:keepLines/>
        <w:spacing w:after="0" w:line="276" w:lineRule="auto"/>
        <w:jc w:val="both"/>
        <w:outlineLvl w:val="0"/>
        <w:rPr>
          <w:rFonts w:asciiTheme="majorHAnsi" w:eastAsiaTheme="majorEastAsia" w:hAnsiTheme="majorHAnsi" w:cstheme="majorHAnsi"/>
          <w:b/>
          <w:sz w:val="24"/>
          <w:szCs w:val="24"/>
          <w:lang w:val="ro-MD"/>
        </w:rPr>
      </w:pPr>
      <w:r w:rsidRPr="00641BC7">
        <w:rPr>
          <w:rFonts w:asciiTheme="majorHAnsi" w:eastAsiaTheme="majorEastAsia" w:hAnsiTheme="majorHAnsi" w:cstheme="majorHAnsi"/>
          <w:b/>
          <w:sz w:val="24"/>
          <w:szCs w:val="24"/>
          <w:lang w:val="ro-MD"/>
        </w:rPr>
        <w:t>VII</w:t>
      </w:r>
      <w:r w:rsidR="00713F76" w:rsidRPr="00641BC7">
        <w:rPr>
          <w:rFonts w:asciiTheme="majorHAnsi" w:eastAsiaTheme="majorEastAsia" w:hAnsiTheme="majorHAnsi" w:cstheme="majorHAnsi"/>
          <w:b/>
          <w:sz w:val="24"/>
          <w:szCs w:val="24"/>
          <w:lang w:val="ro-MD"/>
        </w:rPr>
        <w:t>I</w:t>
      </w:r>
      <w:r w:rsidRPr="00641BC7">
        <w:rPr>
          <w:rFonts w:asciiTheme="majorHAnsi" w:eastAsiaTheme="majorEastAsia" w:hAnsiTheme="majorHAnsi" w:cstheme="majorHAnsi"/>
          <w:b/>
          <w:sz w:val="24"/>
          <w:szCs w:val="24"/>
          <w:lang w:val="ro-MD"/>
        </w:rPr>
        <w:t>. RESPONSABILITĂȚILE AUDITORULUI ÎNTR-UN AUDIT AL RAPOARTELOR FINANCIARE</w:t>
      </w:r>
    </w:p>
    <w:p w14:paraId="7F160D62" w14:textId="77777777" w:rsidR="002A7174" w:rsidRPr="00641BC7" w:rsidRDefault="002A7174" w:rsidP="00EA2FA6">
      <w:pPr>
        <w:autoSpaceDE w:val="0"/>
        <w:autoSpaceDN w:val="0"/>
        <w:adjustRightInd w:val="0"/>
        <w:spacing w:after="0" w:line="276" w:lineRule="auto"/>
        <w:jc w:val="both"/>
        <w:rPr>
          <w:rFonts w:asciiTheme="majorHAnsi" w:hAnsiTheme="majorHAnsi" w:cstheme="majorHAnsi"/>
          <w:sz w:val="24"/>
          <w:szCs w:val="24"/>
          <w:lang w:val="ro-MD"/>
        </w:rPr>
      </w:pPr>
      <w:r w:rsidRPr="00641BC7">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53C9F0D3" w14:textId="3123767F" w:rsidR="002A7174" w:rsidRPr="00641BC7" w:rsidRDefault="002A7174" w:rsidP="001005B3">
      <w:pPr>
        <w:autoSpaceDE w:val="0"/>
        <w:autoSpaceDN w:val="0"/>
        <w:adjustRightInd w:val="0"/>
        <w:spacing w:after="0" w:line="276" w:lineRule="auto"/>
        <w:jc w:val="both"/>
        <w:rPr>
          <w:rFonts w:asciiTheme="majorHAnsi" w:hAnsiTheme="majorHAnsi" w:cstheme="majorHAnsi"/>
          <w:sz w:val="24"/>
          <w:szCs w:val="24"/>
          <w:lang w:val="ro-MD"/>
        </w:rPr>
      </w:pPr>
      <w:r w:rsidRPr="00641BC7">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O descriere suplimentară a responsabilităților auditorului într-un audit al rapoartelor financiare este plasată pe site-ul </w:t>
      </w:r>
      <w:r w:rsidR="00485605" w:rsidRPr="00641BC7">
        <w:rPr>
          <w:rFonts w:asciiTheme="majorHAnsi" w:hAnsiTheme="majorHAnsi" w:cstheme="majorHAnsi"/>
          <w:sz w:val="24"/>
          <w:szCs w:val="24"/>
          <w:lang w:val="ro-MD"/>
        </w:rPr>
        <w:t>Curții</w:t>
      </w:r>
      <w:r w:rsidRPr="00641BC7">
        <w:rPr>
          <w:rFonts w:asciiTheme="majorHAnsi" w:hAnsiTheme="majorHAnsi" w:cstheme="majorHAnsi"/>
          <w:sz w:val="24"/>
          <w:szCs w:val="24"/>
          <w:lang w:val="ro-MD"/>
        </w:rPr>
        <w:t xml:space="preserve"> de Conturi, la adresa: </w:t>
      </w:r>
      <w:r w:rsidRPr="00641BC7">
        <w:rPr>
          <w:rFonts w:asciiTheme="majorHAnsi" w:hAnsiTheme="majorHAnsi" w:cstheme="majorHAnsi"/>
          <w:i/>
          <w:color w:val="2E74B5" w:themeColor="accent1" w:themeShade="BF"/>
          <w:sz w:val="24"/>
          <w:szCs w:val="24"/>
          <w:u w:val="single"/>
          <w:lang w:val="ro-MD"/>
        </w:rPr>
        <w:t>http://www.ccrm.md/activitatea-curtii-de-conturi-1-25</w:t>
      </w:r>
      <w:r w:rsidRPr="00641BC7">
        <w:rPr>
          <w:rFonts w:asciiTheme="majorHAnsi" w:hAnsiTheme="majorHAnsi" w:cstheme="majorHAnsi"/>
          <w:i/>
          <w:sz w:val="24"/>
          <w:szCs w:val="24"/>
          <w:lang w:val="ro-MD"/>
        </w:rPr>
        <w:t>.</w:t>
      </w:r>
      <w:r w:rsidRPr="00641BC7">
        <w:rPr>
          <w:rFonts w:asciiTheme="majorHAnsi" w:hAnsiTheme="majorHAnsi" w:cstheme="majorHAnsi"/>
          <w:sz w:val="24"/>
          <w:szCs w:val="24"/>
          <w:lang w:val="ro-MD"/>
        </w:rPr>
        <w:t xml:space="preserve"> Această descriere face parte din Raportul nostru de audit.</w:t>
      </w:r>
    </w:p>
    <w:p w14:paraId="731DC850" w14:textId="77777777" w:rsidR="00B8482E" w:rsidRPr="00641BC7" w:rsidRDefault="00B8482E" w:rsidP="00EA2FA6">
      <w:pPr>
        <w:pStyle w:val="Heading1"/>
        <w:spacing w:line="276" w:lineRule="auto"/>
        <w:jc w:val="both"/>
        <w:rPr>
          <w:rFonts w:cstheme="majorHAnsi"/>
          <w:color w:val="auto"/>
          <w:szCs w:val="24"/>
          <w:lang w:val="ro-MD"/>
        </w:rPr>
      </w:pPr>
      <w:bookmarkStart w:id="4" w:name="_Toc68528079"/>
      <w:r w:rsidRPr="00641BC7">
        <w:rPr>
          <w:rFonts w:cstheme="majorHAnsi"/>
          <w:color w:val="auto"/>
          <w:szCs w:val="24"/>
          <w:lang w:val="ro-MD"/>
        </w:rPr>
        <w:t>SEMNĂTURILE ECHIPEI DE AUDIT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513"/>
        <w:gridCol w:w="272"/>
      </w:tblGrid>
      <w:tr w:rsidR="00B8482E" w:rsidRPr="00641BC7" w14:paraId="112A1C7F" w14:textId="77777777" w:rsidTr="00B8482E">
        <w:trPr>
          <w:trHeight w:val="327"/>
        </w:trPr>
        <w:tc>
          <w:tcPr>
            <w:tcW w:w="5215" w:type="dxa"/>
          </w:tcPr>
          <w:p w14:paraId="6E6FF23A" w14:textId="77289701" w:rsidR="00B8482E" w:rsidRPr="00641BC7" w:rsidRDefault="00B8482E" w:rsidP="00EA2FA6">
            <w:pPr>
              <w:spacing w:line="276" w:lineRule="auto"/>
              <w:jc w:val="both"/>
              <w:rPr>
                <w:rFonts w:asciiTheme="majorHAnsi" w:hAnsiTheme="majorHAnsi" w:cstheme="majorHAnsi"/>
                <w:sz w:val="24"/>
                <w:szCs w:val="24"/>
                <w:lang w:val="ro-MD"/>
              </w:rPr>
            </w:pPr>
            <w:r w:rsidRPr="00641BC7">
              <w:rPr>
                <w:rFonts w:asciiTheme="majorHAnsi" w:hAnsiTheme="majorHAnsi" w:cstheme="majorHAnsi"/>
                <w:b/>
                <w:sz w:val="24"/>
                <w:szCs w:val="24"/>
                <w:lang w:val="ro-MD"/>
              </w:rPr>
              <w:t xml:space="preserve">Șeful echipei de audit,                                        </w:t>
            </w:r>
            <w:r w:rsidRPr="00641BC7">
              <w:rPr>
                <w:rFonts w:asciiTheme="majorHAnsi" w:eastAsia="Times New Roman" w:hAnsiTheme="majorHAnsi" w:cstheme="majorHAnsi"/>
                <w:b/>
                <w:bCs/>
                <w:i/>
                <w:iCs/>
                <w:sz w:val="24"/>
                <w:szCs w:val="24"/>
                <w:lang w:val="ro-MD"/>
              </w:rPr>
              <w:t xml:space="preserve"> </w:t>
            </w:r>
          </w:p>
        </w:tc>
        <w:tc>
          <w:tcPr>
            <w:tcW w:w="3785" w:type="dxa"/>
            <w:gridSpan w:val="2"/>
          </w:tcPr>
          <w:p w14:paraId="57AC89AA" w14:textId="06548893" w:rsidR="00B8482E" w:rsidRPr="00641BC7" w:rsidRDefault="00FF67DF" w:rsidP="00EA2FA6">
            <w:pPr>
              <w:spacing w:line="276" w:lineRule="auto"/>
              <w:jc w:val="both"/>
              <w:rPr>
                <w:rFonts w:asciiTheme="majorHAnsi" w:hAnsiTheme="majorHAnsi" w:cstheme="majorHAnsi"/>
                <w:b/>
                <w:sz w:val="24"/>
                <w:szCs w:val="24"/>
                <w:lang w:val="ro-MD"/>
              </w:rPr>
            </w:pPr>
            <w:r w:rsidRPr="00641BC7">
              <w:rPr>
                <w:rFonts w:asciiTheme="majorHAnsi" w:eastAsia="Times New Roman" w:hAnsiTheme="majorHAnsi" w:cstheme="majorHAnsi"/>
                <w:b/>
                <w:bCs/>
                <w:iCs/>
                <w:sz w:val="24"/>
                <w:szCs w:val="24"/>
                <w:lang w:val="ro-MD"/>
              </w:rPr>
              <w:t>Elena COLIBĂ</w:t>
            </w:r>
          </w:p>
        </w:tc>
      </w:tr>
      <w:tr w:rsidR="00B8482E" w:rsidRPr="00641BC7" w14:paraId="2CD28922" w14:textId="77777777" w:rsidTr="00B8482E">
        <w:tc>
          <w:tcPr>
            <w:tcW w:w="5215" w:type="dxa"/>
          </w:tcPr>
          <w:p w14:paraId="1793F088" w14:textId="46F17E11" w:rsidR="00B8482E" w:rsidRPr="00641BC7" w:rsidRDefault="00B8482E" w:rsidP="00EA2FA6">
            <w:pPr>
              <w:spacing w:line="276" w:lineRule="auto"/>
              <w:jc w:val="both"/>
              <w:rPr>
                <w:rFonts w:asciiTheme="majorHAnsi" w:hAnsiTheme="majorHAnsi" w:cstheme="majorHAnsi"/>
                <w:sz w:val="24"/>
                <w:szCs w:val="24"/>
                <w:lang w:val="ro-MD"/>
              </w:rPr>
            </w:pPr>
          </w:p>
        </w:tc>
        <w:tc>
          <w:tcPr>
            <w:tcW w:w="3785" w:type="dxa"/>
            <w:gridSpan w:val="2"/>
          </w:tcPr>
          <w:p w14:paraId="217F5452" w14:textId="77777777" w:rsidR="00B8482E" w:rsidRPr="00641BC7" w:rsidRDefault="00B8482E" w:rsidP="00EA2FA6">
            <w:pPr>
              <w:spacing w:line="276" w:lineRule="auto"/>
              <w:jc w:val="both"/>
              <w:rPr>
                <w:rFonts w:asciiTheme="majorHAnsi" w:hAnsiTheme="majorHAnsi" w:cstheme="majorHAnsi"/>
                <w:b/>
                <w:sz w:val="24"/>
                <w:szCs w:val="24"/>
                <w:lang w:val="ro-MD"/>
              </w:rPr>
            </w:pPr>
          </w:p>
        </w:tc>
      </w:tr>
      <w:tr w:rsidR="00B8482E" w:rsidRPr="00641BC7" w14:paraId="38F3A726" w14:textId="77777777" w:rsidTr="00B8482E">
        <w:tc>
          <w:tcPr>
            <w:tcW w:w="5215" w:type="dxa"/>
          </w:tcPr>
          <w:p w14:paraId="45EB6C04" w14:textId="2DC784B4" w:rsidR="00B8482E" w:rsidRPr="00641BC7" w:rsidRDefault="00B8482E" w:rsidP="00EA2FA6">
            <w:pPr>
              <w:spacing w:before="240" w:line="276" w:lineRule="auto"/>
              <w:jc w:val="both"/>
              <w:rPr>
                <w:rFonts w:asciiTheme="majorHAnsi" w:eastAsia="Arial" w:hAnsiTheme="majorHAnsi" w:cstheme="majorHAnsi"/>
                <w:b/>
                <w:spacing w:val="1"/>
                <w:sz w:val="24"/>
                <w:szCs w:val="24"/>
                <w:lang w:val="ro-MD"/>
              </w:rPr>
            </w:pPr>
            <w:r w:rsidRPr="00641BC7">
              <w:rPr>
                <w:rFonts w:asciiTheme="majorHAnsi" w:eastAsia="Times New Roman" w:hAnsiTheme="majorHAnsi" w:cstheme="majorHAnsi"/>
                <w:b/>
                <w:iCs/>
                <w:sz w:val="24"/>
                <w:szCs w:val="24"/>
                <w:lang w:val="ro-MD"/>
              </w:rPr>
              <w:t>Responsabil de monitorizarea și asigurarea calității auditului</w:t>
            </w:r>
          </w:p>
        </w:tc>
        <w:tc>
          <w:tcPr>
            <w:tcW w:w="3785" w:type="dxa"/>
            <w:gridSpan w:val="2"/>
          </w:tcPr>
          <w:p w14:paraId="32A7EE5A" w14:textId="77777777" w:rsidR="00B8482E" w:rsidRPr="00641BC7" w:rsidRDefault="00B8482E" w:rsidP="00EA2FA6">
            <w:pPr>
              <w:spacing w:line="276" w:lineRule="auto"/>
              <w:jc w:val="both"/>
              <w:rPr>
                <w:rFonts w:asciiTheme="majorHAnsi" w:eastAsia="Times New Roman" w:hAnsiTheme="majorHAnsi" w:cstheme="majorHAnsi"/>
                <w:b/>
                <w:bCs/>
                <w:iCs/>
                <w:sz w:val="24"/>
                <w:szCs w:val="24"/>
                <w:lang w:val="ro-MD"/>
              </w:rPr>
            </w:pPr>
          </w:p>
          <w:p w14:paraId="739BBECD" w14:textId="02C3DF11" w:rsidR="00B8482E" w:rsidRPr="00641BC7" w:rsidRDefault="00B8482E" w:rsidP="00EA2FA6">
            <w:pPr>
              <w:spacing w:line="276" w:lineRule="auto"/>
              <w:jc w:val="both"/>
              <w:rPr>
                <w:rFonts w:asciiTheme="majorHAnsi" w:eastAsia="Arial" w:hAnsiTheme="majorHAnsi" w:cstheme="majorHAnsi"/>
                <w:b/>
                <w:spacing w:val="1"/>
                <w:sz w:val="24"/>
                <w:szCs w:val="24"/>
                <w:lang w:val="ro-MD"/>
              </w:rPr>
            </w:pPr>
          </w:p>
        </w:tc>
      </w:tr>
      <w:tr w:rsidR="00B8482E" w:rsidRPr="00641BC7" w14:paraId="17D9F623" w14:textId="77777777" w:rsidTr="00B8482E">
        <w:trPr>
          <w:gridAfter w:val="1"/>
          <w:wAfter w:w="272" w:type="dxa"/>
        </w:trPr>
        <w:tc>
          <w:tcPr>
            <w:tcW w:w="5215" w:type="dxa"/>
          </w:tcPr>
          <w:p w14:paraId="002EE812" w14:textId="5B6BE5C6" w:rsidR="00B8482E" w:rsidRPr="00641BC7" w:rsidRDefault="00B8482E" w:rsidP="00EA2FA6">
            <w:pPr>
              <w:spacing w:line="276" w:lineRule="auto"/>
              <w:jc w:val="both"/>
              <w:rPr>
                <w:rFonts w:asciiTheme="majorHAnsi" w:eastAsia="Times New Roman" w:hAnsiTheme="majorHAnsi" w:cstheme="majorHAnsi"/>
                <w:iCs/>
                <w:sz w:val="24"/>
                <w:szCs w:val="24"/>
                <w:lang w:val="ro-MD"/>
              </w:rPr>
            </w:pPr>
            <w:r w:rsidRPr="00641BC7">
              <w:rPr>
                <w:rFonts w:asciiTheme="majorHAnsi" w:eastAsia="Times New Roman" w:hAnsiTheme="majorHAnsi" w:cstheme="majorHAnsi"/>
                <w:bCs/>
                <w:sz w:val="24"/>
                <w:szCs w:val="24"/>
                <w:lang w:val="ro-MD"/>
              </w:rPr>
              <w:t>Șeful Direcției generale de audit V</w:t>
            </w:r>
            <w:r w:rsidR="003B11E1" w:rsidRPr="00641BC7">
              <w:rPr>
                <w:rFonts w:asciiTheme="majorHAnsi" w:eastAsia="Times New Roman" w:hAnsiTheme="majorHAnsi" w:cstheme="majorHAnsi"/>
                <w:bCs/>
                <w:sz w:val="24"/>
                <w:szCs w:val="24"/>
                <w:lang w:val="ro-MD"/>
              </w:rPr>
              <w:t xml:space="preserve">, </w:t>
            </w:r>
            <w:r w:rsidRPr="00641BC7">
              <w:rPr>
                <w:rFonts w:asciiTheme="majorHAnsi" w:eastAsia="Times New Roman" w:hAnsiTheme="majorHAnsi" w:cstheme="majorHAnsi"/>
                <w:b/>
                <w:bCs/>
                <w:sz w:val="24"/>
                <w:szCs w:val="24"/>
                <w:lang w:val="ro-MD"/>
              </w:rPr>
              <w:t xml:space="preserve">  </w:t>
            </w:r>
            <w:r w:rsidRPr="00641BC7">
              <w:rPr>
                <w:rFonts w:asciiTheme="majorHAnsi" w:eastAsia="Times New Roman" w:hAnsiTheme="majorHAnsi" w:cstheme="majorHAnsi"/>
                <w:sz w:val="24"/>
                <w:szCs w:val="24"/>
                <w:lang w:val="ro-MD"/>
              </w:rPr>
              <w:t xml:space="preserve">                                                                       </w:t>
            </w:r>
          </w:p>
        </w:tc>
        <w:tc>
          <w:tcPr>
            <w:tcW w:w="3513" w:type="dxa"/>
          </w:tcPr>
          <w:p w14:paraId="2289B463" w14:textId="04F00F36" w:rsidR="00B8482E" w:rsidRPr="00641BC7" w:rsidRDefault="003B11E1" w:rsidP="00EA2FA6">
            <w:pPr>
              <w:spacing w:line="276" w:lineRule="auto"/>
              <w:jc w:val="both"/>
              <w:rPr>
                <w:rFonts w:asciiTheme="majorHAnsi" w:eastAsia="Times New Roman" w:hAnsiTheme="majorHAnsi" w:cstheme="majorHAnsi"/>
                <w:b/>
                <w:bCs/>
                <w:i/>
                <w:iCs/>
                <w:sz w:val="24"/>
                <w:szCs w:val="24"/>
                <w:lang w:val="ro-MD"/>
              </w:rPr>
            </w:pPr>
            <w:r w:rsidRPr="00641BC7">
              <w:rPr>
                <w:rFonts w:asciiTheme="majorHAnsi" w:eastAsia="Times New Roman" w:hAnsiTheme="majorHAnsi" w:cstheme="majorHAnsi"/>
                <w:b/>
                <w:bCs/>
                <w:iCs/>
                <w:sz w:val="24"/>
                <w:szCs w:val="24"/>
                <w:lang w:val="ro-MD"/>
              </w:rPr>
              <w:t>Sergiu ȘTIRBU</w:t>
            </w:r>
          </w:p>
        </w:tc>
      </w:tr>
    </w:tbl>
    <w:p w14:paraId="2153BDC6" w14:textId="77777777" w:rsidR="00B8482E" w:rsidRPr="00641BC7" w:rsidRDefault="00B8482E" w:rsidP="00EA2FA6">
      <w:pPr>
        <w:spacing w:line="276" w:lineRule="auto"/>
        <w:jc w:val="both"/>
        <w:rPr>
          <w:rFonts w:asciiTheme="majorHAnsi" w:hAnsiTheme="majorHAnsi" w:cstheme="majorHAnsi"/>
          <w:sz w:val="24"/>
          <w:szCs w:val="24"/>
          <w:lang w:val="ro-MD"/>
        </w:rPr>
      </w:pPr>
    </w:p>
    <w:sectPr w:rsidR="00B8482E" w:rsidRPr="00641BC7" w:rsidSect="00CB305A">
      <w:pgSz w:w="11907" w:h="16840" w:code="9"/>
      <w:pgMar w:top="851" w:right="851" w:bottom="851" w:left="1701" w:header="70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10BA0" w14:textId="77777777" w:rsidR="007505F0" w:rsidRDefault="007505F0" w:rsidP="002A7174">
      <w:pPr>
        <w:spacing w:after="0" w:line="240" w:lineRule="auto"/>
      </w:pPr>
      <w:r>
        <w:separator/>
      </w:r>
    </w:p>
  </w:endnote>
  <w:endnote w:type="continuationSeparator" w:id="0">
    <w:p w14:paraId="1408C846" w14:textId="77777777" w:rsidR="007505F0" w:rsidRDefault="007505F0" w:rsidP="002A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62313"/>
      <w:docPartObj>
        <w:docPartGallery w:val="Page Numbers (Bottom of Page)"/>
        <w:docPartUnique/>
      </w:docPartObj>
    </w:sdtPr>
    <w:sdtEndPr>
      <w:rPr>
        <w:noProof/>
      </w:rPr>
    </w:sdtEndPr>
    <w:sdtContent>
      <w:p w14:paraId="15FECA88" w14:textId="0B7B8D52" w:rsidR="001A7114" w:rsidRDefault="001A7114">
        <w:pPr>
          <w:pStyle w:val="Footer"/>
          <w:jc w:val="right"/>
        </w:pPr>
        <w:r>
          <w:fldChar w:fldCharType="begin"/>
        </w:r>
        <w:r>
          <w:instrText xml:space="preserve"> PAGE   \* MERGEFORMAT </w:instrText>
        </w:r>
        <w:r>
          <w:fldChar w:fldCharType="separate"/>
        </w:r>
        <w:r w:rsidR="0000785A">
          <w:rPr>
            <w:noProof/>
          </w:rPr>
          <w:t>1</w:t>
        </w:r>
        <w:r>
          <w:rPr>
            <w:noProof/>
          </w:rPr>
          <w:fldChar w:fldCharType="end"/>
        </w:r>
      </w:p>
    </w:sdtContent>
  </w:sdt>
  <w:p w14:paraId="6AAC70BC" w14:textId="77777777" w:rsidR="002A7174" w:rsidRDefault="002A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CD16" w14:textId="77777777" w:rsidR="007505F0" w:rsidRDefault="007505F0" w:rsidP="002A7174">
      <w:pPr>
        <w:spacing w:after="0" w:line="240" w:lineRule="auto"/>
      </w:pPr>
      <w:r>
        <w:separator/>
      </w:r>
    </w:p>
  </w:footnote>
  <w:footnote w:type="continuationSeparator" w:id="0">
    <w:p w14:paraId="3E84F164" w14:textId="77777777" w:rsidR="007505F0" w:rsidRDefault="007505F0" w:rsidP="002A7174">
      <w:pPr>
        <w:spacing w:after="0" w:line="240" w:lineRule="auto"/>
      </w:pPr>
      <w:r>
        <w:continuationSeparator/>
      </w:r>
    </w:p>
  </w:footnote>
  <w:footnote w:id="1">
    <w:p w14:paraId="2E406D77" w14:textId="5C85D648" w:rsidR="002A7174" w:rsidRPr="00641BC7" w:rsidRDefault="002A7174" w:rsidP="002B7680">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Legea contabilită</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ii nr.</w:t>
      </w:r>
      <w:r w:rsidRPr="00641BC7">
        <w:rPr>
          <w:rFonts w:asciiTheme="majorHAnsi" w:eastAsia="Times New Roman" w:hAnsiTheme="majorHAnsi" w:cstheme="majorHAnsi"/>
          <w:sz w:val="16"/>
          <w:szCs w:val="16"/>
          <w:lang w:val="ro-MD"/>
        </w:rPr>
        <w:t>113 din 27.04.2007;</w:t>
      </w:r>
      <w:r w:rsidRPr="00641BC7">
        <w:rPr>
          <w:rFonts w:asciiTheme="majorHAnsi" w:hAnsiTheme="majorHAnsi" w:cstheme="majorHAnsi"/>
          <w:sz w:val="16"/>
          <w:szCs w:val="16"/>
          <w:lang w:val="ro-MD"/>
        </w:rPr>
        <w:t xml:space="preserve"> </w:t>
      </w:r>
      <w:r w:rsidRPr="00641BC7">
        <w:rPr>
          <w:rFonts w:asciiTheme="majorHAnsi" w:eastAsia="Times New Roman" w:hAnsiTheme="majorHAnsi" w:cstheme="majorHAnsi"/>
          <w:sz w:val="16"/>
          <w:szCs w:val="16"/>
          <w:lang w:val="ro-MD"/>
        </w:rPr>
        <w:t xml:space="preserve">Planul de conturi contabile în sistemul bugetar </w:t>
      </w:r>
      <w:r w:rsidR="0068375E" w:rsidRPr="00641BC7">
        <w:rPr>
          <w:rFonts w:asciiTheme="majorHAnsi" w:eastAsia="Times New Roman" w:hAnsiTheme="majorHAnsi" w:cstheme="majorHAnsi"/>
          <w:sz w:val="16"/>
          <w:szCs w:val="16"/>
          <w:lang w:val="ro-MD"/>
        </w:rPr>
        <w:t>ș</w:t>
      </w:r>
      <w:r w:rsidRPr="00641BC7">
        <w:rPr>
          <w:rFonts w:asciiTheme="majorHAnsi" w:eastAsia="Times New Roman" w:hAnsiTheme="majorHAnsi" w:cstheme="majorHAnsi"/>
          <w:sz w:val="16"/>
          <w:szCs w:val="16"/>
          <w:lang w:val="ro-MD"/>
        </w:rPr>
        <w:t>i Normele metodologice privind eviden</w:t>
      </w:r>
      <w:r w:rsidR="0068375E" w:rsidRPr="00641BC7">
        <w:rPr>
          <w:rFonts w:asciiTheme="majorHAnsi" w:eastAsia="Times New Roman" w:hAnsiTheme="majorHAnsi" w:cstheme="majorHAnsi"/>
          <w:sz w:val="16"/>
          <w:szCs w:val="16"/>
          <w:lang w:val="ro-MD"/>
        </w:rPr>
        <w:t>ț</w:t>
      </w:r>
      <w:r w:rsidRPr="00641BC7">
        <w:rPr>
          <w:rFonts w:asciiTheme="majorHAnsi" w:eastAsia="Times New Roman" w:hAnsiTheme="majorHAnsi" w:cstheme="majorHAnsi"/>
          <w:sz w:val="16"/>
          <w:szCs w:val="16"/>
          <w:lang w:val="ro-MD"/>
        </w:rPr>
        <w:t xml:space="preserve">a contabilă </w:t>
      </w:r>
      <w:r w:rsidR="0068375E" w:rsidRPr="00641BC7">
        <w:rPr>
          <w:rFonts w:asciiTheme="majorHAnsi" w:eastAsia="Times New Roman" w:hAnsiTheme="majorHAnsi" w:cstheme="majorHAnsi"/>
          <w:sz w:val="16"/>
          <w:szCs w:val="16"/>
          <w:lang w:val="ro-MD"/>
        </w:rPr>
        <w:t>ș</w:t>
      </w:r>
      <w:r w:rsidRPr="00641BC7">
        <w:rPr>
          <w:rFonts w:asciiTheme="majorHAnsi" w:eastAsia="Times New Roman" w:hAnsiTheme="majorHAnsi" w:cstheme="majorHAnsi"/>
          <w:sz w:val="16"/>
          <w:szCs w:val="16"/>
          <w:lang w:val="ro-MD"/>
        </w:rPr>
        <w:t xml:space="preserve">i raportarea financiară în sistemul bugetar, aprobate prin Ordinul ministrului </w:t>
      </w:r>
      <w:r w:rsidR="005954CC" w:rsidRPr="00641BC7">
        <w:rPr>
          <w:rFonts w:asciiTheme="majorHAnsi" w:eastAsia="Times New Roman" w:hAnsiTheme="majorHAnsi" w:cstheme="majorHAnsi"/>
          <w:sz w:val="16"/>
          <w:szCs w:val="16"/>
          <w:lang w:val="ro-MD"/>
        </w:rPr>
        <w:t>F</w:t>
      </w:r>
      <w:r w:rsidRPr="00641BC7">
        <w:rPr>
          <w:rFonts w:asciiTheme="majorHAnsi" w:eastAsia="Times New Roman" w:hAnsiTheme="majorHAnsi" w:cstheme="majorHAnsi"/>
          <w:sz w:val="16"/>
          <w:szCs w:val="16"/>
          <w:lang w:val="ro-MD"/>
        </w:rPr>
        <w:t>inan</w:t>
      </w:r>
      <w:r w:rsidR="0068375E" w:rsidRPr="00641BC7">
        <w:rPr>
          <w:rFonts w:asciiTheme="majorHAnsi" w:eastAsia="Times New Roman" w:hAnsiTheme="majorHAnsi" w:cstheme="majorHAnsi"/>
          <w:sz w:val="16"/>
          <w:szCs w:val="16"/>
          <w:lang w:val="ro-MD"/>
        </w:rPr>
        <w:t>ț</w:t>
      </w:r>
      <w:r w:rsidRPr="00641BC7">
        <w:rPr>
          <w:rFonts w:asciiTheme="majorHAnsi" w:eastAsia="Times New Roman" w:hAnsiTheme="majorHAnsi" w:cstheme="majorHAnsi"/>
          <w:sz w:val="16"/>
          <w:szCs w:val="16"/>
          <w:lang w:val="ro-MD"/>
        </w:rPr>
        <w:t xml:space="preserve">elor nr.216 din 28.12.2015; Ordinul ministrului </w:t>
      </w:r>
      <w:r w:rsidR="005954CC" w:rsidRPr="00641BC7">
        <w:rPr>
          <w:rFonts w:asciiTheme="majorHAnsi" w:eastAsia="Times New Roman" w:hAnsiTheme="majorHAnsi" w:cstheme="majorHAnsi"/>
          <w:sz w:val="16"/>
          <w:szCs w:val="16"/>
          <w:lang w:val="ro-MD"/>
        </w:rPr>
        <w:t>F</w:t>
      </w:r>
      <w:r w:rsidRPr="00641BC7">
        <w:rPr>
          <w:rFonts w:asciiTheme="majorHAnsi" w:eastAsia="Times New Roman" w:hAnsiTheme="majorHAnsi" w:cstheme="majorHAnsi"/>
          <w:sz w:val="16"/>
          <w:szCs w:val="16"/>
          <w:lang w:val="ro-MD"/>
        </w:rPr>
        <w:t>inan</w:t>
      </w:r>
      <w:r w:rsidR="0068375E" w:rsidRPr="00641BC7">
        <w:rPr>
          <w:rFonts w:asciiTheme="majorHAnsi" w:eastAsia="Times New Roman" w:hAnsiTheme="majorHAnsi" w:cstheme="majorHAnsi"/>
          <w:sz w:val="16"/>
          <w:szCs w:val="16"/>
          <w:lang w:val="ro-MD"/>
        </w:rPr>
        <w:t>ț</w:t>
      </w:r>
      <w:r w:rsidRPr="00641BC7">
        <w:rPr>
          <w:rFonts w:asciiTheme="majorHAnsi" w:eastAsia="Times New Roman" w:hAnsiTheme="majorHAnsi" w:cstheme="majorHAnsi"/>
          <w:sz w:val="16"/>
          <w:szCs w:val="16"/>
          <w:lang w:val="ro-MD"/>
        </w:rPr>
        <w:t>elor nr.164 din 30.12.2016 „Cu privire la aprobarea Cerin</w:t>
      </w:r>
      <w:r w:rsidR="0068375E" w:rsidRPr="00641BC7">
        <w:rPr>
          <w:rFonts w:asciiTheme="majorHAnsi" w:eastAsia="Times New Roman" w:hAnsiTheme="majorHAnsi" w:cstheme="majorHAnsi"/>
          <w:sz w:val="16"/>
          <w:szCs w:val="16"/>
          <w:lang w:val="ro-MD"/>
        </w:rPr>
        <w:t>ț</w:t>
      </w:r>
      <w:r w:rsidRPr="00641BC7">
        <w:rPr>
          <w:rFonts w:asciiTheme="majorHAnsi" w:eastAsia="Times New Roman" w:hAnsiTheme="majorHAnsi" w:cstheme="majorHAnsi"/>
          <w:sz w:val="16"/>
          <w:szCs w:val="16"/>
          <w:lang w:val="ro-MD"/>
        </w:rPr>
        <w:t>elor la întocmirea Raportului narativ privind executarea bugetelor autorită</w:t>
      </w:r>
      <w:r w:rsidR="0068375E" w:rsidRPr="00641BC7">
        <w:rPr>
          <w:rFonts w:asciiTheme="majorHAnsi" w:eastAsia="Times New Roman" w:hAnsiTheme="majorHAnsi" w:cstheme="majorHAnsi"/>
          <w:sz w:val="16"/>
          <w:szCs w:val="16"/>
          <w:lang w:val="ro-MD"/>
        </w:rPr>
        <w:t>ț</w:t>
      </w:r>
      <w:r w:rsidRPr="00641BC7">
        <w:rPr>
          <w:rFonts w:asciiTheme="majorHAnsi" w:eastAsia="Times New Roman" w:hAnsiTheme="majorHAnsi" w:cstheme="majorHAnsi"/>
          <w:sz w:val="16"/>
          <w:szCs w:val="16"/>
          <w:lang w:val="ro-MD"/>
        </w:rPr>
        <w:t>ilor/institu</w:t>
      </w:r>
      <w:r w:rsidR="0068375E" w:rsidRPr="00641BC7">
        <w:rPr>
          <w:rFonts w:asciiTheme="majorHAnsi" w:eastAsia="Times New Roman" w:hAnsiTheme="majorHAnsi" w:cstheme="majorHAnsi"/>
          <w:sz w:val="16"/>
          <w:szCs w:val="16"/>
          <w:lang w:val="ro-MD"/>
        </w:rPr>
        <w:t>ț</w:t>
      </w:r>
      <w:r w:rsidRPr="00641BC7">
        <w:rPr>
          <w:rFonts w:asciiTheme="majorHAnsi" w:eastAsia="Times New Roman" w:hAnsiTheme="majorHAnsi" w:cstheme="majorHAnsi"/>
          <w:sz w:val="16"/>
          <w:szCs w:val="16"/>
          <w:lang w:val="ro-MD"/>
        </w:rPr>
        <w:t>iilor bugetare”.</w:t>
      </w:r>
    </w:p>
  </w:footnote>
  <w:footnote w:id="2">
    <w:p w14:paraId="648E35F6" w14:textId="50167406" w:rsidR="00E0512F" w:rsidRPr="00641BC7" w:rsidRDefault="00E0512F" w:rsidP="002B7680">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C</w:t>
      </w:r>
      <w:r w:rsidRPr="00641BC7">
        <w:rPr>
          <w:rFonts w:asciiTheme="majorHAnsi" w:eastAsia="Times New Roman" w:hAnsiTheme="majorHAnsi" w:cstheme="majorHAnsi"/>
          <w:sz w:val="16"/>
          <w:szCs w:val="16"/>
          <w:lang w:val="ro-MD"/>
        </w:rPr>
        <w:t>l</w:t>
      </w:r>
      <w:r w:rsidR="009F79B6" w:rsidRPr="00641BC7">
        <w:rPr>
          <w:rFonts w:asciiTheme="majorHAnsi" w:eastAsia="Times New Roman" w:hAnsiTheme="majorHAnsi" w:cstheme="majorHAnsi"/>
          <w:sz w:val="16"/>
          <w:szCs w:val="16"/>
          <w:lang w:val="ro-MD"/>
        </w:rPr>
        <w:t>ă</w:t>
      </w:r>
      <w:r w:rsidRPr="00641BC7">
        <w:rPr>
          <w:rFonts w:asciiTheme="majorHAnsi" w:eastAsia="Times New Roman" w:hAnsiTheme="majorHAnsi" w:cstheme="majorHAnsi"/>
          <w:sz w:val="16"/>
          <w:szCs w:val="16"/>
          <w:lang w:val="ro-MD"/>
        </w:rPr>
        <w:t>direa casei comunitare transmis</w:t>
      </w:r>
      <w:r w:rsidR="009F79B6" w:rsidRPr="00641BC7">
        <w:rPr>
          <w:rFonts w:asciiTheme="majorHAnsi" w:eastAsia="Times New Roman" w:hAnsiTheme="majorHAnsi" w:cstheme="majorHAnsi"/>
          <w:sz w:val="16"/>
          <w:szCs w:val="16"/>
          <w:lang w:val="ro-MD"/>
        </w:rPr>
        <w:t>ă</w:t>
      </w:r>
      <w:r w:rsidRPr="00641BC7">
        <w:rPr>
          <w:rFonts w:asciiTheme="majorHAnsi" w:eastAsia="Times New Roman" w:hAnsiTheme="majorHAnsi" w:cstheme="majorHAnsi"/>
          <w:sz w:val="16"/>
          <w:szCs w:val="16"/>
          <w:lang w:val="ro-MD"/>
        </w:rPr>
        <w:t xml:space="preserve"> </w:t>
      </w:r>
      <w:r w:rsidR="009F79B6" w:rsidRPr="00641BC7">
        <w:rPr>
          <w:rFonts w:asciiTheme="majorHAnsi" w:eastAsia="Times New Roman" w:hAnsiTheme="majorHAnsi" w:cstheme="majorHAnsi"/>
          <w:sz w:val="16"/>
          <w:szCs w:val="16"/>
          <w:lang w:val="ro-MD"/>
        </w:rPr>
        <w:t xml:space="preserve">în comodat </w:t>
      </w:r>
      <w:r w:rsidRPr="00641BC7">
        <w:rPr>
          <w:rFonts w:asciiTheme="majorHAnsi" w:eastAsia="Times New Roman" w:hAnsiTheme="majorHAnsi" w:cstheme="majorHAnsi"/>
          <w:sz w:val="16"/>
          <w:szCs w:val="16"/>
          <w:lang w:val="ro-MD"/>
        </w:rPr>
        <w:t xml:space="preserve">Direcției Asistență Socială și Protecție a Familiei de către Asociația </w:t>
      </w:r>
      <w:r w:rsidR="009F79B6" w:rsidRPr="00641BC7">
        <w:rPr>
          <w:rFonts w:asciiTheme="majorHAnsi" w:eastAsia="Times New Roman" w:hAnsiTheme="majorHAnsi" w:cstheme="majorHAnsi"/>
          <w:sz w:val="16"/>
          <w:szCs w:val="16"/>
          <w:lang w:val="ro-MD"/>
        </w:rPr>
        <w:t>O</w:t>
      </w:r>
      <w:r w:rsidRPr="00641BC7">
        <w:rPr>
          <w:rFonts w:asciiTheme="majorHAnsi" w:eastAsia="Times New Roman" w:hAnsiTheme="majorHAnsi" w:cstheme="majorHAnsi"/>
          <w:sz w:val="16"/>
          <w:szCs w:val="16"/>
          <w:lang w:val="ro-MD"/>
        </w:rPr>
        <w:t xml:space="preserve">bștească „Keystone Human Services International Moldova Association” în baza </w:t>
      </w:r>
      <w:r w:rsidR="009F79B6" w:rsidRPr="00641BC7">
        <w:rPr>
          <w:rFonts w:asciiTheme="majorHAnsi" w:eastAsia="Times New Roman" w:hAnsiTheme="majorHAnsi" w:cstheme="majorHAnsi"/>
          <w:sz w:val="16"/>
          <w:szCs w:val="16"/>
          <w:lang w:val="ro-MD"/>
        </w:rPr>
        <w:t>C</w:t>
      </w:r>
      <w:r w:rsidRPr="00641BC7">
        <w:rPr>
          <w:rFonts w:asciiTheme="majorHAnsi" w:eastAsia="Times New Roman" w:hAnsiTheme="majorHAnsi" w:cstheme="majorHAnsi"/>
          <w:sz w:val="16"/>
          <w:szCs w:val="16"/>
          <w:lang w:val="ro-MD"/>
        </w:rPr>
        <w:t>ontractului nr.</w:t>
      </w:r>
      <w:r w:rsidR="00BD284A" w:rsidRPr="00641BC7">
        <w:rPr>
          <w:rFonts w:asciiTheme="majorHAnsi" w:eastAsia="Times New Roman" w:hAnsiTheme="majorHAnsi" w:cstheme="majorHAnsi"/>
          <w:sz w:val="16"/>
          <w:szCs w:val="16"/>
          <w:lang w:val="ro-MD"/>
        </w:rPr>
        <w:t>0</w:t>
      </w:r>
      <w:r w:rsidRPr="00641BC7">
        <w:rPr>
          <w:rFonts w:asciiTheme="majorHAnsi" w:eastAsia="Times New Roman" w:hAnsiTheme="majorHAnsi" w:cstheme="majorHAnsi"/>
          <w:sz w:val="16"/>
          <w:szCs w:val="16"/>
          <w:lang w:val="ro-MD"/>
        </w:rPr>
        <w:t>3 din 30.01.2014 și actul</w:t>
      </w:r>
      <w:r w:rsidR="009F79B6" w:rsidRPr="00641BC7">
        <w:rPr>
          <w:rFonts w:asciiTheme="majorHAnsi" w:eastAsia="Times New Roman" w:hAnsiTheme="majorHAnsi" w:cstheme="majorHAnsi"/>
          <w:sz w:val="16"/>
          <w:szCs w:val="16"/>
          <w:lang w:val="ro-MD"/>
        </w:rPr>
        <w:t>ui</w:t>
      </w:r>
      <w:r w:rsidRPr="00641BC7">
        <w:rPr>
          <w:rFonts w:asciiTheme="majorHAnsi" w:eastAsia="Times New Roman" w:hAnsiTheme="majorHAnsi" w:cstheme="majorHAnsi"/>
          <w:sz w:val="16"/>
          <w:szCs w:val="16"/>
          <w:lang w:val="ro-MD"/>
        </w:rPr>
        <w:t xml:space="preserve"> de transmitere în sumă de 1</w:t>
      </w:r>
      <w:r w:rsidR="00E10C00" w:rsidRPr="00641BC7">
        <w:rPr>
          <w:rFonts w:asciiTheme="majorHAnsi" w:eastAsia="Times New Roman" w:hAnsiTheme="majorHAnsi" w:cstheme="majorHAnsi"/>
          <w:sz w:val="16"/>
          <w:szCs w:val="16"/>
          <w:lang w:val="ro-MD"/>
        </w:rPr>
        <w:t xml:space="preserve"> </w:t>
      </w:r>
      <w:r w:rsidRPr="00641BC7">
        <w:rPr>
          <w:rFonts w:asciiTheme="majorHAnsi" w:eastAsia="Times New Roman" w:hAnsiTheme="majorHAnsi" w:cstheme="majorHAnsi"/>
          <w:sz w:val="16"/>
          <w:szCs w:val="16"/>
          <w:lang w:val="ro-MD"/>
        </w:rPr>
        <w:t>096,3 mii lei și lucrări</w:t>
      </w:r>
      <w:r w:rsidR="009F79B6" w:rsidRPr="00641BC7">
        <w:rPr>
          <w:rFonts w:asciiTheme="majorHAnsi" w:eastAsia="Times New Roman" w:hAnsiTheme="majorHAnsi" w:cstheme="majorHAnsi"/>
          <w:sz w:val="16"/>
          <w:szCs w:val="16"/>
          <w:lang w:val="ro-MD"/>
        </w:rPr>
        <w:t>le</w:t>
      </w:r>
      <w:r w:rsidRPr="00641BC7">
        <w:rPr>
          <w:rFonts w:asciiTheme="majorHAnsi" w:eastAsia="Times New Roman" w:hAnsiTheme="majorHAnsi" w:cstheme="majorHAnsi"/>
          <w:sz w:val="16"/>
          <w:szCs w:val="16"/>
          <w:lang w:val="ro-MD"/>
        </w:rPr>
        <w:t xml:space="preserve"> capitale efectuate de instituție </w:t>
      </w:r>
      <w:r w:rsidR="009F79B6" w:rsidRPr="00641BC7">
        <w:rPr>
          <w:rFonts w:asciiTheme="majorHAnsi" w:eastAsia="Times New Roman" w:hAnsiTheme="majorHAnsi" w:cstheme="majorHAnsi"/>
          <w:sz w:val="16"/>
          <w:szCs w:val="16"/>
          <w:lang w:val="ro-MD"/>
        </w:rPr>
        <w:t xml:space="preserve">în valoare </w:t>
      </w:r>
      <w:r w:rsidRPr="00641BC7">
        <w:rPr>
          <w:rFonts w:asciiTheme="majorHAnsi" w:eastAsia="Times New Roman" w:hAnsiTheme="majorHAnsi" w:cstheme="majorHAnsi"/>
          <w:sz w:val="16"/>
          <w:szCs w:val="16"/>
          <w:lang w:val="ro-MD"/>
        </w:rPr>
        <w:t>de 73,7 mii lei.</w:t>
      </w:r>
    </w:p>
  </w:footnote>
  <w:footnote w:id="3">
    <w:p w14:paraId="7B5D95CA" w14:textId="06744639" w:rsidR="009905FB" w:rsidRPr="00641BC7" w:rsidRDefault="009905FB" w:rsidP="002B7680">
      <w:pPr>
        <w:spacing w:after="0" w:line="240" w:lineRule="auto"/>
        <w:ind w:right="-31"/>
        <w:jc w:val="both"/>
        <w:rPr>
          <w:rFonts w:asciiTheme="majorHAnsi" w:eastAsia="Calibr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Suma de </w:t>
      </w:r>
      <w:r w:rsidR="00F453A9" w:rsidRPr="00641BC7">
        <w:rPr>
          <w:rFonts w:asciiTheme="majorHAnsi" w:eastAsia="Calibri" w:hAnsiTheme="majorHAnsi" w:cstheme="majorHAnsi"/>
          <w:sz w:val="16"/>
          <w:szCs w:val="16"/>
          <w:lang w:val="ro-MD"/>
        </w:rPr>
        <w:t>26</w:t>
      </w:r>
      <w:r w:rsidR="00E10C00" w:rsidRPr="00641BC7">
        <w:rPr>
          <w:rFonts w:asciiTheme="majorHAnsi" w:eastAsia="Calibri" w:hAnsiTheme="majorHAnsi" w:cstheme="majorHAnsi"/>
          <w:sz w:val="16"/>
          <w:szCs w:val="16"/>
          <w:lang w:val="ro-MD"/>
        </w:rPr>
        <w:t xml:space="preserve"> </w:t>
      </w:r>
      <w:r w:rsidR="00F453A9" w:rsidRPr="00641BC7">
        <w:rPr>
          <w:rFonts w:asciiTheme="majorHAnsi" w:eastAsia="Calibri" w:hAnsiTheme="majorHAnsi" w:cstheme="majorHAnsi"/>
          <w:sz w:val="16"/>
          <w:szCs w:val="16"/>
          <w:lang w:val="ro-MD"/>
        </w:rPr>
        <w:t>360,8 mii lei</w:t>
      </w:r>
      <w:r w:rsidR="00F453A9" w:rsidRPr="00641BC7">
        <w:rPr>
          <w:rFonts w:asciiTheme="majorHAnsi" w:hAnsiTheme="majorHAnsi" w:cstheme="majorHAnsi"/>
          <w:sz w:val="16"/>
          <w:szCs w:val="16"/>
          <w:lang w:val="ro-MD"/>
        </w:rPr>
        <w:t xml:space="preserve"> </w:t>
      </w:r>
      <w:r w:rsidR="00E10C00" w:rsidRPr="00641BC7">
        <w:rPr>
          <w:rFonts w:asciiTheme="majorHAnsi" w:hAnsiTheme="majorHAnsi" w:cstheme="majorHAnsi"/>
          <w:sz w:val="16"/>
          <w:szCs w:val="16"/>
          <w:lang w:val="ro-MD"/>
        </w:rPr>
        <w:t>(6 960,8+19 400)</w:t>
      </w:r>
      <w:r w:rsidRPr="00641BC7">
        <w:rPr>
          <w:rFonts w:asciiTheme="majorHAnsi" w:hAnsiTheme="majorHAnsi" w:cstheme="majorHAnsi"/>
          <w:sz w:val="16"/>
          <w:szCs w:val="16"/>
          <w:lang w:val="ro-MD"/>
        </w:rPr>
        <w:t xml:space="preserve"> transferată drept </w:t>
      </w:r>
      <w:r w:rsidRPr="00641BC7">
        <w:rPr>
          <w:rFonts w:asciiTheme="majorHAnsi" w:eastAsia="Calibri" w:hAnsiTheme="majorHAnsi" w:cstheme="majorHAnsi"/>
          <w:sz w:val="16"/>
          <w:szCs w:val="16"/>
          <w:lang w:val="ro-MD"/>
        </w:rPr>
        <w:t xml:space="preserve">contribuție financiară din partea </w:t>
      </w:r>
      <w:r w:rsidR="00F453A9" w:rsidRPr="00641BC7">
        <w:rPr>
          <w:rFonts w:asciiTheme="majorHAnsi" w:eastAsia="Calibri" w:hAnsiTheme="majorHAnsi" w:cstheme="majorHAnsi"/>
          <w:sz w:val="16"/>
          <w:szCs w:val="16"/>
          <w:lang w:val="ro-MD"/>
        </w:rPr>
        <w:t>CR Nisporeni</w:t>
      </w:r>
      <w:r w:rsidRPr="00641BC7">
        <w:rPr>
          <w:rFonts w:asciiTheme="majorHAnsi" w:eastAsia="Calibri" w:hAnsiTheme="majorHAnsi" w:cstheme="majorHAnsi"/>
          <w:sz w:val="16"/>
          <w:szCs w:val="16"/>
          <w:lang w:val="ro-MD"/>
        </w:rPr>
        <w:t xml:space="preserve"> </w:t>
      </w:r>
      <w:r w:rsidR="00F453A9" w:rsidRPr="00641BC7">
        <w:rPr>
          <w:rFonts w:asciiTheme="majorHAnsi" w:eastAsia="Calibri" w:hAnsiTheme="majorHAnsi" w:cstheme="majorHAnsi"/>
          <w:sz w:val="16"/>
          <w:szCs w:val="16"/>
          <w:lang w:val="ro-MD"/>
        </w:rPr>
        <w:t xml:space="preserve">la implementarea proiectului „Îmbunătățirea infrastructurii de turism de masă din regiunea Centru” </w:t>
      </w:r>
      <w:r w:rsidRPr="00641BC7">
        <w:rPr>
          <w:rFonts w:asciiTheme="majorHAnsi" w:eastAsia="Calibri" w:hAnsiTheme="majorHAnsi" w:cstheme="majorHAnsi"/>
          <w:sz w:val="16"/>
          <w:szCs w:val="16"/>
          <w:lang w:val="ro-MD"/>
        </w:rPr>
        <w:t xml:space="preserve">către </w:t>
      </w:r>
      <w:r w:rsidR="00F453A9" w:rsidRPr="00641BC7">
        <w:rPr>
          <w:rFonts w:asciiTheme="majorHAnsi" w:eastAsia="Calibri" w:hAnsiTheme="majorHAnsi" w:cstheme="majorHAnsi"/>
          <w:sz w:val="16"/>
          <w:szCs w:val="16"/>
          <w:lang w:val="ro-MD"/>
        </w:rPr>
        <w:t xml:space="preserve">Agenția de </w:t>
      </w:r>
      <w:r w:rsidR="00324484" w:rsidRPr="00641BC7">
        <w:rPr>
          <w:rFonts w:asciiTheme="majorHAnsi" w:eastAsia="Calibri" w:hAnsiTheme="majorHAnsi" w:cstheme="majorHAnsi"/>
          <w:sz w:val="16"/>
          <w:szCs w:val="16"/>
          <w:lang w:val="ro-MD"/>
        </w:rPr>
        <w:t>D</w:t>
      </w:r>
      <w:r w:rsidR="00F453A9" w:rsidRPr="00641BC7">
        <w:rPr>
          <w:rFonts w:asciiTheme="majorHAnsi" w:eastAsia="Calibri" w:hAnsiTheme="majorHAnsi" w:cstheme="majorHAnsi"/>
          <w:sz w:val="16"/>
          <w:szCs w:val="16"/>
          <w:lang w:val="ro-MD"/>
        </w:rPr>
        <w:t xml:space="preserve">ezvoltare Regională </w:t>
      </w:r>
      <w:r w:rsidR="00324484" w:rsidRPr="00641BC7">
        <w:rPr>
          <w:rFonts w:asciiTheme="majorHAnsi" w:eastAsia="Calibri" w:hAnsiTheme="majorHAnsi" w:cstheme="majorHAnsi"/>
          <w:sz w:val="16"/>
          <w:szCs w:val="16"/>
          <w:lang w:val="ro-MD"/>
        </w:rPr>
        <w:t xml:space="preserve">Centru </w:t>
      </w:r>
      <w:r w:rsidRPr="00641BC7">
        <w:rPr>
          <w:rFonts w:asciiTheme="majorHAnsi" w:eastAsia="Calibri" w:hAnsiTheme="majorHAnsi" w:cstheme="majorHAnsi"/>
          <w:sz w:val="16"/>
          <w:szCs w:val="16"/>
          <w:lang w:val="ro-MD"/>
        </w:rPr>
        <w:t>pentru lucrări</w:t>
      </w:r>
      <w:r w:rsidR="009F79B6" w:rsidRPr="00641BC7">
        <w:rPr>
          <w:rFonts w:asciiTheme="majorHAnsi" w:eastAsia="Calibri" w:hAnsiTheme="majorHAnsi" w:cstheme="majorHAnsi"/>
          <w:sz w:val="16"/>
          <w:szCs w:val="16"/>
          <w:lang w:val="ro-MD"/>
        </w:rPr>
        <w:t>le</w:t>
      </w:r>
      <w:r w:rsidRPr="00641BC7">
        <w:rPr>
          <w:rFonts w:asciiTheme="majorHAnsi" w:eastAsia="Calibri" w:hAnsiTheme="majorHAnsi" w:cstheme="majorHAnsi"/>
          <w:sz w:val="16"/>
          <w:szCs w:val="16"/>
          <w:lang w:val="ro-MD"/>
        </w:rPr>
        <w:t xml:space="preserve"> </w:t>
      </w:r>
      <w:r w:rsidR="00F453A9" w:rsidRPr="00641BC7">
        <w:rPr>
          <w:rFonts w:asciiTheme="majorHAnsi" w:eastAsia="Calibri" w:hAnsiTheme="majorHAnsi" w:cstheme="majorHAnsi"/>
          <w:sz w:val="16"/>
          <w:szCs w:val="16"/>
          <w:lang w:val="ro-MD"/>
        </w:rPr>
        <w:t>de modernizare și reconstrucție a Centrului de Tineret și Sport din str. Marii Adunări Naționale, 12</w:t>
      </w:r>
      <w:r w:rsidR="009F79B6" w:rsidRPr="00641BC7">
        <w:rPr>
          <w:rFonts w:asciiTheme="majorHAnsi" w:eastAsia="Calibri" w:hAnsiTheme="majorHAnsi" w:cstheme="majorHAnsi"/>
          <w:sz w:val="16"/>
          <w:szCs w:val="16"/>
          <w:lang w:val="ro-MD"/>
        </w:rPr>
        <w:t>,</w:t>
      </w:r>
      <w:r w:rsidR="00F453A9" w:rsidRPr="00641BC7">
        <w:rPr>
          <w:rFonts w:asciiTheme="majorHAnsi" w:eastAsia="Calibri" w:hAnsiTheme="majorHAnsi" w:cstheme="majorHAnsi"/>
          <w:sz w:val="16"/>
          <w:szCs w:val="16"/>
          <w:lang w:val="ro-MD"/>
        </w:rPr>
        <w:t xml:space="preserve"> or.</w:t>
      </w:r>
      <w:r w:rsidR="009F79B6" w:rsidRPr="00641BC7">
        <w:rPr>
          <w:rFonts w:asciiTheme="majorHAnsi" w:eastAsia="Calibri" w:hAnsiTheme="majorHAnsi" w:cstheme="majorHAnsi"/>
          <w:sz w:val="16"/>
          <w:szCs w:val="16"/>
          <w:lang w:val="ro-MD"/>
        </w:rPr>
        <w:t xml:space="preserve"> </w:t>
      </w:r>
      <w:r w:rsidR="00F453A9" w:rsidRPr="00641BC7">
        <w:rPr>
          <w:rFonts w:asciiTheme="majorHAnsi" w:eastAsia="Calibri" w:hAnsiTheme="majorHAnsi" w:cstheme="majorHAnsi"/>
          <w:sz w:val="16"/>
          <w:szCs w:val="16"/>
          <w:lang w:val="ro-MD"/>
        </w:rPr>
        <w:t>Nisporeni”</w:t>
      </w:r>
      <w:r w:rsidRPr="00641BC7">
        <w:rPr>
          <w:rFonts w:asciiTheme="majorHAnsi" w:eastAsia="Calibri" w:hAnsiTheme="majorHAnsi" w:cstheme="majorHAnsi"/>
          <w:sz w:val="16"/>
          <w:szCs w:val="16"/>
          <w:lang w:val="ro-MD"/>
        </w:rPr>
        <w:t xml:space="preserve"> (netransmise până la 31 decembrie 20</w:t>
      </w:r>
      <w:r w:rsidR="00F453A9" w:rsidRPr="00641BC7">
        <w:rPr>
          <w:rFonts w:asciiTheme="majorHAnsi" w:eastAsia="Calibri" w:hAnsiTheme="majorHAnsi" w:cstheme="majorHAnsi"/>
          <w:sz w:val="16"/>
          <w:szCs w:val="16"/>
          <w:lang w:val="ro-MD"/>
        </w:rPr>
        <w:t>20).</w:t>
      </w:r>
    </w:p>
  </w:footnote>
  <w:footnote w:id="4">
    <w:p w14:paraId="73AF9A6C" w14:textId="5B4C1113" w:rsidR="00070EE5" w:rsidRPr="00641BC7" w:rsidRDefault="00070EE5" w:rsidP="00641BC7">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w:t>
      </w:r>
      <w:r w:rsidR="00CC3E76" w:rsidRPr="00641BC7">
        <w:rPr>
          <w:rFonts w:asciiTheme="majorHAnsi" w:hAnsiTheme="majorHAnsi" w:cstheme="majorHAnsi"/>
          <w:sz w:val="16"/>
          <w:szCs w:val="16"/>
          <w:lang w:val="ro-MD"/>
        </w:rPr>
        <w:t>P</w:t>
      </w:r>
      <w:r w:rsidRPr="00641BC7">
        <w:rPr>
          <w:rFonts w:asciiTheme="majorHAnsi" w:hAnsiTheme="majorHAnsi" w:cstheme="majorHAnsi"/>
          <w:sz w:val="16"/>
          <w:szCs w:val="16"/>
          <w:lang w:val="ro-MD"/>
        </w:rPr>
        <w:t xml:space="preserve">entru construcția garajului - </w:t>
      </w:r>
      <w:r w:rsidR="00CC3E76" w:rsidRPr="00641BC7">
        <w:rPr>
          <w:rFonts w:asciiTheme="majorHAnsi" w:hAnsiTheme="majorHAnsi" w:cstheme="majorHAnsi"/>
          <w:sz w:val="16"/>
          <w:szCs w:val="16"/>
          <w:lang w:val="ro-MD"/>
        </w:rPr>
        <w:t>G</w:t>
      </w:r>
      <w:r w:rsidRPr="00641BC7">
        <w:rPr>
          <w:rFonts w:asciiTheme="majorHAnsi" w:hAnsiTheme="majorHAnsi" w:cstheme="majorHAnsi"/>
          <w:sz w:val="16"/>
          <w:szCs w:val="16"/>
          <w:lang w:val="ro-MD"/>
        </w:rPr>
        <w:t>imnaziul „Valeriu Bulicanu” din s.</w:t>
      </w:r>
      <w:r w:rsidR="00CC3E76" w:rsidRPr="00641BC7">
        <w:rPr>
          <w:rFonts w:asciiTheme="majorHAnsi" w:hAnsiTheme="majorHAnsi" w:cstheme="majorHAnsi"/>
          <w:sz w:val="16"/>
          <w:szCs w:val="16"/>
          <w:lang w:val="ro-MD"/>
        </w:rPr>
        <w:t xml:space="preserve"> </w:t>
      </w:r>
      <w:r w:rsidRPr="00641BC7">
        <w:rPr>
          <w:rFonts w:asciiTheme="majorHAnsi" w:hAnsiTheme="majorHAnsi" w:cstheme="majorHAnsi"/>
          <w:sz w:val="16"/>
          <w:szCs w:val="16"/>
          <w:lang w:val="ro-MD"/>
        </w:rPr>
        <w:t xml:space="preserve">Boldurești – 658,2 mii lei, </w:t>
      </w:r>
      <w:r w:rsidR="00CC3E76" w:rsidRPr="00641BC7">
        <w:rPr>
          <w:rFonts w:asciiTheme="majorHAnsi" w:hAnsiTheme="majorHAnsi" w:cstheme="majorHAnsi"/>
          <w:sz w:val="16"/>
          <w:szCs w:val="16"/>
          <w:lang w:val="ro-MD"/>
        </w:rPr>
        <w:t>G</w:t>
      </w:r>
      <w:r w:rsidRPr="00641BC7">
        <w:rPr>
          <w:rFonts w:asciiTheme="majorHAnsi" w:hAnsiTheme="majorHAnsi" w:cstheme="majorHAnsi"/>
          <w:sz w:val="16"/>
          <w:szCs w:val="16"/>
          <w:lang w:val="ro-MD"/>
        </w:rPr>
        <w:t>imnaziul „Grigore</w:t>
      </w:r>
      <w:r w:rsidR="00CC3E76" w:rsidRPr="00641BC7">
        <w:rPr>
          <w:rFonts w:asciiTheme="majorHAnsi" w:hAnsiTheme="majorHAnsi" w:cstheme="majorHAnsi"/>
          <w:sz w:val="16"/>
          <w:szCs w:val="16"/>
          <w:lang w:val="ro-MD"/>
        </w:rPr>
        <w:t xml:space="preserve"> </w:t>
      </w:r>
      <w:r w:rsidRPr="00641BC7">
        <w:rPr>
          <w:rFonts w:asciiTheme="majorHAnsi" w:hAnsiTheme="majorHAnsi" w:cstheme="majorHAnsi"/>
          <w:sz w:val="16"/>
          <w:szCs w:val="16"/>
          <w:lang w:val="ro-MD"/>
        </w:rPr>
        <w:t>Vieru” din s.</w:t>
      </w:r>
      <w:r w:rsidR="00CC3E76" w:rsidRPr="00641BC7">
        <w:rPr>
          <w:rFonts w:asciiTheme="majorHAnsi" w:hAnsiTheme="majorHAnsi" w:cstheme="majorHAnsi"/>
          <w:sz w:val="16"/>
          <w:szCs w:val="16"/>
          <w:lang w:val="ro-MD"/>
        </w:rPr>
        <w:t xml:space="preserve"> </w:t>
      </w:r>
      <w:r w:rsidRPr="00641BC7">
        <w:rPr>
          <w:rFonts w:asciiTheme="majorHAnsi" w:hAnsiTheme="majorHAnsi" w:cstheme="majorHAnsi"/>
          <w:sz w:val="16"/>
          <w:szCs w:val="16"/>
          <w:lang w:val="ro-MD"/>
        </w:rPr>
        <w:t xml:space="preserve">Iurceni – 357,7 mii lei, </w:t>
      </w:r>
      <w:r w:rsidR="00CC3E76" w:rsidRPr="00641BC7">
        <w:rPr>
          <w:rFonts w:asciiTheme="majorHAnsi" w:hAnsiTheme="majorHAnsi" w:cstheme="majorHAnsi"/>
          <w:sz w:val="16"/>
          <w:szCs w:val="16"/>
          <w:lang w:val="ro-MD"/>
        </w:rPr>
        <w:t>G</w:t>
      </w:r>
      <w:r w:rsidRPr="00641BC7">
        <w:rPr>
          <w:rFonts w:asciiTheme="majorHAnsi" w:hAnsiTheme="majorHAnsi" w:cstheme="majorHAnsi"/>
          <w:sz w:val="16"/>
          <w:szCs w:val="16"/>
          <w:lang w:val="ro-MD"/>
        </w:rPr>
        <w:t xml:space="preserve">imnaziul </w:t>
      </w:r>
      <w:r w:rsidR="00CC3E76" w:rsidRPr="00641BC7">
        <w:rPr>
          <w:rFonts w:asciiTheme="majorHAnsi" w:hAnsiTheme="majorHAnsi" w:cstheme="majorHAnsi"/>
          <w:sz w:val="16"/>
          <w:szCs w:val="16"/>
          <w:lang w:val="ro-MD"/>
        </w:rPr>
        <w:t xml:space="preserve">din s. </w:t>
      </w:r>
      <w:r w:rsidRPr="00641BC7">
        <w:rPr>
          <w:rFonts w:asciiTheme="majorHAnsi" w:hAnsiTheme="majorHAnsi" w:cstheme="majorHAnsi"/>
          <w:sz w:val="16"/>
          <w:szCs w:val="16"/>
          <w:lang w:val="ro-MD"/>
        </w:rPr>
        <w:t>Brătuleni</w:t>
      </w:r>
      <w:r w:rsidR="00CC3E76" w:rsidRPr="00641BC7">
        <w:rPr>
          <w:rFonts w:asciiTheme="majorHAnsi" w:hAnsiTheme="majorHAnsi" w:cstheme="majorHAnsi"/>
          <w:sz w:val="16"/>
          <w:szCs w:val="16"/>
          <w:lang w:val="ro-MD"/>
        </w:rPr>
        <w:t xml:space="preserve"> – </w:t>
      </w:r>
      <w:r w:rsidRPr="00641BC7">
        <w:rPr>
          <w:rFonts w:asciiTheme="majorHAnsi" w:hAnsiTheme="majorHAnsi" w:cstheme="majorHAnsi"/>
          <w:sz w:val="16"/>
          <w:szCs w:val="16"/>
          <w:lang w:val="ro-MD"/>
        </w:rPr>
        <w:t xml:space="preserve">150,0 mii lei, </w:t>
      </w:r>
      <w:r w:rsidR="00CC3E76" w:rsidRPr="00641BC7">
        <w:rPr>
          <w:rFonts w:asciiTheme="majorHAnsi" w:hAnsiTheme="majorHAnsi" w:cstheme="majorHAnsi"/>
          <w:sz w:val="16"/>
          <w:szCs w:val="16"/>
          <w:lang w:val="ro-MD"/>
        </w:rPr>
        <w:t>G</w:t>
      </w:r>
      <w:r w:rsidRPr="00641BC7">
        <w:rPr>
          <w:rFonts w:asciiTheme="majorHAnsi" w:hAnsiTheme="majorHAnsi" w:cstheme="majorHAnsi"/>
          <w:sz w:val="16"/>
          <w:szCs w:val="16"/>
          <w:lang w:val="ro-MD"/>
        </w:rPr>
        <w:t xml:space="preserve">imnaziul </w:t>
      </w:r>
      <w:r w:rsidR="00CC3E76" w:rsidRPr="00641BC7">
        <w:rPr>
          <w:rFonts w:asciiTheme="majorHAnsi" w:hAnsiTheme="majorHAnsi" w:cstheme="majorHAnsi"/>
          <w:sz w:val="16"/>
          <w:szCs w:val="16"/>
          <w:lang w:val="ro-MD"/>
        </w:rPr>
        <w:t xml:space="preserve">din s. </w:t>
      </w:r>
      <w:r w:rsidRPr="00641BC7">
        <w:rPr>
          <w:rFonts w:asciiTheme="majorHAnsi" w:hAnsiTheme="majorHAnsi" w:cstheme="majorHAnsi"/>
          <w:sz w:val="16"/>
          <w:szCs w:val="16"/>
          <w:lang w:val="ro-MD"/>
        </w:rPr>
        <w:t>Bălănești – 330,6 mii lei</w:t>
      </w:r>
      <w:r w:rsidR="00CC3E76" w:rsidRPr="00641BC7">
        <w:rPr>
          <w:rFonts w:asciiTheme="majorHAnsi" w:hAnsiTheme="majorHAnsi" w:cstheme="majorHAnsi"/>
          <w:sz w:val="16"/>
          <w:szCs w:val="16"/>
          <w:lang w:val="ro-MD"/>
        </w:rPr>
        <w:t>,</w:t>
      </w:r>
      <w:r w:rsidRPr="00641BC7">
        <w:rPr>
          <w:rFonts w:asciiTheme="majorHAnsi" w:hAnsiTheme="majorHAnsi" w:cstheme="majorHAnsi"/>
          <w:sz w:val="16"/>
          <w:szCs w:val="16"/>
          <w:lang w:val="ro-MD"/>
        </w:rPr>
        <w:t xml:space="preserve"> și pentru construcția depozitului pentru cărbuni – Gimna</w:t>
      </w:r>
      <w:r w:rsidR="00712577" w:rsidRPr="00641BC7">
        <w:rPr>
          <w:rFonts w:asciiTheme="majorHAnsi" w:hAnsiTheme="majorHAnsi" w:cstheme="majorHAnsi"/>
          <w:sz w:val="16"/>
          <w:szCs w:val="16"/>
          <w:lang w:val="ro-MD"/>
        </w:rPr>
        <w:t xml:space="preserve">ziul din </w:t>
      </w:r>
      <w:r w:rsidR="00CC3E76" w:rsidRPr="00641BC7">
        <w:rPr>
          <w:rFonts w:asciiTheme="majorHAnsi" w:hAnsiTheme="majorHAnsi" w:cstheme="majorHAnsi"/>
          <w:sz w:val="16"/>
          <w:szCs w:val="16"/>
          <w:lang w:val="ro-MD"/>
        </w:rPr>
        <w:t xml:space="preserve">s. </w:t>
      </w:r>
      <w:r w:rsidR="00712577" w:rsidRPr="00641BC7">
        <w:rPr>
          <w:rFonts w:asciiTheme="majorHAnsi" w:hAnsiTheme="majorHAnsi" w:cstheme="majorHAnsi"/>
          <w:sz w:val="16"/>
          <w:szCs w:val="16"/>
          <w:lang w:val="ro-MD"/>
        </w:rPr>
        <w:t>Bursuc – 150,0 mii lei, terenul transmis în gestiune Spitalul</w:t>
      </w:r>
      <w:r w:rsidR="00CC3E76" w:rsidRPr="00641BC7">
        <w:rPr>
          <w:rFonts w:asciiTheme="majorHAnsi" w:hAnsiTheme="majorHAnsi" w:cstheme="majorHAnsi"/>
          <w:sz w:val="16"/>
          <w:szCs w:val="16"/>
          <w:lang w:val="ro-MD"/>
        </w:rPr>
        <w:t>ui</w:t>
      </w:r>
      <w:r w:rsidR="00712577" w:rsidRPr="00641BC7">
        <w:rPr>
          <w:rFonts w:asciiTheme="majorHAnsi" w:hAnsiTheme="majorHAnsi" w:cstheme="majorHAnsi"/>
          <w:sz w:val="16"/>
          <w:szCs w:val="16"/>
          <w:lang w:val="ro-MD"/>
        </w:rPr>
        <w:t xml:space="preserve"> </w:t>
      </w:r>
      <w:r w:rsidR="00CC3E76" w:rsidRPr="00641BC7">
        <w:rPr>
          <w:rFonts w:asciiTheme="majorHAnsi" w:hAnsiTheme="majorHAnsi" w:cstheme="majorHAnsi"/>
          <w:sz w:val="16"/>
          <w:szCs w:val="16"/>
          <w:lang w:val="ro-MD"/>
        </w:rPr>
        <w:t>r</w:t>
      </w:r>
      <w:r w:rsidR="00712577" w:rsidRPr="00641BC7">
        <w:rPr>
          <w:rFonts w:asciiTheme="majorHAnsi" w:hAnsiTheme="majorHAnsi" w:cstheme="majorHAnsi"/>
          <w:sz w:val="16"/>
          <w:szCs w:val="16"/>
          <w:lang w:val="ro-MD"/>
        </w:rPr>
        <w:t>aional Nisporeni – 5967,2 mii lei.</w:t>
      </w:r>
    </w:p>
  </w:footnote>
  <w:footnote w:id="5">
    <w:p w14:paraId="5943439A" w14:textId="77777777" w:rsidR="00712577" w:rsidRPr="00641BC7" w:rsidRDefault="00712577" w:rsidP="00712577">
      <w:pPr>
        <w:pStyle w:val="FootnoteText"/>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IMSP „Spitalul raional Nisporeni”.</w:t>
      </w:r>
    </w:p>
  </w:footnote>
  <w:footnote w:id="6">
    <w:p w14:paraId="726B638A" w14:textId="6A8E1973" w:rsidR="00064740" w:rsidRPr="00641BC7" w:rsidRDefault="00064740" w:rsidP="00064740">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Primită cu titlul gratuit în proprietatea raionului în temeiul Hotăr</w:t>
      </w:r>
      <w:r w:rsidR="00D149B1" w:rsidRPr="00641BC7">
        <w:rPr>
          <w:rFonts w:asciiTheme="majorHAnsi" w:hAnsiTheme="majorHAnsi" w:cstheme="majorHAnsi"/>
          <w:sz w:val="16"/>
          <w:szCs w:val="16"/>
          <w:lang w:val="ro-MD"/>
        </w:rPr>
        <w:t>â</w:t>
      </w:r>
      <w:r w:rsidRPr="00641BC7">
        <w:rPr>
          <w:rFonts w:asciiTheme="majorHAnsi" w:hAnsiTheme="majorHAnsi" w:cstheme="majorHAnsi"/>
          <w:sz w:val="16"/>
          <w:szCs w:val="16"/>
          <w:lang w:val="ro-MD"/>
        </w:rPr>
        <w:t>rii Guvernului nr.586 din 08.08.2013 „</w:t>
      </w:r>
      <w:r w:rsidR="00D149B1" w:rsidRPr="00641BC7">
        <w:rPr>
          <w:rFonts w:asciiTheme="majorHAnsi" w:hAnsiTheme="majorHAnsi" w:cstheme="majorHAnsi"/>
          <w:sz w:val="16"/>
          <w:szCs w:val="16"/>
          <w:lang w:val="ro-MD"/>
        </w:rPr>
        <w:t>C</w:t>
      </w:r>
      <w:r w:rsidRPr="00641BC7">
        <w:rPr>
          <w:rFonts w:asciiTheme="majorHAnsi" w:hAnsiTheme="majorHAnsi" w:cstheme="majorHAnsi"/>
          <w:sz w:val="16"/>
          <w:szCs w:val="16"/>
          <w:lang w:val="ro-MD"/>
        </w:rPr>
        <w:t>u privire la transmiterea unui imobil”</w:t>
      </w:r>
      <w:r w:rsidR="00561F84" w:rsidRPr="00641BC7">
        <w:rPr>
          <w:rFonts w:asciiTheme="majorHAnsi" w:hAnsiTheme="majorHAnsi" w:cstheme="majorHAnsi"/>
          <w:sz w:val="16"/>
          <w:szCs w:val="16"/>
          <w:lang w:val="ro-MD"/>
        </w:rPr>
        <w:t>,</w:t>
      </w:r>
      <w:r w:rsidRPr="00641BC7">
        <w:rPr>
          <w:rFonts w:asciiTheme="majorHAnsi" w:hAnsiTheme="majorHAnsi" w:cstheme="majorHAnsi"/>
          <w:sz w:val="16"/>
          <w:szCs w:val="16"/>
          <w:lang w:val="ro-MD"/>
        </w:rPr>
        <w:t xml:space="preserve"> construcția (căminul) (numărul cadastral 600120626902) cu suprafața </w:t>
      </w:r>
      <w:r w:rsidRPr="00032049">
        <w:rPr>
          <w:rFonts w:asciiTheme="majorHAnsi" w:hAnsiTheme="majorHAnsi" w:cstheme="majorHAnsi"/>
          <w:sz w:val="16"/>
          <w:szCs w:val="16"/>
          <w:lang w:val="ro-MD"/>
        </w:rPr>
        <w:t>de 588,9</w:t>
      </w:r>
      <w:r w:rsidR="00726A8C" w:rsidRPr="00032049">
        <w:rPr>
          <w:rFonts w:asciiTheme="majorHAnsi" w:hAnsiTheme="majorHAnsi" w:cstheme="majorHAnsi"/>
          <w:sz w:val="16"/>
          <w:szCs w:val="16"/>
          <w:lang w:val="ro-MD"/>
        </w:rPr>
        <w:t>/4</w:t>
      </w:r>
      <w:r w:rsidRPr="00032049">
        <w:rPr>
          <w:rFonts w:asciiTheme="majorHAnsi" w:hAnsiTheme="majorHAnsi" w:cstheme="majorHAnsi"/>
          <w:sz w:val="16"/>
          <w:szCs w:val="16"/>
          <w:lang w:val="ro-MD"/>
        </w:rPr>
        <w:t xml:space="preserve"> m</w:t>
      </w:r>
      <w:r w:rsidRPr="00032049">
        <w:rPr>
          <w:rFonts w:asciiTheme="majorHAnsi" w:hAnsiTheme="majorHAnsi" w:cstheme="majorHAnsi"/>
          <w:sz w:val="16"/>
          <w:szCs w:val="16"/>
          <w:vertAlign w:val="superscript"/>
          <w:lang w:val="ro-MD"/>
        </w:rPr>
        <w:t>2</w:t>
      </w:r>
      <w:r w:rsidRPr="00641BC7">
        <w:rPr>
          <w:rFonts w:asciiTheme="majorHAnsi" w:hAnsiTheme="majorHAnsi" w:cstheme="majorHAnsi"/>
          <w:sz w:val="16"/>
          <w:szCs w:val="16"/>
          <w:lang w:val="ro-MD"/>
        </w:rPr>
        <w:t xml:space="preserve"> și 1/10 cotă</w:t>
      </w:r>
      <w:r w:rsidR="00D149B1" w:rsidRPr="00641BC7">
        <w:rPr>
          <w:rFonts w:asciiTheme="majorHAnsi" w:hAnsiTheme="majorHAnsi" w:cstheme="majorHAnsi"/>
          <w:sz w:val="16"/>
          <w:szCs w:val="16"/>
          <w:lang w:val="ro-MD"/>
        </w:rPr>
        <w:t>-</w:t>
      </w:r>
      <w:r w:rsidRPr="00641BC7">
        <w:rPr>
          <w:rFonts w:asciiTheme="majorHAnsi" w:hAnsiTheme="majorHAnsi" w:cstheme="majorHAnsi"/>
          <w:sz w:val="16"/>
          <w:szCs w:val="16"/>
          <w:lang w:val="ro-MD"/>
        </w:rPr>
        <w:t xml:space="preserve">parte din terenul aferent și transmisă de către CR Nisporeni în baza </w:t>
      </w:r>
      <w:r w:rsidR="00D149B1" w:rsidRPr="00641BC7">
        <w:rPr>
          <w:rFonts w:asciiTheme="majorHAnsi" w:hAnsiTheme="majorHAnsi" w:cstheme="majorHAnsi"/>
          <w:sz w:val="16"/>
          <w:szCs w:val="16"/>
          <w:lang w:val="ro-MD"/>
        </w:rPr>
        <w:t>D</w:t>
      </w:r>
      <w:r w:rsidRPr="00641BC7">
        <w:rPr>
          <w:rFonts w:asciiTheme="majorHAnsi" w:hAnsiTheme="majorHAnsi" w:cstheme="majorHAnsi"/>
          <w:sz w:val="16"/>
          <w:szCs w:val="16"/>
          <w:lang w:val="ro-MD"/>
        </w:rPr>
        <w:t xml:space="preserve">eciziei nr.7/21 din 17.12.2014 către </w:t>
      </w:r>
      <w:r w:rsidR="00561F84" w:rsidRPr="00641BC7">
        <w:rPr>
          <w:rFonts w:asciiTheme="majorHAnsi" w:hAnsiTheme="majorHAnsi" w:cstheme="majorHAnsi"/>
          <w:sz w:val="16"/>
          <w:szCs w:val="16"/>
          <w:lang w:val="ro-MD"/>
        </w:rPr>
        <w:t>I</w:t>
      </w:r>
      <w:r w:rsidRPr="00641BC7">
        <w:rPr>
          <w:rFonts w:asciiTheme="majorHAnsi" w:hAnsiTheme="majorHAnsi" w:cstheme="majorHAnsi"/>
          <w:sz w:val="16"/>
          <w:szCs w:val="16"/>
          <w:lang w:val="ro-MD"/>
        </w:rPr>
        <w:t>.P. „Incubatorul de afaceri din Nisporeni” la 29.12.2017 în folosință prin contract de comodat.</w:t>
      </w:r>
    </w:p>
  </w:footnote>
  <w:footnote w:id="7">
    <w:p w14:paraId="1CD6A3D7" w14:textId="35AB4038" w:rsidR="00064740" w:rsidRPr="00641BC7" w:rsidRDefault="00064740" w:rsidP="00064740">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I.P.</w:t>
      </w:r>
      <w:r w:rsidR="00D149B1" w:rsidRPr="00641BC7">
        <w:rPr>
          <w:rFonts w:asciiTheme="majorHAnsi" w:hAnsiTheme="majorHAnsi" w:cstheme="majorHAnsi"/>
          <w:sz w:val="16"/>
          <w:szCs w:val="16"/>
          <w:lang w:val="ro-MD"/>
        </w:rPr>
        <w:t xml:space="preserve"> </w:t>
      </w:r>
      <w:r w:rsidRPr="00641BC7">
        <w:rPr>
          <w:rFonts w:asciiTheme="majorHAnsi" w:hAnsiTheme="majorHAnsi" w:cstheme="majorHAnsi"/>
          <w:sz w:val="16"/>
          <w:szCs w:val="16"/>
          <w:lang w:val="ro-MD"/>
        </w:rPr>
        <w:t>„Incubatorul de afaceri din Nisporeni”</w:t>
      </w:r>
      <w:r w:rsidR="00D149B1" w:rsidRPr="00641BC7">
        <w:rPr>
          <w:rFonts w:asciiTheme="majorHAnsi" w:hAnsiTheme="majorHAnsi" w:cstheme="majorHAnsi"/>
          <w:sz w:val="16"/>
          <w:szCs w:val="16"/>
          <w:lang w:val="ro-MD"/>
        </w:rPr>
        <w:t>.</w:t>
      </w:r>
    </w:p>
  </w:footnote>
  <w:footnote w:id="8">
    <w:p w14:paraId="090929BA" w14:textId="32CECC9E" w:rsidR="00295F92" w:rsidRPr="00641BC7" w:rsidRDefault="00295F92" w:rsidP="00295F92">
      <w:pPr>
        <w:pStyle w:val="FootnoteText"/>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Legea nr.</w:t>
      </w:r>
      <w:r w:rsidR="00FC4989" w:rsidRPr="00641BC7">
        <w:rPr>
          <w:rFonts w:asciiTheme="majorHAnsi" w:hAnsiTheme="majorHAnsi" w:cstheme="majorHAnsi"/>
          <w:sz w:val="16"/>
          <w:szCs w:val="16"/>
          <w:lang w:val="ro-MD"/>
        </w:rPr>
        <w:t>436</w:t>
      </w:r>
      <w:r w:rsidRPr="00641BC7">
        <w:rPr>
          <w:rFonts w:asciiTheme="majorHAnsi" w:hAnsiTheme="majorHAnsi" w:cstheme="majorHAnsi"/>
          <w:sz w:val="16"/>
          <w:szCs w:val="16"/>
          <w:lang w:val="ro-MD"/>
        </w:rPr>
        <w:t xml:space="preserve"> din 2</w:t>
      </w:r>
      <w:r w:rsidR="00FC4989" w:rsidRPr="00641BC7">
        <w:rPr>
          <w:rFonts w:asciiTheme="majorHAnsi" w:hAnsiTheme="majorHAnsi" w:cstheme="majorHAnsi"/>
          <w:sz w:val="16"/>
          <w:szCs w:val="16"/>
          <w:lang w:val="ro-MD"/>
        </w:rPr>
        <w:t>8</w:t>
      </w:r>
      <w:r w:rsidRPr="00641BC7">
        <w:rPr>
          <w:rFonts w:asciiTheme="majorHAnsi" w:hAnsiTheme="majorHAnsi" w:cstheme="majorHAnsi"/>
          <w:sz w:val="16"/>
          <w:szCs w:val="16"/>
          <w:lang w:val="ro-MD"/>
        </w:rPr>
        <w:t>.1</w:t>
      </w:r>
      <w:r w:rsidR="00FC4989" w:rsidRPr="00641BC7">
        <w:rPr>
          <w:rFonts w:asciiTheme="majorHAnsi" w:hAnsiTheme="majorHAnsi" w:cstheme="majorHAnsi"/>
          <w:sz w:val="16"/>
          <w:szCs w:val="16"/>
          <w:lang w:val="ro-MD"/>
        </w:rPr>
        <w:t>2</w:t>
      </w:r>
      <w:r w:rsidRPr="00641BC7">
        <w:rPr>
          <w:rFonts w:asciiTheme="majorHAnsi" w:hAnsiTheme="majorHAnsi" w:cstheme="majorHAnsi"/>
          <w:sz w:val="16"/>
          <w:szCs w:val="16"/>
          <w:lang w:val="ro-MD"/>
        </w:rPr>
        <w:t>.20</w:t>
      </w:r>
      <w:r w:rsidR="00FC4989" w:rsidRPr="00641BC7">
        <w:rPr>
          <w:rFonts w:asciiTheme="majorHAnsi" w:hAnsiTheme="majorHAnsi" w:cstheme="majorHAnsi"/>
          <w:sz w:val="16"/>
          <w:szCs w:val="16"/>
          <w:lang w:val="ro-MD"/>
        </w:rPr>
        <w:t>06 privind administrația publică locală</w:t>
      </w:r>
      <w:r w:rsidRPr="00641BC7">
        <w:rPr>
          <w:rFonts w:asciiTheme="majorHAnsi" w:hAnsiTheme="majorHAnsi" w:cstheme="majorHAnsi"/>
          <w:sz w:val="16"/>
          <w:szCs w:val="16"/>
          <w:lang w:val="ro-MD"/>
        </w:rPr>
        <w:t>.</w:t>
      </w:r>
    </w:p>
  </w:footnote>
  <w:footnote w:id="9">
    <w:p w14:paraId="3F926FA8" w14:textId="25FA3847" w:rsidR="00295F92" w:rsidRPr="00641BC7" w:rsidRDefault="00295F92" w:rsidP="00295F92">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w:t>
      </w:r>
      <w:r w:rsidR="00D149B1" w:rsidRPr="00641BC7">
        <w:rPr>
          <w:rFonts w:asciiTheme="majorHAnsi" w:hAnsiTheme="majorHAnsi" w:cstheme="majorHAnsi"/>
          <w:sz w:val="16"/>
          <w:szCs w:val="16"/>
          <w:lang w:val="ro-MD"/>
        </w:rPr>
        <w:t>Codul civil al Republicii Moldova</w:t>
      </w:r>
      <w:r w:rsidR="00A54DF5" w:rsidRPr="00641BC7">
        <w:rPr>
          <w:rFonts w:asciiTheme="majorHAnsi" w:hAnsiTheme="majorHAnsi" w:cstheme="majorHAnsi"/>
          <w:sz w:val="16"/>
          <w:szCs w:val="16"/>
          <w:lang w:val="ro-MD"/>
        </w:rPr>
        <w:t xml:space="preserve"> nr.1107-XV din 06.06.2002 și Legea nr.220 din 19.10.2007 privind înregistrarea de stat a persoanelor juridice și întreprinzătorilor individuali</w:t>
      </w:r>
      <w:r w:rsidRPr="00641BC7">
        <w:rPr>
          <w:rFonts w:asciiTheme="majorHAnsi" w:hAnsiTheme="majorHAnsi" w:cstheme="majorHAnsi"/>
          <w:sz w:val="16"/>
          <w:szCs w:val="16"/>
          <w:lang w:val="ro-MD"/>
        </w:rPr>
        <w:t>.</w:t>
      </w:r>
    </w:p>
  </w:footnote>
  <w:footnote w:id="10">
    <w:p w14:paraId="5217D995" w14:textId="7842875C" w:rsidR="0065737A" w:rsidRPr="00641BC7" w:rsidRDefault="0065737A" w:rsidP="0065737A">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Muzeul de istorie și etnografie Nisporeni – 4966 </w:t>
      </w:r>
      <w:r w:rsidR="00D149B1" w:rsidRPr="00641BC7">
        <w:rPr>
          <w:rFonts w:asciiTheme="majorHAnsi" w:hAnsiTheme="majorHAnsi" w:cstheme="majorHAnsi"/>
          <w:sz w:val="16"/>
          <w:szCs w:val="16"/>
          <w:lang w:val="ro-MD"/>
        </w:rPr>
        <w:t xml:space="preserve">de </w:t>
      </w:r>
      <w:r w:rsidRPr="00641BC7">
        <w:rPr>
          <w:rFonts w:asciiTheme="majorHAnsi" w:hAnsiTheme="majorHAnsi" w:cstheme="majorHAnsi"/>
          <w:sz w:val="16"/>
          <w:szCs w:val="16"/>
          <w:lang w:val="ro-MD"/>
        </w:rPr>
        <w:t>exponate</w:t>
      </w:r>
      <w:r w:rsidR="00D149B1" w:rsidRPr="00641BC7">
        <w:rPr>
          <w:rFonts w:asciiTheme="majorHAnsi" w:hAnsiTheme="majorHAnsi" w:cstheme="majorHAnsi"/>
          <w:sz w:val="16"/>
          <w:szCs w:val="16"/>
          <w:lang w:val="ro-MD"/>
        </w:rPr>
        <w:t>,</w:t>
      </w:r>
      <w:r w:rsidRPr="00641BC7">
        <w:rPr>
          <w:rFonts w:asciiTheme="majorHAnsi" w:hAnsiTheme="majorHAnsi" w:cstheme="majorHAnsi"/>
          <w:sz w:val="16"/>
          <w:szCs w:val="16"/>
          <w:lang w:val="ro-MD"/>
        </w:rPr>
        <w:t xml:space="preserve"> și Muzeul de istorie și etnografie Iurceni – 3654 </w:t>
      </w:r>
      <w:r w:rsidR="00D149B1" w:rsidRPr="00641BC7">
        <w:rPr>
          <w:rFonts w:asciiTheme="majorHAnsi" w:hAnsiTheme="majorHAnsi" w:cstheme="majorHAnsi"/>
          <w:sz w:val="16"/>
          <w:szCs w:val="16"/>
          <w:lang w:val="ro-MD"/>
        </w:rPr>
        <w:t xml:space="preserve">de </w:t>
      </w:r>
      <w:r w:rsidRPr="00641BC7">
        <w:rPr>
          <w:rFonts w:asciiTheme="majorHAnsi" w:hAnsiTheme="majorHAnsi" w:cstheme="majorHAnsi"/>
          <w:sz w:val="16"/>
          <w:szCs w:val="16"/>
          <w:lang w:val="ro-MD"/>
        </w:rPr>
        <w:t>exponate.</w:t>
      </w:r>
    </w:p>
  </w:footnote>
  <w:footnote w:id="11">
    <w:p w14:paraId="4E62334E" w14:textId="77777777" w:rsidR="00E0167D" w:rsidRPr="00641BC7" w:rsidRDefault="00E0167D" w:rsidP="00E0167D">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Legea contabilității nr.113 din 27.04.2007.</w:t>
      </w:r>
    </w:p>
  </w:footnote>
  <w:footnote w:id="12">
    <w:p w14:paraId="28570D35" w14:textId="77777777" w:rsidR="00E0167D" w:rsidRPr="00641BC7" w:rsidRDefault="00E0167D" w:rsidP="00E0167D">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Actul de transmitere din 18.07.2017 și Lista drumurilor privind rezultatele inventarierii a drumurilor locale de interes raional Nisporeni.</w:t>
      </w:r>
    </w:p>
  </w:footnote>
  <w:footnote w:id="13">
    <w:p w14:paraId="2EA263E0" w14:textId="4237CE79" w:rsidR="00E0167D" w:rsidRPr="00641BC7" w:rsidRDefault="00E0167D" w:rsidP="00E0167D">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Contractul nr.37 din 25.06.2020 de achiziționare a serviciilor de întreținere </w:t>
      </w:r>
      <w:r w:rsidR="00FC3CB9" w:rsidRPr="00641BC7">
        <w:rPr>
          <w:rFonts w:asciiTheme="majorHAnsi" w:hAnsiTheme="majorHAnsi" w:cstheme="majorHAnsi"/>
          <w:sz w:val="16"/>
          <w:szCs w:val="16"/>
          <w:lang w:val="ro-MD"/>
        </w:rPr>
        <w:t xml:space="preserve"> a drumurilor publice locale pentru a.2020.</w:t>
      </w:r>
      <w:r w:rsidRPr="00641BC7">
        <w:rPr>
          <w:rFonts w:asciiTheme="majorHAnsi" w:hAnsiTheme="majorHAnsi" w:cstheme="majorHAnsi"/>
          <w:sz w:val="16"/>
          <w:szCs w:val="16"/>
          <w:lang w:val="ro-MD"/>
        </w:rPr>
        <w:t xml:space="preserve"> </w:t>
      </w:r>
    </w:p>
  </w:footnote>
  <w:footnote w:id="14">
    <w:p w14:paraId="47223300" w14:textId="1024D39A" w:rsidR="002A7174" w:rsidRPr="00641BC7" w:rsidRDefault="002A7174" w:rsidP="00BE7FBF">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000A7EDD" w:rsidRPr="00641BC7">
        <w:rPr>
          <w:rFonts w:asciiTheme="majorHAnsi" w:hAnsiTheme="majorHAnsi" w:cstheme="majorHAnsi"/>
          <w:sz w:val="16"/>
          <w:szCs w:val="16"/>
          <w:lang w:val="ro-MD"/>
        </w:rPr>
        <w:t xml:space="preserve"> </w:t>
      </w:r>
      <w:r w:rsidR="002A4863" w:rsidRPr="00641BC7">
        <w:rPr>
          <w:rFonts w:asciiTheme="majorHAnsi" w:hAnsiTheme="majorHAnsi" w:cstheme="majorHAnsi"/>
          <w:sz w:val="16"/>
          <w:szCs w:val="16"/>
          <w:lang w:val="ro-MD"/>
        </w:rPr>
        <w:t xml:space="preserve">Hotărârea Curții de Conturi nr.2 din 24.01.2020 „Cu privire la Cadrul Declarațiilor Profesionale ale INTOSAI”. </w:t>
      </w:r>
    </w:p>
  </w:footnote>
  <w:footnote w:id="15">
    <w:p w14:paraId="011B91D3" w14:textId="0B638547" w:rsidR="00456BE5" w:rsidRPr="00641BC7" w:rsidRDefault="00456BE5">
      <w:pPr>
        <w:pStyle w:val="FootnoteText"/>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Legea privind administrarea și deetatizarea proprietății publice nr.121-XVI din 04.05.2007.</w:t>
      </w:r>
    </w:p>
  </w:footnote>
  <w:footnote w:id="16">
    <w:p w14:paraId="53B705E8" w14:textId="22759D69" w:rsidR="003E1415" w:rsidRPr="00641BC7" w:rsidRDefault="003E1415">
      <w:pPr>
        <w:pStyle w:val="FootnoteText"/>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Legea privind finanțele publice locale nr.397-XV din 16.10.2003.</w:t>
      </w:r>
    </w:p>
  </w:footnote>
  <w:footnote w:id="17">
    <w:p w14:paraId="1AD2D4A0" w14:textId="77777777" w:rsidR="00312312" w:rsidRPr="00641BC7" w:rsidRDefault="00312312" w:rsidP="00312312">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Venituri proprii: taxele pentru resursele naturale; impozitul privat (conform apartenenței patrimoniului); alte venituri prevăzute de legislație.</w:t>
      </w:r>
    </w:p>
  </w:footnote>
  <w:footnote w:id="18">
    <w:p w14:paraId="674B8F46" w14:textId="2747AB2E" w:rsidR="0059657B" w:rsidRPr="00641BC7" w:rsidRDefault="0059657B" w:rsidP="0059657B">
      <w:pPr>
        <w:spacing w:after="0" w:line="240" w:lineRule="auto"/>
        <w:jc w:val="both"/>
        <w:rPr>
          <w:rFonts w:asciiTheme="majorHAnsi" w:eastAsia="Times New Roman" w:hAnsiTheme="majorHAnsi" w:cstheme="majorHAnsi"/>
          <w:bCs/>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Aprobate prin Ordinul ministrului Finanțelor </w:t>
      </w:r>
      <w:r w:rsidRPr="00641BC7">
        <w:rPr>
          <w:rFonts w:asciiTheme="majorHAnsi" w:eastAsia="Times New Roman" w:hAnsiTheme="majorHAnsi" w:cstheme="majorHAnsi"/>
          <w:bCs/>
          <w:sz w:val="16"/>
          <w:szCs w:val="16"/>
          <w:lang w:val="ro-MD"/>
        </w:rPr>
        <w:t xml:space="preserve">cu privire la aprobarea Standardelor </w:t>
      </w:r>
      <w:r w:rsidR="00485605" w:rsidRPr="00641BC7">
        <w:rPr>
          <w:rFonts w:asciiTheme="majorHAnsi" w:eastAsia="Times New Roman" w:hAnsiTheme="majorHAnsi" w:cstheme="majorHAnsi"/>
          <w:bCs/>
          <w:sz w:val="16"/>
          <w:szCs w:val="16"/>
          <w:lang w:val="ro-MD"/>
        </w:rPr>
        <w:t>naționale</w:t>
      </w:r>
      <w:r w:rsidRPr="00641BC7">
        <w:rPr>
          <w:rFonts w:asciiTheme="majorHAnsi" w:eastAsia="Times New Roman" w:hAnsiTheme="majorHAnsi" w:cstheme="majorHAnsi"/>
          <w:bCs/>
          <w:sz w:val="16"/>
          <w:szCs w:val="16"/>
          <w:lang w:val="ro-MD"/>
        </w:rPr>
        <w:t xml:space="preserve"> de control intern în sectorul public nr.189  din  05.11.2015</w:t>
      </w:r>
    </w:p>
  </w:footnote>
  <w:footnote w:id="19">
    <w:p w14:paraId="58C46039" w14:textId="77777777" w:rsidR="0059657B" w:rsidRPr="00641BC7" w:rsidRDefault="0059657B" w:rsidP="0059657B">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w:t>
      </w:r>
      <w:r w:rsidRPr="00641BC7">
        <w:rPr>
          <w:rFonts w:asciiTheme="majorHAnsi" w:eastAsia="Times New Roman" w:hAnsiTheme="majorHAnsi" w:cstheme="majorHAnsi"/>
          <w:sz w:val="16"/>
          <w:szCs w:val="16"/>
          <w:lang w:val="ro-MD"/>
        </w:rPr>
        <w:t>Legea privind controlul financiar public intern nr.229 din 23.09.2010.</w:t>
      </w:r>
    </w:p>
  </w:footnote>
  <w:footnote w:id="20">
    <w:p w14:paraId="23CF9475" w14:textId="2B2F5E3E" w:rsidR="002A7174" w:rsidRPr="00641BC7" w:rsidRDefault="002A7174" w:rsidP="00BE7FBF">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Art.13 alin.(</w:t>
      </w:r>
      <w:r w:rsidR="00284239" w:rsidRPr="00641BC7">
        <w:rPr>
          <w:rFonts w:asciiTheme="majorHAnsi" w:hAnsiTheme="majorHAnsi" w:cstheme="majorHAnsi"/>
          <w:sz w:val="16"/>
          <w:szCs w:val="16"/>
          <w:lang w:val="ro-MD"/>
        </w:rPr>
        <w:t>1,</w:t>
      </w:r>
      <w:r w:rsidRPr="00641BC7">
        <w:rPr>
          <w:rFonts w:asciiTheme="majorHAnsi" w:hAnsiTheme="majorHAnsi" w:cstheme="majorHAnsi"/>
          <w:sz w:val="16"/>
          <w:szCs w:val="16"/>
          <w:lang w:val="ro-MD"/>
        </w:rPr>
        <w:t>2) din Legea contabilită</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ii nr.113 din 27.04.2007.</w:t>
      </w:r>
    </w:p>
  </w:footnote>
  <w:footnote w:id="21">
    <w:p w14:paraId="6D7F16D5" w14:textId="04334E74" w:rsidR="002A7174" w:rsidRPr="00641BC7" w:rsidRDefault="002A7174" w:rsidP="00BE7FBF">
      <w:pPr>
        <w:pStyle w:val="FootnoteText"/>
        <w:jc w:val="both"/>
        <w:rPr>
          <w:rFonts w:asciiTheme="majorHAnsi" w:hAnsiTheme="majorHAnsi" w:cstheme="majorHAnsi"/>
          <w:sz w:val="16"/>
          <w:szCs w:val="16"/>
          <w:lang w:val="ro-MD"/>
        </w:rPr>
      </w:pPr>
      <w:r w:rsidRPr="00641BC7">
        <w:rPr>
          <w:rStyle w:val="FootnoteReference"/>
          <w:rFonts w:asciiTheme="majorHAnsi" w:hAnsiTheme="majorHAnsi" w:cstheme="majorHAnsi"/>
          <w:sz w:val="16"/>
          <w:szCs w:val="16"/>
          <w:lang w:val="ro-MD"/>
        </w:rPr>
        <w:footnoteRef/>
      </w:r>
      <w:r w:rsidRPr="00641BC7">
        <w:rPr>
          <w:rFonts w:asciiTheme="majorHAnsi" w:hAnsiTheme="majorHAnsi" w:cstheme="majorHAnsi"/>
          <w:sz w:val="16"/>
          <w:szCs w:val="16"/>
          <w:lang w:val="ro-MD"/>
        </w:rPr>
        <w:t xml:space="preserve"> Legea contabilită</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 xml:space="preserve">ii nr.113 din 27.04.2007; Planul de conturi contabile în sistemul bugetar </w:t>
      </w:r>
      <w:r w:rsidR="0068375E" w:rsidRPr="00641BC7">
        <w:rPr>
          <w:rFonts w:asciiTheme="majorHAnsi" w:hAnsiTheme="majorHAnsi" w:cstheme="majorHAnsi"/>
          <w:sz w:val="16"/>
          <w:szCs w:val="16"/>
          <w:lang w:val="ro-MD"/>
        </w:rPr>
        <w:t>ș</w:t>
      </w:r>
      <w:r w:rsidRPr="00641BC7">
        <w:rPr>
          <w:rFonts w:asciiTheme="majorHAnsi" w:hAnsiTheme="majorHAnsi" w:cstheme="majorHAnsi"/>
          <w:sz w:val="16"/>
          <w:szCs w:val="16"/>
          <w:lang w:val="ro-MD"/>
        </w:rPr>
        <w:t>i Normele metodologice privind eviden</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 xml:space="preserve">a contabilă </w:t>
      </w:r>
      <w:r w:rsidR="0068375E" w:rsidRPr="00641BC7">
        <w:rPr>
          <w:rFonts w:asciiTheme="majorHAnsi" w:hAnsiTheme="majorHAnsi" w:cstheme="majorHAnsi"/>
          <w:sz w:val="16"/>
          <w:szCs w:val="16"/>
          <w:lang w:val="ro-MD"/>
        </w:rPr>
        <w:t>ș</w:t>
      </w:r>
      <w:r w:rsidRPr="00641BC7">
        <w:rPr>
          <w:rFonts w:asciiTheme="majorHAnsi" w:hAnsiTheme="majorHAnsi" w:cstheme="majorHAnsi"/>
          <w:sz w:val="16"/>
          <w:szCs w:val="16"/>
          <w:lang w:val="ro-MD"/>
        </w:rPr>
        <w:t xml:space="preserve">i raportarea financiară în sistemul bugetar, aprobate prin Ordinul ministrului </w:t>
      </w:r>
      <w:r w:rsidR="00AE34DE" w:rsidRPr="00641BC7">
        <w:rPr>
          <w:rFonts w:asciiTheme="majorHAnsi" w:hAnsiTheme="majorHAnsi" w:cstheme="majorHAnsi"/>
          <w:sz w:val="16"/>
          <w:szCs w:val="16"/>
          <w:lang w:val="ro-MD"/>
        </w:rPr>
        <w:t>F</w:t>
      </w:r>
      <w:r w:rsidRPr="00641BC7">
        <w:rPr>
          <w:rFonts w:asciiTheme="majorHAnsi" w:hAnsiTheme="majorHAnsi" w:cstheme="majorHAnsi"/>
          <w:sz w:val="16"/>
          <w:szCs w:val="16"/>
          <w:lang w:val="ro-MD"/>
        </w:rPr>
        <w:t>inan</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 xml:space="preserve">elor nr.216 din 28.12.2015;  Ordinul ministrului </w:t>
      </w:r>
      <w:r w:rsidR="00AE34DE" w:rsidRPr="00641BC7">
        <w:rPr>
          <w:rFonts w:asciiTheme="majorHAnsi" w:hAnsiTheme="majorHAnsi" w:cstheme="majorHAnsi"/>
          <w:sz w:val="16"/>
          <w:szCs w:val="16"/>
          <w:lang w:val="ro-MD"/>
        </w:rPr>
        <w:t>F</w:t>
      </w:r>
      <w:r w:rsidRPr="00641BC7">
        <w:rPr>
          <w:rFonts w:asciiTheme="majorHAnsi" w:hAnsiTheme="majorHAnsi" w:cstheme="majorHAnsi"/>
          <w:sz w:val="16"/>
          <w:szCs w:val="16"/>
          <w:lang w:val="ro-MD"/>
        </w:rPr>
        <w:t>inan</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elor nr.164 din 30.12.2016 „Cu privire la aprobarea Cerin</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elor la întocmirea Raportului narativ privind executarea bugetelor autorită</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ilor/institu</w:t>
      </w:r>
      <w:r w:rsidR="0068375E" w:rsidRPr="00641BC7">
        <w:rPr>
          <w:rFonts w:asciiTheme="majorHAnsi" w:hAnsiTheme="majorHAnsi" w:cstheme="majorHAnsi"/>
          <w:sz w:val="16"/>
          <w:szCs w:val="16"/>
          <w:lang w:val="ro-MD"/>
        </w:rPr>
        <w:t>ț</w:t>
      </w:r>
      <w:r w:rsidRPr="00641BC7">
        <w:rPr>
          <w:rFonts w:asciiTheme="majorHAnsi" w:hAnsiTheme="majorHAnsi" w:cstheme="majorHAnsi"/>
          <w:sz w:val="16"/>
          <w:szCs w:val="16"/>
          <w:lang w:val="ro-MD"/>
        </w:rPr>
        <w:t>iilor bugetare”.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F13335"/>
    <w:multiLevelType w:val="multilevel"/>
    <w:tmpl w:val="839CA1C0"/>
    <w:lvl w:ilvl="0">
      <w:start w:val="2"/>
      <w:numFmt w:val="upperRoman"/>
      <w:lvlText w:val="%1."/>
      <w:lvlJc w:val="left"/>
      <w:pPr>
        <w:ind w:left="8375" w:hanging="720"/>
      </w:pPr>
      <w:rPr>
        <w:rFonts w:hint="default"/>
        <w:b/>
      </w:rPr>
    </w:lvl>
    <w:lvl w:ilvl="1">
      <w:start w:val="5"/>
      <w:numFmt w:val="decimal"/>
      <w:isLgl/>
      <w:lvlText w:val="%1.%2."/>
      <w:lvlJc w:val="left"/>
      <w:pPr>
        <w:ind w:left="8364" w:hanging="360"/>
      </w:pPr>
      <w:rPr>
        <w:rFonts w:eastAsiaTheme="minorHAnsi" w:hint="default"/>
        <w:color w:val="000000" w:themeColor="text1"/>
      </w:rPr>
    </w:lvl>
    <w:lvl w:ilvl="2">
      <w:start w:val="1"/>
      <w:numFmt w:val="decimal"/>
      <w:isLgl/>
      <w:lvlText w:val="%1.%2.%3."/>
      <w:lvlJc w:val="left"/>
      <w:pPr>
        <w:ind w:left="9073" w:hanging="720"/>
      </w:pPr>
      <w:rPr>
        <w:rFonts w:eastAsiaTheme="minorHAnsi" w:hint="default"/>
        <w:color w:val="000000" w:themeColor="text1"/>
      </w:rPr>
    </w:lvl>
    <w:lvl w:ilvl="3">
      <w:start w:val="1"/>
      <w:numFmt w:val="decimal"/>
      <w:isLgl/>
      <w:lvlText w:val="%1.%2.%3.%4."/>
      <w:lvlJc w:val="left"/>
      <w:pPr>
        <w:ind w:left="9422" w:hanging="720"/>
      </w:pPr>
      <w:rPr>
        <w:rFonts w:eastAsiaTheme="minorHAnsi" w:hint="default"/>
        <w:color w:val="000000" w:themeColor="text1"/>
      </w:rPr>
    </w:lvl>
    <w:lvl w:ilvl="4">
      <w:start w:val="1"/>
      <w:numFmt w:val="decimal"/>
      <w:isLgl/>
      <w:lvlText w:val="%1.%2.%3.%4.%5."/>
      <w:lvlJc w:val="left"/>
      <w:pPr>
        <w:ind w:left="10131" w:hanging="1080"/>
      </w:pPr>
      <w:rPr>
        <w:rFonts w:eastAsiaTheme="minorHAnsi" w:hint="default"/>
        <w:color w:val="000000" w:themeColor="text1"/>
      </w:rPr>
    </w:lvl>
    <w:lvl w:ilvl="5">
      <w:start w:val="1"/>
      <w:numFmt w:val="decimal"/>
      <w:isLgl/>
      <w:lvlText w:val="%1.%2.%3.%4.%5.%6."/>
      <w:lvlJc w:val="left"/>
      <w:pPr>
        <w:ind w:left="10480" w:hanging="1080"/>
      </w:pPr>
      <w:rPr>
        <w:rFonts w:eastAsiaTheme="minorHAnsi" w:hint="default"/>
        <w:color w:val="000000" w:themeColor="text1"/>
      </w:rPr>
    </w:lvl>
    <w:lvl w:ilvl="6">
      <w:start w:val="1"/>
      <w:numFmt w:val="decimal"/>
      <w:isLgl/>
      <w:lvlText w:val="%1.%2.%3.%4.%5.%6.%7."/>
      <w:lvlJc w:val="left"/>
      <w:pPr>
        <w:ind w:left="11189" w:hanging="1440"/>
      </w:pPr>
      <w:rPr>
        <w:rFonts w:eastAsiaTheme="minorHAnsi" w:hint="default"/>
        <w:color w:val="000000" w:themeColor="text1"/>
      </w:rPr>
    </w:lvl>
    <w:lvl w:ilvl="7">
      <w:start w:val="1"/>
      <w:numFmt w:val="decimal"/>
      <w:isLgl/>
      <w:lvlText w:val="%1.%2.%3.%4.%5.%6.%7.%8."/>
      <w:lvlJc w:val="left"/>
      <w:pPr>
        <w:ind w:left="11538" w:hanging="1440"/>
      </w:pPr>
      <w:rPr>
        <w:rFonts w:eastAsiaTheme="minorHAnsi" w:hint="default"/>
        <w:color w:val="000000" w:themeColor="text1"/>
      </w:rPr>
    </w:lvl>
    <w:lvl w:ilvl="8">
      <w:start w:val="1"/>
      <w:numFmt w:val="decimal"/>
      <w:isLgl/>
      <w:lvlText w:val="%1.%2.%3.%4.%5.%6.%7.%8.%9."/>
      <w:lvlJc w:val="left"/>
      <w:pPr>
        <w:ind w:left="12247" w:hanging="1800"/>
      </w:pPr>
      <w:rPr>
        <w:rFonts w:eastAsiaTheme="minorHAnsi" w:hint="default"/>
        <w:color w:val="000000" w:themeColor="text1"/>
      </w:rPr>
    </w:lvl>
  </w:abstractNum>
  <w:abstractNum w:abstractNumId="2" w15:restartNumberingAfterBreak="0">
    <w:nsid w:val="1EAB39BB"/>
    <w:multiLevelType w:val="hybridMultilevel"/>
    <w:tmpl w:val="32F8CB3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EB173D1"/>
    <w:multiLevelType w:val="multilevel"/>
    <w:tmpl w:val="206E64C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D8244A"/>
    <w:multiLevelType w:val="multilevel"/>
    <w:tmpl w:val="D6C0269A"/>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i w:val="0"/>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6685295"/>
    <w:multiLevelType w:val="hybridMultilevel"/>
    <w:tmpl w:val="A222A2C6"/>
    <w:lvl w:ilvl="0" w:tplc="66D0C75C">
      <w:start w:val="4"/>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F439B"/>
    <w:multiLevelType w:val="multilevel"/>
    <w:tmpl w:val="CAB03BAC"/>
    <w:lvl w:ilvl="0">
      <w:start w:val="5"/>
      <w:numFmt w:val="upperRoman"/>
      <w:lvlText w:val="%1."/>
      <w:lvlJc w:val="left"/>
      <w:pPr>
        <w:ind w:left="1080" w:hanging="720"/>
      </w:pPr>
      <w:rPr>
        <w:rFonts w:hint="default"/>
        <w:b/>
        <w:sz w:val="28"/>
        <w:szCs w:val="28"/>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592C3DB5"/>
    <w:multiLevelType w:val="hybridMultilevel"/>
    <w:tmpl w:val="4F084D2A"/>
    <w:lvl w:ilvl="0" w:tplc="DC1CC39C">
      <w:start w:val="1"/>
      <w:numFmt w:val="upperRoman"/>
      <w:lvlText w:val="%1."/>
      <w:lvlJc w:val="left"/>
      <w:pPr>
        <w:ind w:left="720" w:hanging="720"/>
      </w:pPr>
      <w:rPr>
        <w:rFonts w:cs="Times New Roman" w:hint="default"/>
        <w:b/>
        <w:sz w:val="24"/>
        <w:szCs w:val="24"/>
      </w:rPr>
    </w:lvl>
    <w:lvl w:ilvl="1" w:tplc="3F004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D42B7B"/>
    <w:multiLevelType w:val="hybridMultilevel"/>
    <w:tmpl w:val="9050C2E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0" w15:restartNumberingAfterBreak="0">
    <w:nsid w:val="5E873CDD"/>
    <w:multiLevelType w:val="hybridMultilevel"/>
    <w:tmpl w:val="F7900F62"/>
    <w:lvl w:ilvl="0" w:tplc="6CC661E8">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6FA9"/>
    <w:multiLevelType w:val="multilevel"/>
    <w:tmpl w:val="954E60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3B4B83"/>
    <w:multiLevelType w:val="hybridMultilevel"/>
    <w:tmpl w:val="C02CFF22"/>
    <w:lvl w:ilvl="0" w:tplc="57E41B1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0"/>
  </w:num>
  <w:num w:numId="6">
    <w:abstractNumId w:val="11"/>
  </w:num>
  <w:num w:numId="7">
    <w:abstractNumId w:val="5"/>
  </w:num>
  <w:num w:numId="8">
    <w:abstractNumId w:val="3"/>
  </w:num>
  <w:num w:numId="9">
    <w:abstractNumId w:val="2"/>
  </w:num>
  <w:num w:numId="10">
    <w:abstractNumId w:val="7"/>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1"/>
    <w:rsid w:val="000011D1"/>
    <w:rsid w:val="00004503"/>
    <w:rsid w:val="00006A06"/>
    <w:rsid w:val="0000785A"/>
    <w:rsid w:val="00010D75"/>
    <w:rsid w:val="00027071"/>
    <w:rsid w:val="00030302"/>
    <w:rsid w:val="00032049"/>
    <w:rsid w:val="00034030"/>
    <w:rsid w:val="000401F0"/>
    <w:rsid w:val="00053E1D"/>
    <w:rsid w:val="00064096"/>
    <w:rsid w:val="00064740"/>
    <w:rsid w:val="00065615"/>
    <w:rsid w:val="000677ED"/>
    <w:rsid w:val="00070EE5"/>
    <w:rsid w:val="00075FAA"/>
    <w:rsid w:val="000761C1"/>
    <w:rsid w:val="000A4BD0"/>
    <w:rsid w:val="000A5189"/>
    <w:rsid w:val="000A7EDD"/>
    <w:rsid w:val="000B0147"/>
    <w:rsid w:val="000B1806"/>
    <w:rsid w:val="000B2931"/>
    <w:rsid w:val="000B32FC"/>
    <w:rsid w:val="000B45D8"/>
    <w:rsid w:val="000C5C25"/>
    <w:rsid w:val="000C6797"/>
    <w:rsid w:val="000C6EDE"/>
    <w:rsid w:val="000D35A8"/>
    <w:rsid w:val="000F10D1"/>
    <w:rsid w:val="000F23FF"/>
    <w:rsid w:val="000F5B6C"/>
    <w:rsid w:val="000F5CB5"/>
    <w:rsid w:val="001005B3"/>
    <w:rsid w:val="0010290D"/>
    <w:rsid w:val="00110AAA"/>
    <w:rsid w:val="00116A62"/>
    <w:rsid w:val="001221A2"/>
    <w:rsid w:val="0012718F"/>
    <w:rsid w:val="00134159"/>
    <w:rsid w:val="001349B6"/>
    <w:rsid w:val="00137349"/>
    <w:rsid w:val="00151AF8"/>
    <w:rsid w:val="00156035"/>
    <w:rsid w:val="00156C3E"/>
    <w:rsid w:val="0016334D"/>
    <w:rsid w:val="00172CB9"/>
    <w:rsid w:val="00173739"/>
    <w:rsid w:val="00174EB6"/>
    <w:rsid w:val="00176AEA"/>
    <w:rsid w:val="00181569"/>
    <w:rsid w:val="001832C9"/>
    <w:rsid w:val="001837E5"/>
    <w:rsid w:val="00183D3F"/>
    <w:rsid w:val="001947A8"/>
    <w:rsid w:val="001A162C"/>
    <w:rsid w:val="001A241A"/>
    <w:rsid w:val="001A7114"/>
    <w:rsid w:val="001B24E3"/>
    <w:rsid w:val="001B311E"/>
    <w:rsid w:val="001C49CC"/>
    <w:rsid w:val="001D1621"/>
    <w:rsid w:val="001D48C3"/>
    <w:rsid w:val="001D6E2E"/>
    <w:rsid w:val="001D72BA"/>
    <w:rsid w:val="001E2C75"/>
    <w:rsid w:val="001E4176"/>
    <w:rsid w:val="00202123"/>
    <w:rsid w:val="0020581E"/>
    <w:rsid w:val="0021580B"/>
    <w:rsid w:val="00225422"/>
    <w:rsid w:val="00233EDA"/>
    <w:rsid w:val="00235132"/>
    <w:rsid w:val="00243708"/>
    <w:rsid w:val="00243784"/>
    <w:rsid w:val="002571E1"/>
    <w:rsid w:val="002605A7"/>
    <w:rsid w:val="00261B79"/>
    <w:rsid w:val="00266CA9"/>
    <w:rsid w:val="002758F7"/>
    <w:rsid w:val="00284063"/>
    <w:rsid w:val="00284239"/>
    <w:rsid w:val="00293356"/>
    <w:rsid w:val="00295F92"/>
    <w:rsid w:val="002A4863"/>
    <w:rsid w:val="002A7174"/>
    <w:rsid w:val="002A7386"/>
    <w:rsid w:val="002B3C87"/>
    <w:rsid w:val="002B7680"/>
    <w:rsid w:val="002C3389"/>
    <w:rsid w:val="002C3A16"/>
    <w:rsid w:val="002C42C5"/>
    <w:rsid w:val="002C5680"/>
    <w:rsid w:val="002D3C3D"/>
    <w:rsid w:val="002E0D23"/>
    <w:rsid w:val="002E1E85"/>
    <w:rsid w:val="002F073A"/>
    <w:rsid w:val="002F3BB2"/>
    <w:rsid w:val="002F68D7"/>
    <w:rsid w:val="003004C8"/>
    <w:rsid w:val="0030557A"/>
    <w:rsid w:val="00310116"/>
    <w:rsid w:val="00312312"/>
    <w:rsid w:val="00316552"/>
    <w:rsid w:val="003217C3"/>
    <w:rsid w:val="00322D0B"/>
    <w:rsid w:val="00324484"/>
    <w:rsid w:val="00331F31"/>
    <w:rsid w:val="00334097"/>
    <w:rsid w:val="003369C7"/>
    <w:rsid w:val="0033793C"/>
    <w:rsid w:val="00337A19"/>
    <w:rsid w:val="00341001"/>
    <w:rsid w:val="0034278A"/>
    <w:rsid w:val="003451D7"/>
    <w:rsid w:val="003466C9"/>
    <w:rsid w:val="003506F6"/>
    <w:rsid w:val="003537FE"/>
    <w:rsid w:val="00353FA3"/>
    <w:rsid w:val="00361248"/>
    <w:rsid w:val="00363487"/>
    <w:rsid w:val="0037121A"/>
    <w:rsid w:val="0037467B"/>
    <w:rsid w:val="00375314"/>
    <w:rsid w:val="0037649F"/>
    <w:rsid w:val="00377B35"/>
    <w:rsid w:val="00380B81"/>
    <w:rsid w:val="0038188C"/>
    <w:rsid w:val="0039005D"/>
    <w:rsid w:val="00396749"/>
    <w:rsid w:val="003A5862"/>
    <w:rsid w:val="003A5A44"/>
    <w:rsid w:val="003A799A"/>
    <w:rsid w:val="003A7BA9"/>
    <w:rsid w:val="003B11E1"/>
    <w:rsid w:val="003C15AC"/>
    <w:rsid w:val="003D5EB6"/>
    <w:rsid w:val="003D66D0"/>
    <w:rsid w:val="003E1415"/>
    <w:rsid w:val="003F2EB8"/>
    <w:rsid w:val="00421D63"/>
    <w:rsid w:val="00426DF1"/>
    <w:rsid w:val="00426EB8"/>
    <w:rsid w:val="00426F8C"/>
    <w:rsid w:val="00432509"/>
    <w:rsid w:val="00435E00"/>
    <w:rsid w:val="00445C48"/>
    <w:rsid w:val="00445D7B"/>
    <w:rsid w:val="004474A9"/>
    <w:rsid w:val="004476F5"/>
    <w:rsid w:val="00451F71"/>
    <w:rsid w:val="00452871"/>
    <w:rsid w:val="00456BE5"/>
    <w:rsid w:val="004577BE"/>
    <w:rsid w:val="00460B87"/>
    <w:rsid w:val="00461CA3"/>
    <w:rsid w:val="00467EF9"/>
    <w:rsid w:val="004726BC"/>
    <w:rsid w:val="004736B8"/>
    <w:rsid w:val="00474EAB"/>
    <w:rsid w:val="00475BC6"/>
    <w:rsid w:val="00483CB0"/>
    <w:rsid w:val="00485605"/>
    <w:rsid w:val="00486CEC"/>
    <w:rsid w:val="0049438A"/>
    <w:rsid w:val="004A00E3"/>
    <w:rsid w:val="004A19DE"/>
    <w:rsid w:val="004A5B91"/>
    <w:rsid w:val="004A6EE7"/>
    <w:rsid w:val="004B2FD8"/>
    <w:rsid w:val="004B4F7C"/>
    <w:rsid w:val="004B5A85"/>
    <w:rsid w:val="004C1E2B"/>
    <w:rsid w:val="004C401F"/>
    <w:rsid w:val="004C60D0"/>
    <w:rsid w:val="004C71C9"/>
    <w:rsid w:val="004D2B72"/>
    <w:rsid w:val="004E2CD9"/>
    <w:rsid w:val="004E2E5F"/>
    <w:rsid w:val="004F1A39"/>
    <w:rsid w:val="004F34C1"/>
    <w:rsid w:val="004F39B6"/>
    <w:rsid w:val="004F429F"/>
    <w:rsid w:val="004F4B47"/>
    <w:rsid w:val="004F702A"/>
    <w:rsid w:val="004F7D76"/>
    <w:rsid w:val="00510E80"/>
    <w:rsid w:val="00516622"/>
    <w:rsid w:val="00516C14"/>
    <w:rsid w:val="00526CAC"/>
    <w:rsid w:val="00535C21"/>
    <w:rsid w:val="005404A6"/>
    <w:rsid w:val="00542858"/>
    <w:rsid w:val="00542965"/>
    <w:rsid w:val="00542FC7"/>
    <w:rsid w:val="0054786D"/>
    <w:rsid w:val="00555302"/>
    <w:rsid w:val="00561F84"/>
    <w:rsid w:val="00563379"/>
    <w:rsid w:val="00563D95"/>
    <w:rsid w:val="00564D8C"/>
    <w:rsid w:val="00566060"/>
    <w:rsid w:val="00581A35"/>
    <w:rsid w:val="00581F89"/>
    <w:rsid w:val="00582467"/>
    <w:rsid w:val="00582BA7"/>
    <w:rsid w:val="005859F0"/>
    <w:rsid w:val="00585A43"/>
    <w:rsid w:val="00586623"/>
    <w:rsid w:val="0058702A"/>
    <w:rsid w:val="005954CC"/>
    <w:rsid w:val="0059657B"/>
    <w:rsid w:val="005A0168"/>
    <w:rsid w:val="005A01B7"/>
    <w:rsid w:val="005A2638"/>
    <w:rsid w:val="005A3BA0"/>
    <w:rsid w:val="005B2034"/>
    <w:rsid w:val="005B4C02"/>
    <w:rsid w:val="005C4C73"/>
    <w:rsid w:val="005C5390"/>
    <w:rsid w:val="005D02D2"/>
    <w:rsid w:val="005D496C"/>
    <w:rsid w:val="005E1922"/>
    <w:rsid w:val="005E48D8"/>
    <w:rsid w:val="005F2769"/>
    <w:rsid w:val="005F5E38"/>
    <w:rsid w:val="00601797"/>
    <w:rsid w:val="00603AC2"/>
    <w:rsid w:val="00603D3D"/>
    <w:rsid w:val="00604163"/>
    <w:rsid w:val="00611CBF"/>
    <w:rsid w:val="00615F7A"/>
    <w:rsid w:val="00616E8C"/>
    <w:rsid w:val="00630965"/>
    <w:rsid w:val="00641BC7"/>
    <w:rsid w:val="00646FE1"/>
    <w:rsid w:val="00650811"/>
    <w:rsid w:val="0065737A"/>
    <w:rsid w:val="006573BE"/>
    <w:rsid w:val="00664010"/>
    <w:rsid w:val="0066575D"/>
    <w:rsid w:val="00666189"/>
    <w:rsid w:val="00673600"/>
    <w:rsid w:val="00677F80"/>
    <w:rsid w:val="0068375E"/>
    <w:rsid w:val="0068433F"/>
    <w:rsid w:val="006858F6"/>
    <w:rsid w:val="0068790B"/>
    <w:rsid w:val="00691A35"/>
    <w:rsid w:val="006A4B17"/>
    <w:rsid w:val="006A7C80"/>
    <w:rsid w:val="006B09E6"/>
    <w:rsid w:val="006B0EBB"/>
    <w:rsid w:val="006B22F9"/>
    <w:rsid w:val="006C0527"/>
    <w:rsid w:val="006C3CC1"/>
    <w:rsid w:val="006C6BB2"/>
    <w:rsid w:val="006D47CF"/>
    <w:rsid w:val="006D76DE"/>
    <w:rsid w:val="006D7B05"/>
    <w:rsid w:val="006F5D30"/>
    <w:rsid w:val="00702548"/>
    <w:rsid w:val="00702642"/>
    <w:rsid w:val="00703FDC"/>
    <w:rsid w:val="00710132"/>
    <w:rsid w:val="00712577"/>
    <w:rsid w:val="00713F76"/>
    <w:rsid w:val="00724187"/>
    <w:rsid w:val="00726A8C"/>
    <w:rsid w:val="0072787C"/>
    <w:rsid w:val="00730DA0"/>
    <w:rsid w:val="00731683"/>
    <w:rsid w:val="00731A17"/>
    <w:rsid w:val="007320E5"/>
    <w:rsid w:val="007325D8"/>
    <w:rsid w:val="00734B6F"/>
    <w:rsid w:val="0073621E"/>
    <w:rsid w:val="007410AA"/>
    <w:rsid w:val="00743FBA"/>
    <w:rsid w:val="007478B2"/>
    <w:rsid w:val="007505F0"/>
    <w:rsid w:val="007623F6"/>
    <w:rsid w:val="0077071F"/>
    <w:rsid w:val="007724D6"/>
    <w:rsid w:val="00777C76"/>
    <w:rsid w:val="0078200C"/>
    <w:rsid w:val="00785ECF"/>
    <w:rsid w:val="00793965"/>
    <w:rsid w:val="0079532A"/>
    <w:rsid w:val="007A0C47"/>
    <w:rsid w:val="007A4037"/>
    <w:rsid w:val="007B04AA"/>
    <w:rsid w:val="007B0619"/>
    <w:rsid w:val="007B4C70"/>
    <w:rsid w:val="007C2399"/>
    <w:rsid w:val="007C46F1"/>
    <w:rsid w:val="007C6BF3"/>
    <w:rsid w:val="007E45CD"/>
    <w:rsid w:val="007E6AF7"/>
    <w:rsid w:val="007F0D37"/>
    <w:rsid w:val="007F47D4"/>
    <w:rsid w:val="007F6B0A"/>
    <w:rsid w:val="00802804"/>
    <w:rsid w:val="00806DCC"/>
    <w:rsid w:val="008111AC"/>
    <w:rsid w:val="008157B4"/>
    <w:rsid w:val="00816C63"/>
    <w:rsid w:val="00821381"/>
    <w:rsid w:val="0082141B"/>
    <w:rsid w:val="00822586"/>
    <w:rsid w:val="00827AB0"/>
    <w:rsid w:val="008313E2"/>
    <w:rsid w:val="00831E43"/>
    <w:rsid w:val="008323C1"/>
    <w:rsid w:val="00833BA5"/>
    <w:rsid w:val="00833DA6"/>
    <w:rsid w:val="00846163"/>
    <w:rsid w:val="0086193C"/>
    <w:rsid w:val="00871D3B"/>
    <w:rsid w:val="00872008"/>
    <w:rsid w:val="00875F24"/>
    <w:rsid w:val="0087604A"/>
    <w:rsid w:val="00892D88"/>
    <w:rsid w:val="00897A23"/>
    <w:rsid w:val="008A071D"/>
    <w:rsid w:val="008A49C6"/>
    <w:rsid w:val="008A63BF"/>
    <w:rsid w:val="008B0B04"/>
    <w:rsid w:val="008B2AD9"/>
    <w:rsid w:val="008B339F"/>
    <w:rsid w:val="008B4C22"/>
    <w:rsid w:val="008B5C83"/>
    <w:rsid w:val="008C329A"/>
    <w:rsid w:val="008C5666"/>
    <w:rsid w:val="008C7378"/>
    <w:rsid w:val="008D3ED7"/>
    <w:rsid w:val="008D5800"/>
    <w:rsid w:val="008D78BA"/>
    <w:rsid w:val="008E05EC"/>
    <w:rsid w:val="008E7138"/>
    <w:rsid w:val="008F096E"/>
    <w:rsid w:val="008F3415"/>
    <w:rsid w:val="008F6BB6"/>
    <w:rsid w:val="00903C32"/>
    <w:rsid w:val="00907741"/>
    <w:rsid w:val="0091261B"/>
    <w:rsid w:val="00917038"/>
    <w:rsid w:val="00922343"/>
    <w:rsid w:val="00926A59"/>
    <w:rsid w:val="009309EE"/>
    <w:rsid w:val="00933EA3"/>
    <w:rsid w:val="0093720D"/>
    <w:rsid w:val="009447BA"/>
    <w:rsid w:val="009476C0"/>
    <w:rsid w:val="0095026F"/>
    <w:rsid w:val="009506DB"/>
    <w:rsid w:val="009512C0"/>
    <w:rsid w:val="00961AC7"/>
    <w:rsid w:val="00971343"/>
    <w:rsid w:val="00982B2D"/>
    <w:rsid w:val="009905FB"/>
    <w:rsid w:val="00994F62"/>
    <w:rsid w:val="009A1D3E"/>
    <w:rsid w:val="009A7804"/>
    <w:rsid w:val="009A7FC4"/>
    <w:rsid w:val="009D5FCD"/>
    <w:rsid w:val="009E033B"/>
    <w:rsid w:val="009E1346"/>
    <w:rsid w:val="009F66B7"/>
    <w:rsid w:val="009F79B6"/>
    <w:rsid w:val="00A03310"/>
    <w:rsid w:val="00A16125"/>
    <w:rsid w:val="00A20599"/>
    <w:rsid w:val="00A23939"/>
    <w:rsid w:val="00A25573"/>
    <w:rsid w:val="00A2705E"/>
    <w:rsid w:val="00A3018C"/>
    <w:rsid w:val="00A33986"/>
    <w:rsid w:val="00A355B5"/>
    <w:rsid w:val="00A358C5"/>
    <w:rsid w:val="00A377DE"/>
    <w:rsid w:val="00A45EF1"/>
    <w:rsid w:val="00A51CE2"/>
    <w:rsid w:val="00A54DF5"/>
    <w:rsid w:val="00A60D75"/>
    <w:rsid w:val="00A6636F"/>
    <w:rsid w:val="00A71F5A"/>
    <w:rsid w:val="00A82DEF"/>
    <w:rsid w:val="00A83074"/>
    <w:rsid w:val="00A83344"/>
    <w:rsid w:val="00A93B1A"/>
    <w:rsid w:val="00A970FC"/>
    <w:rsid w:val="00A97109"/>
    <w:rsid w:val="00AA794D"/>
    <w:rsid w:val="00AB5F83"/>
    <w:rsid w:val="00AC114F"/>
    <w:rsid w:val="00AC2DA8"/>
    <w:rsid w:val="00AC4769"/>
    <w:rsid w:val="00AE0501"/>
    <w:rsid w:val="00AE34DE"/>
    <w:rsid w:val="00AE5A61"/>
    <w:rsid w:val="00AE6F05"/>
    <w:rsid w:val="00AF3FD7"/>
    <w:rsid w:val="00AF52A6"/>
    <w:rsid w:val="00AF715A"/>
    <w:rsid w:val="00B00106"/>
    <w:rsid w:val="00B00C82"/>
    <w:rsid w:val="00B01994"/>
    <w:rsid w:val="00B020D4"/>
    <w:rsid w:val="00B03CED"/>
    <w:rsid w:val="00B0752D"/>
    <w:rsid w:val="00B116B3"/>
    <w:rsid w:val="00B27499"/>
    <w:rsid w:val="00B27849"/>
    <w:rsid w:val="00B34B19"/>
    <w:rsid w:val="00B35393"/>
    <w:rsid w:val="00B46DD6"/>
    <w:rsid w:val="00B47265"/>
    <w:rsid w:val="00B563E7"/>
    <w:rsid w:val="00B644E9"/>
    <w:rsid w:val="00B815CD"/>
    <w:rsid w:val="00B8403E"/>
    <w:rsid w:val="00B8482E"/>
    <w:rsid w:val="00B87FB0"/>
    <w:rsid w:val="00B92083"/>
    <w:rsid w:val="00B93C6E"/>
    <w:rsid w:val="00B9552D"/>
    <w:rsid w:val="00B968F5"/>
    <w:rsid w:val="00B97078"/>
    <w:rsid w:val="00B97A47"/>
    <w:rsid w:val="00BA028D"/>
    <w:rsid w:val="00BA1E10"/>
    <w:rsid w:val="00BA5560"/>
    <w:rsid w:val="00BA720A"/>
    <w:rsid w:val="00BB333B"/>
    <w:rsid w:val="00BB7603"/>
    <w:rsid w:val="00BC152A"/>
    <w:rsid w:val="00BC347D"/>
    <w:rsid w:val="00BC7A9A"/>
    <w:rsid w:val="00BC7E15"/>
    <w:rsid w:val="00BD284A"/>
    <w:rsid w:val="00BD6FC1"/>
    <w:rsid w:val="00BE1E8D"/>
    <w:rsid w:val="00BE2596"/>
    <w:rsid w:val="00BE292E"/>
    <w:rsid w:val="00BE5423"/>
    <w:rsid w:val="00BE6AE7"/>
    <w:rsid w:val="00BE7FBF"/>
    <w:rsid w:val="00BF0E1B"/>
    <w:rsid w:val="00BF265D"/>
    <w:rsid w:val="00BF306A"/>
    <w:rsid w:val="00BF4D5C"/>
    <w:rsid w:val="00BF685A"/>
    <w:rsid w:val="00C03AF5"/>
    <w:rsid w:val="00C0697E"/>
    <w:rsid w:val="00C079A2"/>
    <w:rsid w:val="00C1256F"/>
    <w:rsid w:val="00C153BA"/>
    <w:rsid w:val="00C15DB3"/>
    <w:rsid w:val="00C237F3"/>
    <w:rsid w:val="00C238D2"/>
    <w:rsid w:val="00C23FA5"/>
    <w:rsid w:val="00C25AEA"/>
    <w:rsid w:val="00C2637F"/>
    <w:rsid w:val="00C34F6F"/>
    <w:rsid w:val="00C513CC"/>
    <w:rsid w:val="00C55BED"/>
    <w:rsid w:val="00C66E2A"/>
    <w:rsid w:val="00C67B9D"/>
    <w:rsid w:val="00C708D8"/>
    <w:rsid w:val="00C716F7"/>
    <w:rsid w:val="00C71AF4"/>
    <w:rsid w:val="00C7654B"/>
    <w:rsid w:val="00C901D3"/>
    <w:rsid w:val="00C903F6"/>
    <w:rsid w:val="00C9287E"/>
    <w:rsid w:val="00CA3916"/>
    <w:rsid w:val="00CB2374"/>
    <w:rsid w:val="00CB305A"/>
    <w:rsid w:val="00CB5280"/>
    <w:rsid w:val="00CC2410"/>
    <w:rsid w:val="00CC3E76"/>
    <w:rsid w:val="00CD1384"/>
    <w:rsid w:val="00CE074D"/>
    <w:rsid w:val="00CE2C46"/>
    <w:rsid w:val="00CE2FAD"/>
    <w:rsid w:val="00CE67DD"/>
    <w:rsid w:val="00CF2590"/>
    <w:rsid w:val="00D05A6A"/>
    <w:rsid w:val="00D07C3B"/>
    <w:rsid w:val="00D144C8"/>
    <w:rsid w:val="00D14585"/>
    <w:rsid w:val="00D149B1"/>
    <w:rsid w:val="00D1736C"/>
    <w:rsid w:val="00D17B49"/>
    <w:rsid w:val="00D24B9F"/>
    <w:rsid w:val="00D273AD"/>
    <w:rsid w:val="00D30B22"/>
    <w:rsid w:val="00D35317"/>
    <w:rsid w:val="00D36346"/>
    <w:rsid w:val="00D4345D"/>
    <w:rsid w:val="00D45099"/>
    <w:rsid w:val="00D506CD"/>
    <w:rsid w:val="00D507D1"/>
    <w:rsid w:val="00D62499"/>
    <w:rsid w:val="00D6273F"/>
    <w:rsid w:val="00D63021"/>
    <w:rsid w:val="00D66454"/>
    <w:rsid w:val="00D67A43"/>
    <w:rsid w:val="00D710E5"/>
    <w:rsid w:val="00D72C38"/>
    <w:rsid w:val="00D74A3C"/>
    <w:rsid w:val="00D76386"/>
    <w:rsid w:val="00D82B3E"/>
    <w:rsid w:val="00D902AA"/>
    <w:rsid w:val="00D90C5D"/>
    <w:rsid w:val="00D91410"/>
    <w:rsid w:val="00D9511C"/>
    <w:rsid w:val="00D97B5A"/>
    <w:rsid w:val="00D97FE0"/>
    <w:rsid w:val="00DA0E1F"/>
    <w:rsid w:val="00DB39DD"/>
    <w:rsid w:val="00DC1DE5"/>
    <w:rsid w:val="00DC34B2"/>
    <w:rsid w:val="00DC5E19"/>
    <w:rsid w:val="00DC7063"/>
    <w:rsid w:val="00DD2685"/>
    <w:rsid w:val="00DD27F9"/>
    <w:rsid w:val="00DD59F1"/>
    <w:rsid w:val="00DD5BA9"/>
    <w:rsid w:val="00DE4428"/>
    <w:rsid w:val="00DE4F26"/>
    <w:rsid w:val="00DE7C91"/>
    <w:rsid w:val="00E0167D"/>
    <w:rsid w:val="00E023C0"/>
    <w:rsid w:val="00E0512F"/>
    <w:rsid w:val="00E10C00"/>
    <w:rsid w:val="00E12F9F"/>
    <w:rsid w:val="00E202A0"/>
    <w:rsid w:val="00E23D18"/>
    <w:rsid w:val="00E260C2"/>
    <w:rsid w:val="00E35466"/>
    <w:rsid w:val="00E377B0"/>
    <w:rsid w:val="00E44F28"/>
    <w:rsid w:val="00E615D1"/>
    <w:rsid w:val="00E70BFF"/>
    <w:rsid w:val="00E75C37"/>
    <w:rsid w:val="00E76932"/>
    <w:rsid w:val="00E77DFE"/>
    <w:rsid w:val="00E832ED"/>
    <w:rsid w:val="00E833ED"/>
    <w:rsid w:val="00E84523"/>
    <w:rsid w:val="00E97676"/>
    <w:rsid w:val="00E97DA7"/>
    <w:rsid w:val="00EA2FA6"/>
    <w:rsid w:val="00EA36B4"/>
    <w:rsid w:val="00EA5136"/>
    <w:rsid w:val="00EB22C5"/>
    <w:rsid w:val="00EB668A"/>
    <w:rsid w:val="00EC2892"/>
    <w:rsid w:val="00EC2D0B"/>
    <w:rsid w:val="00EC61F7"/>
    <w:rsid w:val="00EC7A41"/>
    <w:rsid w:val="00EC7D41"/>
    <w:rsid w:val="00EC7DA6"/>
    <w:rsid w:val="00EE4E28"/>
    <w:rsid w:val="00EE6912"/>
    <w:rsid w:val="00EF09F2"/>
    <w:rsid w:val="00EF4620"/>
    <w:rsid w:val="00F0272C"/>
    <w:rsid w:val="00F04DA1"/>
    <w:rsid w:val="00F0606D"/>
    <w:rsid w:val="00F1126F"/>
    <w:rsid w:val="00F11465"/>
    <w:rsid w:val="00F16399"/>
    <w:rsid w:val="00F16D9B"/>
    <w:rsid w:val="00F17758"/>
    <w:rsid w:val="00F2445D"/>
    <w:rsid w:val="00F337F2"/>
    <w:rsid w:val="00F33DB8"/>
    <w:rsid w:val="00F36369"/>
    <w:rsid w:val="00F41F7E"/>
    <w:rsid w:val="00F445D7"/>
    <w:rsid w:val="00F453A9"/>
    <w:rsid w:val="00F45F42"/>
    <w:rsid w:val="00F471FB"/>
    <w:rsid w:val="00F501EC"/>
    <w:rsid w:val="00F541BC"/>
    <w:rsid w:val="00F574FB"/>
    <w:rsid w:val="00F60987"/>
    <w:rsid w:val="00F6183E"/>
    <w:rsid w:val="00F7356E"/>
    <w:rsid w:val="00F764E8"/>
    <w:rsid w:val="00F7687B"/>
    <w:rsid w:val="00F77421"/>
    <w:rsid w:val="00F87ECF"/>
    <w:rsid w:val="00F92017"/>
    <w:rsid w:val="00F96CC6"/>
    <w:rsid w:val="00FA0405"/>
    <w:rsid w:val="00FA2715"/>
    <w:rsid w:val="00FB225A"/>
    <w:rsid w:val="00FB3947"/>
    <w:rsid w:val="00FB4911"/>
    <w:rsid w:val="00FC3CB9"/>
    <w:rsid w:val="00FC3E55"/>
    <w:rsid w:val="00FC446D"/>
    <w:rsid w:val="00FC4989"/>
    <w:rsid w:val="00FC63C2"/>
    <w:rsid w:val="00FC6FA6"/>
    <w:rsid w:val="00FE15AA"/>
    <w:rsid w:val="00FE27BF"/>
    <w:rsid w:val="00FE63EA"/>
    <w:rsid w:val="00FF67DF"/>
    <w:rsid w:val="00FF75D2"/>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1A90"/>
  <w15:chartTrackingRefBased/>
  <w15:docId w15:val="{87C02CED-7498-422C-9FD7-960B71B3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74"/>
  </w:style>
  <w:style w:type="paragraph" w:styleId="Heading1">
    <w:name w:val="heading 1"/>
    <w:basedOn w:val="Normal"/>
    <w:next w:val="Normal"/>
    <w:link w:val="Heading1Char"/>
    <w:uiPriority w:val="9"/>
    <w:qFormat/>
    <w:rsid w:val="00B8482E"/>
    <w:pPr>
      <w:keepNext/>
      <w:keepLines/>
      <w:spacing w:before="240" w:after="0" w:line="254" w:lineRule="auto"/>
      <w:jc w:val="center"/>
      <w:outlineLvl w:val="0"/>
    </w:pPr>
    <w:rPr>
      <w:rFonts w:asciiTheme="majorHAnsi" w:eastAsiaTheme="majorEastAsia" w:hAnsiTheme="majorHAnsi" w:cstheme="majorBidi"/>
      <w:b/>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nhideWhenUsed/>
    <w:qFormat/>
    <w:rsid w:val="002A7174"/>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rsid w:val="002A7174"/>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2A717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2A7174"/>
    <w:pPr>
      <w:spacing w:after="0" w:line="240" w:lineRule="exact"/>
      <w:jc w:val="both"/>
    </w:pPr>
    <w:rPr>
      <w:vertAlign w:val="superscript"/>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Stil3"/>
    <w:basedOn w:val="Normal"/>
    <w:link w:val="ListParagraphChar"/>
    <w:uiPriority w:val="34"/>
    <w:qFormat/>
    <w:rsid w:val="002A7174"/>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qFormat/>
    <w:rsid w:val="002A7174"/>
  </w:style>
  <w:style w:type="character" w:styleId="Hyperlink">
    <w:name w:val="Hyperlink"/>
    <w:basedOn w:val="DefaultParagraphFont"/>
    <w:uiPriority w:val="99"/>
    <w:unhideWhenUsed/>
    <w:rsid w:val="002A7174"/>
    <w:rPr>
      <w:color w:val="0563C1" w:themeColor="hyperlink"/>
      <w:u w:val="single"/>
    </w:rPr>
  </w:style>
  <w:style w:type="character" w:styleId="CommentReference">
    <w:name w:val="annotation reference"/>
    <w:basedOn w:val="DefaultParagraphFont"/>
    <w:uiPriority w:val="99"/>
    <w:semiHidden/>
    <w:unhideWhenUsed/>
    <w:rsid w:val="002A7174"/>
    <w:rPr>
      <w:sz w:val="16"/>
      <w:szCs w:val="16"/>
    </w:rPr>
  </w:style>
  <w:style w:type="paragraph" w:styleId="CommentText">
    <w:name w:val="annotation text"/>
    <w:basedOn w:val="Normal"/>
    <w:link w:val="CommentTextChar"/>
    <w:uiPriority w:val="99"/>
    <w:unhideWhenUsed/>
    <w:rsid w:val="002A7174"/>
    <w:pPr>
      <w:spacing w:line="240" w:lineRule="auto"/>
    </w:pPr>
    <w:rPr>
      <w:sz w:val="20"/>
      <w:szCs w:val="20"/>
    </w:rPr>
  </w:style>
  <w:style w:type="character" w:customStyle="1" w:styleId="CommentTextChar">
    <w:name w:val="Comment Text Char"/>
    <w:basedOn w:val="DefaultParagraphFont"/>
    <w:link w:val="CommentText"/>
    <w:uiPriority w:val="99"/>
    <w:rsid w:val="002A7174"/>
    <w:rPr>
      <w:sz w:val="20"/>
      <w:szCs w:val="20"/>
    </w:rPr>
  </w:style>
  <w:style w:type="paragraph" w:styleId="BalloonText">
    <w:name w:val="Balloon Text"/>
    <w:basedOn w:val="Normal"/>
    <w:link w:val="BalloonTextChar"/>
    <w:uiPriority w:val="99"/>
    <w:semiHidden/>
    <w:unhideWhenUsed/>
    <w:rsid w:val="002A7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74"/>
    <w:rPr>
      <w:rFonts w:ascii="Segoe UI" w:hAnsi="Segoe UI" w:cs="Segoe UI"/>
      <w:sz w:val="18"/>
      <w:szCs w:val="18"/>
    </w:rPr>
  </w:style>
  <w:style w:type="paragraph" w:styleId="Header">
    <w:name w:val="header"/>
    <w:basedOn w:val="Normal"/>
    <w:link w:val="HeaderChar"/>
    <w:uiPriority w:val="99"/>
    <w:unhideWhenUsed/>
    <w:rsid w:val="002A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74"/>
  </w:style>
  <w:style w:type="paragraph" w:styleId="Footer">
    <w:name w:val="footer"/>
    <w:basedOn w:val="Normal"/>
    <w:link w:val="FooterChar"/>
    <w:uiPriority w:val="99"/>
    <w:unhideWhenUsed/>
    <w:rsid w:val="002A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74"/>
  </w:style>
  <w:style w:type="paragraph" w:customStyle="1" w:styleId="tt">
    <w:name w:val="tt"/>
    <w:basedOn w:val="Normal"/>
    <w:rsid w:val="00331F31"/>
    <w:pPr>
      <w:spacing w:after="0" w:line="240" w:lineRule="auto"/>
      <w:jc w:val="center"/>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F6183E"/>
    <w:rPr>
      <w:b/>
      <w:bCs/>
    </w:rPr>
  </w:style>
  <w:style w:type="character" w:customStyle="1" w:styleId="CommentSubjectChar">
    <w:name w:val="Comment Subject Char"/>
    <w:basedOn w:val="CommentTextChar"/>
    <w:link w:val="CommentSubject"/>
    <w:uiPriority w:val="99"/>
    <w:semiHidden/>
    <w:rsid w:val="00F6183E"/>
    <w:rPr>
      <w:b/>
      <w:bCs/>
      <w:sz w:val="20"/>
      <w:szCs w:val="20"/>
    </w:rPr>
  </w:style>
  <w:style w:type="character" w:customStyle="1" w:styleId="Heading1Char">
    <w:name w:val="Heading 1 Char"/>
    <w:basedOn w:val="DefaultParagraphFont"/>
    <w:link w:val="Heading1"/>
    <w:uiPriority w:val="9"/>
    <w:rsid w:val="00B8482E"/>
    <w:rPr>
      <w:rFonts w:asciiTheme="majorHAnsi" w:eastAsiaTheme="majorEastAsia" w:hAnsiTheme="majorHAnsi" w:cstheme="majorBidi"/>
      <w:b/>
      <w:color w:val="2E74B5" w:themeColor="accent1" w:themeShade="BF"/>
      <w:sz w:val="24"/>
      <w:szCs w:val="32"/>
    </w:rPr>
  </w:style>
  <w:style w:type="table" w:styleId="TableGrid">
    <w:name w:val="Table Grid"/>
    <w:basedOn w:val="TableNormal"/>
    <w:uiPriority w:val="39"/>
    <w:rsid w:val="00B8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uiPriority w:val="99"/>
    <w:rsid w:val="00F45F42"/>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character" w:customStyle="1" w:styleId="y2iqfc">
    <w:name w:val="y2iqfc"/>
    <w:basedOn w:val="DefaultParagraphFont"/>
    <w:rsid w:val="00C9287E"/>
  </w:style>
  <w:style w:type="table" w:customStyle="1" w:styleId="1">
    <w:name w:val="Сетка таблицы1"/>
    <w:basedOn w:val="TableNormal"/>
    <w:next w:val="TableGrid"/>
    <w:uiPriority w:val="39"/>
    <w:rsid w:val="00B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3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25135">
      <w:bodyDiv w:val="1"/>
      <w:marLeft w:val="0"/>
      <w:marRight w:val="0"/>
      <w:marTop w:val="0"/>
      <w:marBottom w:val="0"/>
      <w:divBdr>
        <w:top w:val="none" w:sz="0" w:space="0" w:color="auto"/>
        <w:left w:val="none" w:sz="0" w:space="0" w:color="auto"/>
        <w:bottom w:val="none" w:sz="0" w:space="0" w:color="auto"/>
        <w:right w:val="none" w:sz="0" w:space="0" w:color="auto"/>
      </w:divBdr>
    </w:div>
    <w:div w:id="275915352">
      <w:bodyDiv w:val="1"/>
      <w:marLeft w:val="0"/>
      <w:marRight w:val="0"/>
      <w:marTop w:val="0"/>
      <w:marBottom w:val="0"/>
      <w:divBdr>
        <w:top w:val="none" w:sz="0" w:space="0" w:color="auto"/>
        <w:left w:val="none" w:sz="0" w:space="0" w:color="auto"/>
        <w:bottom w:val="none" w:sz="0" w:space="0" w:color="auto"/>
        <w:right w:val="none" w:sz="0" w:space="0" w:color="auto"/>
      </w:divBdr>
    </w:div>
    <w:div w:id="560554859">
      <w:bodyDiv w:val="1"/>
      <w:marLeft w:val="0"/>
      <w:marRight w:val="0"/>
      <w:marTop w:val="0"/>
      <w:marBottom w:val="0"/>
      <w:divBdr>
        <w:top w:val="none" w:sz="0" w:space="0" w:color="auto"/>
        <w:left w:val="none" w:sz="0" w:space="0" w:color="auto"/>
        <w:bottom w:val="none" w:sz="0" w:space="0" w:color="auto"/>
        <w:right w:val="none" w:sz="0" w:space="0" w:color="auto"/>
      </w:divBdr>
    </w:div>
    <w:div w:id="838889401">
      <w:bodyDiv w:val="1"/>
      <w:marLeft w:val="0"/>
      <w:marRight w:val="0"/>
      <w:marTop w:val="0"/>
      <w:marBottom w:val="0"/>
      <w:divBdr>
        <w:top w:val="none" w:sz="0" w:space="0" w:color="auto"/>
        <w:left w:val="none" w:sz="0" w:space="0" w:color="auto"/>
        <w:bottom w:val="none" w:sz="0" w:space="0" w:color="auto"/>
        <w:right w:val="none" w:sz="0" w:space="0" w:color="auto"/>
      </w:divBdr>
    </w:div>
    <w:div w:id="951060402">
      <w:bodyDiv w:val="1"/>
      <w:marLeft w:val="0"/>
      <w:marRight w:val="0"/>
      <w:marTop w:val="0"/>
      <w:marBottom w:val="0"/>
      <w:divBdr>
        <w:top w:val="none" w:sz="0" w:space="0" w:color="auto"/>
        <w:left w:val="none" w:sz="0" w:space="0" w:color="auto"/>
        <w:bottom w:val="none" w:sz="0" w:space="0" w:color="auto"/>
        <w:right w:val="none" w:sz="0" w:space="0" w:color="auto"/>
      </w:divBdr>
    </w:div>
    <w:div w:id="1166940705">
      <w:bodyDiv w:val="1"/>
      <w:marLeft w:val="0"/>
      <w:marRight w:val="0"/>
      <w:marTop w:val="0"/>
      <w:marBottom w:val="0"/>
      <w:divBdr>
        <w:top w:val="none" w:sz="0" w:space="0" w:color="auto"/>
        <w:left w:val="none" w:sz="0" w:space="0" w:color="auto"/>
        <w:bottom w:val="none" w:sz="0" w:space="0" w:color="auto"/>
        <w:right w:val="none" w:sz="0" w:space="0" w:color="auto"/>
      </w:divBdr>
    </w:div>
    <w:div w:id="1237473042">
      <w:bodyDiv w:val="1"/>
      <w:marLeft w:val="0"/>
      <w:marRight w:val="0"/>
      <w:marTop w:val="0"/>
      <w:marBottom w:val="0"/>
      <w:divBdr>
        <w:top w:val="none" w:sz="0" w:space="0" w:color="auto"/>
        <w:left w:val="none" w:sz="0" w:space="0" w:color="auto"/>
        <w:bottom w:val="none" w:sz="0" w:space="0" w:color="auto"/>
        <w:right w:val="none" w:sz="0" w:space="0" w:color="auto"/>
      </w:divBdr>
    </w:div>
    <w:div w:id="1365206854">
      <w:bodyDiv w:val="1"/>
      <w:marLeft w:val="0"/>
      <w:marRight w:val="0"/>
      <w:marTop w:val="0"/>
      <w:marBottom w:val="0"/>
      <w:divBdr>
        <w:top w:val="none" w:sz="0" w:space="0" w:color="auto"/>
        <w:left w:val="none" w:sz="0" w:space="0" w:color="auto"/>
        <w:bottom w:val="none" w:sz="0" w:space="0" w:color="auto"/>
        <w:right w:val="none" w:sz="0" w:space="0" w:color="auto"/>
      </w:divBdr>
    </w:div>
    <w:div w:id="1387072795">
      <w:bodyDiv w:val="1"/>
      <w:marLeft w:val="0"/>
      <w:marRight w:val="0"/>
      <w:marTop w:val="0"/>
      <w:marBottom w:val="0"/>
      <w:divBdr>
        <w:top w:val="none" w:sz="0" w:space="0" w:color="auto"/>
        <w:left w:val="none" w:sz="0" w:space="0" w:color="auto"/>
        <w:bottom w:val="none" w:sz="0" w:space="0" w:color="auto"/>
        <w:right w:val="none" w:sz="0" w:space="0" w:color="auto"/>
      </w:divBdr>
    </w:div>
    <w:div w:id="20516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B38F-A6F8-476E-9F37-C01CD9BF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cp:lastPrinted>2021-12-06T17:27:00Z</cp:lastPrinted>
  <dcterms:created xsi:type="dcterms:W3CDTF">2021-12-24T12:18:00Z</dcterms:created>
  <dcterms:modified xsi:type="dcterms:W3CDTF">2021-12-24T12:18:00Z</dcterms:modified>
</cp:coreProperties>
</file>