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65679" w14:textId="33BDFA46" w:rsidR="009351E2" w:rsidRPr="00DD5F1D" w:rsidRDefault="009351E2" w:rsidP="009351E2">
      <w:pPr>
        <w:tabs>
          <w:tab w:val="left" w:pos="720"/>
        </w:tabs>
        <w:spacing w:after="0" w:line="276" w:lineRule="auto"/>
        <w:jc w:val="right"/>
        <w:rPr>
          <w:rFonts w:ascii="Times New Roman" w:eastAsia="Times New Roman" w:hAnsi="Times New Roman" w:cs="Times New Roman"/>
          <w:bCs/>
          <w:sz w:val="28"/>
          <w:szCs w:val="28"/>
          <w:lang w:val="ro-MD"/>
        </w:rPr>
      </w:pPr>
      <w:bookmarkStart w:id="0" w:name="_Toc468866344"/>
      <w:bookmarkStart w:id="1" w:name="_GoBack"/>
      <w:bookmarkEnd w:id="1"/>
      <w:r w:rsidRPr="00DD5F1D">
        <w:rPr>
          <w:rFonts w:ascii="Times New Roman" w:eastAsia="Times New Roman" w:hAnsi="Times New Roman" w:cs="Times New Roman"/>
          <w:bCs/>
          <w:sz w:val="28"/>
          <w:szCs w:val="28"/>
          <w:lang w:val="ro-MD"/>
        </w:rPr>
        <w:t xml:space="preserve">Anexă </w:t>
      </w:r>
    </w:p>
    <w:p w14:paraId="4DB02903" w14:textId="77777777" w:rsidR="009351E2" w:rsidRPr="00DD5F1D" w:rsidRDefault="009351E2" w:rsidP="009351E2">
      <w:pPr>
        <w:tabs>
          <w:tab w:val="left" w:pos="720"/>
        </w:tabs>
        <w:spacing w:after="0" w:line="276" w:lineRule="auto"/>
        <w:jc w:val="right"/>
        <w:rPr>
          <w:rFonts w:ascii="Times New Roman" w:eastAsia="Times New Roman" w:hAnsi="Times New Roman" w:cs="Times New Roman"/>
          <w:bCs/>
          <w:sz w:val="28"/>
          <w:szCs w:val="28"/>
          <w:lang w:val="ro-MD"/>
        </w:rPr>
      </w:pPr>
      <w:r w:rsidRPr="00DD5F1D">
        <w:rPr>
          <w:rFonts w:ascii="Times New Roman" w:eastAsia="Times New Roman" w:hAnsi="Times New Roman" w:cs="Times New Roman"/>
          <w:bCs/>
          <w:sz w:val="28"/>
          <w:szCs w:val="28"/>
          <w:lang w:val="ro-MD"/>
        </w:rPr>
        <w:t xml:space="preserve">la Hotărârea Curții de Conturi </w:t>
      </w:r>
    </w:p>
    <w:p w14:paraId="7A2235BF" w14:textId="4544919C" w:rsidR="009351E2" w:rsidRPr="00DD5F1D" w:rsidRDefault="009351E2" w:rsidP="009351E2">
      <w:pPr>
        <w:tabs>
          <w:tab w:val="left" w:pos="720"/>
        </w:tabs>
        <w:spacing w:after="0" w:line="276" w:lineRule="auto"/>
        <w:jc w:val="right"/>
        <w:rPr>
          <w:rFonts w:ascii="Times New Roman" w:eastAsia="Times New Roman" w:hAnsi="Times New Roman" w:cs="Times New Roman"/>
          <w:bCs/>
          <w:sz w:val="28"/>
          <w:szCs w:val="28"/>
          <w:lang w:val="ro-MD"/>
        </w:rPr>
      </w:pPr>
      <w:r w:rsidRPr="00DD5F1D">
        <w:rPr>
          <w:rFonts w:ascii="Times New Roman" w:eastAsia="Times New Roman" w:hAnsi="Times New Roman" w:cs="Times New Roman"/>
          <w:bCs/>
          <w:sz w:val="28"/>
          <w:szCs w:val="28"/>
          <w:lang w:val="ro-MD"/>
        </w:rPr>
        <w:t xml:space="preserve"> nr.</w:t>
      </w:r>
      <w:r w:rsidR="00BE633A" w:rsidRPr="00DD5F1D">
        <w:rPr>
          <w:rFonts w:ascii="Times New Roman" w:eastAsia="Times New Roman" w:hAnsi="Times New Roman" w:cs="Times New Roman"/>
          <w:bCs/>
          <w:sz w:val="28"/>
          <w:szCs w:val="28"/>
          <w:lang w:val="ro-MD"/>
        </w:rPr>
        <w:t>23</w:t>
      </w:r>
      <w:r w:rsidR="00446B99" w:rsidRPr="00DD5F1D">
        <w:rPr>
          <w:rFonts w:ascii="Times New Roman" w:eastAsia="Times New Roman" w:hAnsi="Times New Roman" w:cs="Times New Roman"/>
          <w:bCs/>
          <w:sz w:val="28"/>
          <w:szCs w:val="28"/>
          <w:lang w:val="ro-MD"/>
        </w:rPr>
        <w:t xml:space="preserve"> </w:t>
      </w:r>
      <w:r w:rsidRPr="00DD5F1D">
        <w:rPr>
          <w:rFonts w:ascii="Times New Roman" w:eastAsia="Times New Roman" w:hAnsi="Times New Roman" w:cs="Times New Roman"/>
          <w:bCs/>
          <w:sz w:val="28"/>
          <w:szCs w:val="28"/>
          <w:lang w:val="ro-MD"/>
        </w:rPr>
        <w:t xml:space="preserve">din </w:t>
      </w:r>
      <w:r w:rsidR="00566235" w:rsidRPr="00DD5F1D">
        <w:rPr>
          <w:rFonts w:ascii="Times New Roman" w:eastAsia="Times New Roman" w:hAnsi="Times New Roman" w:cs="Times New Roman"/>
          <w:bCs/>
          <w:sz w:val="28"/>
          <w:szCs w:val="28"/>
          <w:lang w:val="ro-MD"/>
        </w:rPr>
        <w:t>2</w:t>
      </w:r>
      <w:r w:rsidR="00137DDA" w:rsidRPr="00DD5F1D">
        <w:rPr>
          <w:rFonts w:ascii="Times New Roman" w:eastAsia="Times New Roman" w:hAnsi="Times New Roman" w:cs="Times New Roman"/>
          <w:bCs/>
          <w:sz w:val="28"/>
          <w:szCs w:val="28"/>
          <w:lang w:val="ro-MD"/>
        </w:rPr>
        <w:t>7</w:t>
      </w:r>
      <w:r w:rsidR="00566235" w:rsidRPr="00DD5F1D">
        <w:rPr>
          <w:rFonts w:ascii="Times New Roman" w:eastAsia="Times New Roman" w:hAnsi="Times New Roman" w:cs="Times New Roman"/>
          <w:bCs/>
          <w:sz w:val="28"/>
          <w:szCs w:val="28"/>
          <w:lang w:val="ro-MD"/>
        </w:rPr>
        <w:t xml:space="preserve"> mai</w:t>
      </w:r>
      <w:r w:rsidRPr="00DD5F1D">
        <w:rPr>
          <w:rFonts w:ascii="Times New Roman" w:eastAsia="Times New Roman" w:hAnsi="Times New Roman" w:cs="Times New Roman"/>
          <w:bCs/>
          <w:sz w:val="28"/>
          <w:szCs w:val="28"/>
          <w:lang w:val="ro-MD"/>
        </w:rPr>
        <w:t xml:space="preserve"> 202</w:t>
      </w:r>
      <w:r w:rsidR="00137DDA" w:rsidRPr="00DD5F1D">
        <w:rPr>
          <w:rFonts w:ascii="Times New Roman" w:eastAsia="Times New Roman" w:hAnsi="Times New Roman" w:cs="Times New Roman"/>
          <w:bCs/>
          <w:sz w:val="28"/>
          <w:szCs w:val="28"/>
          <w:lang w:val="ro-MD"/>
        </w:rPr>
        <w:t>4</w:t>
      </w:r>
    </w:p>
    <w:p w14:paraId="0D74E28A" w14:textId="77777777" w:rsidR="009351E2" w:rsidRPr="00DD5F1D" w:rsidRDefault="009351E2" w:rsidP="009351E2">
      <w:pPr>
        <w:tabs>
          <w:tab w:val="left" w:pos="7200"/>
        </w:tabs>
        <w:spacing w:after="0" w:line="276" w:lineRule="auto"/>
        <w:rPr>
          <w:rFonts w:ascii="Times New Roman" w:hAnsi="Times New Roman" w:cs="Times New Roman"/>
          <w:lang w:val="ro-MD"/>
        </w:rPr>
      </w:pPr>
    </w:p>
    <w:p w14:paraId="58238F3D" w14:textId="77777777" w:rsidR="009351E2" w:rsidRPr="00DD5F1D" w:rsidRDefault="009351E2" w:rsidP="009351E2">
      <w:pPr>
        <w:spacing w:after="0" w:line="276" w:lineRule="auto"/>
        <w:rPr>
          <w:rFonts w:ascii="Times New Roman" w:hAnsi="Times New Roman" w:cs="Times New Roman"/>
          <w:lang w:val="ro-MD"/>
        </w:rPr>
      </w:pPr>
    </w:p>
    <w:p w14:paraId="673AFF75" w14:textId="77777777" w:rsidR="009351E2" w:rsidRPr="00DD5F1D" w:rsidRDefault="009351E2" w:rsidP="009351E2">
      <w:pPr>
        <w:spacing w:after="0" w:line="276" w:lineRule="auto"/>
        <w:rPr>
          <w:rFonts w:ascii="Times New Roman" w:hAnsi="Times New Roman" w:cs="Times New Roman"/>
          <w:lang w:val="ro-MD"/>
        </w:rPr>
      </w:pPr>
    </w:p>
    <w:p w14:paraId="5D6725B6" w14:textId="77777777" w:rsidR="009351E2" w:rsidRPr="00DD5F1D" w:rsidRDefault="009351E2" w:rsidP="009351E2">
      <w:pPr>
        <w:spacing w:after="0" w:line="276" w:lineRule="auto"/>
        <w:jc w:val="center"/>
        <w:rPr>
          <w:rFonts w:ascii="Times New Roman" w:hAnsi="Times New Roman" w:cs="Times New Roman"/>
          <w:b/>
          <w:sz w:val="28"/>
          <w:szCs w:val="28"/>
          <w:lang w:val="ro-MD"/>
        </w:rPr>
      </w:pPr>
    </w:p>
    <w:p w14:paraId="591E9AC5" w14:textId="77777777" w:rsidR="009351E2" w:rsidRPr="00DD5F1D" w:rsidRDefault="009351E2" w:rsidP="009351E2">
      <w:pPr>
        <w:spacing w:after="0" w:line="276" w:lineRule="auto"/>
        <w:jc w:val="center"/>
        <w:rPr>
          <w:rFonts w:ascii="Times New Roman" w:hAnsi="Times New Roman" w:cs="Times New Roman"/>
          <w:b/>
          <w:sz w:val="28"/>
          <w:szCs w:val="28"/>
          <w:lang w:val="ro-MD"/>
        </w:rPr>
      </w:pPr>
      <w:r w:rsidRPr="00DD5F1D">
        <w:rPr>
          <w:rFonts w:ascii="Times New Roman" w:hAnsi="Times New Roman" w:cs="Times New Roman"/>
          <w:b/>
          <w:noProof/>
          <w:sz w:val="28"/>
          <w:szCs w:val="28"/>
          <w:lang w:val="ru-RU" w:eastAsia="ru-RU"/>
        </w:rPr>
        <w:drawing>
          <wp:inline distT="0" distB="0" distL="0" distR="0" wp14:anchorId="67ADB667" wp14:editId="0E3B83A8">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062467BD" w14:textId="77777777" w:rsidR="009351E2" w:rsidRPr="00DD5F1D" w:rsidRDefault="009351E2" w:rsidP="009351E2">
      <w:pPr>
        <w:spacing w:after="0" w:line="276" w:lineRule="auto"/>
        <w:rPr>
          <w:rFonts w:ascii="Times New Roman" w:hAnsi="Times New Roman" w:cs="Times New Roman"/>
          <w:i/>
          <w:sz w:val="24"/>
          <w:szCs w:val="24"/>
          <w:lang w:val="ro-MD"/>
        </w:rPr>
      </w:pPr>
    </w:p>
    <w:p w14:paraId="3DAC6DEA" w14:textId="77777777" w:rsidR="009351E2" w:rsidRPr="00DD5F1D" w:rsidRDefault="009351E2" w:rsidP="009351E2">
      <w:pPr>
        <w:spacing w:after="0" w:line="276" w:lineRule="auto"/>
        <w:rPr>
          <w:rFonts w:ascii="Times New Roman" w:hAnsi="Times New Roman" w:cs="Times New Roman"/>
          <w:i/>
          <w:sz w:val="24"/>
          <w:szCs w:val="24"/>
          <w:lang w:val="ro-MD"/>
        </w:rPr>
      </w:pPr>
    </w:p>
    <w:p w14:paraId="1B0182F3" w14:textId="77777777" w:rsidR="009351E2" w:rsidRPr="00DD5F1D" w:rsidRDefault="009351E2" w:rsidP="009351E2">
      <w:pPr>
        <w:spacing w:after="0" w:line="276" w:lineRule="auto"/>
        <w:rPr>
          <w:rFonts w:ascii="Times New Roman" w:hAnsi="Times New Roman" w:cs="Times New Roman"/>
          <w:i/>
          <w:sz w:val="24"/>
          <w:szCs w:val="24"/>
          <w:lang w:val="ro-MD"/>
        </w:rPr>
      </w:pPr>
    </w:p>
    <w:p w14:paraId="24096F0F" w14:textId="77777777" w:rsidR="009351E2" w:rsidRPr="00DD5F1D" w:rsidRDefault="009351E2" w:rsidP="009351E2">
      <w:pPr>
        <w:spacing w:after="0" w:line="276" w:lineRule="auto"/>
        <w:rPr>
          <w:rFonts w:ascii="Times New Roman" w:hAnsi="Times New Roman" w:cs="Times New Roman"/>
          <w:b/>
          <w:sz w:val="24"/>
          <w:szCs w:val="24"/>
          <w:lang w:val="ro-MD"/>
        </w:rPr>
      </w:pPr>
    </w:p>
    <w:p w14:paraId="18F65091" w14:textId="77777777" w:rsidR="009351E2" w:rsidRPr="00DD5F1D" w:rsidRDefault="009351E2" w:rsidP="009351E2">
      <w:pPr>
        <w:spacing w:after="0" w:line="276" w:lineRule="auto"/>
        <w:jc w:val="center"/>
        <w:rPr>
          <w:rFonts w:ascii="Times New Roman" w:hAnsi="Times New Roman" w:cs="Times New Roman"/>
          <w:b/>
          <w:sz w:val="28"/>
          <w:szCs w:val="28"/>
          <w:lang w:val="ro-MD"/>
        </w:rPr>
      </w:pPr>
      <w:r w:rsidRPr="00DD5F1D">
        <w:rPr>
          <w:rFonts w:ascii="Times New Roman" w:hAnsi="Times New Roman" w:cs="Times New Roman"/>
          <w:b/>
          <w:sz w:val="28"/>
          <w:szCs w:val="28"/>
          <w:lang w:val="ro-MD"/>
        </w:rPr>
        <w:t>CURTEA DE CONTURI A REPUBLICII MOLDOVA</w:t>
      </w:r>
    </w:p>
    <w:p w14:paraId="3C7D9468" w14:textId="77777777" w:rsidR="009351E2" w:rsidRPr="00DD5F1D" w:rsidRDefault="009351E2" w:rsidP="009351E2">
      <w:pPr>
        <w:spacing w:after="0" w:line="276" w:lineRule="auto"/>
        <w:rPr>
          <w:rFonts w:ascii="Times New Roman" w:hAnsi="Times New Roman" w:cs="Times New Roman"/>
          <w:sz w:val="24"/>
          <w:szCs w:val="24"/>
          <w:lang w:val="ro-MD"/>
        </w:rPr>
      </w:pPr>
    </w:p>
    <w:p w14:paraId="38B3296E" w14:textId="77777777" w:rsidR="009351E2" w:rsidRPr="00DD5F1D" w:rsidRDefault="009351E2" w:rsidP="009351E2">
      <w:pPr>
        <w:spacing w:after="0" w:line="276" w:lineRule="auto"/>
        <w:rPr>
          <w:rFonts w:ascii="Times New Roman" w:hAnsi="Times New Roman" w:cs="Times New Roman"/>
          <w:sz w:val="24"/>
          <w:szCs w:val="24"/>
          <w:lang w:val="ro-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9351E2" w:rsidRPr="00DD5F1D" w14:paraId="3183DA21" w14:textId="77777777" w:rsidTr="00B050E3">
        <w:trPr>
          <w:trHeight w:val="396"/>
          <w:jc w:val="center"/>
        </w:trPr>
        <w:tc>
          <w:tcPr>
            <w:tcW w:w="9350" w:type="dxa"/>
            <w:tcBorders>
              <w:top w:val="thinThickSmallGap" w:sz="12" w:space="0" w:color="00000A"/>
              <w:bottom w:val="thickThinSmallGap" w:sz="12" w:space="0" w:color="00000A"/>
            </w:tcBorders>
            <w:shd w:val="clear" w:color="auto" w:fill="auto"/>
          </w:tcPr>
          <w:p w14:paraId="4C493E05" w14:textId="63A2C79C" w:rsidR="009351E2" w:rsidRPr="00DD5F1D" w:rsidRDefault="009351E2" w:rsidP="00426C1F">
            <w:pPr>
              <w:spacing w:after="0" w:line="276" w:lineRule="auto"/>
              <w:jc w:val="center"/>
              <w:rPr>
                <w:rFonts w:ascii="Times New Roman" w:hAnsi="Times New Roman" w:cs="Times New Roman"/>
                <w:lang w:val="ro-MD"/>
              </w:rPr>
            </w:pPr>
            <w:r w:rsidRPr="00DD5F1D">
              <w:rPr>
                <w:rFonts w:ascii="Times New Roman" w:hAnsi="Times New Roman" w:cs="Times New Roman"/>
                <w:lang w:val="ro-MD"/>
              </w:rPr>
              <w:t>MD-2001, mun. Chișinău, bd. Ștefan cel Mare și Sfânt</w:t>
            </w:r>
            <w:r w:rsidR="00426C1F" w:rsidRPr="00DD5F1D">
              <w:rPr>
                <w:rFonts w:ascii="Times New Roman" w:hAnsi="Times New Roman" w:cs="Times New Roman"/>
                <w:lang w:val="ro-MD"/>
              </w:rPr>
              <w:t xml:space="preserve"> </w:t>
            </w:r>
            <w:r w:rsidR="00BD3EA8" w:rsidRPr="00DD5F1D">
              <w:rPr>
                <w:rFonts w:ascii="Times New Roman" w:hAnsi="Times New Roman" w:cs="Times New Roman"/>
                <w:lang w:val="ro-MD"/>
              </w:rPr>
              <w:t xml:space="preserve">nr. </w:t>
            </w:r>
            <w:r w:rsidRPr="00DD5F1D">
              <w:rPr>
                <w:rFonts w:ascii="Times New Roman" w:hAnsi="Times New Roman" w:cs="Times New Roman"/>
                <w:lang w:val="ro-MD"/>
              </w:rPr>
              <w:t>69, tel.: (+373) 22 26 60 02,</w:t>
            </w:r>
          </w:p>
          <w:p w14:paraId="30DD3696" w14:textId="77777777" w:rsidR="009351E2" w:rsidRPr="00DD5F1D" w:rsidRDefault="009351E2" w:rsidP="00426C1F">
            <w:pPr>
              <w:spacing w:after="0" w:line="276" w:lineRule="auto"/>
              <w:jc w:val="center"/>
              <w:rPr>
                <w:rFonts w:ascii="Times New Roman" w:hAnsi="Times New Roman" w:cs="Times New Roman"/>
                <w:b/>
                <w:lang w:val="ro-MD"/>
              </w:rPr>
            </w:pPr>
            <w:r w:rsidRPr="00DD5F1D">
              <w:rPr>
                <w:rFonts w:ascii="Times New Roman" w:hAnsi="Times New Roman" w:cs="Times New Roman"/>
                <w:lang w:val="ro-MD"/>
              </w:rPr>
              <w:t xml:space="preserve">fax: (+373) 22 26 61 00, </w:t>
            </w:r>
            <w:hyperlink r:id="rId9">
              <w:r w:rsidRPr="00DD5F1D">
                <w:rPr>
                  <w:rStyle w:val="LegturInternet"/>
                  <w:rFonts w:ascii="Times New Roman" w:hAnsi="Times New Roman" w:cs="Times New Roman"/>
                  <w:color w:val="auto"/>
                  <w:lang w:val="ro-MD"/>
                </w:rPr>
                <w:t>www.ccrm.md</w:t>
              </w:r>
            </w:hyperlink>
            <w:r w:rsidRPr="00DD5F1D">
              <w:rPr>
                <w:rFonts w:ascii="Times New Roman" w:hAnsi="Times New Roman" w:cs="Times New Roman"/>
                <w:u w:val="single"/>
                <w:lang w:val="ro-MD"/>
              </w:rPr>
              <w:t>;</w:t>
            </w:r>
            <w:r w:rsidRPr="00DD5F1D">
              <w:rPr>
                <w:rFonts w:ascii="Times New Roman" w:hAnsi="Times New Roman" w:cs="Times New Roman"/>
                <w:lang w:val="ro-MD"/>
              </w:rPr>
              <w:t xml:space="preserve"> e-mail: </w:t>
            </w:r>
            <w:hyperlink r:id="rId10">
              <w:r w:rsidRPr="00DD5F1D">
                <w:rPr>
                  <w:rStyle w:val="LegturInternet"/>
                  <w:rFonts w:ascii="Times New Roman" w:hAnsi="Times New Roman" w:cs="Times New Roman"/>
                  <w:color w:val="auto"/>
                  <w:lang w:val="ro-MD"/>
                </w:rPr>
                <w:t>ccrm@ccrm.md</w:t>
              </w:r>
            </w:hyperlink>
          </w:p>
        </w:tc>
      </w:tr>
    </w:tbl>
    <w:p w14:paraId="2A540253" w14:textId="77777777" w:rsidR="009351E2" w:rsidRPr="00DD5F1D" w:rsidRDefault="009351E2" w:rsidP="009351E2">
      <w:pPr>
        <w:spacing w:after="0"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br/>
      </w:r>
    </w:p>
    <w:p w14:paraId="69A02F65" w14:textId="77777777" w:rsidR="00BE633A" w:rsidRPr="00DD5F1D" w:rsidRDefault="001F71C2" w:rsidP="00BE633A">
      <w:pPr>
        <w:tabs>
          <w:tab w:val="left" w:pos="720"/>
        </w:tabs>
        <w:spacing w:after="0" w:line="276" w:lineRule="auto"/>
        <w:jc w:val="center"/>
        <w:rPr>
          <w:rFonts w:ascii="Times New Roman" w:eastAsia="Times New Roman" w:hAnsi="Times New Roman" w:cs="Times New Roman"/>
          <w:b/>
          <w:bCs/>
          <w:sz w:val="32"/>
          <w:szCs w:val="32"/>
          <w:lang w:val="ro-MD"/>
        </w:rPr>
      </w:pPr>
      <w:r w:rsidRPr="00DD5F1D">
        <w:rPr>
          <w:rFonts w:ascii="Times New Roman" w:eastAsia="Times New Roman" w:hAnsi="Times New Roman" w:cs="Times New Roman"/>
          <w:b/>
          <w:bCs/>
          <w:sz w:val="32"/>
          <w:szCs w:val="32"/>
          <w:lang w:val="ro-MD"/>
        </w:rPr>
        <w:t>RAPORT</w:t>
      </w:r>
      <w:r w:rsidR="00501ED0" w:rsidRPr="00DD5F1D">
        <w:rPr>
          <w:rFonts w:ascii="Times New Roman" w:eastAsia="Times New Roman" w:hAnsi="Times New Roman" w:cs="Times New Roman"/>
          <w:b/>
          <w:bCs/>
          <w:sz w:val="32"/>
          <w:szCs w:val="32"/>
          <w:lang w:val="ro-MD"/>
        </w:rPr>
        <w:t>UL</w:t>
      </w:r>
      <w:r w:rsidR="00BE633A" w:rsidRPr="00DD5F1D">
        <w:rPr>
          <w:rFonts w:ascii="Times New Roman" w:eastAsia="Times New Roman" w:hAnsi="Times New Roman" w:cs="Times New Roman"/>
          <w:b/>
          <w:bCs/>
          <w:sz w:val="32"/>
          <w:szCs w:val="32"/>
          <w:lang w:val="ro-MD"/>
        </w:rPr>
        <w:t xml:space="preserve"> </w:t>
      </w:r>
    </w:p>
    <w:p w14:paraId="71D92DC4" w14:textId="5E3F8501" w:rsidR="009351E2" w:rsidRPr="00DD5F1D" w:rsidRDefault="001F71C2" w:rsidP="001F71C2">
      <w:pPr>
        <w:tabs>
          <w:tab w:val="left" w:pos="720"/>
        </w:tabs>
        <w:spacing w:after="0" w:line="276" w:lineRule="auto"/>
        <w:jc w:val="center"/>
        <w:rPr>
          <w:rFonts w:ascii="Times New Roman" w:eastAsia="Times New Roman" w:hAnsi="Times New Roman" w:cs="Times New Roman"/>
          <w:b/>
          <w:bCs/>
          <w:sz w:val="28"/>
          <w:szCs w:val="24"/>
          <w:lang w:val="ro-MD"/>
        </w:rPr>
      </w:pPr>
      <w:r w:rsidRPr="00DD5F1D">
        <w:rPr>
          <w:rFonts w:ascii="Times New Roman" w:eastAsia="Times New Roman" w:hAnsi="Times New Roman" w:cs="Times New Roman"/>
          <w:b/>
          <w:bCs/>
          <w:sz w:val="28"/>
          <w:szCs w:val="24"/>
          <w:lang w:val="ro-MD"/>
        </w:rPr>
        <w:t>de audit asupra</w:t>
      </w:r>
      <w:r w:rsidR="009351E2" w:rsidRPr="00DD5F1D">
        <w:rPr>
          <w:rFonts w:ascii="Times New Roman" w:eastAsia="Times New Roman" w:hAnsi="Times New Roman" w:cs="Times New Roman"/>
          <w:b/>
          <w:bCs/>
          <w:sz w:val="28"/>
          <w:szCs w:val="24"/>
          <w:lang w:val="ro-MD"/>
        </w:rPr>
        <w:t xml:space="preserve"> </w:t>
      </w:r>
      <w:r w:rsidR="009351E2" w:rsidRPr="00DD5F1D">
        <w:rPr>
          <w:rFonts w:ascii="Times New Roman" w:hAnsi="Times New Roman" w:cs="Times New Roman"/>
          <w:b/>
          <w:sz w:val="28"/>
          <w:szCs w:val="24"/>
          <w:lang w:val="ro-MD"/>
        </w:rPr>
        <w:t xml:space="preserve">Raportului Guvernului </w:t>
      </w:r>
    </w:p>
    <w:p w14:paraId="33BD9CFC" w14:textId="77777777" w:rsidR="009351E2" w:rsidRPr="00DD5F1D" w:rsidRDefault="009351E2" w:rsidP="009351E2">
      <w:pPr>
        <w:spacing w:after="0" w:line="276" w:lineRule="auto"/>
        <w:jc w:val="center"/>
        <w:rPr>
          <w:rFonts w:ascii="Times New Roman" w:hAnsi="Times New Roman" w:cs="Times New Roman"/>
          <w:b/>
          <w:sz w:val="28"/>
          <w:szCs w:val="24"/>
          <w:lang w:val="ro-MD"/>
        </w:rPr>
      </w:pPr>
      <w:r w:rsidRPr="00DD5F1D">
        <w:rPr>
          <w:rFonts w:ascii="Times New Roman" w:hAnsi="Times New Roman" w:cs="Times New Roman"/>
          <w:b/>
          <w:sz w:val="28"/>
          <w:szCs w:val="24"/>
          <w:lang w:val="ro-MD"/>
        </w:rPr>
        <w:t xml:space="preserve">privind executarea bugetului asigurărilor sociale de stat </w:t>
      </w:r>
    </w:p>
    <w:p w14:paraId="0C3C2EDD" w14:textId="77777777" w:rsidR="009351E2" w:rsidRPr="00DD5F1D" w:rsidRDefault="009351E2" w:rsidP="009351E2">
      <w:pPr>
        <w:spacing w:after="0" w:line="276" w:lineRule="auto"/>
        <w:jc w:val="center"/>
        <w:rPr>
          <w:rFonts w:ascii="Times New Roman" w:eastAsia="Times New Roman" w:hAnsi="Times New Roman" w:cs="Times New Roman"/>
          <w:b/>
          <w:bCs/>
          <w:sz w:val="28"/>
          <w:szCs w:val="24"/>
          <w:lang w:val="ro-MD"/>
        </w:rPr>
      </w:pPr>
      <w:r w:rsidRPr="00DD5F1D">
        <w:rPr>
          <w:rFonts w:ascii="Times New Roman" w:hAnsi="Times New Roman" w:cs="Times New Roman"/>
          <w:b/>
          <w:sz w:val="28"/>
          <w:szCs w:val="24"/>
          <w:lang w:val="ro-MD"/>
        </w:rPr>
        <w:t>în anul 202</w:t>
      </w:r>
      <w:r w:rsidR="00137DDA" w:rsidRPr="00DD5F1D">
        <w:rPr>
          <w:rFonts w:ascii="Times New Roman" w:hAnsi="Times New Roman" w:cs="Times New Roman"/>
          <w:b/>
          <w:sz w:val="28"/>
          <w:szCs w:val="24"/>
          <w:lang w:val="ro-MD"/>
        </w:rPr>
        <w:t>3</w:t>
      </w:r>
    </w:p>
    <w:p w14:paraId="7BDE9A6A" w14:textId="77777777" w:rsidR="009351E2" w:rsidRPr="00DD5F1D" w:rsidRDefault="009351E2" w:rsidP="009351E2">
      <w:pPr>
        <w:spacing w:after="0" w:line="276" w:lineRule="auto"/>
        <w:rPr>
          <w:rFonts w:ascii="Times New Roman" w:hAnsi="Times New Roman" w:cs="Times New Roman"/>
          <w:sz w:val="24"/>
          <w:szCs w:val="24"/>
          <w:lang w:val="ro-MD"/>
        </w:rPr>
      </w:pPr>
    </w:p>
    <w:p w14:paraId="25D6D550" w14:textId="77777777" w:rsidR="009351E2" w:rsidRPr="00DD5F1D" w:rsidRDefault="009351E2" w:rsidP="009351E2">
      <w:pPr>
        <w:spacing w:after="0" w:line="276" w:lineRule="auto"/>
        <w:rPr>
          <w:rFonts w:ascii="Times New Roman" w:hAnsi="Times New Roman" w:cs="Times New Roman"/>
          <w:sz w:val="24"/>
          <w:szCs w:val="24"/>
          <w:lang w:val="ro-MD"/>
        </w:rPr>
      </w:pPr>
    </w:p>
    <w:p w14:paraId="3DC21AD4" w14:textId="77777777" w:rsidR="009351E2" w:rsidRPr="00DD5F1D" w:rsidRDefault="009351E2" w:rsidP="009351E2">
      <w:pPr>
        <w:spacing w:after="0" w:line="276" w:lineRule="auto"/>
        <w:jc w:val="center"/>
        <w:rPr>
          <w:rFonts w:ascii="Times New Roman" w:hAnsi="Times New Roman" w:cs="Times New Roman"/>
          <w:lang w:val="ro-MD"/>
        </w:rPr>
      </w:pPr>
      <w:r w:rsidRPr="00DD5F1D">
        <w:rPr>
          <w:rFonts w:ascii="Times New Roman" w:hAnsi="Times New Roman" w:cs="Times New Roman"/>
          <w:lang w:val="ro-MD"/>
        </w:rPr>
        <w:br w:type="page"/>
      </w:r>
    </w:p>
    <w:p w14:paraId="5A8C1CC4" w14:textId="77777777" w:rsidR="009351E2" w:rsidRPr="00DD5F1D" w:rsidRDefault="009351E2" w:rsidP="009351E2">
      <w:pPr>
        <w:tabs>
          <w:tab w:val="left" w:pos="720"/>
        </w:tabs>
        <w:spacing w:after="0" w:line="276" w:lineRule="auto"/>
        <w:jc w:val="center"/>
        <w:rPr>
          <w:rFonts w:ascii="Times New Roman" w:eastAsia="Times New Roman" w:hAnsi="Times New Roman" w:cs="Times New Roman"/>
          <w:b/>
          <w:bCs/>
          <w:sz w:val="28"/>
          <w:szCs w:val="28"/>
          <w:lang w:val="ro-MD"/>
        </w:rPr>
      </w:pPr>
      <w:r w:rsidRPr="00DD5F1D">
        <w:rPr>
          <w:rFonts w:ascii="Times New Roman" w:eastAsia="Times New Roman" w:hAnsi="Times New Roman" w:cs="Times New Roman"/>
          <w:b/>
          <w:bCs/>
          <w:sz w:val="28"/>
          <w:szCs w:val="28"/>
          <w:lang w:val="ro-MD"/>
        </w:rPr>
        <w:lastRenderedPageBreak/>
        <w:t>Lista acronimelor</w:t>
      </w:r>
    </w:p>
    <w:p w14:paraId="4C387EAB" w14:textId="77777777" w:rsidR="009351E2" w:rsidRPr="00DD5F1D" w:rsidRDefault="009351E2" w:rsidP="009351E2">
      <w:pPr>
        <w:tabs>
          <w:tab w:val="left" w:pos="720"/>
        </w:tabs>
        <w:spacing w:after="0" w:line="276" w:lineRule="auto"/>
        <w:jc w:val="center"/>
        <w:rPr>
          <w:rFonts w:ascii="Times New Roman" w:eastAsia="Times New Roman" w:hAnsi="Times New Roman" w:cs="Times New Roman"/>
          <w:b/>
          <w:bCs/>
          <w:sz w:val="28"/>
          <w:szCs w:val="28"/>
          <w:lang w:val="ro-MD"/>
        </w:rPr>
      </w:pPr>
    </w:p>
    <w:tbl>
      <w:tblPr>
        <w:tblStyle w:val="GridTable1Light1"/>
        <w:tblW w:w="0" w:type="auto"/>
        <w:jc w:val="center"/>
        <w:tblLook w:val="04A0" w:firstRow="1" w:lastRow="0" w:firstColumn="1" w:lastColumn="0" w:noHBand="0" w:noVBand="1"/>
      </w:tblPr>
      <w:tblGrid>
        <w:gridCol w:w="1555"/>
        <w:gridCol w:w="7229"/>
      </w:tblGrid>
      <w:tr w:rsidR="009351E2" w:rsidRPr="00DD5F1D" w14:paraId="163BF22A" w14:textId="77777777" w:rsidTr="00B050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E603C71" w14:textId="77777777" w:rsidR="009351E2" w:rsidRPr="00DD5F1D" w:rsidRDefault="009351E2" w:rsidP="00B050E3">
            <w:pPr>
              <w:tabs>
                <w:tab w:val="left" w:pos="720"/>
              </w:tabs>
              <w:spacing w:line="276" w:lineRule="auto"/>
              <w:jc w:val="center"/>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Acronimul</w:t>
            </w:r>
          </w:p>
        </w:tc>
        <w:tc>
          <w:tcPr>
            <w:tcW w:w="722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CFB781E" w14:textId="77777777" w:rsidR="009351E2" w:rsidRPr="00DD5F1D" w:rsidRDefault="009351E2" w:rsidP="00B050E3">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Termenul abreviat</w:t>
            </w:r>
          </w:p>
        </w:tc>
      </w:tr>
      <w:tr w:rsidR="000D40B3" w:rsidRPr="00DD5F1D" w14:paraId="1FDD8B25"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C5F1E1" w14:textId="77777777" w:rsidR="009351E2" w:rsidRPr="00DD5F1D" w:rsidRDefault="009351E2"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AGE</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DCF632" w14:textId="77777777" w:rsidR="009351E2" w:rsidRPr="00DD5F1D" w:rsidRDefault="009351E2" w:rsidP="00B050E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Agenția de Guvernare Electronică</w:t>
            </w:r>
          </w:p>
        </w:tc>
      </w:tr>
      <w:tr w:rsidR="000D40B3" w:rsidRPr="00DD5F1D" w14:paraId="5C025DA3"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2FE003" w14:textId="77777777" w:rsidR="009351E2" w:rsidRPr="00DD5F1D" w:rsidRDefault="009351E2"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ANOFM</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B19732" w14:textId="77777777" w:rsidR="009351E2" w:rsidRPr="00DD5F1D" w:rsidRDefault="009351E2" w:rsidP="00426C1F">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Agenția Națională pentru Ocuparea Forței de M</w:t>
            </w:r>
            <w:r w:rsidR="00426C1F" w:rsidRPr="00DD5F1D">
              <w:rPr>
                <w:rFonts w:ascii="Times New Roman" w:eastAsia="Times New Roman" w:hAnsi="Times New Roman" w:cs="Times New Roman"/>
                <w:bCs/>
                <w:sz w:val="24"/>
                <w:szCs w:val="24"/>
                <w:lang w:val="ro-MD"/>
              </w:rPr>
              <w:t>u</w:t>
            </w:r>
            <w:r w:rsidRPr="00DD5F1D">
              <w:rPr>
                <w:rFonts w:ascii="Times New Roman" w:eastAsia="Times New Roman" w:hAnsi="Times New Roman" w:cs="Times New Roman"/>
                <w:bCs/>
                <w:sz w:val="24"/>
                <w:szCs w:val="24"/>
                <w:lang w:val="ro-MD"/>
              </w:rPr>
              <w:t>ncă</w:t>
            </w:r>
          </w:p>
        </w:tc>
      </w:tr>
      <w:tr w:rsidR="000D40B3" w:rsidRPr="00DD5F1D" w14:paraId="448245FE"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CF1572" w14:textId="77777777" w:rsidR="00115AA0" w:rsidRPr="00DD5F1D" w:rsidRDefault="00115AA0"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76B172" w14:textId="77777777" w:rsidR="00115AA0" w:rsidRPr="00DD5F1D" w:rsidRDefault="00D90A74" w:rsidP="00B17ED6">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 xml:space="preserve">Ajutor </w:t>
            </w:r>
            <w:r w:rsidR="00B17ED6" w:rsidRPr="00DD5F1D">
              <w:rPr>
                <w:rFonts w:ascii="Times New Roman" w:eastAsia="Times New Roman" w:hAnsi="Times New Roman" w:cs="Times New Roman"/>
                <w:bCs/>
                <w:sz w:val="24"/>
                <w:szCs w:val="24"/>
                <w:lang w:val="ro-MD"/>
              </w:rPr>
              <w:t>s</w:t>
            </w:r>
            <w:r w:rsidRPr="00DD5F1D">
              <w:rPr>
                <w:rFonts w:ascii="Times New Roman" w:eastAsia="Times New Roman" w:hAnsi="Times New Roman" w:cs="Times New Roman"/>
                <w:bCs/>
                <w:sz w:val="24"/>
                <w:szCs w:val="24"/>
                <w:lang w:val="ro-MD"/>
              </w:rPr>
              <w:t>ocial</w:t>
            </w:r>
          </w:p>
        </w:tc>
      </w:tr>
      <w:tr w:rsidR="000D40B3" w:rsidRPr="00DD5F1D" w14:paraId="4E1EEB3B"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4C40A79" w14:textId="77777777" w:rsidR="00115AA0" w:rsidRPr="00DD5F1D" w:rsidRDefault="00115AA0"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ASP</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D29EB1" w14:textId="77777777" w:rsidR="00115AA0" w:rsidRPr="00DD5F1D" w:rsidRDefault="00115AA0" w:rsidP="00B050E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Agenția Servicii Publice</w:t>
            </w:r>
          </w:p>
        </w:tc>
      </w:tr>
      <w:tr w:rsidR="000D40B3" w:rsidRPr="00DD5F1D" w14:paraId="245B2275"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3304E3" w14:textId="77777777" w:rsidR="00D90A74" w:rsidRPr="00DD5F1D" w:rsidRDefault="00D90A7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APRA</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4F32C3" w14:textId="77777777" w:rsidR="00D90A74" w:rsidRPr="00DD5F1D"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Ajutor pentru perioada rece a anului</w:t>
            </w:r>
          </w:p>
        </w:tc>
      </w:tr>
      <w:tr w:rsidR="000D40B3" w:rsidRPr="00DD5F1D" w14:paraId="7C71B407"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459E25" w14:textId="77777777" w:rsidR="00D90A74" w:rsidRPr="00DD5F1D" w:rsidRDefault="00D90A7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BASS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D0E1C3" w14:textId="77777777" w:rsidR="00D90A74" w:rsidRPr="00DD5F1D"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Bugetul Asigurărilor Sociale de Stat</w:t>
            </w:r>
          </w:p>
        </w:tc>
      </w:tr>
      <w:tr w:rsidR="000D40B3" w:rsidRPr="00DD5F1D" w14:paraId="42137F0C"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14679B" w14:textId="77777777" w:rsidR="00D90A74" w:rsidRPr="00DD5F1D" w:rsidRDefault="00D90A7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BPN</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D770E9" w14:textId="77777777" w:rsidR="00D90A74" w:rsidRPr="00DD5F1D"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Bugetul Public Național</w:t>
            </w:r>
          </w:p>
        </w:tc>
      </w:tr>
      <w:tr w:rsidR="000D40B3" w:rsidRPr="00DD5F1D" w14:paraId="76CB8E9C"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FDD87D" w14:textId="77777777" w:rsidR="00D90A74" w:rsidRPr="00DD5F1D" w:rsidRDefault="00D90A7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BS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66E0D2" w14:textId="77777777" w:rsidR="00D90A74" w:rsidRPr="00DD5F1D"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Bugetul de Stat</w:t>
            </w:r>
          </w:p>
        </w:tc>
      </w:tr>
      <w:tr w:rsidR="000D40B3" w:rsidRPr="00DD5F1D" w14:paraId="2C71EC5D"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2AF675" w14:textId="77777777" w:rsidR="00D90A74" w:rsidRPr="00DD5F1D" w:rsidRDefault="00D90A7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CIM</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3DF1CB" w14:textId="77777777" w:rsidR="00D90A74" w:rsidRPr="00DD5F1D"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Control Intern Managerial</w:t>
            </w:r>
          </w:p>
        </w:tc>
      </w:tr>
      <w:tr w:rsidR="000D40B3" w:rsidRPr="00DD5F1D" w14:paraId="29194E48"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8569AD" w14:textId="77777777" w:rsidR="00D90A74" w:rsidRPr="00DD5F1D" w:rsidRDefault="00D90A7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CNAS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33ED08" w14:textId="77777777" w:rsidR="00D90A74" w:rsidRPr="00DD5F1D"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Casa Națională de Asigurări Sociale</w:t>
            </w:r>
          </w:p>
        </w:tc>
      </w:tr>
      <w:tr w:rsidR="000D40B3" w:rsidRPr="00DD5F1D" w14:paraId="51DAAE07"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DCFC18" w14:textId="77777777" w:rsidR="00D90A74" w:rsidRPr="00DD5F1D" w:rsidRDefault="00D90A7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CTAS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BFF9B1" w14:textId="77777777" w:rsidR="00D90A74" w:rsidRPr="00DD5F1D"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Casa Teritorială de Asigurări Sociale</w:t>
            </w:r>
          </w:p>
        </w:tc>
      </w:tr>
      <w:tr w:rsidR="000D40B3" w:rsidRPr="00DD5F1D" w14:paraId="0907FB76"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531B42" w14:textId="77777777" w:rsidR="00D24673" w:rsidRPr="00DD5F1D" w:rsidRDefault="00D24673"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CTIF</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498F38" w14:textId="77777777" w:rsidR="00D24673" w:rsidRPr="00DD5F1D" w:rsidRDefault="00D24673"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Centru</w:t>
            </w:r>
            <w:r w:rsidR="00E658AC" w:rsidRPr="00DD5F1D">
              <w:rPr>
                <w:rFonts w:ascii="Times New Roman" w:eastAsia="Times New Roman" w:hAnsi="Times New Roman" w:cs="Times New Roman"/>
                <w:bCs/>
                <w:sz w:val="24"/>
                <w:szCs w:val="24"/>
                <w:lang w:val="ro-MD"/>
              </w:rPr>
              <w:t>l</w:t>
            </w:r>
            <w:r w:rsidRPr="00DD5F1D">
              <w:rPr>
                <w:rFonts w:ascii="Times New Roman" w:eastAsia="Times New Roman" w:hAnsi="Times New Roman" w:cs="Times New Roman"/>
                <w:bCs/>
                <w:sz w:val="24"/>
                <w:szCs w:val="24"/>
                <w:lang w:val="ro-MD"/>
              </w:rPr>
              <w:t xml:space="preserve"> </w:t>
            </w:r>
            <w:r w:rsidR="0065584B" w:rsidRPr="00DD5F1D">
              <w:rPr>
                <w:rFonts w:ascii="Times New Roman" w:eastAsia="Times New Roman" w:hAnsi="Times New Roman" w:cs="Times New Roman"/>
                <w:bCs/>
                <w:sz w:val="24"/>
                <w:szCs w:val="24"/>
                <w:lang w:val="ro-MD"/>
              </w:rPr>
              <w:t xml:space="preserve">de </w:t>
            </w:r>
            <w:r w:rsidRPr="00DD5F1D">
              <w:rPr>
                <w:rFonts w:ascii="Times New Roman" w:eastAsia="Times New Roman" w:hAnsi="Times New Roman" w:cs="Times New Roman"/>
                <w:bCs/>
                <w:sz w:val="24"/>
                <w:szCs w:val="24"/>
                <w:lang w:val="ro-MD"/>
              </w:rPr>
              <w:t>T</w:t>
            </w:r>
            <w:r w:rsidR="0065584B" w:rsidRPr="00DD5F1D">
              <w:rPr>
                <w:rFonts w:ascii="Times New Roman" w:eastAsia="Times New Roman" w:hAnsi="Times New Roman" w:cs="Times New Roman"/>
                <w:bCs/>
                <w:sz w:val="24"/>
                <w:szCs w:val="24"/>
                <w:lang w:val="ro-MD"/>
              </w:rPr>
              <w:t>ehnologi</w:t>
            </w:r>
            <w:r w:rsidRPr="00DD5F1D">
              <w:rPr>
                <w:rFonts w:ascii="Times New Roman" w:eastAsia="Times New Roman" w:hAnsi="Times New Roman" w:cs="Times New Roman"/>
                <w:bCs/>
                <w:sz w:val="24"/>
                <w:szCs w:val="24"/>
                <w:lang w:val="ro-MD"/>
              </w:rPr>
              <w:t>i Informaționale în Finanțe</w:t>
            </w:r>
          </w:p>
        </w:tc>
      </w:tr>
      <w:tr w:rsidR="00F73DDE" w:rsidRPr="00DD5F1D" w14:paraId="21E436DA"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293E00" w14:textId="206E7300" w:rsidR="00F73DDE" w:rsidRPr="00DD5F1D" w:rsidRDefault="00F73DDE"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IGPF</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3C7F15" w14:textId="1A7BDFA1" w:rsidR="00F73DDE" w:rsidRPr="00DD5F1D" w:rsidRDefault="00F73DDE"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Inspectoratul General al Poliției de Frontieră</w:t>
            </w:r>
          </w:p>
        </w:tc>
      </w:tr>
      <w:tr w:rsidR="000D40B3" w:rsidRPr="00DD5F1D" w14:paraId="6AC34822"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46A67A" w14:textId="77777777" w:rsidR="00D90A74" w:rsidRPr="00DD5F1D" w:rsidRDefault="00D90A7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IMSP</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6D4A2C" w14:textId="77777777" w:rsidR="00D90A74" w:rsidRPr="00DD5F1D"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Instituție Medico-Sanitară Publică</w:t>
            </w:r>
          </w:p>
        </w:tc>
      </w:tr>
      <w:tr w:rsidR="000D40B3" w:rsidRPr="00DD5F1D" w14:paraId="7DE2D716"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B32B7F" w14:textId="77777777" w:rsidR="00F14A14" w:rsidRPr="00DD5F1D" w:rsidRDefault="00F14A1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ISS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4989D99" w14:textId="77777777" w:rsidR="00F14A14" w:rsidRPr="00DD5F1D" w:rsidRDefault="00F14A1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Inspectoratul Social de Stat</w:t>
            </w:r>
          </w:p>
        </w:tc>
      </w:tr>
      <w:tr w:rsidR="00F73DDE" w:rsidRPr="00DD5F1D" w14:paraId="43AFD86E"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D61780" w14:textId="7FA37C5C" w:rsidR="00F73DDE" w:rsidRPr="00DD5F1D" w:rsidRDefault="00F73DDE"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MA</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504D3D" w14:textId="6C710A71" w:rsidR="00F73DDE" w:rsidRPr="00DD5F1D" w:rsidRDefault="00F73DDE"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Ministerul Apărării</w:t>
            </w:r>
          </w:p>
        </w:tc>
      </w:tr>
      <w:tr w:rsidR="00F73DDE" w:rsidRPr="00DD5F1D" w14:paraId="3526FFC8"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11FDF5" w14:textId="00EF8260" w:rsidR="00F73DDE" w:rsidRPr="00DD5F1D" w:rsidRDefault="00F73DDE"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MAI</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486A68" w14:textId="220DB312" w:rsidR="00F73DDE" w:rsidRPr="00DD5F1D" w:rsidRDefault="00F73DDE"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Ministerul Afacerilor Interne</w:t>
            </w:r>
          </w:p>
        </w:tc>
      </w:tr>
      <w:tr w:rsidR="000D40B3" w:rsidRPr="00DD5F1D" w14:paraId="7CFE6FA0"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626566" w14:textId="77777777" w:rsidR="00D90A74" w:rsidRPr="00DD5F1D" w:rsidRDefault="00D90A7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MMPS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D8BE05" w14:textId="77777777" w:rsidR="00D90A74" w:rsidRPr="00DD5F1D"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Ministerul Muncii și Protecției Sociale</w:t>
            </w:r>
          </w:p>
        </w:tc>
      </w:tr>
      <w:tr w:rsidR="000D40B3" w:rsidRPr="00DD5F1D" w14:paraId="27B5C458"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D4B9B" w14:textId="77777777" w:rsidR="00D90A74" w:rsidRPr="00DD5F1D" w:rsidRDefault="00D90A7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PIB</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1A442A" w14:textId="77777777" w:rsidR="00D90A74" w:rsidRPr="00DD5F1D"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Produsul Intern Brut</w:t>
            </w:r>
          </w:p>
        </w:tc>
      </w:tr>
      <w:tr w:rsidR="000D40B3" w:rsidRPr="00DD5F1D" w14:paraId="385E38ED"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3A2995" w14:textId="77777777" w:rsidR="00D90A74" w:rsidRPr="00DD5F1D" w:rsidRDefault="00D90A74" w:rsidP="00137DDA">
            <w:pPr>
              <w:tabs>
                <w:tab w:val="left" w:pos="720"/>
              </w:tabs>
              <w:spacing w:line="276" w:lineRule="auto"/>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SI</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59E2C9" w14:textId="77777777" w:rsidR="00D90A74" w:rsidRPr="00DD5F1D"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MD"/>
              </w:rPr>
            </w:pPr>
            <w:r w:rsidRPr="00DD5F1D">
              <w:rPr>
                <w:rFonts w:ascii="Times New Roman" w:eastAsia="Times New Roman" w:hAnsi="Times New Roman" w:cs="Times New Roman"/>
                <w:bCs/>
                <w:sz w:val="24"/>
                <w:szCs w:val="24"/>
                <w:lang w:val="ro-MD"/>
              </w:rPr>
              <w:t>Sistem Informațional</w:t>
            </w:r>
          </w:p>
        </w:tc>
      </w:tr>
    </w:tbl>
    <w:p w14:paraId="11BAA8E7" w14:textId="77777777" w:rsidR="009351E2" w:rsidRPr="00DD5F1D" w:rsidRDefault="009351E2" w:rsidP="009351E2">
      <w:pPr>
        <w:spacing w:after="0" w:line="276" w:lineRule="auto"/>
        <w:jc w:val="center"/>
        <w:rPr>
          <w:rFonts w:ascii="Times New Roman" w:hAnsi="Times New Roman" w:cs="Times New Roman"/>
          <w:lang w:val="ro-MD"/>
        </w:rPr>
      </w:pPr>
    </w:p>
    <w:p w14:paraId="40EE605D" w14:textId="77777777" w:rsidR="009351E2" w:rsidRPr="00DD5F1D" w:rsidRDefault="009351E2" w:rsidP="009351E2">
      <w:pPr>
        <w:spacing w:after="0" w:line="276" w:lineRule="auto"/>
        <w:rPr>
          <w:rFonts w:ascii="Times New Roman" w:hAnsi="Times New Roman" w:cs="Times New Roman"/>
          <w:lang w:val="ro-MD"/>
        </w:rPr>
      </w:pPr>
    </w:p>
    <w:p w14:paraId="13F39D57" w14:textId="77777777" w:rsidR="009351E2" w:rsidRPr="00DD5F1D" w:rsidRDefault="009351E2" w:rsidP="009351E2">
      <w:pPr>
        <w:spacing w:after="0" w:line="276" w:lineRule="auto"/>
        <w:rPr>
          <w:rFonts w:ascii="Times New Roman" w:hAnsi="Times New Roman" w:cs="Times New Roman"/>
          <w:lang w:val="ro-MD"/>
        </w:rPr>
      </w:pPr>
    </w:p>
    <w:p w14:paraId="03E7C603" w14:textId="77777777" w:rsidR="009351E2" w:rsidRPr="00DD5F1D" w:rsidRDefault="009351E2" w:rsidP="009351E2">
      <w:pPr>
        <w:spacing w:after="0" w:line="276" w:lineRule="auto"/>
        <w:rPr>
          <w:rFonts w:ascii="Times New Roman" w:hAnsi="Times New Roman" w:cs="Times New Roman"/>
          <w:lang w:val="ro-MD"/>
        </w:rPr>
      </w:pPr>
    </w:p>
    <w:p w14:paraId="6DA4056D" w14:textId="77777777" w:rsidR="009351E2" w:rsidRPr="00DD5F1D" w:rsidRDefault="009351E2" w:rsidP="009351E2">
      <w:pPr>
        <w:pStyle w:val="1"/>
        <w:numPr>
          <w:ilvl w:val="0"/>
          <w:numId w:val="0"/>
        </w:numPr>
        <w:spacing w:before="0"/>
        <w:jc w:val="left"/>
        <w:rPr>
          <w:rFonts w:cs="Times New Roman"/>
          <w:sz w:val="28"/>
          <w:szCs w:val="28"/>
          <w:lang w:val="ro-MD"/>
        </w:rPr>
      </w:pPr>
      <w:bookmarkStart w:id="2" w:name="_Toc35000680"/>
      <w:bookmarkEnd w:id="0"/>
      <w:r w:rsidRPr="00DD5F1D">
        <w:rPr>
          <w:rFonts w:cs="Times New Roman"/>
          <w:sz w:val="28"/>
          <w:szCs w:val="28"/>
          <w:lang w:val="ro-MD"/>
        </w:rPr>
        <w:br w:type="page"/>
      </w:r>
    </w:p>
    <w:p w14:paraId="48712A79" w14:textId="77777777" w:rsidR="009351E2" w:rsidRPr="00DD5F1D" w:rsidRDefault="009351E2" w:rsidP="00437B23">
      <w:pPr>
        <w:pStyle w:val="1"/>
        <w:numPr>
          <w:ilvl w:val="0"/>
          <w:numId w:val="2"/>
        </w:numPr>
        <w:spacing w:before="0"/>
        <w:ind w:left="0" w:firstLine="0"/>
        <w:jc w:val="left"/>
        <w:rPr>
          <w:rFonts w:cs="Times New Roman"/>
          <w:sz w:val="24"/>
          <w:szCs w:val="24"/>
          <w:lang w:val="ro-MD"/>
        </w:rPr>
      </w:pPr>
      <w:r w:rsidRPr="00DD5F1D">
        <w:rPr>
          <w:rFonts w:cs="Times New Roman"/>
          <w:sz w:val="24"/>
          <w:szCs w:val="24"/>
          <w:lang w:val="ro-MD"/>
        </w:rPr>
        <w:t>OPINI</w:t>
      </w:r>
      <w:bookmarkEnd w:id="2"/>
      <w:r w:rsidR="00B6255F" w:rsidRPr="00DD5F1D">
        <w:rPr>
          <w:rFonts w:cs="Times New Roman"/>
          <w:sz w:val="24"/>
          <w:szCs w:val="24"/>
          <w:lang w:val="ro-MD"/>
        </w:rPr>
        <w:t>E</w:t>
      </w:r>
      <w:r w:rsidR="004428A8" w:rsidRPr="00DD5F1D">
        <w:rPr>
          <w:rFonts w:cs="Times New Roman"/>
          <w:sz w:val="24"/>
          <w:szCs w:val="24"/>
          <w:lang w:val="ro-MD"/>
        </w:rPr>
        <w:t xml:space="preserve"> </w:t>
      </w:r>
    </w:p>
    <w:p w14:paraId="387731CF" w14:textId="4717F402" w:rsidR="00137DDA" w:rsidRPr="00DD5F1D" w:rsidRDefault="009351E2" w:rsidP="007F2F3E">
      <w:pPr>
        <w:pStyle w:val="a6"/>
        <w:spacing w:line="276" w:lineRule="auto"/>
        <w:ind w:firstLine="0"/>
        <w:rPr>
          <w:lang w:val="ro-MD"/>
        </w:rPr>
      </w:pPr>
      <w:r w:rsidRPr="00DD5F1D">
        <w:rPr>
          <w:lang w:val="ro-MD"/>
        </w:rPr>
        <w:t>Am auditat Raportul Guvernului privind executarea bugetului asigurărilor sociale de stat în anul 202</w:t>
      </w:r>
      <w:r w:rsidR="007F2F3E" w:rsidRPr="00DD5F1D">
        <w:rPr>
          <w:lang w:val="ro-MD"/>
        </w:rPr>
        <w:t>3</w:t>
      </w:r>
      <w:r w:rsidRPr="00DD5F1D">
        <w:rPr>
          <w:lang w:val="ro-MD"/>
        </w:rPr>
        <w:t xml:space="preserve">, întocmit de Casa </w:t>
      </w:r>
      <w:r w:rsidR="00AB5790" w:rsidRPr="00DD5F1D">
        <w:rPr>
          <w:lang w:val="ro-MD"/>
        </w:rPr>
        <w:t>Națională</w:t>
      </w:r>
      <w:r w:rsidRPr="00DD5F1D">
        <w:rPr>
          <w:lang w:val="ro-MD"/>
        </w:rPr>
        <w:t xml:space="preserve"> de Asigurări Sociale, care cuprinde: Formularul nr.1 CNAS, Formularul nr.2 CNAS, Formularul nr.4 CNAS, Formularul nr.4.1 CNAS</w:t>
      </w:r>
      <w:r w:rsidR="004863FE" w:rsidRPr="00DD5F1D">
        <w:rPr>
          <w:lang w:val="ro-MD"/>
        </w:rPr>
        <w:t>, Formularul nr.4.2 CNAS</w:t>
      </w:r>
      <w:r w:rsidR="00137DDA" w:rsidRPr="00DD5F1D">
        <w:rPr>
          <w:lang w:val="ro-MD"/>
        </w:rPr>
        <w:t>,</w:t>
      </w:r>
      <w:r w:rsidRPr="00DD5F1D">
        <w:rPr>
          <w:lang w:val="ro-MD"/>
        </w:rPr>
        <w:t xml:space="preserve"> </w:t>
      </w:r>
      <w:r w:rsidR="00137DDA" w:rsidRPr="00DD5F1D">
        <w:rPr>
          <w:kern w:val="2"/>
          <w:lang w:val="ro-MD"/>
          <w14:ligatures w14:val="standardContextual"/>
        </w:rPr>
        <w:t xml:space="preserve">Bilanțul contabil </w:t>
      </w:r>
      <w:r w:rsidR="001B5553" w:rsidRPr="00DD5F1D">
        <w:rPr>
          <w:kern w:val="2"/>
          <w:lang w:val="ro-MD"/>
          <w14:ligatures w14:val="standardContextual"/>
        </w:rPr>
        <w:t>(</w:t>
      </w:r>
      <w:r w:rsidR="00137DDA" w:rsidRPr="00DD5F1D">
        <w:rPr>
          <w:kern w:val="2"/>
          <w:lang w:val="ro-MD"/>
          <w14:ligatures w14:val="standardContextual"/>
        </w:rPr>
        <w:t>Form</w:t>
      </w:r>
      <w:r w:rsidR="001B5553" w:rsidRPr="00DD5F1D">
        <w:rPr>
          <w:kern w:val="2"/>
          <w:lang w:val="ro-MD"/>
          <w14:ligatures w14:val="standardContextual"/>
        </w:rPr>
        <w:t>ul</w:t>
      </w:r>
      <w:r w:rsidR="00137DDA" w:rsidRPr="00DD5F1D">
        <w:rPr>
          <w:kern w:val="2"/>
          <w:lang w:val="ro-MD"/>
          <w14:ligatures w14:val="standardContextual"/>
        </w:rPr>
        <w:t>a</w:t>
      </w:r>
      <w:r w:rsidR="001B5553" w:rsidRPr="00DD5F1D">
        <w:rPr>
          <w:kern w:val="2"/>
          <w:lang w:val="ro-MD"/>
          <w14:ligatures w14:val="standardContextual"/>
        </w:rPr>
        <w:t>rul</w:t>
      </w:r>
      <w:r w:rsidR="00137DDA" w:rsidRPr="00DD5F1D">
        <w:rPr>
          <w:kern w:val="2"/>
          <w:lang w:val="ro-MD"/>
          <w14:ligatures w14:val="standardContextual"/>
        </w:rPr>
        <w:t xml:space="preserve"> FD-041</w:t>
      </w:r>
      <w:r w:rsidR="001B5553" w:rsidRPr="00DD5F1D">
        <w:rPr>
          <w:kern w:val="2"/>
          <w:lang w:val="ro-MD"/>
          <w14:ligatures w14:val="standardContextual"/>
        </w:rPr>
        <w:t>)</w:t>
      </w:r>
      <w:r w:rsidR="00137DDA" w:rsidRPr="00DD5F1D">
        <w:rPr>
          <w:kern w:val="2"/>
          <w:lang w:val="ro-MD"/>
          <w14:ligatures w14:val="standardContextual"/>
        </w:rPr>
        <w:t>, Raport</w:t>
      </w:r>
      <w:r w:rsidR="001B5553" w:rsidRPr="00DD5F1D">
        <w:rPr>
          <w:kern w:val="2"/>
          <w:lang w:val="ro-MD"/>
          <w14:ligatures w14:val="standardContextual"/>
        </w:rPr>
        <w:t>ul</w:t>
      </w:r>
      <w:r w:rsidR="00137DDA" w:rsidRPr="00DD5F1D">
        <w:rPr>
          <w:kern w:val="2"/>
          <w:lang w:val="ro-MD"/>
          <w14:ligatures w14:val="standardContextual"/>
        </w:rPr>
        <w:t xml:space="preserve"> privind fluxul mijloacelor </w:t>
      </w:r>
      <w:r w:rsidR="001B5553" w:rsidRPr="00DD5F1D">
        <w:rPr>
          <w:kern w:val="2"/>
          <w:lang w:val="ro-MD"/>
          <w14:ligatures w14:val="standardContextual"/>
        </w:rPr>
        <w:t>(</w:t>
      </w:r>
      <w:r w:rsidR="00137DDA" w:rsidRPr="00DD5F1D">
        <w:rPr>
          <w:kern w:val="2"/>
          <w:lang w:val="ro-MD"/>
          <w14:ligatures w14:val="standardContextual"/>
        </w:rPr>
        <w:t>Form</w:t>
      </w:r>
      <w:r w:rsidR="001B5553" w:rsidRPr="00DD5F1D">
        <w:rPr>
          <w:kern w:val="2"/>
          <w:lang w:val="ro-MD"/>
          <w14:ligatures w14:val="standardContextual"/>
        </w:rPr>
        <w:t>ul</w:t>
      </w:r>
      <w:r w:rsidR="00137DDA" w:rsidRPr="00DD5F1D">
        <w:rPr>
          <w:kern w:val="2"/>
          <w:lang w:val="ro-MD"/>
          <w14:ligatures w14:val="standardContextual"/>
        </w:rPr>
        <w:t>a</w:t>
      </w:r>
      <w:r w:rsidR="001B5553" w:rsidRPr="00DD5F1D">
        <w:rPr>
          <w:kern w:val="2"/>
          <w:lang w:val="ro-MD"/>
          <w14:ligatures w14:val="standardContextual"/>
        </w:rPr>
        <w:t>rul</w:t>
      </w:r>
      <w:r w:rsidR="00137DDA" w:rsidRPr="00DD5F1D">
        <w:rPr>
          <w:kern w:val="2"/>
          <w:lang w:val="ro-MD"/>
          <w14:ligatures w14:val="standardContextual"/>
        </w:rPr>
        <w:t xml:space="preserve"> FD-043</w:t>
      </w:r>
      <w:r w:rsidR="001B5553" w:rsidRPr="00DD5F1D">
        <w:rPr>
          <w:kern w:val="2"/>
          <w:lang w:val="ro-MD"/>
          <w14:ligatures w14:val="standardContextual"/>
        </w:rPr>
        <w:t>)</w:t>
      </w:r>
      <w:r w:rsidR="00137DDA" w:rsidRPr="00DD5F1D">
        <w:rPr>
          <w:kern w:val="2"/>
          <w:lang w:val="ro-MD"/>
          <w14:ligatures w14:val="standardContextual"/>
        </w:rPr>
        <w:t xml:space="preserve"> </w:t>
      </w:r>
      <w:r w:rsidRPr="00DD5F1D">
        <w:rPr>
          <w:lang w:val="ro-MD"/>
        </w:rPr>
        <w:t>şi descrierea narativă</w:t>
      </w:r>
      <w:r w:rsidRPr="00DD5F1D">
        <w:rPr>
          <w:rStyle w:val="a5"/>
          <w:lang w:val="ro-MD"/>
        </w:rPr>
        <w:footnoteReference w:id="1"/>
      </w:r>
      <w:r w:rsidRPr="00DD5F1D">
        <w:rPr>
          <w:lang w:val="ro-MD"/>
        </w:rPr>
        <w:t>, inclusiv un sumar al politicilor contabile semnificative.</w:t>
      </w:r>
      <w:r w:rsidR="00137DDA" w:rsidRPr="00DD5F1D">
        <w:rPr>
          <w:kern w:val="2"/>
          <w:lang w:val="ro-MD"/>
          <w14:ligatures w14:val="standardContextual"/>
        </w:rPr>
        <w:t xml:space="preserve"> </w:t>
      </w:r>
      <w:r w:rsidRPr="00DD5F1D">
        <w:rPr>
          <w:lang w:val="ro-MD"/>
        </w:rPr>
        <w:t>În opinia noastră, Raportul Guvernului privind executarea bugetului asigurărilor sociale de stat oferă, sub toate aspectele semnificative, o imagine corectă şi fidelă, în conformitate cu cadrul</w:t>
      </w:r>
      <w:r w:rsidR="00C13672" w:rsidRPr="00DD5F1D">
        <w:rPr>
          <w:lang w:val="ro-MD"/>
        </w:rPr>
        <w:t xml:space="preserve"> de </w:t>
      </w:r>
      <w:r w:rsidRPr="00DD5F1D">
        <w:rPr>
          <w:lang w:val="ro-MD"/>
        </w:rPr>
        <w:t xml:space="preserve">raportare </w:t>
      </w:r>
      <w:r w:rsidR="00C13672" w:rsidRPr="00DD5F1D">
        <w:rPr>
          <w:lang w:val="ro-MD"/>
        </w:rPr>
        <w:t>financiar</w:t>
      </w:r>
      <w:r w:rsidR="00B17ED6" w:rsidRPr="00DD5F1D">
        <w:rPr>
          <w:lang w:val="ro-MD"/>
        </w:rPr>
        <w:t>ă</w:t>
      </w:r>
      <w:r w:rsidR="00C13672" w:rsidRPr="00DD5F1D">
        <w:rPr>
          <w:lang w:val="ro-MD"/>
        </w:rPr>
        <w:t xml:space="preserve"> </w:t>
      </w:r>
      <w:r w:rsidRPr="00DD5F1D">
        <w:rPr>
          <w:lang w:val="ro-MD"/>
        </w:rPr>
        <w:t>aplicabil</w:t>
      </w:r>
      <w:r w:rsidRPr="00DD5F1D">
        <w:rPr>
          <w:rStyle w:val="a5"/>
          <w:lang w:val="ro-MD"/>
        </w:rPr>
        <w:footnoteReference w:id="2"/>
      </w:r>
      <w:r w:rsidRPr="00DD5F1D">
        <w:rPr>
          <w:lang w:val="ro-MD"/>
        </w:rPr>
        <w:t>.</w:t>
      </w:r>
    </w:p>
    <w:p w14:paraId="083AB025" w14:textId="77777777" w:rsidR="0077416B" w:rsidRPr="00DD5F1D" w:rsidRDefault="0077416B" w:rsidP="00E1762E">
      <w:pPr>
        <w:pStyle w:val="a6"/>
        <w:spacing w:line="276" w:lineRule="auto"/>
        <w:ind w:right="-23" w:firstLine="0"/>
        <w:rPr>
          <w:rFonts w:eastAsiaTheme="minorHAnsi"/>
          <w:lang w:val="ro-MD"/>
        </w:rPr>
      </w:pPr>
      <w:bookmarkStart w:id="3" w:name="_Toc35000683"/>
    </w:p>
    <w:p w14:paraId="4E843B34" w14:textId="77777777" w:rsidR="00F77382" w:rsidRPr="00DD5F1D" w:rsidRDefault="00F77382" w:rsidP="00137DDA">
      <w:pPr>
        <w:pStyle w:val="aa"/>
        <w:numPr>
          <w:ilvl w:val="0"/>
          <w:numId w:val="2"/>
        </w:numPr>
        <w:shd w:val="clear" w:color="auto" w:fill="FFFFFF"/>
        <w:spacing w:after="0" w:line="276" w:lineRule="auto"/>
        <w:ind w:left="709" w:hanging="709"/>
        <w:jc w:val="both"/>
        <w:outlineLvl w:val="0"/>
        <w:rPr>
          <w:rFonts w:ascii="Times New Roman" w:eastAsiaTheme="majorEastAsia" w:hAnsi="Times New Roman" w:cs="Times New Roman"/>
          <w:b/>
          <w:sz w:val="24"/>
          <w:szCs w:val="24"/>
          <w:lang w:val="ro-MD"/>
        </w:rPr>
      </w:pPr>
      <w:r w:rsidRPr="00DD5F1D">
        <w:rPr>
          <w:rFonts w:ascii="Times New Roman" w:eastAsiaTheme="majorEastAsia" w:hAnsi="Times New Roman" w:cs="Times New Roman"/>
          <w:b/>
          <w:sz w:val="24"/>
          <w:szCs w:val="24"/>
          <w:lang w:val="ro-MD"/>
        </w:rPr>
        <w:t>PREZENTAREA BUGETULUI</w:t>
      </w:r>
    </w:p>
    <w:p w14:paraId="41E029D5" w14:textId="0B5A4163" w:rsidR="00F77382" w:rsidRPr="00DD5F1D" w:rsidRDefault="00F77382" w:rsidP="00F77382">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eastAsia="ru-RU"/>
        </w:rPr>
        <w:t xml:space="preserve">Bugetul asigurărilor sociale de stat reprezintă </w:t>
      </w:r>
      <w:r w:rsidRPr="00DD5F1D">
        <w:rPr>
          <w:rFonts w:ascii="Times New Roman" w:hAnsi="Times New Roman" w:cs="Times New Roman"/>
          <w:sz w:val="24"/>
          <w:szCs w:val="24"/>
          <w:shd w:val="clear" w:color="auto" w:fill="FFFFFF"/>
          <w:lang w:val="ro-MD"/>
        </w:rPr>
        <w:t xml:space="preserve">totalitatea veniturilor, </w:t>
      </w:r>
      <w:r w:rsidR="00B540E2" w:rsidRPr="00DD5F1D">
        <w:rPr>
          <w:rFonts w:ascii="Times New Roman" w:hAnsi="Times New Roman" w:cs="Times New Roman"/>
          <w:sz w:val="24"/>
          <w:szCs w:val="24"/>
          <w:shd w:val="clear" w:color="auto" w:fill="FFFFFF"/>
          <w:lang w:val="ro-MD"/>
        </w:rPr>
        <w:t xml:space="preserve">a </w:t>
      </w:r>
      <w:r w:rsidRPr="00DD5F1D">
        <w:rPr>
          <w:rFonts w:ascii="Times New Roman" w:hAnsi="Times New Roman" w:cs="Times New Roman"/>
          <w:sz w:val="24"/>
          <w:szCs w:val="24"/>
          <w:shd w:val="clear" w:color="auto" w:fill="FFFFFF"/>
          <w:lang w:val="ro-MD"/>
        </w:rPr>
        <w:t xml:space="preserve">cheltuielilor şi a surselor de finanțare destinate pentru realizarea funcțiilor </w:t>
      </w:r>
      <w:r w:rsidR="006519FF" w:rsidRPr="00DD5F1D">
        <w:rPr>
          <w:rFonts w:ascii="Times New Roman" w:hAnsi="Times New Roman" w:cs="Times New Roman"/>
          <w:sz w:val="24"/>
          <w:szCs w:val="24"/>
          <w:shd w:val="clear" w:color="auto" w:fill="FFFFFF"/>
          <w:lang w:val="ro-MD"/>
        </w:rPr>
        <w:t>și</w:t>
      </w:r>
      <w:r w:rsidRPr="00DD5F1D">
        <w:rPr>
          <w:rFonts w:ascii="Times New Roman" w:hAnsi="Times New Roman" w:cs="Times New Roman"/>
          <w:sz w:val="24"/>
          <w:szCs w:val="24"/>
          <w:shd w:val="clear" w:color="auto" w:fill="FFFFFF"/>
          <w:lang w:val="ro-MD"/>
        </w:rPr>
        <w:t xml:space="preserve"> gestionarea sistemului public de asigurări sociale</w:t>
      </w:r>
      <w:r w:rsidRPr="00DD5F1D">
        <w:rPr>
          <w:rFonts w:ascii="Times New Roman" w:hAnsi="Times New Roman" w:cs="Times New Roman"/>
          <w:sz w:val="24"/>
          <w:szCs w:val="24"/>
          <w:shd w:val="clear" w:color="auto" w:fill="FFFFFF"/>
          <w:vertAlign w:val="superscript"/>
          <w:lang w:val="ro-MD"/>
        </w:rPr>
        <w:footnoteReference w:id="3"/>
      </w:r>
      <w:r w:rsidRPr="00DD5F1D">
        <w:rPr>
          <w:rFonts w:ascii="Times New Roman" w:hAnsi="Times New Roman" w:cs="Times New Roman"/>
          <w:sz w:val="24"/>
          <w:szCs w:val="24"/>
          <w:lang w:val="ro-MD"/>
        </w:rPr>
        <w:t>. Acesta face parte din bugetul public național și se administrează independent de alte bugete componente ale bugetului public național</w:t>
      </w:r>
      <w:r w:rsidRPr="00DD5F1D">
        <w:rPr>
          <w:rFonts w:ascii="Times New Roman" w:hAnsi="Times New Roman" w:cs="Times New Roman"/>
          <w:sz w:val="24"/>
          <w:szCs w:val="24"/>
          <w:vertAlign w:val="superscript"/>
          <w:lang w:val="ro-MD"/>
        </w:rPr>
        <w:footnoteReference w:id="4"/>
      </w:r>
      <w:r w:rsidRPr="00DD5F1D">
        <w:rPr>
          <w:rFonts w:ascii="Times New Roman" w:hAnsi="Times New Roman" w:cs="Times New Roman"/>
          <w:sz w:val="24"/>
          <w:szCs w:val="24"/>
          <w:lang w:val="ro-MD"/>
        </w:rPr>
        <w:t>. Administrarea bugetului asigurărilor sociale de stat și implementarea programelor în conformitate cu obiectivele și indicatorii de performanță asumați i-au revenit Casei Naționale de Asigurări Sociale</w:t>
      </w:r>
      <w:r w:rsidRPr="00DD5F1D">
        <w:rPr>
          <w:rFonts w:ascii="Times New Roman" w:hAnsi="Times New Roman" w:cs="Times New Roman"/>
          <w:sz w:val="24"/>
          <w:szCs w:val="24"/>
          <w:vertAlign w:val="superscript"/>
          <w:lang w:val="ro-MD"/>
        </w:rPr>
        <w:footnoteReference w:id="5"/>
      </w:r>
      <w:r w:rsidR="00101054" w:rsidRPr="00DD5F1D">
        <w:rPr>
          <w:rFonts w:ascii="Times New Roman" w:hAnsi="Times New Roman" w:cs="Times New Roman"/>
          <w:sz w:val="24"/>
          <w:szCs w:val="24"/>
          <w:lang w:val="ro-MD"/>
        </w:rPr>
        <w:t>, iar administrarea veniturilor este atribuită S</w:t>
      </w:r>
      <w:r w:rsidR="001B5553" w:rsidRPr="00DD5F1D">
        <w:rPr>
          <w:rFonts w:ascii="Times New Roman" w:hAnsi="Times New Roman" w:cs="Times New Roman"/>
          <w:sz w:val="24"/>
          <w:szCs w:val="24"/>
          <w:lang w:val="ro-MD"/>
        </w:rPr>
        <w:t xml:space="preserve">erviciului </w:t>
      </w:r>
      <w:r w:rsidR="00101054" w:rsidRPr="00DD5F1D">
        <w:rPr>
          <w:rFonts w:ascii="Times New Roman" w:hAnsi="Times New Roman" w:cs="Times New Roman"/>
          <w:sz w:val="24"/>
          <w:szCs w:val="24"/>
          <w:lang w:val="ro-MD"/>
        </w:rPr>
        <w:t>F</w:t>
      </w:r>
      <w:r w:rsidR="001B5553" w:rsidRPr="00DD5F1D">
        <w:rPr>
          <w:rFonts w:ascii="Times New Roman" w:hAnsi="Times New Roman" w:cs="Times New Roman"/>
          <w:sz w:val="24"/>
          <w:szCs w:val="24"/>
          <w:lang w:val="ro-MD"/>
        </w:rPr>
        <w:t xml:space="preserve">iscal de </w:t>
      </w:r>
      <w:r w:rsidR="00101054" w:rsidRPr="00DD5F1D">
        <w:rPr>
          <w:rFonts w:ascii="Times New Roman" w:hAnsi="Times New Roman" w:cs="Times New Roman"/>
          <w:sz w:val="24"/>
          <w:szCs w:val="24"/>
          <w:lang w:val="ro-MD"/>
        </w:rPr>
        <w:t>S</w:t>
      </w:r>
      <w:r w:rsidR="001B5553" w:rsidRPr="00DD5F1D">
        <w:rPr>
          <w:rFonts w:ascii="Times New Roman" w:hAnsi="Times New Roman" w:cs="Times New Roman"/>
          <w:sz w:val="24"/>
          <w:szCs w:val="24"/>
          <w:lang w:val="ro-MD"/>
        </w:rPr>
        <w:t>tat</w:t>
      </w:r>
      <w:r w:rsidR="00101054"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Astfel, </w:t>
      </w:r>
      <w:r w:rsidR="00101054" w:rsidRPr="00DD5F1D">
        <w:rPr>
          <w:rFonts w:ascii="Times New Roman" w:hAnsi="Times New Roman" w:cs="Times New Roman"/>
          <w:sz w:val="24"/>
          <w:szCs w:val="24"/>
          <w:lang w:val="ro-MD"/>
        </w:rPr>
        <w:t>CNAS</w:t>
      </w:r>
      <w:r w:rsidRPr="00DD5F1D">
        <w:rPr>
          <w:rFonts w:ascii="Times New Roman" w:hAnsi="Times New Roman" w:cs="Times New Roman"/>
          <w:sz w:val="24"/>
          <w:szCs w:val="24"/>
          <w:lang w:val="ro-MD"/>
        </w:rPr>
        <w:t xml:space="preserve"> are misiunea de a realiza politicile statului orientate spre garantarea drepturilor sociale ale cetățenilor</w:t>
      </w:r>
      <w:r w:rsidR="00B540E2"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prin administrarea sistemului public de asigurări sociale și gestionarea bugetul</w:t>
      </w:r>
      <w:r w:rsidR="00101054" w:rsidRPr="00DD5F1D">
        <w:rPr>
          <w:rFonts w:ascii="Times New Roman" w:hAnsi="Times New Roman" w:cs="Times New Roman"/>
          <w:sz w:val="24"/>
          <w:szCs w:val="24"/>
          <w:lang w:val="ro-MD"/>
        </w:rPr>
        <w:t>ui asigurărilor sociale de stat, în timp ce colectarea veniturilor este exercitată de SFS.</w:t>
      </w:r>
    </w:p>
    <w:p w14:paraId="4FB1B874" w14:textId="55582723" w:rsidR="00F77382" w:rsidRPr="00DD5F1D" w:rsidRDefault="00F77382" w:rsidP="00F77382">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Bugetul asigurărilor sociale de stat este planul financiar anual care reflectă constituirea, repartizarea și utilizarea fondurilor bănești necesare ocrotirii pensionarilor, salariaților și membrilor lor de familie. Prin intermediul sistemului public de asigurări sociale, statul garantează cetățenilor dreptul la protecție socială în cazurile de bătrânețe, șomaj, boală, invaliditate, de pierdere a întreținătorului prin plăți sociale – pensii, indemnizații și alte prestații de asigurări sociale. Totodată, prin intermediul CNAS se acordă</w:t>
      </w:r>
      <w:r w:rsidR="001B5553"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unor anumite categorii de cetățeni, prestații de asistență socială, a căror finanțare se efectuează din mijloacele bugetului de stat.</w:t>
      </w:r>
    </w:p>
    <w:p w14:paraId="6FFE1F71" w14:textId="47901A0B" w:rsidR="00CB7D23" w:rsidRPr="00DD5F1D" w:rsidRDefault="00CB7D23" w:rsidP="00CB7D23">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În acest context, se </w:t>
      </w:r>
      <w:r w:rsidR="004F4EF4" w:rsidRPr="00DD5F1D">
        <w:rPr>
          <w:rFonts w:ascii="Times New Roman" w:hAnsi="Times New Roman" w:cs="Times New Roman"/>
          <w:sz w:val="24"/>
          <w:szCs w:val="24"/>
          <w:lang w:val="ro-MD"/>
        </w:rPr>
        <w:t xml:space="preserve">relevă importanța </w:t>
      </w:r>
      <w:r w:rsidRPr="00DD5F1D">
        <w:rPr>
          <w:rFonts w:ascii="Times New Roman" w:hAnsi="Times New Roman" w:cs="Times New Roman"/>
          <w:sz w:val="24"/>
          <w:szCs w:val="24"/>
          <w:lang w:val="ro-MD"/>
        </w:rPr>
        <w:t>calitativă a acestui buget, deoarece este orientat spre cetățeni în vederea asigurării riscurilor survenite pe parcursul vieții (boală, bătrânețe etc.). Pe parcursul anului 2023 din BASS au fost acordate 1,66 milioane de prestații sociale.</w:t>
      </w:r>
    </w:p>
    <w:p w14:paraId="03092213" w14:textId="7CE3F7FD" w:rsidR="00F77382" w:rsidRPr="00DD5F1D" w:rsidRDefault="00F77382" w:rsidP="00F77382">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Bugetul asigurărilor sociale de stat pe anul 202</w:t>
      </w:r>
      <w:r w:rsidR="005C3A2F" w:rsidRPr="00DD5F1D">
        <w:rPr>
          <w:rFonts w:ascii="Times New Roman" w:hAnsi="Times New Roman" w:cs="Times New Roman"/>
          <w:sz w:val="24"/>
          <w:szCs w:val="24"/>
          <w:lang w:val="ro-MD"/>
        </w:rPr>
        <w:t>3</w:t>
      </w:r>
      <w:r w:rsidRPr="00DD5F1D">
        <w:rPr>
          <w:rFonts w:ascii="Times New Roman" w:hAnsi="Times New Roman" w:cs="Times New Roman"/>
          <w:sz w:val="24"/>
          <w:szCs w:val="24"/>
          <w:lang w:val="ro-MD"/>
        </w:rPr>
        <w:t xml:space="preserve"> a fost aprobat inițial l</w:t>
      </w:r>
      <w:r w:rsidR="00AE4E24" w:rsidRPr="00DD5F1D">
        <w:rPr>
          <w:rFonts w:ascii="Times New Roman" w:hAnsi="Times New Roman" w:cs="Times New Roman"/>
          <w:sz w:val="24"/>
          <w:szCs w:val="24"/>
          <w:lang w:val="ro-MD"/>
        </w:rPr>
        <w:t>a venituri și cheltuieli în sumă</w:t>
      </w:r>
      <w:r w:rsidRPr="00DD5F1D">
        <w:rPr>
          <w:rFonts w:ascii="Times New Roman" w:hAnsi="Times New Roman" w:cs="Times New Roman"/>
          <w:sz w:val="24"/>
          <w:szCs w:val="24"/>
          <w:lang w:val="ro-MD"/>
        </w:rPr>
        <w:t xml:space="preserve"> de </w:t>
      </w:r>
      <w:r w:rsidR="005C3A2F" w:rsidRPr="00DD5F1D">
        <w:rPr>
          <w:rFonts w:ascii="Times New Roman" w:hAnsi="Times New Roman" w:cs="Times New Roman"/>
          <w:sz w:val="24"/>
          <w:szCs w:val="24"/>
          <w:lang w:val="ro-MD"/>
        </w:rPr>
        <w:t>38</w:t>
      </w:r>
      <w:r w:rsidR="001B5553" w:rsidRPr="00DD5F1D">
        <w:rPr>
          <w:rFonts w:ascii="Times New Roman" w:hAnsi="Times New Roman" w:cs="Times New Roman"/>
          <w:sz w:val="24"/>
          <w:szCs w:val="24"/>
          <w:lang w:val="ro-MD"/>
        </w:rPr>
        <w:t xml:space="preserve"> </w:t>
      </w:r>
      <w:r w:rsidR="005C3A2F" w:rsidRPr="00DD5F1D">
        <w:rPr>
          <w:rFonts w:ascii="Times New Roman" w:hAnsi="Times New Roman" w:cs="Times New Roman"/>
          <w:sz w:val="24"/>
          <w:szCs w:val="24"/>
          <w:lang w:val="ro-MD"/>
        </w:rPr>
        <w:t xml:space="preserve">735,6 </w:t>
      </w:r>
      <w:r w:rsidRPr="00DD5F1D">
        <w:rPr>
          <w:rFonts w:ascii="Times New Roman" w:hAnsi="Times New Roman" w:cs="Times New Roman"/>
          <w:sz w:val="24"/>
          <w:szCs w:val="24"/>
          <w:lang w:val="ro-MD"/>
        </w:rPr>
        <w:t>mil.</w:t>
      </w:r>
      <w:r w:rsidR="004E4D1E"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lei. Ca rezultat al operării modificărilor și completărilor, parametrii BASS au fost precizați până la </w:t>
      </w:r>
      <w:r w:rsidR="005728FF" w:rsidRPr="00DD5F1D">
        <w:rPr>
          <w:rFonts w:ascii="Times New Roman" w:hAnsi="Times New Roman" w:cs="Times New Roman"/>
          <w:sz w:val="24"/>
          <w:szCs w:val="24"/>
          <w:lang w:val="ro-MD"/>
        </w:rPr>
        <w:t>38</w:t>
      </w:r>
      <w:r w:rsidR="001B5553" w:rsidRPr="00DD5F1D">
        <w:rPr>
          <w:rFonts w:ascii="Times New Roman" w:hAnsi="Times New Roman" w:cs="Times New Roman"/>
          <w:sz w:val="24"/>
          <w:szCs w:val="24"/>
          <w:lang w:val="ro-MD"/>
        </w:rPr>
        <w:t xml:space="preserve"> </w:t>
      </w:r>
      <w:r w:rsidR="005728FF" w:rsidRPr="00DD5F1D">
        <w:rPr>
          <w:rFonts w:ascii="Times New Roman" w:hAnsi="Times New Roman" w:cs="Times New Roman"/>
          <w:sz w:val="24"/>
          <w:szCs w:val="24"/>
          <w:lang w:val="ro-MD"/>
        </w:rPr>
        <w:t>870,7</w:t>
      </w:r>
      <w:r w:rsidRPr="00DD5F1D">
        <w:rPr>
          <w:rFonts w:ascii="Times New Roman" w:hAnsi="Times New Roman" w:cs="Times New Roman"/>
          <w:sz w:val="24"/>
          <w:szCs w:val="24"/>
          <w:lang w:val="ro-MD"/>
        </w:rPr>
        <w:t xml:space="preserve"> mil.</w:t>
      </w:r>
      <w:r w:rsidR="004E4D1E"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lei, cu </w:t>
      </w:r>
      <w:r w:rsidR="005728FF" w:rsidRPr="00DD5F1D">
        <w:rPr>
          <w:rFonts w:ascii="Times New Roman" w:hAnsi="Times New Roman" w:cs="Times New Roman"/>
          <w:sz w:val="24"/>
          <w:szCs w:val="24"/>
          <w:lang w:val="ro-MD"/>
        </w:rPr>
        <w:t>135,1</w:t>
      </w:r>
      <w:r w:rsidRPr="00DD5F1D">
        <w:rPr>
          <w:rFonts w:ascii="Times New Roman" w:hAnsi="Times New Roman" w:cs="Times New Roman"/>
          <w:sz w:val="24"/>
          <w:szCs w:val="24"/>
          <w:lang w:val="ro-MD"/>
        </w:rPr>
        <w:t xml:space="preserve"> mil. lei mai mult.</w:t>
      </w:r>
    </w:p>
    <w:p w14:paraId="106CD54C" w14:textId="2A07CCB5" w:rsidR="00F77382" w:rsidRPr="00DD5F1D" w:rsidRDefault="00F77382" w:rsidP="00AB5790">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Cu referire la ponderea cheltuielilor totale executate ale bugetului asigurărilor sociale de stat în BPN, se deno</w:t>
      </w:r>
      <w:r w:rsidR="004E4D1E" w:rsidRPr="00DD5F1D">
        <w:rPr>
          <w:rFonts w:ascii="Times New Roman" w:hAnsi="Times New Roman" w:cs="Times New Roman"/>
          <w:sz w:val="24"/>
          <w:szCs w:val="24"/>
          <w:lang w:val="ro-MD"/>
        </w:rPr>
        <w:t>tă că acestea au constituit 32,7%, şi ca pondere în PIB – 12,8%. Față de anul 2022</w:t>
      </w:r>
      <w:r w:rsidRPr="00DD5F1D">
        <w:rPr>
          <w:rFonts w:ascii="Times New Roman" w:hAnsi="Times New Roman" w:cs="Times New Roman"/>
          <w:sz w:val="24"/>
          <w:szCs w:val="24"/>
          <w:lang w:val="ro-MD"/>
        </w:rPr>
        <w:t>, ponderea cheltuielilor bugetului asigurărilor sociale de stat în B</w:t>
      </w:r>
      <w:r w:rsidR="004E4D1E" w:rsidRPr="00DD5F1D">
        <w:rPr>
          <w:rFonts w:ascii="Times New Roman" w:hAnsi="Times New Roman" w:cs="Times New Roman"/>
          <w:sz w:val="24"/>
          <w:szCs w:val="24"/>
          <w:lang w:val="ro-MD"/>
        </w:rPr>
        <w:t>PN s-a micșorat cu 0,9</w:t>
      </w:r>
      <w:r w:rsidRPr="00DD5F1D">
        <w:rPr>
          <w:rFonts w:ascii="Times New Roman" w:hAnsi="Times New Roman" w:cs="Times New Roman"/>
          <w:sz w:val="24"/>
          <w:szCs w:val="24"/>
          <w:lang w:val="ro-MD"/>
        </w:rPr>
        <w:t xml:space="preserve"> puncte procentuale, iar ponderea în PIB s-a m</w:t>
      </w:r>
      <w:r w:rsidR="00296844" w:rsidRPr="00DD5F1D">
        <w:rPr>
          <w:rFonts w:ascii="Times New Roman" w:hAnsi="Times New Roman" w:cs="Times New Roman"/>
          <w:sz w:val="24"/>
          <w:szCs w:val="24"/>
          <w:lang w:val="ro-MD"/>
        </w:rPr>
        <w:t>ajorat</w:t>
      </w:r>
      <w:r w:rsidRPr="00DD5F1D">
        <w:rPr>
          <w:rFonts w:ascii="Times New Roman" w:hAnsi="Times New Roman" w:cs="Times New Roman"/>
          <w:sz w:val="24"/>
          <w:szCs w:val="24"/>
          <w:lang w:val="ro-MD"/>
        </w:rPr>
        <w:t xml:space="preserve"> cu </w:t>
      </w:r>
      <w:r w:rsidR="004E4D1E" w:rsidRPr="00DD5F1D">
        <w:rPr>
          <w:rFonts w:ascii="Times New Roman" w:hAnsi="Times New Roman" w:cs="Times New Roman"/>
          <w:sz w:val="24"/>
          <w:szCs w:val="24"/>
          <w:lang w:val="ro-MD"/>
        </w:rPr>
        <w:t>0,4</w:t>
      </w:r>
      <w:r w:rsidR="000232E5" w:rsidRPr="00DD5F1D">
        <w:rPr>
          <w:rFonts w:ascii="Times New Roman" w:hAnsi="Times New Roman" w:cs="Times New Roman"/>
          <w:sz w:val="24"/>
          <w:szCs w:val="24"/>
          <w:lang w:val="ro-MD"/>
        </w:rPr>
        <w:t xml:space="preserve"> punct</w:t>
      </w:r>
      <w:r w:rsidR="004E4D1E" w:rsidRPr="00DD5F1D">
        <w:rPr>
          <w:rFonts w:ascii="Times New Roman" w:hAnsi="Times New Roman" w:cs="Times New Roman"/>
          <w:sz w:val="24"/>
          <w:szCs w:val="24"/>
          <w:lang w:val="ro-MD"/>
        </w:rPr>
        <w:t>e</w:t>
      </w:r>
      <w:r w:rsidRPr="00DD5F1D">
        <w:rPr>
          <w:rFonts w:ascii="Times New Roman" w:hAnsi="Times New Roman" w:cs="Times New Roman"/>
          <w:sz w:val="24"/>
          <w:szCs w:val="24"/>
          <w:lang w:val="ro-MD"/>
        </w:rPr>
        <w:t xml:space="preserve"> procentual</w:t>
      </w:r>
      <w:r w:rsidR="004E4D1E" w:rsidRPr="00DD5F1D">
        <w:rPr>
          <w:rFonts w:ascii="Times New Roman" w:hAnsi="Times New Roman" w:cs="Times New Roman"/>
          <w:sz w:val="24"/>
          <w:szCs w:val="24"/>
          <w:lang w:val="ro-MD"/>
        </w:rPr>
        <w:t>e</w:t>
      </w:r>
      <w:r w:rsidRPr="00DD5F1D">
        <w:rPr>
          <w:rFonts w:ascii="Times New Roman" w:hAnsi="Times New Roman" w:cs="Times New Roman"/>
          <w:sz w:val="24"/>
          <w:szCs w:val="24"/>
          <w:lang w:val="ro-MD"/>
        </w:rPr>
        <w:t xml:space="preserve">, situație prezentată în </w:t>
      </w:r>
      <w:r w:rsidR="00FA0814" w:rsidRPr="00DD5F1D">
        <w:rPr>
          <w:rFonts w:ascii="Times New Roman" w:hAnsi="Times New Roman" w:cs="Times New Roman"/>
          <w:sz w:val="24"/>
          <w:szCs w:val="24"/>
          <w:lang w:val="ro-MD"/>
        </w:rPr>
        <w:t xml:space="preserve">Anexa </w:t>
      </w:r>
      <w:r w:rsidR="00AB5790" w:rsidRPr="00DD5F1D">
        <w:rPr>
          <w:rFonts w:ascii="Times New Roman" w:hAnsi="Times New Roman" w:cs="Times New Roman"/>
          <w:sz w:val="24"/>
          <w:szCs w:val="24"/>
          <w:lang w:val="ro-MD"/>
        </w:rPr>
        <w:t>nr.1</w:t>
      </w:r>
      <w:r w:rsidR="009229FC" w:rsidRPr="00DD5F1D">
        <w:rPr>
          <w:rFonts w:ascii="Times New Roman" w:hAnsi="Times New Roman" w:cs="Times New Roman"/>
          <w:sz w:val="24"/>
          <w:szCs w:val="24"/>
          <w:lang w:val="ro-MD"/>
        </w:rPr>
        <w:t xml:space="preserve"> la prezentul Raport de audit</w:t>
      </w:r>
      <w:r w:rsidRPr="00DD5F1D">
        <w:rPr>
          <w:rFonts w:ascii="Times New Roman" w:hAnsi="Times New Roman" w:cs="Times New Roman"/>
          <w:sz w:val="24"/>
          <w:szCs w:val="24"/>
          <w:lang w:val="ro-MD"/>
        </w:rPr>
        <w:t>.</w:t>
      </w:r>
    </w:p>
    <w:p w14:paraId="3A3F8666" w14:textId="29CC425F" w:rsidR="00F77382" w:rsidRPr="00DD5F1D" w:rsidRDefault="00F77382" w:rsidP="00F77382">
      <w:pPr>
        <w:spacing w:after="0" w:line="276" w:lineRule="auto"/>
        <w:jc w:val="both"/>
        <w:rPr>
          <w:rFonts w:ascii="Times New Roman" w:hAnsi="Times New Roman" w:cs="Times New Roman"/>
          <w:sz w:val="24"/>
          <w:szCs w:val="24"/>
          <w:lang w:val="ro-MD"/>
        </w:rPr>
      </w:pPr>
      <w:r w:rsidRPr="007D32B0">
        <w:rPr>
          <w:rFonts w:ascii="Times New Roman" w:hAnsi="Times New Roman" w:cs="Times New Roman"/>
          <w:sz w:val="24"/>
          <w:szCs w:val="24"/>
          <w:lang w:val="ro-MD"/>
        </w:rPr>
        <w:t>Legea finanțelor publice şi responsabilității bugetar-fiscale</w:t>
      </w:r>
      <w:r w:rsidRPr="007D32B0">
        <w:rPr>
          <w:rFonts w:ascii="Times New Roman" w:hAnsi="Times New Roman" w:cs="Times New Roman"/>
          <w:sz w:val="24"/>
          <w:szCs w:val="24"/>
          <w:vertAlign w:val="superscript"/>
          <w:lang w:val="ro-MD"/>
        </w:rPr>
        <w:footnoteReference w:id="6"/>
      </w:r>
      <w:r w:rsidRPr="00487AE3">
        <w:rPr>
          <w:rFonts w:ascii="Times New Roman" w:hAnsi="Times New Roman" w:cs="Times New Roman"/>
          <w:sz w:val="24"/>
          <w:szCs w:val="24"/>
          <w:lang w:val="ro-MD"/>
        </w:rPr>
        <w:t xml:space="preserve"> stabilește condițiile şi termenele generale</w:t>
      </w:r>
      <w:r w:rsidRPr="00DD5F1D">
        <w:rPr>
          <w:rFonts w:ascii="Times New Roman" w:hAnsi="Times New Roman" w:cs="Times New Roman"/>
          <w:sz w:val="24"/>
          <w:szCs w:val="24"/>
          <w:lang w:val="ro-MD"/>
        </w:rPr>
        <w:t xml:space="preserve"> privind modificările/precizările bugetelor anuale aprobate</w:t>
      </w:r>
      <w:r w:rsidR="00487AE3">
        <w:rPr>
          <w:rFonts w:ascii="Times New Roman" w:hAnsi="Times New Roman" w:cs="Times New Roman"/>
          <w:sz w:val="24"/>
          <w:szCs w:val="24"/>
          <w:lang w:val="ro-MD"/>
        </w:rPr>
        <w:t>, în număr de cel mult 2 modificări. Astfel</w:t>
      </w:r>
      <w:r w:rsidRPr="00DD5F1D">
        <w:rPr>
          <w:rFonts w:ascii="Times New Roman" w:hAnsi="Times New Roman" w:cs="Times New Roman"/>
          <w:sz w:val="24"/>
          <w:szCs w:val="24"/>
          <w:lang w:val="ro-MD"/>
        </w:rPr>
        <w:t xml:space="preserve">, indicatorii anuali ai </w:t>
      </w:r>
      <w:r w:rsidR="00101054" w:rsidRPr="00DD5F1D">
        <w:rPr>
          <w:rFonts w:ascii="Times New Roman" w:hAnsi="Times New Roman" w:cs="Times New Roman"/>
          <w:sz w:val="24"/>
          <w:szCs w:val="24"/>
          <w:lang w:val="ro-MD"/>
        </w:rPr>
        <w:t>BASS</w:t>
      </w:r>
      <w:r w:rsidRPr="00DD5F1D">
        <w:rPr>
          <w:rFonts w:ascii="Times New Roman" w:hAnsi="Times New Roman" w:cs="Times New Roman"/>
          <w:sz w:val="24"/>
          <w:szCs w:val="24"/>
          <w:lang w:val="ro-MD"/>
        </w:rPr>
        <w:t xml:space="preserve"> au fost precizați de 3 ori</w:t>
      </w:r>
      <w:r w:rsidRPr="00DD5F1D">
        <w:rPr>
          <w:rFonts w:ascii="Times New Roman" w:hAnsi="Times New Roman" w:cs="Times New Roman"/>
          <w:sz w:val="24"/>
          <w:szCs w:val="24"/>
          <w:vertAlign w:val="superscript"/>
          <w:lang w:val="ro-MD"/>
        </w:rPr>
        <w:footnoteReference w:id="7"/>
      </w:r>
      <w:r w:rsidRPr="00DD5F1D">
        <w:rPr>
          <w:rFonts w:ascii="Times New Roman" w:hAnsi="Times New Roman" w:cs="Times New Roman"/>
          <w:sz w:val="24"/>
          <w:szCs w:val="24"/>
          <w:lang w:val="ro-MD"/>
        </w:rPr>
        <w:t>. Modificările au fost determinate de evoluția indicatorilor</w:t>
      </w:r>
      <w:r w:rsidR="00101054" w:rsidRPr="00DD5F1D">
        <w:rPr>
          <w:rFonts w:ascii="Times New Roman" w:hAnsi="Times New Roman" w:cs="Times New Roman"/>
          <w:sz w:val="24"/>
          <w:szCs w:val="24"/>
          <w:lang w:val="ro-MD"/>
        </w:rPr>
        <w:t xml:space="preserve"> acestui</w:t>
      </w:r>
      <w:r w:rsidRPr="00DD5F1D">
        <w:rPr>
          <w:rFonts w:ascii="Times New Roman" w:hAnsi="Times New Roman" w:cs="Times New Roman"/>
          <w:sz w:val="24"/>
          <w:szCs w:val="24"/>
          <w:lang w:val="ro-MD"/>
        </w:rPr>
        <w:t xml:space="preserve"> buget pe parcursul anului bugetar 202</w:t>
      </w:r>
      <w:r w:rsidR="005728FF" w:rsidRPr="00DD5F1D">
        <w:rPr>
          <w:rFonts w:ascii="Times New Roman" w:hAnsi="Times New Roman" w:cs="Times New Roman"/>
          <w:sz w:val="24"/>
          <w:szCs w:val="24"/>
          <w:lang w:val="ro-MD"/>
        </w:rPr>
        <w:t>3</w:t>
      </w:r>
      <w:r w:rsidR="00AD55E8"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de dinamica beneficiarilor și a mărimilor medii ale prestațiilor sociale, de revizuirea de către Ministerul Dezvoltării Economice și Digitalizării a prognozei principalilor indicatori macroeconomici pentru anul 202</w:t>
      </w:r>
      <w:r w:rsidR="005728FF" w:rsidRPr="00DD5F1D">
        <w:rPr>
          <w:rFonts w:ascii="Times New Roman" w:hAnsi="Times New Roman" w:cs="Times New Roman"/>
          <w:sz w:val="24"/>
          <w:szCs w:val="24"/>
          <w:lang w:val="ro-MD"/>
        </w:rPr>
        <w:t>3</w:t>
      </w:r>
      <w:r w:rsidRPr="00DD5F1D">
        <w:rPr>
          <w:rFonts w:ascii="Times New Roman" w:hAnsi="Times New Roman" w:cs="Times New Roman"/>
          <w:sz w:val="24"/>
          <w:szCs w:val="24"/>
          <w:lang w:val="ro-MD"/>
        </w:rPr>
        <w:t xml:space="preserve">, precum și de necesitatea implementării măsurilor noi aprobate în legislație pe parcursul anului bugetar, cu impact </w:t>
      </w:r>
      <w:r w:rsidR="00101054" w:rsidRPr="00DD5F1D">
        <w:rPr>
          <w:rFonts w:ascii="Times New Roman" w:hAnsi="Times New Roman" w:cs="Times New Roman"/>
          <w:sz w:val="24"/>
          <w:szCs w:val="24"/>
          <w:lang w:val="ro-MD"/>
        </w:rPr>
        <w:t>asupra BASS</w:t>
      </w:r>
      <w:r w:rsidRPr="00DD5F1D">
        <w:rPr>
          <w:rFonts w:ascii="Times New Roman" w:hAnsi="Times New Roman" w:cs="Times New Roman"/>
          <w:sz w:val="24"/>
          <w:szCs w:val="24"/>
          <w:lang w:val="ro-MD"/>
        </w:rPr>
        <w:t>:</w:t>
      </w:r>
    </w:p>
    <w:p w14:paraId="3213D3F8" w14:textId="6295B359" w:rsidR="00962C00" w:rsidRPr="00DD5F1D" w:rsidRDefault="00962C00" w:rsidP="00740B15">
      <w:pPr>
        <w:pStyle w:val="aa"/>
        <w:numPr>
          <w:ilvl w:val="0"/>
          <w:numId w:val="6"/>
        </w:numPr>
        <w:spacing w:line="276" w:lineRule="auto"/>
        <w:jc w:val="both"/>
        <w:rPr>
          <w:rFonts w:ascii="Times New Roman" w:hAnsi="Times New Roman" w:cs="Times New Roman"/>
          <w:sz w:val="24"/>
          <w:szCs w:val="24"/>
          <w:lang w:val="ro-MD"/>
        </w:rPr>
      </w:pPr>
      <w:r w:rsidRPr="00DD5F1D">
        <w:rPr>
          <w:rFonts w:ascii="Times New Roman" w:eastAsia="Calibri" w:hAnsi="Times New Roman" w:cs="Times New Roman"/>
          <w:sz w:val="24"/>
          <w:szCs w:val="24"/>
          <w:lang w:val="ro-MD"/>
        </w:rPr>
        <w:t xml:space="preserve">în anul 2023, prin mecanismul de indexare a pensiilor a fost indexată cu 15% partea pensiei ce nu depășește 11 700 lei pentru 651 930 </w:t>
      </w:r>
      <w:r w:rsidR="009229FC" w:rsidRPr="00DD5F1D">
        <w:rPr>
          <w:rFonts w:ascii="Times New Roman" w:eastAsia="Calibri" w:hAnsi="Times New Roman" w:cs="Times New Roman"/>
          <w:sz w:val="24"/>
          <w:szCs w:val="24"/>
          <w:lang w:val="ro-MD"/>
        </w:rPr>
        <w:t xml:space="preserve">de </w:t>
      </w:r>
      <w:r w:rsidRPr="00DD5F1D">
        <w:rPr>
          <w:rFonts w:ascii="Times New Roman" w:eastAsia="Calibri" w:hAnsi="Times New Roman" w:cs="Times New Roman"/>
          <w:sz w:val="24"/>
          <w:szCs w:val="24"/>
          <w:lang w:val="ro-MD"/>
        </w:rPr>
        <w:t>beneficiari. În același timp</w:t>
      </w:r>
      <w:r w:rsidR="009229FC"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pentru 10,8</w:t>
      </w:r>
      <w:r w:rsidRPr="00DD5F1D">
        <w:rPr>
          <w:rFonts w:ascii="Times New Roman" w:hAnsi="Times New Roman" w:cs="Times New Roman"/>
          <w:sz w:val="24"/>
          <w:szCs w:val="24"/>
          <w:shd w:val="clear" w:color="auto" w:fill="FFFFFF"/>
          <w:lang w:val="ro-MD"/>
        </w:rPr>
        <w:t xml:space="preserve"> mii de beneficiari s-a plafonat partea pensiei indexate, respectiv aceasta</w:t>
      </w:r>
      <w:r w:rsidR="003344BE" w:rsidRPr="00DD5F1D">
        <w:rPr>
          <w:rFonts w:ascii="Times New Roman" w:hAnsi="Times New Roman" w:cs="Times New Roman"/>
          <w:sz w:val="24"/>
          <w:szCs w:val="24"/>
          <w:shd w:val="clear" w:color="auto" w:fill="FFFFFF"/>
          <w:lang w:val="ro-MD"/>
        </w:rPr>
        <w:t xml:space="preserve"> s-a majorat doar cu 1 755 lei. C</w:t>
      </w:r>
      <w:r w:rsidR="00507347" w:rsidRPr="00DD5F1D">
        <w:rPr>
          <w:rFonts w:ascii="Times New Roman" w:hAnsi="Times New Roman" w:cs="Times New Roman"/>
          <w:sz w:val="24"/>
          <w:szCs w:val="24"/>
          <w:shd w:val="clear" w:color="auto" w:fill="FFFFFF"/>
          <w:lang w:val="ro-MD"/>
        </w:rPr>
        <w:t>heltuielile estimative suportate din BASS și BS pentru indexarea pensiilor au constituit 3 058</w:t>
      </w:r>
      <w:r w:rsidR="003344BE" w:rsidRPr="00DD5F1D">
        <w:rPr>
          <w:rFonts w:ascii="Times New Roman" w:hAnsi="Times New Roman" w:cs="Times New Roman"/>
          <w:sz w:val="24"/>
          <w:szCs w:val="24"/>
          <w:shd w:val="clear" w:color="auto" w:fill="FFFFFF"/>
          <w:lang w:val="ro-MD"/>
        </w:rPr>
        <w:t>,5 mil</w:t>
      </w:r>
      <w:r w:rsidR="00101054" w:rsidRPr="00DD5F1D">
        <w:rPr>
          <w:rFonts w:ascii="Times New Roman" w:hAnsi="Times New Roman" w:cs="Times New Roman"/>
          <w:sz w:val="24"/>
          <w:szCs w:val="24"/>
          <w:shd w:val="clear" w:color="auto" w:fill="FFFFFF"/>
          <w:lang w:val="ro-MD"/>
        </w:rPr>
        <w:t>.</w:t>
      </w:r>
      <w:r w:rsidR="00507347" w:rsidRPr="00DD5F1D">
        <w:rPr>
          <w:rFonts w:ascii="Times New Roman" w:hAnsi="Times New Roman" w:cs="Times New Roman"/>
          <w:sz w:val="24"/>
          <w:szCs w:val="24"/>
          <w:shd w:val="clear" w:color="auto" w:fill="FFFFFF"/>
          <w:lang w:val="ro-MD"/>
        </w:rPr>
        <w:t xml:space="preserve"> lei (BASS – 2 350</w:t>
      </w:r>
      <w:r w:rsidR="003344BE" w:rsidRPr="00DD5F1D">
        <w:rPr>
          <w:rFonts w:ascii="Times New Roman" w:hAnsi="Times New Roman" w:cs="Times New Roman"/>
          <w:sz w:val="24"/>
          <w:szCs w:val="24"/>
          <w:shd w:val="clear" w:color="auto" w:fill="FFFFFF"/>
          <w:lang w:val="ro-MD"/>
        </w:rPr>
        <w:t>,</w:t>
      </w:r>
      <w:r w:rsidR="001F126C" w:rsidRPr="00DD5F1D">
        <w:rPr>
          <w:rFonts w:ascii="Times New Roman" w:hAnsi="Times New Roman" w:cs="Times New Roman"/>
          <w:sz w:val="24"/>
          <w:szCs w:val="24"/>
          <w:shd w:val="clear" w:color="auto" w:fill="FFFFFF"/>
          <w:lang w:val="ro-MD"/>
        </w:rPr>
        <w:t>9 mil.</w:t>
      </w:r>
      <w:r w:rsidR="00507347" w:rsidRPr="00DD5F1D">
        <w:rPr>
          <w:rFonts w:ascii="Times New Roman" w:hAnsi="Times New Roman" w:cs="Times New Roman"/>
          <w:sz w:val="24"/>
          <w:szCs w:val="24"/>
          <w:shd w:val="clear" w:color="auto" w:fill="FFFFFF"/>
          <w:lang w:val="ro-MD"/>
        </w:rPr>
        <w:t xml:space="preserve"> lei</w:t>
      </w:r>
      <w:r w:rsidR="009229FC" w:rsidRPr="00DD5F1D">
        <w:rPr>
          <w:rFonts w:ascii="Times New Roman" w:hAnsi="Times New Roman" w:cs="Times New Roman"/>
          <w:sz w:val="24"/>
          <w:szCs w:val="24"/>
          <w:shd w:val="clear" w:color="auto" w:fill="FFFFFF"/>
          <w:lang w:val="ro-MD"/>
        </w:rPr>
        <w:t>,</w:t>
      </w:r>
      <w:r w:rsidR="00507347" w:rsidRPr="00DD5F1D">
        <w:rPr>
          <w:rFonts w:ascii="Times New Roman" w:hAnsi="Times New Roman" w:cs="Times New Roman"/>
          <w:sz w:val="24"/>
          <w:szCs w:val="24"/>
          <w:shd w:val="clear" w:color="auto" w:fill="FFFFFF"/>
          <w:lang w:val="ro-MD"/>
        </w:rPr>
        <w:t xml:space="preserve"> și BS – 707</w:t>
      </w:r>
      <w:r w:rsidR="003344BE" w:rsidRPr="00DD5F1D">
        <w:rPr>
          <w:rFonts w:ascii="Times New Roman" w:hAnsi="Times New Roman" w:cs="Times New Roman"/>
          <w:sz w:val="24"/>
          <w:szCs w:val="24"/>
          <w:shd w:val="clear" w:color="auto" w:fill="FFFFFF"/>
          <w:lang w:val="ro-MD"/>
        </w:rPr>
        <w:t>,</w:t>
      </w:r>
      <w:r w:rsidR="001F126C" w:rsidRPr="00DD5F1D">
        <w:rPr>
          <w:rFonts w:ascii="Times New Roman" w:hAnsi="Times New Roman" w:cs="Times New Roman"/>
          <w:sz w:val="24"/>
          <w:szCs w:val="24"/>
          <w:shd w:val="clear" w:color="auto" w:fill="FFFFFF"/>
          <w:lang w:val="ro-MD"/>
        </w:rPr>
        <w:t>6 mil.</w:t>
      </w:r>
      <w:r w:rsidR="00507347" w:rsidRPr="00DD5F1D">
        <w:rPr>
          <w:rFonts w:ascii="Times New Roman" w:hAnsi="Times New Roman" w:cs="Times New Roman"/>
          <w:sz w:val="24"/>
          <w:szCs w:val="24"/>
          <w:shd w:val="clear" w:color="auto" w:fill="FFFFFF"/>
          <w:lang w:val="ro-MD"/>
        </w:rPr>
        <w:t xml:space="preserve"> lei)</w:t>
      </w:r>
      <w:r w:rsidR="003344BE" w:rsidRPr="00DD5F1D">
        <w:rPr>
          <w:rFonts w:ascii="Times New Roman" w:hAnsi="Times New Roman" w:cs="Times New Roman"/>
          <w:sz w:val="24"/>
          <w:szCs w:val="24"/>
          <w:shd w:val="clear" w:color="auto" w:fill="FFFFFF"/>
          <w:lang w:val="ro-MD"/>
        </w:rPr>
        <w:t>;</w:t>
      </w:r>
    </w:p>
    <w:p w14:paraId="3DB78D90" w14:textId="0037889A" w:rsidR="005728FF" w:rsidRPr="00DD5F1D" w:rsidRDefault="005728FF" w:rsidP="00740B15">
      <w:pPr>
        <w:pStyle w:val="aa"/>
        <w:numPr>
          <w:ilvl w:val="0"/>
          <w:numId w:val="6"/>
        </w:num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majorarea cu 250 lei, începând cu 01 aprilie 2023</w:t>
      </w:r>
      <w:r w:rsidR="009229FC"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a cuantumurilor alocației lunare de stat pentru toate categoriile de beneficiari de alocații stabilite</w:t>
      </w:r>
      <w:r w:rsidR="00FA3F0F" w:rsidRPr="00DD5F1D">
        <w:rPr>
          <w:rStyle w:val="a5"/>
          <w:rFonts w:ascii="Times New Roman" w:hAnsi="Times New Roman" w:cs="Times New Roman"/>
          <w:sz w:val="24"/>
          <w:szCs w:val="24"/>
          <w:lang w:val="ro-MD"/>
        </w:rPr>
        <w:footnoteReference w:id="8"/>
      </w:r>
      <w:r w:rsidR="003344BE" w:rsidRPr="00DD5F1D">
        <w:rPr>
          <w:rFonts w:ascii="Times New Roman" w:hAnsi="Times New Roman" w:cs="Times New Roman"/>
          <w:sz w:val="24"/>
          <w:szCs w:val="24"/>
          <w:lang w:val="ro-MD"/>
        </w:rPr>
        <w:t xml:space="preserve"> </w:t>
      </w:r>
      <w:r w:rsidR="00DC38C5" w:rsidRPr="00DD5F1D">
        <w:rPr>
          <w:rFonts w:ascii="Times New Roman" w:hAnsi="Times New Roman" w:cs="Times New Roman"/>
          <w:sz w:val="24"/>
          <w:szCs w:val="24"/>
          <w:lang w:val="ro-MD"/>
        </w:rPr>
        <w:t xml:space="preserve">- </w:t>
      </w:r>
      <w:r w:rsidR="003344BE" w:rsidRPr="00DD5F1D">
        <w:rPr>
          <w:rFonts w:ascii="Times New Roman" w:hAnsi="Times New Roman" w:cs="Times New Roman"/>
          <w:sz w:val="24"/>
          <w:szCs w:val="24"/>
          <w:lang w:val="ro-MD"/>
        </w:rPr>
        <w:t xml:space="preserve"> </w:t>
      </w:r>
      <w:r w:rsidR="00A4379A" w:rsidRPr="00DD5F1D">
        <w:rPr>
          <w:rFonts w:ascii="Times New Roman" w:hAnsi="Times New Roman" w:cs="Times New Roman"/>
          <w:sz w:val="24"/>
          <w:szCs w:val="24"/>
          <w:lang w:val="ro-MD"/>
        </w:rPr>
        <w:t>84,0 mil. lei;</w:t>
      </w:r>
    </w:p>
    <w:p w14:paraId="45BE9731" w14:textId="6D801CB0" w:rsidR="00AE4E24" w:rsidRPr="00DD5F1D" w:rsidRDefault="005728FF" w:rsidP="00AE4E24">
      <w:pPr>
        <w:pStyle w:val="aa"/>
        <w:numPr>
          <w:ilvl w:val="0"/>
          <w:numId w:val="6"/>
        </w:num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instituirea </w:t>
      </w:r>
      <w:r w:rsidR="00714C53" w:rsidRPr="00DD5F1D">
        <w:rPr>
          <w:rFonts w:ascii="Times New Roman" w:hAnsi="Times New Roman" w:cs="Times New Roman"/>
          <w:sz w:val="24"/>
          <w:szCs w:val="24"/>
          <w:lang w:val="ro-MD"/>
        </w:rPr>
        <w:t xml:space="preserve">prestației </w:t>
      </w:r>
      <w:r w:rsidRPr="00DD5F1D">
        <w:rPr>
          <w:rFonts w:ascii="Times New Roman" w:hAnsi="Times New Roman" w:cs="Times New Roman"/>
          <w:sz w:val="24"/>
          <w:szCs w:val="24"/>
          <w:lang w:val="ro-MD"/>
        </w:rPr>
        <w:t>„Compensații la energie sub formă de plată monetară”, cu scopul integrării ajutorului pentru perioada rece a anului (APR</w:t>
      </w:r>
      <w:r w:rsidR="00AE4E24" w:rsidRPr="00DD5F1D">
        <w:rPr>
          <w:rFonts w:ascii="Times New Roman" w:hAnsi="Times New Roman" w:cs="Times New Roman"/>
          <w:sz w:val="24"/>
          <w:szCs w:val="24"/>
          <w:lang w:val="ro-MD"/>
        </w:rPr>
        <w:t xml:space="preserve">A) și compensațiilor în factură </w:t>
      </w:r>
      <w:r w:rsidR="00DC38C5" w:rsidRPr="00DD5F1D">
        <w:rPr>
          <w:rFonts w:ascii="Times New Roman" w:hAnsi="Times New Roman" w:cs="Times New Roman"/>
          <w:sz w:val="24"/>
          <w:szCs w:val="24"/>
          <w:lang w:val="ro-MD"/>
        </w:rPr>
        <w:t>-</w:t>
      </w:r>
      <w:r w:rsidR="00AE4E24" w:rsidRPr="00DD5F1D">
        <w:rPr>
          <w:rFonts w:ascii="Times New Roman" w:hAnsi="Times New Roman" w:cs="Times New Roman"/>
          <w:sz w:val="24"/>
          <w:szCs w:val="24"/>
          <w:lang w:val="ro-MD"/>
        </w:rPr>
        <w:t xml:space="preserve"> 183</w:t>
      </w:r>
      <w:r w:rsidR="005F123B" w:rsidRPr="00DD5F1D">
        <w:rPr>
          <w:rFonts w:ascii="Times New Roman" w:hAnsi="Times New Roman" w:cs="Times New Roman"/>
          <w:sz w:val="24"/>
          <w:szCs w:val="24"/>
          <w:lang w:val="ro-MD"/>
        </w:rPr>
        <w:t>,4 mil.</w:t>
      </w:r>
      <w:r w:rsidR="00AE4E24" w:rsidRPr="00DD5F1D">
        <w:rPr>
          <w:rFonts w:ascii="Times New Roman" w:hAnsi="Times New Roman" w:cs="Times New Roman"/>
          <w:sz w:val="24"/>
          <w:szCs w:val="24"/>
          <w:lang w:val="ro-MD"/>
        </w:rPr>
        <w:t xml:space="preserve"> lei;</w:t>
      </w:r>
    </w:p>
    <w:p w14:paraId="3BBB1063" w14:textId="0599E3E6" w:rsidR="003A44AD" w:rsidRPr="00DD5F1D" w:rsidRDefault="00AE4E24" w:rsidP="00740B15">
      <w:pPr>
        <w:pStyle w:val="aa"/>
        <w:numPr>
          <w:ilvl w:val="0"/>
          <w:numId w:val="6"/>
        </w:numPr>
        <w:spacing w:line="276" w:lineRule="auto"/>
        <w:jc w:val="both"/>
        <w:rPr>
          <w:rFonts w:ascii="Times New Roman" w:hAnsi="Times New Roman" w:cs="Times New Roman"/>
          <w:sz w:val="24"/>
          <w:szCs w:val="24"/>
          <w:lang w:val="ro-MD"/>
        </w:rPr>
      </w:pPr>
      <w:r w:rsidRPr="00DD5F1D">
        <w:rPr>
          <w:rFonts w:ascii="Times New Roman" w:eastAsia="Times New Roman" w:hAnsi="Times New Roman" w:cs="Times New Roman"/>
          <w:sz w:val="24"/>
          <w:szCs w:val="24"/>
          <w:lang w:val="ro-MD"/>
        </w:rPr>
        <w:t>reexaminarea pensiilo</w:t>
      </w:r>
      <w:r w:rsidR="003A44AD" w:rsidRPr="00DD5F1D">
        <w:rPr>
          <w:rFonts w:ascii="Times New Roman" w:eastAsia="Times New Roman" w:hAnsi="Times New Roman" w:cs="Times New Roman"/>
          <w:sz w:val="24"/>
          <w:szCs w:val="24"/>
          <w:lang w:val="ro-MD"/>
        </w:rPr>
        <w:t>r de dizabilitate pentru pensionarii care au activat după realizarea dreptului la pensie de dizabilitate și au acumulat un stagi</w:t>
      </w:r>
      <w:r w:rsidR="00A4379A" w:rsidRPr="00DD5F1D">
        <w:rPr>
          <w:rFonts w:ascii="Times New Roman" w:eastAsia="Times New Roman" w:hAnsi="Times New Roman" w:cs="Times New Roman"/>
          <w:sz w:val="24"/>
          <w:szCs w:val="24"/>
          <w:lang w:val="ro-MD"/>
        </w:rPr>
        <w:t>u d</w:t>
      </w:r>
      <w:r w:rsidR="001F126C" w:rsidRPr="00DD5F1D">
        <w:rPr>
          <w:rFonts w:ascii="Times New Roman" w:eastAsia="Times New Roman" w:hAnsi="Times New Roman" w:cs="Times New Roman"/>
          <w:sz w:val="24"/>
          <w:szCs w:val="24"/>
          <w:lang w:val="ro-MD"/>
        </w:rPr>
        <w:t>e cotizare mai mare de 7 ani;</w:t>
      </w:r>
      <w:r w:rsidR="00A4379A" w:rsidRPr="00DD5F1D">
        <w:rPr>
          <w:rFonts w:ascii="Times New Roman" w:eastAsia="Times New Roman" w:hAnsi="Times New Roman" w:cs="Times New Roman"/>
          <w:sz w:val="24"/>
          <w:szCs w:val="24"/>
          <w:lang w:val="ro-MD"/>
        </w:rPr>
        <w:t xml:space="preserve"> </w:t>
      </w:r>
    </w:p>
    <w:p w14:paraId="12707AC9" w14:textId="75588A54" w:rsidR="003A44AD" w:rsidRPr="00CD6528" w:rsidRDefault="003A44AD" w:rsidP="006519FF">
      <w:pPr>
        <w:pStyle w:val="aa"/>
        <w:numPr>
          <w:ilvl w:val="0"/>
          <w:numId w:val="6"/>
        </w:numPr>
        <w:spacing w:line="276"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efectuarea următoarei etape de reexaminare a pensiilo</w:t>
      </w:r>
      <w:r w:rsidR="001F126C" w:rsidRPr="00DD5F1D">
        <w:rPr>
          <w:rFonts w:ascii="Times New Roman" w:eastAsia="Times New Roman" w:hAnsi="Times New Roman" w:cs="Times New Roman"/>
          <w:sz w:val="24"/>
          <w:szCs w:val="24"/>
          <w:lang w:val="ro-MD"/>
        </w:rPr>
        <w:t>r pentru limită de vârstă pensionarilor</w:t>
      </w:r>
      <w:r w:rsidRPr="00DD5F1D">
        <w:rPr>
          <w:rFonts w:ascii="Times New Roman" w:eastAsia="Times New Roman" w:hAnsi="Times New Roman" w:cs="Times New Roman"/>
          <w:sz w:val="24"/>
          <w:szCs w:val="24"/>
          <w:lang w:val="ro-MD"/>
        </w:rPr>
        <w:t xml:space="preserve"> care au activat după realizarea dreptului la pensie şi au acumulat un stagi</w:t>
      </w:r>
      <w:r w:rsidR="001F126C" w:rsidRPr="00DD5F1D">
        <w:rPr>
          <w:rFonts w:ascii="Times New Roman" w:eastAsia="Times New Roman" w:hAnsi="Times New Roman" w:cs="Times New Roman"/>
          <w:sz w:val="24"/>
          <w:szCs w:val="24"/>
          <w:lang w:val="ro-MD"/>
        </w:rPr>
        <w:t>u de cotizare mai mare de 2 ani.</w:t>
      </w:r>
      <w:r w:rsidR="00962C00" w:rsidRPr="00DD5F1D">
        <w:rPr>
          <w:rFonts w:ascii="Times New Roman" w:eastAsia="Times New Roman" w:hAnsi="Times New Roman" w:cs="Times New Roman"/>
          <w:sz w:val="24"/>
          <w:szCs w:val="24"/>
          <w:lang w:val="ro-MD"/>
        </w:rPr>
        <w:t xml:space="preserve"> În acest context au fost reexaminate 37 599 </w:t>
      </w:r>
      <w:r w:rsidR="009229FC" w:rsidRPr="00DD5F1D">
        <w:rPr>
          <w:rFonts w:ascii="Times New Roman" w:eastAsia="Times New Roman" w:hAnsi="Times New Roman" w:cs="Times New Roman"/>
          <w:sz w:val="24"/>
          <w:szCs w:val="24"/>
          <w:lang w:val="ro-MD"/>
        </w:rPr>
        <w:t xml:space="preserve">de </w:t>
      </w:r>
      <w:r w:rsidR="00962C00" w:rsidRPr="00DD5F1D">
        <w:rPr>
          <w:rFonts w:ascii="Times New Roman" w:eastAsia="Times New Roman" w:hAnsi="Times New Roman" w:cs="Times New Roman"/>
          <w:sz w:val="24"/>
          <w:szCs w:val="24"/>
          <w:lang w:val="ro-MD"/>
        </w:rPr>
        <w:t>pensii pentru limita de vârstă</w:t>
      </w:r>
      <w:r w:rsidR="00CD6528">
        <w:rPr>
          <w:rFonts w:ascii="Times New Roman" w:eastAsia="Times New Roman" w:hAnsi="Times New Roman" w:cs="Times New Roman"/>
          <w:sz w:val="24"/>
          <w:szCs w:val="24"/>
          <w:lang w:val="ro-MD"/>
        </w:rPr>
        <w:t>,</w:t>
      </w:r>
      <w:r w:rsidR="00962C00" w:rsidRPr="00DD5F1D">
        <w:rPr>
          <w:rFonts w:ascii="Times New Roman" w:eastAsia="Times New Roman" w:hAnsi="Times New Roman" w:cs="Times New Roman"/>
          <w:sz w:val="24"/>
          <w:szCs w:val="24"/>
          <w:lang w:val="ro-MD"/>
        </w:rPr>
        <w:t xml:space="preserve"> </w:t>
      </w:r>
      <w:r w:rsidR="00487AE3" w:rsidRPr="00CD6528">
        <w:rPr>
          <w:rFonts w:ascii="Times New Roman" w:eastAsia="Times New Roman" w:hAnsi="Times New Roman" w:cs="Times New Roman"/>
          <w:sz w:val="24"/>
          <w:szCs w:val="24"/>
          <w:lang w:val="ro-MD"/>
        </w:rPr>
        <w:t xml:space="preserve">astfel </w:t>
      </w:r>
      <w:r w:rsidR="00CD6528" w:rsidRPr="00CD6528">
        <w:rPr>
          <w:rFonts w:ascii="Times New Roman" w:eastAsia="Times New Roman" w:hAnsi="Times New Roman" w:cs="Times New Roman"/>
          <w:sz w:val="24"/>
          <w:szCs w:val="24"/>
          <w:lang w:val="ro-MD"/>
        </w:rPr>
        <w:t>cuantumul</w:t>
      </w:r>
      <w:r w:rsidR="00487AE3" w:rsidRPr="00CD6528">
        <w:rPr>
          <w:rFonts w:ascii="Times New Roman" w:eastAsia="Times New Roman" w:hAnsi="Times New Roman" w:cs="Times New Roman"/>
          <w:sz w:val="24"/>
          <w:szCs w:val="24"/>
          <w:lang w:val="ro-MD"/>
        </w:rPr>
        <w:t xml:space="preserve"> </w:t>
      </w:r>
      <w:r w:rsidR="00962C00" w:rsidRPr="007D32B0">
        <w:rPr>
          <w:rFonts w:ascii="Times New Roman" w:eastAsia="Times New Roman" w:hAnsi="Times New Roman" w:cs="Times New Roman"/>
          <w:sz w:val="24"/>
          <w:szCs w:val="24"/>
          <w:lang w:val="ro-MD"/>
        </w:rPr>
        <w:t>mediu</w:t>
      </w:r>
      <w:r w:rsidR="00CD6528" w:rsidRPr="00CD6528">
        <w:rPr>
          <w:rFonts w:ascii="Times New Roman" w:eastAsia="Times New Roman" w:hAnsi="Times New Roman" w:cs="Times New Roman"/>
          <w:sz w:val="24"/>
          <w:szCs w:val="24"/>
          <w:lang w:val="ro-MD"/>
        </w:rPr>
        <w:t xml:space="preserve"> a lor</w:t>
      </w:r>
      <w:r w:rsidR="00962C00" w:rsidRPr="007D32B0">
        <w:rPr>
          <w:rFonts w:ascii="Times New Roman" w:eastAsia="Times New Roman" w:hAnsi="Times New Roman" w:cs="Times New Roman"/>
          <w:sz w:val="24"/>
          <w:szCs w:val="24"/>
          <w:lang w:val="ro-MD"/>
        </w:rPr>
        <w:t xml:space="preserve"> </w:t>
      </w:r>
      <w:r w:rsidR="00487AE3" w:rsidRPr="00CD6528">
        <w:rPr>
          <w:rFonts w:ascii="Times New Roman" w:eastAsia="Times New Roman" w:hAnsi="Times New Roman" w:cs="Times New Roman"/>
          <w:sz w:val="24"/>
          <w:szCs w:val="24"/>
          <w:lang w:val="ro-MD"/>
        </w:rPr>
        <w:t xml:space="preserve">a constituit </w:t>
      </w:r>
      <w:r w:rsidR="00962C00" w:rsidRPr="007D32B0">
        <w:rPr>
          <w:rFonts w:ascii="Times New Roman" w:eastAsia="Times New Roman" w:hAnsi="Times New Roman" w:cs="Times New Roman"/>
          <w:sz w:val="24"/>
          <w:szCs w:val="24"/>
          <w:lang w:val="ro-MD"/>
        </w:rPr>
        <w:t>3 890,15 lei</w:t>
      </w:r>
      <w:r w:rsidR="00AB5790" w:rsidRPr="00CD6528">
        <w:rPr>
          <w:rFonts w:ascii="Times New Roman" w:eastAsia="Times New Roman" w:hAnsi="Times New Roman" w:cs="Times New Roman"/>
          <w:sz w:val="24"/>
          <w:szCs w:val="24"/>
          <w:lang w:val="ro-MD"/>
        </w:rPr>
        <w:t>.</w:t>
      </w:r>
    </w:p>
    <w:p w14:paraId="62C844F1" w14:textId="7C98643B" w:rsidR="00F77382" w:rsidRPr="00DD5F1D" w:rsidRDefault="00F77382" w:rsidP="00F77382">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Sinteza </w:t>
      </w:r>
      <w:r w:rsidR="001F126C" w:rsidRPr="00DD5F1D">
        <w:rPr>
          <w:rFonts w:ascii="Times New Roman" w:hAnsi="Times New Roman" w:cs="Times New Roman"/>
          <w:sz w:val="24"/>
          <w:szCs w:val="24"/>
          <w:lang w:val="ro-MD"/>
        </w:rPr>
        <w:t>cuantumului modificărilor BASS</w:t>
      </w:r>
      <w:r w:rsidRPr="00DD5F1D">
        <w:rPr>
          <w:rFonts w:ascii="Times New Roman" w:hAnsi="Times New Roman" w:cs="Times New Roman"/>
          <w:sz w:val="24"/>
          <w:szCs w:val="24"/>
          <w:lang w:val="ro-MD"/>
        </w:rPr>
        <w:t xml:space="preserve"> pentru anul 202</w:t>
      </w:r>
      <w:r w:rsidR="005728FF" w:rsidRPr="00DD5F1D">
        <w:rPr>
          <w:rFonts w:ascii="Times New Roman" w:hAnsi="Times New Roman" w:cs="Times New Roman"/>
          <w:sz w:val="24"/>
          <w:szCs w:val="24"/>
          <w:lang w:val="ro-MD"/>
        </w:rPr>
        <w:t>3</w:t>
      </w:r>
      <w:r w:rsidRPr="00DD5F1D">
        <w:rPr>
          <w:rFonts w:ascii="Times New Roman" w:hAnsi="Times New Roman" w:cs="Times New Roman"/>
          <w:sz w:val="24"/>
          <w:szCs w:val="24"/>
          <w:lang w:val="ro-MD"/>
        </w:rPr>
        <w:t xml:space="preserve"> se prezintă în Anexa nr. </w:t>
      </w:r>
      <w:r w:rsidR="00AB5790" w:rsidRPr="00DD5F1D">
        <w:rPr>
          <w:rFonts w:ascii="Times New Roman" w:hAnsi="Times New Roman" w:cs="Times New Roman"/>
          <w:sz w:val="24"/>
          <w:szCs w:val="24"/>
          <w:lang w:val="ro-MD"/>
        </w:rPr>
        <w:t>2</w:t>
      </w:r>
      <w:r w:rsidRPr="00DD5F1D">
        <w:rPr>
          <w:rFonts w:ascii="Times New Roman" w:hAnsi="Times New Roman" w:cs="Times New Roman"/>
          <w:sz w:val="24"/>
          <w:szCs w:val="24"/>
          <w:lang w:val="ro-MD"/>
        </w:rPr>
        <w:t xml:space="preserve"> la prezentul Raport de audit.</w:t>
      </w:r>
    </w:p>
    <w:p w14:paraId="3809AD0A" w14:textId="02F9CBEE" w:rsidR="00902A0E" w:rsidRPr="00DD5F1D" w:rsidRDefault="00F77382" w:rsidP="0036000F">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În urma analizei exercițiului buget</w:t>
      </w:r>
      <w:r w:rsidR="004E4D1E" w:rsidRPr="00DD5F1D">
        <w:rPr>
          <w:rFonts w:ascii="Times New Roman" w:hAnsi="Times New Roman" w:cs="Times New Roman"/>
          <w:sz w:val="24"/>
          <w:szCs w:val="24"/>
          <w:lang w:val="ro-MD"/>
        </w:rPr>
        <w:t>ar încheiat la 31 decembrie 2023</w:t>
      </w:r>
      <w:r w:rsidRPr="00DD5F1D">
        <w:rPr>
          <w:rFonts w:ascii="Times New Roman" w:hAnsi="Times New Roman" w:cs="Times New Roman"/>
          <w:sz w:val="24"/>
          <w:szCs w:val="24"/>
          <w:lang w:val="ro-MD"/>
        </w:rPr>
        <w:t xml:space="preserve"> s-a constatat că veniturile executate </w:t>
      </w:r>
      <w:r w:rsidR="001F126C" w:rsidRPr="00DD5F1D">
        <w:rPr>
          <w:rFonts w:ascii="Times New Roman" w:hAnsi="Times New Roman" w:cs="Times New Roman"/>
          <w:sz w:val="24"/>
          <w:szCs w:val="24"/>
          <w:lang w:val="ro-MD"/>
        </w:rPr>
        <w:t>au fost în sumă</w:t>
      </w:r>
      <w:r w:rsidR="0099363D" w:rsidRPr="00DD5F1D">
        <w:rPr>
          <w:rFonts w:ascii="Times New Roman" w:hAnsi="Times New Roman" w:cs="Times New Roman"/>
          <w:sz w:val="24"/>
          <w:szCs w:val="24"/>
          <w:lang w:val="ro-MD"/>
        </w:rPr>
        <w:t xml:space="preserve"> </w:t>
      </w:r>
      <w:r w:rsidR="004E4D1E" w:rsidRPr="00DD5F1D">
        <w:rPr>
          <w:rFonts w:ascii="Times New Roman" w:hAnsi="Times New Roman" w:cs="Times New Roman"/>
          <w:sz w:val="24"/>
          <w:szCs w:val="24"/>
          <w:lang w:val="ro-MD"/>
        </w:rPr>
        <w:t>de 38 604,4</w:t>
      </w:r>
      <w:r w:rsidRPr="00DD5F1D">
        <w:rPr>
          <w:rFonts w:ascii="Times New Roman" w:hAnsi="Times New Roman" w:cs="Times New Roman"/>
          <w:sz w:val="24"/>
          <w:szCs w:val="24"/>
          <w:lang w:val="ro-MD"/>
        </w:rPr>
        <w:t xml:space="preserve"> mil.</w:t>
      </w:r>
      <w:r w:rsidR="004E4D1E" w:rsidRPr="00DD5F1D">
        <w:rPr>
          <w:rFonts w:ascii="Times New Roman" w:hAnsi="Times New Roman" w:cs="Times New Roman"/>
          <w:sz w:val="24"/>
          <w:szCs w:val="24"/>
          <w:lang w:val="ro-MD"/>
        </w:rPr>
        <w:t xml:space="preserve"> </w:t>
      </w:r>
      <w:r w:rsidR="0036000F" w:rsidRPr="00DD5F1D">
        <w:rPr>
          <w:rFonts w:ascii="Times New Roman" w:hAnsi="Times New Roman" w:cs="Times New Roman"/>
          <w:sz w:val="24"/>
          <w:szCs w:val="24"/>
          <w:lang w:val="ro-MD"/>
        </w:rPr>
        <w:t>lei, cu 266,3</w:t>
      </w:r>
      <w:r w:rsidRPr="00DD5F1D">
        <w:rPr>
          <w:rFonts w:ascii="Times New Roman" w:hAnsi="Times New Roman" w:cs="Times New Roman"/>
          <w:sz w:val="24"/>
          <w:szCs w:val="24"/>
          <w:lang w:val="ro-MD"/>
        </w:rPr>
        <w:t xml:space="preserve"> mil.</w:t>
      </w:r>
      <w:r w:rsidR="0036000F"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lei</w:t>
      </w:r>
      <w:r w:rsidR="00095A47" w:rsidRPr="00DD5F1D">
        <w:rPr>
          <w:rFonts w:ascii="Times New Roman" w:hAnsi="Times New Roman" w:cs="Times New Roman"/>
          <w:sz w:val="24"/>
          <w:szCs w:val="24"/>
          <w:lang w:val="ro-MD"/>
        </w:rPr>
        <w:t xml:space="preserve">, sau cu 0,7 la sută </w:t>
      </w:r>
      <w:r w:rsidRPr="00DD5F1D">
        <w:rPr>
          <w:rFonts w:ascii="Times New Roman" w:hAnsi="Times New Roman" w:cs="Times New Roman"/>
          <w:sz w:val="24"/>
          <w:szCs w:val="24"/>
          <w:lang w:val="ro-MD"/>
        </w:rPr>
        <w:t>mai puțin față de prevederile anuale, iar cheltuielile au fo</w:t>
      </w:r>
      <w:r w:rsidR="0036000F" w:rsidRPr="00DD5F1D">
        <w:rPr>
          <w:rFonts w:ascii="Times New Roman" w:hAnsi="Times New Roman" w:cs="Times New Roman"/>
          <w:sz w:val="24"/>
          <w:szCs w:val="24"/>
          <w:lang w:val="ro-MD"/>
        </w:rPr>
        <w:t>st executate în sumă de 38 524,7 mil. lei, cu 346,0</w:t>
      </w:r>
      <w:r w:rsidRPr="00DD5F1D">
        <w:rPr>
          <w:rFonts w:ascii="Times New Roman" w:hAnsi="Times New Roman" w:cs="Times New Roman"/>
          <w:sz w:val="24"/>
          <w:szCs w:val="24"/>
          <w:lang w:val="ro-MD"/>
        </w:rPr>
        <w:t xml:space="preserve"> mil. lei mai puțin în raport cu prevederile an</w:t>
      </w:r>
      <w:r w:rsidR="0036000F" w:rsidRPr="00DD5F1D">
        <w:rPr>
          <w:rFonts w:ascii="Times New Roman" w:hAnsi="Times New Roman" w:cs="Times New Roman"/>
          <w:sz w:val="24"/>
          <w:szCs w:val="24"/>
          <w:lang w:val="ro-MD"/>
        </w:rPr>
        <w:t>uale, sau la nivel de 99,1</w:t>
      </w:r>
      <w:r w:rsidRPr="00DD5F1D">
        <w:rPr>
          <w:rFonts w:ascii="Times New Roman" w:hAnsi="Times New Roman" w:cs="Times New Roman"/>
          <w:sz w:val="24"/>
          <w:szCs w:val="24"/>
          <w:lang w:val="ro-MD"/>
        </w:rPr>
        <w:t xml:space="preserve">%. </w:t>
      </w:r>
    </w:p>
    <w:p w14:paraId="52BDE2B9" w14:textId="05E27498" w:rsidR="001549A1" w:rsidRPr="00DD5F1D" w:rsidRDefault="001549A1" w:rsidP="0036000F">
      <w:pPr>
        <w:spacing w:after="0" w:line="276" w:lineRule="auto"/>
        <w:jc w:val="both"/>
        <w:rPr>
          <w:rFonts w:ascii="Times New Roman" w:hAnsi="Times New Roman" w:cs="Times New Roman"/>
          <w:sz w:val="24"/>
          <w:szCs w:val="24"/>
          <w:lang w:val="ro-MD"/>
        </w:rPr>
      </w:pPr>
    </w:p>
    <w:p w14:paraId="5B9F8EBC" w14:textId="7035B224" w:rsidR="001549A1" w:rsidRDefault="001549A1" w:rsidP="0036000F">
      <w:pPr>
        <w:spacing w:after="0" w:line="276" w:lineRule="auto"/>
        <w:jc w:val="both"/>
        <w:rPr>
          <w:rFonts w:ascii="Times New Roman" w:hAnsi="Times New Roman" w:cs="Times New Roman"/>
          <w:sz w:val="24"/>
          <w:szCs w:val="24"/>
          <w:lang w:val="ro-MD"/>
        </w:rPr>
      </w:pPr>
    </w:p>
    <w:p w14:paraId="5700102E" w14:textId="77777777" w:rsidR="00112032" w:rsidRPr="00DD5F1D" w:rsidRDefault="00112032" w:rsidP="0036000F">
      <w:pPr>
        <w:spacing w:after="0" w:line="276" w:lineRule="auto"/>
        <w:jc w:val="both"/>
        <w:rPr>
          <w:rFonts w:ascii="Times New Roman" w:hAnsi="Times New Roman" w:cs="Times New Roman"/>
          <w:sz w:val="24"/>
          <w:szCs w:val="24"/>
          <w:lang w:val="ro-MD"/>
        </w:rPr>
      </w:pPr>
    </w:p>
    <w:p w14:paraId="3AEDE92B" w14:textId="77777777" w:rsidR="001549A1" w:rsidRPr="00DD5F1D" w:rsidRDefault="001549A1" w:rsidP="0036000F">
      <w:pPr>
        <w:spacing w:after="0" w:line="276" w:lineRule="auto"/>
        <w:jc w:val="both"/>
        <w:rPr>
          <w:rFonts w:ascii="Times New Roman" w:hAnsi="Times New Roman" w:cs="Times New Roman"/>
          <w:sz w:val="24"/>
          <w:szCs w:val="24"/>
          <w:lang w:val="ro-MD"/>
        </w:rPr>
      </w:pPr>
    </w:p>
    <w:p w14:paraId="6640388A" w14:textId="54B86A2F" w:rsidR="00F77382" w:rsidRPr="00DD5F1D" w:rsidRDefault="00F77382" w:rsidP="00F77382">
      <w:pPr>
        <w:spacing w:after="0" w:line="276" w:lineRule="auto"/>
        <w:jc w:val="right"/>
        <w:rPr>
          <w:rFonts w:ascii="Times New Roman" w:hAnsi="Times New Roman" w:cs="Times New Roman"/>
          <w:b/>
          <w:bCs/>
          <w:szCs w:val="24"/>
          <w:lang w:val="ro-MD"/>
        </w:rPr>
      </w:pPr>
      <w:r w:rsidRPr="00DD5F1D">
        <w:rPr>
          <w:rFonts w:ascii="Times New Roman" w:hAnsi="Times New Roman" w:cs="Times New Roman"/>
          <w:b/>
          <w:bCs/>
          <w:szCs w:val="24"/>
          <w:lang w:val="ro-MD"/>
        </w:rPr>
        <w:t>Tabel</w:t>
      </w:r>
      <w:r w:rsidR="00FD35EC" w:rsidRPr="00DD5F1D">
        <w:rPr>
          <w:rFonts w:ascii="Times New Roman" w:hAnsi="Times New Roman" w:cs="Times New Roman"/>
          <w:b/>
          <w:bCs/>
          <w:szCs w:val="24"/>
          <w:lang w:val="ro-MD"/>
        </w:rPr>
        <w:t>ul</w:t>
      </w:r>
      <w:r w:rsidRPr="00DD5F1D">
        <w:rPr>
          <w:rFonts w:ascii="Times New Roman" w:hAnsi="Times New Roman" w:cs="Times New Roman"/>
          <w:b/>
          <w:bCs/>
          <w:szCs w:val="24"/>
          <w:lang w:val="ro-MD"/>
        </w:rPr>
        <w:t xml:space="preserve"> nr. </w:t>
      </w:r>
      <w:r w:rsidR="00AB5790" w:rsidRPr="00DD5F1D">
        <w:rPr>
          <w:rFonts w:ascii="Times New Roman" w:hAnsi="Times New Roman" w:cs="Times New Roman"/>
          <w:b/>
          <w:bCs/>
          <w:szCs w:val="24"/>
          <w:lang w:val="ro-MD"/>
        </w:rPr>
        <w:t>1</w:t>
      </w:r>
    </w:p>
    <w:p w14:paraId="48C5F327" w14:textId="77777777" w:rsidR="00F77382" w:rsidRPr="00DD5F1D" w:rsidRDefault="00F77382" w:rsidP="00F77382">
      <w:pPr>
        <w:spacing w:after="0" w:line="276" w:lineRule="auto"/>
        <w:jc w:val="center"/>
        <w:rPr>
          <w:rFonts w:ascii="Times New Roman" w:hAnsi="Times New Roman" w:cs="Times New Roman"/>
          <w:b/>
          <w:bCs/>
          <w:szCs w:val="24"/>
          <w:lang w:val="ro-MD"/>
        </w:rPr>
      </w:pPr>
      <w:r w:rsidRPr="00DD5F1D">
        <w:rPr>
          <w:rFonts w:ascii="Times New Roman" w:hAnsi="Times New Roman" w:cs="Times New Roman"/>
          <w:b/>
          <w:bCs/>
          <w:szCs w:val="24"/>
          <w:lang w:val="ro-MD"/>
        </w:rPr>
        <w:t>Executarea bugetului asigurărilor sociale de stat pe anii 20</w:t>
      </w:r>
      <w:r w:rsidR="00F42494" w:rsidRPr="00DD5F1D">
        <w:rPr>
          <w:rFonts w:ascii="Times New Roman" w:hAnsi="Times New Roman" w:cs="Times New Roman"/>
          <w:b/>
          <w:bCs/>
          <w:szCs w:val="24"/>
          <w:lang w:val="ro-MD"/>
        </w:rPr>
        <w:t>22</w:t>
      </w:r>
      <w:r w:rsidRPr="00DD5F1D">
        <w:rPr>
          <w:rFonts w:ascii="Times New Roman" w:hAnsi="Times New Roman" w:cs="Times New Roman"/>
          <w:b/>
          <w:bCs/>
          <w:szCs w:val="24"/>
          <w:lang w:val="ro-MD"/>
        </w:rPr>
        <w:t>-202</w:t>
      </w:r>
      <w:r w:rsidR="00F42494" w:rsidRPr="00DD5F1D">
        <w:rPr>
          <w:rFonts w:ascii="Times New Roman" w:hAnsi="Times New Roman" w:cs="Times New Roman"/>
          <w:b/>
          <w:bCs/>
          <w:szCs w:val="24"/>
          <w:lang w:val="ro-MD"/>
        </w:rPr>
        <w:t>3</w:t>
      </w:r>
    </w:p>
    <w:tbl>
      <w:tblPr>
        <w:tblStyle w:val="af1"/>
        <w:tblW w:w="5000" w:type="pct"/>
        <w:tblLook w:val="04A0" w:firstRow="1" w:lastRow="0" w:firstColumn="1" w:lastColumn="0" w:noHBand="0" w:noVBand="1"/>
      </w:tblPr>
      <w:tblGrid>
        <w:gridCol w:w="1966"/>
        <w:gridCol w:w="1532"/>
        <w:gridCol w:w="1175"/>
        <w:gridCol w:w="1275"/>
        <w:gridCol w:w="1167"/>
        <w:gridCol w:w="824"/>
        <w:gridCol w:w="12"/>
        <w:gridCol w:w="1151"/>
        <w:gridCol w:w="914"/>
        <w:gridCol w:w="8"/>
      </w:tblGrid>
      <w:tr w:rsidR="000D40B3" w:rsidRPr="00DD5F1D" w14:paraId="56172784" w14:textId="77777777" w:rsidTr="00CC6920">
        <w:trPr>
          <w:trHeight w:val="592"/>
        </w:trPr>
        <w:tc>
          <w:tcPr>
            <w:tcW w:w="981" w:type="pct"/>
            <w:vMerge w:val="restart"/>
            <w:noWrap/>
            <w:hideMark/>
          </w:tcPr>
          <w:p w14:paraId="6D0E0405" w14:textId="77777777" w:rsidR="004E4D1E" w:rsidRPr="00DD5F1D" w:rsidRDefault="004E4D1E" w:rsidP="004E4D1E">
            <w:pPr>
              <w:jc w:val="center"/>
              <w:rPr>
                <w:rFonts w:ascii="Times New Roman" w:eastAsia="Times New Roman" w:hAnsi="Times New Roman" w:cs="Times New Roman"/>
                <w:b/>
                <w:bCs/>
                <w:sz w:val="18"/>
                <w:szCs w:val="16"/>
                <w:lang w:val="ro-MD"/>
              </w:rPr>
            </w:pPr>
            <w:r w:rsidRPr="00DD5F1D">
              <w:rPr>
                <w:rFonts w:ascii="Times New Roman" w:eastAsia="Times New Roman" w:hAnsi="Times New Roman" w:cs="Times New Roman"/>
                <w:b/>
                <w:bCs/>
                <w:sz w:val="18"/>
                <w:szCs w:val="16"/>
                <w:lang w:val="ro-MD"/>
              </w:rPr>
              <w:t>Denumire</w:t>
            </w:r>
          </w:p>
        </w:tc>
        <w:tc>
          <w:tcPr>
            <w:tcW w:w="764" w:type="pct"/>
            <w:vMerge w:val="restart"/>
            <w:hideMark/>
          </w:tcPr>
          <w:p w14:paraId="4DBD2063" w14:textId="77777777" w:rsidR="004E4D1E" w:rsidRPr="00DD5F1D" w:rsidRDefault="004E4D1E" w:rsidP="004E4D1E">
            <w:pPr>
              <w:jc w:val="center"/>
              <w:rPr>
                <w:rFonts w:ascii="Times New Roman" w:eastAsia="Times New Roman" w:hAnsi="Times New Roman" w:cs="Times New Roman"/>
                <w:b/>
                <w:bCs/>
                <w:sz w:val="18"/>
                <w:szCs w:val="16"/>
                <w:lang w:val="ro-MD"/>
              </w:rPr>
            </w:pPr>
            <w:r w:rsidRPr="00DD5F1D">
              <w:rPr>
                <w:rFonts w:ascii="Times New Roman" w:eastAsia="Times New Roman" w:hAnsi="Times New Roman" w:cs="Times New Roman"/>
                <w:b/>
                <w:bCs/>
                <w:sz w:val="18"/>
                <w:szCs w:val="16"/>
                <w:lang w:val="ro-MD"/>
              </w:rPr>
              <w:t>Executat, anul 2022</w:t>
            </w:r>
          </w:p>
        </w:tc>
        <w:tc>
          <w:tcPr>
            <w:tcW w:w="586" w:type="pct"/>
            <w:vMerge w:val="restart"/>
            <w:hideMark/>
          </w:tcPr>
          <w:p w14:paraId="6B905772" w14:textId="77777777" w:rsidR="004E4D1E" w:rsidRPr="00DD5F1D" w:rsidRDefault="004E4D1E" w:rsidP="004E4D1E">
            <w:pPr>
              <w:jc w:val="center"/>
              <w:rPr>
                <w:rFonts w:ascii="Times New Roman" w:eastAsia="Times New Roman" w:hAnsi="Times New Roman" w:cs="Times New Roman"/>
                <w:b/>
                <w:bCs/>
                <w:sz w:val="18"/>
                <w:szCs w:val="16"/>
                <w:lang w:val="ro-MD"/>
              </w:rPr>
            </w:pPr>
            <w:r w:rsidRPr="00DD5F1D">
              <w:rPr>
                <w:rFonts w:ascii="Times New Roman" w:eastAsia="Times New Roman" w:hAnsi="Times New Roman" w:cs="Times New Roman"/>
                <w:b/>
                <w:bCs/>
                <w:sz w:val="18"/>
                <w:szCs w:val="16"/>
                <w:lang w:val="ro-MD"/>
              </w:rPr>
              <w:t>Executat, anul 2023</w:t>
            </w:r>
          </w:p>
        </w:tc>
        <w:tc>
          <w:tcPr>
            <w:tcW w:w="636" w:type="pct"/>
            <w:vMerge w:val="restart"/>
            <w:hideMark/>
          </w:tcPr>
          <w:p w14:paraId="1B779652" w14:textId="77777777" w:rsidR="004E4D1E" w:rsidRPr="00DD5F1D" w:rsidRDefault="004E4D1E" w:rsidP="004E4D1E">
            <w:pPr>
              <w:jc w:val="center"/>
              <w:rPr>
                <w:rFonts w:ascii="Times New Roman" w:eastAsia="Times New Roman" w:hAnsi="Times New Roman" w:cs="Times New Roman"/>
                <w:b/>
                <w:bCs/>
                <w:sz w:val="18"/>
                <w:szCs w:val="16"/>
                <w:lang w:val="ro-MD"/>
              </w:rPr>
            </w:pPr>
            <w:r w:rsidRPr="00DD5F1D">
              <w:rPr>
                <w:rFonts w:ascii="Times New Roman" w:eastAsia="Times New Roman" w:hAnsi="Times New Roman" w:cs="Times New Roman"/>
                <w:b/>
                <w:bCs/>
                <w:sz w:val="18"/>
                <w:szCs w:val="16"/>
                <w:lang w:val="ro-MD"/>
              </w:rPr>
              <w:t>Precizat, anul 2023</w:t>
            </w:r>
          </w:p>
        </w:tc>
        <w:tc>
          <w:tcPr>
            <w:tcW w:w="999" w:type="pct"/>
            <w:gridSpan w:val="3"/>
            <w:vAlign w:val="center"/>
            <w:hideMark/>
          </w:tcPr>
          <w:p w14:paraId="55CE7C76" w14:textId="77777777" w:rsidR="004E4D1E" w:rsidRPr="00DD5F1D" w:rsidRDefault="004E4D1E" w:rsidP="000D40B3">
            <w:pPr>
              <w:jc w:val="center"/>
              <w:rPr>
                <w:rFonts w:ascii="Times New Roman" w:eastAsia="Times New Roman" w:hAnsi="Times New Roman" w:cs="Times New Roman"/>
                <w:b/>
                <w:bCs/>
                <w:sz w:val="18"/>
                <w:szCs w:val="16"/>
                <w:lang w:val="ro-MD"/>
              </w:rPr>
            </w:pPr>
            <w:r w:rsidRPr="00DD5F1D">
              <w:rPr>
                <w:rFonts w:ascii="Times New Roman" w:eastAsia="Times New Roman" w:hAnsi="Times New Roman" w:cs="Times New Roman"/>
                <w:b/>
                <w:bCs/>
                <w:sz w:val="18"/>
                <w:szCs w:val="16"/>
                <w:lang w:val="ro-MD"/>
              </w:rPr>
              <w:t>Executat anul 2023 față de precizat</w:t>
            </w:r>
          </w:p>
        </w:tc>
        <w:tc>
          <w:tcPr>
            <w:tcW w:w="1034" w:type="pct"/>
            <w:gridSpan w:val="3"/>
            <w:vAlign w:val="center"/>
            <w:hideMark/>
          </w:tcPr>
          <w:p w14:paraId="6D89AF4E" w14:textId="77777777" w:rsidR="004E4D1E" w:rsidRPr="00DD5F1D" w:rsidRDefault="004E4D1E" w:rsidP="000D40B3">
            <w:pPr>
              <w:jc w:val="center"/>
              <w:rPr>
                <w:rFonts w:ascii="Times New Roman" w:eastAsia="Times New Roman" w:hAnsi="Times New Roman" w:cs="Times New Roman"/>
                <w:b/>
                <w:bCs/>
                <w:sz w:val="18"/>
                <w:szCs w:val="16"/>
                <w:lang w:val="ro-MD"/>
              </w:rPr>
            </w:pPr>
            <w:r w:rsidRPr="00DD5F1D">
              <w:rPr>
                <w:rFonts w:ascii="Times New Roman" w:eastAsia="Times New Roman" w:hAnsi="Times New Roman" w:cs="Times New Roman"/>
                <w:b/>
                <w:bCs/>
                <w:sz w:val="18"/>
                <w:szCs w:val="16"/>
                <w:lang w:val="ro-MD"/>
              </w:rPr>
              <w:t>Executat anul 2023 față de anul 2022</w:t>
            </w:r>
          </w:p>
        </w:tc>
      </w:tr>
      <w:tr w:rsidR="000D40B3" w:rsidRPr="00DD5F1D" w14:paraId="128430CC" w14:textId="77777777" w:rsidTr="00CC6920">
        <w:trPr>
          <w:gridAfter w:val="1"/>
          <w:wAfter w:w="4" w:type="pct"/>
          <w:trHeight w:val="208"/>
        </w:trPr>
        <w:tc>
          <w:tcPr>
            <w:tcW w:w="981" w:type="pct"/>
            <w:vMerge/>
            <w:hideMark/>
          </w:tcPr>
          <w:p w14:paraId="5153C73F" w14:textId="77777777" w:rsidR="004E4D1E" w:rsidRPr="00DD5F1D" w:rsidRDefault="004E4D1E" w:rsidP="004E4D1E">
            <w:pPr>
              <w:rPr>
                <w:rFonts w:ascii="Times New Roman" w:eastAsia="Times New Roman" w:hAnsi="Times New Roman" w:cs="Times New Roman"/>
                <w:b/>
                <w:bCs/>
                <w:sz w:val="18"/>
                <w:szCs w:val="16"/>
                <w:lang w:val="ro-MD"/>
              </w:rPr>
            </w:pPr>
          </w:p>
        </w:tc>
        <w:tc>
          <w:tcPr>
            <w:tcW w:w="764" w:type="pct"/>
            <w:vMerge/>
            <w:hideMark/>
          </w:tcPr>
          <w:p w14:paraId="160FA2FE" w14:textId="77777777" w:rsidR="004E4D1E" w:rsidRPr="00DD5F1D" w:rsidRDefault="004E4D1E" w:rsidP="004E4D1E">
            <w:pPr>
              <w:rPr>
                <w:rFonts w:ascii="Times New Roman" w:eastAsia="Times New Roman" w:hAnsi="Times New Roman" w:cs="Times New Roman"/>
                <w:b/>
                <w:bCs/>
                <w:sz w:val="18"/>
                <w:szCs w:val="16"/>
                <w:lang w:val="ro-MD"/>
              </w:rPr>
            </w:pPr>
          </w:p>
        </w:tc>
        <w:tc>
          <w:tcPr>
            <w:tcW w:w="586" w:type="pct"/>
            <w:vMerge/>
            <w:hideMark/>
          </w:tcPr>
          <w:p w14:paraId="70EC9B59" w14:textId="77777777" w:rsidR="004E4D1E" w:rsidRPr="00DD5F1D" w:rsidRDefault="004E4D1E" w:rsidP="004E4D1E">
            <w:pPr>
              <w:rPr>
                <w:rFonts w:ascii="Times New Roman" w:eastAsia="Times New Roman" w:hAnsi="Times New Roman" w:cs="Times New Roman"/>
                <w:b/>
                <w:bCs/>
                <w:sz w:val="18"/>
                <w:szCs w:val="16"/>
                <w:lang w:val="ro-MD"/>
              </w:rPr>
            </w:pPr>
          </w:p>
        </w:tc>
        <w:tc>
          <w:tcPr>
            <w:tcW w:w="636" w:type="pct"/>
            <w:vMerge/>
            <w:hideMark/>
          </w:tcPr>
          <w:p w14:paraId="4010A490" w14:textId="77777777" w:rsidR="004E4D1E" w:rsidRPr="00DD5F1D" w:rsidRDefault="004E4D1E" w:rsidP="004E4D1E">
            <w:pPr>
              <w:rPr>
                <w:rFonts w:ascii="Times New Roman" w:eastAsia="Times New Roman" w:hAnsi="Times New Roman" w:cs="Times New Roman"/>
                <w:b/>
                <w:bCs/>
                <w:sz w:val="18"/>
                <w:szCs w:val="16"/>
                <w:lang w:val="ro-MD"/>
              </w:rPr>
            </w:pPr>
          </w:p>
        </w:tc>
        <w:tc>
          <w:tcPr>
            <w:tcW w:w="582" w:type="pct"/>
            <w:noWrap/>
            <w:vAlign w:val="center"/>
            <w:hideMark/>
          </w:tcPr>
          <w:p w14:paraId="5985EC45" w14:textId="77777777" w:rsidR="004E4D1E" w:rsidRPr="00DD5F1D" w:rsidRDefault="004E4D1E" w:rsidP="000D40B3">
            <w:pPr>
              <w:jc w:val="center"/>
              <w:rPr>
                <w:rFonts w:ascii="Times New Roman" w:eastAsia="Times New Roman" w:hAnsi="Times New Roman" w:cs="Times New Roman"/>
                <w:b/>
                <w:bCs/>
                <w:sz w:val="18"/>
                <w:szCs w:val="16"/>
                <w:lang w:val="ro-MD"/>
              </w:rPr>
            </w:pPr>
            <w:r w:rsidRPr="00DD5F1D">
              <w:rPr>
                <w:rFonts w:ascii="Times New Roman" w:eastAsia="Times New Roman" w:hAnsi="Times New Roman" w:cs="Times New Roman"/>
                <w:b/>
                <w:bCs/>
                <w:sz w:val="18"/>
                <w:szCs w:val="16"/>
                <w:lang w:val="ro-MD"/>
              </w:rPr>
              <w:t>devieri (+/-)</w:t>
            </w:r>
          </w:p>
        </w:tc>
        <w:tc>
          <w:tcPr>
            <w:tcW w:w="411" w:type="pct"/>
            <w:noWrap/>
            <w:vAlign w:val="center"/>
            <w:hideMark/>
          </w:tcPr>
          <w:p w14:paraId="01C6099B" w14:textId="77777777" w:rsidR="004E4D1E" w:rsidRPr="00DD5F1D" w:rsidRDefault="004E4D1E" w:rsidP="000D40B3">
            <w:pPr>
              <w:jc w:val="center"/>
              <w:rPr>
                <w:rFonts w:ascii="Times New Roman" w:eastAsia="Times New Roman" w:hAnsi="Times New Roman" w:cs="Times New Roman"/>
                <w:b/>
                <w:bCs/>
                <w:sz w:val="18"/>
                <w:szCs w:val="16"/>
                <w:lang w:val="ro-MD"/>
              </w:rPr>
            </w:pPr>
            <w:r w:rsidRPr="00DD5F1D">
              <w:rPr>
                <w:rFonts w:ascii="Times New Roman" w:eastAsia="Times New Roman" w:hAnsi="Times New Roman" w:cs="Times New Roman"/>
                <w:b/>
                <w:bCs/>
                <w:sz w:val="18"/>
                <w:szCs w:val="16"/>
                <w:lang w:val="ro-MD"/>
              </w:rPr>
              <w:t>în %</w:t>
            </w:r>
          </w:p>
        </w:tc>
        <w:tc>
          <w:tcPr>
            <w:tcW w:w="580" w:type="pct"/>
            <w:gridSpan w:val="2"/>
            <w:noWrap/>
            <w:vAlign w:val="center"/>
            <w:hideMark/>
          </w:tcPr>
          <w:p w14:paraId="256B406C" w14:textId="77777777" w:rsidR="004E4D1E" w:rsidRPr="00DD5F1D" w:rsidRDefault="004E4D1E" w:rsidP="000D40B3">
            <w:pPr>
              <w:jc w:val="center"/>
              <w:rPr>
                <w:rFonts w:ascii="Times New Roman" w:eastAsia="Times New Roman" w:hAnsi="Times New Roman" w:cs="Times New Roman"/>
                <w:b/>
                <w:bCs/>
                <w:sz w:val="18"/>
                <w:szCs w:val="16"/>
                <w:lang w:val="ro-MD"/>
              </w:rPr>
            </w:pPr>
            <w:r w:rsidRPr="00DD5F1D">
              <w:rPr>
                <w:rFonts w:ascii="Times New Roman" w:eastAsia="Times New Roman" w:hAnsi="Times New Roman" w:cs="Times New Roman"/>
                <w:b/>
                <w:bCs/>
                <w:sz w:val="18"/>
                <w:szCs w:val="16"/>
                <w:lang w:val="ro-MD"/>
              </w:rPr>
              <w:t>devieri (+/-)</w:t>
            </w:r>
          </w:p>
        </w:tc>
        <w:tc>
          <w:tcPr>
            <w:tcW w:w="456" w:type="pct"/>
            <w:noWrap/>
            <w:vAlign w:val="center"/>
            <w:hideMark/>
          </w:tcPr>
          <w:p w14:paraId="1E934329" w14:textId="77777777" w:rsidR="004E4D1E" w:rsidRPr="00DD5F1D" w:rsidRDefault="004E4D1E" w:rsidP="000D40B3">
            <w:pPr>
              <w:jc w:val="center"/>
              <w:rPr>
                <w:rFonts w:ascii="Times New Roman" w:eastAsia="Times New Roman" w:hAnsi="Times New Roman" w:cs="Times New Roman"/>
                <w:b/>
                <w:bCs/>
                <w:sz w:val="18"/>
                <w:szCs w:val="16"/>
                <w:lang w:val="ro-MD"/>
              </w:rPr>
            </w:pPr>
            <w:r w:rsidRPr="00DD5F1D">
              <w:rPr>
                <w:rFonts w:ascii="Times New Roman" w:eastAsia="Times New Roman" w:hAnsi="Times New Roman" w:cs="Times New Roman"/>
                <w:b/>
                <w:bCs/>
                <w:sz w:val="18"/>
                <w:szCs w:val="16"/>
                <w:lang w:val="ro-MD"/>
              </w:rPr>
              <w:t>în %</w:t>
            </w:r>
          </w:p>
        </w:tc>
      </w:tr>
      <w:tr w:rsidR="000D40B3" w:rsidRPr="00DD5F1D" w14:paraId="18BB5B4D" w14:textId="77777777" w:rsidTr="00CC6920">
        <w:trPr>
          <w:gridAfter w:val="1"/>
          <w:wAfter w:w="4" w:type="pct"/>
          <w:trHeight w:val="208"/>
        </w:trPr>
        <w:tc>
          <w:tcPr>
            <w:tcW w:w="981" w:type="pct"/>
            <w:noWrap/>
            <w:vAlign w:val="center"/>
            <w:hideMark/>
          </w:tcPr>
          <w:p w14:paraId="7450BEB9" w14:textId="77777777" w:rsidR="004E4D1E" w:rsidRPr="00DD5F1D" w:rsidRDefault="004E4D1E" w:rsidP="000D40B3">
            <w:pPr>
              <w:jc w:val="both"/>
              <w:rPr>
                <w:rFonts w:ascii="Times New Roman" w:eastAsia="Times New Roman" w:hAnsi="Times New Roman" w:cs="Times New Roman"/>
                <w:sz w:val="18"/>
                <w:szCs w:val="16"/>
                <w:lang w:val="ro-MD"/>
              </w:rPr>
            </w:pPr>
            <w:r w:rsidRPr="00DD5F1D">
              <w:rPr>
                <w:rFonts w:ascii="Times New Roman" w:eastAsia="Times New Roman" w:hAnsi="Times New Roman" w:cs="Times New Roman"/>
                <w:sz w:val="18"/>
                <w:szCs w:val="16"/>
                <w:lang w:val="ro-MD"/>
              </w:rPr>
              <w:t>Venituri</w:t>
            </w:r>
            <w:r w:rsidR="0036000F" w:rsidRPr="00DD5F1D">
              <w:rPr>
                <w:rFonts w:ascii="Times New Roman" w:eastAsia="Times New Roman" w:hAnsi="Times New Roman" w:cs="Times New Roman"/>
                <w:sz w:val="18"/>
                <w:szCs w:val="16"/>
                <w:lang w:val="ro-MD"/>
              </w:rPr>
              <w:t>,</w:t>
            </w:r>
            <w:r w:rsidRPr="00DD5F1D">
              <w:rPr>
                <w:rFonts w:ascii="Times New Roman" w:eastAsia="Times New Roman" w:hAnsi="Times New Roman" w:cs="Times New Roman"/>
                <w:sz w:val="18"/>
                <w:szCs w:val="16"/>
                <w:lang w:val="ro-MD"/>
              </w:rPr>
              <w:t xml:space="preserve"> mil.lei</w:t>
            </w:r>
          </w:p>
        </w:tc>
        <w:tc>
          <w:tcPr>
            <w:tcW w:w="764" w:type="pct"/>
            <w:noWrap/>
            <w:vAlign w:val="center"/>
            <w:hideMark/>
          </w:tcPr>
          <w:p w14:paraId="58B1BD63" w14:textId="77777777" w:rsidR="004E4D1E" w:rsidRPr="00DD5F1D" w:rsidRDefault="0036000F"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33 796,</w:t>
            </w:r>
            <w:r w:rsidR="004E4D1E" w:rsidRPr="00DD5F1D">
              <w:rPr>
                <w:rFonts w:ascii="Times New Roman" w:eastAsia="Times New Roman" w:hAnsi="Times New Roman" w:cs="Times New Roman"/>
                <w:sz w:val="18"/>
                <w:szCs w:val="14"/>
                <w:lang w:val="ro-MD"/>
              </w:rPr>
              <w:t>1</w:t>
            </w:r>
          </w:p>
        </w:tc>
        <w:tc>
          <w:tcPr>
            <w:tcW w:w="586" w:type="pct"/>
            <w:noWrap/>
            <w:vAlign w:val="center"/>
          </w:tcPr>
          <w:p w14:paraId="35BB544F" w14:textId="77777777" w:rsidR="004E4D1E" w:rsidRPr="00DD5F1D" w:rsidRDefault="004E4D1E"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38</w:t>
            </w:r>
            <w:r w:rsidR="0036000F" w:rsidRPr="00DD5F1D">
              <w:rPr>
                <w:rFonts w:ascii="Times New Roman" w:eastAsia="Times New Roman" w:hAnsi="Times New Roman" w:cs="Times New Roman"/>
                <w:sz w:val="18"/>
                <w:szCs w:val="14"/>
                <w:lang w:val="ro-MD"/>
              </w:rPr>
              <w:t xml:space="preserve"> </w:t>
            </w:r>
            <w:r w:rsidRPr="00DD5F1D">
              <w:rPr>
                <w:rFonts w:ascii="Times New Roman" w:eastAsia="Times New Roman" w:hAnsi="Times New Roman" w:cs="Times New Roman"/>
                <w:sz w:val="18"/>
                <w:szCs w:val="14"/>
                <w:lang w:val="ro-MD"/>
              </w:rPr>
              <w:t>604,4</w:t>
            </w:r>
          </w:p>
        </w:tc>
        <w:tc>
          <w:tcPr>
            <w:tcW w:w="636" w:type="pct"/>
            <w:noWrap/>
            <w:vAlign w:val="center"/>
          </w:tcPr>
          <w:p w14:paraId="6E9E3044" w14:textId="77777777" w:rsidR="004E4D1E" w:rsidRPr="00DD5F1D" w:rsidRDefault="004E4D1E"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38</w:t>
            </w:r>
            <w:r w:rsidR="0036000F" w:rsidRPr="00DD5F1D">
              <w:rPr>
                <w:rFonts w:ascii="Times New Roman" w:eastAsia="Times New Roman" w:hAnsi="Times New Roman" w:cs="Times New Roman"/>
                <w:sz w:val="18"/>
                <w:szCs w:val="14"/>
                <w:lang w:val="ro-MD"/>
              </w:rPr>
              <w:t xml:space="preserve"> </w:t>
            </w:r>
            <w:r w:rsidRPr="00DD5F1D">
              <w:rPr>
                <w:rFonts w:ascii="Times New Roman" w:eastAsia="Times New Roman" w:hAnsi="Times New Roman" w:cs="Times New Roman"/>
                <w:sz w:val="18"/>
                <w:szCs w:val="14"/>
                <w:lang w:val="ro-MD"/>
              </w:rPr>
              <w:t>870,7</w:t>
            </w:r>
          </w:p>
        </w:tc>
        <w:tc>
          <w:tcPr>
            <w:tcW w:w="582" w:type="pct"/>
            <w:noWrap/>
            <w:vAlign w:val="center"/>
          </w:tcPr>
          <w:p w14:paraId="45AE8B2D" w14:textId="77777777" w:rsidR="004E4D1E" w:rsidRPr="00DD5F1D" w:rsidRDefault="004E4D1E"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-266</w:t>
            </w:r>
            <w:r w:rsidR="0036000F" w:rsidRPr="00DD5F1D">
              <w:rPr>
                <w:rFonts w:ascii="Times New Roman" w:eastAsia="Times New Roman" w:hAnsi="Times New Roman" w:cs="Times New Roman"/>
                <w:sz w:val="18"/>
                <w:szCs w:val="14"/>
                <w:lang w:val="ro-MD"/>
              </w:rPr>
              <w:t>,3</w:t>
            </w:r>
          </w:p>
        </w:tc>
        <w:tc>
          <w:tcPr>
            <w:tcW w:w="411" w:type="pct"/>
            <w:noWrap/>
            <w:vAlign w:val="center"/>
          </w:tcPr>
          <w:p w14:paraId="541E1B88" w14:textId="77777777" w:rsidR="004E4D1E" w:rsidRPr="00DD5F1D" w:rsidRDefault="004E4D1E"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99,3</w:t>
            </w:r>
          </w:p>
        </w:tc>
        <w:tc>
          <w:tcPr>
            <w:tcW w:w="580" w:type="pct"/>
            <w:gridSpan w:val="2"/>
            <w:noWrap/>
            <w:vAlign w:val="center"/>
          </w:tcPr>
          <w:p w14:paraId="2213169C" w14:textId="77777777" w:rsidR="004E4D1E" w:rsidRPr="00DD5F1D" w:rsidRDefault="004E4D1E"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4</w:t>
            </w:r>
            <w:r w:rsidR="0036000F" w:rsidRPr="00DD5F1D">
              <w:rPr>
                <w:rFonts w:ascii="Times New Roman" w:eastAsia="Times New Roman" w:hAnsi="Times New Roman" w:cs="Times New Roman"/>
                <w:sz w:val="18"/>
                <w:szCs w:val="14"/>
                <w:lang w:val="ro-MD"/>
              </w:rPr>
              <w:t xml:space="preserve"> 808,3</w:t>
            </w:r>
          </w:p>
        </w:tc>
        <w:tc>
          <w:tcPr>
            <w:tcW w:w="456" w:type="pct"/>
            <w:noWrap/>
            <w:vAlign w:val="center"/>
          </w:tcPr>
          <w:p w14:paraId="51572F38" w14:textId="77777777" w:rsidR="004E4D1E" w:rsidRPr="00DD5F1D" w:rsidRDefault="004E4D1E"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114,2</w:t>
            </w:r>
          </w:p>
        </w:tc>
      </w:tr>
      <w:tr w:rsidR="000D40B3" w:rsidRPr="00DD5F1D" w14:paraId="39F6B4CE" w14:textId="77777777" w:rsidTr="00CC6920">
        <w:trPr>
          <w:gridAfter w:val="1"/>
          <w:wAfter w:w="4" w:type="pct"/>
          <w:trHeight w:val="208"/>
        </w:trPr>
        <w:tc>
          <w:tcPr>
            <w:tcW w:w="981" w:type="pct"/>
            <w:noWrap/>
            <w:vAlign w:val="center"/>
            <w:hideMark/>
          </w:tcPr>
          <w:p w14:paraId="66AA5849" w14:textId="77777777" w:rsidR="004E4D1E" w:rsidRPr="00DD5F1D" w:rsidRDefault="004E4D1E" w:rsidP="000D40B3">
            <w:pPr>
              <w:rPr>
                <w:rFonts w:ascii="Times New Roman" w:eastAsia="Times New Roman" w:hAnsi="Times New Roman" w:cs="Times New Roman"/>
                <w:sz w:val="18"/>
                <w:szCs w:val="16"/>
                <w:lang w:val="ro-MD"/>
              </w:rPr>
            </w:pPr>
            <w:r w:rsidRPr="00DD5F1D">
              <w:rPr>
                <w:rFonts w:ascii="Times New Roman" w:eastAsia="Times New Roman" w:hAnsi="Times New Roman" w:cs="Times New Roman"/>
                <w:sz w:val="18"/>
                <w:szCs w:val="16"/>
                <w:lang w:val="ro-MD"/>
              </w:rPr>
              <w:t>Cheltuieli</w:t>
            </w:r>
            <w:r w:rsidR="0036000F" w:rsidRPr="00DD5F1D">
              <w:rPr>
                <w:rFonts w:ascii="Times New Roman" w:eastAsia="Times New Roman" w:hAnsi="Times New Roman" w:cs="Times New Roman"/>
                <w:sz w:val="18"/>
                <w:szCs w:val="16"/>
                <w:lang w:val="ro-MD"/>
              </w:rPr>
              <w:t>,</w:t>
            </w:r>
            <w:r w:rsidRPr="00DD5F1D">
              <w:rPr>
                <w:rFonts w:ascii="Times New Roman" w:eastAsia="Times New Roman" w:hAnsi="Times New Roman" w:cs="Times New Roman"/>
                <w:sz w:val="18"/>
                <w:szCs w:val="16"/>
                <w:lang w:val="ro-MD"/>
              </w:rPr>
              <w:t xml:space="preserve"> mil.lei</w:t>
            </w:r>
          </w:p>
        </w:tc>
        <w:tc>
          <w:tcPr>
            <w:tcW w:w="764" w:type="pct"/>
            <w:noWrap/>
            <w:vAlign w:val="center"/>
            <w:hideMark/>
          </w:tcPr>
          <w:p w14:paraId="3009D504" w14:textId="77777777" w:rsidR="004E4D1E" w:rsidRPr="00DD5F1D" w:rsidRDefault="0036000F"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33 745,</w:t>
            </w:r>
            <w:r w:rsidR="004E4D1E" w:rsidRPr="00DD5F1D">
              <w:rPr>
                <w:rFonts w:ascii="Times New Roman" w:eastAsia="Times New Roman" w:hAnsi="Times New Roman" w:cs="Times New Roman"/>
                <w:sz w:val="18"/>
                <w:szCs w:val="14"/>
                <w:lang w:val="ro-MD"/>
              </w:rPr>
              <w:t>3</w:t>
            </w:r>
          </w:p>
        </w:tc>
        <w:tc>
          <w:tcPr>
            <w:tcW w:w="586" w:type="pct"/>
            <w:noWrap/>
            <w:vAlign w:val="center"/>
          </w:tcPr>
          <w:p w14:paraId="043DD4E5" w14:textId="77777777" w:rsidR="004E4D1E" w:rsidRPr="00DD5F1D" w:rsidRDefault="004E4D1E"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38</w:t>
            </w:r>
            <w:r w:rsidR="0036000F" w:rsidRPr="00DD5F1D">
              <w:rPr>
                <w:rFonts w:ascii="Times New Roman" w:eastAsia="Times New Roman" w:hAnsi="Times New Roman" w:cs="Times New Roman"/>
                <w:sz w:val="18"/>
                <w:szCs w:val="14"/>
                <w:lang w:val="ro-MD"/>
              </w:rPr>
              <w:t xml:space="preserve"> </w:t>
            </w:r>
            <w:r w:rsidRPr="00DD5F1D">
              <w:rPr>
                <w:rFonts w:ascii="Times New Roman" w:eastAsia="Times New Roman" w:hAnsi="Times New Roman" w:cs="Times New Roman"/>
                <w:sz w:val="18"/>
                <w:szCs w:val="14"/>
                <w:lang w:val="ro-MD"/>
              </w:rPr>
              <w:t>524,7</w:t>
            </w:r>
          </w:p>
        </w:tc>
        <w:tc>
          <w:tcPr>
            <w:tcW w:w="636" w:type="pct"/>
            <w:noWrap/>
            <w:vAlign w:val="center"/>
          </w:tcPr>
          <w:p w14:paraId="531D11E2" w14:textId="77777777" w:rsidR="004E4D1E" w:rsidRPr="00DD5F1D" w:rsidRDefault="004E4D1E" w:rsidP="000D40B3">
            <w:pPr>
              <w:jc w:val="right"/>
              <w:rPr>
                <w:rFonts w:ascii="Times New Roman" w:eastAsia="Times New Roman" w:hAnsi="Times New Roman" w:cs="Times New Roman"/>
                <w:b/>
                <w:bCs/>
                <w:sz w:val="18"/>
                <w:szCs w:val="16"/>
                <w:lang w:val="ro-MD"/>
              </w:rPr>
            </w:pPr>
            <w:r w:rsidRPr="00DD5F1D">
              <w:rPr>
                <w:rFonts w:ascii="Times New Roman" w:eastAsia="Times New Roman" w:hAnsi="Times New Roman" w:cs="Times New Roman"/>
                <w:sz w:val="18"/>
                <w:szCs w:val="14"/>
                <w:lang w:val="ro-MD"/>
              </w:rPr>
              <w:t>38</w:t>
            </w:r>
            <w:r w:rsidR="0036000F" w:rsidRPr="00DD5F1D">
              <w:rPr>
                <w:rFonts w:ascii="Times New Roman" w:eastAsia="Times New Roman" w:hAnsi="Times New Roman" w:cs="Times New Roman"/>
                <w:sz w:val="18"/>
                <w:szCs w:val="14"/>
                <w:lang w:val="ro-MD"/>
              </w:rPr>
              <w:t xml:space="preserve"> </w:t>
            </w:r>
            <w:r w:rsidRPr="00DD5F1D">
              <w:rPr>
                <w:rFonts w:ascii="Times New Roman" w:eastAsia="Times New Roman" w:hAnsi="Times New Roman" w:cs="Times New Roman"/>
                <w:sz w:val="18"/>
                <w:szCs w:val="14"/>
                <w:lang w:val="ro-MD"/>
              </w:rPr>
              <w:t>870</w:t>
            </w:r>
            <w:r w:rsidR="000D40B3" w:rsidRPr="00DD5F1D">
              <w:rPr>
                <w:rFonts w:ascii="Times New Roman" w:eastAsia="Times New Roman" w:hAnsi="Times New Roman" w:cs="Times New Roman"/>
                <w:b/>
                <w:bCs/>
                <w:sz w:val="18"/>
                <w:szCs w:val="16"/>
                <w:lang w:val="ro-MD"/>
              </w:rPr>
              <w:t>,7</w:t>
            </w:r>
          </w:p>
        </w:tc>
        <w:tc>
          <w:tcPr>
            <w:tcW w:w="582" w:type="pct"/>
            <w:noWrap/>
            <w:vAlign w:val="center"/>
          </w:tcPr>
          <w:p w14:paraId="1D43E9E3" w14:textId="77777777" w:rsidR="004E4D1E" w:rsidRPr="00DD5F1D" w:rsidRDefault="0036000F" w:rsidP="000D40B3">
            <w:pPr>
              <w:ind w:left="-248"/>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-346,0</w:t>
            </w:r>
          </w:p>
        </w:tc>
        <w:tc>
          <w:tcPr>
            <w:tcW w:w="411" w:type="pct"/>
            <w:noWrap/>
            <w:vAlign w:val="center"/>
          </w:tcPr>
          <w:p w14:paraId="51707AB0" w14:textId="77777777" w:rsidR="004E4D1E" w:rsidRPr="00DD5F1D" w:rsidRDefault="004E4D1E"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99,1</w:t>
            </w:r>
          </w:p>
        </w:tc>
        <w:tc>
          <w:tcPr>
            <w:tcW w:w="580" w:type="pct"/>
            <w:gridSpan w:val="2"/>
            <w:noWrap/>
            <w:vAlign w:val="center"/>
          </w:tcPr>
          <w:p w14:paraId="631F87E1" w14:textId="77777777" w:rsidR="004E4D1E" w:rsidRPr="00DD5F1D" w:rsidRDefault="004E4D1E"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4</w:t>
            </w:r>
            <w:r w:rsidR="0036000F" w:rsidRPr="00DD5F1D">
              <w:rPr>
                <w:rFonts w:ascii="Times New Roman" w:eastAsia="Times New Roman" w:hAnsi="Times New Roman" w:cs="Times New Roman"/>
                <w:sz w:val="18"/>
                <w:szCs w:val="14"/>
                <w:lang w:val="ro-MD"/>
              </w:rPr>
              <w:t xml:space="preserve"> 779,4</w:t>
            </w:r>
          </w:p>
        </w:tc>
        <w:tc>
          <w:tcPr>
            <w:tcW w:w="456" w:type="pct"/>
            <w:noWrap/>
            <w:vAlign w:val="center"/>
          </w:tcPr>
          <w:p w14:paraId="4BACA9B0" w14:textId="77777777" w:rsidR="004E4D1E" w:rsidRPr="00DD5F1D" w:rsidRDefault="0036000F" w:rsidP="000D40B3">
            <w:pPr>
              <w:jc w:val="right"/>
              <w:rPr>
                <w:rFonts w:ascii="Times New Roman" w:eastAsia="Times New Roman" w:hAnsi="Times New Roman" w:cs="Times New Roman"/>
                <w:sz w:val="18"/>
                <w:szCs w:val="14"/>
                <w:lang w:val="ro-MD"/>
              </w:rPr>
            </w:pPr>
            <w:r w:rsidRPr="00DD5F1D">
              <w:rPr>
                <w:rFonts w:ascii="Times New Roman" w:eastAsia="Times New Roman" w:hAnsi="Times New Roman" w:cs="Times New Roman"/>
                <w:sz w:val="18"/>
                <w:szCs w:val="14"/>
                <w:lang w:val="ro-MD"/>
              </w:rPr>
              <w:t>114,2</w:t>
            </w:r>
          </w:p>
        </w:tc>
      </w:tr>
    </w:tbl>
    <w:p w14:paraId="488323F1" w14:textId="77777777" w:rsidR="008E0BBB" w:rsidRPr="00DD5F1D" w:rsidRDefault="00F77382" w:rsidP="00AB5790">
      <w:pPr>
        <w:spacing w:line="276" w:lineRule="auto"/>
        <w:jc w:val="both"/>
        <w:rPr>
          <w:rFonts w:ascii="Times New Roman" w:hAnsi="Times New Roman" w:cs="Times New Roman"/>
          <w:i/>
          <w:iCs/>
          <w:sz w:val="20"/>
          <w:szCs w:val="24"/>
          <w:lang w:val="ro-MD"/>
        </w:rPr>
      </w:pPr>
      <w:r w:rsidRPr="00DD5F1D">
        <w:rPr>
          <w:rFonts w:ascii="Times New Roman" w:hAnsi="Times New Roman" w:cs="Times New Roman"/>
          <w:b/>
          <w:bCs/>
          <w:i/>
          <w:iCs/>
          <w:sz w:val="20"/>
          <w:szCs w:val="24"/>
          <w:lang w:val="ro-MD"/>
        </w:rPr>
        <w:t>Sursa</w:t>
      </w:r>
      <w:r w:rsidRPr="00DD5F1D">
        <w:rPr>
          <w:rFonts w:ascii="Times New Roman" w:hAnsi="Times New Roman" w:cs="Times New Roman"/>
          <w:sz w:val="20"/>
          <w:szCs w:val="24"/>
          <w:lang w:val="ro-MD"/>
        </w:rPr>
        <w:t xml:space="preserve">: </w:t>
      </w:r>
      <w:r w:rsidRPr="00DD5F1D">
        <w:rPr>
          <w:rFonts w:ascii="Times New Roman" w:hAnsi="Times New Roman" w:cs="Times New Roman"/>
          <w:i/>
          <w:iCs/>
          <w:sz w:val="20"/>
          <w:szCs w:val="24"/>
          <w:lang w:val="ro-MD"/>
        </w:rPr>
        <w:t>Raportul privind executarea bugetului asigurărilor sociale de stat la situația de 1 ianuarie 202</w:t>
      </w:r>
      <w:r w:rsidR="00010147" w:rsidRPr="00DD5F1D">
        <w:rPr>
          <w:rFonts w:ascii="Times New Roman" w:hAnsi="Times New Roman" w:cs="Times New Roman"/>
          <w:i/>
          <w:iCs/>
          <w:sz w:val="20"/>
          <w:szCs w:val="24"/>
          <w:lang w:val="ro-MD"/>
        </w:rPr>
        <w:t>4</w:t>
      </w:r>
      <w:r w:rsidRPr="00DD5F1D">
        <w:rPr>
          <w:rFonts w:ascii="Times New Roman" w:hAnsi="Times New Roman" w:cs="Times New Roman"/>
          <w:i/>
          <w:iCs/>
          <w:sz w:val="20"/>
          <w:szCs w:val="24"/>
          <w:lang w:val="ro-MD"/>
        </w:rPr>
        <w:t xml:space="preserve"> (Formularul nr.1 CNAS).</w:t>
      </w:r>
    </w:p>
    <w:p w14:paraId="6A06BDF9" w14:textId="61B8A471" w:rsidR="00F77382" w:rsidRPr="00DD5F1D" w:rsidRDefault="00F77382" w:rsidP="00953257">
      <w:pPr>
        <w:spacing w:after="120" w:line="276" w:lineRule="auto"/>
        <w:jc w:val="both"/>
        <w:rPr>
          <w:rFonts w:ascii="Times New Roman" w:eastAsia="Times New Roman" w:hAnsi="Times New Roman" w:cs="Times New Roman"/>
          <w:sz w:val="24"/>
          <w:szCs w:val="24"/>
          <w:lang w:val="ro-MD"/>
        </w:rPr>
      </w:pPr>
      <w:r w:rsidRPr="00DD5F1D">
        <w:rPr>
          <w:rFonts w:ascii="Times New Roman" w:hAnsi="Times New Roman" w:cs="Times New Roman"/>
          <w:sz w:val="24"/>
          <w:szCs w:val="24"/>
          <w:lang w:val="ro-MD"/>
        </w:rPr>
        <w:t xml:space="preserve">În aceste condiții, exercițiul bugetar s-a soldat cu un excedent de </w:t>
      </w:r>
      <w:r w:rsidR="007741FE" w:rsidRPr="00DD5F1D">
        <w:rPr>
          <w:rFonts w:ascii="Times New Roman" w:hAnsi="Times New Roman" w:cs="Times New Roman"/>
          <w:sz w:val="24"/>
          <w:szCs w:val="24"/>
          <w:lang w:val="ro-MD"/>
        </w:rPr>
        <w:t>79,75</w:t>
      </w:r>
      <w:r w:rsidRPr="00DD5F1D">
        <w:rPr>
          <w:rFonts w:ascii="Times New Roman" w:hAnsi="Times New Roman" w:cs="Times New Roman"/>
          <w:sz w:val="24"/>
          <w:szCs w:val="24"/>
          <w:lang w:val="ro-MD"/>
        </w:rPr>
        <w:t xml:space="preserve"> mil.</w:t>
      </w:r>
      <w:r w:rsidR="008E0BBB"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lei, iar </w:t>
      </w:r>
      <w:r w:rsidRPr="00DD5F1D">
        <w:rPr>
          <w:rFonts w:ascii="Times New Roman" w:eastAsia="Times New Roman" w:hAnsi="Times New Roman" w:cs="Times New Roman"/>
          <w:sz w:val="24"/>
          <w:szCs w:val="24"/>
          <w:lang w:val="ro-MD"/>
        </w:rPr>
        <w:t>soldul de mijloace bănești la sfârșitul perioadei a const</w:t>
      </w:r>
      <w:r w:rsidR="008E0BBB" w:rsidRPr="00DD5F1D">
        <w:rPr>
          <w:rFonts w:ascii="Times New Roman" w:eastAsia="Times New Roman" w:hAnsi="Times New Roman" w:cs="Times New Roman"/>
          <w:sz w:val="24"/>
          <w:szCs w:val="24"/>
          <w:lang w:val="ro-MD"/>
        </w:rPr>
        <w:t xml:space="preserve">ituit </w:t>
      </w:r>
      <w:r w:rsidR="007741FE" w:rsidRPr="00DD5F1D">
        <w:rPr>
          <w:rFonts w:ascii="Times New Roman" w:eastAsia="Times New Roman" w:hAnsi="Times New Roman" w:cs="Times New Roman"/>
          <w:sz w:val="24"/>
          <w:szCs w:val="24"/>
          <w:lang w:val="ro-MD"/>
        </w:rPr>
        <w:t>79,95</w:t>
      </w:r>
      <w:r w:rsidR="008E0BBB" w:rsidRPr="00DD5F1D">
        <w:rPr>
          <w:rFonts w:ascii="Times New Roman" w:eastAsia="Times New Roman" w:hAnsi="Times New Roman" w:cs="Times New Roman"/>
          <w:sz w:val="24"/>
          <w:szCs w:val="24"/>
          <w:lang w:val="ro-MD"/>
        </w:rPr>
        <w:t xml:space="preserve"> mil. lei (Anexa nr.</w:t>
      </w:r>
      <w:r w:rsidR="008309BE" w:rsidRPr="00DD5F1D">
        <w:rPr>
          <w:rFonts w:ascii="Times New Roman" w:eastAsia="Times New Roman" w:hAnsi="Times New Roman" w:cs="Times New Roman"/>
          <w:sz w:val="24"/>
          <w:szCs w:val="24"/>
          <w:lang w:val="ro-MD"/>
        </w:rPr>
        <w:t xml:space="preserve"> </w:t>
      </w:r>
      <w:r w:rsidR="00A6584D" w:rsidRPr="00DD5F1D">
        <w:rPr>
          <w:rFonts w:ascii="Times New Roman" w:eastAsia="Times New Roman" w:hAnsi="Times New Roman" w:cs="Times New Roman"/>
          <w:sz w:val="24"/>
          <w:szCs w:val="24"/>
          <w:lang w:val="ro-MD"/>
        </w:rPr>
        <w:t>3</w:t>
      </w:r>
      <w:r w:rsidR="003E35B0" w:rsidRPr="00DD5F1D">
        <w:rPr>
          <w:rFonts w:ascii="Times New Roman" w:eastAsia="Times New Roman" w:hAnsi="Times New Roman" w:cs="Times New Roman"/>
          <w:sz w:val="24"/>
          <w:szCs w:val="24"/>
          <w:lang w:val="ro-MD"/>
        </w:rPr>
        <w:t xml:space="preserve"> la prezentul Raport de audit</w:t>
      </w:r>
      <w:r w:rsidRPr="00DD5F1D">
        <w:rPr>
          <w:rFonts w:ascii="Times New Roman" w:eastAsia="Times New Roman" w:hAnsi="Times New Roman" w:cs="Times New Roman"/>
          <w:sz w:val="24"/>
          <w:szCs w:val="24"/>
          <w:lang w:val="ro-MD"/>
        </w:rPr>
        <w:t>).</w:t>
      </w:r>
    </w:p>
    <w:p w14:paraId="1FB2E91A" w14:textId="38F0FC42" w:rsidR="00C61B0F" w:rsidRPr="00DD5F1D" w:rsidRDefault="00251419" w:rsidP="00953257">
      <w:pPr>
        <w:spacing w:after="12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Sinteza </w:t>
      </w:r>
      <w:r w:rsidR="00FF246C" w:rsidRPr="00DD5F1D">
        <w:rPr>
          <w:rFonts w:ascii="Times New Roman" w:hAnsi="Times New Roman" w:cs="Times New Roman"/>
          <w:sz w:val="24"/>
          <w:szCs w:val="24"/>
          <w:lang w:val="ro-MD"/>
        </w:rPr>
        <w:t xml:space="preserve">veniturilor și cheltuielilor </w:t>
      </w:r>
      <w:r w:rsidRPr="00DD5F1D">
        <w:rPr>
          <w:rFonts w:ascii="Times New Roman" w:hAnsi="Times New Roman" w:cs="Times New Roman"/>
          <w:sz w:val="24"/>
          <w:szCs w:val="24"/>
          <w:lang w:val="ro-MD"/>
        </w:rPr>
        <w:t xml:space="preserve">bugetului asigurărilor sociale de stat pe anul 2023 se prezintă </w:t>
      </w:r>
      <w:r w:rsidR="00AB5790" w:rsidRPr="00DD5F1D">
        <w:rPr>
          <w:rFonts w:ascii="Times New Roman" w:hAnsi="Times New Roman" w:cs="Times New Roman"/>
          <w:sz w:val="24"/>
          <w:szCs w:val="24"/>
          <w:lang w:val="ro-MD"/>
        </w:rPr>
        <w:t>în A</w:t>
      </w:r>
      <w:r w:rsidRPr="00DD5F1D">
        <w:rPr>
          <w:rFonts w:ascii="Times New Roman" w:hAnsi="Times New Roman" w:cs="Times New Roman"/>
          <w:sz w:val="24"/>
          <w:szCs w:val="24"/>
          <w:lang w:val="ro-MD"/>
        </w:rPr>
        <w:t xml:space="preserve">nexa </w:t>
      </w:r>
      <w:r w:rsidR="008309BE" w:rsidRPr="00DD5F1D">
        <w:rPr>
          <w:rFonts w:ascii="Times New Roman" w:hAnsi="Times New Roman" w:cs="Times New Roman"/>
          <w:sz w:val="24"/>
          <w:szCs w:val="24"/>
          <w:lang w:val="ro-MD"/>
        </w:rPr>
        <w:t>nr</w:t>
      </w:r>
      <w:r w:rsidR="00AC2CFB" w:rsidRPr="00DD5F1D">
        <w:rPr>
          <w:rFonts w:ascii="Times New Roman" w:hAnsi="Times New Roman" w:cs="Times New Roman"/>
          <w:sz w:val="24"/>
          <w:szCs w:val="24"/>
          <w:lang w:val="ro-MD"/>
        </w:rPr>
        <w:t>.</w:t>
      </w:r>
      <w:r w:rsidR="00A6584D" w:rsidRPr="00DD5F1D">
        <w:rPr>
          <w:rFonts w:ascii="Times New Roman" w:hAnsi="Times New Roman" w:cs="Times New Roman"/>
          <w:sz w:val="24"/>
          <w:szCs w:val="24"/>
          <w:lang w:val="ro-MD"/>
        </w:rPr>
        <w:t xml:space="preserve"> </w:t>
      </w:r>
      <w:r w:rsidR="003E2A5D" w:rsidRPr="00DD5F1D">
        <w:rPr>
          <w:rFonts w:ascii="Times New Roman" w:hAnsi="Times New Roman" w:cs="Times New Roman"/>
          <w:sz w:val="24"/>
          <w:szCs w:val="24"/>
          <w:lang w:val="ro-MD"/>
        </w:rPr>
        <w:t>5</w:t>
      </w:r>
      <w:r w:rsidR="008309BE" w:rsidRPr="00DD5F1D">
        <w:rPr>
          <w:rFonts w:ascii="Times New Roman" w:hAnsi="Times New Roman" w:cs="Times New Roman"/>
          <w:sz w:val="24"/>
          <w:szCs w:val="24"/>
          <w:lang w:val="ro-MD"/>
        </w:rPr>
        <w:t xml:space="preserve"> </w:t>
      </w:r>
      <w:r w:rsidR="003D567C" w:rsidRPr="00DD5F1D">
        <w:rPr>
          <w:rFonts w:ascii="Times New Roman" w:eastAsia="Times New Roman" w:hAnsi="Times New Roman" w:cs="Times New Roman"/>
          <w:sz w:val="24"/>
          <w:szCs w:val="24"/>
          <w:lang w:val="ro-MD"/>
        </w:rPr>
        <w:t>la prezentul Raport de audit</w:t>
      </w:r>
      <w:r w:rsidRPr="00DD5F1D">
        <w:rPr>
          <w:rFonts w:ascii="Times New Roman" w:hAnsi="Times New Roman" w:cs="Times New Roman"/>
          <w:sz w:val="24"/>
          <w:szCs w:val="24"/>
          <w:lang w:val="ro-MD"/>
        </w:rPr>
        <w:t>.</w:t>
      </w:r>
    </w:p>
    <w:p w14:paraId="2DA556A6" w14:textId="24AFD78F" w:rsidR="006851B5" w:rsidRPr="00DD5F1D" w:rsidRDefault="006851B5" w:rsidP="006851B5">
      <w:pPr>
        <w:spacing w:after="120" w:line="276" w:lineRule="auto"/>
        <w:jc w:val="both"/>
        <w:rPr>
          <w:rFonts w:ascii="Times New Roman" w:hAnsi="Times New Roman" w:cs="Times New Roman"/>
          <w:sz w:val="24"/>
          <w:szCs w:val="24"/>
          <w:lang w:val="ro-MD"/>
        </w:rPr>
      </w:pPr>
      <w:r w:rsidRPr="00DD5F1D">
        <w:rPr>
          <w:rFonts w:ascii="Times New Roman" w:hAnsi="Times New Roman" w:cs="Times New Roman"/>
          <w:b/>
          <w:sz w:val="24"/>
          <w:szCs w:val="24"/>
          <w:lang w:val="ro-MD"/>
        </w:rPr>
        <w:t>Pensiile pentru limită de vârstă</w:t>
      </w:r>
      <w:r w:rsidRPr="00DD5F1D">
        <w:rPr>
          <w:rFonts w:ascii="Times New Roman" w:hAnsi="Times New Roman" w:cs="Times New Roman"/>
          <w:sz w:val="24"/>
          <w:szCs w:val="24"/>
          <w:lang w:val="ro-MD"/>
        </w:rPr>
        <w:t xml:space="preserve"> reprezintă prestația cea mai semnificativă din BASS, iar cheltuielile efective privind plata acestora în anul 2023 au constituit 19 718,4 mil. lei, ceea ce constituie 51,1% în totalul cheltuielilor BASS. Numărul beneficiarilor de pensii pentru limită de vârstă la data de 31 decembrie 2023 a constituit 528 666 </w:t>
      </w:r>
      <w:r w:rsidR="003D567C"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persoane</w:t>
      </w:r>
      <w:r w:rsidR="003D567C"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fiind în creștere cu 2 649 </w:t>
      </w:r>
      <w:r w:rsidR="003D567C"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 xml:space="preserve">persoane față de anul precedent. </w:t>
      </w:r>
      <w:r w:rsidR="003D567C" w:rsidRPr="00DD5F1D">
        <w:rPr>
          <w:rFonts w:ascii="Times New Roman" w:hAnsi="Times New Roman" w:cs="Times New Roman"/>
          <w:sz w:val="24"/>
          <w:szCs w:val="24"/>
          <w:lang w:val="ro-MD"/>
        </w:rPr>
        <w:t>Ca u</w:t>
      </w:r>
      <w:r w:rsidRPr="00DD5F1D">
        <w:rPr>
          <w:rFonts w:ascii="Times New Roman" w:hAnsi="Times New Roman" w:cs="Times New Roman"/>
          <w:sz w:val="24"/>
          <w:szCs w:val="24"/>
          <w:lang w:val="ro-MD"/>
        </w:rPr>
        <w:t xml:space="preserve">rmare a măsurilor implementate pe parcursul anului de gestiune, pensia medie a crescut cu 16,4%  și  la situația de 31 decembrie 2023 a constituit </w:t>
      </w:r>
      <w:r w:rsidRPr="00DD5F1D">
        <w:rPr>
          <w:rFonts w:ascii="Times New Roman" w:hAnsi="Times New Roman" w:cs="Times New Roman"/>
          <w:iCs/>
          <w:sz w:val="24"/>
          <w:szCs w:val="24"/>
          <w:lang w:val="ro-MD"/>
        </w:rPr>
        <w:t xml:space="preserve">3 683,62 </w:t>
      </w:r>
      <w:r w:rsidRPr="00DD5F1D">
        <w:rPr>
          <w:rFonts w:ascii="Times New Roman" w:hAnsi="Times New Roman" w:cs="Times New Roman"/>
          <w:sz w:val="24"/>
          <w:szCs w:val="24"/>
          <w:lang w:val="ro-MD"/>
        </w:rPr>
        <w:t xml:space="preserve">lei. </w:t>
      </w:r>
    </w:p>
    <w:p w14:paraId="3AF9EDBB" w14:textId="7BA39AAE" w:rsidR="006851B5" w:rsidRPr="00DD5F1D" w:rsidRDefault="006851B5" w:rsidP="006851B5">
      <w:pPr>
        <w:autoSpaceDE w:val="0"/>
        <w:autoSpaceDN w:val="0"/>
        <w:adjustRightInd w:val="0"/>
        <w:spacing w:after="0" w:line="276" w:lineRule="auto"/>
        <w:jc w:val="both"/>
        <w:rPr>
          <w:rFonts w:ascii="Times New Roman" w:eastAsia="Calibri" w:hAnsi="Times New Roman" w:cs="Times New Roman"/>
          <w:sz w:val="24"/>
          <w:szCs w:val="24"/>
          <w:lang w:val="ro-MD"/>
        </w:rPr>
      </w:pPr>
      <w:r w:rsidRPr="00DD5F1D">
        <w:rPr>
          <w:rFonts w:ascii="Times New Roman" w:hAnsi="Times New Roman" w:cs="Times New Roman"/>
          <w:sz w:val="24"/>
          <w:szCs w:val="24"/>
          <w:lang w:val="ro-MD"/>
        </w:rPr>
        <w:t>În comparație cu anul 2022, cheltuielile anuale au fost mai mari cu 3 075,0 mil. lei</w:t>
      </w:r>
      <w:r w:rsidR="003D567C"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sau cu 18,5%, </w:t>
      </w:r>
      <w:r w:rsidRPr="00DD5F1D">
        <w:rPr>
          <w:rFonts w:ascii="Times New Roman" w:eastAsia="Calibri" w:hAnsi="Times New Roman" w:cs="Times New Roman"/>
          <w:sz w:val="24"/>
          <w:szCs w:val="24"/>
          <w:lang w:val="ro-MD"/>
        </w:rPr>
        <w:t xml:space="preserve">această creștere </w:t>
      </w:r>
      <w:r w:rsidR="003D567C" w:rsidRPr="00DD5F1D">
        <w:rPr>
          <w:rFonts w:ascii="Times New Roman" w:eastAsia="Calibri" w:hAnsi="Times New Roman" w:cs="Times New Roman"/>
          <w:sz w:val="24"/>
          <w:szCs w:val="24"/>
          <w:lang w:val="ro-MD"/>
        </w:rPr>
        <w:t>având</w:t>
      </w:r>
      <w:r w:rsidRPr="00DD5F1D">
        <w:rPr>
          <w:rFonts w:ascii="Times New Roman" w:eastAsia="Calibri" w:hAnsi="Times New Roman" w:cs="Times New Roman"/>
          <w:sz w:val="24"/>
          <w:szCs w:val="24"/>
          <w:lang w:val="ro-MD"/>
        </w:rPr>
        <w:t xml:space="preserve"> loc</w:t>
      </w:r>
      <w:r w:rsidR="003D567C" w:rsidRPr="00DD5F1D">
        <w:rPr>
          <w:rFonts w:ascii="Times New Roman" w:eastAsia="Calibri" w:hAnsi="Times New Roman" w:cs="Times New Roman"/>
          <w:sz w:val="24"/>
          <w:szCs w:val="24"/>
          <w:lang w:val="ro-MD"/>
        </w:rPr>
        <w:t xml:space="preserve"> ca</w:t>
      </w:r>
      <w:r w:rsidRPr="00DD5F1D">
        <w:rPr>
          <w:rFonts w:ascii="Times New Roman" w:eastAsia="Calibri" w:hAnsi="Times New Roman" w:cs="Times New Roman"/>
          <w:sz w:val="24"/>
          <w:szCs w:val="24"/>
          <w:lang w:val="ro-MD"/>
        </w:rPr>
        <w:t xml:space="preserve"> urmare a măsurilor prevăzute de legislație în domeniul pensiilor publice și implement</w:t>
      </w:r>
      <w:r w:rsidR="003D567C" w:rsidRPr="00DD5F1D">
        <w:rPr>
          <w:rFonts w:ascii="Times New Roman" w:eastAsia="Calibri" w:hAnsi="Times New Roman" w:cs="Times New Roman"/>
          <w:sz w:val="24"/>
          <w:szCs w:val="24"/>
          <w:lang w:val="ro-MD"/>
        </w:rPr>
        <w:t>ării lor</w:t>
      </w:r>
      <w:r w:rsidRPr="00DD5F1D">
        <w:rPr>
          <w:rFonts w:ascii="Times New Roman" w:eastAsia="Calibri" w:hAnsi="Times New Roman" w:cs="Times New Roman"/>
          <w:sz w:val="24"/>
          <w:szCs w:val="24"/>
          <w:lang w:val="ro-MD"/>
        </w:rPr>
        <w:t xml:space="preserve"> pe parcursul anului 2023. </w:t>
      </w:r>
    </w:p>
    <w:p w14:paraId="2121E717" w14:textId="4D212678" w:rsidR="006851B5" w:rsidRPr="00DD5F1D" w:rsidRDefault="006851B5" w:rsidP="006851B5">
      <w:pPr>
        <w:autoSpaceDE w:val="0"/>
        <w:autoSpaceDN w:val="0"/>
        <w:adjustRightInd w:val="0"/>
        <w:spacing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Pentru plata </w:t>
      </w:r>
      <w:r w:rsidRPr="00DD5F1D">
        <w:rPr>
          <w:rFonts w:ascii="Times New Roman" w:eastAsia="Calibri" w:hAnsi="Times New Roman" w:cs="Times New Roman"/>
          <w:b/>
          <w:sz w:val="24"/>
          <w:szCs w:val="24"/>
          <w:lang w:val="ro-MD"/>
        </w:rPr>
        <w:t>pensiei de dizabilitate</w:t>
      </w:r>
      <w:r w:rsidRPr="00DD5F1D">
        <w:rPr>
          <w:rFonts w:ascii="Times New Roman" w:eastAsia="Calibri" w:hAnsi="Times New Roman" w:cs="Times New Roman"/>
          <w:sz w:val="24"/>
          <w:szCs w:val="24"/>
          <w:lang w:val="ro-MD"/>
        </w:rPr>
        <w:t xml:space="preserve">, cheltuielile efective au </w:t>
      </w:r>
      <w:r w:rsidR="004F4EF4" w:rsidRPr="00DD5F1D">
        <w:rPr>
          <w:rFonts w:ascii="Times New Roman" w:eastAsia="Calibri" w:hAnsi="Times New Roman" w:cs="Times New Roman"/>
          <w:sz w:val="24"/>
          <w:szCs w:val="24"/>
          <w:lang w:val="ro-MD"/>
        </w:rPr>
        <w:t>constituit 2 553,6 mil. lei</w:t>
      </w:r>
      <w:r w:rsidRPr="00DD5F1D">
        <w:rPr>
          <w:rFonts w:ascii="Times New Roman" w:eastAsia="Calibri" w:hAnsi="Times New Roman" w:cs="Times New Roman"/>
          <w:sz w:val="24"/>
          <w:szCs w:val="24"/>
          <w:lang w:val="ro-MD"/>
        </w:rPr>
        <w:t xml:space="preserve"> și au fost mai mari cu 296,9 mil. lei (13,2%)</w:t>
      </w:r>
      <w:r w:rsidR="004F4EF4" w:rsidRPr="00DD5F1D">
        <w:rPr>
          <w:rFonts w:ascii="Times New Roman" w:eastAsia="Calibri" w:hAnsi="Times New Roman" w:cs="Times New Roman"/>
          <w:sz w:val="24"/>
          <w:szCs w:val="24"/>
          <w:lang w:val="ro-MD"/>
        </w:rPr>
        <w:t xml:space="preserve"> față de anul precedent</w:t>
      </w:r>
      <w:r w:rsidRPr="00DD5F1D">
        <w:rPr>
          <w:rFonts w:ascii="Times New Roman" w:eastAsia="Calibri" w:hAnsi="Times New Roman" w:cs="Times New Roman"/>
          <w:sz w:val="24"/>
          <w:szCs w:val="24"/>
          <w:lang w:val="ro-MD"/>
        </w:rPr>
        <w:t>, ca rezultat al creșterii mărimii medii după indexare</w:t>
      </w:r>
      <w:r w:rsidR="00CD75C0"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w:t>
      </w:r>
      <w:r w:rsidR="00CD75C0" w:rsidRPr="00DD5F1D">
        <w:rPr>
          <w:rFonts w:ascii="Times New Roman" w:eastAsia="Calibri" w:hAnsi="Times New Roman" w:cs="Times New Roman"/>
          <w:sz w:val="24"/>
          <w:szCs w:val="24"/>
          <w:lang w:val="ro-MD"/>
        </w:rPr>
        <w:t>A</w:t>
      </w:r>
      <w:r w:rsidRPr="00DD5F1D">
        <w:rPr>
          <w:rFonts w:ascii="Times New Roman" w:eastAsia="Calibri" w:hAnsi="Times New Roman" w:cs="Times New Roman"/>
          <w:sz w:val="24"/>
          <w:szCs w:val="24"/>
          <w:lang w:val="ro-MD"/>
        </w:rPr>
        <w:t>stfel</w:t>
      </w:r>
      <w:r w:rsidR="003E2A5D"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la finele anului 2023, mărimea medie a </w:t>
      </w:r>
      <w:r w:rsidR="003D567C" w:rsidRPr="00DD5F1D">
        <w:rPr>
          <w:rFonts w:ascii="Times New Roman" w:eastAsia="Calibri" w:hAnsi="Times New Roman" w:cs="Times New Roman"/>
          <w:sz w:val="24"/>
          <w:szCs w:val="24"/>
          <w:lang w:val="ro-MD"/>
        </w:rPr>
        <w:t xml:space="preserve">acesteia a </w:t>
      </w:r>
      <w:r w:rsidRPr="00DD5F1D">
        <w:rPr>
          <w:rFonts w:ascii="Times New Roman" w:eastAsia="Calibri" w:hAnsi="Times New Roman" w:cs="Times New Roman"/>
          <w:sz w:val="24"/>
          <w:szCs w:val="24"/>
          <w:lang w:val="ro-MD"/>
        </w:rPr>
        <w:t xml:space="preserve">constituit 2451,44 lei, în creștere cu 16,5%. În anul 2023 au fost reexaminate 2 715 pensii de dizabilitate, </w:t>
      </w:r>
      <w:r w:rsidR="003E2A5D" w:rsidRPr="00DD5F1D">
        <w:rPr>
          <w:rFonts w:ascii="Times New Roman" w:eastAsia="Calibri" w:hAnsi="Times New Roman" w:cs="Times New Roman"/>
          <w:sz w:val="24"/>
          <w:szCs w:val="24"/>
          <w:lang w:val="ro-MD"/>
        </w:rPr>
        <w:t>iar</w:t>
      </w:r>
      <w:r w:rsidRPr="00DD5F1D">
        <w:rPr>
          <w:rFonts w:ascii="Times New Roman" w:eastAsia="Calibri" w:hAnsi="Times New Roman" w:cs="Times New Roman"/>
          <w:sz w:val="24"/>
          <w:szCs w:val="24"/>
          <w:lang w:val="ro-MD"/>
        </w:rPr>
        <w:t xml:space="preserve"> numărul beneficiarilor de acest tip de prestație, la 31 decembrie 2023</w:t>
      </w:r>
      <w:r w:rsidR="003D567C"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a constituit 98 823 </w:t>
      </w:r>
      <w:r w:rsidR="003D567C" w:rsidRPr="00DD5F1D">
        <w:rPr>
          <w:rFonts w:ascii="Times New Roman" w:eastAsia="Calibri" w:hAnsi="Times New Roman" w:cs="Times New Roman"/>
          <w:sz w:val="24"/>
          <w:szCs w:val="24"/>
          <w:lang w:val="ro-MD"/>
        </w:rPr>
        <w:t xml:space="preserve">de </w:t>
      </w:r>
      <w:r w:rsidRPr="00DD5F1D">
        <w:rPr>
          <w:rFonts w:ascii="Times New Roman" w:eastAsia="Calibri" w:hAnsi="Times New Roman" w:cs="Times New Roman"/>
          <w:sz w:val="24"/>
          <w:szCs w:val="24"/>
          <w:lang w:val="ro-MD"/>
        </w:rPr>
        <w:t>persoane</w:t>
      </w:r>
      <w:r w:rsidR="003D567C"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cu 3 402 persoane mai puțin față de anul precedent. Din totalul beneficiarilor de pensie de dizabilitate</w:t>
      </w:r>
      <w:r w:rsidR="003D567C"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se denotă că 249 </w:t>
      </w:r>
      <w:r w:rsidR="003D567C" w:rsidRPr="00DD5F1D">
        <w:rPr>
          <w:rFonts w:ascii="Times New Roman" w:eastAsia="Calibri" w:hAnsi="Times New Roman" w:cs="Times New Roman"/>
          <w:sz w:val="24"/>
          <w:szCs w:val="24"/>
          <w:lang w:val="ro-MD"/>
        </w:rPr>
        <w:t xml:space="preserve">de </w:t>
      </w:r>
      <w:r w:rsidRPr="00DD5F1D">
        <w:rPr>
          <w:rFonts w:ascii="Times New Roman" w:eastAsia="Calibri" w:hAnsi="Times New Roman" w:cs="Times New Roman"/>
          <w:sz w:val="24"/>
          <w:szCs w:val="24"/>
          <w:lang w:val="ro-MD"/>
        </w:rPr>
        <w:t xml:space="preserve">prestații sunt stabilite pe viață (fără termen). </w:t>
      </w:r>
    </w:p>
    <w:p w14:paraId="2CAB3420" w14:textId="57BDE4AC" w:rsidR="006851B5" w:rsidRPr="00DD5F1D" w:rsidRDefault="0046463E" w:rsidP="006851B5">
      <w:pPr>
        <w:autoSpaceDE w:val="0"/>
        <w:autoSpaceDN w:val="0"/>
        <w:adjustRightInd w:val="0"/>
        <w:spacing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C</w:t>
      </w:r>
      <w:r w:rsidR="006851B5" w:rsidRPr="00DD5F1D">
        <w:rPr>
          <w:rFonts w:ascii="Times New Roman" w:eastAsia="Calibri" w:hAnsi="Times New Roman" w:cs="Times New Roman"/>
          <w:sz w:val="24"/>
          <w:szCs w:val="24"/>
          <w:lang w:val="ro-MD"/>
        </w:rPr>
        <w:t xml:space="preserve">heltuielile efective pentru plata </w:t>
      </w:r>
      <w:r w:rsidR="006851B5" w:rsidRPr="00DD5F1D">
        <w:rPr>
          <w:rFonts w:ascii="Times New Roman" w:eastAsia="Calibri" w:hAnsi="Times New Roman" w:cs="Times New Roman"/>
          <w:b/>
          <w:sz w:val="24"/>
          <w:szCs w:val="24"/>
          <w:lang w:val="ro-MD"/>
        </w:rPr>
        <w:t>pensiei de urmaș</w:t>
      </w:r>
      <w:r w:rsidR="006851B5" w:rsidRPr="00DD5F1D">
        <w:rPr>
          <w:rFonts w:ascii="Times New Roman" w:eastAsia="Calibri" w:hAnsi="Times New Roman" w:cs="Times New Roman"/>
          <w:sz w:val="24"/>
          <w:szCs w:val="24"/>
          <w:lang w:val="ro-MD"/>
        </w:rPr>
        <w:t xml:space="preserve"> au constituit 386,6 mil. lei, fiind mai mari cu 82 817,7 mii lei</w:t>
      </w:r>
      <w:r w:rsidR="00CD75C0" w:rsidRPr="00DD5F1D">
        <w:rPr>
          <w:rFonts w:ascii="Times New Roman" w:eastAsia="Calibri" w:hAnsi="Times New Roman" w:cs="Times New Roman"/>
          <w:sz w:val="24"/>
          <w:szCs w:val="24"/>
          <w:lang w:val="ro-MD"/>
        </w:rPr>
        <w:t>,</w:t>
      </w:r>
      <w:r w:rsidR="006851B5" w:rsidRPr="00DD5F1D">
        <w:rPr>
          <w:rFonts w:ascii="Times New Roman" w:eastAsia="Calibri" w:hAnsi="Times New Roman" w:cs="Times New Roman"/>
          <w:sz w:val="24"/>
          <w:szCs w:val="24"/>
          <w:lang w:val="ro-MD"/>
        </w:rPr>
        <w:t xml:space="preserve">  sau cu 27,3%,</w:t>
      </w:r>
      <w:r w:rsidR="003E2A5D" w:rsidRPr="00DD5F1D">
        <w:rPr>
          <w:rFonts w:ascii="Times New Roman" w:eastAsia="Calibri" w:hAnsi="Times New Roman" w:cs="Times New Roman"/>
          <w:sz w:val="24"/>
          <w:szCs w:val="24"/>
          <w:lang w:val="ro-MD"/>
        </w:rPr>
        <w:t xml:space="preserve"> comparativ cu anul 2022, situație</w:t>
      </w:r>
      <w:r w:rsidR="006851B5" w:rsidRPr="00DD5F1D">
        <w:rPr>
          <w:rFonts w:ascii="Times New Roman" w:eastAsia="Calibri" w:hAnsi="Times New Roman" w:cs="Times New Roman"/>
          <w:sz w:val="24"/>
          <w:szCs w:val="24"/>
          <w:lang w:val="ro-MD"/>
        </w:rPr>
        <w:t xml:space="preserve"> generat</w:t>
      </w:r>
      <w:r w:rsidR="003E2A5D" w:rsidRPr="00DD5F1D">
        <w:rPr>
          <w:rFonts w:ascii="Times New Roman" w:eastAsia="Calibri" w:hAnsi="Times New Roman" w:cs="Times New Roman"/>
          <w:sz w:val="24"/>
          <w:szCs w:val="24"/>
          <w:lang w:val="ro-MD"/>
        </w:rPr>
        <w:t>ă</w:t>
      </w:r>
      <w:r w:rsidR="006851B5" w:rsidRPr="00DD5F1D">
        <w:rPr>
          <w:rFonts w:ascii="Times New Roman" w:eastAsia="Calibri" w:hAnsi="Times New Roman" w:cs="Times New Roman"/>
          <w:sz w:val="24"/>
          <w:szCs w:val="24"/>
          <w:lang w:val="ro-MD"/>
        </w:rPr>
        <w:t xml:space="preserve"> de creșterea numărului de beneficiari și a mărimii medii a pensiei. Numărul beneficiarilor la sfârșitul anului 2023 a constituit 11 802 persoane, cu 229 </w:t>
      </w:r>
      <w:r w:rsidR="00CD75C0" w:rsidRPr="00DD5F1D">
        <w:rPr>
          <w:rFonts w:ascii="Times New Roman" w:eastAsia="Calibri" w:hAnsi="Times New Roman" w:cs="Times New Roman"/>
          <w:sz w:val="24"/>
          <w:szCs w:val="24"/>
          <w:lang w:val="ro-MD"/>
        </w:rPr>
        <w:t xml:space="preserve">de </w:t>
      </w:r>
      <w:r w:rsidR="006851B5" w:rsidRPr="00DD5F1D">
        <w:rPr>
          <w:rFonts w:ascii="Times New Roman" w:eastAsia="Calibri" w:hAnsi="Times New Roman" w:cs="Times New Roman"/>
          <w:sz w:val="24"/>
          <w:szCs w:val="24"/>
          <w:lang w:val="ro-MD"/>
        </w:rPr>
        <w:t>persoane mai mult comparativ cu anul precedent. Totodată, pensia medie la situația de la sfârșitul anului a fost de 3 018,84 lei</w:t>
      </w:r>
      <w:r w:rsidR="00CD75C0" w:rsidRPr="00DD5F1D">
        <w:rPr>
          <w:rFonts w:ascii="Times New Roman" w:eastAsia="Calibri" w:hAnsi="Times New Roman" w:cs="Times New Roman"/>
          <w:sz w:val="24"/>
          <w:szCs w:val="24"/>
          <w:lang w:val="ro-MD"/>
        </w:rPr>
        <w:t>,</w:t>
      </w:r>
      <w:r w:rsidR="006851B5" w:rsidRPr="00DD5F1D">
        <w:rPr>
          <w:rFonts w:ascii="Times New Roman" w:eastAsia="Calibri" w:hAnsi="Times New Roman" w:cs="Times New Roman"/>
          <w:sz w:val="24"/>
          <w:szCs w:val="24"/>
          <w:lang w:val="ro-MD"/>
        </w:rPr>
        <w:t xml:space="preserve"> în creștere cu 22,0% comparativ cu anul precedent, aceasta fiind  influențată de indexarea din 01.04.2023. </w:t>
      </w:r>
    </w:p>
    <w:p w14:paraId="3EFB7023" w14:textId="1990ACE7" w:rsidR="004568C4" w:rsidRPr="00DD5F1D" w:rsidRDefault="004568C4" w:rsidP="006851B5">
      <w:pPr>
        <w:autoSpaceDE w:val="0"/>
        <w:autoSpaceDN w:val="0"/>
        <w:adjustRightInd w:val="0"/>
        <w:spacing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Cheltuielile efective din bugetul de stat </w:t>
      </w:r>
      <w:r w:rsidR="00CD75C0" w:rsidRPr="00DD5F1D">
        <w:rPr>
          <w:rFonts w:ascii="Times New Roman" w:eastAsia="Calibri" w:hAnsi="Times New Roman" w:cs="Times New Roman"/>
          <w:sz w:val="24"/>
          <w:szCs w:val="24"/>
          <w:lang w:val="ro-MD"/>
        </w:rPr>
        <w:t>aferente</w:t>
      </w:r>
      <w:r w:rsidRPr="00DD5F1D">
        <w:rPr>
          <w:rFonts w:ascii="Times New Roman" w:eastAsia="Calibri" w:hAnsi="Times New Roman" w:cs="Times New Roman"/>
          <w:sz w:val="24"/>
          <w:szCs w:val="24"/>
          <w:lang w:val="ro-MD"/>
        </w:rPr>
        <w:t xml:space="preserve"> </w:t>
      </w:r>
      <w:r w:rsidRPr="00DD5F1D">
        <w:rPr>
          <w:rFonts w:ascii="Times New Roman" w:eastAsia="Calibri" w:hAnsi="Times New Roman" w:cs="Times New Roman"/>
          <w:b/>
          <w:sz w:val="24"/>
          <w:szCs w:val="24"/>
          <w:lang w:val="ro-MD"/>
        </w:rPr>
        <w:t>pensiil</w:t>
      </w:r>
      <w:r w:rsidR="00CD75C0" w:rsidRPr="00DD5F1D">
        <w:rPr>
          <w:rFonts w:ascii="Times New Roman" w:eastAsia="Calibri" w:hAnsi="Times New Roman" w:cs="Times New Roman"/>
          <w:b/>
          <w:sz w:val="24"/>
          <w:szCs w:val="24"/>
          <w:lang w:val="ro-MD"/>
        </w:rPr>
        <w:t>or</w:t>
      </w:r>
      <w:r w:rsidRPr="00DD5F1D">
        <w:rPr>
          <w:rFonts w:ascii="Times New Roman" w:eastAsia="Calibri" w:hAnsi="Times New Roman" w:cs="Times New Roman"/>
          <w:b/>
          <w:sz w:val="24"/>
          <w:szCs w:val="24"/>
          <w:lang w:val="ro-MD"/>
        </w:rPr>
        <w:t xml:space="preserve"> pentru vechime în muncă persoanelor din rândul militarilor și persoanelor din corpul de comandă și din trupele organelor afacerilor interne</w:t>
      </w:r>
      <w:r w:rsidRPr="00DD5F1D">
        <w:rPr>
          <w:rFonts w:ascii="Times New Roman" w:eastAsia="Calibri" w:hAnsi="Times New Roman" w:cs="Times New Roman"/>
          <w:sz w:val="24"/>
          <w:szCs w:val="24"/>
          <w:lang w:val="ro-MD"/>
        </w:rPr>
        <w:t xml:space="preserve">  în </w:t>
      </w:r>
      <w:r w:rsidR="001F126C" w:rsidRPr="00DD5F1D">
        <w:rPr>
          <w:rFonts w:ascii="Times New Roman" w:eastAsia="Calibri" w:hAnsi="Times New Roman" w:cs="Times New Roman"/>
          <w:sz w:val="24"/>
          <w:szCs w:val="24"/>
          <w:lang w:val="ro-MD"/>
        </w:rPr>
        <w:t xml:space="preserve">anul </w:t>
      </w:r>
      <w:r w:rsidRPr="00DD5F1D">
        <w:rPr>
          <w:rFonts w:ascii="Times New Roman" w:eastAsia="Calibri" w:hAnsi="Times New Roman" w:cs="Times New Roman"/>
          <w:sz w:val="24"/>
          <w:szCs w:val="24"/>
          <w:lang w:val="ro-MD"/>
        </w:rPr>
        <w:t>2023</w:t>
      </w:r>
      <w:r w:rsidR="001F126C" w:rsidRPr="00DD5F1D">
        <w:rPr>
          <w:rFonts w:ascii="Times New Roman" w:eastAsia="Calibri" w:hAnsi="Times New Roman" w:cs="Times New Roman"/>
          <w:sz w:val="24"/>
          <w:szCs w:val="24"/>
          <w:lang w:val="ro-MD"/>
        </w:rPr>
        <w:t xml:space="preserve"> a</w:t>
      </w:r>
      <w:r w:rsidR="00CD75C0" w:rsidRPr="00DD5F1D">
        <w:rPr>
          <w:rFonts w:ascii="Times New Roman" w:eastAsia="Calibri" w:hAnsi="Times New Roman" w:cs="Times New Roman"/>
          <w:sz w:val="24"/>
          <w:szCs w:val="24"/>
          <w:lang w:val="ro-MD"/>
        </w:rPr>
        <w:t>u</w:t>
      </w:r>
      <w:r w:rsidR="003E2A5D" w:rsidRPr="00DD5F1D">
        <w:rPr>
          <w:rFonts w:ascii="Times New Roman" w:eastAsia="Calibri" w:hAnsi="Times New Roman" w:cs="Times New Roman"/>
          <w:sz w:val="24"/>
          <w:szCs w:val="24"/>
          <w:lang w:val="ro-MD"/>
        </w:rPr>
        <w:t xml:space="preserve"> constituit 1 705,9</w:t>
      </w:r>
      <w:r w:rsidR="001F126C" w:rsidRPr="00DD5F1D">
        <w:rPr>
          <w:rFonts w:ascii="Times New Roman" w:eastAsia="Calibri" w:hAnsi="Times New Roman" w:cs="Times New Roman"/>
          <w:sz w:val="24"/>
          <w:szCs w:val="24"/>
          <w:lang w:val="ro-MD"/>
        </w:rPr>
        <w:t xml:space="preserve"> mi</w:t>
      </w:r>
      <w:r w:rsidR="003E2A5D" w:rsidRPr="00DD5F1D">
        <w:rPr>
          <w:rFonts w:ascii="Times New Roman" w:eastAsia="Calibri" w:hAnsi="Times New Roman" w:cs="Times New Roman"/>
          <w:sz w:val="24"/>
          <w:szCs w:val="24"/>
          <w:lang w:val="ro-MD"/>
        </w:rPr>
        <w:t>l.</w:t>
      </w:r>
      <w:r w:rsidR="001F126C" w:rsidRPr="00DD5F1D">
        <w:rPr>
          <w:rFonts w:ascii="Times New Roman" w:eastAsia="Calibri" w:hAnsi="Times New Roman" w:cs="Times New Roman"/>
          <w:sz w:val="24"/>
          <w:szCs w:val="24"/>
          <w:lang w:val="ro-MD"/>
        </w:rPr>
        <w:t xml:space="preserve"> lei</w:t>
      </w:r>
      <w:r w:rsidR="003E2A5D" w:rsidRPr="00DD5F1D">
        <w:rPr>
          <w:rFonts w:ascii="Times New Roman" w:eastAsia="Calibri" w:hAnsi="Times New Roman" w:cs="Times New Roman"/>
          <w:sz w:val="24"/>
          <w:szCs w:val="24"/>
          <w:lang w:val="ro-MD"/>
        </w:rPr>
        <w:t>, cu 238,0 mil.</w:t>
      </w:r>
      <w:r w:rsidRPr="00DD5F1D">
        <w:rPr>
          <w:rFonts w:ascii="Times New Roman" w:eastAsia="Calibri" w:hAnsi="Times New Roman" w:cs="Times New Roman"/>
          <w:sz w:val="24"/>
          <w:szCs w:val="24"/>
          <w:lang w:val="ro-MD"/>
        </w:rPr>
        <w:t xml:space="preserve"> lei</w:t>
      </w:r>
      <w:r w:rsidR="00CD75C0"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sau cu 16,2%</w:t>
      </w:r>
      <w:r w:rsidR="00CD75C0"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mai mult decât în anul 2022. Numărul beneficiarilor la data de 1 ianuarie 2024 a constituit 19 845 </w:t>
      </w:r>
      <w:r w:rsidR="00CD75C0" w:rsidRPr="00DD5F1D">
        <w:rPr>
          <w:rFonts w:ascii="Times New Roman" w:eastAsia="Calibri" w:hAnsi="Times New Roman" w:cs="Times New Roman"/>
          <w:sz w:val="24"/>
          <w:szCs w:val="24"/>
          <w:lang w:val="ro-MD"/>
        </w:rPr>
        <w:t xml:space="preserve">de </w:t>
      </w:r>
      <w:r w:rsidRPr="00DD5F1D">
        <w:rPr>
          <w:rFonts w:ascii="Times New Roman" w:eastAsia="Calibri" w:hAnsi="Times New Roman" w:cs="Times New Roman"/>
          <w:sz w:val="24"/>
          <w:szCs w:val="24"/>
          <w:lang w:val="ro-MD"/>
        </w:rPr>
        <w:t>persoane, iar mărimea medie a pensiei – 7 411,61 lei. Majorarea cheltuielilor față de anul precedent se datorează creșterii numărului de beneficiari cu 365 de persoane, precum și a mărimii medii a</w:t>
      </w:r>
      <w:r w:rsidR="001F126C" w:rsidRPr="00DD5F1D">
        <w:rPr>
          <w:rFonts w:ascii="Times New Roman" w:eastAsia="Calibri" w:hAnsi="Times New Roman" w:cs="Times New Roman"/>
          <w:sz w:val="24"/>
          <w:szCs w:val="24"/>
          <w:lang w:val="ro-MD"/>
        </w:rPr>
        <w:t xml:space="preserve"> pensiei cu 947,6</w:t>
      </w:r>
      <w:r w:rsidR="004F4EF4" w:rsidRPr="00DD5F1D">
        <w:rPr>
          <w:rFonts w:ascii="Times New Roman" w:eastAsia="Calibri" w:hAnsi="Times New Roman" w:cs="Times New Roman"/>
          <w:sz w:val="24"/>
          <w:szCs w:val="24"/>
          <w:lang w:val="ro-MD"/>
        </w:rPr>
        <w:t xml:space="preserve"> lei</w:t>
      </w:r>
      <w:r w:rsidRPr="00DD5F1D">
        <w:rPr>
          <w:rFonts w:ascii="Times New Roman" w:eastAsia="Calibri" w:hAnsi="Times New Roman" w:cs="Times New Roman"/>
          <w:sz w:val="24"/>
          <w:szCs w:val="24"/>
          <w:lang w:val="ro-MD"/>
        </w:rPr>
        <w:t>, datorită indexării pensiei.</w:t>
      </w:r>
    </w:p>
    <w:p w14:paraId="4F09D79D" w14:textId="05ED7C40" w:rsidR="006851B5" w:rsidRPr="00DD5F1D" w:rsidRDefault="00FA17FF" w:rsidP="00DD3C9B">
      <w:pPr>
        <w:spacing w:line="276" w:lineRule="auto"/>
        <w:jc w:val="both"/>
        <w:rPr>
          <w:rFonts w:ascii="Times New Roman" w:hAnsi="Times New Roman" w:cs="Times New Roman"/>
          <w:sz w:val="24"/>
          <w:szCs w:val="24"/>
          <w:lang w:val="ro-MD"/>
        </w:rPr>
      </w:pPr>
      <w:r w:rsidRPr="00DD5F1D">
        <w:rPr>
          <w:rFonts w:ascii="Times New Roman" w:hAnsi="Times New Roman" w:cs="Times New Roman"/>
          <w:b/>
          <w:sz w:val="24"/>
          <w:szCs w:val="24"/>
          <w:lang w:val="ro-MD"/>
        </w:rPr>
        <w:t>Pentru asigurarea dreptului la indemnizație pentru incapacitate temporară de muncă cauzată de boli obișnuite sau de accidente nelegate de muncă,</w:t>
      </w:r>
      <w:r w:rsidR="001F126C" w:rsidRPr="00DD5F1D">
        <w:rPr>
          <w:rFonts w:ascii="Times New Roman" w:hAnsi="Times New Roman" w:cs="Times New Roman"/>
          <w:sz w:val="24"/>
          <w:szCs w:val="24"/>
          <w:lang w:val="ro-MD"/>
        </w:rPr>
        <w:t xml:space="preserve"> în anul 2023 au fost utilizate</w:t>
      </w:r>
      <w:r w:rsidRPr="00DD5F1D">
        <w:rPr>
          <w:rFonts w:ascii="Times New Roman" w:hAnsi="Times New Roman" w:cs="Times New Roman"/>
          <w:sz w:val="24"/>
          <w:szCs w:val="24"/>
          <w:lang w:val="ro-MD"/>
        </w:rPr>
        <w:t xml:space="preserve"> 924,6 mil. lei, cu 148,3 mil. lei mai mult decât în anul 2022. </w:t>
      </w:r>
      <w:r w:rsidR="004F4EF4" w:rsidRPr="00DD5F1D">
        <w:rPr>
          <w:rFonts w:ascii="Times New Roman" w:hAnsi="Times New Roman" w:cs="Times New Roman"/>
          <w:sz w:val="24"/>
          <w:szCs w:val="24"/>
          <w:lang w:val="ro-MD"/>
        </w:rPr>
        <w:t>Numărul be</w:t>
      </w:r>
      <w:r w:rsidR="001F126C" w:rsidRPr="00DD5F1D">
        <w:rPr>
          <w:rFonts w:ascii="Times New Roman" w:hAnsi="Times New Roman" w:cs="Times New Roman"/>
          <w:sz w:val="24"/>
          <w:szCs w:val="24"/>
          <w:lang w:val="ro-MD"/>
        </w:rPr>
        <w:t xml:space="preserve">neficiarilor în anul 2023 a fost </w:t>
      </w:r>
      <w:r w:rsidR="004F4EF4" w:rsidRPr="00DD5F1D">
        <w:rPr>
          <w:rFonts w:ascii="Times New Roman" w:hAnsi="Times New Roman" w:cs="Times New Roman"/>
          <w:sz w:val="24"/>
          <w:szCs w:val="24"/>
          <w:lang w:val="ro-MD"/>
        </w:rPr>
        <w:t>de 188 731</w:t>
      </w:r>
      <w:r w:rsidR="00CD75C0" w:rsidRPr="00DD5F1D">
        <w:rPr>
          <w:rFonts w:ascii="Times New Roman" w:hAnsi="Times New Roman" w:cs="Times New Roman"/>
          <w:sz w:val="24"/>
          <w:szCs w:val="24"/>
          <w:lang w:val="ro-MD"/>
        </w:rPr>
        <w:t xml:space="preserve"> de</w:t>
      </w:r>
      <w:r w:rsidR="004F4EF4" w:rsidRPr="00DD5F1D">
        <w:rPr>
          <w:rFonts w:ascii="Times New Roman" w:hAnsi="Times New Roman" w:cs="Times New Roman"/>
          <w:sz w:val="24"/>
          <w:szCs w:val="24"/>
          <w:lang w:val="ro-MD"/>
        </w:rPr>
        <w:t xml:space="preserve"> persoane, cu 20 743 </w:t>
      </w:r>
      <w:r w:rsidR="00CD75C0" w:rsidRPr="00DD5F1D">
        <w:rPr>
          <w:rFonts w:ascii="Times New Roman" w:hAnsi="Times New Roman" w:cs="Times New Roman"/>
          <w:sz w:val="24"/>
          <w:szCs w:val="24"/>
          <w:lang w:val="ro-MD"/>
        </w:rPr>
        <w:t xml:space="preserve">de </w:t>
      </w:r>
      <w:r w:rsidR="004F4EF4" w:rsidRPr="00DD5F1D">
        <w:rPr>
          <w:rFonts w:ascii="Times New Roman" w:hAnsi="Times New Roman" w:cs="Times New Roman"/>
          <w:sz w:val="24"/>
          <w:szCs w:val="24"/>
          <w:lang w:val="ro-MD"/>
        </w:rPr>
        <w:t xml:space="preserve">beneficiari mai puțin față de anul precedent. </w:t>
      </w:r>
      <w:r w:rsidRPr="00DD5F1D">
        <w:rPr>
          <w:rFonts w:ascii="Times New Roman" w:hAnsi="Times New Roman" w:cs="Times New Roman"/>
          <w:sz w:val="24"/>
          <w:szCs w:val="24"/>
          <w:lang w:val="ro-MD"/>
        </w:rPr>
        <w:t>Executarea mai mică a cheltuielilor</w:t>
      </w:r>
      <w:r w:rsidR="00CD75C0"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cu 44,7 mil. lei față de planul precizat</w:t>
      </w:r>
      <w:r w:rsidR="00CD75C0"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w:t>
      </w:r>
      <w:r w:rsidR="00BC16F1" w:rsidRPr="00DD5F1D">
        <w:rPr>
          <w:rFonts w:ascii="Times New Roman" w:hAnsi="Times New Roman" w:cs="Times New Roman"/>
          <w:sz w:val="24"/>
          <w:szCs w:val="24"/>
          <w:lang w:val="ro-MD"/>
        </w:rPr>
        <w:t>a fost</w:t>
      </w:r>
      <w:r w:rsidRPr="00DD5F1D">
        <w:rPr>
          <w:rFonts w:ascii="Times New Roman" w:hAnsi="Times New Roman" w:cs="Times New Roman"/>
          <w:sz w:val="24"/>
          <w:szCs w:val="24"/>
          <w:lang w:val="ro-MD"/>
        </w:rPr>
        <w:t xml:space="preserve"> determinată de înregistrarea unui număr mai mic de beneficiari de indemnizații pentru incapacitate temporară de muncă</w:t>
      </w:r>
      <w:r w:rsidR="00CD75C0"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comparativ cu cel planificat/precizat. </w:t>
      </w:r>
    </w:p>
    <w:p w14:paraId="6BD8EF6C" w14:textId="77777777" w:rsidR="009B3A36" w:rsidRPr="00DD5F1D" w:rsidRDefault="009B3A36" w:rsidP="009B3A36">
      <w:pPr>
        <w:pStyle w:val="1"/>
        <w:numPr>
          <w:ilvl w:val="0"/>
          <w:numId w:val="2"/>
        </w:numPr>
        <w:tabs>
          <w:tab w:val="left" w:pos="720"/>
        </w:tabs>
        <w:ind w:left="0" w:firstLine="0"/>
        <w:jc w:val="both"/>
        <w:rPr>
          <w:rFonts w:cs="Times New Roman"/>
          <w:bCs/>
          <w:sz w:val="24"/>
          <w:szCs w:val="24"/>
          <w:lang w:val="ro-MD"/>
        </w:rPr>
      </w:pPr>
      <w:r w:rsidRPr="00DD5F1D">
        <w:rPr>
          <w:rFonts w:cs="Times New Roman"/>
          <w:bCs/>
          <w:sz w:val="24"/>
          <w:szCs w:val="24"/>
          <w:lang w:val="ro-MD"/>
        </w:rPr>
        <w:t xml:space="preserve">BAZA PENTRU OPINIE </w:t>
      </w:r>
    </w:p>
    <w:p w14:paraId="7C65F4CC" w14:textId="77777777" w:rsidR="009B3A36" w:rsidRPr="00DD5F1D" w:rsidRDefault="009B3A36" w:rsidP="009B3A36">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Am realizat misiunea de audit în conformitate cu Standardele Internaționale ale Instituțiilor Supreme de Audit</w:t>
      </w:r>
      <w:r w:rsidRPr="00DD5F1D">
        <w:rPr>
          <w:rFonts w:ascii="Times New Roman" w:hAnsi="Times New Roman" w:cs="Times New Roman"/>
          <w:sz w:val="24"/>
          <w:szCs w:val="24"/>
          <w:vertAlign w:val="superscript"/>
          <w:lang w:val="ro-MD"/>
        </w:rPr>
        <w:footnoteReference w:id="9"/>
      </w:r>
      <w:r w:rsidRPr="00DD5F1D">
        <w:rPr>
          <w:rFonts w:ascii="Times New Roman" w:hAnsi="Times New Roman" w:cs="Times New Roman"/>
          <w:sz w:val="24"/>
          <w:szCs w:val="24"/>
          <w:lang w:val="ro-MD"/>
        </w:rPr>
        <w:t xml:space="preserve">. Responsabilitățile noastre, potrivit standardelor respective, sunt expuse în secțiunea </w:t>
      </w:r>
      <w:r w:rsidRPr="00DD5F1D">
        <w:rPr>
          <w:rFonts w:ascii="Times New Roman" w:hAnsi="Times New Roman" w:cs="Times New Roman"/>
          <w:i/>
          <w:sz w:val="24"/>
          <w:szCs w:val="24"/>
          <w:lang w:val="ro-MD"/>
        </w:rPr>
        <w:t>Responsabilitățile auditorului într-un audit al situațiilor financiare</w:t>
      </w:r>
      <w:r w:rsidRPr="00DD5F1D">
        <w:rPr>
          <w:rFonts w:ascii="Times New Roman" w:hAnsi="Times New Roman" w:cs="Times New Roman"/>
          <w:sz w:val="24"/>
          <w:szCs w:val="24"/>
          <w:lang w:val="ro-MD"/>
        </w:rPr>
        <w:t xml:space="preserve"> 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14:paraId="740B45CB" w14:textId="4B325FAD" w:rsidR="00B75D57" w:rsidRPr="00DD5F1D" w:rsidRDefault="00B75D57" w:rsidP="00437B23">
      <w:pPr>
        <w:pStyle w:val="1"/>
        <w:numPr>
          <w:ilvl w:val="0"/>
          <w:numId w:val="2"/>
        </w:numPr>
        <w:tabs>
          <w:tab w:val="left" w:pos="709"/>
        </w:tabs>
        <w:spacing w:before="120" w:after="120"/>
        <w:ind w:left="0" w:firstLine="0"/>
        <w:jc w:val="left"/>
        <w:rPr>
          <w:rFonts w:cs="Times New Roman"/>
          <w:sz w:val="24"/>
          <w:szCs w:val="24"/>
          <w:lang w:val="ro-MD"/>
        </w:rPr>
      </w:pPr>
      <w:r w:rsidRPr="00DD5F1D">
        <w:rPr>
          <w:rFonts w:cs="Times New Roman"/>
          <w:sz w:val="24"/>
          <w:szCs w:val="24"/>
          <w:lang w:val="ro-MD"/>
        </w:rPr>
        <w:t>ASPECTE-CHEIE DE AUDIT</w:t>
      </w:r>
      <w:bookmarkEnd w:id="3"/>
    </w:p>
    <w:p w14:paraId="6F8170A8" w14:textId="77777777" w:rsidR="00DC7C79" w:rsidRPr="00DD5F1D" w:rsidRDefault="00B75D57" w:rsidP="00DD3C9B">
      <w:pPr>
        <w:spacing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Aspectele-cheie de audit sunt acele aspecte care, în baza raționamentului nostru profesional, au avut cea mai mare importanță pentru auditul financiar al Raportului Guvernului privind executarea BASS în anul 202</w:t>
      </w:r>
      <w:r w:rsidR="00BF20A1" w:rsidRPr="00DD5F1D">
        <w:rPr>
          <w:rFonts w:ascii="Times New Roman" w:eastAsia="Calibri" w:hAnsi="Times New Roman" w:cs="Times New Roman"/>
          <w:sz w:val="24"/>
          <w:szCs w:val="24"/>
          <w:lang w:val="ro-MD"/>
        </w:rPr>
        <w:t>3</w:t>
      </w:r>
      <w:r w:rsidRPr="00DD5F1D">
        <w:rPr>
          <w:rFonts w:ascii="Times New Roman" w:eastAsia="Calibri" w:hAnsi="Times New Roman" w:cs="Times New Roman"/>
          <w:sz w:val="24"/>
          <w:szCs w:val="24"/>
          <w:lang w:val="ro-MD"/>
        </w:rPr>
        <w:t>. Aceste aspecte au fost abordate în contextul auditului situațiilor financiare în ansamblu şi în formarea opiniei asupra acestora și nu oferim o opinie separată cu privire la aceste aspecte. Considerăm că aspectele descrise mai jos, deși nu au influențat opinia de audit, reprezintă aspectele-cheie de audit care trebuie comunicate în Raportul nostru</w:t>
      </w:r>
      <w:r w:rsidR="00ED3A72" w:rsidRPr="00DD5F1D">
        <w:rPr>
          <w:rFonts w:ascii="Times New Roman" w:eastAsia="Calibri" w:hAnsi="Times New Roman" w:cs="Times New Roman"/>
          <w:sz w:val="24"/>
          <w:szCs w:val="24"/>
          <w:lang w:val="ro-MD"/>
        </w:rPr>
        <w:t>.</w:t>
      </w:r>
    </w:p>
    <w:p w14:paraId="53CBDD3C" w14:textId="713BE8E5" w:rsidR="00124098" w:rsidRPr="00DD5F1D" w:rsidRDefault="004F4EF4" w:rsidP="008309BE">
      <w:pPr>
        <w:pStyle w:val="aa"/>
        <w:numPr>
          <w:ilvl w:val="1"/>
          <w:numId w:val="2"/>
        </w:numPr>
        <w:spacing w:before="240" w:line="276" w:lineRule="auto"/>
        <w:ind w:left="0" w:firstLine="0"/>
        <w:jc w:val="both"/>
        <w:outlineLvl w:val="1"/>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Presiunea financiară asuprea BASS se menține accentuat, fiind înregistrat un deficit bugetar în creștere.</w:t>
      </w:r>
    </w:p>
    <w:p w14:paraId="4EF3188B" w14:textId="71492D0C" w:rsidR="00124098" w:rsidRPr="00DD5F1D" w:rsidRDefault="00124098" w:rsidP="00124098">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La finele anului 2023, numărul total de contribuabili, inclusiv cei care beneficiază de politici</w:t>
      </w:r>
      <w:r w:rsidR="007619BB" w:rsidRPr="00DD5F1D">
        <w:rPr>
          <w:rFonts w:ascii="Times New Roman" w:hAnsi="Times New Roman" w:cs="Times New Roman"/>
          <w:sz w:val="24"/>
          <w:szCs w:val="24"/>
          <w:lang w:val="ro-MD"/>
        </w:rPr>
        <w:t>le</w:t>
      </w:r>
      <w:r w:rsidRPr="00DD5F1D">
        <w:rPr>
          <w:rFonts w:ascii="Times New Roman" w:hAnsi="Times New Roman" w:cs="Times New Roman"/>
          <w:sz w:val="24"/>
          <w:szCs w:val="24"/>
          <w:lang w:val="ro-MD"/>
        </w:rPr>
        <w:t xml:space="preserve"> preferențiale, a constituit 811 402 de persoane, cu 6</w:t>
      </w:r>
      <w:r w:rsidR="007619BB"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270 </w:t>
      </w:r>
      <w:r w:rsidR="007619BB"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salariați mai mult decât în anul precedent (Anexa nr.</w:t>
      </w:r>
      <w:r w:rsidR="00AF491C" w:rsidRPr="00DD5F1D">
        <w:rPr>
          <w:rFonts w:ascii="Times New Roman" w:hAnsi="Times New Roman" w:cs="Times New Roman"/>
          <w:sz w:val="24"/>
          <w:szCs w:val="24"/>
          <w:lang w:val="ro-MD"/>
        </w:rPr>
        <w:t xml:space="preserve"> </w:t>
      </w:r>
      <w:r w:rsidR="000E2AC7" w:rsidRPr="00DD5F1D">
        <w:rPr>
          <w:rFonts w:ascii="Times New Roman" w:hAnsi="Times New Roman" w:cs="Times New Roman"/>
          <w:sz w:val="24"/>
          <w:szCs w:val="24"/>
          <w:lang w:val="ro-MD"/>
        </w:rPr>
        <w:t>6</w:t>
      </w:r>
      <w:r w:rsidR="007619BB" w:rsidRPr="00DD5F1D">
        <w:rPr>
          <w:rFonts w:ascii="Times New Roman" w:hAnsi="Times New Roman" w:cs="Times New Roman"/>
          <w:sz w:val="24"/>
          <w:szCs w:val="24"/>
          <w:lang w:val="ro-MD"/>
        </w:rPr>
        <w:t xml:space="preserve"> </w:t>
      </w:r>
      <w:r w:rsidR="007619BB" w:rsidRPr="00DD5F1D">
        <w:rPr>
          <w:rFonts w:ascii="Times New Roman" w:eastAsia="Times New Roman" w:hAnsi="Times New Roman" w:cs="Times New Roman"/>
          <w:sz w:val="24"/>
          <w:szCs w:val="24"/>
          <w:lang w:val="ro-MD"/>
        </w:rPr>
        <w:t>la prezentul Raport de audit</w:t>
      </w:r>
      <w:r w:rsidR="000E2AC7"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w:t>
      </w:r>
      <w:r w:rsidR="003445A9" w:rsidRPr="00DD5F1D">
        <w:rPr>
          <w:rFonts w:ascii="Times New Roman" w:hAnsi="Times New Roman" w:cs="Times New Roman"/>
          <w:sz w:val="24"/>
          <w:szCs w:val="24"/>
          <w:lang w:val="ro-MD"/>
        </w:rPr>
        <w:t>N</w:t>
      </w:r>
      <w:r w:rsidRPr="00DD5F1D">
        <w:rPr>
          <w:rFonts w:ascii="Times New Roman" w:hAnsi="Times New Roman" w:cs="Times New Roman"/>
          <w:sz w:val="24"/>
          <w:szCs w:val="24"/>
          <w:lang w:val="ro-MD"/>
        </w:rPr>
        <w:t>umărul contribuabililor din sistemul unic de calculare a contribuțiilor a constituit 736</w:t>
      </w:r>
      <w:r w:rsidR="007619BB"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029 de persoane</w:t>
      </w:r>
      <w:r w:rsidRPr="00DD5F1D">
        <w:rPr>
          <w:rStyle w:val="a5"/>
          <w:rFonts w:ascii="Times New Roman" w:hAnsi="Times New Roman" w:cs="Times New Roman"/>
          <w:sz w:val="24"/>
          <w:szCs w:val="24"/>
          <w:lang w:val="ro-MD"/>
        </w:rPr>
        <w:footnoteReference w:id="10"/>
      </w:r>
      <w:r w:rsidR="007619BB"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cu 1</w:t>
      </w:r>
      <w:r w:rsidR="007619BB"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56</w:t>
      </w:r>
      <w:r w:rsidR="00BC16F1" w:rsidRPr="00DD5F1D">
        <w:rPr>
          <w:rFonts w:ascii="Times New Roman" w:hAnsi="Times New Roman" w:cs="Times New Roman"/>
          <w:sz w:val="24"/>
          <w:szCs w:val="24"/>
          <w:lang w:val="ro-MD"/>
        </w:rPr>
        <w:t>2</w:t>
      </w:r>
      <w:r w:rsidRPr="00DD5F1D">
        <w:rPr>
          <w:rFonts w:ascii="Times New Roman" w:hAnsi="Times New Roman" w:cs="Times New Roman"/>
          <w:sz w:val="24"/>
          <w:szCs w:val="24"/>
          <w:lang w:val="ro-MD"/>
        </w:rPr>
        <w:t xml:space="preserve"> mai mult decât în anul precedent. Dintre aceștia, 554 610 </w:t>
      </w:r>
      <w:r w:rsidR="007619BB" w:rsidRPr="00DD5F1D">
        <w:rPr>
          <w:rFonts w:ascii="Times New Roman" w:hAnsi="Times New Roman" w:cs="Times New Roman"/>
          <w:sz w:val="24"/>
          <w:szCs w:val="24"/>
          <w:lang w:val="ro-MD"/>
        </w:rPr>
        <w:t>sunt</w:t>
      </w:r>
      <w:r w:rsidRPr="00DD5F1D">
        <w:rPr>
          <w:rFonts w:ascii="Times New Roman" w:hAnsi="Times New Roman" w:cs="Times New Roman"/>
          <w:sz w:val="24"/>
          <w:szCs w:val="24"/>
          <w:lang w:val="ro-MD"/>
        </w:rPr>
        <w:t xml:space="preserve"> salariați (cu 1</w:t>
      </w:r>
      <w:r w:rsidR="007619BB"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988 mai mulți decât în anul 2022) din cadrul sectorului privat, instituțiilor de învățământ superior și instituțiilor medico-sanitare care achită la BASS 24% de la baza de calcul a salarizării, iar 181 419 sunt salariați din sectorul bugetar care achită contribuții în valoare de 29% de la baza de calcul, numărul fiind în diminuare cu 4</w:t>
      </w:r>
      <w:r w:rsidR="00BC16F1" w:rsidRPr="00DD5F1D">
        <w:rPr>
          <w:rFonts w:ascii="Times New Roman" w:hAnsi="Times New Roman" w:cs="Times New Roman"/>
          <w:sz w:val="24"/>
          <w:szCs w:val="24"/>
          <w:lang w:val="ro-MD"/>
        </w:rPr>
        <w:t>26</w:t>
      </w:r>
      <w:r w:rsidRPr="00DD5F1D">
        <w:rPr>
          <w:rFonts w:ascii="Times New Roman" w:hAnsi="Times New Roman" w:cs="Times New Roman"/>
          <w:sz w:val="24"/>
          <w:szCs w:val="24"/>
          <w:lang w:val="ro-MD"/>
        </w:rPr>
        <w:t xml:space="preserve"> </w:t>
      </w:r>
      <w:r w:rsidR="007619BB"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salariați. Astfel, în economia țării</w:t>
      </w:r>
      <w:r w:rsidR="004E7C08"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circa 77% </w:t>
      </w:r>
      <w:r w:rsidR="007619BB" w:rsidRPr="00DD5F1D">
        <w:rPr>
          <w:rFonts w:ascii="Times New Roman" w:hAnsi="Times New Roman" w:cs="Times New Roman"/>
          <w:sz w:val="24"/>
          <w:szCs w:val="24"/>
          <w:lang w:val="ro-MD"/>
        </w:rPr>
        <w:t xml:space="preserve">din </w:t>
      </w:r>
      <w:r w:rsidRPr="00DD5F1D">
        <w:rPr>
          <w:rFonts w:ascii="Times New Roman" w:hAnsi="Times New Roman" w:cs="Times New Roman"/>
          <w:sz w:val="24"/>
          <w:szCs w:val="24"/>
          <w:lang w:val="ro-MD"/>
        </w:rPr>
        <w:t>salariați au fost din sectorul real, iar 23%</w:t>
      </w:r>
      <w:r w:rsidR="004E7C08" w:rsidRPr="00DD5F1D">
        <w:rPr>
          <w:rFonts w:ascii="Times New Roman" w:hAnsi="Times New Roman" w:cs="Times New Roman"/>
          <w:sz w:val="24"/>
          <w:szCs w:val="24"/>
          <w:lang w:val="ro-MD"/>
        </w:rPr>
        <w:t xml:space="preserve">– </w:t>
      </w:r>
      <w:r w:rsidR="007619BB" w:rsidRPr="00DD5F1D">
        <w:rPr>
          <w:rFonts w:ascii="Times New Roman" w:hAnsi="Times New Roman" w:cs="Times New Roman"/>
          <w:sz w:val="24"/>
          <w:szCs w:val="24"/>
          <w:lang w:val="ro-MD"/>
        </w:rPr>
        <w:t>di</w:t>
      </w:r>
      <w:r w:rsidRPr="00DD5F1D">
        <w:rPr>
          <w:rFonts w:ascii="Times New Roman" w:hAnsi="Times New Roman" w:cs="Times New Roman"/>
          <w:sz w:val="24"/>
          <w:szCs w:val="24"/>
          <w:lang w:val="ro-MD"/>
        </w:rPr>
        <w:t>n sectorul bugetar</w:t>
      </w:r>
      <w:r w:rsidR="007619BB" w:rsidRPr="00DD5F1D">
        <w:rPr>
          <w:rFonts w:ascii="Times New Roman" w:hAnsi="Times New Roman" w:cs="Times New Roman"/>
          <w:sz w:val="24"/>
          <w:szCs w:val="24"/>
          <w:lang w:val="ro-MD"/>
        </w:rPr>
        <w:t>.</w:t>
      </w:r>
    </w:p>
    <w:p w14:paraId="5F016CDA" w14:textId="60A4E946" w:rsidR="00124098" w:rsidRPr="00DD5F1D" w:rsidRDefault="00124098" w:rsidP="00124098">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Cu referire la numărul de contribuabili care beneficiază de politici preferențiale aferent contribuțiilor de asigurări sociale, </w:t>
      </w:r>
      <w:r w:rsidR="004E7C08" w:rsidRPr="00DD5F1D">
        <w:rPr>
          <w:rFonts w:ascii="Times New Roman" w:hAnsi="Times New Roman" w:cs="Times New Roman"/>
          <w:sz w:val="24"/>
          <w:szCs w:val="24"/>
          <w:lang w:val="ro-MD"/>
        </w:rPr>
        <w:t xml:space="preserve">se </w:t>
      </w:r>
      <w:r w:rsidRPr="00DD5F1D">
        <w:rPr>
          <w:rFonts w:ascii="Times New Roman" w:hAnsi="Times New Roman" w:cs="Times New Roman"/>
          <w:sz w:val="24"/>
          <w:szCs w:val="24"/>
          <w:lang w:val="ro-MD"/>
        </w:rPr>
        <w:t>denotă că numărul total al acestora la finele anului 2023 a constituit 75</w:t>
      </w:r>
      <w:r w:rsidR="00431E6D" w:rsidRPr="00DD5F1D">
        <w:rPr>
          <w:rFonts w:ascii="Times New Roman" w:hAnsi="Times New Roman" w:cs="Times New Roman"/>
          <w:sz w:val="24"/>
          <w:szCs w:val="24"/>
          <w:lang w:val="ro-MD"/>
        </w:rPr>
        <w:t xml:space="preserve"> 373 </w:t>
      </w:r>
      <w:r w:rsidR="004E7C08" w:rsidRPr="00DD5F1D">
        <w:rPr>
          <w:rFonts w:ascii="Times New Roman" w:hAnsi="Times New Roman" w:cs="Times New Roman"/>
          <w:sz w:val="24"/>
          <w:szCs w:val="24"/>
          <w:lang w:val="ro-MD"/>
        </w:rPr>
        <w:t xml:space="preserve">de </w:t>
      </w:r>
      <w:r w:rsidR="00431E6D" w:rsidRPr="00DD5F1D">
        <w:rPr>
          <w:rFonts w:ascii="Times New Roman" w:hAnsi="Times New Roman" w:cs="Times New Roman"/>
          <w:sz w:val="24"/>
          <w:szCs w:val="24"/>
          <w:lang w:val="ro-MD"/>
        </w:rPr>
        <w:t xml:space="preserve">beneficiari, cu 4 </w:t>
      </w:r>
      <w:r w:rsidRPr="00DD5F1D">
        <w:rPr>
          <w:rFonts w:ascii="Times New Roman" w:hAnsi="Times New Roman" w:cs="Times New Roman"/>
          <w:sz w:val="24"/>
          <w:szCs w:val="24"/>
          <w:lang w:val="ro-MD"/>
        </w:rPr>
        <w:t xml:space="preserve">708 </w:t>
      </w:r>
      <w:r w:rsidR="00431E6D" w:rsidRPr="00DD5F1D">
        <w:rPr>
          <w:rFonts w:ascii="Times New Roman" w:hAnsi="Times New Roman" w:cs="Times New Roman"/>
          <w:sz w:val="24"/>
          <w:szCs w:val="24"/>
          <w:lang w:val="ro-MD"/>
        </w:rPr>
        <w:t xml:space="preserve">beneficiari </w:t>
      </w:r>
      <w:r w:rsidRPr="00DD5F1D">
        <w:rPr>
          <w:rFonts w:ascii="Times New Roman" w:hAnsi="Times New Roman" w:cs="Times New Roman"/>
          <w:sz w:val="24"/>
          <w:szCs w:val="24"/>
          <w:lang w:val="ro-MD"/>
        </w:rPr>
        <w:t>mai mul</w:t>
      </w:r>
      <w:r w:rsidR="00431E6D" w:rsidRPr="00DD5F1D">
        <w:rPr>
          <w:rFonts w:ascii="Times New Roman" w:hAnsi="Times New Roman" w:cs="Times New Roman"/>
          <w:sz w:val="24"/>
          <w:szCs w:val="24"/>
          <w:lang w:val="ro-MD"/>
        </w:rPr>
        <w:t>t</w:t>
      </w:r>
      <w:r w:rsidRPr="00DD5F1D">
        <w:rPr>
          <w:rFonts w:ascii="Times New Roman" w:hAnsi="Times New Roman" w:cs="Times New Roman"/>
          <w:sz w:val="24"/>
          <w:szCs w:val="24"/>
          <w:lang w:val="ro-MD"/>
        </w:rPr>
        <w:t xml:space="preserve"> decât în anul precede</w:t>
      </w:r>
      <w:r w:rsidR="00AF491C" w:rsidRPr="00DD5F1D">
        <w:rPr>
          <w:rFonts w:ascii="Times New Roman" w:hAnsi="Times New Roman" w:cs="Times New Roman"/>
          <w:sz w:val="24"/>
          <w:szCs w:val="24"/>
          <w:lang w:val="ro-MD"/>
        </w:rPr>
        <w:t>nt, tipurile ș</w:t>
      </w:r>
      <w:r w:rsidRPr="00DD5F1D">
        <w:rPr>
          <w:rFonts w:ascii="Times New Roman" w:hAnsi="Times New Roman" w:cs="Times New Roman"/>
          <w:sz w:val="24"/>
          <w:szCs w:val="24"/>
          <w:lang w:val="ro-MD"/>
        </w:rPr>
        <w:t xml:space="preserve">i numărul acestora fiind redat în tabelul de mai jos: </w:t>
      </w:r>
    </w:p>
    <w:p w14:paraId="54B9D7A9" w14:textId="77777777" w:rsidR="00124098" w:rsidRPr="00DD5F1D" w:rsidRDefault="00124098" w:rsidP="00124098">
      <w:pPr>
        <w:spacing w:after="0" w:line="276" w:lineRule="auto"/>
        <w:jc w:val="right"/>
        <w:rPr>
          <w:rFonts w:ascii="Times New Roman" w:hAnsi="Times New Roman" w:cs="Times New Roman"/>
          <w:b/>
          <w:szCs w:val="24"/>
          <w:lang w:val="ro-MD"/>
        </w:rPr>
      </w:pPr>
      <w:r w:rsidRPr="00DD5F1D">
        <w:rPr>
          <w:rFonts w:ascii="Times New Roman" w:hAnsi="Times New Roman" w:cs="Times New Roman"/>
          <w:b/>
          <w:szCs w:val="24"/>
          <w:lang w:val="ro-MD"/>
        </w:rPr>
        <w:t>Tabel</w:t>
      </w:r>
      <w:r w:rsidR="00AF491C" w:rsidRPr="00DD5F1D">
        <w:rPr>
          <w:rFonts w:ascii="Times New Roman" w:hAnsi="Times New Roman" w:cs="Times New Roman"/>
          <w:b/>
          <w:szCs w:val="24"/>
          <w:lang w:val="ro-MD"/>
        </w:rPr>
        <w:t>ul</w:t>
      </w:r>
      <w:r w:rsidRPr="00DD5F1D">
        <w:rPr>
          <w:rFonts w:ascii="Times New Roman" w:hAnsi="Times New Roman" w:cs="Times New Roman"/>
          <w:b/>
          <w:szCs w:val="24"/>
          <w:lang w:val="ro-MD"/>
        </w:rPr>
        <w:t xml:space="preserve"> nr.</w:t>
      </w:r>
      <w:r w:rsidR="00190567" w:rsidRPr="00DD5F1D">
        <w:rPr>
          <w:rFonts w:ascii="Times New Roman" w:hAnsi="Times New Roman" w:cs="Times New Roman"/>
          <w:b/>
          <w:szCs w:val="24"/>
          <w:lang w:val="ro-MD"/>
        </w:rPr>
        <w:t xml:space="preserve"> 2</w:t>
      </w:r>
    </w:p>
    <w:p w14:paraId="789360E2" w14:textId="77777777" w:rsidR="00124098" w:rsidRPr="00DD5F1D" w:rsidRDefault="00124098" w:rsidP="00124098">
      <w:pPr>
        <w:spacing w:after="0" w:line="276" w:lineRule="auto"/>
        <w:jc w:val="center"/>
        <w:rPr>
          <w:rFonts w:ascii="Times New Roman" w:hAnsi="Times New Roman" w:cs="Times New Roman"/>
          <w:b/>
          <w:sz w:val="20"/>
          <w:szCs w:val="24"/>
          <w:lang w:val="ro-MD"/>
        </w:rPr>
      </w:pPr>
      <w:r w:rsidRPr="00DD5F1D">
        <w:rPr>
          <w:rFonts w:ascii="Times New Roman" w:hAnsi="Times New Roman" w:cs="Times New Roman"/>
          <w:b/>
          <w:szCs w:val="24"/>
          <w:lang w:val="ro-MD"/>
        </w:rPr>
        <w:t>Numărul de contribuabili încadrați în sistemul public de asigurări sociale, persoane</w:t>
      </w:r>
    </w:p>
    <w:tbl>
      <w:tblPr>
        <w:tblW w:w="5000" w:type="pct"/>
        <w:tblLook w:val="04A0" w:firstRow="1" w:lastRow="0" w:firstColumn="1" w:lastColumn="0" w:noHBand="0" w:noVBand="1"/>
      </w:tblPr>
      <w:tblGrid>
        <w:gridCol w:w="5683"/>
        <w:gridCol w:w="990"/>
        <w:gridCol w:w="1020"/>
        <w:gridCol w:w="1020"/>
        <w:gridCol w:w="1311"/>
      </w:tblGrid>
      <w:tr w:rsidR="00124098" w:rsidRPr="00DD5F1D" w14:paraId="285DA04B" w14:textId="77777777" w:rsidTr="00AF491C">
        <w:trPr>
          <w:trHeight w:val="20"/>
        </w:trPr>
        <w:tc>
          <w:tcPr>
            <w:tcW w:w="2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8ACEC" w14:textId="77777777" w:rsidR="00124098" w:rsidRPr="00DD5F1D" w:rsidRDefault="00124098" w:rsidP="00190567">
            <w:pPr>
              <w:spacing w:after="0" w:line="240" w:lineRule="auto"/>
              <w:jc w:val="center"/>
              <w:rPr>
                <w:rFonts w:ascii="Times New Roman" w:eastAsia="Times New Roman" w:hAnsi="Times New Roman" w:cs="Times New Roman"/>
                <w:b/>
                <w:color w:val="000000" w:themeColor="text1"/>
                <w:sz w:val="20"/>
                <w:szCs w:val="20"/>
                <w:lang w:val="ro-MD"/>
              </w:rPr>
            </w:pPr>
            <w:r w:rsidRPr="00DD5F1D">
              <w:rPr>
                <w:rFonts w:ascii="Times New Roman" w:eastAsia="Times New Roman" w:hAnsi="Times New Roman" w:cs="Times New Roman"/>
                <w:b/>
                <w:color w:val="000000" w:themeColor="text1"/>
                <w:sz w:val="20"/>
                <w:szCs w:val="20"/>
                <w:lang w:val="ro-MD"/>
              </w:rPr>
              <w:t>Tipuri de contribuabili</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070EA617" w14:textId="77777777" w:rsidR="00124098" w:rsidRPr="00DD5F1D" w:rsidRDefault="00124098" w:rsidP="00190567">
            <w:pPr>
              <w:spacing w:after="0" w:line="240" w:lineRule="auto"/>
              <w:jc w:val="center"/>
              <w:rPr>
                <w:rFonts w:ascii="Times New Roman" w:eastAsia="Times New Roman" w:hAnsi="Times New Roman" w:cs="Times New Roman"/>
                <w:b/>
                <w:color w:val="000000" w:themeColor="text1"/>
                <w:sz w:val="20"/>
                <w:szCs w:val="20"/>
                <w:lang w:val="ro-MD"/>
              </w:rPr>
            </w:pPr>
            <w:r w:rsidRPr="00DD5F1D">
              <w:rPr>
                <w:rFonts w:ascii="Times New Roman" w:eastAsia="Times New Roman" w:hAnsi="Times New Roman" w:cs="Times New Roman"/>
                <w:b/>
                <w:color w:val="000000" w:themeColor="text1"/>
                <w:sz w:val="20"/>
                <w:szCs w:val="20"/>
                <w:lang w:val="ro-MD"/>
              </w:rPr>
              <w:t>2021</w:t>
            </w:r>
          </w:p>
        </w:tc>
        <w:tc>
          <w:tcPr>
            <w:tcW w:w="509" w:type="pct"/>
            <w:tcBorders>
              <w:top w:val="single" w:sz="4" w:space="0" w:color="auto"/>
              <w:left w:val="nil"/>
              <w:bottom w:val="single" w:sz="4" w:space="0" w:color="auto"/>
              <w:right w:val="single" w:sz="4" w:space="0" w:color="auto"/>
            </w:tcBorders>
            <w:shd w:val="clear" w:color="auto" w:fill="auto"/>
            <w:vAlign w:val="center"/>
            <w:hideMark/>
          </w:tcPr>
          <w:p w14:paraId="5806775A" w14:textId="77777777" w:rsidR="00124098" w:rsidRPr="00DD5F1D" w:rsidRDefault="00124098" w:rsidP="00190567">
            <w:pPr>
              <w:spacing w:after="0" w:line="240" w:lineRule="auto"/>
              <w:jc w:val="center"/>
              <w:rPr>
                <w:rFonts w:ascii="Times New Roman" w:eastAsia="Times New Roman" w:hAnsi="Times New Roman" w:cs="Times New Roman"/>
                <w:b/>
                <w:color w:val="000000" w:themeColor="text1"/>
                <w:sz w:val="20"/>
                <w:szCs w:val="20"/>
                <w:lang w:val="ro-MD"/>
              </w:rPr>
            </w:pPr>
            <w:r w:rsidRPr="00DD5F1D">
              <w:rPr>
                <w:rFonts w:ascii="Times New Roman" w:eastAsia="Times New Roman" w:hAnsi="Times New Roman" w:cs="Times New Roman"/>
                <w:b/>
                <w:color w:val="000000" w:themeColor="text1"/>
                <w:sz w:val="20"/>
                <w:szCs w:val="20"/>
                <w:lang w:val="ro-MD"/>
              </w:rPr>
              <w:t>2022</w:t>
            </w:r>
          </w:p>
        </w:tc>
        <w:tc>
          <w:tcPr>
            <w:tcW w:w="509" w:type="pct"/>
            <w:tcBorders>
              <w:top w:val="single" w:sz="4" w:space="0" w:color="auto"/>
              <w:left w:val="nil"/>
              <w:bottom w:val="single" w:sz="4" w:space="0" w:color="auto"/>
              <w:right w:val="single" w:sz="4" w:space="0" w:color="auto"/>
            </w:tcBorders>
            <w:shd w:val="clear" w:color="auto" w:fill="auto"/>
            <w:vAlign w:val="center"/>
            <w:hideMark/>
          </w:tcPr>
          <w:p w14:paraId="0B1D9DFA" w14:textId="77777777" w:rsidR="00124098" w:rsidRPr="00DD5F1D" w:rsidRDefault="00124098" w:rsidP="00190567">
            <w:pPr>
              <w:spacing w:after="0" w:line="240" w:lineRule="auto"/>
              <w:jc w:val="center"/>
              <w:rPr>
                <w:rFonts w:ascii="Times New Roman" w:eastAsia="Times New Roman" w:hAnsi="Times New Roman" w:cs="Times New Roman"/>
                <w:b/>
                <w:color w:val="000000" w:themeColor="text1"/>
                <w:sz w:val="20"/>
                <w:szCs w:val="20"/>
                <w:lang w:val="ro-MD"/>
              </w:rPr>
            </w:pPr>
            <w:r w:rsidRPr="00DD5F1D">
              <w:rPr>
                <w:rFonts w:ascii="Times New Roman" w:eastAsia="Times New Roman" w:hAnsi="Times New Roman" w:cs="Times New Roman"/>
                <w:b/>
                <w:color w:val="000000" w:themeColor="text1"/>
                <w:sz w:val="20"/>
                <w:szCs w:val="20"/>
                <w:lang w:val="ro-MD"/>
              </w:rPr>
              <w:t>2023</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0A4230FA" w14:textId="77777777" w:rsidR="00124098" w:rsidRPr="00DD5F1D" w:rsidRDefault="00124098" w:rsidP="00190567">
            <w:pPr>
              <w:spacing w:after="0" w:line="240" w:lineRule="auto"/>
              <w:jc w:val="center"/>
              <w:rPr>
                <w:rFonts w:ascii="Times New Roman" w:eastAsia="Times New Roman" w:hAnsi="Times New Roman" w:cs="Times New Roman"/>
                <w:b/>
                <w:color w:val="000000" w:themeColor="text1"/>
                <w:sz w:val="20"/>
                <w:szCs w:val="20"/>
                <w:lang w:val="ro-MD"/>
              </w:rPr>
            </w:pPr>
            <w:r w:rsidRPr="00DD5F1D">
              <w:rPr>
                <w:rFonts w:ascii="Times New Roman" w:eastAsia="Times New Roman" w:hAnsi="Times New Roman" w:cs="Times New Roman"/>
                <w:b/>
                <w:color w:val="000000" w:themeColor="text1"/>
                <w:sz w:val="20"/>
                <w:szCs w:val="20"/>
                <w:lang w:val="ro-MD"/>
              </w:rPr>
              <w:t>Diferențe 2023/2022</w:t>
            </w:r>
          </w:p>
        </w:tc>
      </w:tr>
      <w:tr w:rsidR="00124098" w:rsidRPr="00DD5F1D" w14:paraId="5A4CE606"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2ADB1CF0" w14:textId="77777777" w:rsidR="00124098" w:rsidRPr="00DD5F1D" w:rsidRDefault="00124098" w:rsidP="00A4476B">
            <w:pPr>
              <w:spacing w:after="0" w:line="240" w:lineRule="auto"/>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Sistemul unic de asigurări sociale, inclusiv:</w:t>
            </w:r>
          </w:p>
        </w:tc>
        <w:tc>
          <w:tcPr>
            <w:tcW w:w="494" w:type="pct"/>
            <w:tcBorders>
              <w:top w:val="nil"/>
              <w:left w:val="nil"/>
              <w:bottom w:val="single" w:sz="4" w:space="0" w:color="auto"/>
              <w:right w:val="single" w:sz="4" w:space="0" w:color="auto"/>
            </w:tcBorders>
            <w:shd w:val="clear" w:color="auto" w:fill="auto"/>
            <w:vAlign w:val="center"/>
            <w:hideMark/>
          </w:tcPr>
          <w:p w14:paraId="32F1E5CD"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736004</w:t>
            </w:r>
          </w:p>
        </w:tc>
        <w:tc>
          <w:tcPr>
            <w:tcW w:w="509" w:type="pct"/>
            <w:tcBorders>
              <w:top w:val="nil"/>
              <w:left w:val="nil"/>
              <w:bottom w:val="single" w:sz="4" w:space="0" w:color="auto"/>
              <w:right w:val="single" w:sz="4" w:space="0" w:color="auto"/>
            </w:tcBorders>
            <w:shd w:val="clear" w:color="auto" w:fill="auto"/>
            <w:vAlign w:val="center"/>
            <w:hideMark/>
          </w:tcPr>
          <w:p w14:paraId="0509AF4F"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734467</w:t>
            </w:r>
          </w:p>
        </w:tc>
        <w:tc>
          <w:tcPr>
            <w:tcW w:w="509" w:type="pct"/>
            <w:tcBorders>
              <w:top w:val="nil"/>
              <w:left w:val="nil"/>
              <w:bottom w:val="single" w:sz="4" w:space="0" w:color="auto"/>
              <w:right w:val="single" w:sz="4" w:space="0" w:color="auto"/>
            </w:tcBorders>
            <w:shd w:val="clear" w:color="auto" w:fill="auto"/>
            <w:vAlign w:val="center"/>
            <w:hideMark/>
          </w:tcPr>
          <w:p w14:paraId="5F972843"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736029</w:t>
            </w:r>
          </w:p>
        </w:tc>
        <w:tc>
          <w:tcPr>
            <w:tcW w:w="654" w:type="pct"/>
            <w:tcBorders>
              <w:top w:val="nil"/>
              <w:left w:val="nil"/>
              <w:bottom w:val="single" w:sz="4" w:space="0" w:color="auto"/>
              <w:right w:val="single" w:sz="4" w:space="0" w:color="auto"/>
            </w:tcBorders>
            <w:shd w:val="clear" w:color="auto" w:fill="auto"/>
            <w:vAlign w:val="center"/>
            <w:hideMark/>
          </w:tcPr>
          <w:p w14:paraId="44F085E1"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1562</w:t>
            </w:r>
          </w:p>
        </w:tc>
      </w:tr>
      <w:tr w:rsidR="00124098" w:rsidRPr="00DD5F1D" w14:paraId="3A0ECFC0"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5321537D" w14:textId="77777777" w:rsidR="00124098" w:rsidRPr="00DD5F1D" w:rsidRDefault="00124098" w:rsidP="00A4476B">
            <w:pPr>
              <w:spacing w:after="0" w:line="240" w:lineRule="auto"/>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Sectorul bugetar - 29 %</w:t>
            </w:r>
          </w:p>
        </w:tc>
        <w:tc>
          <w:tcPr>
            <w:tcW w:w="494" w:type="pct"/>
            <w:tcBorders>
              <w:top w:val="nil"/>
              <w:left w:val="nil"/>
              <w:bottom w:val="single" w:sz="4" w:space="0" w:color="auto"/>
              <w:right w:val="single" w:sz="4" w:space="0" w:color="auto"/>
            </w:tcBorders>
            <w:shd w:val="clear" w:color="auto" w:fill="auto"/>
            <w:vAlign w:val="center"/>
            <w:hideMark/>
          </w:tcPr>
          <w:p w14:paraId="408CBE0C"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185235</w:t>
            </w:r>
          </w:p>
        </w:tc>
        <w:tc>
          <w:tcPr>
            <w:tcW w:w="509" w:type="pct"/>
            <w:tcBorders>
              <w:top w:val="nil"/>
              <w:left w:val="nil"/>
              <w:bottom w:val="single" w:sz="4" w:space="0" w:color="auto"/>
              <w:right w:val="single" w:sz="4" w:space="0" w:color="auto"/>
            </w:tcBorders>
            <w:shd w:val="clear" w:color="auto" w:fill="auto"/>
            <w:vAlign w:val="center"/>
            <w:hideMark/>
          </w:tcPr>
          <w:p w14:paraId="7263B1D1"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181845</w:t>
            </w:r>
          </w:p>
        </w:tc>
        <w:tc>
          <w:tcPr>
            <w:tcW w:w="509" w:type="pct"/>
            <w:tcBorders>
              <w:top w:val="nil"/>
              <w:left w:val="nil"/>
              <w:bottom w:val="single" w:sz="4" w:space="0" w:color="auto"/>
              <w:right w:val="single" w:sz="4" w:space="0" w:color="auto"/>
            </w:tcBorders>
            <w:shd w:val="clear" w:color="auto" w:fill="auto"/>
            <w:vAlign w:val="center"/>
            <w:hideMark/>
          </w:tcPr>
          <w:p w14:paraId="75A9887F"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181419</w:t>
            </w:r>
          </w:p>
        </w:tc>
        <w:tc>
          <w:tcPr>
            <w:tcW w:w="654" w:type="pct"/>
            <w:tcBorders>
              <w:top w:val="nil"/>
              <w:left w:val="nil"/>
              <w:bottom w:val="single" w:sz="4" w:space="0" w:color="auto"/>
              <w:right w:val="single" w:sz="4" w:space="0" w:color="auto"/>
            </w:tcBorders>
            <w:shd w:val="clear" w:color="auto" w:fill="auto"/>
            <w:vAlign w:val="center"/>
            <w:hideMark/>
          </w:tcPr>
          <w:p w14:paraId="03E66DCC"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-426</w:t>
            </w:r>
          </w:p>
        </w:tc>
      </w:tr>
      <w:tr w:rsidR="00124098" w:rsidRPr="00DD5F1D" w14:paraId="6602064F"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6544CBC5" w14:textId="77777777" w:rsidR="00124098" w:rsidRPr="00DD5F1D" w:rsidRDefault="00124098" w:rsidP="00A4476B">
            <w:pPr>
              <w:spacing w:after="0" w:line="240" w:lineRule="auto"/>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Sectorul privat - 24 %</w:t>
            </w:r>
          </w:p>
        </w:tc>
        <w:tc>
          <w:tcPr>
            <w:tcW w:w="494" w:type="pct"/>
            <w:tcBorders>
              <w:top w:val="nil"/>
              <w:left w:val="nil"/>
              <w:bottom w:val="single" w:sz="4" w:space="0" w:color="auto"/>
              <w:right w:val="single" w:sz="4" w:space="0" w:color="auto"/>
            </w:tcBorders>
            <w:shd w:val="clear" w:color="auto" w:fill="auto"/>
            <w:vAlign w:val="center"/>
            <w:hideMark/>
          </w:tcPr>
          <w:p w14:paraId="1B4A284C"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550769</w:t>
            </w:r>
          </w:p>
        </w:tc>
        <w:tc>
          <w:tcPr>
            <w:tcW w:w="509" w:type="pct"/>
            <w:tcBorders>
              <w:top w:val="nil"/>
              <w:left w:val="nil"/>
              <w:bottom w:val="single" w:sz="4" w:space="0" w:color="auto"/>
              <w:right w:val="single" w:sz="4" w:space="0" w:color="auto"/>
            </w:tcBorders>
            <w:shd w:val="clear" w:color="auto" w:fill="auto"/>
            <w:vAlign w:val="center"/>
            <w:hideMark/>
          </w:tcPr>
          <w:p w14:paraId="06F8BC63"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552622</w:t>
            </w:r>
          </w:p>
        </w:tc>
        <w:tc>
          <w:tcPr>
            <w:tcW w:w="509" w:type="pct"/>
            <w:tcBorders>
              <w:top w:val="nil"/>
              <w:left w:val="nil"/>
              <w:bottom w:val="single" w:sz="4" w:space="0" w:color="auto"/>
              <w:right w:val="single" w:sz="4" w:space="0" w:color="auto"/>
            </w:tcBorders>
            <w:shd w:val="clear" w:color="auto" w:fill="auto"/>
            <w:vAlign w:val="center"/>
            <w:hideMark/>
          </w:tcPr>
          <w:p w14:paraId="0F5FCE1A"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554610</w:t>
            </w:r>
          </w:p>
        </w:tc>
        <w:tc>
          <w:tcPr>
            <w:tcW w:w="654" w:type="pct"/>
            <w:tcBorders>
              <w:top w:val="nil"/>
              <w:left w:val="nil"/>
              <w:bottom w:val="single" w:sz="4" w:space="0" w:color="auto"/>
              <w:right w:val="single" w:sz="4" w:space="0" w:color="auto"/>
            </w:tcBorders>
            <w:shd w:val="clear" w:color="auto" w:fill="auto"/>
            <w:vAlign w:val="center"/>
            <w:hideMark/>
          </w:tcPr>
          <w:p w14:paraId="69726E65"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1988</w:t>
            </w:r>
          </w:p>
        </w:tc>
      </w:tr>
      <w:tr w:rsidR="00124098" w:rsidRPr="00DD5F1D" w14:paraId="086CB083"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76B8FAEF" w14:textId="77777777" w:rsidR="00124098" w:rsidRPr="00DD5F1D" w:rsidRDefault="00124098" w:rsidP="00A4476B">
            <w:pPr>
              <w:spacing w:after="0" w:line="240" w:lineRule="auto"/>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Alte categorii de contribuabili, inclusiv sisteme preferențiale</w:t>
            </w:r>
          </w:p>
        </w:tc>
        <w:tc>
          <w:tcPr>
            <w:tcW w:w="494" w:type="pct"/>
            <w:tcBorders>
              <w:top w:val="nil"/>
              <w:left w:val="nil"/>
              <w:bottom w:val="single" w:sz="4" w:space="0" w:color="auto"/>
              <w:right w:val="single" w:sz="4" w:space="0" w:color="auto"/>
            </w:tcBorders>
            <w:shd w:val="clear" w:color="auto" w:fill="auto"/>
            <w:vAlign w:val="center"/>
            <w:hideMark/>
          </w:tcPr>
          <w:p w14:paraId="317F94CB"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70173</w:t>
            </w:r>
          </w:p>
        </w:tc>
        <w:tc>
          <w:tcPr>
            <w:tcW w:w="509" w:type="pct"/>
            <w:tcBorders>
              <w:top w:val="nil"/>
              <w:left w:val="nil"/>
              <w:bottom w:val="single" w:sz="4" w:space="0" w:color="auto"/>
              <w:right w:val="single" w:sz="4" w:space="0" w:color="auto"/>
            </w:tcBorders>
            <w:shd w:val="clear" w:color="auto" w:fill="auto"/>
            <w:vAlign w:val="center"/>
            <w:hideMark/>
          </w:tcPr>
          <w:p w14:paraId="067BEDDE"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70665</w:t>
            </w:r>
          </w:p>
        </w:tc>
        <w:tc>
          <w:tcPr>
            <w:tcW w:w="509" w:type="pct"/>
            <w:tcBorders>
              <w:top w:val="nil"/>
              <w:left w:val="nil"/>
              <w:bottom w:val="single" w:sz="4" w:space="0" w:color="auto"/>
              <w:right w:val="single" w:sz="4" w:space="0" w:color="auto"/>
            </w:tcBorders>
            <w:shd w:val="clear" w:color="auto" w:fill="auto"/>
            <w:vAlign w:val="center"/>
            <w:hideMark/>
          </w:tcPr>
          <w:p w14:paraId="5B610103"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75373</w:t>
            </w:r>
          </w:p>
        </w:tc>
        <w:tc>
          <w:tcPr>
            <w:tcW w:w="654" w:type="pct"/>
            <w:tcBorders>
              <w:top w:val="nil"/>
              <w:left w:val="nil"/>
              <w:bottom w:val="single" w:sz="4" w:space="0" w:color="auto"/>
              <w:right w:val="single" w:sz="4" w:space="0" w:color="auto"/>
            </w:tcBorders>
            <w:shd w:val="clear" w:color="auto" w:fill="auto"/>
            <w:vAlign w:val="center"/>
            <w:hideMark/>
          </w:tcPr>
          <w:p w14:paraId="3370C61A"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4708</w:t>
            </w:r>
          </w:p>
        </w:tc>
      </w:tr>
      <w:tr w:rsidR="00124098" w:rsidRPr="00DD5F1D" w14:paraId="18EAF50F"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4CBC35A1" w14:textId="77777777" w:rsidR="00124098" w:rsidRPr="00DD5F1D" w:rsidRDefault="00124098" w:rsidP="00A4476B">
            <w:pPr>
              <w:spacing w:after="0" w:line="240" w:lineRule="auto"/>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Medici (24 % din venitul obținut)</w:t>
            </w:r>
          </w:p>
        </w:tc>
        <w:tc>
          <w:tcPr>
            <w:tcW w:w="494" w:type="pct"/>
            <w:tcBorders>
              <w:top w:val="nil"/>
              <w:left w:val="nil"/>
              <w:bottom w:val="single" w:sz="4" w:space="0" w:color="auto"/>
              <w:right w:val="single" w:sz="4" w:space="0" w:color="auto"/>
            </w:tcBorders>
            <w:shd w:val="clear" w:color="auto" w:fill="auto"/>
            <w:vAlign w:val="center"/>
            <w:hideMark/>
          </w:tcPr>
          <w:p w14:paraId="6B62497D"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45</w:t>
            </w:r>
          </w:p>
        </w:tc>
        <w:tc>
          <w:tcPr>
            <w:tcW w:w="509" w:type="pct"/>
            <w:tcBorders>
              <w:top w:val="nil"/>
              <w:left w:val="nil"/>
              <w:bottom w:val="single" w:sz="4" w:space="0" w:color="auto"/>
              <w:right w:val="single" w:sz="4" w:space="0" w:color="auto"/>
            </w:tcBorders>
            <w:shd w:val="clear" w:color="auto" w:fill="auto"/>
            <w:vAlign w:val="center"/>
            <w:hideMark/>
          </w:tcPr>
          <w:p w14:paraId="34AA1EBF"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39</w:t>
            </w:r>
          </w:p>
        </w:tc>
        <w:tc>
          <w:tcPr>
            <w:tcW w:w="509" w:type="pct"/>
            <w:tcBorders>
              <w:top w:val="nil"/>
              <w:left w:val="nil"/>
              <w:bottom w:val="single" w:sz="4" w:space="0" w:color="auto"/>
              <w:right w:val="single" w:sz="4" w:space="0" w:color="auto"/>
            </w:tcBorders>
            <w:shd w:val="clear" w:color="auto" w:fill="auto"/>
            <w:vAlign w:val="center"/>
            <w:hideMark/>
          </w:tcPr>
          <w:p w14:paraId="7D6A533C"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32</w:t>
            </w:r>
          </w:p>
        </w:tc>
        <w:tc>
          <w:tcPr>
            <w:tcW w:w="654" w:type="pct"/>
            <w:tcBorders>
              <w:top w:val="nil"/>
              <w:left w:val="nil"/>
              <w:bottom w:val="single" w:sz="4" w:space="0" w:color="auto"/>
              <w:right w:val="single" w:sz="4" w:space="0" w:color="auto"/>
            </w:tcBorders>
            <w:shd w:val="clear" w:color="auto" w:fill="auto"/>
            <w:vAlign w:val="center"/>
            <w:hideMark/>
          </w:tcPr>
          <w:p w14:paraId="73081A6E"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-7</w:t>
            </w:r>
          </w:p>
        </w:tc>
      </w:tr>
      <w:tr w:rsidR="00124098" w:rsidRPr="00DD5F1D" w14:paraId="223A255B"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08C8071C" w14:textId="77777777" w:rsidR="00124098" w:rsidRPr="00DD5F1D" w:rsidRDefault="00124098" w:rsidP="00A4476B">
            <w:pPr>
              <w:spacing w:after="0" w:line="240" w:lineRule="auto"/>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Salariați din sectorul agrar (18% și 6% compensat din BS)</w:t>
            </w:r>
          </w:p>
        </w:tc>
        <w:tc>
          <w:tcPr>
            <w:tcW w:w="494" w:type="pct"/>
            <w:tcBorders>
              <w:top w:val="nil"/>
              <w:left w:val="nil"/>
              <w:bottom w:val="single" w:sz="4" w:space="0" w:color="auto"/>
              <w:right w:val="single" w:sz="4" w:space="0" w:color="auto"/>
            </w:tcBorders>
            <w:shd w:val="clear" w:color="auto" w:fill="auto"/>
            <w:vAlign w:val="center"/>
            <w:hideMark/>
          </w:tcPr>
          <w:p w14:paraId="7CC57BA9"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24041</w:t>
            </w:r>
          </w:p>
        </w:tc>
        <w:tc>
          <w:tcPr>
            <w:tcW w:w="509" w:type="pct"/>
            <w:tcBorders>
              <w:top w:val="nil"/>
              <w:left w:val="nil"/>
              <w:bottom w:val="single" w:sz="4" w:space="0" w:color="auto"/>
              <w:right w:val="single" w:sz="4" w:space="0" w:color="auto"/>
            </w:tcBorders>
            <w:shd w:val="clear" w:color="auto" w:fill="auto"/>
            <w:vAlign w:val="center"/>
            <w:hideMark/>
          </w:tcPr>
          <w:p w14:paraId="3F25EEF7"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22344</w:t>
            </w:r>
          </w:p>
        </w:tc>
        <w:tc>
          <w:tcPr>
            <w:tcW w:w="509" w:type="pct"/>
            <w:tcBorders>
              <w:top w:val="nil"/>
              <w:left w:val="nil"/>
              <w:bottom w:val="single" w:sz="4" w:space="0" w:color="auto"/>
              <w:right w:val="single" w:sz="4" w:space="0" w:color="auto"/>
            </w:tcBorders>
            <w:shd w:val="clear" w:color="auto" w:fill="auto"/>
            <w:vAlign w:val="center"/>
            <w:hideMark/>
          </w:tcPr>
          <w:p w14:paraId="2D4D5B37"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23306</w:t>
            </w:r>
          </w:p>
        </w:tc>
        <w:tc>
          <w:tcPr>
            <w:tcW w:w="654" w:type="pct"/>
            <w:tcBorders>
              <w:top w:val="nil"/>
              <w:left w:val="nil"/>
              <w:bottom w:val="single" w:sz="4" w:space="0" w:color="auto"/>
              <w:right w:val="single" w:sz="4" w:space="0" w:color="auto"/>
            </w:tcBorders>
            <w:shd w:val="clear" w:color="auto" w:fill="auto"/>
            <w:vAlign w:val="center"/>
            <w:hideMark/>
          </w:tcPr>
          <w:p w14:paraId="0BB10C86"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962</w:t>
            </w:r>
          </w:p>
        </w:tc>
      </w:tr>
      <w:tr w:rsidR="00124098" w:rsidRPr="00DD5F1D" w14:paraId="1AF512A0"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2BB7E223" w14:textId="77777777" w:rsidR="00124098" w:rsidRPr="00DD5F1D" w:rsidRDefault="00124098" w:rsidP="00A4476B">
            <w:pPr>
              <w:spacing w:after="0" w:line="240" w:lineRule="auto"/>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Salariați ce activează în condiții de risc (32%/39%)</w:t>
            </w:r>
          </w:p>
        </w:tc>
        <w:tc>
          <w:tcPr>
            <w:tcW w:w="494" w:type="pct"/>
            <w:tcBorders>
              <w:top w:val="nil"/>
              <w:left w:val="nil"/>
              <w:bottom w:val="single" w:sz="4" w:space="0" w:color="auto"/>
              <w:right w:val="single" w:sz="4" w:space="0" w:color="auto"/>
            </w:tcBorders>
            <w:shd w:val="clear" w:color="auto" w:fill="auto"/>
            <w:vAlign w:val="center"/>
            <w:hideMark/>
          </w:tcPr>
          <w:p w14:paraId="486B1688"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737</w:t>
            </w:r>
          </w:p>
        </w:tc>
        <w:tc>
          <w:tcPr>
            <w:tcW w:w="509" w:type="pct"/>
            <w:tcBorders>
              <w:top w:val="nil"/>
              <w:left w:val="nil"/>
              <w:bottom w:val="single" w:sz="4" w:space="0" w:color="auto"/>
              <w:right w:val="single" w:sz="4" w:space="0" w:color="auto"/>
            </w:tcBorders>
            <w:shd w:val="clear" w:color="auto" w:fill="auto"/>
            <w:vAlign w:val="center"/>
            <w:hideMark/>
          </w:tcPr>
          <w:p w14:paraId="4F4C33A0"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609</w:t>
            </w:r>
          </w:p>
        </w:tc>
        <w:tc>
          <w:tcPr>
            <w:tcW w:w="509" w:type="pct"/>
            <w:tcBorders>
              <w:top w:val="nil"/>
              <w:left w:val="nil"/>
              <w:bottom w:val="single" w:sz="4" w:space="0" w:color="auto"/>
              <w:right w:val="single" w:sz="4" w:space="0" w:color="auto"/>
            </w:tcBorders>
            <w:shd w:val="clear" w:color="auto" w:fill="auto"/>
            <w:vAlign w:val="center"/>
            <w:hideMark/>
          </w:tcPr>
          <w:p w14:paraId="39656142"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496</w:t>
            </w:r>
          </w:p>
        </w:tc>
        <w:tc>
          <w:tcPr>
            <w:tcW w:w="654" w:type="pct"/>
            <w:tcBorders>
              <w:top w:val="nil"/>
              <w:left w:val="nil"/>
              <w:bottom w:val="single" w:sz="4" w:space="0" w:color="auto"/>
              <w:right w:val="single" w:sz="4" w:space="0" w:color="auto"/>
            </w:tcBorders>
            <w:shd w:val="clear" w:color="auto" w:fill="auto"/>
            <w:vAlign w:val="center"/>
            <w:hideMark/>
          </w:tcPr>
          <w:p w14:paraId="0150FC8B"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-113</w:t>
            </w:r>
          </w:p>
        </w:tc>
      </w:tr>
      <w:tr w:rsidR="00124098" w:rsidRPr="00DD5F1D" w14:paraId="2A87E7CF"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46D84B75" w14:textId="5A16A204" w:rsidR="00124098" w:rsidRPr="00DD5F1D" w:rsidRDefault="00124098" w:rsidP="004E7C08">
            <w:pPr>
              <w:spacing w:after="0" w:line="240" w:lineRule="auto"/>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Salariați din domeniul TI</w:t>
            </w:r>
            <w:r w:rsidRPr="00DD5F1D">
              <w:rPr>
                <w:rStyle w:val="a5"/>
                <w:rFonts w:ascii="Times New Roman" w:hAnsi="Times New Roman" w:cs="Times New Roman"/>
                <w:color w:val="000000" w:themeColor="text1"/>
                <w:sz w:val="20"/>
                <w:szCs w:val="20"/>
                <w:shd w:val="clear" w:color="auto" w:fill="FFFFFF"/>
                <w:lang w:val="ro-MD"/>
              </w:rPr>
              <w:footnoteReference w:id="11"/>
            </w:r>
            <w:r w:rsidRPr="00DD5F1D">
              <w:rPr>
                <w:rFonts w:ascii="Times New Roman" w:eastAsia="Times New Roman" w:hAnsi="Times New Roman" w:cs="Times New Roman"/>
                <w:color w:val="000000" w:themeColor="text1"/>
                <w:sz w:val="20"/>
                <w:szCs w:val="20"/>
                <w:lang w:val="ro-MD"/>
              </w:rPr>
              <w:t xml:space="preserve"> (</w:t>
            </w:r>
            <w:r w:rsidRPr="00DD5F1D">
              <w:rPr>
                <w:rFonts w:ascii="Times New Roman" w:hAnsi="Times New Roman" w:cs="Times New Roman"/>
                <w:color w:val="000000" w:themeColor="text1"/>
                <w:sz w:val="20"/>
                <w:szCs w:val="20"/>
                <w:shd w:val="clear" w:color="auto" w:fill="FFFFFF"/>
                <w:lang w:val="ro-MD"/>
              </w:rPr>
              <w:t>54,7% din impozitul unic sau minim 1919,97 lei lunar per persoană</w:t>
            </w:r>
            <w:r w:rsidRPr="00DD5F1D">
              <w:rPr>
                <w:rStyle w:val="a5"/>
                <w:rFonts w:ascii="Times New Roman" w:hAnsi="Times New Roman" w:cs="Times New Roman"/>
                <w:color w:val="000000" w:themeColor="text1"/>
                <w:sz w:val="20"/>
                <w:szCs w:val="20"/>
                <w:shd w:val="clear" w:color="auto" w:fill="FFFFFF"/>
                <w:lang w:val="ro-MD"/>
              </w:rPr>
              <w:footnoteReference w:id="12"/>
            </w:r>
            <w:r w:rsidRPr="00DD5F1D">
              <w:rPr>
                <w:rFonts w:ascii="Times New Roman" w:hAnsi="Times New Roman" w:cs="Times New Roman"/>
                <w:color w:val="000000" w:themeColor="text1"/>
                <w:sz w:val="20"/>
                <w:szCs w:val="20"/>
                <w:shd w:val="clear" w:color="auto" w:fill="FFFFFF"/>
                <w:lang w:val="ro-MD"/>
              </w:rPr>
              <w:t xml:space="preserve"> </w:t>
            </w:r>
            <w:r w:rsidR="004E7C08" w:rsidRPr="00DD5F1D">
              <w:rPr>
                <w:rFonts w:ascii="Times New Roman" w:hAnsi="Times New Roman" w:cs="Times New Roman"/>
                <w:color w:val="000000" w:themeColor="text1"/>
                <w:sz w:val="20"/>
                <w:szCs w:val="20"/>
                <w:shd w:val="clear" w:color="auto" w:fill="FFFFFF"/>
                <w:lang w:val="ro-MD"/>
              </w:rPr>
              <w:t>ori</w:t>
            </w:r>
            <w:r w:rsidRPr="00DD5F1D">
              <w:rPr>
                <w:rFonts w:ascii="Times New Roman" w:hAnsi="Times New Roman" w:cs="Times New Roman"/>
                <w:color w:val="000000" w:themeColor="text1"/>
                <w:sz w:val="20"/>
                <w:szCs w:val="20"/>
                <w:shd w:val="clear" w:color="auto" w:fill="FFFFFF"/>
                <w:lang w:val="ro-MD"/>
              </w:rPr>
              <w:t xml:space="preserve"> 24% din salariu</w:t>
            </w:r>
            <w:r w:rsidR="004E7C08" w:rsidRPr="00DD5F1D">
              <w:rPr>
                <w:rFonts w:ascii="Times New Roman" w:hAnsi="Times New Roman" w:cs="Times New Roman"/>
                <w:color w:val="000000" w:themeColor="text1"/>
                <w:sz w:val="20"/>
                <w:szCs w:val="20"/>
                <w:shd w:val="clear" w:color="auto" w:fill="FFFFFF"/>
                <w:lang w:val="ro-MD"/>
              </w:rPr>
              <w:t>l</w:t>
            </w:r>
            <w:r w:rsidRPr="00DD5F1D">
              <w:rPr>
                <w:rFonts w:ascii="Times New Roman" w:hAnsi="Times New Roman" w:cs="Times New Roman"/>
                <w:color w:val="000000" w:themeColor="text1"/>
                <w:sz w:val="20"/>
                <w:szCs w:val="20"/>
                <w:shd w:val="clear" w:color="auto" w:fill="FFFFFF"/>
                <w:lang w:val="ro-MD"/>
              </w:rPr>
              <w:t xml:space="preserve"> minim asigurat de 7</w:t>
            </w:r>
            <w:r w:rsidR="004E7C08" w:rsidRPr="00DD5F1D">
              <w:rPr>
                <w:rFonts w:ascii="Times New Roman" w:hAnsi="Times New Roman" w:cs="Times New Roman"/>
                <w:color w:val="000000" w:themeColor="text1"/>
                <w:sz w:val="20"/>
                <w:szCs w:val="20"/>
                <w:shd w:val="clear" w:color="auto" w:fill="FFFFFF"/>
                <w:lang w:val="ro-MD"/>
              </w:rPr>
              <w:t xml:space="preserve"> </w:t>
            </w:r>
            <w:r w:rsidRPr="00DD5F1D">
              <w:rPr>
                <w:rFonts w:ascii="Times New Roman" w:hAnsi="Times New Roman" w:cs="Times New Roman"/>
                <w:color w:val="000000" w:themeColor="text1"/>
                <w:sz w:val="20"/>
                <w:szCs w:val="20"/>
                <w:shd w:val="clear" w:color="auto" w:fill="FFFFFF"/>
                <w:lang w:val="ro-MD"/>
              </w:rPr>
              <w:t>999,88 lei)</w:t>
            </w:r>
          </w:p>
        </w:tc>
        <w:tc>
          <w:tcPr>
            <w:tcW w:w="494" w:type="pct"/>
            <w:tcBorders>
              <w:top w:val="nil"/>
              <w:left w:val="nil"/>
              <w:bottom w:val="single" w:sz="4" w:space="0" w:color="auto"/>
              <w:right w:val="single" w:sz="4" w:space="0" w:color="auto"/>
            </w:tcBorders>
            <w:shd w:val="clear" w:color="auto" w:fill="auto"/>
            <w:vAlign w:val="center"/>
            <w:hideMark/>
          </w:tcPr>
          <w:p w14:paraId="72D3A9D8"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18808</w:t>
            </w:r>
          </w:p>
        </w:tc>
        <w:tc>
          <w:tcPr>
            <w:tcW w:w="509" w:type="pct"/>
            <w:tcBorders>
              <w:top w:val="nil"/>
              <w:left w:val="nil"/>
              <w:bottom w:val="single" w:sz="4" w:space="0" w:color="auto"/>
              <w:right w:val="single" w:sz="4" w:space="0" w:color="auto"/>
            </w:tcBorders>
            <w:shd w:val="clear" w:color="auto" w:fill="auto"/>
            <w:vAlign w:val="center"/>
            <w:hideMark/>
          </w:tcPr>
          <w:p w14:paraId="3D27C000"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18072</w:t>
            </w:r>
          </w:p>
        </w:tc>
        <w:tc>
          <w:tcPr>
            <w:tcW w:w="509" w:type="pct"/>
            <w:tcBorders>
              <w:top w:val="nil"/>
              <w:left w:val="nil"/>
              <w:bottom w:val="single" w:sz="4" w:space="0" w:color="auto"/>
              <w:right w:val="single" w:sz="4" w:space="0" w:color="auto"/>
            </w:tcBorders>
            <w:shd w:val="clear" w:color="auto" w:fill="auto"/>
            <w:vAlign w:val="center"/>
            <w:hideMark/>
          </w:tcPr>
          <w:p w14:paraId="38FD95A5"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20737</w:t>
            </w:r>
          </w:p>
        </w:tc>
        <w:tc>
          <w:tcPr>
            <w:tcW w:w="654" w:type="pct"/>
            <w:tcBorders>
              <w:top w:val="nil"/>
              <w:left w:val="nil"/>
              <w:bottom w:val="single" w:sz="4" w:space="0" w:color="auto"/>
              <w:right w:val="single" w:sz="4" w:space="0" w:color="auto"/>
            </w:tcBorders>
            <w:shd w:val="clear" w:color="auto" w:fill="auto"/>
            <w:vAlign w:val="center"/>
            <w:hideMark/>
          </w:tcPr>
          <w:p w14:paraId="7362A604"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2665</w:t>
            </w:r>
          </w:p>
        </w:tc>
      </w:tr>
      <w:tr w:rsidR="00124098" w:rsidRPr="00DD5F1D" w14:paraId="3828EADE"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3AD4A985" w14:textId="20E67D45" w:rsidR="00124098" w:rsidRPr="00DD5F1D" w:rsidRDefault="00124098" w:rsidP="004E7C08">
            <w:pPr>
              <w:spacing w:after="0" w:line="240" w:lineRule="auto"/>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Contribuabili din domeniul justiției ce achită taxa fixă (27</w:t>
            </w:r>
            <w:r w:rsidR="004E7C08" w:rsidRPr="00DD5F1D">
              <w:rPr>
                <w:rFonts w:ascii="Times New Roman" w:eastAsia="Times New Roman" w:hAnsi="Times New Roman" w:cs="Times New Roman"/>
                <w:color w:val="000000" w:themeColor="text1"/>
                <w:sz w:val="20"/>
                <w:szCs w:val="20"/>
                <w:lang w:val="ro-MD"/>
              </w:rPr>
              <w:t xml:space="preserve"> </w:t>
            </w:r>
            <w:r w:rsidRPr="00DD5F1D">
              <w:rPr>
                <w:rFonts w:ascii="Times New Roman" w:eastAsia="Times New Roman" w:hAnsi="Times New Roman" w:cs="Times New Roman"/>
                <w:color w:val="000000" w:themeColor="text1"/>
                <w:sz w:val="20"/>
                <w:szCs w:val="20"/>
                <w:lang w:val="ro-MD"/>
              </w:rPr>
              <w:t>772 lei</w:t>
            </w:r>
            <w:r w:rsidR="004E7C08" w:rsidRPr="00DD5F1D">
              <w:rPr>
                <w:rFonts w:ascii="Times New Roman" w:eastAsia="Times New Roman" w:hAnsi="Times New Roman" w:cs="Times New Roman"/>
                <w:color w:val="000000" w:themeColor="text1"/>
                <w:sz w:val="20"/>
                <w:szCs w:val="20"/>
                <w:lang w:val="ro-MD"/>
              </w:rPr>
              <w:t>,</w:t>
            </w:r>
            <w:r w:rsidRPr="00DD5F1D">
              <w:rPr>
                <w:rFonts w:ascii="Times New Roman" w:eastAsia="Times New Roman" w:hAnsi="Times New Roman" w:cs="Times New Roman"/>
                <w:color w:val="000000" w:themeColor="text1"/>
                <w:sz w:val="20"/>
                <w:szCs w:val="20"/>
                <w:lang w:val="ro-MD"/>
              </w:rPr>
              <w:t xml:space="preserve"> sau 24% din salariul lunar de 9</w:t>
            </w:r>
            <w:r w:rsidR="004E7C08" w:rsidRPr="00DD5F1D">
              <w:rPr>
                <w:rFonts w:ascii="Times New Roman" w:eastAsia="Times New Roman" w:hAnsi="Times New Roman" w:cs="Times New Roman"/>
                <w:color w:val="000000" w:themeColor="text1"/>
                <w:sz w:val="20"/>
                <w:szCs w:val="20"/>
                <w:lang w:val="ro-MD"/>
              </w:rPr>
              <w:t xml:space="preserve"> </w:t>
            </w:r>
            <w:r w:rsidRPr="00DD5F1D">
              <w:rPr>
                <w:rFonts w:ascii="Times New Roman" w:eastAsia="Times New Roman" w:hAnsi="Times New Roman" w:cs="Times New Roman"/>
                <w:color w:val="000000" w:themeColor="text1"/>
                <w:sz w:val="20"/>
                <w:szCs w:val="20"/>
                <w:lang w:val="ro-MD"/>
              </w:rPr>
              <w:t>643,05 lei)</w:t>
            </w:r>
          </w:p>
        </w:tc>
        <w:tc>
          <w:tcPr>
            <w:tcW w:w="494" w:type="pct"/>
            <w:tcBorders>
              <w:top w:val="nil"/>
              <w:left w:val="nil"/>
              <w:bottom w:val="single" w:sz="4" w:space="0" w:color="auto"/>
              <w:right w:val="single" w:sz="4" w:space="0" w:color="auto"/>
            </w:tcBorders>
            <w:shd w:val="clear" w:color="auto" w:fill="auto"/>
            <w:vAlign w:val="center"/>
            <w:hideMark/>
          </w:tcPr>
          <w:p w14:paraId="0B782B70"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1740</w:t>
            </w:r>
          </w:p>
        </w:tc>
        <w:tc>
          <w:tcPr>
            <w:tcW w:w="509" w:type="pct"/>
            <w:tcBorders>
              <w:top w:val="nil"/>
              <w:left w:val="nil"/>
              <w:bottom w:val="single" w:sz="4" w:space="0" w:color="auto"/>
              <w:right w:val="single" w:sz="4" w:space="0" w:color="auto"/>
            </w:tcBorders>
            <w:shd w:val="clear" w:color="auto" w:fill="auto"/>
            <w:vAlign w:val="center"/>
            <w:hideMark/>
          </w:tcPr>
          <w:p w14:paraId="1C270C2E"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1587</w:t>
            </w:r>
          </w:p>
        </w:tc>
        <w:tc>
          <w:tcPr>
            <w:tcW w:w="509" w:type="pct"/>
            <w:tcBorders>
              <w:top w:val="nil"/>
              <w:left w:val="nil"/>
              <w:bottom w:val="single" w:sz="4" w:space="0" w:color="auto"/>
              <w:right w:val="single" w:sz="4" w:space="0" w:color="auto"/>
            </w:tcBorders>
            <w:shd w:val="clear" w:color="auto" w:fill="auto"/>
            <w:vAlign w:val="center"/>
            <w:hideMark/>
          </w:tcPr>
          <w:p w14:paraId="210B05CC"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1547</w:t>
            </w:r>
          </w:p>
        </w:tc>
        <w:tc>
          <w:tcPr>
            <w:tcW w:w="654" w:type="pct"/>
            <w:tcBorders>
              <w:top w:val="nil"/>
              <w:left w:val="nil"/>
              <w:bottom w:val="single" w:sz="4" w:space="0" w:color="auto"/>
              <w:right w:val="single" w:sz="4" w:space="0" w:color="auto"/>
            </w:tcBorders>
            <w:shd w:val="clear" w:color="auto" w:fill="auto"/>
            <w:vAlign w:val="center"/>
            <w:hideMark/>
          </w:tcPr>
          <w:p w14:paraId="3EEA28B8"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-40</w:t>
            </w:r>
          </w:p>
        </w:tc>
      </w:tr>
      <w:tr w:rsidR="00124098" w:rsidRPr="00DD5F1D" w14:paraId="05EDC91B"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14C72031" w14:textId="35E71EBB" w:rsidR="00124098" w:rsidRPr="00DD5F1D" w:rsidRDefault="00124098" w:rsidP="004E7C08">
            <w:pPr>
              <w:spacing w:after="0" w:line="240" w:lineRule="auto"/>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Contribuabili ce achită taxa fixă (de ex.</w:t>
            </w:r>
            <w:r w:rsidR="004E7C08" w:rsidRPr="00DD5F1D">
              <w:rPr>
                <w:rFonts w:ascii="Times New Roman" w:eastAsia="Times New Roman" w:hAnsi="Times New Roman" w:cs="Times New Roman"/>
                <w:color w:val="000000" w:themeColor="text1"/>
                <w:sz w:val="20"/>
                <w:szCs w:val="20"/>
                <w:lang w:val="ro-MD"/>
              </w:rPr>
              <w:t>,</w:t>
            </w:r>
            <w:r w:rsidRPr="00DD5F1D">
              <w:rPr>
                <w:rFonts w:ascii="Times New Roman" w:eastAsia="Times New Roman" w:hAnsi="Times New Roman" w:cs="Times New Roman"/>
                <w:color w:val="000000" w:themeColor="text1"/>
                <w:sz w:val="20"/>
                <w:szCs w:val="20"/>
                <w:lang w:val="ro-MD"/>
              </w:rPr>
              <w:t xml:space="preserve"> fondatori de Î.I.</w:t>
            </w:r>
            <w:r w:rsidR="004E7C08" w:rsidRPr="00DD5F1D">
              <w:rPr>
                <w:rFonts w:ascii="Times New Roman" w:eastAsia="Times New Roman" w:hAnsi="Times New Roman" w:cs="Times New Roman"/>
                <w:color w:val="000000" w:themeColor="text1"/>
                <w:sz w:val="20"/>
                <w:szCs w:val="20"/>
                <w:lang w:val="ro-MD"/>
              </w:rPr>
              <w:t>,</w:t>
            </w:r>
            <w:r w:rsidRPr="00DD5F1D">
              <w:rPr>
                <w:rFonts w:ascii="Times New Roman" w:eastAsia="Times New Roman" w:hAnsi="Times New Roman" w:cs="Times New Roman"/>
                <w:color w:val="000000" w:themeColor="text1"/>
                <w:sz w:val="20"/>
                <w:szCs w:val="20"/>
                <w:lang w:val="ro-MD"/>
              </w:rPr>
              <w:t xml:space="preserve"> GȚ, patentari, TAXI etc.) (14</w:t>
            </w:r>
            <w:r w:rsidR="004E7C08" w:rsidRPr="00DD5F1D">
              <w:rPr>
                <w:rFonts w:ascii="Times New Roman" w:eastAsia="Times New Roman" w:hAnsi="Times New Roman" w:cs="Times New Roman"/>
                <w:color w:val="000000" w:themeColor="text1"/>
                <w:sz w:val="20"/>
                <w:szCs w:val="20"/>
                <w:lang w:val="ro-MD"/>
              </w:rPr>
              <w:t xml:space="preserve"> </w:t>
            </w:r>
            <w:r w:rsidRPr="00DD5F1D">
              <w:rPr>
                <w:rFonts w:ascii="Times New Roman" w:eastAsia="Times New Roman" w:hAnsi="Times New Roman" w:cs="Times New Roman"/>
                <w:color w:val="000000" w:themeColor="text1"/>
                <w:sz w:val="20"/>
                <w:szCs w:val="20"/>
                <w:lang w:val="ro-MD"/>
              </w:rPr>
              <w:t>700 lei</w:t>
            </w:r>
            <w:r w:rsidR="004E7C08" w:rsidRPr="00DD5F1D">
              <w:rPr>
                <w:rFonts w:ascii="Times New Roman" w:eastAsia="Times New Roman" w:hAnsi="Times New Roman" w:cs="Times New Roman"/>
                <w:color w:val="000000" w:themeColor="text1"/>
                <w:sz w:val="20"/>
                <w:szCs w:val="20"/>
                <w:lang w:val="ro-MD"/>
              </w:rPr>
              <w:t>,</w:t>
            </w:r>
            <w:r w:rsidRPr="00DD5F1D">
              <w:rPr>
                <w:rFonts w:ascii="Times New Roman" w:eastAsia="Times New Roman" w:hAnsi="Times New Roman" w:cs="Times New Roman"/>
                <w:color w:val="000000" w:themeColor="text1"/>
                <w:sz w:val="20"/>
                <w:szCs w:val="20"/>
                <w:lang w:val="ro-MD"/>
              </w:rPr>
              <w:t xml:space="preserve"> sau 24% din salariul lunar de 5104,16 lei)</w:t>
            </w:r>
          </w:p>
        </w:tc>
        <w:tc>
          <w:tcPr>
            <w:tcW w:w="494" w:type="pct"/>
            <w:tcBorders>
              <w:top w:val="nil"/>
              <w:left w:val="nil"/>
              <w:bottom w:val="single" w:sz="4" w:space="0" w:color="auto"/>
              <w:right w:val="single" w:sz="4" w:space="0" w:color="auto"/>
            </w:tcBorders>
            <w:shd w:val="clear" w:color="auto" w:fill="auto"/>
            <w:vAlign w:val="center"/>
            <w:hideMark/>
          </w:tcPr>
          <w:p w14:paraId="362AAD9A"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22304</w:t>
            </w:r>
          </w:p>
        </w:tc>
        <w:tc>
          <w:tcPr>
            <w:tcW w:w="509" w:type="pct"/>
            <w:tcBorders>
              <w:top w:val="nil"/>
              <w:left w:val="nil"/>
              <w:bottom w:val="single" w:sz="4" w:space="0" w:color="auto"/>
              <w:right w:val="single" w:sz="4" w:space="0" w:color="auto"/>
            </w:tcBorders>
            <w:shd w:val="clear" w:color="auto" w:fill="auto"/>
            <w:vAlign w:val="center"/>
            <w:hideMark/>
          </w:tcPr>
          <w:p w14:paraId="1E52B075"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21494</w:t>
            </w:r>
          </w:p>
        </w:tc>
        <w:tc>
          <w:tcPr>
            <w:tcW w:w="509" w:type="pct"/>
            <w:tcBorders>
              <w:top w:val="nil"/>
              <w:left w:val="nil"/>
              <w:bottom w:val="single" w:sz="4" w:space="0" w:color="auto"/>
              <w:right w:val="single" w:sz="4" w:space="0" w:color="auto"/>
            </w:tcBorders>
            <w:shd w:val="clear" w:color="auto" w:fill="auto"/>
            <w:vAlign w:val="center"/>
            <w:hideMark/>
          </w:tcPr>
          <w:p w14:paraId="6548453B"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22229</w:t>
            </w:r>
          </w:p>
        </w:tc>
        <w:tc>
          <w:tcPr>
            <w:tcW w:w="654" w:type="pct"/>
            <w:tcBorders>
              <w:top w:val="nil"/>
              <w:left w:val="nil"/>
              <w:bottom w:val="single" w:sz="4" w:space="0" w:color="auto"/>
              <w:right w:val="single" w:sz="4" w:space="0" w:color="auto"/>
            </w:tcBorders>
            <w:shd w:val="clear" w:color="auto" w:fill="auto"/>
            <w:vAlign w:val="center"/>
            <w:hideMark/>
          </w:tcPr>
          <w:p w14:paraId="2094C246"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362</w:t>
            </w:r>
          </w:p>
        </w:tc>
      </w:tr>
      <w:tr w:rsidR="00124098" w:rsidRPr="00DD5F1D" w14:paraId="4717B726"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tcPr>
          <w:p w14:paraId="0E48C3D7" w14:textId="5C451194" w:rsidR="00124098" w:rsidRPr="00DD5F1D" w:rsidRDefault="00124098" w:rsidP="00A25D91">
            <w:pPr>
              <w:spacing w:after="0"/>
              <w:rPr>
                <w:rFonts w:ascii="Times New Roman" w:hAnsi="Times New Roman" w:cs="Times New Roman"/>
                <w:color w:val="000000" w:themeColor="text1"/>
                <w:sz w:val="20"/>
                <w:szCs w:val="20"/>
                <w:lang w:val="ro-MD"/>
              </w:rPr>
            </w:pPr>
            <w:r w:rsidRPr="00DD5F1D">
              <w:rPr>
                <w:rFonts w:ascii="Times New Roman" w:hAnsi="Times New Roman" w:cs="Times New Roman"/>
                <w:color w:val="000000" w:themeColor="text1"/>
                <w:sz w:val="20"/>
                <w:szCs w:val="20"/>
                <w:lang w:val="ro-MD"/>
              </w:rPr>
              <w:t xml:space="preserve">Persoane fizice proprietari sau arendași de terenuri agricole care lucrează terenul în mod individual </w:t>
            </w:r>
            <w:r w:rsidRPr="00DD5F1D">
              <w:rPr>
                <w:rFonts w:ascii="Times New Roman" w:eastAsia="Times New Roman" w:hAnsi="Times New Roman" w:cs="Times New Roman"/>
                <w:color w:val="000000" w:themeColor="text1"/>
                <w:sz w:val="20"/>
                <w:szCs w:val="20"/>
                <w:lang w:val="ro-MD"/>
              </w:rPr>
              <w:t>3744 de lei pentru anul 2023</w:t>
            </w:r>
            <w:r w:rsidR="00A25D91" w:rsidRPr="00DD5F1D">
              <w:rPr>
                <w:rFonts w:ascii="Times New Roman" w:eastAsia="Times New Roman" w:hAnsi="Times New Roman" w:cs="Times New Roman"/>
                <w:color w:val="000000" w:themeColor="text1"/>
                <w:sz w:val="20"/>
                <w:szCs w:val="20"/>
                <w:lang w:val="ro-MD"/>
              </w:rPr>
              <w:t>,</w:t>
            </w:r>
            <w:r w:rsidRPr="00DD5F1D">
              <w:rPr>
                <w:rFonts w:ascii="Times New Roman" w:eastAsia="Times New Roman" w:hAnsi="Times New Roman" w:cs="Times New Roman"/>
                <w:color w:val="000000" w:themeColor="text1"/>
                <w:sz w:val="20"/>
                <w:szCs w:val="20"/>
                <w:lang w:val="ro-MD"/>
              </w:rPr>
              <w:t xml:space="preserve"> sau 24% din salariul lunar de 1</w:t>
            </w:r>
            <w:r w:rsidR="00A25D91" w:rsidRPr="00DD5F1D">
              <w:rPr>
                <w:rFonts w:ascii="Times New Roman" w:eastAsia="Times New Roman" w:hAnsi="Times New Roman" w:cs="Times New Roman"/>
                <w:color w:val="000000" w:themeColor="text1"/>
                <w:sz w:val="20"/>
                <w:szCs w:val="20"/>
                <w:lang w:val="ro-MD"/>
              </w:rPr>
              <w:t xml:space="preserve"> </w:t>
            </w:r>
            <w:r w:rsidRPr="00DD5F1D">
              <w:rPr>
                <w:rFonts w:ascii="Times New Roman" w:eastAsia="Times New Roman" w:hAnsi="Times New Roman" w:cs="Times New Roman"/>
                <w:color w:val="000000" w:themeColor="text1"/>
                <w:sz w:val="20"/>
                <w:szCs w:val="20"/>
                <w:lang w:val="ro-MD"/>
              </w:rPr>
              <w:t>300 lei</w:t>
            </w:r>
          </w:p>
        </w:tc>
        <w:tc>
          <w:tcPr>
            <w:tcW w:w="494" w:type="pct"/>
            <w:tcBorders>
              <w:top w:val="nil"/>
              <w:left w:val="nil"/>
              <w:bottom w:val="single" w:sz="4" w:space="0" w:color="auto"/>
              <w:right w:val="single" w:sz="4" w:space="0" w:color="auto"/>
            </w:tcBorders>
            <w:shd w:val="clear" w:color="auto" w:fill="auto"/>
            <w:vAlign w:val="center"/>
          </w:tcPr>
          <w:p w14:paraId="188DB6F8"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1249</w:t>
            </w:r>
          </w:p>
        </w:tc>
        <w:tc>
          <w:tcPr>
            <w:tcW w:w="509" w:type="pct"/>
            <w:tcBorders>
              <w:top w:val="nil"/>
              <w:left w:val="nil"/>
              <w:bottom w:val="single" w:sz="4" w:space="0" w:color="auto"/>
              <w:right w:val="single" w:sz="4" w:space="0" w:color="auto"/>
            </w:tcBorders>
            <w:shd w:val="clear" w:color="auto" w:fill="auto"/>
            <w:vAlign w:val="center"/>
          </w:tcPr>
          <w:p w14:paraId="0FB113D9"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712</w:t>
            </w:r>
          </w:p>
        </w:tc>
        <w:tc>
          <w:tcPr>
            <w:tcW w:w="509" w:type="pct"/>
            <w:tcBorders>
              <w:top w:val="nil"/>
              <w:left w:val="nil"/>
              <w:bottom w:val="single" w:sz="4" w:space="0" w:color="auto"/>
              <w:right w:val="single" w:sz="4" w:space="0" w:color="auto"/>
            </w:tcBorders>
            <w:shd w:val="clear" w:color="auto" w:fill="auto"/>
            <w:vAlign w:val="center"/>
          </w:tcPr>
          <w:p w14:paraId="175337D0"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339</w:t>
            </w:r>
          </w:p>
        </w:tc>
        <w:tc>
          <w:tcPr>
            <w:tcW w:w="654" w:type="pct"/>
            <w:tcBorders>
              <w:top w:val="nil"/>
              <w:left w:val="nil"/>
              <w:bottom w:val="single" w:sz="4" w:space="0" w:color="auto"/>
              <w:right w:val="single" w:sz="4" w:space="0" w:color="auto"/>
            </w:tcBorders>
            <w:shd w:val="clear" w:color="auto" w:fill="auto"/>
            <w:vAlign w:val="center"/>
          </w:tcPr>
          <w:p w14:paraId="6E90E114"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2300</w:t>
            </w:r>
          </w:p>
        </w:tc>
      </w:tr>
      <w:tr w:rsidR="00124098" w:rsidRPr="00DD5F1D" w14:paraId="5475457A"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73DA0272" w14:textId="77777777" w:rsidR="00124098" w:rsidRPr="00DD5F1D" w:rsidRDefault="00124098" w:rsidP="00A4476B">
            <w:pPr>
              <w:spacing w:after="0" w:line="240" w:lineRule="auto"/>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Zilieri (6% din venitul obținut)</w:t>
            </w:r>
          </w:p>
        </w:tc>
        <w:tc>
          <w:tcPr>
            <w:tcW w:w="494" w:type="pct"/>
            <w:tcBorders>
              <w:top w:val="nil"/>
              <w:left w:val="nil"/>
              <w:bottom w:val="single" w:sz="4" w:space="0" w:color="auto"/>
              <w:right w:val="single" w:sz="4" w:space="0" w:color="auto"/>
            </w:tcBorders>
            <w:shd w:val="clear" w:color="auto" w:fill="auto"/>
            <w:vAlign w:val="center"/>
            <w:hideMark/>
          </w:tcPr>
          <w:p w14:paraId="0D9CC0DC"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1249</w:t>
            </w:r>
          </w:p>
        </w:tc>
        <w:tc>
          <w:tcPr>
            <w:tcW w:w="509" w:type="pct"/>
            <w:tcBorders>
              <w:top w:val="nil"/>
              <w:left w:val="nil"/>
              <w:bottom w:val="single" w:sz="4" w:space="0" w:color="auto"/>
              <w:right w:val="single" w:sz="4" w:space="0" w:color="auto"/>
            </w:tcBorders>
            <w:shd w:val="clear" w:color="auto" w:fill="auto"/>
            <w:vAlign w:val="center"/>
            <w:hideMark/>
          </w:tcPr>
          <w:p w14:paraId="519F6BB2"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5808</w:t>
            </w:r>
          </w:p>
        </w:tc>
        <w:tc>
          <w:tcPr>
            <w:tcW w:w="509" w:type="pct"/>
            <w:tcBorders>
              <w:top w:val="nil"/>
              <w:left w:val="nil"/>
              <w:bottom w:val="single" w:sz="4" w:space="0" w:color="auto"/>
              <w:right w:val="single" w:sz="4" w:space="0" w:color="auto"/>
            </w:tcBorders>
            <w:shd w:val="clear" w:color="auto" w:fill="auto"/>
            <w:vAlign w:val="center"/>
            <w:hideMark/>
          </w:tcPr>
          <w:p w14:paraId="6BF37935" w14:textId="77777777" w:rsidR="00124098" w:rsidRPr="00DD5F1D" w:rsidRDefault="00124098" w:rsidP="00AF491C">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6687</w:t>
            </w:r>
          </w:p>
        </w:tc>
        <w:tc>
          <w:tcPr>
            <w:tcW w:w="654" w:type="pct"/>
            <w:tcBorders>
              <w:top w:val="nil"/>
              <w:left w:val="nil"/>
              <w:bottom w:val="single" w:sz="4" w:space="0" w:color="auto"/>
              <w:right w:val="single" w:sz="4" w:space="0" w:color="auto"/>
            </w:tcBorders>
            <w:shd w:val="clear" w:color="auto" w:fill="auto"/>
            <w:vAlign w:val="center"/>
            <w:hideMark/>
          </w:tcPr>
          <w:p w14:paraId="767DD585"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879</w:t>
            </w:r>
          </w:p>
        </w:tc>
      </w:tr>
      <w:tr w:rsidR="00124098" w:rsidRPr="00DD5F1D" w14:paraId="51CCF47C" w14:textId="77777777" w:rsidTr="00AF491C">
        <w:trPr>
          <w:trHeight w:val="20"/>
        </w:trPr>
        <w:tc>
          <w:tcPr>
            <w:tcW w:w="2834" w:type="pct"/>
            <w:tcBorders>
              <w:top w:val="nil"/>
              <w:left w:val="single" w:sz="4" w:space="0" w:color="auto"/>
              <w:bottom w:val="single" w:sz="4" w:space="0" w:color="auto"/>
              <w:right w:val="single" w:sz="4" w:space="0" w:color="auto"/>
            </w:tcBorders>
            <w:shd w:val="clear" w:color="auto" w:fill="auto"/>
            <w:vAlign w:val="bottom"/>
            <w:hideMark/>
          </w:tcPr>
          <w:p w14:paraId="31F74465" w14:textId="77777777" w:rsidR="00124098" w:rsidRPr="00DD5F1D" w:rsidRDefault="00124098" w:rsidP="00A4476B">
            <w:pPr>
              <w:spacing w:after="0" w:line="240" w:lineRule="auto"/>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Total salariați</w:t>
            </w:r>
          </w:p>
        </w:tc>
        <w:tc>
          <w:tcPr>
            <w:tcW w:w="494" w:type="pct"/>
            <w:tcBorders>
              <w:top w:val="nil"/>
              <w:left w:val="nil"/>
              <w:bottom w:val="single" w:sz="4" w:space="0" w:color="auto"/>
              <w:right w:val="single" w:sz="4" w:space="0" w:color="auto"/>
            </w:tcBorders>
            <w:shd w:val="clear" w:color="auto" w:fill="auto"/>
            <w:vAlign w:val="center"/>
            <w:hideMark/>
          </w:tcPr>
          <w:p w14:paraId="76079FD2"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806177</w:t>
            </w:r>
          </w:p>
        </w:tc>
        <w:tc>
          <w:tcPr>
            <w:tcW w:w="509" w:type="pct"/>
            <w:tcBorders>
              <w:top w:val="nil"/>
              <w:left w:val="nil"/>
              <w:bottom w:val="single" w:sz="4" w:space="0" w:color="auto"/>
              <w:right w:val="single" w:sz="4" w:space="0" w:color="auto"/>
            </w:tcBorders>
            <w:shd w:val="clear" w:color="auto" w:fill="auto"/>
            <w:vAlign w:val="center"/>
            <w:hideMark/>
          </w:tcPr>
          <w:p w14:paraId="1D8B1FEC"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805132</w:t>
            </w:r>
          </w:p>
        </w:tc>
        <w:tc>
          <w:tcPr>
            <w:tcW w:w="509" w:type="pct"/>
            <w:tcBorders>
              <w:top w:val="nil"/>
              <w:left w:val="nil"/>
              <w:bottom w:val="single" w:sz="4" w:space="0" w:color="auto"/>
              <w:right w:val="single" w:sz="4" w:space="0" w:color="auto"/>
            </w:tcBorders>
            <w:shd w:val="clear" w:color="auto" w:fill="auto"/>
            <w:vAlign w:val="center"/>
            <w:hideMark/>
          </w:tcPr>
          <w:p w14:paraId="7D54521C"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811402</w:t>
            </w:r>
          </w:p>
        </w:tc>
        <w:tc>
          <w:tcPr>
            <w:tcW w:w="654" w:type="pct"/>
            <w:tcBorders>
              <w:top w:val="nil"/>
              <w:left w:val="nil"/>
              <w:bottom w:val="single" w:sz="4" w:space="0" w:color="auto"/>
              <w:right w:val="single" w:sz="4" w:space="0" w:color="auto"/>
            </w:tcBorders>
            <w:shd w:val="clear" w:color="auto" w:fill="auto"/>
            <w:vAlign w:val="center"/>
            <w:hideMark/>
          </w:tcPr>
          <w:p w14:paraId="26DEF0E9" w14:textId="77777777" w:rsidR="00124098" w:rsidRPr="00DD5F1D" w:rsidRDefault="00124098" w:rsidP="00AF491C">
            <w:pPr>
              <w:spacing w:after="0" w:line="240" w:lineRule="auto"/>
              <w:jc w:val="right"/>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6270</w:t>
            </w:r>
          </w:p>
        </w:tc>
      </w:tr>
    </w:tbl>
    <w:p w14:paraId="3ECC0AB8" w14:textId="542D6CD1" w:rsidR="00124098" w:rsidRPr="00DD5F1D" w:rsidRDefault="00124098" w:rsidP="00124098">
      <w:pPr>
        <w:spacing w:line="276" w:lineRule="auto"/>
        <w:jc w:val="both"/>
        <w:rPr>
          <w:rFonts w:ascii="Times New Roman" w:hAnsi="Times New Roman" w:cs="Times New Roman"/>
          <w:i/>
          <w:sz w:val="20"/>
          <w:lang w:val="ro-MD"/>
        </w:rPr>
      </w:pPr>
      <w:r w:rsidRPr="00DD5F1D">
        <w:rPr>
          <w:rFonts w:ascii="Times New Roman" w:hAnsi="Times New Roman" w:cs="Times New Roman"/>
          <w:b/>
          <w:i/>
          <w:sz w:val="20"/>
          <w:lang w:val="ro-MD"/>
        </w:rPr>
        <w:t>Sursa:</w:t>
      </w:r>
      <w:r w:rsidRPr="00DD5F1D">
        <w:rPr>
          <w:rFonts w:ascii="Times New Roman" w:hAnsi="Times New Roman" w:cs="Times New Roman"/>
          <w:i/>
          <w:sz w:val="20"/>
          <w:lang w:val="ro-MD"/>
        </w:rPr>
        <w:t xml:space="preserve"> Darea de seamă generalizatoare privind calcularea, utilizarea și transferarea contribuțiilor de asigurări sociale de stat pentru anii 2021-2023</w:t>
      </w:r>
      <w:r w:rsidR="00A25D91" w:rsidRPr="00DD5F1D">
        <w:rPr>
          <w:rFonts w:ascii="Times New Roman" w:hAnsi="Times New Roman" w:cs="Times New Roman"/>
          <w:i/>
          <w:sz w:val="20"/>
          <w:lang w:val="ro-MD"/>
        </w:rPr>
        <w:t>.</w:t>
      </w:r>
    </w:p>
    <w:p w14:paraId="34C40E3C" w14:textId="63A17F8D" w:rsidR="00124098" w:rsidRPr="00DD5F1D" w:rsidRDefault="00124098" w:rsidP="00015DB3">
      <w:pPr>
        <w:spacing w:after="0"/>
        <w:jc w:val="both"/>
        <w:rPr>
          <w:rFonts w:ascii="Times New Roman" w:eastAsia="Times New Roman" w:hAnsi="Times New Roman" w:cs="Times New Roman"/>
          <w:sz w:val="24"/>
          <w:szCs w:val="24"/>
          <w:lang w:val="ro-MD"/>
        </w:rPr>
      </w:pPr>
      <w:r w:rsidRPr="00DD5F1D">
        <w:rPr>
          <w:rFonts w:ascii="Times New Roman" w:hAnsi="Times New Roman" w:cs="Times New Roman"/>
          <w:sz w:val="24"/>
          <w:szCs w:val="24"/>
          <w:lang w:val="ro-MD"/>
        </w:rPr>
        <w:t>În același timp, numărul beneficiarilor de prestații sociale la finele anului 2023 a constituit 850</w:t>
      </w:r>
      <w:r w:rsidR="00431E6D"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511,</w:t>
      </w:r>
      <w:r w:rsidR="00431E6D" w:rsidRPr="00DD5F1D">
        <w:rPr>
          <w:rFonts w:ascii="Times New Roman" w:hAnsi="Times New Roman" w:cs="Times New Roman"/>
          <w:sz w:val="24"/>
          <w:szCs w:val="24"/>
          <w:lang w:val="ro-MD"/>
        </w:rPr>
        <w:t xml:space="preserve"> ceea ce este</w:t>
      </w:r>
      <w:r w:rsidRPr="00DD5F1D">
        <w:rPr>
          <w:rFonts w:ascii="Times New Roman" w:hAnsi="Times New Roman" w:cs="Times New Roman"/>
          <w:sz w:val="24"/>
          <w:szCs w:val="24"/>
          <w:lang w:val="ro-MD"/>
        </w:rPr>
        <w:t xml:space="preserve"> în creștere cu 10</w:t>
      </w:r>
      <w:r w:rsidR="00431E6D"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728 </w:t>
      </w:r>
      <w:r w:rsidR="00A25D91"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persoane față de anul 2022, în special datorită creșterii cu 7</w:t>
      </w:r>
      <w:r w:rsidR="00A25D91"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342 </w:t>
      </w:r>
      <w:r w:rsidR="00A25D91"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 xml:space="preserve">persoane a beneficiarilor neasigurați care au primit </w:t>
      </w:r>
      <w:r w:rsidR="00A25D91" w:rsidRPr="00DD5F1D">
        <w:rPr>
          <w:rFonts w:ascii="Times New Roman" w:hAnsi="Times New Roman" w:cs="Times New Roman"/>
          <w:sz w:val="24"/>
          <w:szCs w:val="24"/>
          <w:lang w:val="ro-MD"/>
        </w:rPr>
        <w:t>i</w:t>
      </w:r>
      <w:r w:rsidRPr="00DD5F1D">
        <w:rPr>
          <w:rFonts w:ascii="Times New Roman" w:hAnsi="Times New Roman" w:cs="Times New Roman"/>
          <w:sz w:val="24"/>
          <w:szCs w:val="24"/>
          <w:lang w:val="ro-MD"/>
        </w:rPr>
        <w:t>ndemnizații pentru creșterea copilului. Cât ține de pensionari, se denotă că aceștia au fost în număr de 674 891</w:t>
      </w:r>
      <w:r w:rsidR="00A25D91"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de persoane, sau cu 783 </w:t>
      </w:r>
      <w:r w:rsidR="00A25D91"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 xml:space="preserve">persoane mai puțin. Astfel, </w:t>
      </w:r>
      <w:r w:rsidR="00A25D91" w:rsidRPr="00DD5F1D">
        <w:rPr>
          <w:rFonts w:ascii="Times New Roman" w:hAnsi="Times New Roman" w:cs="Times New Roman"/>
          <w:sz w:val="24"/>
          <w:szCs w:val="24"/>
          <w:lang w:val="ro-MD"/>
        </w:rPr>
        <w:t xml:space="preserve">numărul </w:t>
      </w:r>
      <w:r w:rsidRPr="00DD5F1D">
        <w:rPr>
          <w:rFonts w:ascii="Times New Roman" w:hAnsi="Times New Roman" w:cs="Times New Roman"/>
          <w:sz w:val="24"/>
          <w:szCs w:val="24"/>
          <w:lang w:val="ro-MD"/>
        </w:rPr>
        <w:t>beneficiari</w:t>
      </w:r>
      <w:r w:rsidR="00A25D91" w:rsidRPr="00DD5F1D">
        <w:rPr>
          <w:rFonts w:ascii="Times New Roman" w:hAnsi="Times New Roman" w:cs="Times New Roman"/>
          <w:sz w:val="24"/>
          <w:szCs w:val="24"/>
          <w:lang w:val="ro-MD"/>
        </w:rPr>
        <w:t>lor de</w:t>
      </w:r>
      <w:r w:rsidRPr="00DD5F1D">
        <w:rPr>
          <w:rFonts w:ascii="Times New Roman" w:hAnsi="Times New Roman" w:cs="Times New Roman"/>
          <w:sz w:val="24"/>
          <w:szCs w:val="24"/>
          <w:lang w:val="ro-MD"/>
        </w:rPr>
        <w:t xml:space="preserve"> pensie pentru limită de vârstă s</w:t>
      </w:r>
      <w:r w:rsidR="00A25D91"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a majorat cu 2</w:t>
      </w:r>
      <w:r w:rsidR="00431E6D"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649</w:t>
      </w:r>
      <w:r w:rsidR="00A25D91" w:rsidRPr="00DD5F1D">
        <w:rPr>
          <w:rFonts w:ascii="Times New Roman" w:hAnsi="Times New Roman" w:cs="Times New Roman"/>
          <w:sz w:val="24"/>
          <w:szCs w:val="24"/>
          <w:lang w:val="ro-MD"/>
        </w:rPr>
        <w:t xml:space="preserve"> de </w:t>
      </w:r>
      <w:r w:rsidRPr="00DD5F1D">
        <w:rPr>
          <w:rFonts w:ascii="Times New Roman" w:hAnsi="Times New Roman" w:cs="Times New Roman"/>
          <w:sz w:val="24"/>
          <w:szCs w:val="24"/>
          <w:lang w:val="ro-MD"/>
        </w:rPr>
        <w:t xml:space="preserve"> persoane</w:t>
      </w:r>
      <w:r w:rsidR="00A25D91"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w:t>
      </w:r>
      <w:r w:rsidR="007836D4" w:rsidRPr="00DD5F1D">
        <w:rPr>
          <w:rFonts w:ascii="Times New Roman" w:hAnsi="Times New Roman" w:cs="Times New Roman"/>
          <w:sz w:val="24"/>
          <w:szCs w:val="24"/>
          <w:lang w:val="ro-MD"/>
        </w:rPr>
        <w:t>până</w:t>
      </w:r>
      <w:r w:rsidRPr="00DD5F1D">
        <w:rPr>
          <w:rFonts w:ascii="Times New Roman" w:hAnsi="Times New Roman" w:cs="Times New Roman"/>
          <w:sz w:val="24"/>
          <w:szCs w:val="24"/>
          <w:lang w:val="ro-MD"/>
        </w:rPr>
        <w:t xml:space="preserve"> la </w:t>
      </w:r>
      <w:r w:rsidRPr="00DD5F1D">
        <w:rPr>
          <w:rFonts w:ascii="Times New Roman" w:eastAsia="Times New Roman" w:hAnsi="Times New Roman" w:cs="Times New Roman"/>
          <w:sz w:val="24"/>
          <w:szCs w:val="24"/>
          <w:lang w:val="ro-MD"/>
        </w:rPr>
        <w:t xml:space="preserve">528 666 </w:t>
      </w:r>
      <w:r w:rsidR="00A25D91" w:rsidRPr="00DD5F1D">
        <w:rPr>
          <w:rFonts w:ascii="Times New Roman" w:eastAsia="Times New Roman" w:hAnsi="Times New Roman" w:cs="Times New Roman"/>
          <w:sz w:val="24"/>
          <w:szCs w:val="24"/>
          <w:lang w:val="ro-MD"/>
        </w:rPr>
        <w:t xml:space="preserve">de </w:t>
      </w:r>
      <w:r w:rsidRPr="00DD5F1D">
        <w:rPr>
          <w:rFonts w:ascii="Times New Roman" w:eastAsia="Times New Roman" w:hAnsi="Times New Roman" w:cs="Times New Roman"/>
          <w:sz w:val="24"/>
          <w:szCs w:val="24"/>
          <w:lang w:val="ro-MD"/>
        </w:rPr>
        <w:t xml:space="preserve">persoane, iar </w:t>
      </w:r>
      <w:r w:rsidR="00A25D91" w:rsidRPr="00DD5F1D">
        <w:rPr>
          <w:rFonts w:ascii="Times New Roman" w:eastAsia="Times New Roman" w:hAnsi="Times New Roman" w:cs="Times New Roman"/>
          <w:sz w:val="24"/>
          <w:szCs w:val="24"/>
          <w:lang w:val="ro-MD"/>
        </w:rPr>
        <w:t xml:space="preserve">numărul </w:t>
      </w:r>
      <w:r w:rsidRPr="00DD5F1D">
        <w:rPr>
          <w:rFonts w:ascii="Times New Roman" w:eastAsia="Times New Roman" w:hAnsi="Times New Roman" w:cs="Times New Roman"/>
          <w:sz w:val="24"/>
          <w:szCs w:val="24"/>
          <w:lang w:val="ro-MD"/>
        </w:rPr>
        <w:t>beneficiari</w:t>
      </w:r>
      <w:r w:rsidR="00A25D91" w:rsidRPr="00DD5F1D">
        <w:rPr>
          <w:rFonts w:ascii="Times New Roman" w:eastAsia="Times New Roman" w:hAnsi="Times New Roman" w:cs="Times New Roman"/>
          <w:sz w:val="24"/>
          <w:szCs w:val="24"/>
          <w:lang w:val="ro-MD"/>
        </w:rPr>
        <w:t>lor</w:t>
      </w:r>
      <w:r w:rsidRPr="00DD5F1D">
        <w:rPr>
          <w:rFonts w:ascii="Times New Roman" w:eastAsia="Times New Roman" w:hAnsi="Times New Roman" w:cs="Times New Roman"/>
          <w:sz w:val="24"/>
          <w:szCs w:val="24"/>
          <w:lang w:val="ro-MD"/>
        </w:rPr>
        <w:t xml:space="preserve"> de pensii de dizabilitate s</w:t>
      </w:r>
      <w:r w:rsidR="00A25D91" w:rsidRPr="00DD5F1D">
        <w:rPr>
          <w:rFonts w:ascii="Times New Roman" w:eastAsia="Times New Roman" w:hAnsi="Times New Roman" w:cs="Times New Roman"/>
          <w:sz w:val="24"/>
          <w:szCs w:val="24"/>
          <w:lang w:val="ro-MD"/>
        </w:rPr>
        <w:t>-</w:t>
      </w:r>
      <w:r w:rsidRPr="00DD5F1D">
        <w:rPr>
          <w:rFonts w:ascii="Times New Roman" w:eastAsia="Times New Roman" w:hAnsi="Times New Roman" w:cs="Times New Roman"/>
          <w:sz w:val="24"/>
          <w:szCs w:val="24"/>
          <w:lang w:val="ro-MD"/>
        </w:rPr>
        <w:t>a micșorat cu 3</w:t>
      </w:r>
      <w:r w:rsidR="00431E6D" w:rsidRPr="00DD5F1D">
        <w:rPr>
          <w:rFonts w:ascii="Times New Roman" w:eastAsia="Times New Roman" w:hAnsi="Times New Roman" w:cs="Times New Roman"/>
          <w:sz w:val="24"/>
          <w:szCs w:val="24"/>
          <w:lang w:val="ro-MD"/>
        </w:rPr>
        <w:t xml:space="preserve"> </w:t>
      </w:r>
      <w:r w:rsidRPr="00DD5F1D">
        <w:rPr>
          <w:rFonts w:ascii="Times New Roman" w:eastAsia="Times New Roman" w:hAnsi="Times New Roman" w:cs="Times New Roman"/>
          <w:sz w:val="24"/>
          <w:szCs w:val="24"/>
          <w:lang w:val="ro-MD"/>
        </w:rPr>
        <w:t>402 persoane</w:t>
      </w:r>
      <w:r w:rsidR="007836D4" w:rsidRPr="00DD5F1D">
        <w:rPr>
          <w:rFonts w:ascii="Times New Roman" w:hAnsi="Times New Roman" w:cs="Times New Roman"/>
          <w:sz w:val="24"/>
          <w:szCs w:val="24"/>
          <w:lang w:val="ro-MD"/>
        </w:rPr>
        <w:t xml:space="preserve"> (Anexa nr. </w:t>
      </w:r>
      <w:r w:rsidR="000E2AC7" w:rsidRPr="00DD5F1D">
        <w:rPr>
          <w:rFonts w:ascii="Times New Roman" w:hAnsi="Times New Roman" w:cs="Times New Roman"/>
          <w:sz w:val="24"/>
          <w:szCs w:val="24"/>
          <w:lang w:val="ro-MD"/>
        </w:rPr>
        <w:t>7</w:t>
      </w:r>
      <w:r w:rsidR="00A25D91" w:rsidRPr="00DD5F1D">
        <w:rPr>
          <w:rFonts w:ascii="Times New Roman" w:hAnsi="Times New Roman" w:cs="Times New Roman"/>
          <w:sz w:val="24"/>
          <w:szCs w:val="24"/>
          <w:lang w:val="ro-MD"/>
        </w:rPr>
        <w:t xml:space="preserve"> </w:t>
      </w:r>
      <w:r w:rsidR="00A25D91" w:rsidRPr="00DD5F1D">
        <w:rPr>
          <w:rFonts w:ascii="Times New Roman" w:eastAsia="Times New Roman" w:hAnsi="Times New Roman" w:cs="Times New Roman"/>
          <w:sz w:val="24"/>
          <w:szCs w:val="24"/>
          <w:lang w:val="ro-MD"/>
        </w:rPr>
        <w:t>la prezentul Raport de audit</w:t>
      </w:r>
      <w:r w:rsidRPr="00DD5F1D">
        <w:rPr>
          <w:rFonts w:ascii="Times New Roman" w:hAnsi="Times New Roman" w:cs="Times New Roman"/>
          <w:sz w:val="24"/>
          <w:szCs w:val="24"/>
          <w:lang w:val="ro-MD"/>
        </w:rPr>
        <w:t>).</w:t>
      </w:r>
    </w:p>
    <w:p w14:paraId="6062E205" w14:textId="6EABEA1C" w:rsidR="00124098" w:rsidRPr="00DD5F1D" w:rsidRDefault="00124098" w:rsidP="00015DB3">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În aceste circumstanțe, se denotă că, la momentul actual, un contribuabil susține un beneficiar de prestaț</w:t>
      </w:r>
      <w:r w:rsidR="0020051D" w:rsidRPr="00DD5F1D">
        <w:rPr>
          <w:rFonts w:ascii="Times New Roman" w:hAnsi="Times New Roman" w:cs="Times New Roman"/>
          <w:sz w:val="24"/>
          <w:szCs w:val="24"/>
          <w:lang w:val="ro-MD"/>
        </w:rPr>
        <w:t xml:space="preserve">ii sociale, </w:t>
      </w:r>
      <w:r w:rsidR="0020051D" w:rsidRPr="00CD6528">
        <w:rPr>
          <w:rFonts w:ascii="Times New Roman" w:hAnsi="Times New Roman" w:cs="Times New Roman"/>
          <w:sz w:val="24"/>
          <w:szCs w:val="24"/>
          <w:lang w:val="ro-MD"/>
        </w:rPr>
        <w:t xml:space="preserve">raportul </w:t>
      </w:r>
      <w:r w:rsidR="0020051D" w:rsidRPr="007D32B0">
        <w:rPr>
          <w:rFonts w:ascii="Times New Roman" w:hAnsi="Times New Roman" w:cs="Times New Roman"/>
          <w:sz w:val="24"/>
          <w:szCs w:val="24"/>
          <w:lang w:val="ro-MD"/>
        </w:rPr>
        <w:t xml:space="preserve">fiind </w:t>
      </w:r>
      <w:r w:rsidR="00A25D91" w:rsidRPr="007D32B0">
        <w:rPr>
          <w:rFonts w:ascii="Times New Roman" w:hAnsi="Times New Roman" w:cs="Times New Roman"/>
          <w:sz w:val="24"/>
          <w:szCs w:val="24"/>
          <w:lang w:val="ro-MD"/>
        </w:rPr>
        <w:t xml:space="preserve">de </w:t>
      </w:r>
      <w:r w:rsidR="00CD6528" w:rsidRPr="00CD6528">
        <w:rPr>
          <w:rFonts w:ascii="Times New Roman" w:hAnsi="Times New Roman" w:cs="Times New Roman"/>
          <w:sz w:val="24"/>
          <w:szCs w:val="24"/>
          <w:lang w:val="ro-MD"/>
        </w:rPr>
        <w:t xml:space="preserve">1 la </w:t>
      </w:r>
      <w:r w:rsidRPr="007D32B0">
        <w:rPr>
          <w:rFonts w:ascii="Times New Roman" w:hAnsi="Times New Roman" w:cs="Times New Roman"/>
          <w:sz w:val="24"/>
          <w:szCs w:val="24"/>
          <w:lang w:val="ro-MD"/>
        </w:rPr>
        <w:t>1,05</w:t>
      </w:r>
      <w:r w:rsidRPr="00CD6528">
        <w:rPr>
          <w:rFonts w:ascii="Times New Roman" w:hAnsi="Times New Roman" w:cs="Times New Roman"/>
          <w:sz w:val="24"/>
          <w:szCs w:val="24"/>
          <w:lang w:val="ro-MD"/>
        </w:rPr>
        <w:t>.</w:t>
      </w:r>
      <w:r w:rsidR="007F4823" w:rsidRPr="00CD6528">
        <w:rPr>
          <w:rFonts w:ascii="Times New Roman" w:hAnsi="Times New Roman" w:cs="Times New Roman"/>
          <w:sz w:val="24"/>
          <w:szCs w:val="24"/>
          <w:lang w:val="ro-MD"/>
        </w:rPr>
        <w:t xml:space="preserve"> </w:t>
      </w:r>
      <w:r w:rsidRPr="00CD6528">
        <w:rPr>
          <w:rFonts w:ascii="Times New Roman" w:hAnsi="Times New Roman" w:cs="Times New Roman"/>
          <w:sz w:val="24"/>
          <w:szCs w:val="24"/>
          <w:lang w:val="ro-MD"/>
        </w:rPr>
        <w:t>Totodată</w:t>
      </w:r>
      <w:r w:rsidRPr="00DD5F1D">
        <w:rPr>
          <w:rFonts w:ascii="Times New Roman" w:hAnsi="Times New Roman" w:cs="Times New Roman"/>
          <w:sz w:val="24"/>
          <w:szCs w:val="24"/>
          <w:lang w:val="ro-MD"/>
        </w:rPr>
        <w:t>, 201</w:t>
      </w:r>
      <w:r w:rsidR="00431E6D"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854 </w:t>
      </w:r>
      <w:r w:rsidR="00A25D91"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 xml:space="preserve">contribuabili sunt concomitent și beneficiari de prestații sociale, practic </w:t>
      </w:r>
      <w:r w:rsidR="00A25D91" w:rsidRPr="00DD5F1D">
        <w:rPr>
          <w:rFonts w:ascii="Times New Roman" w:hAnsi="Times New Roman" w:cs="Times New Roman"/>
          <w:sz w:val="24"/>
          <w:szCs w:val="24"/>
          <w:lang w:val="ro-MD"/>
        </w:rPr>
        <w:t xml:space="preserve">aceștia </w:t>
      </w:r>
      <w:r w:rsidRPr="00DD5F1D">
        <w:rPr>
          <w:rFonts w:ascii="Times New Roman" w:hAnsi="Times New Roman" w:cs="Times New Roman"/>
          <w:sz w:val="24"/>
          <w:szCs w:val="24"/>
          <w:lang w:val="ro-MD"/>
        </w:rPr>
        <w:t>își asigură singuri prestația.</w:t>
      </w:r>
    </w:p>
    <w:p w14:paraId="4C85CBEF" w14:textId="453F378D" w:rsidR="00124098" w:rsidRPr="00DD5F1D" w:rsidRDefault="00124098" w:rsidP="00124098">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Aspectul d</w:t>
      </w:r>
      <w:r w:rsidR="00431E6D" w:rsidRPr="00DD5F1D">
        <w:rPr>
          <w:rFonts w:ascii="Times New Roman" w:hAnsi="Times New Roman" w:cs="Times New Roman"/>
          <w:sz w:val="24"/>
          <w:szCs w:val="24"/>
          <w:lang w:val="ro-MD"/>
        </w:rPr>
        <w:t>emografic pune presiune</w:t>
      </w:r>
      <w:r w:rsidRPr="00DD5F1D">
        <w:rPr>
          <w:rFonts w:ascii="Times New Roman" w:hAnsi="Times New Roman" w:cs="Times New Roman"/>
          <w:sz w:val="24"/>
          <w:szCs w:val="24"/>
          <w:lang w:val="ro-MD"/>
        </w:rPr>
        <w:t xml:space="preserve"> pe sistemul de pensionare al Republicii Moldova, reieșind din faptul că sistemul de asigurări sociale se bazează pe principiul solidarității inter </w:t>
      </w:r>
      <w:r w:rsidR="007F4823" w:rsidRPr="00DD5F1D">
        <w:rPr>
          <w:rFonts w:ascii="Times New Roman" w:hAnsi="Times New Roman" w:cs="Times New Roman"/>
          <w:sz w:val="24"/>
          <w:szCs w:val="24"/>
          <w:lang w:val="ro-MD"/>
        </w:rPr>
        <w:t>și</w:t>
      </w:r>
      <w:r w:rsidRPr="00DD5F1D">
        <w:rPr>
          <w:rFonts w:ascii="Times New Roman" w:hAnsi="Times New Roman" w:cs="Times New Roman"/>
          <w:sz w:val="24"/>
          <w:szCs w:val="24"/>
          <w:lang w:val="ro-MD"/>
        </w:rPr>
        <w:t xml:space="preserve"> intrageneraţii</w:t>
      </w:r>
      <w:r w:rsidR="001A798E" w:rsidRPr="00DD5F1D">
        <w:rPr>
          <w:rStyle w:val="a5"/>
          <w:rFonts w:ascii="Times New Roman" w:hAnsi="Times New Roman" w:cs="Times New Roman"/>
          <w:sz w:val="24"/>
          <w:szCs w:val="24"/>
          <w:lang w:val="ro-MD"/>
        </w:rPr>
        <w:footnoteReference w:id="13"/>
      </w:r>
      <w:r w:rsidRPr="00DD5F1D">
        <w:rPr>
          <w:rFonts w:ascii="Times New Roman" w:hAnsi="Times New Roman" w:cs="Times New Roman"/>
          <w:sz w:val="24"/>
          <w:szCs w:val="24"/>
          <w:lang w:val="ro-MD"/>
        </w:rPr>
        <w:t>. Coeficientul de îmbătrânire</w:t>
      </w:r>
      <w:r w:rsidRPr="00DD5F1D">
        <w:rPr>
          <w:rStyle w:val="a5"/>
          <w:rFonts w:ascii="Times New Roman" w:hAnsi="Times New Roman" w:cs="Times New Roman"/>
          <w:sz w:val="24"/>
          <w:szCs w:val="24"/>
          <w:lang w:val="ro-MD"/>
        </w:rPr>
        <w:footnoteReference w:id="14"/>
      </w:r>
      <w:r w:rsidRPr="00DD5F1D">
        <w:rPr>
          <w:rFonts w:ascii="Times New Roman" w:hAnsi="Times New Roman" w:cs="Times New Roman"/>
          <w:sz w:val="24"/>
          <w:szCs w:val="24"/>
          <w:lang w:val="ro-MD"/>
        </w:rPr>
        <w:t xml:space="preserve"> în 2015 a fost de 18,1%, în 2020 – de 21,7%, iar în 2023  – de 23,8%</w:t>
      </w:r>
      <w:r w:rsidRPr="00DD5F1D">
        <w:rPr>
          <w:rStyle w:val="a5"/>
          <w:rFonts w:ascii="Times New Roman" w:hAnsi="Times New Roman" w:cs="Times New Roman"/>
          <w:sz w:val="24"/>
          <w:szCs w:val="24"/>
          <w:lang w:val="ro-MD"/>
        </w:rPr>
        <w:footnoteReference w:id="15"/>
      </w:r>
      <w:r w:rsidRPr="00DD5F1D">
        <w:rPr>
          <w:rFonts w:ascii="Times New Roman" w:hAnsi="Times New Roman" w:cs="Times New Roman"/>
          <w:sz w:val="24"/>
          <w:szCs w:val="24"/>
          <w:lang w:val="ro-MD"/>
        </w:rPr>
        <w:t>. Îmbătrânirea activă a populației Republicii Moldova are loc din câteva motive: pe de o parte, speranța de viață a oamenilor crește</w:t>
      </w:r>
      <w:r w:rsidR="00A25D91"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în anul 2015 </w:t>
      </w:r>
      <w:r w:rsidR="00A25D91" w:rsidRPr="00DD5F1D">
        <w:rPr>
          <w:rFonts w:ascii="Times New Roman" w:hAnsi="Times New Roman" w:cs="Times New Roman"/>
          <w:sz w:val="24"/>
          <w:szCs w:val="24"/>
          <w:lang w:val="ro-MD"/>
        </w:rPr>
        <w:t xml:space="preserve">aceasta </w:t>
      </w:r>
      <w:r w:rsidRPr="00DD5F1D">
        <w:rPr>
          <w:rFonts w:ascii="Times New Roman" w:hAnsi="Times New Roman" w:cs="Times New Roman"/>
          <w:sz w:val="24"/>
          <w:szCs w:val="24"/>
          <w:lang w:val="ro-MD"/>
        </w:rPr>
        <w:t>a constituit 69,4 ani, iar în anul 2022 a crescut până la 71,4 ani, iar acest fapt duce și la creșterea numărului persoanelor în vârstă; pe de altă parte, natalitatea este în scădere. Rata natalității înregistrată în anul 2022 a constituit 10,6 (la 1</w:t>
      </w:r>
      <w:r w:rsidR="00431E6D"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000 </w:t>
      </w:r>
      <w:r w:rsidR="00A25D91"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locuitori), fiind cea mai joasă din ultimii 5 ani</w:t>
      </w:r>
      <w:r w:rsidRPr="00DD5F1D">
        <w:rPr>
          <w:rStyle w:val="a5"/>
          <w:rFonts w:ascii="Times New Roman" w:hAnsi="Times New Roman" w:cs="Times New Roman"/>
          <w:sz w:val="24"/>
          <w:szCs w:val="24"/>
          <w:lang w:val="ro-MD"/>
        </w:rPr>
        <w:footnoteReference w:id="16"/>
      </w:r>
      <w:r w:rsidRPr="00DD5F1D">
        <w:rPr>
          <w:rFonts w:ascii="Times New Roman" w:eastAsia="Times New Roman" w:hAnsi="Times New Roman" w:cs="Times New Roman"/>
          <w:color w:val="444444"/>
          <w:sz w:val="24"/>
          <w:szCs w:val="24"/>
          <w:lang w:val="ro-MD"/>
        </w:rPr>
        <w:t>.</w:t>
      </w:r>
      <w:r w:rsidRPr="00DD5F1D">
        <w:rPr>
          <w:rFonts w:ascii="Times New Roman" w:hAnsi="Times New Roman" w:cs="Times New Roman"/>
          <w:sz w:val="24"/>
          <w:szCs w:val="24"/>
          <w:lang w:val="ro-MD"/>
        </w:rPr>
        <w:t xml:space="preserve"> Astfel, persoanele noi care vor intra în sistemul de asigurări sociale în calitate de contribuabili vor fi în descreștere. </w:t>
      </w:r>
    </w:p>
    <w:p w14:paraId="43ED5BCD" w14:textId="7ED9C4F6" w:rsidR="00124098" w:rsidRPr="00DD5F1D" w:rsidRDefault="00124098" w:rsidP="00124098">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Potrivit normelor legale</w:t>
      </w:r>
      <w:r w:rsidRPr="00DD5F1D">
        <w:rPr>
          <w:rStyle w:val="a5"/>
          <w:rFonts w:ascii="Times New Roman" w:hAnsi="Times New Roman" w:cs="Times New Roman"/>
          <w:sz w:val="24"/>
          <w:szCs w:val="24"/>
          <w:lang w:val="ro-MD"/>
        </w:rPr>
        <w:footnoteReference w:id="17"/>
      </w:r>
      <w:r w:rsidRPr="00DD5F1D">
        <w:rPr>
          <w:rFonts w:ascii="Times New Roman" w:hAnsi="Times New Roman" w:cs="Times New Roman"/>
          <w:sz w:val="24"/>
          <w:szCs w:val="24"/>
          <w:lang w:val="ro-MD"/>
        </w:rPr>
        <w:t xml:space="preserve">, prognoza </w:t>
      </w:r>
      <w:r w:rsidR="007F4823" w:rsidRPr="00DD5F1D">
        <w:rPr>
          <w:rFonts w:ascii="Times New Roman" w:hAnsi="Times New Roman" w:cs="Times New Roman"/>
          <w:sz w:val="24"/>
          <w:szCs w:val="24"/>
          <w:lang w:val="ro-MD"/>
        </w:rPr>
        <w:t>contribuțiilor</w:t>
      </w:r>
      <w:r w:rsidRPr="00DD5F1D">
        <w:rPr>
          <w:rFonts w:ascii="Times New Roman" w:hAnsi="Times New Roman" w:cs="Times New Roman"/>
          <w:sz w:val="24"/>
          <w:szCs w:val="24"/>
          <w:lang w:val="ro-MD"/>
        </w:rPr>
        <w:t xml:space="preserve"> obligatorii de asigurări sociale de stat se efectuează în temeiul politicii în domeniul asigurării sociale de stat, elaborate de către Ministerul Muncii şi Protecţiei Sociale pe termen mediu, al analizei bazei de calcul a </w:t>
      </w:r>
      <w:r w:rsidR="00431E6D" w:rsidRPr="00DD5F1D">
        <w:rPr>
          <w:rFonts w:ascii="Times New Roman" w:hAnsi="Times New Roman" w:cs="Times New Roman"/>
          <w:sz w:val="24"/>
          <w:szCs w:val="24"/>
          <w:lang w:val="ro-MD"/>
        </w:rPr>
        <w:t>contribuțiilor</w:t>
      </w:r>
      <w:r w:rsidRPr="00DD5F1D">
        <w:rPr>
          <w:rFonts w:ascii="Times New Roman" w:hAnsi="Times New Roman" w:cs="Times New Roman"/>
          <w:sz w:val="24"/>
          <w:szCs w:val="24"/>
          <w:lang w:val="ro-MD"/>
        </w:rPr>
        <w:t xml:space="preserve"> de asigurări sociale de stat din anii </w:t>
      </w:r>
      <w:r w:rsidR="00AC563D" w:rsidRPr="00DD5F1D">
        <w:rPr>
          <w:rFonts w:ascii="Times New Roman" w:hAnsi="Times New Roman" w:cs="Times New Roman"/>
          <w:sz w:val="24"/>
          <w:szCs w:val="24"/>
          <w:lang w:val="ro-MD"/>
        </w:rPr>
        <w:t>precedenți</w:t>
      </w:r>
      <w:r w:rsidRPr="00DD5F1D">
        <w:rPr>
          <w:rFonts w:ascii="Times New Roman" w:hAnsi="Times New Roman" w:cs="Times New Roman"/>
          <w:sz w:val="24"/>
          <w:szCs w:val="24"/>
          <w:lang w:val="ro-MD"/>
        </w:rPr>
        <w:t xml:space="preserve">, cu aplicarea indicatorilor macroeconomici pe termen mediu </w:t>
      </w:r>
      <w:r w:rsidR="00431E6D" w:rsidRPr="00DD5F1D">
        <w:rPr>
          <w:rFonts w:ascii="Times New Roman" w:hAnsi="Times New Roman" w:cs="Times New Roman"/>
          <w:sz w:val="24"/>
          <w:szCs w:val="24"/>
          <w:lang w:val="ro-MD"/>
        </w:rPr>
        <w:t>prognozați</w:t>
      </w:r>
      <w:r w:rsidRPr="00DD5F1D">
        <w:rPr>
          <w:rFonts w:ascii="Times New Roman" w:hAnsi="Times New Roman" w:cs="Times New Roman"/>
          <w:sz w:val="24"/>
          <w:szCs w:val="24"/>
          <w:lang w:val="ro-MD"/>
        </w:rPr>
        <w:t>. Concomitent, cheltuielile din mijloacele BASS se estimează în temeiul politicii în domeniul asigurării sociale de stat, al analizei datelor statistice privind numărul beneficiarilor și mărimii medii a prestațiilor pe parcursul a cel puțin 2-3 ani anteriori</w:t>
      </w:r>
      <w:r w:rsidR="005839EC"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cu aplicarea indicatorilor macroeconomici</w:t>
      </w:r>
      <w:r w:rsidRPr="00DD5F1D">
        <w:rPr>
          <w:rStyle w:val="a5"/>
          <w:rFonts w:ascii="Times New Roman" w:hAnsi="Times New Roman" w:cs="Times New Roman"/>
          <w:sz w:val="24"/>
          <w:szCs w:val="24"/>
          <w:lang w:val="ro-MD"/>
        </w:rPr>
        <w:footnoteReference w:id="18"/>
      </w:r>
      <w:r w:rsidRPr="00DD5F1D">
        <w:rPr>
          <w:rFonts w:ascii="Times New Roman" w:hAnsi="Times New Roman" w:cs="Times New Roman"/>
          <w:sz w:val="24"/>
          <w:szCs w:val="24"/>
          <w:lang w:val="ro-MD"/>
        </w:rPr>
        <w:t xml:space="preserve">. </w:t>
      </w:r>
      <w:r w:rsidRPr="00DD5F1D">
        <w:rPr>
          <w:rFonts w:ascii="Times New Roman" w:hAnsi="Times New Roman" w:cs="Times New Roman"/>
          <w:color w:val="000000" w:themeColor="text1"/>
          <w:sz w:val="24"/>
          <w:szCs w:val="24"/>
          <w:lang w:val="ro-MD"/>
        </w:rPr>
        <w:t>Prin urmare</w:t>
      </w:r>
      <w:r w:rsidRPr="00CD6528">
        <w:rPr>
          <w:rFonts w:ascii="Times New Roman" w:hAnsi="Times New Roman" w:cs="Times New Roman"/>
          <w:color w:val="000000" w:themeColor="text1"/>
          <w:sz w:val="24"/>
          <w:szCs w:val="24"/>
          <w:lang w:val="ro-MD"/>
        </w:rPr>
        <w:t xml:space="preserve">, </w:t>
      </w:r>
      <w:r w:rsidRPr="007D32B0">
        <w:rPr>
          <w:rFonts w:ascii="Times New Roman" w:hAnsi="Times New Roman" w:cs="Times New Roman"/>
          <w:color w:val="000000" w:themeColor="text1"/>
          <w:sz w:val="24"/>
          <w:szCs w:val="24"/>
          <w:lang w:val="ro-MD"/>
        </w:rPr>
        <w:t>reieșind din scăderea numărului de contribuabili din ultimii ani</w:t>
      </w:r>
      <w:r w:rsidR="00CD6528" w:rsidRPr="00CD6528">
        <w:rPr>
          <w:rFonts w:ascii="Times New Roman" w:hAnsi="Times New Roman" w:cs="Times New Roman"/>
          <w:color w:val="000000" w:themeColor="text1"/>
          <w:sz w:val="24"/>
          <w:szCs w:val="24"/>
          <w:lang w:val="ro-MD"/>
        </w:rPr>
        <w:t xml:space="preserve"> (2019)</w:t>
      </w:r>
      <w:r w:rsidRPr="007D32B0">
        <w:rPr>
          <w:rFonts w:ascii="Times New Roman" w:hAnsi="Times New Roman" w:cs="Times New Roman"/>
          <w:color w:val="000000" w:themeColor="text1"/>
          <w:sz w:val="24"/>
          <w:szCs w:val="24"/>
          <w:lang w:val="ro-MD"/>
        </w:rPr>
        <w:t>,</w:t>
      </w:r>
      <w:r w:rsidRPr="00CD6528">
        <w:rPr>
          <w:rFonts w:ascii="Times New Roman" w:hAnsi="Times New Roman" w:cs="Times New Roman"/>
          <w:color w:val="000000" w:themeColor="text1"/>
          <w:sz w:val="24"/>
          <w:szCs w:val="24"/>
          <w:lang w:val="ro-MD"/>
        </w:rPr>
        <w:t xml:space="preserve"> corelat cu creșterea b</w:t>
      </w:r>
      <w:r w:rsidRPr="00DD5F1D">
        <w:rPr>
          <w:rFonts w:ascii="Times New Roman" w:hAnsi="Times New Roman" w:cs="Times New Roman"/>
          <w:color w:val="000000" w:themeColor="text1"/>
          <w:sz w:val="24"/>
          <w:szCs w:val="24"/>
          <w:lang w:val="ro-MD"/>
        </w:rPr>
        <w:t>eneficiarilor de prestații, va crește presiunea asupra BASS.</w:t>
      </w:r>
    </w:p>
    <w:p w14:paraId="0EDF92FA" w14:textId="77777777" w:rsidR="00B82245" w:rsidRPr="00DD5F1D" w:rsidRDefault="00124098" w:rsidP="004B301E">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O altă problemă este utilizarea muncii la negru și/sau achitarea salariilor în plic</w:t>
      </w:r>
      <w:r w:rsidR="005839EC"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care generează efecte negative asupra bugetului de stat, bugetul</w:t>
      </w:r>
      <w:r w:rsidR="005839EC" w:rsidRPr="00DD5F1D">
        <w:rPr>
          <w:rFonts w:ascii="Times New Roman" w:hAnsi="Times New Roman" w:cs="Times New Roman"/>
          <w:sz w:val="24"/>
          <w:szCs w:val="24"/>
          <w:lang w:val="ro-MD"/>
        </w:rPr>
        <w:t>ui</w:t>
      </w:r>
      <w:r w:rsidRPr="00DD5F1D">
        <w:rPr>
          <w:rFonts w:ascii="Times New Roman" w:hAnsi="Times New Roman" w:cs="Times New Roman"/>
          <w:sz w:val="24"/>
          <w:szCs w:val="24"/>
          <w:lang w:val="ro-MD"/>
        </w:rPr>
        <w:t xml:space="preserve"> asigurărilor sociale, fondurilor asigurării obligatorii de </w:t>
      </w:r>
      <w:r w:rsidR="00190567" w:rsidRPr="00DD5F1D">
        <w:rPr>
          <w:rFonts w:ascii="Times New Roman" w:hAnsi="Times New Roman" w:cs="Times New Roman"/>
          <w:sz w:val="24"/>
          <w:szCs w:val="24"/>
          <w:lang w:val="ro-MD"/>
        </w:rPr>
        <w:t>asistență</w:t>
      </w:r>
      <w:r w:rsidRPr="00DD5F1D">
        <w:rPr>
          <w:rFonts w:ascii="Times New Roman" w:hAnsi="Times New Roman" w:cs="Times New Roman"/>
          <w:sz w:val="24"/>
          <w:szCs w:val="24"/>
          <w:lang w:val="ro-MD"/>
        </w:rPr>
        <w:t xml:space="preserve"> medicală, dar și </w:t>
      </w:r>
      <w:r w:rsidR="00190567" w:rsidRPr="00DD5F1D">
        <w:rPr>
          <w:rFonts w:ascii="Times New Roman" w:hAnsi="Times New Roman" w:cs="Times New Roman"/>
          <w:sz w:val="24"/>
          <w:szCs w:val="24"/>
          <w:lang w:val="ro-MD"/>
        </w:rPr>
        <w:t>nemijlocit</w:t>
      </w:r>
      <w:r w:rsidRPr="00DD5F1D">
        <w:rPr>
          <w:rFonts w:ascii="Times New Roman" w:hAnsi="Times New Roman" w:cs="Times New Roman"/>
          <w:sz w:val="24"/>
          <w:szCs w:val="24"/>
          <w:lang w:val="ro-MD"/>
        </w:rPr>
        <w:t xml:space="preserve"> asupra angajaților și angajatorilor. Potrivit datelor estimate de audit, populația aptă de muncă neîncadrată reprezintă cca 411 574 de persoane</w:t>
      </w:r>
      <w:r w:rsidR="00CC399C" w:rsidRPr="00DD5F1D">
        <w:rPr>
          <w:rFonts w:ascii="Times New Roman" w:hAnsi="Times New Roman" w:cs="Times New Roman"/>
          <w:sz w:val="24"/>
          <w:szCs w:val="24"/>
          <w:lang w:val="ro-MD"/>
        </w:rPr>
        <w:t>, informație redată în tabelul nr.</w:t>
      </w:r>
      <w:r w:rsidR="00CC6920" w:rsidRPr="00DD5F1D">
        <w:rPr>
          <w:rFonts w:ascii="Times New Roman" w:hAnsi="Times New Roman" w:cs="Times New Roman"/>
          <w:sz w:val="24"/>
          <w:szCs w:val="24"/>
          <w:lang w:val="ro-MD"/>
        </w:rPr>
        <w:t xml:space="preserve"> </w:t>
      </w:r>
      <w:r w:rsidR="00CC399C" w:rsidRPr="00DD5F1D">
        <w:rPr>
          <w:rFonts w:ascii="Times New Roman" w:hAnsi="Times New Roman" w:cs="Times New Roman"/>
          <w:sz w:val="24"/>
          <w:szCs w:val="24"/>
          <w:lang w:val="ro-MD"/>
        </w:rPr>
        <w:t>3</w:t>
      </w:r>
      <w:r w:rsidRPr="00DD5F1D">
        <w:rPr>
          <w:rFonts w:ascii="Times New Roman" w:hAnsi="Times New Roman" w:cs="Times New Roman"/>
          <w:sz w:val="24"/>
          <w:szCs w:val="24"/>
          <w:lang w:val="ro-MD"/>
        </w:rPr>
        <w:t xml:space="preserve">. </w:t>
      </w:r>
    </w:p>
    <w:p w14:paraId="69327F93" w14:textId="7DA71BB9" w:rsidR="00190567" w:rsidRPr="00DD5F1D" w:rsidRDefault="00190567" w:rsidP="00B82245">
      <w:pPr>
        <w:spacing w:line="276" w:lineRule="auto"/>
        <w:jc w:val="right"/>
        <w:rPr>
          <w:rFonts w:ascii="Times New Roman" w:hAnsi="Times New Roman" w:cs="Times New Roman"/>
          <w:b/>
          <w:szCs w:val="24"/>
          <w:lang w:val="ro-MD"/>
        </w:rPr>
      </w:pPr>
      <w:r w:rsidRPr="00DD5F1D">
        <w:rPr>
          <w:rFonts w:ascii="Times New Roman" w:hAnsi="Times New Roman" w:cs="Times New Roman"/>
          <w:b/>
          <w:szCs w:val="24"/>
          <w:lang w:val="ro-MD"/>
        </w:rPr>
        <w:t>Tabelul. nr. 3</w:t>
      </w:r>
    </w:p>
    <w:p w14:paraId="51552668" w14:textId="77777777" w:rsidR="00124098" w:rsidRPr="00DD5F1D" w:rsidRDefault="00124098" w:rsidP="00124098">
      <w:pPr>
        <w:spacing w:after="0" w:line="276" w:lineRule="auto"/>
        <w:jc w:val="center"/>
        <w:rPr>
          <w:rFonts w:ascii="Times New Roman" w:hAnsi="Times New Roman" w:cs="Times New Roman"/>
          <w:b/>
          <w:szCs w:val="24"/>
          <w:lang w:val="ro-MD"/>
        </w:rPr>
      </w:pPr>
      <w:r w:rsidRPr="00DD5F1D">
        <w:rPr>
          <w:rFonts w:ascii="Times New Roman" w:hAnsi="Times New Roman" w:cs="Times New Roman"/>
          <w:b/>
          <w:szCs w:val="24"/>
          <w:lang w:val="ro-MD"/>
        </w:rPr>
        <w:t>Estimări privind populația neîncadrată în muncă, persoane</w:t>
      </w:r>
    </w:p>
    <w:tbl>
      <w:tblPr>
        <w:tblW w:w="5000" w:type="pct"/>
        <w:jc w:val="center"/>
        <w:tblLook w:val="04A0" w:firstRow="1" w:lastRow="0" w:firstColumn="1" w:lastColumn="0" w:noHBand="0" w:noVBand="1"/>
      </w:tblPr>
      <w:tblGrid>
        <w:gridCol w:w="7749"/>
        <w:gridCol w:w="2265"/>
      </w:tblGrid>
      <w:tr w:rsidR="00124098" w:rsidRPr="00DD5F1D" w14:paraId="1F2F9D46" w14:textId="77777777" w:rsidTr="00AC563D">
        <w:trPr>
          <w:trHeight w:val="300"/>
          <w:jc w:val="center"/>
        </w:trPr>
        <w:tc>
          <w:tcPr>
            <w:tcW w:w="38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AAF5539" w14:textId="77777777" w:rsidR="00124098" w:rsidRPr="00DD5F1D" w:rsidRDefault="00124098" w:rsidP="00A4476B">
            <w:pPr>
              <w:spacing w:after="0" w:line="240" w:lineRule="auto"/>
              <w:jc w:val="both"/>
              <w:rPr>
                <w:rFonts w:ascii="Times New Roman" w:eastAsia="Times New Roman" w:hAnsi="Times New Roman" w:cs="Times New Roman"/>
                <w:b/>
                <w:bCs/>
                <w:color w:val="000000"/>
                <w:sz w:val="20"/>
                <w:lang w:val="ro-MD"/>
              </w:rPr>
            </w:pPr>
            <w:r w:rsidRPr="00DD5F1D">
              <w:rPr>
                <w:rFonts w:ascii="Times New Roman" w:eastAsia="Times New Roman" w:hAnsi="Times New Roman" w:cs="Times New Roman"/>
                <w:b/>
                <w:bCs/>
                <w:color w:val="000000"/>
                <w:sz w:val="20"/>
                <w:lang w:val="ro-MD"/>
              </w:rPr>
              <w:t>Indicator</w:t>
            </w:r>
          </w:p>
        </w:tc>
        <w:tc>
          <w:tcPr>
            <w:tcW w:w="1131" w:type="pct"/>
            <w:tcBorders>
              <w:top w:val="single" w:sz="8" w:space="0" w:color="auto"/>
              <w:left w:val="nil"/>
              <w:bottom w:val="single" w:sz="8" w:space="0" w:color="auto"/>
              <w:right w:val="single" w:sz="8" w:space="0" w:color="auto"/>
            </w:tcBorders>
            <w:shd w:val="clear" w:color="auto" w:fill="auto"/>
            <w:vAlign w:val="center"/>
            <w:hideMark/>
          </w:tcPr>
          <w:p w14:paraId="436545B2" w14:textId="1994A248" w:rsidR="00124098" w:rsidRPr="00DD5F1D" w:rsidRDefault="00B223A6" w:rsidP="00A4476B">
            <w:pPr>
              <w:spacing w:after="0" w:line="240" w:lineRule="auto"/>
              <w:jc w:val="center"/>
              <w:rPr>
                <w:rFonts w:ascii="Times New Roman" w:eastAsia="Times New Roman" w:hAnsi="Times New Roman" w:cs="Times New Roman"/>
                <w:b/>
                <w:bCs/>
                <w:color w:val="000000"/>
                <w:sz w:val="20"/>
                <w:lang w:val="ro-MD"/>
              </w:rPr>
            </w:pPr>
            <w:r w:rsidRPr="00DD5F1D">
              <w:rPr>
                <w:rFonts w:ascii="Times New Roman" w:eastAsia="Times New Roman" w:hAnsi="Times New Roman" w:cs="Times New Roman"/>
                <w:b/>
                <w:bCs/>
                <w:color w:val="000000"/>
                <w:sz w:val="20"/>
                <w:lang w:val="ro-MD"/>
              </w:rPr>
              <w:t>Anul 2023</w:t>
            </w:r>
          </w:p>
        </w:tc>
      </w:tr>
      <w:tr w:rsidR="00124098" w:rsidRPr="00DD5F1D" w14:paraId="09BF18BD"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hideMark/>
          </w:tcPr>
          <w:p w14:paraId="00B15795" w14:textId="77777777" w:rsidR="00124098" w:rsidRPr="00DD5F1D" w:rsidRDefault="00124098" w:rsidP="00A4476B">
            <w:pPr>
              <w:spacing w:after="0" w:line="240" w:lineRule="auto"/>
              <w:jc w:val="both"/>
              <w:rPr>
                <w:rFonts w:ascii="Times New Roman" w:eastAsia="Times New Roman" w:hAnsi="Times New Roman" w:cs="Times New Roman"/>
                <w:b/>
                <w:bCs/>
                <w:color w:val="000000"/>
                <w:sz w:val="20"/>
                <w:lang w:val="ro-MD"/>
              </w:rPr>
            </w:pPr>
            <w:r w:rsidRPr="00DD5F1D">
              <w:rPr>
                <w:rFonts w:ascii="Times New Roman" w:eastAsia="Times New Roman" w:hAnsi="Times New Roman" w:cs="Times New Roman"/>
                <w:b/>
                <w:bCs/>
                <w:color w:val="000000"/>
                <w:sz w:val="20"/>
                <w:lang w:val="ro-MD"/>
              </w:rPr>
              <w:t>Populația totală</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997BE" w14:textId="73B7054D" w:rsidR="00124098" w:rsidRPr="00DD5F1D" w:rsidRDefault="00124098" w:rsidP="00BC0DC0">
            <w:pPr>
              <w:spacing w:after="0" w:line="240" w:lineRule="auto"/>
              <w:jc w:val="right"/>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2</w:t>
            </w:r>
            <w:r w:rsidR="00BC0DC0" w:rsidRPr="00DD5F1D">
              <w:rPr>
                <w:rFonts w:ascii="Times New Roman" w:eastAsia="Times New Roman" w:hAnsi="Times New Roman" w:cs="Times New Roman"/>
                <w:color w:val="000000"/>
                <w:sz w:val="20"/>
                <w:lang w:val="ro-MD"/>
              </w:rPr>
              <w:t xml:space="preserve"> </w:t>
            </w:r>
            <w:r w:rsidRPr="00DD5F1D">
              <w:rPr>
                <w:rFonts w:ascii="Times New Roman" w:eastAsia="Times New Roman" w:hAnsi="Times New Roman" w:cs="Times New Roman"/>
                <w:color w:val="000000"/>
                <w:sz w:val="20"/>
                <w:lang w:val="ro-MD"/>
              </w:rPr>
              <w:t>512</w:t>
            </w:r>
            <w:r w:rsidR="00BC0DC0" w:rsidRPr="00DD5F1D">
              <w:rPr>
                <w:rFonts w:ascii="Times New Roman" w:eastAsia="Times New Roman" w:hAnsi="Times New Roman" w:cs="Times New Roman"/>
                <w:color w:val="000000"/>
                <w:sz w:val="20"/>
                <w:lang w:val="ro-MD"/>
              </w:rPr>
              <w:t xml:space="preserve"> </w:t>
            </w:r>
            <w:r w:rsidRPr="00DD5F1D">
              <w:rPr>
                <w:rFonts w:ascii="Times New Roman" w:eastAsia="Times New Roman" w:hAnsi="Times New Roman" w:cs="Times New Roman"/>
                <w:color w:val="000000"/>
                <w:sz w:val="20"/>
                <w:lang w:val="ro-MD"/>
              </w:rPr>
              <w:t>758</w:t>
            </w:r>
          </w:p>
        </w:tc>
      </w:tr>
      <w:tr w:rsidR="00124098" w:rsidRPr="00DD5F1D" w14:paraId="090CEDF6"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hideMark/>
          </w:tcPr>
          <w:p w14:paraId="0324B8EF" w14:textId="77777777" w:rsidR="00124098" w:rsidRPr="00DD5F1D" w:rsidRDefault="00124098" w:rsidP="00A4476B">
            <w:pPr>
              <w:spacing w:after="0" w:line="240" w:lineRule="auto"/>
              <w:jc w:val="both"/>
              <w:rPr>
                <w:rFonts w:ascii="Times New Roman" w:eastAsia="Times New Roman" w:hAnsi="Times New Roman" w:cs="Times New Roman"/>
                <w:b/>
                <w:bCs/>
                <w:color w:val="000000"/>
                <w:sz w:val="20"/>
                <w:lang w:val="ro-MD"/>
              </w:rPr>
            </w:pPr>
            <w:r w:rsidRPr="00DD5F1D">
              <w:rPr>
                <w:rFonts w:ascii="Times New Roman" w:eastAsia="Times New Roman" w:hAnsi="Times New Roman" w:cs="Times New Roman"/>
                <w:b/>
                <w:bCs/>
                <w:color w:val="000000"/>
                <w:sz w:val="20"/>
                <w:lang w:val="ro-MD"/>
              </w:rPr>
              <w:t>Populația ocupată, inclusiv:</w:t>
            </w:r>
          </w:p>
        </w:tc>
        <w:tc>
          <w:tcPr>
            <w:tcW w:w="1131" w:type="pct"/>
            <w:tcBorders>
              <w:top w:val="nil"/>
              <w:left w:val="single" w:sz="4" w:space="0" w:color="auto"/>
              <w:bottom w:val="single" w:sz="4" w:space="0" w:color="auto"/>
              <w:right w:val="single" w:sz="4" w:space="0" w:color="auto"/>
            </w:tcBorders>
            <w:shd w:val="clear" w:color="auto" w:fill="auto"/>
            <w:noWrap/>
            <w:vAlign w:val="center"/>
            <w:hideMark/>
          </w:tcPr>
          <w:p w14:paraId="32D74F60" w14:textId="0844AE9C" w:rsidR="00124098" w:rsidRPr="00DD5F1D" w:rsidRDefault="00124098" w:rsidP="00BC0DC0">
            <w:pPr>
              <w:spacing w:after="0" w:line="240" w:lineRule="auto"/>
              <w:jc w:val="right"/>
              <w:rPr>
                <w:rFonts w:ascii="Times New Roman" w:eastAsia="Times New Roman" w:hAnsi="Times New Roman" w:cs="Times New Roman"/>
                <w:b/>
                <w:bCs/>
                <w:color w:val="000000"/>
                <w:sz w:val="20"/>
                <w:lang w:val="ro-MD"/>
              </w:rPr>
            </w:pPr>
            <w:r w:rsidRPr="00DD5F1D">
              <w:rPr>
                <w:rFonts w:ascii="Times New Roman" w:eastAsia="Times New Roman" w:hAnsi="Times New Roman" w:cs="Times New Roman"/>
                <w:b/>
                <w:bCs/>
                <w:color w:val="000000"/>
                <w:sz w:val="20"/>
                <w:lang w:val="ro-MD"/>
              </w:rPr>
              <w:t>811</w:t>
            </w:r>
            <w:r w:rsidR="00BC0DC0" w:rsidRPr="00DD5F1D">
              <w:rPr>
                <w:rFonts w:ascii="Times New Roman" w:eastAsia="Times New Roman" w:hAnsi="Times New Roman" w:cs="Times New Roman"/>
                <w:b/>
                <w:bCs/>
                <w:color w:val="000000"/>
                <w:sz w:val="20"/>
                <w:lang w:val="ro-MD"/>
              </w:rPr>
              <w:t xml:space="preserve"> </w:t>
            </w:r>
            <w:r w:rsidRPr="00DD5F1D">
              <w:rPr>
                <w:rFonts w:ascii="Times New Roman" w:eastAsia="Times New Roman" w:hAnsi="Times New Roman" w:cs="Times New Roman"/>
                <w:b/>
                <w:bCs/>
                <w:color w:val="000000"/>
                <w:sz w:val="20"/>
                <w:lang w:val="ro-MD"/>
              </w:rPr>
              <w:t>402</w:t>
            </w:r>
          </w:p>
        </w:tc>
      </w:tr>
      <w:tr w:rsidR="00124098" w:rsidRPr="00DD5F1D" w14:paraId="777981E1"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hideMark/>
          </w:tcPr>
          <w:p w14:paraId="50119B32" w14:textId="77777777" w:rsidR="00124098" w:rsidRPr="00DD5F1D" w:rsidRDefault="00124098" w:rsidP="00A4476B">
            <w:pPr>
              <w:spacing w:after="0" w:line="240" w:lineRule="auto"/>
              <w:jc w:val="both"/>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w:t>
            </w:r>
            <w:r w:rsidRPr="00DD5F1D">
              <w:rPr>
                <w:rFonts w:ascii="Times New Roman" w:eastAsia="Times New Roman" w:hAnsi="Times New Roman" w:cs="Times New Roman"/>
                <w:color w:val="000000"/>
                <w:sz w:val="20"/>
                <w:szCs w:val="14"/>
                <w:lang w:val="ro-MD"/>
              </w:rPr>
              <w:t xml:space="preserve">        </w:t>
            </w:r>
            <w:r w:rsidRPr="00DD5F1D">
              <w:rPr>
                <w:rFonts w:ascii="Times New Roman" w:eastAsia="Times New Roman" w:hAnsi="Times New Roman" w:cs="Times New Roman"/>
                <w:color w:val="000000"/>
                <w:sz w:val="20"/>
                <w:lang w:val="ro-MD"/>
              </w:rPr>
              <w:t>Beneficiari de prestații</w:t>
            </w:r>
          </w:p>
        </w:tc>
        <w:tc>
          <w:tcPr>
            <w:tcW w:w="1131" w:type="pct"/>
            <w:tcBorders>
              <w:top w:val="nil"/>
              <w:left w:val="single" w:sz="4" w:space="0" w:color="auto"/>
              <w:bottom w:val="single" w:sz="4" w:space="0" w:color="auto"/>
              <w:right w:val="single" w:sz="4" w:space="0" w:color="auto"/>
            </w:tcBorders>
            <w:shd w:val="clear" w:color="auto" w:fill="auto"/>
            <w:noWrap/>
            <w:vAlign w:val="center"/>
            <w:hideMark/>
          </w:tcPr>
          <w:p w14:paraId="4E7B9E6C" w14:textId="5F41CCEF" w:rsidR="00124098" w:rsidRPr="00DD5F1D" w:rsidRDefault="00124098" w:rsidP="00BC0DC0">
            <w:pPr>
              <w:spacing w:after="0" w:line="240" w:lineRule="auto"/>
              <w:jc w:val="right"/>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201</w:t>
            </w:r>
            <w:r w:rsidR="00BC0DC0" w:rsidRPr="00DD5F1D">
              <w:rPr>
                <w:rFonts w:ascii="Times New Roman" w:eastAsia="Times New Roman" w:hAnsi="Times New Roman" w:cs="Times New Roman"/>
                <w:color w:val="000000"/>
                <w:sz w:val="20"/>
                <w:lang w:val="ro-MD"/>
              </w:rPr>
              <w:t xml:space="preserve"> </w:t>
            </w:r>
            <w:r w:rsidRPr="00DD5F1D">
              <w:rPr>
                <w:rFonts w:ascii="Times New Roman" w:eastAsia="Times New Roman" w:hAnsi="Times New Roman" w:cs="Times New Roman"/>
                <w:color w:val="000000"/>
                <w:sz w:val="20"/>
                <w:lang w:val="ro-MD"/>
              </w:rPr>
              <w:t>854</w:t>
            </w:r>
          </w:p>
        </w:tc>
      </w:tr>
      <w:tr w:rsidR="00124098" w:rsidRPr="00DD5F1D" w14:paraId="36D1C1BD"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hideMark/>
          </w:tcPr>
          <w:p w14:paraId="0B787D1E" w14:textId="77777777" w:rsidR="00124098" w:rsidRPr="00DD5F1D" w:rsidRDefault="00124098" w:rsidP="00A4476B">
            <w:pPr>
              <w:spacing w:after="0" w:line="240" w:lineRule="auto"/>
              <w:jc w:val="both"/>
              <w:rPr>
                <w:rFonts w:ascii="Times New Roman" w:eastAsia="Times New Roman" w:hAnsi="Times New Roman" w:cs="Times New Roman"/>
                <w:b/>
                <w:bCs/>
                <w:color w:val="000000"/>
                <w:sz w:val="20"/>
                <w:lang w:val="ro-MD"/>
              </w:rPr>
            </w:pPr>
            <w:r w:rsidRPr="00DD5F1D">
              <w:rPr>
                <w:rFonts w:ascii="Times New Roman" w:eastAsia="Times New Roman" w:hAnsi="Times New Roman" w:cs="Times New Roman"/>
                <w:b/>
                <w:bCs/>
                <w:color w:val="000000"/>
                <w:sz w:val="20"/>
                <w:lang w:val="ro-MD"/>
              </w:rPr>
              <w:t>Populația în afara forței de muncă, inclusiv:</w:t>
            </w:r>
          </w:p>
        </w:tc>
        <w:tc>
          <w:tcPr>
            <w:tcW w:w="1131" w:type="pct"/>
            <w:tcBorders>
              <w:top w:val="nil"/>
              <w:left w:val="single" w:sz="4" w:space="0" w:color="auto"/>
              <w:bottom w:val="single" w:sz="4" w:space="0" w:color="auto"/>
              <w:right w:val="single" w:sz="4" w:space="0" w:color="auto"/>
            </w:tcBorders>
            <w:shd w:val="clear" w:color="auto" w:fill="auto"/>
            <w:noWrap/>
            <w:vAlign w:val="center"/>
            <w:hideMark/>
          </w:tcPr>
          <w:p w14:paraId="28649C6D" w14:textId="0F178446" w:rsidR="00124098" w:rsidRPr="00DD5F1D" w:rsidRDefault="00124098" w:rsidP="00BC0DC0">
            <w:pPr>
              <w:spacing w:after="0" w:line="240" w:lineRule="auto"/>
              <w:jc w:val="right"/>
              <w:rPr>
                <w:rFonts w:ascii="Times New Roman" w:eastAsia="Times New Roman" w:hAnsi="Times New Roman" w:cs="Times New Roman"/>
                <w:b/>
                <w:bCs/>
                <w:color w:val="000000"/>
                <w:sz w:val="20"/>
                <w:lang w:val="ro-MD"/>
              </w:rPr>
            </w:pPr>
            <w:r w:rsidRPr="00DD5F1D">
              <w:rPr>
                <w:rFonts w:ascii="Times New Roman" w:eastAsia="Times New Roman" w:hAnsi="Times New Roman" w:cs="Times New Roman"/>
                <w:b/>
                <w:bCs/>
                <w:color w:val="000000"/>
                <w:sz w:val="20"/>
                <w:lang w:val="ro-MD"/>
              </w:rPr>
              <w:t>1</w:t>
            </w:r>
            <w:r w:rsidR="00BC0DC0" w:rsidRPr="00DD5F1D">
              <w:rPr>
                <w:rFonts w:ascii="Times New Roman" w:eastAsia="Times New Roman" w:hAnsi="Times New Roman" w:cs="Times New Roman"/>
                <w:b/>
                <w:bCs/>
                <w:color w:val="000000"/>
                <w:sz w:val="20"/>
                <w:lang w:val="ro-MD"/>
              </w:rPr>
              <w:t xml:space="preserve"> </w:t>
            </w:r>
            <w:r w:rsidRPr="00DD5F1D">
              <w:rPr>
                <w:rFonts w:ascii="Times New Roman" w:eastAsia="Times New Roman" w:hAnsi="Times New Roman" w:cs="Times New Roman"/>
                <w:b/>
                <w:bCs/>
                <w:color w:val="000000"/>
                <w:sz w:val="20"/>
                <w:lang w:val="ro-MD"/>
              </w:rPr>
              <w:t>289</w:t>
            </w:r>
            <w:r w:rsidR="00BC0DC0" w:rsidRPr="00DD5F1D">
              <w:rPr>
                <w:rFonts w:ascii="Times New Roman" w:eastAsia="Times New Roman" w:hAnsi="Times New Roman" w:cs="Times New Roman"/>
                <w:b/>
                <w:bCs/>
                <w:color w:val="000000"/>
                <w:sz w:val="20"/>
                <w:lang w:val="ro-MD"/>
              </w:rPr>
              <w:t xml:space="preserve"> </w:t>
            </w:r>
            <w:r w:rsidRPr="00DD5F1D">
              <w:rPr>
                <w:rFonts w:ascii="Times New Roman" w:eastAsia="Times New Roman" w:hAnsi="Times New Roman" w:cs="Times New Roman"/>
                <w:b/>
                <w:bCs/>
                <w:color w:val="000000"/>
                <w:sz w:val="20"/>
                <w:lang w:val="ro-MD"/>
              </w:rPr>
              <w:t>782</w:t>
            </w:r>
          </w:p>
        </w:tc>
      </w:tr>
      <w:tr w:rsidR="00124098" w:rsidRPr="00DD5F1D" w14:paraId="0DC68F3E"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hideMark/>
          </w:tcPr>
          <w:p w14:paraId="280235B8" w14:textId="727BE566" w:rsidR="00124098" w:rsidRPr="00DD5F1D" w:rsidRDefault="00124098" w:rsidP="00501ED0">
            <w:pPr>
              <w:spacing w:after="0" w:line="240" w:lineRule="auto"/>
              <w:jc w:val="both"/>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w:t>
            </w:r>
            <w:r w:rsidRPr="00DD5F1D">
              <w:rPr>
                <w:rFonts w:ascii="Times New Roman" w:eastAsia="Times New Roman" w:hAnsi="Times New Roman" w:cs="Times New Roman"/>
                <w:color w:val="000000"/>
                <w:sz w:val="20"/>
                <w:szCs w:val="14"/>
                <w:lang w:val="ro-MD"/>
              </w:rPr>
              <w:t xml:space="preserve">        </w:t>
            </w:r>
            <w:r w:rsidR="00501ED0" w:rsidRPr="00DD5F1D">
              <w:rPr>
                <w:rFonts w:ascii="Times New Roman" w:eastAsia="Times New Roman" w:hAnsi="Times New Roman" w:cs="Times New Roman"/>
                <w:color w:val="000000"/>
                <w:sz w:val="20"/>
                <w:lang w:val="ro-MD"/>
              </w:rPr>
              <w:t>c</w:t>
            </w:r>
            <w:r w:rsidRPr="00DD5F1D">
              <w:rPr>
                <w:rFonts w:ascii="Times New Roman" w:eastAsia="Times New Roman" w:hAnsi="Times New Roman" w:cs="Times New Roman"/>
                <w:color w:val="000000"/>
                <w:sz w:val="20"/>
                <w:lang w:val="ro-MD"/>
              </w:rPr>
              <w:t>opii până la 7 ani</w:t>
            </w:r>
          </w:p>
        </w:tc>
        <w:tc>
          <w:tcPr>
            <w:tcW w:w="1131" w:type="pct"/>
            <w:tcBorders>
              <w:top w:val="nil"/>
              <w:left w:val="single" w:sz="4" w:space="0" w:color="auto"/>
              <w:bottom w:val="single" w:sz="4" w:space="0" w:color="auto"/>
              <w:right w:val="single" w:sz="4" w:space="0" w:color="auto"/>
            </w:tcBorders>
            <w:shd w:val="clear" w:color="auto" w:fill="auto"/>
            <w:noWrap/>
            <w:vAlign w:val="center"/>
            <w:hideMark/>
          </w:tcPr>
          <w:p w14:paraId="77D3A750" w14:textId="38A1C249" w:rsidR="00124098" w:rsidRPr="00DD5F1D" w:rsidRDefault="00124098" w:rsidP="00BC0DC0">
            <w:pPr>
              <w:spacing w:after="0" w:line="240" w:lineRule="auto"/>
              <w:jc w:val="right"/>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199</w:t>
            </w:r>
            <w:r w:rsidR="00BC0DC0" w:rsidRPr="00DD5F1D">
              <w:rPr>
                <w:rFonts w:ascii="Times New Roman" w:eastAsia="Times New Roman" w:hAnsi="Times New Roman" w:cs="Times New Roman"/>
                <w:color w:val="000000"/>
                <w:sz w:val="20"/>
                <w:lang w:val="ro-MD"/>
              </w:rPr>
              <w:t xml:space="preserve"> </w:t>
            </w:r>
            <w:r w:rsidRPr="00DD5F1D">
              <w:rPr>
                <w:rFonts w:ascii="Times New Roman" w:eastAsia="Times New Roman" w:hAnsi="Times New Roman" w:cs="Times New Roman"/>
                <w:color w:val="000000"/>
                <w:sz w:val="20"/>
                <w:lang w:val="ro-MD"/>
              </w:rPr>
              <w:t>346</w:t>
            </w:r>
          </w:p>
        </w:tc>
      </w:tr>
      <w:tr w:rsidR="00124098" w:rsidRPr="00DD5F1D" w14:paraId="4F456B18"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hideMark/>
          </w:tcPr>
          <w:p w14:paraId="1571F5A6" w14:textId="0FBEAD5B" w:rsidR="00124098" w:rsidRPr="00DD5F1D" w:rsidRDefault="00124098" w:rsidP="00501ED0">
            <w:pPr>
              <w:spacing w:after="0" w:line="240" w:lineRule="auto"/>
              <w:jc w:val="both"/>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w:t>
            </w:r>
            <w:r w:rsidRPr="00DD5F1D">
              <w:rPr>
                <w:rFonts w:ascii="Times New Roman" w:eastAsia="Times New Roman" w:hAnsi="Times New Roman" w:cs="Times New Roman"/>
                <w:color w:val="000000"/>
                <w:sz w:val="20"/>
                <w:szCs w:val="14"/>
                <w:lang w:val="ro-MD"/>
              </w:rPr>
              <w:t xml:space="preserve">        </w:t>
            </w:r>
            <w:r w:rsidR="00501ED0" w:rsidRPr="00DD5F1D">
              <w:rPr>
                <w:rFonts w:ascii="Times New Roman" w:eastAsia="Times New Roman" w:hAnsi="Times New Roman" w:cs="Times New Roman"/>
                <w:color w:val="000000"/>
                <w:sz w:val="20"/>
                <w:lang w:val="ro-MD"/>
              </w:rPr>
              <w:t>e</w:t>
            </w:r>
            <w:r w:rsidRPr="00DD5F1D">
              <w:rPr>
                <w:rFonts w:ascii="Times New Roman" w:eastAsia="Times New Roman" w:hAnsi="Times New Roman" w:cs="Times New Roman"/>
                <w:color w:val="000000"/>
                <w:sz w:val="20"/>
                <w:lang w:val="ro-MD"/>
              </w:rPr>
              <w:t>levi, studenți</w:t>
            </w:r>
          </w:p>
        </w:tc>
        <w:tc>
          <w:tcPr>
            <w:tcW w:w="1131" w:type="pct"/>
            <w:tcBorders>
              <w:top w:val="nil"/>
              <w:left w:val="single" w:sz="4" w:space="0" w:color="auto"/>
              <w:bottom w:val="single" w:sz="4" w:space="0" w:color="auto"/>
              <w:right w:val="single" w:sz="4" w:space="0" w:color="auto"/>
            </w:tcBorders>
            <w:shd w:val="clear" w:color="auto" w:fill="auto"/>
            <w:noWrap/>
            <w:vAlign w:val="center"/>
            <w:hideMark/>
          </w:tcPr>
          <w:p w14:paraId="4FE996A7" w14:textId="57CD748B" w:rsidR="00124098" w:rsidRPr="00DD5F1D" w:rsidRDefault="00124098" w:rsidP="00BC0DC0">
            <w:pPr>
              <w:spacing w:after="0" w:line="240" w:lineRule="auto"/>
              <w:jc w:val="right"/>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432</w:t>
            </w:r>
            <w:r w:rsidR="00BC0DC0" w:rsidRPr="00DD5F1D">
              <w:rPr>
                <w:rFonts w:ascii="Times New Roman" w:eastAsia="Times New Roman" w:hAnsi="Times New Roman" w:cs="Times New Roman"/>
                <w:color w:val="000000"/>
                <w:sz w:val="20"/>
                <w:lang w:val="ro-MD"/>
              </w:rPr>
              <w:t xml:space="preserve"> </w:t>
            </w:r>
            <w:r w:rsidRPr="00DD5F1D">
              <w:rPr>
                <w:rFonts w:ascii="Times New Roman" w:eastAsia="Times New Roman" w:hAnsi="Times New Roman" w:cs="Times New Roman"/>
                <w:color w:val="000000"/>
                <w:sz w:val="20"/>
                <w:lang w:val="ro-MD"/>
              </w:rPr>
              <w:t>922</w:t>
            </w:r>
          </w:p>
        </w:tc>
      </w:tr>
      <w:tr w:rsidR="00124098" w:rsidRPr="00DD5F1D" w14:paraId="3B984634"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hideMark/>
          </w:tcPr>
          <w:p w14:paraId="352A5D2C" w14:textId="1F1CD79A" w:rsidR="00124098" w:rsidRPr="00DD5F1D" w:rsidRDefault="00124098" w:rsidP="00A4476B">
            <w:pPr>
              <w:spacing w:after="0" w:line="240" w:lineRule="auto"/>
              <w:jc w:val="both"/>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w:t>
            </w:r>
            <w:r w:rsidRPr="00DD5F1D">
              <w:rPr>
                <w:rFonts w:ascii="Times New Roman" w:eastAsia="Times New Roman" w:hAnsi="Times New Roman" w:cs="Times New Roman"/>
                <w:color w:val="000000"/>
                <w:sz w:val="20"/>
                <w:szCs w:val="14"/>
                <w:lang w:val="ro-MD"/>
              </w:rPr>
              <w:t xml:space="preserve">        </w:t>
            </w:r>
            <w:r w:rsidR="00501ED0" w:rsidRPr="00DD5F1D">
              <w:rPr>
                <w:rFonts w:ascii="Times New Roman" w:eastAsia="Times New Roman" w:hAnsi="Times New Roman" w:cs="Times New Roman"/>
                <w:color w:val="000000"/>
                <w:sz w:val="20"/>
                <w:lang w:val="ro-MD"/>
              </w:rPr>
              <w:t>p</w:t>
            </w:r>
            <w:r w:rsidRPr="00DD5F1D">
              <w:rPr>
                <w:rFonts w:ascii="Times New Roman" w:eastAsia="Times New Roman" w:hAnsi="Times New Roman" w:cs="Times New Roman"/>
                <w:color w:val="000000"/>
                <w:sz w:val="20"/>
                <w:lang w:val="ro-MD"/>
              </w:rPr>
              <w:t>ensionari (limită de vârstă, dizabilitate etc. care nu lucrează)</w:t>
            </w:r>
          </w:p>
        </w:tc>
        <w:tc>
          <w:tcPr>
            <w:tcW w:w="1131" w:type="pct"/>
            <w:tcBorders>
              <w:top w:val="nil"/>
              <w:left w:val="single" w:sz="4" w:space="0" w:color="auto"/>
              <w:bottom w:val="single" w:sz="4" w:space="0" w:color="auto"/>
              <w:right w:val="single" w:sz="4" w:space="0" w:color="auto"/>
            </w:tcBorders>
            <w:shd w:val="clear" w:color="auto" w:fill="auto"/>
            <w:noWrap/>
            <w:vAlign w:val="center"/>
            <w:hideMark/>
          </w:tcPr>
          <w:p w14:paraId="35453894" w14:textId="30128AFF" w:rsidR="00124098" w:rsidRPr="00DD5F1D" w:rsidRDefault="00124098" w:rsidP="00BC0DC0">
            <w:pPr>
              <w:spacing w:after="0" w:line="240" w:lineRule="auto"/>
              <w:jc w:val="right"/>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500</w:t>
            </w:r>
            <w:r w:rsidR="00BC0DC0" w:rsidRPr="00DD5F1D">
              <w:rPr>
                <w:rFonts w:ascii="Times New Roman" w:eastAsia="Times New Roman" w:hAnsi="Times New Roman" w:cs="Times New Roman"/>
                <w:color w:val="000000"/>
                <w:sz w:val="20"/>
                <w:lang w:val="ro-MD"/>
              </w:rPr>
              <w:t xml:space="preserve"> </w:t>
            </w:r>
            <w:r w:rsidRPr="00DD5F1D">
              <w:rPr>
                <w:rFonts w:ascii="Times New Roman" w:eastAsia="Times New Roman" w:hAnsi="Times New Roman" w:cs="Times New Roman"/>
                <w:color w:val="000000"/>
                <w:sz w:val="20"/>
                <w:lang w:val="ro-MD"/>
              </w:rPr>
              <w:t>006</w:t>
            </w:r>
          </w:p>
        </w:tc>
      </w:tr>
      <w:tr w:rsidR="00124098" w:rsidRPr="00DD5F1D" w14:paraId="3D8AFCE4"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hideMark/>
          </w:tcPr>
          <w:p w14:paraId="5BCA1AD2" w14:textId="17D5EA8A" w:rsidR="00124098" w:rsidRPr="00DD5F1D" w:rsidRDefault="00124098" w:rsidP="00501ED0">
            <w:pPr>
              <w:spacing w:after="0" w:line="240" w:lineRule="auto"/>
              <w:jc w:val="both"/>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w:t>
            </w:r>
            <w:r w:rsidRPr="00DD5F1D">
              <w:rPr>
                <w:rFonts w:ascii="Times New Roman" w:eastAsia="Times New Roman" w:hAnsi="Times New Roman" w:cs="Times New Roman"/>
                <w:color w:val="000000"/>
                <w:sz w:val="20"/>
                <w:szCs w:val="14"/>
                <w:lang w:val="ro-MD"/>
              </w:rPr>
              <w:t xml:space="preserve">        </w:t>
            </w:r>
            <w:r w:rsidR="00501ED0" w:rsidRPr="00DD5F1D">
              <w:rPr>
                <w:rFonts w:ascii="Times New Roman" w:eastAsia="Times New Roman" w:hAnsi="Times New Roman" w:cs="Times New Roman"/>
                <w:color w:val="000000"/>
                <w:sz w:val="20"/>
                <w:lang w:val="ro-MD"/>
              </w:rPr>
              <w:t>b</w:t>
            </w:r>
            <w:r w:rsidRPr="00DD5F1D">
              <w:rPr>
                <w:rFonts w:ascii="Times New Roman" w:eastAsia="Times New Roman" w:hAnsi="Times New Roman" w:cs="Times New Roman"/>
                <w:color w:val="000000"/>
                <w:sz w:val="20"/>
                <w:lang w:val="ro-MD"/>
              </w:rPr>
              <w:t>eneficiari de alocații sociale care nu lucrează</w:t>
            </w:r>
          </w:p>
        </w:tc>
        <w:tc>
          <w:tcPr>
            <w:tcW w:w="1131" w:type="pct"/>
            <w:tcBorders>
              <w:top w:val="nil"/>
              <w:left w:val="single" w:sz="4" w:space="0" w:color="auto"/>
              <w:bottom w:val="single" w:sz="4" w:space="0" w:color="auto"/>
              <w:right w:val="single" w:sz="4" w:space="0" w:color="auto"/>
            </w:tcBorders>
            <w:shd w:val="clear" w:color="auto" w:fill="auto"/>
            <w:noWrap/>
            <w:vAlign w:val="center"/>
            <w:hideMark/>
          </w:tcPr>
          <w:p w14:paraId="7373D3A3" w14:textId="09F8D25F" w:rsidR="00124098" w:rsidRPr="00DD5F1D" w:rsidRDefault="00124098" w:rsidP="00BC0DC0">
            <w:pPr>
              <w:spacing w:after="0" w:line="240" w:lineRule="auto"/>
              <w:jc w:val="right"/>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72</w:t>
            </w:r>
            <w:r w:rsidR="00BC0DC0" w:rsidRPr="00DD5F1D">
              <w:rPr>
                <w:rFonts w:ascii="Times New Roman" w:eastAsia="Times New Roman" w:hAnsi="Times New Roman" w:cs="Times New Roman"/>
                <w:color w:val="000000"/>
                <w:sz w:val="20"/>
                <w:lang w:val="ro-MD"/>
              </w:rPr>
              <w:t xml:space="preserve"> </w:t>
            </w:r>
            <w:r w:rsidRPr="00DD5F1D">
              <w:rPr>
                <w:rFonts w:ascii="Times New Roman" w:eastAsia="Times New Roman" w:hAnsi="Times New Roman" w:cs="Times New Roman"/>
                <w:color w:val="000000"/>
                <w:sz w:val="20"/>
                <w:lang w:val="ro-MD"/>
              </w:rPr>
              <w:t>397</w:t>
            </w:r>
          </w:p>
        </w:tc>
      </w:tr>
      <w:tr w:rsidR="00124098" w:rsidRPr="00DD5F1D" w14:paraId="6CB543E9"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hideMark/>
          </w:tcPr>
          <w:p w14:paraId="1814873B" w14:textId="2A64B9DB" w:rsidR="00124098" w:rsidRPr="00DD5F1D" w:rsidRDefault="00124098" w:rsidP="00501ED0">
            <w:pPr>
              <w:spacing w:after="0" w:line="240" w:lineRule="auto"/>
              <w:jc w:val="both"/>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w:t>
            </w:r>
            <w:r w:rsidRPr="00DD5F1D">
              <w:rPr>
                <w:rFonts w:ascii="Times New Roman" w:eastAsia="Times New Roman" w:hAnsi="Times New Roman" w:cs="Times New Roman"/>
                <w:color w:val="000000"/>
                <w:sz w:val="20"/>
                <w:szCs w:val="14"/>
                <w:lang w:val="ro-MD"/>
              </w:rPr>
              <w:t xml:space="preserve">        </w:t>
            </w:r>
            <w:r w:rsidR="00501ED0" w:rsidRPr="00DD5F1D">
              <w:rPr>
                <w:rFonts w:ascii="Times New Roman" w:eastAsia="Times New Roman" w:hAnsi="Times New Roman" w:cs="Times New Roman"/>
                <w:color w:val="000000"/>
                <w:sz w:val="20"/>
                <w:lang w:val="ro-MD"/>
              </w:rPr>
              <w:t>b</w:t>
            </w:r>
            <w:r w:rsidRPr="00DD5F1D">
              <w:rPr>
                <w:rFonts w:ascii="Times New Roman" w:eastAsia="Times New Roman" w:hAnsi="Times New Roman" w:cs="Times New Roman"/>
                <w:color w:val="000000"/>
                <w:sz w:val="20"/>
                <w:lang w:val="ro-MD"/>
              </w:rPr>
              <w:t>eneficiari de alocații de îngrijire a persoanelor cu dizabilități</w:t>
            </w:r>
          </w:p>
        </w:tc>
        <w:tc>
          <w:tcPr>
            <w:tcW w:w="1131" w:type="pct"/>
            <w:tcBorders>
              <w:top w:val="nil"/>
              <w:left w:val="single" w:sz="4" w:space="0" w:color="auto"/>
              <w:bottom w:val="single" w:sz="4" w:space="0" w:color="auto"/>
              <w:right w:val="single" w:sz="4" w:space="0" w:color="auto"/>
            </w:tcBorders>
            <w:shd w:val="clear" w:color="auto" w:fill="auto"/>
            <w:noWrap/>
            <w:vAlign w:val="center"/>
            <w:hideMark/>
          </w:tcPr>
          <w:p w14:paraId="66949216" w14:textId="36110471" w:rsidR="00124098" w:rsidRPr="00DD5F1D" w:rsidRDefault="00124098" w:rsidP="00BC0DC0">
            <w:pPr>
              <w:spacing w:after="0" w:line="240" w:lineRule="auto"/>
              <w:jc w:val="right"/>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12</w:t>
            </w:r>
            <w:r w:rsidR="00BC0DC0" w:rsidRPr="00DD5F1D">
              <w:rPr>
                <w:rFonts w:ascii="Times New Roman" w:eastAsia="Times New Roman" w:hAnsi="Times New Roman" w:cs="Times New Roman"/>
                <w:color w:val="000000"/>
                <w:sz w:val="20"/>
                <w:lang w:val="ro-MD"/>
              </w:rPr>
              <w:t xml:space="preserve"> </w:t>
            </w:r>
            <w:r w:rsidRPr="00DD5F1D">
              <w:rPr>
                <w:rFonts w:ascii="Times New Roman" w:eastAsia="Times New Roman" w:hAnsi="Times New Roman" w:cs="Times New Roman"/>
                <w:color w:val="000000"/>
                <w:sz w:val="20"/>
                <w:lang w:val="ro-MD"/>
              </w:rPr>
              <w:t>519</w:t>
            </w:r>
          </w:p>
        </w:tc>
      </w:tr>
      <w:tr w:rsidR="00124098" w:rsidRPr="00DD5F1D" w14:paraId="5F8E48D8"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hideMark/>
          </w:tcPr>
          <w:p w14:paraId="00FB2D65" w14:textId="0D3720E0" w:rsidR="00124098" w:rsidRPr="00DD5F1D" w:rsidRDefault="00124098" w:rsidP="00501ED0">
            <w:pPr>
              <w:spacing w:after="0" w:line="240" w:lineRule="auto"/>
              <w:jc w:val="both"/>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w:t>
            </w:r>
            <w:r w:rsidRPr="00DD5F1D">
              <w:rPr>
                <w:rFonts w:ascii="Times New Roman" w:eastAsia="Times New Roman" w:hAnsi="Times New Roman" w:cs="Times New Roman"/>
                <w:color w:val="000000"/>
                <w:sz w:val="20"/>
                <w:szCs w:val="14"/>
                <w:lang w:val="ro-MD"/>
              </w:rPr>
              <w:t xml:space="preserve">        </w:t>
            </w:r>
            <w:r w:rsidR="00501ED0" w:rsidRPr="00DD5F1D">
              <w:rPr>
                <w:rFonts w:ascii="Times New Roman" w:eastAsia="Times New Roman" w:hAnsi="Times New Roman" w:cs="Times New Roman"/>
                <w:color w:val="000000"/>
                <w:sz w:val="20"/>
                <w:lang w:val="ro-MD"/>
              </w:rPr>
              <w:t>b</w:t>
            </w:r>
            <w:r w:rsidRPr="00DD5F1D">
              <w:rPr>
                <w:rFonts w:ascii="Times New Roman" w:eastAsia="Times New Roman" w:hAnsi="Times New Roman" w:cs="Times New Roman"/>
                <w:color w:val="000000"/>
                <w:sz w:val="20"/>
                <w:lang w:val="ro-MD"/>
              </w:rPr>
              <w:t>eneficiari de indemnizații ale familiilor cu copii</w:t>
            </w:r>
          </w:p>
        </w:tc>
        <w:tc>
          <w:tcPr>
            <w:tcW w:w="1131" w:type="pct"/>
            <w:tcBorders>
              <w:top w:val="nil"/>
              <w:left w:val="single" w:sz="4" w:space="0" w:color="auto"/>
              <w:bottom w:val="single" w:sz="4" w:space="0" w:color="auto"/>
              <w:right w:val="single" w:sz="4" w:space="0" w:color="auto"/>
            </w:tcBorders>
            <w:shd w:val="clear" w:color="auto" w:fill="auto"/>
            <w:noWrap/>
            <w:vAlign w:val="center"/>
            <w:hideMark/>
          </w:tcPr>
          <w:p w14:paraId="3F0936F6" w14:textId="2968353D" w:rsidR="00124098" w:rsidRPr="00DD5F1D" w:rsidRDefault="00124098" w:rsidP="00BC0DC0">
            <w:pPr>
              <w:spacing w:after="0" w:line="240" w:lineRule="auto"/>
              <w:jc w:val="right"/>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63</w:t>
            </w:r>
            <w:r w:rsidR="00BC0DC0" w:rsidRPr="00DD5F1D">
              <w:rPr>
                <w:rFonts w:ascii="Times New Roman" w:eastAsia="Times New Roman" w:hAnsi="Times New Roman" w:cs="Times New Roman"/>
                <w:color w:val="000000"/>
                <w:sz w:val="20"/>
                <w:lang w:val="ro-MD"/>
              </w:rPr>
              <w:t xml:space="preserve"> </w:t>
            </w:r>
            <w:r w:rsidRPr="00DD5F1D">
              <w:rPr>
                <w:rFonts w:ascii="Times New Roman" w:eastAsia="Times New Roman" w:hAnsi="Times New Roman" w:cs="Times New Roman"/>
                <w:color w:val="000000"/>
                <w:sz w:val="20"/>
                <w:lang w:val="ro-MD"/>
              </w:rPr>
              <w:t>735</w:t>
            </w:r>
          </w:p>
        </w:tc>
      </w:tr>
      <w:tr w:rsidR="00124098" w:rsidRPr="00DD5F1D" w14:paraId="651AE586"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hideMark/>
          </w:tcPr>
          <w:p w14:paraId="708D64BA" w14:textId="1303F6FA" w:rsidR="00124098" w:rsidRPr="00DD5F1D" w:rsidRDefault="00124098" w:rsidP="00501ED0">
            <w:pPr>
              <w:spacing w:after="0" w:line="240" w:lineRule="auto"/>
              <w:jc w:val="both"/>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 xml:space="preserve">Șomeri (aflați </w:t>
            </w:r>
            <w:r w:rsidR="00501ED0" w:rsidRPr="00DD5F1D">
              <w:rPr>
                <w:rFonts w:ascii="Times New Roman" w:eastAsia="Times New Roman" w:hAnsi="Times New Roman" w:cs="Times New Roman"/>
                <w:color w:val="000000"/>
                <w:sz w:val="20"/>
                <w:lang w:val="ro-MD"/>
              </w:rPr>
              <w:t>în</w:t>
            </w:r>
            <w:r w:rsidRPr="00DD5F1D">
              <w:rPr>
                <w:rFonts w:ascii="Times New Roman" w:eastAsia="Times New Roman" w:hAnsi="Times New Roman" w:cs="Times New Roman"/>
                <w:color w:val="000000"/>
                <w:sz w:val="20"/>
                <w:lang w:val="ro-MD"/>
              </w:rPr>
              <w:t xml:space="preserve"> evidența ANOFM)</w:t>
            </w:r>
          </w:p>
        </w:tc>
        <w:tc>
          <w:tcPr>
            <w:tcW w:w="1131" w:type="pct"/>
            <w:tcBorders>
              <w:top w:val="nil"/>
              <w:left w:val="single" w:sz="4" w:space="0" w:color="auto"/>
              <w:bottom w:val="single" w:sz="4" w:space="0" w:color="auto"/>
              <w:right w:val="single" w:sz="4" w:space="0" w:color="auto"/>
            </w:tcBorders>
            <w:shd w:val="clear" w:color="auto" w:fill="auto"/>
            <w:noWrap/>
            <w:vAlign w:val="center"/>
            <w:hideMark/>
          </w:tcPr>
          <w:p w14:paraId="7B5E20BD" w14:textId="2DDADF7C" w:rsidR="00124098" w:rsidRPr="00DD5F1D" w:rsidRDefault="00124098" w:rsidP="00BC0DC0">
            <w:pPr>
              <w:spacing w:after="0" w:line="240" w:lineRule="auto"/>
              <w:jc w:val="right"/>
              <w:rPr>
                <w:rFonts w:ascii="Times New Roman" w:eastAsia="Times New Roman" w:hAnsi="Times New Roman" w:cs="Times New Roman"/>
                <w:color w:val="000000"/>
                <w:sz w:val="20"/>
                <w:lang w:val="ro-MD"/>
              </w:rPr>
            </w:pPr>
            <w:r w:rsidRPr="00DD5F1D">
              <w:rPr>
                <w:rFonts w:ascii="Times New Roman" w:eastAsia="Times New Roman" w:hAnsi="Times New Roman" w:cs="Times New Roman"/>
                <w:color w:val="000000"/>
                <w:sz w:val="20"/>
                <w:lang w:val="ro-MD"/>
              </w:rPr>
              <w:t>8</w:t>
            </w:r>
            <w:r w:rsidR="00BC0DC0" w:rsidRPr="00DD5F1D">
              <w:rPr>
                <w:rFonts w:ascii="Times New Roman" w:eastAsia="Times New Roman" w:hAnsi="Times New Roman" w:cs="Times New Roman"/>
                <w:color w:val="000000"/>
                <w:sz w:val="20"/>
                <w:lang w:val="ro-MD"/>
              </w:rPr>
              <w:t xml:space="preserve"> </w:t>
            </w:r>
            <w:r w:rsidRPr="00DD5F1D">
              <w:rPr>
                <w:rFonts w:ascii="Times New Roman" w:eastAsia="Times New Roman" w:hAnsi="Times New Roman" w:cs="Times New Roman"/>
                <w:color w:val="000000"/>
                <w:sz w:val="20"/>
                <w:lang w:val="ro-MD"/>
              </w:rPr>
              <w:t>857</w:t>
            </w:r>
          </w:p>
        </w:tc>
      </w:tr>
      <w:tr w:rsidR="00124098" w:rsidRPr="00DD5F1D" w14:paraId="08CE47B8" w14:textId="77777777" w:rsidTr="00BC0DC0">
        <w:trPr>
          <w:trHeight w:val="300"/>
          <w:jc w:val="center"/>
        </w:trPr>
        <w:tc>
          <w:tcPr>
            <w:tcW w:w="3869" w:type="pct"/>
            <w:tcBorders>
              <w:top w:val="nil"/>
              <w:left w:val="single" w:sz="8" w:space="0" w:color="auto"/>
              <w:bottom w:val="single" w:sz="8" w:space="0" w:color="auto"/>
              <w:right w:val="single" w:sz="8" w:space="0" w:color="auto"/>
            </w:tcBorders>
            <w:shd w:val="clear" w:color="auto" w:fill="auto"/>
            <w:vAlign w:val="center"/>
          </w:tcPr>
          <w:p w14:paraId="53E4310D" w14:textId="3F12D396" w:rsidR="00124098" w:rsidRPr="00DD5F1D" w:rsidRDefault="00B223A6" w:rsidP="00B223A6">
            <w:pPr>
              <w:spacing w:after="0" w:line="240" w:lineRule="auto"/>
              <w:jc w:val="both"/>
              <w:rPr>
                <w:rFonts w:ascii="Times New Roman" w:eastAsia="Times New Roman" w:hAnsi="Times New Roman" w:cs="Times New Roman"/>
                <w:b/>
                <w:bCs/>
                <w:color w:val="000000"/>
                <w:sz w:val="20"/>
                <w:lang w:val="ro-MD"/>
              </w:rPr>
            </w:pPr>
            <w:r w:rsidRPr="00DD5F1D">
              <w:rPr>
                <w:rFonts w:ascii="Times New Roman" w:eastAsia="Times New Roman" w:hAnsi="Times New Roman" w:cs="Times New Roman"/>
                <w:b/>
                <w:bCs/>
                <w:color w:val="000000"/>
                <w:sz w:val="20"/>
                <w:lang w:val="ro-MD"/>
              </w:rPr>
              <w:t xml:space="preserve">Persoane apte de muncă neîncadrate </w:t>
            </w:r>
            <w:r w:rsidRPr="00DD5F1D">
              <w:rPr>
                <w:rFonts w:ascii="Times New Roman" w:eastAsia="Times New Roman" w:hAnsi="Times New Roman" w:cs="Times New Roman"/>
                <w:b/>
                <w:bCs/>
                <w:color w:val="000000"/>
                <w:sz w:val="20"/>
                <w:lang w:val="ro-MD"/>
              </w:rPr>
              <w:tab/>
            </w:r>
          </w:p>
        </w:tc>
        <w:tc>
          <w:tcPr>
            <w:tcW w:w="1131" w:type="pct"/>
            <w:tcBorders>
              <w:top w:val="nil"/>
              <w:left w:val="single" w:sz="4" w:space="0" w:color="auto"/>
              <w:bottom w:val="single" w:sz="4" w:space="0" w:color="auto"/>
              <w:right w:val="single" w:sz="4" w:space="0" w:color="auto"/>
            </w:tcBorders>
            <w:shd w:val="clear" w:color="auto" w:fill="auto"/>
            <w:noWrap/>
            <w:vAlign w:val="center"/>
          </w:tcPr>
          <w:p w14:paraId="743AA4B9" w14:textId="5A8229CB" w:rsidR="00124098" w:rsidRPr="00DD5F1D" w:rsidRDefault="00B223A6" w:rsidP="00BC0DC0">
            <w:pPr>
              <w:spacing w:after="0" w:line="240" w:lineRule="auto"/>
              <w:jc w:val="right"/>
              <w:rPr>
                <w:rFonts w:ascii="Times New Roman" w:eastAsia="Times New Roman" w:hAnsi="Times New Roman" w:cs="Times New Roman"/>
                <w:b/>
                <w:bCs/>
                <w:color w:val="000000"/>
                <w:sz w:val="20"/>
                <w:lang w:val="ro-MD"/>
              </w:rPr>
            </w:pPr>
            <w:r w:rsidRPr="00DD5F1D">
              <w:rPr>
                <w:rFonts w:ascii="Times New Roman" w:eastAsia="Times New Roman" w:hAnsi="Times New Roman" w:cs="Times New Roman"/>
                <w:b/>
                <w:bCs/>
                <w:color w:val="000000"/>
                <w:sz w:val="20"/>
                <w:lang w:val="ro-MD"/>
              </w:rPr>
              <w:t>411</w:t>
            </w:r>
            <w:r w:rsidR="00BC0DC0" w:rsidRPr="00DD5F1D">
              <w:rPr>
                <w:rFonts w:ascii="Times New Roman" w:eastAsia="Times New Roman" w:hAnsi="Times New Roman" w:cs="Times New Roman"/>
                <w:b/>
                <w:bCs/>
                <w:color w:val="000000"/>
                <w:sz w:val="20"/>
                <w:lang w:val="ro-MD"/>
              </w:rPr>
              <w:t xml:space="preserve"> </w:t>
            </w:r>
            <w:r w:rsidRPr="00DD5F1D">
              <w:rPr>
                <w:rFonts w:ascii="Times New Roman" w:eastAsia="Times New Roman" w:hAnsi="Times New Roman" w:cs="Times New Roman"/>
                <w:b/>
                <w:bCs/>
                <w:color w:val="000000"/>
                <w:sz w:val="20"/>
                <w:lang w:val="ro-MD"/>
              </w:rPr>
              <w:t>574</w:t>
            </w:r>
          </w:p>
        </w:tc>
      </w:tr>
    </w:tbl>
    <w:p w14:paraId="6CA210B8" w14:textId="2155CE59" w:rsidR="00124098" w:rsidRPr="00DD5F1D" w:rsidRDefault="00124098" w:rsidP="00124098">
      <w:pPr>
        <w:rPr>
          <w:rFonts w:ascii="Times New Roman" w:hAnsi="Times New Roman" w:cs="Times New Roman"/>
          <w:i/>
          <w:color w:val="1F3864" w:themeColor="accent5" w:themeShade="80"/>
          <w:sz w:val="20"/>
          <w:szCs w:val="24"/>
          <w:u w:val="single"/>
          <w:lang w:val="ro-MD"/>
        </w:rPr>
      </w:pPr>
      <w:r w:rsidRPr="00DD5F1D">
        <w:rPr>
          <w:rFonts w:ascii="Times New Roman" w:hAnsi="Times New Roman" w:cs="Times New Roman"/>
          <w:b/>
          <w:i/>
          <w:sz w:val="20"/>
          <w:szCs w:val="24"/>
          <w:lang w:val="ro-MD"/>
        </w:rPr>
        <w:t>Sursa</w:t>
      </w:r>
      <w:r w:rsidRPr="00DD5F1D">
        <w:rPr>
          <w:rFonts w:ascii="Times New Roman" w:hAnsi="Times New Roman" w:cs="Times New Roman"/>
          <w:i/>
          <w:sz w:val="20"/>
          <w:szCs w:val="24"/>
          <w:lang w:val="ro-MD"/>
        </w:rPr>
        <w:t xml:space="preserve">: Rapoartele CNAS, </w:t>
      </w:r>
      <w:hyperlink r:id="rId11" w:history="1">
        <w:r w:rsidR="00B223A6" w:rsidRPr="00DD5F1D">
          <w:rPr>
            <w:rStyle w:val="af2"/>
            <w:rFonts w:ascii="Times New Roman" w:hAnsi="Times New Roman" w:cs="Times New Roman"/>
            <w:i/>
            <w:sz w:val="20"/>
            <w:szCs w:val="24"/>
            <w:lang w:val="ro-MD"/>
          </w:rPr>
          <w:t>www.statistica.md</w:t>
        </w:r>
      </w:hyperlink>
    </w:p>
    <w:p w14:paraId="07B4D762" w14:textId="6FE73D8F" w:rsidR="00D37354" w:rsidRPr="00DD5F1D" w:rsidRDefault="00D37354" w:rsidP="00D37354">
      <w:pPr>
        <w:spacing w:line="276" w:lineRule="auto"/>
        <w:jc w:val="both"/>
        <w:rPr>
          <w:rFonts w:ascii="Times New Roman" w:hAnsi="Times New Roman" w:cs="Times New Roman"/>
          <w:color w:val="000000" w:themeColor="text1"/>
          <w:szCs w:val="24"/>
          <w:lang w:val="ro-MD"/>
        </w:rPr>
      </w:pPr>
      <w:r w:rsidRPr="00DD5F1D">
        <w:rPr>
          <w:rFonts w:ascii="Times New Roman" w:hAnsi="Times New Roman" w:cs="Times New Roman"/>
          <w:color w:val="000000" w:themeColor="text1"/>
          <w:sz w:val="24"/>
          <w:szCs w:val="24"/>
          <w:lang w:val="ro-MD"/>
        </w:rPr>
        <w:t xml:space="preserve">Potrivit motivațiilor BNS, se denotă că în totalul </w:t>
      </w:r>
      <w:r w:rsidRPr="00DD5F1D">
        <w:rPr>
          <w:rFonts w:ascii="Times New Roman" w:hAnsi="Times New Roman" w:cs="Times New Roman"/>
          <w:sz w:val="24"/>
          <w:szCs w:val="24"/>
          <w:lang w:val="ro-MD"/>
        </w:rPr>
        <w:t>persoane</w:t>
      </w:r>
      <w:r w:rsidRPr="00DD5F1D">
        <w:rPr>
          <w:rFonts w:ascii="Times New Roman" w:hAnsi="Times New Roman" w:cs="Times New Roman"/>
          <w:color w:val="000000" w:themeColor="text1"/>
          <w:sz w:val="24"/>
          <w:szCs w:val="24"/>
          <w:lang w:val="ro-MD"/>
        </w:rPr>
        <w:t>lor apte de muncă se includ persoanele șomere evaluate conform Biroului internațional al muncii, tinerii care nu caută un loc de muncă, precum și nu învață sau persoanele casnice și cele plecate peste hotare mai puțin de un an, care însumează 388 74</w:t>
      </w:r>
      <w:r w:rsidR="00CD6528">
        <w:rPr>
          <w:rFonts w:ascii="Times New Roman" w:hAnsi="Times New Roman" w:cs="Times New Roman"/>
          <w:color w:val="000000" w:themeColor="text1"/>
          <w:sz w:val="24"/>
          <w:szCs w:val="24"/>
          <w:lang w:val="ro-MD"/>
        </w:rPr>
        <w:t>3</w:t>
      </w:r>
      <w:r w:rsidRPr="00DD5F1D">
        <w:rPr>
          <w:rFonts w:ascii="Times New Roman" w:hAnsi="Times New Roman" w:cs="Times New Roman"/>
          <w:color w:val="000000" w:themeColor="text1"/>
          <w:sz w:val="24"/>
          <w:szCs w:val="24"/>
          <w:lang w:val="ro-MD"/>
        </w:rPr>
        <w:t xml:space="preserve"> de persoane, informație redată în tabelul nr. 4.</w:t>
      </w:r>
    </w:p>
    <w:p w14:paraId="3F880934" w14:textId="40BABA72" w:rsidR="002F62F6" w:rsidRPr="00DD5F1D" w:rsidRDefault="002F62F6" w:rsidP="002F62F6">
      <w:pPr>
        <w:spacing w:after="0" w:line="276" w:lineRule="auto"/>
        <w:jc w:val="right"/>
        <w:rPr>
          <w:rFonts w:ascii="Times New Roman" w:hAnsi="Times New Roman" w:cs="Times New Roman"/>
          <w:b/>
          <w:szCs w:val="24"/>
          <w:lang w:val="ro-MD"/>
        </w:rPr>
      </w:pPr>
      <w:r w:rsidRPr="00DD5F1D">
        <w:rPr>
          <w:rFonts w:ascii="Times New Roman" w:hAnsi="Times New Roman" w:cs="Times New Roman"/>
          <w:b/>
          <w:szCs w:val="24"/>
          <w:lang w:val="ro-MD"/>
        </w:rPr>
        <w:t>Tabelul. nr. 4</w:t>
      </w:r>
    </w:p>
    <w:p w14:paraId="4B90F208" w14:textId="28FB6462" w:rsidR="002F62F6" w:rsidRPr="00DD5F1D" w:rsidRDefault="002F62F6" w:rsidP="002F62F6">
      <w:pPr>
        <w:spacing w:after="0" w:line="276" w:lineRule="auto"/>
        <w:jc w:val="center"/>
        <w:rPr>
          <w:rFonts w:ascii="Times New Roman" w:hAnsi="Times New Roman" w:cs="Times New Roman"/>
          <w:b/>
          <w:szCs w:val="24"/>
          <w:lang w:val="ro-MD"/>
        </w:rPr>
      </w:pPr>
      <w:r w:rsidRPr="00DD5F1D">
        <w:rPr>
          <w:rFonts w:ascii="Times New Roman" w:hAnsi="Times New Roman" w:cs="Times New Roman"/>
          <w:b/>
          <w:szCs w:val="24"/>
          <w:lang w:val="ro-MD"/>
        </w:rPr>
        <w:t>Estimări privind populația neîncadrată în muncă, persoane</w:t>
      </w:r>
    </w:p>
    <w:tbl>
      <w:tblPr>
        <w:tblStyle w:val="af1"/>
        <w:tblW w:w="5000" w:type="pct"/>
        <w:tblLook w:val="04A0" w:firstRow="1" w:lastRow="0" w:firstColumn="1" w:lastColumn="0" w:noHBand="0" w:noVBand="1"/>
      </w:tblPr>
      <w:tblGrid>
        <w:gridCol w:w="7793"/>
        <w:gridCol w:w="2231"/>
      </w:tblGrid>
      <w:tr w:rsidR="00B223A6" w:rsidRPr="00DD5F1D" w14:paraId="2A75C359" w14:textId="77777777" w:rsidTr="00CC6920">
        <w:trPr>
          <w:trHeight w:val="435"/>
        </w:trPr>
        <w:tc>
          <w:tcPr>
            <w:tcW w:w="3887" w:type="pct"/>
            <w:vAlign w:val="center"/>
          </w:tcPr>
          <w:p w14:paraId="77A7BC4E" w14:textId="2F3CEF96" w:rsidR="00B223A6" w:rsidRPr="00DD5F1D" w:rsidRDefault="00B223A6" w:rsidP="00B223A6">
            <w:pPr>
              <w:rPr>
                <w:rFonts w:ascii="Times New Roman" w:hAnsi="Times New Roman" w:cs="Times New Roman"/>
                <w:i/>
                <w:sz w:val="20"/>
                <w:lang w:val="ro-MD"/>
              </w:rPr>
            </w:pPr>
            <w:r w:rsidRPr="00DD5F1D">
              <w:rPr>
                <w:rFonts w:ascii="Times New Roman" w:eastAsia="Times New Roman" w:hAnsi="Times New Roman" w:cs="Times New Roman"/>
                <w:b/>
                <w:bCs/>
                <w:color w:val="000000"/>
                <w:sz w:val="20"/>
                <w:lang w:val="ro-MD"/>
              </w:rPr>
              <w:t>Indicator</w:t>
            </w:r>
          </w:p>
        </w:tc>
        <w:tc>
          <w:tcPr>
            <w:tcW w:w="1113" w:type="pct"/>
            <w:vAlign w:val="center"/>
          </w:tcPr>
          <w:p w14:paraId="78F0017B" w14:textId="77ED4D6F" w:rsidR="00B223A6" w:rsidRPr="00DD5F1D" w:rsidRDefault="00B223A6" w:rsidP="004B301E">
            <w:pPr>
              <w:jc w:val="right"/>
              <w:rPr>
                <w:rFonts w:ascii="Times New Roman" w:hAnsi="Times New Roman" w:cs="Times New Roman"/>
                <w:i/>
                <w:sz w:val="20"/>
                <w:lang w:val="ro-MD"/>
              </w:rPr>
            </w:pPr>
            <w:r w:rsidRPr="00DD5F1D">
              <w:rPr>
                <w:rFonts w:ascii="Times New Roman" w:eastAsia="Times New Roman" w:hAnsi="Times New Roman" w:cs="Times New Roman"/>
                <w:b/>
                <w:bCs/>
                <w:color w:val="000000"/>
                <w:sz w:val="20"/>
                <w:lang w:val="ro-MD"/>
              </w:rPr>
              <w:t>Anul 2023</w:t>
            </w:r>
          </w:p>
        </w:tc>
      </w:tr>
      <w:tr w:rsidR="00B223A6" w:rsidRPr="00DD5F1D" w14:paraId="6029E867" w14:textId="77777777" w:rsidTr="00CC6920">
        <w:trPr>
          <w:trHeight w:val="20"/>
        </w:trPr>
        <w:tc>
          <w:tcPr>
            <w:tcW w:w="3887" w:type="pct"/>
          </w:tcPr>
          <w:p w14:paraId="409816B8" w14:textId="72A99D86" w:rsidR="00B223A6" w:rsidRPr="00DD5F1D" w:rsidRDefault="00B223A6" w:rsidP="00B223A6">
            <w:pPr>
              <w:spacing w:line="276" w:lineRule="auto"/>
              <w:rPr>
                <w:rFonts w:ascii="Times New Roman" w:hAnsi="Times New Roman" w:cs="Times New Roman"/>
                <w:color w:val="000000"/>
                <w:sz w:val="20"/>
                <w:shd w:val="clear" w:color="auto" w:fill="FFFFFF"/>
                <w:lang w:val="ro-MD"/>
              </w:rPr>
            </w:pPr>
            <w:r w:rsidRPr="00DD5F1D">
              <w:rPr>
                <w:rFonts w:ascii="Times New Roman" w:hAnsi="Times New Roman" w:cs="Times New Roman"/>
                <w:color w:val="000000"/>
                <w:sz w:val="20"/>
                <w:shd w:val="clear" w:color="auto" w:fill="FFFFFF"/>
                <w:lang w:val="ro-MD"/>
              </w:rPr>
              <w:t>Ș</w:t>
            </w:r>
            <w:r w:rsidR="002F62F6" w:rsidRPr="00DD5F1D">
              <w:rPr>
                <w:rFonts w:ascii="Times New Roman" w:hAnsi="Times New Roman" w:cs="Times New Roman"/>
                <w:color w:val="000000"/>
                <w:sz w:val="20"/>
                <w:shd w:val="clear" w:color="auto" w:fill="FFFFFF"/>
                <w:lang w:val="ro-MD"/>
              </w:rPr>
              <w:t>omerii conform BIM</w:t>
            </w:r>
            <w:r w:rsidR="002F62F6" w:rsidRPr="00DD5F1D">
              <w:rPr>
                <w:rStyle w:val="a5"/>
                <w:rFonts w:ascii="Times New Roman" w:hAnsi="Times New Roman" w:cs="Times New Roman"/>
                <w:color w:val="000000"/>
                <w:sz w:val="20"/>
                <w:shd w:val="clear" w:color="auto" w:fill="FFFFFF"/>
                <w:lang w:val="ro-MD"/>
              </w:rPr>
              <w:footnoteReference w:id="19"/>
            </w:r>
          </w:p>
        </w:tc>
        <w:tc>
          <w:tcPr>
            <w:tcW w:w="1113" w:type="pct"/>
            <w:vAlign w:val="center"/>
          </w:tcPr>
          <w:p w14:paraId="25AC5AF3" w14:textId="1B09852A" w:rsidR="00B223A6" w:rsidRPr="00DD5F1D" w:rsidRDefault="00B223A6" w:rsidP="00BC0DC0">
            <w:pPr>
              <w:jc w:val="right"/>
              <w:rPr>
                <w:rFonts w:ascii="Times New Roman" w:hAnsi="Times New Roman" w:cs="Times New Roman"/>
                <w:sz w:val="20"/>
                <w:lang w:val="ro-MD"/>
              </w:rPr>
            </w:pPr>
            <w:r w:rsidRPr="00DD5F1D">
              <w:rPr>
                <w:rFonts w:ascii="Times New Roman" w:hAnsi="Times New Roman" w:cs="Times New Roman"/>
                <w:sz w:val="20"/>
                <w:lang w:val="ro-MD"/>
              </w:rPr>
              <w:t>33</w:t>
            </w:r>
            <w:r w:rsidR="00BC0DC0" w:rsidRPr="00DD5F1D">
              <w:rPr>
                <w:rFonts w:ascii="Times New Roman" w:hAnsi="Times New Roman" w:cs="Times New Roman"/>
                <w:sz w:val="20"/>
                <w:lang w:val="ro-MD"/>
              </w:rPr>
              <w:t xml:space="preserve"> </w:t>
            </w:r>
            <w:r w:rsidRPr="00DD5F1D">
              <w:rPr>
                <w:rFonts w:ascii="Times New Roman" w:hAnsi="Times New Roman" w:cs="Times New Roman"/>
                <w:sz w:val="20"/>
                <w:lang w:val="ro-MD"/>
              </w:rPr>
              <w:t>743</w:t>
            </w:r>
          </w:p>
        </w:tc>
      </w:tr>
      <w:tr w:rsidR="00B223A6" w:rsidRPr="00DD5F1D" w14:paraId="0F850F26" w14:textId="77777777" w:rsidTr="00CC6920">
        <w:trPr>
          <w:trHeight w:val="20"/>
        </w:trPr>
        <w:tc>
          <w:tcPr>
            <w:tcW w:w="3887" w:type="pct"/>
          </w:tcPr>
          <w:p w14:paraId="75149729" w14:textId="0D835170" w:rsidR="00B223A6" w:rsidRPr="00DD5F1D" w:rsidRDefault="002F62F6" w:rsidP="00B223A6">
            <w:pPr>
              <w:spacing w:line="276" w:lineRule="auto"/>
              <w:rPr>
                <w:rFonts w:ascii="Times New Roman" w:hAnsi="Times New Roman" w:cs="Times New Roman"/>
                <w:i/>
                <w:sz w:val="20"/>
                <w:lang w:val="ro-MD"/>
              </w:rPr>
            </w:pPr>
            <w:r w:rsidRPr="00DD5F1D">
              <w:rPr>
                <w:rFonts w:ascii="Times New Roman" w:hAnsi="Times New Roman" w:cs="Times New Roman"/>
                <w:color w:val="000000"/>
                <w:sz w:val="20"/>
                <w:shd w:val="clear" w:color="auto" w:fill="FFFFFF"/>
                <w:lang w:val="ro-MD"/>
              </w:rPr>
              <w:t>Tinerii NEET</w:t>
            </w:r>
            <w:r w:rsidRPr="00DD5F1D">
              <w:rPr>
                <w:rStyle w:val="a5"/>
                <w:rFonts w:ascii="Times New Roman" w:hAnsi="Times New Roman" w:cs="Times New Roman"/>
                <w:color w:val="000000"/>
                <w:sz w:val="20"/>
                <w:shd w:val="clear" w:color="auto" w:fill="FFFFFF"/>
                <w:lang w:val="ro-MD"/>
              </w:rPr>
              <w:footnoteReference w:id="20"/>
            </w:r>
            <w:r w:rsidR="00B223A6" w:rsidRPr="00DD5F1D">
              <w:rPr>
                <w:rFonts w:ascii="Times New Roman" w:hAnsi="Times New Roman" w:cs="Times New Roman"/>
                <w:color w:val="000000"/>
                <w:sz w:val="20"/>
                <w:shd w:val="clear" w:color="auto" w:fill="FFFFFF"/>
                <w:lang w:val="ro-MD"/>
              </w:rPr>
              <w:t xml:space="preserve"> (24-34 ani)</w:t>
            </w:r>
          </w:p>
        </w:tc>
        <w:tc>
          <w:tcPr>
            <w:tcW w:w="1113" w:type="pct"/>
            <w:vAlign w:val="center"/>
          </w:tcPr>
          <w:p w14:paraId="31F7EE7D" w14:textId="7A540678" w:rsidR="00B223A6" w:rsidRPr="00DD5F1D" w:rsidRDefault="00B223A6" w:rsidP="00BC0DC0">
            <w:pPr>
              <w:jc w:val="right"/>
              <w:rPr>
                <w:rFonts w:ascii="Times New Roman" w:hAnsi="Times New Roman" w:cs="Times New Roman"/>
                <w:sz w:val="20"/>
                <w:lang w:val="ro-MD"/>
              </w:rPr>
            </w:pPr>
            <w:r w:rsidRPr="00DD5F1D">
              <w:rPr>
                <w:rFonts w:ascii="Times New Roman" w:hAnsi="Times New Roman" w:cs="Times New Roman"/>
                <w:sz w:val="20"/>
                <w:lang w:val="ro-MD"/>
              </w:rPr>
              <w:t>127</w:t>
            </w:r>
            <w:r w:rsidR="00BC0DC0" w:rsidRPr="00DD5F1D">
              <w:rPr>
                <w:rFonts w:ascii="Times New Roman" w:hAnsi="Times New Roman" w:cs="Times New Roman"/>
                <w:sz w:val="20"/>
                <w:lang w:val="ro-MD"/>
              </w:rPr>
              <w:t xml:space="preserve"> </w:t>
            </w:r>
            <w:r w:rsidRPr="00DD5F1D">
              <w:rPr>
                <w:rFonts w:ascii="Times New Roman" w:hAnsi="Times New Roman" w:cs="Times New Roman"/>
                <w:sz w:val="20"/>
                <w:lang w:val="ro-MD"/>
              </w:rPr>
              <w:t>300</w:t>
            </w:r>
          </w:p>
        </w:tc>
      </w:tr>
      <w:tr w:rsidR="00B223A6" w:rsidRPr="00DD5F1D" w14:paraId="0299ED8E" w14:textId="77777777" w:rsidTr="00CC6920">
        <w:trPr>
          <w:trHeight w:val="20"/>
        </w:trPr>
        <w:tc>
          <w:tcPr>
            <w:tcW w:w="3887" w:type="pct"/>
          </w:tcPr>
          <w:p w14:paraId="0A42FD6C" w14:textId="63E5CFE7" w:rsidR="00B223A6" w:rsidRPr="00DD5F1D" w:rsidRDefault="00B223A6" w:rsidP="005839EC">
            <w:pPr>
              <w:spacing w:line="276" w:lineRule="auto"/>
              <w:rPr>
                <w:rFonts w:ascii="Times New Roman" w:hAnsi="Times New Roman" w:cs="Times New Roman"/>
                <w:i/>
                <w:sz w:val="20"/>
                <w:lang w:val="ro-MD"/>
              </w:rPr>
            </w:pPr>
            <w:r w:rsidRPr="00DD5F1D">
              <w:rPr>
                <w:rFonts w:ascii="Times New Roman" w:hAnsi="Times New Roman" w:cs="Times New Roman"/>
                <w:color w:val="000000"/>
                <w:sz w:val="20"/>
                <w:shd w:val="clear" w:color="auto" w:fill="FFFFFF"/>
                <w:lang w:val="ro-MD"/>
              </w:rPr>
              <w:t xml:space="preserve">Persoane plecate peste hotare la lucru sau în căutare de lucru mai puțin de 1 an (15 ani </w:t>
            </w:r>
            <w:r w:rsidR="005839EC" w:rsidRPr="00DD5F1D">
              <w:rPr>
                <w:rFonts w:ascii="Times New Roman" w:hAnsi="Times New Roman" w:cs="Times New Roman"/>
                <w:color w:val="000000"/>
                <w:sz w:val="20"/>
                <w:shd w:val="clear" w:color="auto" w:fill="FFFFFF"/>
                <w:lang w:val="ro-MD"/>
              </w:rPr>
              <w:t>ș</w:t>
            </w:r>
            <w:r w:rsidRPr="00DD5F1D">
              <w:rPr>
                <w:rFonts w:ascii="Times New Roman" w:hAnsi="Times New Roman" w:cs="Times New Roman"/>
                <w:color w:val="000000"/>
                <w:sz w:val="20"/>
                <w:shd w:val="clear" w:color="auto" w:fill="FFFFFF"/>
                <w:lang w:val="ro-MD"/>
              </w:rPr>
              <w:t>i peste)</w:t>
            </w:r>
          </w:p>
        </w:tc>
        <w:tc>
          <w:tcPr>
            <w:tcW w:w="1113" w:type="pct"/>
            <w:vAlign w:val="center"/>
          </w:tcPr>
          <w:p w14:paraId="4700BE86" w14:textId="05A03D04" w:rsidR="00B223A6" w:rsidRPr="00DD5F1D" w:rsidRDefault="00B223A6" w:rsidP="00BC0DC0">
            <w:pPr>
              <w:jc w:val="right"/>
              <w:rPr>
                <w:rFonts w:ascii="Times New Roman" w:hAnsi="Times New Roman" w:cs="Times New Roman"/>
                <w:sz w:val="20"/>
                <w:lang w:val="ro-MD"/>
              </w:rPr>
            </w:pPr>
            <w:r w:rsidRPr="00DD5F1D">
              <w:rPr>
                <w:rFonts w:ascii="Times New Roman" w:hAnsi="Times New Roman" w:cs="Times New Roman"/>
                <w:sz w:val="20"/>
                <w:lang w:val="ro-MD"/>
              </w:rPr>
              <w:t>90</w:t>
            </w:r>
            <w:r w:rsidR="00BC0DC0" w:rsidRPr="00DD5F1D">
              <w:rPr>
                <w:rFonts w:ascii="Times New Roman" w:hAnsi="Times New Roman" w:cs="Times New Roman"/>
                <w:sz w:val="20"/>
                <w:lang w:val="ro-MD"/>
              </w:rPr>
              <w:t xml:space="preserve"> </w:t>
            </w:r>
            <w:r w:rsidRPr="00DD5F1D">
              <w:rPr>
                <w:rFonts w:ascii="Times New Roman" w:hAnsi="Times New Roman" w:cs="Times New Roman"/>
                <w:sz w:val="20"/>
                <w:lang w:val="ro-MD"/>
              </w:rPr>
              <w:t>300</w:t>
            </w:r>
          </w:p>
        </w:tc>
      </w:tr>
      <w:tr w:rsidR="00B223A6" w:rsidRPr="00DD5F1D" w14:paraId="7658C0E0" w14:textId="77777777" w:rsidTr="00CC6920">
        <w:trPr>
          <w:trHeight w:val="20"/>
        </w:trPr>
        <w:tc>
          <w:tcPr>
            <w:tcW w:w="3887" w:type="pct"/>
          </w:tcPr>
          <w:p w14:paraId="64EB6DBD" w14:textId="3A28498E" w:rsidR="00B223A6" w:rsidRPr="00DD5F1D" w:rsidRDefault="00B223A6" w:rsidP="00B223A6">
            <w:pPr>
              <w:spacing w:line="276" w:lineRule="auto"/>
              <w:rPr>
                <w:rFonts w:ascii="Times New Roman" w:hAnsi="Times New Roman" w:cs="Times New Roman"/>
                <w:color w:val="000000"/>
                <w:sz w:val="20"/>
                <w:shd w:val="clear" w:color="auto" w:fill="FFFFFF"/>
                <w:lang w:val="ro-MD"/>
              </w:rPr>
            </w:pPr>
            <w:r w:rsidRPr="00DD5F1D">
              <w:rPr>
                <w:rFonts w:ascii="Times New Roman" w:hAnsi="Times New Roman" w:cs="Times New Roman"/>
                <w:color w:val="000000"/>
                <w:sz w:val="20"/>
                <w:shd w:val="clear" w:color="auto" w:fill="FFFFFF"/>
                <w:lang w:val="ro-MD"/>
              </w:rPr>
              <w:t>Persoane care îngrijesc de familie (casnice)</w:t>
            </w:r>
          </w:p>
        </w:tc>
        <w:tc>
          <w:tcPr>
            <w:tcW w:w="1113" w:type="pct"/>
            <w:vAlign w:val="center"/>
          </w:tcPr>
          <w:p w14:paraId="36DDCEF1" w14:textId="645419EE" w:rsidR="00B223A6" w:rsidRPr="00DD5F1D" w:rsidRDefault="00B223A6" w:rsidP="00BC0DC0">
            <w:pPr>
              <w:jc w:val="right"/>
              <w:rPr>
                <w:rFonts w:ascii="Times New Roman" w:hAnsi="Times New Roman" w:cs="Times New Roman"/>
                <w:sz w:val="20"/>
                <w:lang w:val="ro-MD"/>
              </w:rPr>
            </w:pPr>
            <w:r w:rsidRPr="00DD5F1D">
              <w:rPr>
                <w:rFonts w:ascii="Times New Roman" w:hAnsi="Times New Roman" w:cs="Times New Roman"/>
                <w:sz w:val="20"/>
                <w:lang w:val="ro-MD"/>
              </w:rPr>
              <w:t>137</w:t>
            </w:r>
            <w:r w:rsidR="00BC0DC0" w:rsidRPr="00DD5F1D">
              <w:rPr>
                <w:rFonts w:ascii="Times New Roman" w:hAnsi="Times New Roman" w:cs="Times New Roman"/>
                <w:sz w:val="20"/>
                <w:lang w:val="ro-MD"/>
              </w:rPr>
              <w:t xml:space="preserve"> </w:t>
            </w:r>
            <w:r w:rsidRPr="00DD5F1D">
              <w:rPr>
                <w:rFonts w:ascii="Times New Roman" w:hAnsi="Times New Roman" w:cs="Times New Roman"/>
                <w:sz w:val="20"/>
                <w:lang w:val="ro-MD"/>
              </w:rPr>
              <w:t>400</w:t>
            </w:r>
          </w:p>
        </w:tc>
      </w:tr>
    </w:tbl>
    <w:p w14:paraId="5674CAE9" w14:textId="51C776A7" w:rsidR="002F62F6" w:rsidRPr="00DD5F1D" w:rsidRDefault="00431E6D" w:rsidP="00190567">
      <w:pPr>
        <w:spacing w:line="276" w:lineRule="auto"/>
        <w:jc w:val="both"/>
        <w:rPr>
          <w:rFonts w:ascii="Times New Roman" w:hAnsi="Times New Roman" w:cs="Times New Roman"/>
          <w:i/>
          <w:sz w:val="20"/>
          <w:szCs w:val="24"/>
          <w:lang w:val="ro-MD"/>
        </w:rPr>
      </w:pPr>
      <w:r w:rsidRPr="00DD5F1D">
        <w:rPr>
          <w:rFonts w:ascii="Times New Roman" w:hAnsi="Times New Roman" w:cs="Times New Roman"/>
          <w:b/>
          <w:i/>
          <w:sz w:val="20"/>
          <w:szCs w:val="24"/>
          <w:lang w:val="ro-MD"/>
        </w:rPr>
        <w:t>Sursa</w:t>
      </w:r>
      <w:r w:rsidRPr="00DD5F1D">
        <w:rPr>
          <w:rFonts w:ascii="Times New Roman" w:hAnsi="Times New Roman" w:cs="Times New Roman"/>
          <w:i/>
          <w:sz w:val="20"/>
          <w:szCs w:val="24"/>
          <w:lang w:val="ro-MD"/>
        </w:rPr>
        <w:t>: Elaborat de audit în baza datel</w:t>
      </w:r>
      <w:r w:rsidR="005839EC" w:rsidRPr="00DD5F1D">
        <w:rPr>
          <w:rFonts w:ascii="Times New Roman" w:hAnsi="Times New Roman" w:cs="Times New Roman"/>
          <w:i/>
          <w:sz w:val="20"/>
          <w:szCs w:val="24"/>
          <w:lang w:val="ro-MD"/>
        </w:rPr>
        <w:t>or</w:t>
      </w:r>
      <w:r w:rsidRPr="00DD5F1D">
        <w:rPr>
          <w:rFonts w:ascii="Times New Roman" w:hAnsi="Times New Roman" w:cs="Times New Roman"/>
          <w:i/>
          <w:sz w:val="20"/>
          <w:szCs w:val="24"/>
          <w:lang w:val="ro-MD"/>
        </w:rPr>
        <w:t xml:space="preserve"> furnizate de BNS</w:t>
      </w:r>
      <w:r w:rsidR="005839EC" w:rsidRPr="00DD5F1D">
        <w:rPr>
          <w:rFonts w:ascii="Times New Roman" w:hAnsi="Times New Roman" w:cs="Times New Roman"/>
          <w:i/>
          <w:sz w:val="20"/>
          <w:szCs w:val="24"/>
          <w:lang w:val="ro-MD"/>
        </w:rPr>
        <w:t>.</w:t>
      </w:r>
    </w:p>
    <w:p w14:paraId="2068497F" w14:textId="66424501" w:rsidR="00124098" w:rsidRPr="00DD5F1D" w:rsidRDefault="00124098" w:rsidP="00190567">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Astfel, deși există potențial de creștere a numărului de contribuabili la BASS, rezerva se menține, inclusiv din cauza existenței muncii la negru, salariilor în plic, salariului neatractiv etc. În aceste condiții, sistemul de asigurări sociale riscă să nu mai fie sustenabil în timp, anual crește defi</w:t>
      </w:r>
      <w:r w:rsidR="00BC0DC0" w:rsidRPr="00DD5F1D">
        <w:rPr>
          <w:rFonts w:ascii="Times New Roman" w:hAnsi="Times New Roman" w:cs="Times New Roman"/>
          <w:sz w:val="24"/>
          <w:szCs w:val="24"/>
          <w:lang w:val="ro-MD"/>
        </w:rPr>
        <w:t>citul și presiunea asupra BASS</w:t>
      </w:r>
      <w:r w:rsidRPr="00DD5F1D">
        <w:rPr>
          <w:rFonts w:ascii="Times New Roman" w:hAnsi="Times New Roman" w:cs="Times New Roman"/>
          <w:sz w:val="24"/>
          <w:szCs w:val="24"/>
          <w:lang w:val="ro-MD"/>
        </w:rPr>
        <w:t xml:space="preserve">, sistemul </w:t>
      </w:r>
      <w:r w:rsidR="00BC0DC0" w:rsidRPr="00DD5F1D">
        <w:rPr>
          <w:rFonts w:ascii="Times New Roman" w:hAnsi="Times New Roman" w:cs="Times New Roman"/>
          <w:sz w:val="24"/>
          <w:szCs w:val="24"/>
          <w:lang w:val="ro-MD"/>
        </w:rPr>
        <w:t>fiind susținut prin transferuri</w:t>
      </w:r>
      <w:r w:rsidR="009B3AFC" w:rsidRPr="00DD5F1D">
        <w:rPr>
          <w:rFonts w:ascii="Times New Roman" w:hAnsi="Times New Roman" w:cs="Times New Roman"/>
          <w:sz w:val="24"/>
          <w:szCs w:val="24"/>
          <w:lang w:val="ro-MD"/>
        </w:rPr>
        <w:t xml:space="preserve"> de la bugetul de stat.</w:t>
      </w:r>
    </w:p>
    <w:p w14:paraId="5BD86148" w14:textId="77777777" w:rsidR="00124098" w:rsidRPr="00DD5F1D" w:rsidRDefault="00124098" w:rsidP="00CC6920">
      <w:pPr>
        <w:pStyle w:val="aa"/>
        <w:numPr>
          <w:ilvl w:val="1"/>
          <w:numId w:val="2"/>
        </w:numPr>
        <w:spacing w:line="276" w:lineRule="auto"/>
        <w:ind w:left="0" w:firstLine="0"/>
        <w:jc w:val="both"/>
        <w:outlineLvl w:val="1"/>
        <w:rPr>
          <w:rFonts w:ascii="Times New Roman" w:eastAsia="Times New Roman" w:hAnsi="Times New Roman" w:cs="Times New Roman"/>
          <w:b/>
          <w:sz w:val="24"/>
          <w:szCs w:val="24"/>
          <w:lang w:val="ro-MD"/>
        </w:rPr>
      </w:pPr>
      <w:r w:rsidRPr="00DD5F1D">
        <w:rPr>
          <w:rFonts w:ascii="Times New Roman" w:hAnsi="Times New Roman" w:cs="Times New Roman"/>
          <w:b/>
          <w:sz w:val="24"/>
          <w:szCs w:val="24"/>
          <w:lang w:val="ro-MD"/>
        </w:rPr>
        <w:t xml:space="preserve"> Sustenabilitatea BASS este asigurată de transferurile cu destinație generală pentru acoperirea deficitului, aceste transferuri au crescut de cinci ori în ultimii șase ani, ceea ce denotă o dependență majoră față de bugetul de stat.</w:t>
      </w:r>
    </w:p>
    <w:p w14:paraId="1718E053" w14:textId="3E503EC1" w:rsidR="00124098" w:rsidRPr="00DD5F1D" w:rsidRDefault="00BC0DC0" w:rsidP="00124098">
      <w:pPr>
        <w:tabs>
          <w:tab w:val="left" w:pos="426"/>
          <w:tab w:val="left" w:pos="709"/>
          <w:tab w:val="left" w:pos="993"/>
        </w:tabs>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În anul 2023</w:t>
      </w:r>
      <w:r w:rsidR="005839EC"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c</w:t>
      </w:r>
      <w:r w:rsidR="00124098" w:rsidRPr="00DD5F1D">
        <w:rPr>
          <w:rFonts w:ascii="Times New Roman" w:hAnsi="Times New Roman" w:cs="Times New Roman"/>
          <w:sz w:val="24"/>
          <w:szCs w:val="24"/>
          <w:lang w:val="ro-MD"/>
        </w:rPr>
        <w:t>omparativ cu anul 2022, suma transferurilor bugetului de stat la BASS</w:t>
      </w:r>
      <w:r w:rsidRPr="00DD5F1D">
        <w:rPr>
          <w:rFonts w:ascii="Times New Roman" w:hAnsi="Times New Roman" w:cs="Times New Roman"/>
          <w:sz w:val="24"/>
          <w:szCs w:val="24"/>
          <w:lang w:val="ro-MD"/>
        </w:rPr>
        <w:t xml:space="preserve"> (16 511,6 mil. lei)</w:t>
      </w:r>
      <w:r w:rsidR="00124098" w:rsidRPr="00DD5F1D">
        <w:rPr>
          <w:rFonts w:ascii="Times New Roman" w:hAnsi="Times New Roman" w:cs="Times New Roman"/>
          <w:sz w:val="24"/>
          <w:szCs w:val="24"/>
          <w:lang w:val="ro-MD"/>
        </w:rPr>
        <w:t xml:space="preserve"> a fost cu 1</w:t>
      </w:r>
      <w:r w:rsidR="00AC563D" w:rsidRPr="00DD5F1D">
        <w:rPr>
          <w:rFonts w:ascii="Times New Roman" w:hAnsi="Times New Roman" w:cs="Times New Roman"/>
          <w:sz w:val="24"/>
          <w:szCs w:val="24"/>
          <w:lang w:val="ro-MD"/>
        </w:rPr>
        <w:t xml:space="preserve"> </w:t>
      </w:r>
      <w:r w:rsidR="00124098" w:rsidRPr="00DD5F1D">
        <w:rPr>
          <w:rFonts w:ascii="Times New Roman" w:hAnsi="Times New Roman" w:cs="Times New Roman"/>
          <w:sz w:val="24"/>
          <w:szCs w:val="24"/>
          <w:lang w:val="ro-MD"/>
        </w:rPr>
        <w:t>717,6 mil lei</w:t>
      </w:r>
      <w:r w:rsidR="005839EC" w:rsidRPr="00DD5F1D">
        <w:rPr>
          <w:rFonts w:ascii="Times New Roman" w:hAnsi="Times New Roman" w:cs="Times New Roman"/>
          <w:sz w:val="24"/>
          <w:szCs w:val="24"/>
          <w:lang w:val="ro-MD"/>
        </w:rPr>
        <w:t>,</w:t>
      </w:r>
      <w:r w:rsidR="00124098" w:rsidRPr="00DD5F1D">
        <w:rPr>
          <w:rFonts w:ascii="Times New Roman" w:hAnsi="Times New Roman" w:cs="Times New Roman"/>
          <w:sz w:val="24"/>
          <w:szCs w:val="24"/>
          <w:lang w:val="ro-MD"/>
        </w:rPr>
        <w:t xml:space="preserve"> sau cu 11,6%</w:t>
      </w:r>
      <w:r w:rsidR="005839EC" w:rsidRPr="00DD5F1D">
        <w:rPr>
          <w:rFonts w:ascii="Times New Roman" w:hAnsi="Times New Roman" w:cs="Times New Roman"/>
          <w:sz w:val="24"/>
          <w:szCs w:val="24"/>
          <w:lang w:val="ro-MD"/>
        </w:rPr>
        <w:t>,</w:t>
      </w:r>
      <w:r w:rsidR="00124098" w:rsidRPr="00DD5F1D">
        <w:rPr>
          <w:rFonts w:ascii="Times New Roman" w:hAnsi="Times New Roman" w:cs="Times New Roman"/>
          <w:sz w:val="24"/>
          <w:szCs w:val="24"/>
          <w:lang w:val="ro-MD"/>
        </w:rPr>
        <w:t xml:space="preserve"> mai mare. Din totalul transferurilor, cele cu destinație generală  pentru acoperirea deficitului B</w:t>
      </w:r>
      <w:r w:rsidR="00A82A4D" w:rsidRPr="00DD5F1D">
        <w:rPr>
          <w:rFonts w:ascii="Times New Roman" w:hAnsi="Times New Roman" w:cs="Times New Roman"/>
          <w:sz w:val="24"/>
          <w:szCs w:val="24"/>
          <w:lang w:val="ro-MD"/>
        </w:rPr>
        <w:t>A</w:t>
      </w:r>
      <w:r w:rsidR="00124098" w:rsidRPr="00DD5F1D">
        <w:rPr>
          <w:rFonts w:ascii="Times New Roman" w:hAnsi="Times New Roman" w:cs="Times New Roman"/>
          <w:sz w:val="24"/>
          <w:szCs w:val="24"/>
          <w:lang w:val="ro-MD"/>
        </w:rPr>
        <w:t>SS au însumat 5 417,9 mil. lei, ceea ce constituie o creștere cu 22,2% față de an</w:t>
      </w:r>
      <w:r w:rsidR="00A82A4D" w:rsidRPr="00DD5F1D">
        <w:rPr>
          <w:rFonts w:ascii="Times New Roman" w:hAnsi="Times New Roman" w:cs="Times New Roman"/>
          <w:sz w:val="24"/>
          <w:szCs w:val="24"/>
          <w:lang w:val="ro-MD"/>
        </w:rPr>
        <w:t>ul precedent (4 434,1 mil. lei), iar cele cu destinație specială au însumat</w:t>
      </w:r>
      <w:r w:rsidR="00124098" w:rsidRPr="00DD5F1D">
        <w:rPr>
          <w:rFonts w:ascii="Times New Roman" w:hAnsi="Times New Roman" w:cs="Times New Roman"/>
          <w:sz w:val="24"/>
          <w:szCs w:val="24"/>
          <w:lang w:val="ro-MD"/>
        </w:rPr>
        <w:t xml:space="preserve"> </w:t>
      </w:r>
      <w:r w:rsidR="00320B6C" w:rsidRPr="00DD5F1D">
        <w:rPr>
          <w:rFonts w:ascii="Times New Roman" w:hAnsi="Times New Roman" w:cs="Times New Roman"/>
          <w:sz w:val="24"/>
          <w:szCs w:val="24"/>
          <w:lang w:val="ro-MD"/>
        </w:rPr>
        <w:t>11 093,7 mil. lei.</w:t>
      </w:r>
    </w:p>
    <w:p w14:paraId="01EF06C3" w14:textId="6F2B5880" w:rsidR="00124098" w:rsidRPr="00DD5F1D" w:rsidRDefault="00124098" w:rsidP="00BC0DC0">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Dependența financiară continuă a BASS față de bugetul de stat se exprimă prin menținerea trendului ascendent a</w:t>
      </w:r>
      <w:r w:rsidR="005839EC" w:rsidRPr="00DD5F1D">
        <w:rPr>
          <w:rFonts w:ascii="Times New Roman" w:hAnsi="Times New Roman" w:cs="Times New Roman"/>
          <w:sz w:val="24"/>
          <w:szCs w:val="24"/>
          <w:lang w:val="ro-MD"/>
        </w:rPr>
        <w:t>l</w:t>
      </w:r>
      <w:r w:rsidRPr="00DD5F1D">
        <w:rPr>
          <w:rFonts w:ascii="Times New Roman" w:hAnsi="Times New Roman" w:cs="Times New Roman"/>
          <w:sz w:val="24"/>
          <w:szCs w:val="24"/>
          <w:lang w:val="ro-MD"/>
        </w:rPr>
        <w:t xml:space="preserve"> transferurilor primite cu destinație generală, comparativ cu anul precedent, iar în ultimii șase ani acestea au crescut de cca 5 ori. Creșterea semnificativă a transferurilor </w:t>
      </w:r>
      <w:r w:rsidR="00BC0DC0" w:rsidRPr="00DD5F1D">
        <w:rPr>
          <w:rFonts w:ascii="Times New Roman" w:hAnsi="Times New Roman" w:cs="Times New Roman"/>
          <w:sz w:val="24"/>
          <w:szCs w:val="24"/>
          <w:lang w:val="ro-MD"/>
        </w:rPr>
        <w:t>este determinată inclusiv de unele</w:t>
      </w:r>
      <w:r w:rsidRPr="00DD5F1D">
        <w:rPr>
          <w:rFonts w:ascii="Times New Roman" w:hAnsi="Times New Roman" w:cs="Times New Roman"/>
          <w:sz w:val="24"/>
          <w:szCs w:val="24"/>
          <w:lang w:val="ro-MD"/>
        </w:rPr>
        <w:t xml:space="preserve"> abordări diferențiate privind baza de calcul și cotele aplicate aferente contribuțiilor de asigurări sociale. De exemplu, modificările </w:t>
      </w:r>
      <w:r w:rsidR="000B0547" w:rsidRPr="00DD5F1D">
        <w:rPr>
          <w:rFonts w:ascii="Times New Roman" w:hAnsi="Times New Roman" w:cs="Times New Roman"/>
          <w:sz w:val="24"/>
          <w:szCs w:val="24"/>
          <w:lang w:val="ro-MD"/>
        </w:rPr>
        <w:t xml:space="preserve">operate </w:t>
      </w:r>
      <w:r w:rsidRPr="00DD5F1D">
        <w:rPr>
          <w:rFonts w:ascii="Times New Roman" w:hAnsi="Times New Roman" w:cs="Times New Roman"/>
          <w:sz w:val="24"/>
          <w:szCs w:val="24"/>
          <w:lang w:val="ro-MD"/>
        </w:rPr>
        <w:t xml:space="preserve">în anul 2018 aferente contribuțiilor virate de agenții economici (vezi constatarea </w:t>
      </w:r>
      <w:r w:rsidR="001549A1" w:rsidRPr="00DD5F1D">
        <w:rPr>
          <w:rFonts w:ascii="Times New Roman" w:hAnsi="Times New Roman" w:cs="Times New Roman"/>
          <w:sz w:val="24"/>
          <w:szCs w:val="24"/>
          <w:lang w:val="ro-MD"/>
        </w:rPr>
        <w:t>6.5</w:t>
      </w:r>
      <w:r w:rsidRPr="00DD5F1D">
        <w:rPr>
          <w:rFonts w:ascii="Times New Roman" w:hAnsi="Times New Roman" w:cs="Times New Roman"/>
          <w:sz w:val="24"/>
          <w:szCs w:val="24"/>
          <w:lang w:val="ro-MD"/>
        </w:rPr>
        <w:t xml:space="preserve">), prin care s-a micșorat cota de contribuții de la 29 % la 24 %, perceperea impozitului unic </w:t>
      </w:r>
      <w:r w:rsidR="000B0547" w:rsidRPr="00DD5F1D">
        <w:rPr>
          <w:rFonts w:ascii="Times New Roman" w:hAnsi="Times New Roman" w:cs="Times New Roman"/>
          <w:sz w:val="24"/>
          <w:szCs w:val="24"/>
          <w:lang w:val="ro-MD"/>
        </w:rPr>
        <w:t xml:space="preserve">de la </w:t>
      </w:r>
      <w:r w:rsidRPr="00DD5F1D">
        <w:rPr>
          <w:rFonts w:ascii="Times New Roman" w:hAnsi="Times New Roman" w:cs="Times New Roman"/>
          <w:sz w:val="24"/>
          <w:szCs w:val="24"/>
          <w:lang w:val="ro-MD"/>
        </w:rPr>
        <w:t>parcuril</w:t>
      </w:r>
      <w:r w:rsidR="000B0547" w:rsidRPr="00DD5F1D">
        <w:rPr>
          <w:rFonts w:ascii="Times New Roman" w:hAnsi="Times New Roman" w:cs="Times New Roman"/>
          <w:sz w:val="24"/>
          <w:szCs w:val="24"/>
          <w:lang w:val="ro-MD"/>
        </w:rPr>
        <w:t>e</w:t>
      </w:r>
      <w:r w:rsidRPr="00DD5F1D">
        <w:rPr>
          <w:rFonts w:ascii="Times New Roman" w:hAnsi="Times New Roman" w:cs="Times New Roman"/>
          <w:sz w:val="24"/>
          <w:szCs w:val="24"/>
          <w:lang w:val="ro-MD"/>
        </w:rPr>
        <w:t xml:space="preserve"> TI, tax</w:t>
      </w:r>
      <w:r w:rsidR="000B0547" w:rsidRPr="00DD5F1D">
        <w:rPr>
          <w:rFonts w:ascii="Times New Roman" w:hAnsi="Times New Roman" w:cs="Times New Roman"/>
          <w:sz w:val="24"/>
          <w:szCs w:val="24"/>
          <w:lang w:val="ro-MD"/>
        </w:rPr>
        <w:t>a</w:t>
      </w:r>
      <w:r w:rsidRPr="00DD5F1D">
        <w:rPr>
          <w:rFonts w:ascii="Times New Roman" w:hAnsi="Times New Roman" w:cs="Times New Roman"/>
          <w:sz w:val="24"/>
          <w:szCs w:val="24"/>
          <w:lang w:val="ro-MD"/>
        </w:rPr>
        <w:t xml:space="preserve"> fixă pentru diferite categorii de contribuabili (Anexa </w:t>
      </w:r>
      <w:r w:rsidR="00AC563D" w:rsidRPr="00DD5F1D">
        <w:rPr>
          <w:rFonts w:ascii="Times New Roman" w:hAnsi="Times New Roman" w:cs="Times New Roman"/>
          <w:sz w:val="24"/>
          <w:szCs w:val="24"/>
          <w:lang w:val="ro-MD"/>
        </w:rPr>
        <w:t xml:space="preserve">nr. </w:t>
      </w:r>
      <w:r w:rsidR="000E2AC7" w:rsidRPr="00DD5F1D">
        <w:rPr>
          <w:rFonts w:ascii="Times New Roman" w:hAnsi="Times New Roman" w:cs="Times New Roman"/>
          <w:sz w:val="24"/>
          <w:szCs w:val="24"/>
          <w:lang w:val="ro-MD"/>
        </w:rPr>
        <w:t>8</w:t>
      </w:r>
      <w:r w:rsidR="000B0547" w:rsidRPr="00DD5F1D">
        <w:rPr>
          <w:rFonts w:ascii="Times New Roman" w:hAnsi="Times New Roman" w:cs="Times New Roman"/>
          <w:sz w:val="24"/>
          <w:szCs w:val="24"/>
          <w:lang w:val="ro-MD"/>
        </w:rPr>
        <w:t xml:space="preserve"> </w:t>
      </w:r>
      <w:r w:rsidR="000B0547" w:rsidRPr="00DD5F1D">
        <w:rPr>
          <w:rFonts w:ascii="Times New Roman" w:eastAsia="Times New Roman" w:hAnsi="Times New Roman" w:cs="Times New Roman"/>
          <w:sz w:val="24"/>
          <w:szCs w:val="24"/>
          <w:lang w:val="ro-MD"/>
        </w:rPr>
        <w:t>la prezentul Raport de audit</w:t>
      </w:r>
      <w:r w:rsidR="00BC0DC0" w:rsidRPr="00DD5F1D">
        <w:rPr>
          <w:rFonts w:ascii="Times New Roman" w:hAnsi="Times New Roman" w:cs="Times New Roman"/>
          <w:sz w:val="24"/>
          <w:szCs w:val="24"/>
          <w:lang w:val="ro-MD"/>
        </w:rPr>
        <w:t>).</w:t>
      </w:r>
    </w:p>
    <w:p w14:paraId="49E3058F" w14:textId="43B8E090" w:rsidR="00124098" w:rsidRPr="00DD5F1D" w:rsidRDefault="00124098" w:rsidP="00100079">
      <w:pPr>
        <w:spacing w:line="276" w:lineRule="auto"/>
        <w:jc w:val="center"/>
        <w:rPr>
          <w:rFonts w:ascii="Times New Roman" w:hAnsi="Times New Roman" w:cs="Times New Roman"/>
          <w:i/>
          <w:sz w:val="24"/>
          <w:szCs w:val="24"/>
          <w:lang w:val="ro-MD"/>
        </w:rPr>
      </w:pPr>
      <w:r w:rsidRPr="00DD5F1D">
        <w:rPr>
          <w:rFonts w:ascii="Times New Roman" w:hAnsi="Times New Roman" w:cs="Times New Roman"/>
          <w:noProof/>
          <w:sz w:val="24"/>
          <w:szCs w:val="24"/>
          <w:lang w:val="ru-RU" w:eastAsia="ru-RU"/>
        </w:rPr>
        <w:drawing>
          <wp:inline distT="0" distB="0" distL="0" distR="0" wp14:anchorId="1C368FA3" wp14:editId="55A399A3">
            <wp:extent cx="6152515" cy="2871470"/>
            <wp:effectExtent l="0" t="0" r="63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D5F1D">
        <w:rPr>
          <w:rFonts w:ascii="Times New Roman" w:hAnsi="Times New Roman" w:cs="Times New Roman"/>
          <w:b/>
          <w:sz w:val="20"/>
          <w:szCs w:val="24"/>
          <w:lang w:val="ro-MD"/>
        </w:rPr>
        <w:t>Figura nr.1</w:t>
      </w:r>
      <w:r w:rsidRPr="00DD5F1D">
        <w:rPr>
          <w:rFonts w:ascii="Times New Roman" w:hAnsi="Times New Roman" w:cs="Times New Roman"/>
          <w:i/>
          <w:sz w:val="20"/>
          <w:szCs w:val="24"/>
          <w:lang w:val="ro-MD"/>
        </w:rPr>
        <w:t xml:space="preserve"> </w:t>
      </w:r>
      <w:r w:rsidRPr="00DD5F1D">
        <w:rPr>
          <w:rFonts w:ascii="Times New Roman" w:hAnsi="Times New Roman" w:cs="Times New Roman"/>
          <w:bCs/>
          <w:i/>
          <w:sz w:val="20"/>
          <w:szCs w:val="24"/>
          <w:lang w:val="ro-MD"/>
        </w:rPr>
        <w:t>Dinamica transferurilor de la bugetul de stat pentru acoperirea deficitului bugetului asigurărilor so</w:t>
      </w:r>
      <w:r w:rsidR="00BC0DC0" w:rsidRPr="00DD5F1D">
        <w:rPr>
          <w:rFonts w:ascii="Times New Roman" w:hAnsi="Times New Roman" w:cs="Times New Roman"/>
          <w:bCs/>
          <w:i/>
          <w:sz w:val="20"/>
          <w:szCs w:val="24"/>
          <w:lang w:val="ro-MD"/>
        </w:rPr>
        <w:t>ciale de stat în anii 2018-2023, întocmit de audit în baza indicatorilor raportați de CNAS</w:t>
      </w:r>
      <w:r w:rsidR="000B0547" w:rsidRPr="00DD5F1D">
        <w:rPr>
          <w:rFonts w:ascii="Times New Roman" w:hAnsi="Times New Roman" w:cs="Times New Roman"/>
          <w:bCs/>
          <w:i/>
          <w:sz w:val="20"/>
          <w:szCs w:val="24"/>
          <w:lang w:val="ro-MD"/>
        </w:rPr>
        <w:t>.</w:t>
      </w:r>
    </w:p>
    <w:p w14:paraId="25592AED" w14:textId="55055555" w:rsidR="00124098" w:rsidRPr="00DD5F1D" w:rsidRDefault="00124098" w:rsidP="00124098">
      <w:pPr>
        <w:tabs>
          <w:tab w:val="left" w:pos="426"/>
          <w:tab w:val="left" w:pos="709"/>
          <w:tab w:val="left" w:pos="993"/>
        </w:tabs>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Concomitent se menționează că anual CNAS se confruntă cu decalaje temporare de casă. Astfel, în scopul onorării obligațiilor față de beneficiari și asigurării transferurilor în termen a prestațiilor sociale, în perioada noiembrie-decembrie 2023, CNAS a fost nevoită de a contracta un împrumut</w:t>
      </w:r>
      <w:r w:rsidR="00E0046F" w:rsidRPr="00DD5F1D">
        <w:rPr>
          <w:rFonts w:ascii="Times New Roman" w:hAnsi="Times New Roman" w:cs="Times New Roman"/>
          <w:sz w:val="24"/>
          <w:szCs w:val="24"/>
          <w:lang w:val="ro-MD"/>
        </w:rPr>
        <w:t xml:space="preserve"> de la bugetul de stat în sumă </w:t>
      </w:r>
      <w:r w:rsidRPr="00DD5F1D">
        <w:rPr>
          <w:rFonts w:ascii="Times New Roman" w:hAnsi="Times New Roman" w:cs="Times New Roman"/>
          <w:sz w:val="24"/>
          <w:szCs w:val="24"/>
          <w:lang w:val="ro-MD"/>
        </w:rPr>
        <w:t xml:space="preserve">de 1,0 miliard lei. </w:t>
      </w:r>
    </w:p>
    <w:p w14:paraId="68D086C2" w14:textId="6020CB40" w:rsidR="00212F48" w:rsidRPr="00DD5F1D" w:rsidRDefault="00212F48" w:rsidP="00212F48">
      <w:pPr>
        <w:tabs>
          <w:tab w:val="left" w:pos="426"/>
          <w:tab w:val="left" w:pos="709"/>
          <w:tab w:val="left" w:pos="993"/>
        </w:tabs>
        <w:spacing w:line="276" w:lineRule="auto"/>
        <w:jc w:val="right"/>
        <w:rPr>
          <w:rFonts w:ascii="Times New Roman" w:hAnsi="Times New Roman" w:cs="Times New Roman"/>
          <w:b/>
          <w:szCs w:val="24"/>
          <w:lang w:val="ro-MD"/>
        </w:rPr>
      </w:pPr>
      <w:r w:rsidRPr="00DD5F1D">
        <w:rPr>
          <w:rFonts w:ascii="Times New Roman" w:hAnsi="Times New Roman" w:cs="Times New Roman"/>
          <w:b/>
          <w:szCs w:val="24"/>
          <w:lang w:val="ro-MD"/>
        </w:rPr>
        <w:t xml:space="preserve">Tabelul nr. </w:t>
      </w:r>
      <w:r w:rsidR="002F62F6" w:rsidRPr="00DD5F1D">
        <w:rPr>
          <w:rFonts w:ascii="Times New Roman" w:hAnsi="Times New Roman" w:cs="Times New Roman"/>
          <w:b/>
          <w:szCs w:val="24"/>
          <w:lang w:val="ro-MD"/>
        </w:rPr>
        <w:t>5</w:t>
      </w:r>
    </w:p>
    <w:p w14:paraId="6522504E" w14:textId="360ABCAF" w:rsidR="00BC0DC0" w:rsidRPr="00DD5F1D" w:rsidRDefault="00BC0DC0" w:rsidP="00BC0DC0">
      <w:pPr>
        <w:tabs>
          <w:tab w:val="left" w:pos="426"/>
          <w:tab w:val="left" w:pos="709"/>
          <w:tab w:val="left" w:pos="993"/>
        </w:tabs>
        <w:spacing w:line="276" w:lineRule="auto"/>
        <w:jc w:val="center"/>
        <w:rPr>
          <w:rFonts w:ascii="Times New Roman" w:hAnsi="Times New Roman" w:cs="Times New Roman"/>
          <w:b/>
          <w:szCs w:val="24"/>
          <w:lang w:val="ro-MD"/>
        </w:rPr>
      </w:pPr>
      <w:r w:rsidRPr="00DD5F1D">
        <w:rPr>
          <w:rFonts w:ascii="Times New Roman" w:hAnsi="Times New Roman" w:cs="Times New Roman"/>
          <w:b/>
          <w:szCs w:val="24"/>
          <w:lang w:val="ro-MD"/>
        </w:rPr>
        <w:t>Informații aferente împrumuturilor contractate de CNAS pentru perioada 2018-2023</w:t>
      </w:r>
    </w:p>
    <w:tbl>
      <w:tblPr>
        <w:tblStyle w:val="af1"/>
        <w:tblW w:w="5000" w:type="pct"/>
        <w:jc w:val="center"/>
        <w:tblLook w:val="04A0" w:firstRow="1" w:lastRow="0" w:firstColumn="1" w:lastColumn="0" w:noHBand="0" w:noVBand="1"/>
      </w:tblPr>
      <w:tblGrid>
        <w:gridCol w:w="2506"/>
        <w:gridCol w:w="2336"/>
        <w:gridCol w:w="2676"/>
        <w:gridCol w:w="2506"/>
      </w:tblGrid>
      <w:tr w:rsidR="00124098" w:rsidRPr="00DD5F1D" w14:paraId="3ADC75A1" w14:textId="77777777" w:rsidTr="00100079">
        <w:trPr>
          <w:trHeight w:val="371"/>
          <w:jc w:val="center"/>
        </w:trPr>
        <w:tc>
          <w:tcPr>
            <w:tcW w:w="1250" w:type="pct"/>
            <w:vAlign w:val="center"/>
          </w:tcPr>
          <w:p w14:paraId="22CEB751"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b/>
                <w:sz w:val="20"/>
                <w:szCs w:val="24"/>
                <w:lang w:val="ro-MD"/>
              </w:rPr>
            </w:pPr>
            <w:r w:rsidRPr="00DD5F1D">
              <w:rPr>
                <w:rFonts w:ascii="Times New Roman" w:hAnsi="Times New Roman" w:cs="Times New Roman"/>
                <w:b/>
                <w:sz w:val="20"/>
                <w:szCs w:val="24"/>
                <w:lang w:val="ro-MD"/>
              </w:rPr>
              <w:t>Anul</w:t>
            </w:r>
          </w:p>
        </w:tc>
        <w:tc>
          <w:tcPr>
            <w:tcW w:w="1165" w:type="pct"/>
            <w:vAlign w:val="center"/>
          </w:tcPr>
          <w:p w14:paraId="6F5B550C"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b/>
                <w:sz w:val="20"/>
                <w:szCs w:val="24"/>
                <w:lang w:val="ro-MD"/>
              </w:rPr>
            </w:pPr>
            <w:r w:rsidRPr="00DD5F1D">
              <w:rPr>
                <w:rFonts w:ascii="Times New Roman" w:hAnsi="Times New Roman" w:cs="Times New Roman"/>
                <w:b/>
                <w:sz w:val="20"/>
                <w:szCs w:val="24"/>
                <w:lang w:val="ro-MD"/>
              </w:rPr>
              <w:t>Nr. de împrumuturi</w:t>
            </w:r>
          </w:p>
        </w:tc>
        <w:tc>
          <w:tcPr>
            <w:tcW w:w="1335" w:type="pct"/>
            <w:vAlign w:val="center"/>
          </w:tcPr>
          <w:p w14:paraId="1DDA9729"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b/>
                <w:sz w:val="20"/>
                <w:szCs w:val="24"/>
                <w:lang w:val="ro-MD"/>
              </w:rPr>
            </w:pPr>
            <w:r w:rsidRPr="00DD5F1D">
              <w:rPr>
                <w:rFonts w:ascii="Times New Roman" w:hAnsi="Times New Roman" w:cs="Times New Roman"/>
                <w:b/>
                <w:sz w:val="20"/>
                <w:szCs w:val="24"/>
                <w:lang w:val="ro-MD"/>
              </w:rPr>
              <w:t>Suma împrumuturilor, mil. lei</w:t>
            </w:r>
          </w:p>
        </w:tc>
        <w:tc>
          <w:tcPr>
            <w:tcW w:w="1250" w:type="pct"/>
            <w:vAlign w:val="center"/>
          </w:tcPr>
          <w:p w14:paraId="65E5C5A7"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b/>
                <w:sz w:val="20"/>
                <w:szCs w:val="24"/>
                <w:lang w:val="ro-MD"/>
              </w:rPr>
            </w:pPr>
            <w:r w:rsidRPr="00DD5F1D">
              <w:rPr>
                <w:rFonts w:ascii="Times New Roman" w:hAnsi="Times New Roman" w:cs="Times New Roman"/>
                <w:b/>
                <w:sz w:val="20"/>
                <w:szCs w:val="24"/>
                <w:lang w:val="ro-MD"/>
              </w:rPr>
              <w:t>Restituirea</w:t>
            </w:r>
          </w:p>
        </w:tc>
      </w:tr>
      <w:tr w:rsidR="00124098" w:rsidRPr="00DD5F1D" w14:paraId="7520E235" w14:textId="77777777" w:rsidTr="00100079">
        <w:trPr>
          <w:jc w:val="center"/>
        </w:trPr>
        <w:tc>
          <w:tcPr>
            <w:tcW w:w="1250" w:type="pct"/>
            <w:vAlign w:val="center"/>
          </w:tcPr>
          <w:p w14:paraId="369972C9"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2018</w:t>
            </w:r>
          </w:p>
        </w:tc>
        <w:tc>
          <w:tcPr>
            <w:tcW w:w="1165" w:type="pct"/>
            <w:vAlign w:val="center"/>
          </w:tcPr>
          <w:p w14:paraId="37D565EE"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10</w:t>
            </w:r>
          </w:p>
        </w:tc>
        <w:tc>
          <w:tcPr>
            <w:tcW w:w="1335" w:type="pct"/>
          </w:tcPr>
          <w:p w14:paraId="10B43E4B" w14:textId="77777777" w:rsidR="00124098" w:rsidRPr="00DD5F1D" w:rsidRDefault="00124098" w:rsidP="00A4476B">
            <w:pPr>
              <w:tabs>
                <w:tab w:val="left" w:pos="426"/>
                <w:tab w:val="left" w:pos="709"/>
                <w:tab w:val="left" w:pos="993"/>
              </w:tabs>
              <w:spacing w:line="276" w:lineRule="auto"/>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590,0</w:t>
            </w:r>
          </w:p>
        </w:tc>
        <w:tc>
          <w:tcPr>
            <w:tcW w:w="1250" w:type="pct"/>
          </w:tcPr>
          <w:p w14:paraId="6DC68D1F" w14:textId="77777777" w:rsidR="00124098" w:rsidRPr="00DD5F1D" w:rsidRDefault="00124098" w:rsidP="00A4476B">
            <w:pPr>
              <w:tabs>
                <w:tab w:val="left" w:pos="426"/>
                <w:tab w:val="left" w:pos="709"/>
                <w:tab w:val="left" w:pos="993"/>
              </w:tabs>
              <w:spacing w:line="276" w:lineRule="auto"/>
              <w:jc w:val="both"/>
              <w:rPr>
                <w:rFonts w:ascii="Times New Roman" w:hAnsi="Times New Roman" w:cs="Times New Roman"/>
                <w:sz w:val="20"/>
                <w:szCs w:val="24"/>
                <w:lang w:val="ro-MD"/>
              </w:rPr>
            </w:pPr>
            <w:r w:rsidRPr="00DD5F1D">
              <w:rPr>
                <w:rFonts w:ascii="Times New Roman" w:hAnsi="Times New Roman" w:cs="Times New Roman"/>
                <w:sz w:val="20"/>
                <w:szCs w:val="24"/>
                <w:lang w:val="ro-MD"/>
              </w:rPr>
              <w:t>În același an bugetar</w:t>
            </w:r>
          </w:p>
        </w:tc>
      </w:tr>
      <w:tr w:rsidR="00124098" w:rsidRPr="00DD5F1D" w14:paraId="09F18612" w14:textId="77777777" w:rsidTr="00100079">
        <w:trPr>
          <w:jc w:val="center"/>
        </w:trPr>
        <w:tc>
          <w:tcPr>
            <w:tcW w:w="1250" w:type="pct"/>
            <w:vAlign w:val="center"/>
          </w:tcPr>
          <w:p w14:paraId="09930684"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2019</w:t>
            </w:r>
          </w:p>
        </w:tc>
        <w:tc>
          <w:tcPr>
            <w:tcW w:w="1165" w:type="pct"/>
            <w:vAlign w:val="center"/>
          </w:tcPr>
          <w:p w14:paraId="686DA1C9"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0</w:t>
            </w:r>
          </w:p>
        </w:tc>
        <w:tc>
          <w:tcPr>
            <w:tcW w:w="1335" w:type="pct"/>
          </w:tcPr>
          <w:p w14:paraId="50E47FD3" w14:textId="77777777" w:rsidR="00124098" w:rsidRPr="00DD5F1D" w:rsidRDefault="00124098" w:rsidP="00A4476B">
            <w:pPr>
              <w:tabs>
                <w:tab w:val="left" w:pos="426"/>
                <w:tab w:val="left" w:pos="709"/>
                <w:tab w:val="left" w:pos="993"/>
              </w:tabs>
              <w:spacing w:line="276" w:lineRule="auto"/>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0</w:t>
            </w:r>
          </w:p>
        </w:tc>
        <w:tc>
          <w:tcPr>
            <w:tcW w:w="1250" w:type="pct"/>
          </w:tcPr>
          <w:p w14:paraId="69089964" w14:textId="77777777" w:rsidR="00124098" w:rsidRPr="00DD5F1D" w:rsidRDefault="00124098" w:rsidP="00A4476B">
            <w:pPr>
              <w:tabs>
                <w:tab w:val="left" w:pos="426"/>
                <w:tab w:val="left" w:pos="709"/>
                <w:tab w:val="left" w:pos="993"/>
              </w:tabs>
              <w:spacing w:line="276" w:lineRule="auto"/>
              <w:jc w:val="both"/>
              <w:rPr>
                <w:rFonts w:ascii="Times New Roman" w:hAnsi="Times New Roman" w:cs="Times New Roman"/>
                <w:sz w:val="20"/>
                <w:szCs w:val="24"/>
                <w:lang w:val="ro-MD"/>
              </w:rPr>
            </w:pPr>
          </w:p>
        </w:tc>
      </w:tr>
      <w:tr w:rsidR="00124098" w:rsidRPr="00DD5F1D" w14:paraId="2631933A" w14:textId="77777777" w:rsidTr="00100079">
        <w:trPr>
          <w:jc w:val="center"/>
        </w:trPr>
        <w:tc>
          <w:tcPr>
            <w:tcW w:w="1250" w:type="pct"/>
            <w:vAlign w:val="center"/>
          </w:tcPr>
          <w:p w14:paraId="11B113DE"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2020</w:t>
            </w:r>
          </w:p>
        </w:tc>
        <w:tc>
          <w:tcPr>
            <w:tcW w:w="1165" w:type="pct"/>
            <w:vAlign w:val="center"/>
          </w:tcPr>
          <w:p w14:paraId="5153EF62"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3</w:t>
            </w:r>
          </w:p>
        </w:tc>
        <w:tc>
          <w:tcPr>
            <w:tcW w:w="1335" w:type="pct"/>
          </w:tcPr>
          <w:p w14:paraId="1C13643C" w14:textId="77777777" w:rsidR="00124098" w:rsidRPr="00DD5F1D" w:rsidRDefault="00124098" w:rsidP="00A4476B">
            <w:pPr>
              <w:tabs>
                <w:tab w:val="left" w:pos="426"/>
                <w:tab w:val="left" w:pos="709"/>
                <w:tab w:val="left" w:pos="993"/>
              </w:tabs>
              <w:spacing w:line="276" w:lineRule="auto"/>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600,0</w:t>
            </w:r>
          </w:p>
        </w:tc>
        <w:tc>
          <w:tcPr>
            <w:tcW w:w="1250" w:type="pct"/>
          </w:tcPr>
          <w:p w14:paraId="2EF91F46" w14:textId="77777777" w:rsidR="00124098" w:rsidRPr="00DD5F1D" w:rsidRDefault="00124098" w:rsidP="00A4476B">
            <w:pPr>
              <w:tabs>
                <w:tab w:val="left" w:pos="426"/>
                <w:tab w:val="left" w:pos="709"/>
                <w:tab w:val="left" w:pos="993"/>
              </w:tabs>
              <w:spacing w:line="276" w:lineRule="auto"/>
              <w:jc w:val="both"/>
              <w:rPr>
                <w:rFonts w:ascii="Times New Roman" w:hAnsi="Times New Roman" w:cs="Times New Roman"/>
                <w:sz w:val="20"/>
                <w:szCs w:val="24"/>
                <w:lang w:val="ro-MD"/>
              </w:rPr>
            </w:pPr>
            <w:r w:rsidRPr="00DD5F1D">
              <w:rPr>
                <w:rFonts w:ascii="Times New Roman" w:hAnsi="Times New Roman" w:cs="Times New Roman"/>
                <w:sz w:val="20"/>
                <w:szCs w:val="24"/>
                <w:lang w:val="ro-MD"/>
              </w:rPr>
              <w:t>În același an bugetar</w:t>
            </w:r>
          </w:p>
        </w:tc>
      </w:tr>
      <w:tr w:rsidR="00124098" w:rsidRPr="00DD5F1D" w14:paraId="70EBE1AE" w14:textId="77777777" w:rsidTr="00100079">
        <w:trPr>
          <w:jc w:val="center"/>
        </w:trPr>
        <w:tc>
          <w:tcPr>
            <w:tcW w:w="1250" w:type="pct"/>
            <w:vAlign w:val="center"/>
          </w:tcPr>
          <w:p w14:paraId="56E9E6E5"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2021</w:t>
            </w:r>
          </w:p>
        </w:tc>
        <w:tc>
          <w:tcPr>
            <w:tcW w:w="1165" w:type="pct"/>
            <w:vAlign w:val="center"/>
          </w:tcPr>
          <w:p w14:paraId="664BBC53"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2</w:t>
            </w:r>
          </w:p>
        </w:tc>
        <w:tc>
          <w:tcPr>
            <w:tcW w:w="1335" w:type="pct"/>
          </w:tcPr>
          <w:p w14:paraId="0284B3E4" w14:textId="77777777" w:rsidR="00124098" w:rsidRPr="00DD5F1D" w:rsidRDefault="00124098" w:rsidP="00A4476B">
            <w:pPr>
              <w:tabs>
                <w:tab w:val="left" w:pos="426"/>
                <w:tab w:val="left" w:pos="709"/>
                <w:tab w:val="left" w:pos="993"/>
              </w:tabs>
              <w:spacing w:line="276" w:lineRule="auto"/>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800,0</w:t>
            </w:r>
          </w:p>
        </w:tc>
        <w:tc>
          <w:tcPr>
            <w:tcW w:w="1250" w:type="pct"/>
          </w:tcPr>
          <w:p w14:paraId="37F5EF58" w14:textId="77777777" w:rsidR="00124098" w:rsidRPr="00DD5F1D" w:rsidRDefault="00124098" w:rsidP="00A4476B">
            <w:pPr>
              <w:tabs>
                <w:tab w:val="left" w:pos="426"/>
                <w:tab w:val="left" w:pos="709"/>
                <w:tab w:val="left" w:pos="993"/>
              </w:tabs>
              <w:spacing w:line="276" w:lineRule="auto"/>
              <w:jc w:val="both"/>
              <w:rPr>
                <w:rFonts w:ascii="Times New Roman" w:hAnsi="Times New Roman" w:cs="Times New Roman"/>
                <w:sz w:val="20"/>
                <w:szCs w:val="24"/>
                <w:lang w:val="ro-MD"/>
              </w:rPr>
            </w:pPr>
            <w:r w:rsidRPr="00DD5F1D">
              <w:rPr>
                <w:rFonts w:ascii="Times New Roman" w:hAnsi="Times New Roman" w:cs="Times New Roman"/>
                <w:sz w:val="20"/>
                <w:szCs w:val="24"/>
                <w:lang w:val="ro-MD"/>
              </w:rPr>
              <w:t>În același an bugetar</w:t>
            </w:r>
          </w:p>
        </w:tc>
      </w:tr>
      <w:tr w:rsidR="00124098" w:rsidRPr="00DD5F1D" w14:paraId="1D0907FE" w14:textId="77777777" w:rsidTr="00100079">
        <w:trPr>
          <w:jc w:val="center"/>
        </w:trPr>
        <w:tc>
          <w:tcPr>
            <w:tcW w:w="1250" w:type="pct"/>
            <w:vAlign w:val="center"/>
          </w:tcPr>
          <w:p w14:paraId="243DB178"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2022</w:t>
            </w:r>
          </w:p>
        </w:tc>
        <w:tc>
          <w:tcPr>
            <w:tcW w:w="1165" w:type="pct"/>
            <w:vAlign w:val="center"/>
          </w:tcPr>
          <w:p w14:paraId="6DCE19BD"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2</w:t>
            </w:r>
          </w:p>
        </w:tc>
        <w:tc>
          <w:tcPr>
            <w:tcW w:w="1335" w:type="pct"/>
          </w:tcPr>
          <w:p w14:paraId="16BE5D00" w14:textId="77777777" w:rsidR="00124098" w:rsidRPr="00DD5F1D" w:rsidRDefault="00124098" w:rsidP="00A4476B">
            <w:pPr>
              <w:tabs>
                <w:tab w:val="left" w:pos="426"/>
                <w:tab w:val="left" w:pos="709"/>
                <w:tab w:val="left" w:pos="993"/>
              </w:tabs>
              <w:spacing w:line="276" w:lineRule="auto"/>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690,0</w:t>
            </w:r>
          </w:p>
        </w:tc>
        <w:tc>
          <w:tcPr>
            <w:tcW w:w="1250" w:type="pct"/>
          </w:tcPr>
          <w:p w14:paraId="20028DDD" w14:textId="77777777" w:rsidR="00124098" w:rsidRPr="00DD5F1D" w:rsidRDefault="00124098" w:rsidP="00A4476B">
            <w:pPr>
              <w:tabs>
                <w:tab w:val="left" w:pos="426"/>
                <w:tab w:val="left" w:pos="709"/>
                <w:tab w:val="left" w:pos="993"/>
              </w:tabs>
              <w:spacing w:line="276" w:lineRule="auto"/>
              <w:jc w:val="both"/>
              <w:rPr>
                <w:rFonts w:ascii="Times New Roman" w:hAnsi="Times New Roman" w:cs="Times New Roman"/>
                <w:sz w:val="20"/>
                <w:szCs w:val="24"/>
                <w:lang w:val="ro-MD"/>
              </w:rPr>
            </w:pPr>
            <w:r w:rsidRPr="00DD5F1D">
              <w:rPr>
                <w:rFonts w:ascii="Times New Roman" w:hAnsi="Times New Roman" w:cs="Times New Roman"/>
                <w:sz w:val="20"/>
                <w:szCs w:val="24"/>
                <w:lang w:val="ro-MD"/>
              </w:rPr>
              <w:t>În același an bugetar</w:t>
            </w:r>
          </w:p>
        </w:tc>
      </w:tr>
      <w:tr w:rsidR="00124098" w:rsidRPr="00DD5F1D" w14:paraId="3F6473FF" w14:textId="77777777" w:rsidTr="00100079">
        <w:trPr>
          <w:jc w:val="center"/>
        </w:trPr>
        <w:tc>
          <w:tcPr>
            <w:tcW w:w="1250" w:type="pct"/>
            <w:vAlign w:val="center"/>
          </w:tcPr>
          <w:p w14:paraId="7E84514B"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2023</w:t>
            </w:r>
          </w:p>
        </w:tc>
        <w:tc>
          <w:tcPr>
            <w:tcW w:w="1165" w:type="pct"/>
            <w:vAlign w:val="center"/>
          </w:tcPr>
          <w:p w14:paraId="352FA907" w14:textId="77777777" w:rsidR="00124098" w:rsidRPr="00DD5F1D" w:rsidRDefault="00124098" w:rsidP="00212F48">
            <w:pPr>
              <w:tabs>
                <w:tab w:val="left" w:pos="426"/>
                <w:tab w:val="left" w:pos="709"/>
                <w:tab w:val="left" w:pos="993"/>
              </w:tabs>
              <w:spacing w:line="276" w:lineRule="auto"/>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1</w:t>
            </w:r>
          </w:p>
        </w:tc>
        <w:tc>
          <w:tcPr>
            <w:tcW w:w="1335" w:type="pct"/>
          </w:tcPr>
          <w:p w14:paraId="007431E9" w14:textId="77777777" w:rsidR="00124098" w:rsidRPr="00DD5F1D" w:rsidRDefault="00124098" w:rsidP="00A4476B">
            <w:pPr>
              <w:tabs>
                <w:tab w:val="left" w:pos="426"/>
                <w:tab w:val="left" w:pos="709"/>
                <w:tab w:val="left" w:pos="993"/>
              </w:tabs>
              <w:spacing w:line="276" w:lineRule="auto"/>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1 000,0</w:t>
            </w:r>
          </w:p>
        </w:tc>
        <w:tc>
          <w:tcPr>
            <w:tcW w:w="1250" w:type="pct"/>
          </w:tcPr>
          <w:p w14:paraId="04AB6C40" w14:textId="77777777" w:rsidR="00124098" w:rsidRPr="00DD5F1D" w:rsidRDefault="00124098" w:rsidP="00A4476B">
            <w:pPr>
              <w:tabs>
                <w:tab w:val="left" w:pos="426"/>
                <w:tab w:val="left" w:pos="709"/>
                <w:tab w:val="left" w:pos="993"/>
              </w:tabs>
              <w:spacing w:line="276" w:lineRule="auto"/>
              <w:jc w:val="both"/>
              <w:rPr>
                <w:rFonts w:ascii="Times New Roman" w:hAnsi="Times New Roman" w:cs="Times New Roman"/>
                <w:sz w:val="20"/>
                <w:szCs w:val="24"/>
                <w:lang w:val="ro-MD"/>
              </w:rPr>
            </w:pPr>
            <w:r w:rsidRPr="00DD5F1D">
              <w:rPr>
                <w:rFonts w:ascii="Times New Roman" w:hAnsi="Times New Roman" w:cs="Times New Roman"/>
                <w:sz w:val="20"/>
                <w:szCs w:val="24"/>
                <w:lang w:val="ro-MD"/>
              </w:rPr>
              <w:t>În același an bugetar</w:t>
            </w:r>
          </w:p>
        </w:tc>
      </w:tr>
    </w:tbl>
    <w:p w14:paraId="0BC2CB13" w14:textId="454BA07D" w:rsidR="00124098" w:rsidRPr="00DD5F1D" w:rsidRDefault="00124098" w:rsidP="00124098">
      <w:pPr>
        <w:tabs>
          <w:tab w:val="left" w:pos="426"/>
          <w:tab w:val="left" w:pos="709"/>
          <w:tab w:val="left" w:pos="993"/>
        </w:tabs>
        <w:spacing w:line="276" w:lineRule="auto"/>
        <w:jc w:val="both"/>
        <w:rPr>
          <w:rFonts w:ascii="Times New Roman" w:hAnsi="Times New Roman" w:cs="Times New Roman"/>
          <w:i/>
          <w:sz w:val="20"/>
          <w:lang w:val="ro-MD"/>
        </w:rPr>
      </w:pPr>
      <w:r w:rsidRPr="00DD5F1D">
        <w:rPr>
          <w:rFonts w:ascii="Times New Roman" w:hAnsi="Times New Roman" w:cs="Times New Roman"/>
          <w:b/>
          <w:i/>
          <w:sz w:val="20"/>
          <w:lang w:val="ro-MD"/>
        </w:rPr>
        <w:t xml:space="preserve">Sursa: </w:t>
      </w:r>
      <w:r w:rsidRPr="00DD5F1D">
        <w:rPr>
          <w:rFonts w:ascii="Times New Roman" w:hAnsi="Times New Roman" w:cs="Times New Roman"/>
          <w:i/>
          <w:sz w:val="20"/>
          <w:lang w:val="ro-MD"/>
        </w:rPr>
        <w:t>Elaborată de audit în baza informațiilor CNAS</w:t>
      </w:r>
      <w:r w:rsidR="000B0547" w:rsidRPr="00DD5F1D">
        <w:rPr>
          <w:rFonts w:ascii="Times New Roman" w:hAnsi="Times New Roman" w:cs="Times New Roman"/>
          <w:i/>
          <w:sz w:val="20"/>
          <w:lang w:val="ro-MD"/>
        </w:rPr>
        <w:t>.</w:t>
      </w:r>
    </w:p>
    <w:p w14:paraId="4AF54C6D" w14:textId="5F68CBC7" w:rsidR="00124098" w:rsidRPr="00DD5F1D" w:rsidRDefault="00124098" w:rsidP="00124098">
      <w:pPr>
        <w:tabs>
          <w:tab w:val="left" w:pos="426"/>
          <w:tab w:val="left" w:pos="709"/>
          <w:tab w:val="left" w:pos="993"/>
        </w:tabs>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Deși restituirea împrumuturilor a avut loc regulamentar, în același an bugetar</w:t>
      </w:r>
      <w:r w:rsidRPr="00DD5F1D">
        <w:rPr>
          <w:rStyle w:val="a5"/>
          <w:rFonts w:ascii="Times New Roman" w:hAnsi="Times New Roman" w:cs="Times New Roman"/>
          <w:sz w:val="24"/>
          <w:szCs w:val="24"/>
          <w:lang w:val="ro-MD"/>
        </w:rPr>
        <w:footnoteReference w:id="21"/>
      </w:r>
      <w:r w:rsidRPr="00DD5F1D">
        <w:rPr>
          <w:rFonts w:ascii="Times New Roman" w:hAnsi="Times New Roman" w:cs="Times New Roman"/>
          <w:sz w:val="24"/>
          <w:szCs w:val="24"/>
          <w:lang w:val="ro-MD"/>
        </w:rPr>
        <w:t xml:space="preserve"> în care au fost solicitate, una din cauzele principale ale decalajului temporar de casă a</w:t>
      </w:r>
      <w:r w:rsidR="000B0547" w:rsidRPr="00DD5F1D">
        <w:rPr>
          <w:rFonts w:ascii="Times New Roman" w:hAnsi="Times New Roman" w:cs="Times New Roman"/>
          <w:sz w:val="24"/>
          <w:szCs w:val="24"/>
          <w:lang w:val="ro-MD"/>
        </w:rPr>
        <w:t>l</w:t>
      </w:r>
      <w:r w:rsidRPr="00DD5F1D">
        <w:rPr>
          <w:rFonts w:ascii="Times New Roman" w:hAnsi="Times New Roman" w:cs="Times New Roman"/>
          <w:sz w:val="24"/>
          <w:szCs w:val="24"/>
          <w:lang w:val="ro-MD"/>
        </w:rPr>
        <w:t xml:space="preserve"> BASS rezultă din faptul că achitarea contribuțiilor se efectuează până la data de 25 a lunii următoare, pe când achitarea prestațiilor sociale de către CNAS se efectuează cu preponderență în primele zile ale lunii (de exemplu</w:t>
      </w:r>
      <w:r w:rsidR="000B0547"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pensiile, care reprezintă ponderea ce</w:t>
      </w:r>
      <w:r w:rsidR="000B0547" w:rsidRPr="00DD5F1D">
        <w:rPr>
          <w:rFonts w:ascii="Times New Roman" w:hAnsi="Times New Roman" w:cs="Times New Roman"/>
          <w:sz w:val="24"/>
          <w:szCs w:val="24"/>
          <w:lang w:val="ro-MD"/>
        </w:rPr>
        <w:t>a</w:t>
      </w:r>
      <w:r w:rsidRPr="00DD5F1D">
        <w:rPr>
          <w:rFonts w:ascii="Times New Roman" w:hAnsi="Times New Roman" w:cs="Times New Roman"/>
          <w:sz w:val="24"/>
          <w:szCs w:val="24"/>
          <w:lang w:val="ro-MD"/>
        </w:rPr>
        <w:t xml:space="preserve"> mai semnificativă a cheltuielilor BASS se achită până la data de 21 a lunii, indemnizațiile</w:t>
      </w:r>
      <w:r w:rsidR="000B0547"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de regulă</w:t>
      </w:r>
      <w:r w:rsidR="000B0547"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până la data de 13-16 a lunii etc.).</w:t>
      </w:r>
    </w:p>
    <w:p w14:paraId="3F81D81A" w14:textId="3AA7E16C" w:rsidR="00124098" w:rsidRPr="00DD5F1D" w:rsidRDefault="00124098" w:rsidP="00124098">
      <w:pPr>
        <w:spacing w:line="276" w:lineRule="auto"/>
        <w:jc w:val="both"/>
        <w:rPr>
          <w:rFonts w:ascii="Times New Roman" w:hAnsi="Times New Roman" w:cs="Times New Roman"/>
          <w:sz w:val="24"/>
          <w:szCs w:val="24"/>
          <w:lang w:val="ro-MD"/>
        </w:rPr>
      </w:pPr>
      <w:r w:rsidRPr="00DD5F1D">
        <w:rPr>
          <w:rFonts w:ascii="Times New Roman" w:hAnsi="Times New Roman" w:cs="Times New Roman"/>
          <w:b/>
          <w:sz w:val="24"/>
          <w:szCs w:val="24"/>
          <w:lang w:val="ro-MD"/>
        </w:rPr>
        <w:t>Cu referire la transferurile cu destinație specială</w:t>
      </w:r>
      <w:r w:rsidRPr="00DD5F1D">
        <w:rPr>
          <w:rFonts w:ascii="Times New Roman" w:hAnsi="Times New Roman" w:cs="Times New Roman"/>
          <w:sz w:val="24"/>
          <w:szCs w:val="24"/>
          <w:lang w:val="ro-MD"/>
        </w:rPr>
        <w:t xml:space="preserve"> în sumă de 11 093,7 mil. lei, se denotă că acestea au fost utilizate preponderent la plata prestațiilor de asistență socială (98%, sau 10 993,0 mil. lei), care potrivit legislației sunt finanțate din bugetul de stat şi acordate unor categorii de populație prin intermediul CNAS. Totodată, unele dintre ele au fost utilizate pentru compensarea diferenței de tarife de asigurări sociale de stat obligatorii în sectorul agrar (99,6 mil. lei) și pentru compensarea veniturilor ratate ale </w:t>
      </w:r>
      <w:r w:rsidR="00BC0DC0" w:rsidRPr="00DD5F1D">
        <w:rPr>
          <w:rFonts w:ascii="Times New Roman" w:hAnsi="Times New Roman" w:cs="Times New Roman"/>
          <w:sz w:val="24"/>
          <w:szCs w:val="24"/>
          <w:lang w:val="ro-MD"/>
        </w:rPr>
        <w:t>BASS</w:t>
      </w:r>
      <w:r w:rsidRPr="00DD5F1D">
        <w:rPr>
          <w:rFonts w:ascii="Times New Roman" w:hAnsi="Times New Roman" w:cs="Times New Roman"/>
          <w:sz w:val="24"/>
          <w:szCs w:val="24"/>
          <w:lang w:val="ro-MD"/>
        </w:rPr>
        <w:t xml:space="preserve">, în legătură cu scutirea deținătorilor de terenuri agricole situate după traseul Râbnița - Tiraspol de plata contribuțiilor de asigurări sociale de stat obligatorii (1,1 mil. lei). </w:t>
      </w:r>
      <w:r w:rsidR="00650E2E" w:rsidRPr="00DD5F1D">
        <w:rPr>
          <w:rFonts w:ascii="Times New Roman" w:hAnsi="Times New Roman" w:cs="Times New Roman"/>
          <w:sz w:val="24"/>
          <w:szCs w:val="24"/>
          <w:lang w:val="ro-MD"/>
        </w:rPr>
        <w:t>Datele privind transferurile din bugetul de stat,</w:t>
      </w:r>
      <w:r w:rsidR="00212F48" w:rsidRPr="00DD5F1D">
        <w:rPr>
          <w:rFonts w:ascii="Times New Roman" w:hAnsi="Times New Roman" w:cs="Times New Roman"/>
          <w:sz w:val="24"/>
          <w:szCs w:val="24"/>
          <w:lang w:val="ro-MD"/>
        </w:rPr>
        <w:t xml:space="preserve"> se prezintă în A</w:t>
      </w:r>
      <w:r w:rsidRPr="00DD5F1D">
        <w:rPr>
          <w:rFonts w:ascii="Times New Roman" w:hAnsi="Times New Roman" w:cs="Times New Roman"/>
          <w:sz w:val="24"/>
          <w:szCs w:val="24"/>
          <w:lang w:val="ro-MD"/>
        </w:rPr>
        <w:t xml:space="preserve">nexa nr. </w:t>
      </w:r>
      <w:r w:rsidR="00650E2E" w:rsidRPr="00DD5F1D">
        <w:rPr>
          <w:rFonts w:ascii="Times New Roman" w:hAnsi="Times New Roman" w:cs="Times New Roman"/>
          <w:sz w:val="24"/>
          <w:szCs w:val="24"/>
          <w:lang w:val="ro-MD"/>
        </w:rPr>
        <w:t xml:space="preserve"> 9 și 15</w:t>
      </w:r>
      <w:r w:rsidR="000B0547" w:rsidRPr="00DD5F1D">
        <w:rPr>
          <w:rFonts w:ascii="Times New Roman" w:hAnsi="Times New Roman" w:cs="Times New Roman"/>
          <w:sz w:val="24"/>
          <w:szCs w:val="24"/>
          <w:lang w:val="ro-MD"/>
        </w:rPr>
        <w:t xml:space="preserve"> </w:t>
      </w:r>
      <w:r w:rsidR="000B0547" w:rsidRPr="00DD5F1D">
        <w:rPr>
          <w:rFonts w:ascii="Times New Roman" w:eastAsia="Times New Roman" w:hAnsi="Times New Roman" w:cs="Times New Roman"/>
          <w:sz w:val="24"/>
          <w:szCs w:val="24"/>
          <w:lang w:val="ro-MD"/>
        </w:rPr>
        <w:t>la prezentul Raport de audit</w:t>
      </w:r>
      <w:r w:rsidRPr="00DD5F1D">
        <w:rPr>
          <w:rFonts w:ascii="Times New Roman" w:hAnsi="Times New Roman" w:cs="Times New Roman"/>
          <w:sz w:val="24"/>
          <w:szCs w:val="24"/>
          <w:lang w:val="ro-MD"/>
        </w:rPr>
        <w:t>.</w:t>
      </w:r>
    </w:p>
    <w:p w14:paraId="734C2380" w14:textId="348FBB71" w:rsidR="006060A7" w:rsidRPr="00D848B6" w:rsidRDefault="006A42AF" w:rsidP="00F7239D">
      <w:pPr>
        <w:pStyle w:val="aa"/>
        <w:numPr>
          <w:ilvl w:val="1"/>
          <w:numId w:val="2"/>
        </w:numPr>
        <w:spacing w:after="120" w:line="276" w:lineRule="auto"/>
        <w:ind w:left="0" w:firstLine="0"/>
        <w:jc w:val="both"/>
        <w:outlineLvl w:val="1"/>
        <w:rPr>
          <w:rFonts w:ascii="Times New Roman" w:eastAsia="Calibri" w:hAnsi="Times New Roman" w:cs="Times New Roman"/>
          <w:b/>
          <w:sz w:val="24"/>
          <w:szCs w:val="24"/>
          <w:lang w:val="ro-MD"/>
        </w:rPr>
      </w:pPr>
      <w:r w:rsidRPr="00DD5F1D">
        <w:rPr>
          <w:rFonts w:ascii="Times New Roman" w:eastAsia="Calibri" w:hAnsi="Times New Roman" w:cs="Times New Roman"/>
          <w:b/>
          <w:sz w:val="24"/>
          <w:szCs w:val="24"/>
          <w:lang w:val="ro-MD"/>
        </w:rPr>
        <w:t>Impactul substanțial negativ asupra BASS îl are a</w:t>
      </w:r>
      <w:r w:rsidR="006060A7" w:rsidRPr="00DD5F1D">
        <w:rPr>
          <w:rFonts w:ascii="Times New Roman" w:eastAsia="Calibri" w:hAnsi="Times New Roman" w:cs="Times New Roman"/>
          <w:b/>
          <w:sz w:val="24"/>
          <w:szCs w:val="24"/>
          <w:lang w:val="ro-MD"/>
        </w:rPr>
        <w:t xml:space="preserve">pariția și menținerea salariilor în plic, </w:t>
      </w:r>
      <w:r w:rsidR="00F7239D">
        <w:rPr>
          <w:rFonts w:ascii="Times New Roman" w:eastAsia="Calibri" w:hAnsi="Times New Roman" w:cs="Times New Roman"/>
          <w:b/>
          <w:sz w:val="24"/>
          <w:szCs w:val="24"/>
          <w:lang w:val="ro-MD"/>
        </w:rPr>
        <w:t xml:space="preserve">care pot fi </w:t>
      </w:r>
      <w:r w:rsidR="00F7239D" w:rsidRPr="00F7239D">
        <w:rPr>
          <w:rFonts w:ascii="Times New Roman" w:eastAsia="Calibri" w:hAnsi="Times New Roman" w:cs="Times New Roman"/>
          <w:b/>
          <w:sz w:val="24"/>
          <w:szCs w:val="24"/>
          <w:lang w:val="ro-MD"/>
        </w:rPr>
        <w:t xml:space="preserve">generate inclusiv din extragerea de către fondatori a dividendelor și utilizarea acestora pentru ulterioara salarizarea și </w:t>
      </w:r>
      <w:r w:rsidR="00F7239D" w:rsidRPr="00D848B6">
        <w:rPr>
          <w:rFonts w:ascii="Times New Roman" w:eastAsia="Calibri" w:hAnsi="Times New Roman" w:cs="Times New Roman"/>
          <w:b/>
          <w:sz w:val="24"/>
          <w:szCs w:val="24"/>
          <w:lang w:val="ro-MD"/>
        </w:rPr>
        <w:t>motivarea personalului</w:t>
      </w:r>
      <w:r w:rsidR="00F7239D" w:rsidRPr="007D32B0" w:rsidDel="00F7239D">
        <w:rPr>
          <w:rFonts w:ascii="Times New Roman" w:eastAsia="Calibri" w:hAnsi="Times New Roman" w:cs="Times New Roman"/>
          <w:b/>
          <w:sz w:val="24"/>
          <w:szCs w:val="24"/>
          <w:lang w:val="ro-MD"/>
        </w:rPr>
        <w:t xml:space="preserve"> </w:t>
      </w:r>
      <w:r w:rsidR="000B0547" w:rsidRPr="00D848B6">
        <w:rPr>
          <w:rFonts w:ascii="Times New Roman" w:eastAsia="Calibri" w:hAnsi="Times New Roman" w:cs="Times New Roman"/>
          <w:b/>
          <w:sz w:val="24"/>
          <w:szCs w:val="24"/>
          <w:lang w:val="ro-MD"/>
        </w:rPr>
        <w:t>.</w:t>
      </w:r>
    </w:p>
    <w:p w14:paraId="4AFADF55" w14:textId="7F6754EE" w:rsidR="006060A7" w:rsidRPr="00DD5F1D" w:rsidRDefault="006060A7" w:rsidP="006060A7">
      <w:pPr>
        <w:tabs>
          <w:tab w:val="left" w:pos="7809"/>
        </w:tabs>
        <w:spacing w:after="12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Fenomenul salariului </w:t>
      </w:r>
      <w:r w:rsidR="000B0547" w:rsidRPr="00DD5F1D">
        <w:rPr>
          <w:rFonts w:ascii="Times New Roman" w:eastAsia="Calibri" w:hAnsi="Times New Roman" w:cs="Times New Roman"/>
          <w:sz w:val="24"/>
          <w:szCs w:val="24"/>
          <w:lang w:val="ro-MD"/>
        </w:rPr>
        <w:t>î</w:t>
      </w:r>
      <w:r w:rsidRPr="00DD5F1D">
        <w:rPr>
          <w:rFonts w:ascii="Times New Roman" w:eastAsia="Calibri" w:hAnsi="Times New Roman" w:cs="Times New Roman"/>
          <w:sz w:val="24"/>
          <w:szCs w:val="24"/>
          <w:lang w:val="ro-MD"/>
        </w:rPr>
        <w:t>n plic cu care se confruntă țara no</w:t>
      </w:r>
      <w:r w:rsidR="00BC0DC0" w:rsidRPr="00DD5F1D">
        <w:rPr>
          <w:rFonts w:ascii="Times New Roman" w:eastAsia="Calibri" w:hAnsi="Times New Roman" w:cs="Times New Roman"/>
          <w:sz w:val="24"/>
          <w:szCs w:val="24"/>
          <w:lang w:val="ro-MD"/>
        </w:rPr>
        <w:t>astră</w:t>
      </w:r>
      <w:r w:rsidRPr="00DD5F1D">
        <w:rPr>
          <w:rFonts w:ascii="Times New Roman" w:eastAsia="Calibri" w:hAnsi="Times New Roman" w:cs="Times New Roman"/>
          <w:sz w:val="24"/>
          <w:szCs w:val="24"/>
          <w:lang w:val="ro-MD"/>
        </w:rPr>
        <w:t xml:space="preserve"> poate fi confirmat prin rezultatele activității desfășurate de către Serviciul Fiscal de Stat</w:t>
      </w:r>
      <w:r w:rsidR="002A2A03" w:rsidRPr="00DD5F1D">
        <w:rPr>
          <w:rStyle w:val="a5"/>
          <w:rFonts w:ascii="Times New Roman" w:eastAsia="Calibri" w:hAnsi="Times New Roman" w:cs="Times New Roman"/>
          <w:sz w:val="24"/>
          <w:szCs w:val="24"/>
          <w:lang w:val="ro-MD"/>
        </w:rPr>
        <w:footnoteReference w:id="22"/>
      </w:r>
      <w:r w:rsidRPr="00DD5F1D">
        <w:rPr>
          <w:rFonts w:ascii="Times New Roman" w:eastAsia="Calibri" w:hAnsi="Times New Roman" w:cs="Times New Roman"/>
          <w:sz w:val="24"/>
          <w:szCs w:val="24"/>
          <w:lang w:val="ro-MD"/>
        </w:rPr>
        <w:t>, întrucât în anul 2023 </w:t>
      </w:r>
      <w:hyperlink r:id="rId13" w:tgtFrame="_blank" w:history="1">
        <w:r w:rsidRPr="00DD5F1D">
          <w:rPr>
            <w:rFonts w:ascii="Times New Roman" w:eastAsia="Calibri" w:hAnsi="Times New Roman" w:cs="Times New Roman"/>
            <w:sz w:val="24"/>
            <w:szCs w:val="24"/>
            <w:lang w:val="ro-MD"/>
          </w:rPr>
          <w:t>au fost adoptate 285 de decizii asupra cazu</w:t>
        </w:r>
        <w:r w:rsidR="000B0547" w:rsidRPr="00DD5F1D">
          <w:rPr>
            <w:rFonts w:ascii="Times New Roman" w:eastAsia="Calibri" w:hAnsi="Times New Roman" w:cs="Times New Roman"/>
            <w:sz w:val="24"/>
            <w:szCs w:val="24"/>
            <w:lang w:val="ro-MD"/>
          </w:rPr>
          <w:t>rilor</w:t>
        </w:r>
        <w:r w:rsidRPr="00DD5F1D">
          <w:rPr>
            <w:rFonts w:ascii="Times New Roman" w:eastAsia="Calibri" w:hAnsi="Times New Roman" w:cs="Times New Roman"/>
            <w:sz w:val="24"/>
            <w:szCs w:val="24"/>
            <w:lang w:val="ro-MD"/>
          </w:rPr>
          <w:t xml:space="preserve"> de încălcare a legislației</w:t>
        </w:r>
      </w:hyperlink>
      <w:r w:rsidRPr="00DD5F1D">
        <w:rPr>
          <w:rFonts w:ascii="Times New Roman" w:eastAsia="Calibri" w:hAnsi="Times New Roman" w:cs="Times New Roman"/>
          <w:sz w:val="24"/>
          <w:szCs w:val="24"/>
          <w:lang w:val="ro-MD"/>
        </w:rPr>
        <w:t>, inclusiv referitor la încălcările ce vizează corectitudinea calculării și achitării plăților salariale, impozitelor și defalcărilor aferente acestora. Astfel, pentru încălcarea prevederilor legislației în vigoare aferente raporturilor de muncă, conform deciziilor adoptate s-a</w:t>
      </w:r>
      <w:r w:rsidR="00593D33" w:rsidRPr="00DD5F1D">
        <w:rPr>
          <w:rFonts w:ascii="Times New Roman" w:eastAsia="Calibri" w:hAnsi="Times New Roman" w:cs="Times New Roman"/>
          <w:sz w:val="24"/>
          <w:szCs w:val="24"/>
          <w:lang w:val="ro-MD"/>
        </w:rPr>
        <w:t>u</w:t>
      </w:r>
      <w:r w:rsidRPr="00DD5F1D">
        <w:rPr>
          <w:rFonts w:ascii="Times New Roman" w:eastAsia="Calibri" w:hAnsi="Times New Roman" w:cs="Times New Roman"/>
          <w:sz w:val="24"/>
          <w:szCs w:val="24"/>
          <w:lang w:val="ro-MD"/>
        </w:rPr>
        <w:t xml:space="preserve"> calculat suplimentar pentru plata la buget:</w:t>
      </w:r>
    </w:p>
    <w:p w14:paraId="1556A735" w14:textId="7FCD9583" w:rsidR="006060A7" w:rsidRPr="00DD5F1D" w:rsidRDefault="006060A7" w:rsidP="006060A7">
      <w:pPr>
        <w:pStyle w:val="aa"/>
        <w:numPr>
          <w:ilvl w:val="0"/>
          <w:numId w:val="8"/>
        </w:numPr>
        <w:tabs>
          <w:tab w:val="left" w:pos="7809"/>
        </w:tabs>
        <w:spacing w:after="12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impozit</w:t>
      </w:r>
      <w:r w:rsidR="00593D33" w:rsidRPr="00DD5F1D">
        <w:rPr>
          <w:rFonts w:ascii="Times New Roman" w:eastAsia="Calibri" w:hAnsi="Times New Roman" w:cs="Times New Roman"/>
          <w:sz w:val="24"/>
          <w:szCs w:val="24"/>
          <w:lang w:val="ro-MD"/>
        </w:rPr>
        <w:t>ul</w:t>
      </w:r>
      <w:r w:rsidRPr="00DD5F1D">
        <w:rPr>
          <w:rFonts w:ascii="Times New Roman" w:eastAsia="Calibri" w:hAnsi="Times New Roman" w:cs="Times New Roman"/>
          <w:sz w:val="24"/>
          <w:szCs w:val="24"/>
          <w:lang w:val="ro-MD"/>
        </w:rPr>
        <w:t xml:space="preserve"> pe venit reținut din plățile salariale în sumă de 4 217,2 mii lei; </w:t>
      </w:r>
    </w:p>
    <w:p w14:paraId="3859623D" w14:textId="5E5E9CEC" w:rsidR="006060A7" w:rsidRPr="00DD5F1D" w:rsidRDefault="006060A7" w:rsidP="006060A7">
      <w:pPr>
        <w:pStyle w:val="aa"/>
        <w:numPr>
          <w:ilvl w:val="0"/>
          <w:numId w:val="8"/>
        </w:numPr>
        <w:tabs>
          <w:tab w:val="left" w:pos="7809"/>
        </w:tabs>
        <w:spacing w:after="120" w:line="276" w:lineRule="auto"/>
        <w:jc w:val="both"/>
        <w:rPr>
          <w:rFonts w:ascii="Times New Roman" w:eastAsia="Calibri" w:hAnsi="Times New Roman" w:cs="Times New Roman"/>
          <w:b/>
          <w:sz w:val="24"/>
          <w:szCs w:val="24"/>
          <w:lang w:val="ro-MD"/>
        </w:rPr>
      </w:pPr>
      <w:r w:rsidRPr="00DD5F1D">
        <w:rPr>
          <w:rFonts w:ascii="Times New Roman" w:eastAsia="Calibri" w:hAnsi="Times New Roman" w:cs="Times New Roman"/>
          <w:b/>
          <w:sz w:val="24"/>
          <w:szCs w:val="24"/>
          <w:lang w:val="ro-MD"/>
        </w:rPr>
        <w:t>contribuții</w:t>
      </w:r>
      <w:r w:rsidR="00501ED0" w:rsidRPr="00DD5F1D">
        <w:rPr>
          <w:rFonts w:ascii="Times New Roman" w:eastAsia="Calibri" w:hAnsi="Times New Roman" w:cs="Times New Roman"/>
          <w:b/>
          <w:sz w:val="24"/>
          <w:szCs w:val="24"/>
          <w:lang w:val="ro-MD"/>
        </w:rPr>
        <w:t>le</w:t>
      </w:r>
      <w:r w:rsidRPr="00DD5F1D">
        <w:rPr>
          <w:rFonts w:ascii="Times New Roman" w:eastAsia="Calibri" w:hAnsi="Times New Roman" w:cs="Times New Roman"/>
          <w:b/>
          <w:sz w:val="24"/>
          <w:szCs w:val="24"/>
          <w:lang w:val="ro-MD"/>
        </w:rPr>
        <w:t xml:space="preserve"> de asigurări sociale de stat obligatorii în sumă de 9 319,9 mii lei;</w:t>
      </w:r>
    </w:p>
    <w:p w14:paraId="581A8AA9" w14:textId="12B4F9DD" w:rsidR="006060A7" w:rsidRPr="00DD5F1D" w:rsidRDefault="006060A7" w:rsidP="006060A7">
      <w:pPr>
        <w:pStyle w:val="aa"/>
        <w:numPr>
          <w:ilvl w:val="0"/>
          <w:numId w:val="8"/>
        </w:numPr>
        <w:tabs>
          <w:tab w:val="left" w:pos="7809"/>
        </w:tabs>
        <w:spacing w:after="12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prime</w:t>
      </w:r>
      <w:r w:rsidR="00501ED0" w:rsidRPr="00DD5F1D">
        <w:rPr>
          <w:rFonts w:ascii="Times New Roman" w:eastAsia="Calibri" w:hAnsi="Times New Roman" w:cs="Times New Roman"/>
          <w:sz w:val="24"/>
          <w:szCs w:val="24"/>
          <w:lang w:val="ro-MD"/>
        </w:rPr>
        <w:t>le</w:t>
      </w:r>
      <w:r w:rsidRPr="00DD5F1D">
        <w:rPr>
          <w:rFonts w:ascii="Times New Roman" w:eastAsia="Calibri" w:hAnsi="Times New Roman" w:cs="Times New Roman"/>
          <w:sz w:val="24"/>
          <w:szCs w:val="24"/>
          <w:lang w:val="ro-MD"/>
        </w:rPr>
        <w:t xml:space="preserve"> de asigurare obligatorie de asistență medicală în sumă de 3 382,4 mii lei; </w:t>
      </w:r>
    </w:p>
    <w:p w14:paraId="0D4660B2" w14:textId="3E6723C6" w:rsidR="006060A7" w:rsidRPr="00DD5F1D" w:rsidRDefault="006060A7" w:rsidP="006060A7">
      <w:pPr>
        <w:pStyle w:val="aa"/>
        <w:numPr>
          <w:ilvl w:val="0"/>
          <w:numId w:val="8"/>
        </w:numPr>
        <w:tabs>
          <w:tab w:val="left" w:pos="7809"/>
        </w:tabs>
        <w:spacing w:after="12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penalități</w:t>
      </w:r>
      <w:r w:rsidR="00501ED0" w:rsidRPr="00DD5F1D">
        <w:rPr>
          <w:rFonts w:ascii="Times New Roman" w:eastAsia="Calibri" w:hAnsi="Times New Roman" w:cs="Times New Roman"/>
          <w:sz w:val="24"/>
          <w:szCs w:val="24"/>
          <w:lang w:val="ro-MD"/>
        </w:rPr>
        <w:t>le</w:t>
      </w:r>
      <w:r w:rsidRPr="00DD5F1D">
        <w:rPr>
          <w:rFonts w:ascii="Times New Roman" w:eastAsia="Calibri" w:hAnsi="Times New Roman" w:cs="Times New Roman"/>
          <w:sz w:val="24"/>
          <w:szCs w:val="24"/>
          <w:lang w:val="ro-MD"/>
        </w:rPr>
        <w:t xml:space="preserve"> și amenzi</w:t>
      </w:r>
      <w:r w:rsidR="00501ED0" w:rsidRPr="00DD5F1D">
        <w:rPr>
          <w:rFonts w:ascii="Times New Roman" w:eastAsia="Calibri" w:hAnsi="Times New Roman" w:cs="Times New Roman"/>
          <w:sz w:val="24"/>
          <w:szCs w:val="24"/>
          <w:lang w:val="ro-MD"/>
        </w:rPr>
        <w:t>le</w:t>
      </w:r>
      <w:r w:rsidRPr="00DD5F1D">
        <w:rPr>
          <w:rFonts w:ascii="Times New Roman" w:eastAsia="Calibri" w:hAnsi="Times New Roman" w:cs="Times New Roman"/>
          <w:sz w:val="24"/>
          <w:szCs w:val="24"/>
          <w:lang w:val="ro-MD"/>
        </w:rPr>
        <w:t xml:space="preserve"> aplicate în sumă de 10 872,0 mii lei.</w:t>
      </w:r>
    </w:p>
    <w:p w14:paraId="5FF84456" w14:textId="225A8459" w:rsidR="006060A7" w:rsidRPr="00DD5F1D" w:rsidRDefault="006060A7" w:rsidP="006060A7">
      <w:pPr>
        <w:tabs>
          <w:tab w:val="left" w:pos="7809"/>
        </w:tabs>
        <w:spacing w:after="12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Concomitent, prin controalele efectuate de către Inspectoratul de Stat al Muncii (966 </w:t>
      </w:r>
      <w:r w:rsidR="00501ED0" w:rsidRPr="00DD5F1D">
        <w:rPr>
          <w:rFonts w:ascii="Times New Roman" w:eastAsia="Calibri" w:hAnsi="Times New Roman" w:cs="Times New Roman"/>
          <w:sz w:val="24"/>
          <w:szCs w:val="24"/>
          <w:lang w:val="ro-MD"/>
        </w:rPr>
        <w:t xml:space="preserve">de </w:t>
      </w:r>
      <w:r w:rsidRPr="00DD5F1D">
        <w:rPr>
          <w:rFonts w:ascii="Times New Roman" w:eastAsia="Calibri" w:hAnsi="Times New Roman" w:cs="Times New Roman"/>
          <w:sz w:val="24"/>
          <w:szCs w:val="24"/>
          <w:lang w:val="ro-MD"/>
        </w:rPr>
        <w:t xml:space="preserve">controale efectuate din 2 232 planificate în anul 2023), au fost identificate 270 </w:t>
      </w:r>
      <w:r w:rsidR="00501ED0" w:rsidRPr="00DD5F1D">
        <w:rPr>
          <w:rFonts w:ascii="Times New Roman" w:eastAsia="Calibri" w:hAnsi="Times New Roman" w:cs="Times New Roman"/>
          <w:sz w:val="24"/>
          <w:szCs w:val="24"/>
          <w:lang w:val="ro-MD"/>
        </w:rPr>
        <w:t xml:space="preserve">de </w:t>
      </w:r>
      <w:r w:rsidRPr="00DD5F1D">
        <w:rPr>
          <w:rFonts w:ascii="Times New Roman" w:eastAsia="Calibri" w:hAnsi="Times New Roman" w:cs="Times New Roman"/>
          <w:sz w:val="24"/>
          <w:szCs w:val="24"/>
          <w:lang w:val="ro-MD"/>
        </w:rPr>
        <w:t xml:space="preserve">persoane care prestau munca „la negru” în cadrul a 74 </w:t>
      </w:r>
      <w:r w:rsidR="00501ED0" w:rsidRPr="00DD5F1D">
        <w:rPr>
          <w:rFonts w:ascii="Times New Roman" w:eastAsia="Calibri" w:hAnsi="Times New Roman" w:cs="Times New Roman"/>
          <w:sz w:val="24"/>
          <w:szCs w:val="24"/>
          <w:lang w:val="ro-MD"/>
        </w:rPr>
        <w:t xml:space="preserve">de </w:t>
      </w:r>
      <w:r w:rsidRPr="00DD5F1D">
        <w:rPr>
          <w:rFonts w:ascii="Times New Roman" w:eastAsia="Calibri" w:hAnsi="Times New Roman" w:cs="Times New Roman"/>
          <w:sz w:val="24"/>
          <w:szCs w:val="24"/>
          <w:lang w:val="ro-MD"/>
        </w:rPr>
        <w:t>agenți economici. Totodată, instanța de judecată a aplicat 8 sancțiuni contravenționale în valoare de 85,5 mii lei</w:t>
      </w:r>
      <w:r w:rsidRPr="00DD5F1D">
        <w:rPr>
          <w:rStyle w:val="a5"/>
          <w:rFonts w:ascii="Times New Roman" w:eastAsia="Calibri" w:hAnsi="Times New Roman" w:cs="Times New Roman"/>
          <w:sz w:val="24"/>
          <w:szCs w:val="24"/>
          <w:lang w:val="ro-MD"/>
        </w:rPr>
        <w:footnoteReference w:id="23"/>
      </w:r>
      <w:r w:rsidRPr="00DD5F1D">
        <w:rPr>
          <w:rFonts w:ascii="Times New Roman" w:eastAsia="Calibri" w:hAnsi="Times New Roman" w:cs="Times New Roman"/>
          <w:sz w:val="24"/>
          <w:szCs w:val="24"/>
          <w:lang w:val="ro-MD"/>
        </w:rPr>
        <w:t>.</w:t>
      </w:r>
    </w:p>
    <w:p w14:paraId="52626F82" w14:textId="26956982" w:rsidR="00212F48" w:rsidRPr="00DD5F1D" w:rsidRDefault="00BC0DC0" w:rsidP="00212F48">
      <w:pPr>
        <w:tabs>
          <w:tab w:val="left" w:pos="7809"/>
        </w:tabs>
        <w:spacing w:after="120" w:line="276" w:lineRule="auto"/>
        <w:jc w:val="both"/>
        <w:rPr>
          <w:rFonts w:ascii="Times New Roman" w:eastAsia="Calibri" w:hAnsi="Times New Roman" w:cs="Times New Roman"/>
          <w:sz w:val="24"/>
          <w:szCs w:val="24"/>
          <w:lang w:val="ro-MD"/>
        </w:rPr>
      </w:pPr>
      <w:r w:rsidRPr="007D32B0">
        <w:rPr>
          <w:rFonts w:ascii="Times New Roman" w:eastAsia="Calibri" w:hAnsi="Times New Roman" w:cs="Times New Roman"/>
          <w:sz w:val="24"/>
          <w:szCs w:val="24"/>
          <w:lang w:val="ro-MD"/>
        </w:rPr>
        <w:t>U</w:t>
      </w:r>
      <w:r w:rsidR="00290B44" w:rsidRPr="007D32B0">
        <w:rPr>
          <w:rFonts w:ascii="Times New Roman" w:eastAsia="Calibri" w:hAnsi="Times New Roman" w:cs="Times New Roman"/>
          <w:sz w:val="24"/>
          <w:szCs w:val="24"/>
          <w:lang w:val="ro-MD"/>
        </w:rPr>
        <w:t xml:space="preserve">na din sursele posibile pentru </w:t>
      </w:r>
      <w:r w:rsidR="00F7239D" w:rsidRPr="007D32B0">
        <w:rPr>
          <w:rFonts w:ascii="Times New Roman" w:eastAsia="Calibri" w:hAnsi="Times New Roman" w:cs="Times New Roman"/>
          <w:sz w:val="24"/>
          <w:szCs w:val="24"/>
          <w:lang w:val="ro-MD"/>
        </w:rPr>
        <w:t xml:space="preserve">achitarea </w:t>
      </w:r>
      <w:r w:rsidR="00290B44" w:rsidRPr="007D32B0">
        <w:rPr>
          <w:rFonts w:ascii="Times New Roman" w:eastAsia="Calibri" w:hAnsi="Times New Roman" w:cs="Times New Roman"/>
          <w:sz w:val="24"/>
          <w:szCs w:val="24"/>
          <w:lang w:val="ro-MD"/>
        </w:rPr>
        <w:t xml:space="preserve">salariilor în plic </w:t>
      </w:r>
      <w:r w:rsidR="00D01F18" w:rsidRPr="007D32B0">
        <w:rPr>
          <w:rFonts w:ascii="Times New Roman" w:eastAsia="Calibri" w:hAnsi="Times New Roman" w:cs="Times New Roman"/>
          <w:sz w:val="24"/>
          <w:szCs w:val="24"/>
          <w:lang w:val="ro-MD"/>
        </w:rPr>
        <w:t xml:space="preserve">este </w:t>
      </w:r>
      <w:r w:rsidR="00D01F18" w:rsidRPr="00D848B6">
        <w:rPr>
          <w:rFonts w:ascii="Times New Roman" w:eastAsia="Calibri" w:hAnsi="Times New Roman" w:cs="Times New Roman"/>
          <w:sz w:val="24"/>
          <w:szCs w:val="24"/>
          <w:lang w:val="ro-MD"/>
        </w:rPr>
        <w:t>extragerea de către fondatori a dividendelor și utilizarea acestora pentru ulterioara salarizare</w:t>
      </w:r>
      <w:r w:rsidR="00D01F18" w:rsidRPr="00C66493">
        <w:rPr>
          <w:rFonts w:ascii="Times New Roman" w:eastAsia="Calibri" w:hAnsi="Times New Roman" w:cs="Times New Roman"/>
          <w:sz w:val="24"/>
          <w:szCs w:val="24"/>
          <w:lang w:val="ro-MD"/>
        </w:rPr>
        <w:t xml:space="preserve"> și motivare a personalului</w:t>
      </w:r>
      <w:r w:rsidR="00290B44" w:rsidRPr="007D32B0">
        <w:rPr>
          <w:rFonts w:ascii="Times New Roman" w:eastAsia="Calibri" w:hAnsi="Times New Roman" w:cs="Times New Roman"/>
          <w:sz w:val="24"/>
          <w:szCs w:val="24"/>
          <w:lang w:val="ro-MD"/>
        </w:rPr>
        <w:t>.</w:t>
      </w:r>
      <w:r w:rsidR="00290B44" w:rsidRPr="00D848B6">
        <w:rPr>
          <w:rFonts w:ascii="Times New Roman" w:eastAsia="Calibri" w:hAnsi="Times New Roman" w:cs="Times New Roman"/>
          <w:sz w:val="24"/>
          <w:szCs w:val="24"/>
          <w:lang w:val="ro-MD"/>
        </w:rPr>
        <w:t xml:space="preserve"> </w:t>
      </w:r>
      <w:r w:rsidR="006060A7" w:rsidRPr="00D848B6">
        <w:rPr>
          <w:rFonts w:ascii="Times New Roman" w:eastAsia="Calibri" w:hAnsi="Times New Roman" w:cs="Times New Roman"/>
          <w:sz w:val="24"/>
          <w:szCs w:val="24"/>
          <w:lang w:val="ro-MD"/>
        </w:rPr>
        <w:t>Potrivit</w:t>
      </w:r>
      <w:r w:rsidR="006060A7" w:rsidRPr="00DD5F1D">
        <w:rPr>
          <w:rFonts w:ascii="Times New Roman" w:eastAsia="Calibri" w:hAnsi="Times New Roman" w:cs="Times New Roman"/>
          <w:sz w:val="24"/>
          <w:szCs w:val="24"/>
          <w:lang w:val="ro-MD"/>
        </w:rPr>
        <w:t xml:space="preserve"> cadrului legal, dividendele sunt venituri din distribuirea profitului net între fondatori (acționari) în funcție de rata de participare depusă la capitalul societății</w:t>
      </w:r>
      <w:r w:rsidR="006060A7" w:rsidRPr="00DD5F1D">
        <w:rPr>
          <w:rStyle w:val="a5"/>
          <w:rFonts w:ascii="Times New Roman" w:eastAsia="Calibri" w:hAnsi="Times New Roman" w:cs="Times New Roman"/>
          <w:sz w:val="24"/>
          <w:szCs w:val="24"/>
          <w:lang w:val="ro-MD"/>
        </w:rPr>
        <w:footnoteReference w:id="24"/>
      </w:r>
      <w:r w:rsidR="006060A7" w:rsidRPr="00DD5F1D">
        <w:rPr>
          <w:rFonts w:ascii="Times New Roman" w:eastAsia="Calibri" w:hAnsi="Times New Roman" w:cs="Times New Roman"/>
          <w:sz w:val="24"/>
          <w:szCs w:val="24"/>
          <w:lang w:val="ro-MD"/>
        </w:rPr>
        <w:t xml:space="preserve">. Astfel, în anul 2023, </w:t>
      </w:r>
      <w:r w:rsidR="00F41D17" w:rsidRPr="00DD5F1D">
        <w:rPr>
          <w:rFonts w:ascii="Times New Roman" w:eastAsia="Calibri" w:hAnsi="Times New Roman" w:cs="Times New Roman"/>
          <w:sz w:val="24"/>
          <w:szCs w:val="24"/>
          <w:lang w:val="ro-MD"/>
        </w:rPr>
        <w:t>10 88</w:t>
      </w:r>
      <w:r w:rsidR="00D62F96" w:rsidRPr="00DD5F1D">
        <w:rPr>
          <w:rFonts w:ascii="Times New Roman" w:eastAsia="Calibri" w:hAnsi="Times New Roman" w:cs="Times New Roman"/>
          <w:sz w:val="24"/>
          <w:szCs w:val="24"/>
          <w:lang w:val="ro-MD"/>
        </w:rPr>
        <w:t>0</w:t>
      </w:r>
      <w:r w:rsidR="0065789F" w:rsidRPr="00DD5F1D">
        <w:rPr>
          <w:rFonts w:ascii="Times New Roman" w:eastAsia="Calibri" w:hAnsi="Times New Roman" w:cs="Times New Roman"/>
          <w:sz w:val="24"/>
          <w:szCs w:val="24"/>
          <w:lang w:val="ro-MD"/>
        </w:rPr>
        <w:t xml:space="preserve"> </w:t>
      </w:r>
      <w:r w:rsidR="00133EB3" w:rsidRPr="00DD5F1D">
        <w:rPr>
          <w:rFonts w:ascii="Times New Roman" w:eastAsia="Calibri" w:hAnsi="Times New Roman" w:cs="Times New Roman"/>
          <w:sz w:val="24"/>
          <w:szCs w:val="24"/>
          <w:lang w:val="ro-MD"/>
        </w:rPr>
        <w:t xml:space="preserve">de agenți economici </w:t>
      </w:r>
      <w:r w:rsidR="0065789F" w:rsidRPr="007D32B0">
        <w:rPr>
          <w:rFonts w:ascii="Times New Roman" w:eastAsia="Calibri" w:hAnsi="Times New Roman" w:cs="Times New Roman"/>
          <w:sz w:val="24"/>
          <w:szCs w:val="24"/>
          <w:lang w:val="ro-MD"/>
        </w:rPr>
        <w:t>(Societăți cu Răspundere Limitată)</w:t>
      </w:r>
      <w:r w:rsidR="0065789F" w:rsidRPr="00D848B6">
        <w:rPr>
          <w:rFonts w:ascii="Times New Roman" w:eastAsia="Calibri" w:hAnsi="Times New Roman" w:cs="Times New Roman"/>
          <w:sz w:val="24"/>
          <w:szCs w:val="24"/>
          <w:lang w:val="ro-MD"/>
        </w:rPr>
        <w:t xml:space="preserve"> au</w:t>
      </w:r>
      <w:r w:rsidR="0065789F" w:rsidRPr="00DD5F1D">
        <w:rPr>
          <w:rFonts w:ascii="Times New Roman" w:eastAsia="Calibri" w:hAnsi="Times New Roman" w:cs="Times New Roman"/>
          <w:sz w:val="24"/>
          <w:szCs w:val="24"/>
          <w:lang w:val="ro-MD"/>
        </w:rPr>
        <w:t xml:space="preserve"> achitat dividende la</w:t>
      </w:r>
      <w:r w:rsidR="00D62F96" w:rsidRPr="00DD5F1D">
        <w:rPr>
          <w:rFonts w:ascii="Times New Roman" w:eastAsia="Calibri" w:hAnsi="Times New Roman" w:cs="Times New Roman"/>
          <w:sz w:val="24"/>
          <w:szCs w:val="24"/>
          <w:lang w:val="ro-MD"/>
        </w:rPr>
        <w:t xml:space="preserve"> 14 385</w:t>
      </w:r>
      <w:r w:rsidR="006060A7" w:rsidRPr="00DD5F1D">
        <w:rPr>
          <w:rFonts w:ascii="Times New Roman" w:eastAsia="Calibri" w:hAnsi="Times New Roman" w:cs="Times New Roman"/>
          <w:sz w:val="24"/>
          <w:szCs w:val="24"/>
          <w:lang w:val="ro-MD"/>
        </w:rPr>
        <w:t xml:space="preserve"> </w:t>
      </w:r>
      <w:r w:rsidR="00133EB3" w:rsidRPr="00DD5F1D">
        <w:rPr>
          <w:rFonts w:ascii="Times New Roman" w:eastAsia="Calibri" w:hAnsi="Times New Roman" w:cs="Times New Roman"/>
          <w:sz w:val="24"/>
          <w:szCs w:val="24"/>
          <w:lang w:val="ro-MD"/>
        </w:rPr>
        <w:t xml:space="preserve">de </w:t>
      </w:r>
      <w:r w:rsidR="006060A7" w:rsidRPr="00DD5F1D">
        <w:rPr>
          <w:rFonts w:ascii="Times New Roman" w:eastAsia="Calibri" w:hAnsi="Times New Roman" w:cs="Times New Roman"/>
          <w:sz w:val="24"/>
          <w:szCs w:val="24"/>
          <w:lang w:val="ro-MD"/>
        </w:rPr>
        <w:t xml:space="preserve">persoane, valoarea acestora fiind </w:t>
      </w:r>
      <w:r w:rsidR="00A60C5A" w:rsidRPr="00DD5F1D">
        <w:rPr>
          <w:rFonts w:ascii="Times New Roman" w:eastAsia="Calibri" w:hAnsi="Times New Roman" w:cs="Times New Roman"/>
          <w:sz w:val="24"/>
          <w:szCs w:val="24"/>
          <w:lang w:val="ro-MD"/>
        </w:rPr>
        <w:t>de cca</w:t>
      </w:r>
      <w:r w:rsidR="006060A7" w:rsidRPr="00DD5F1D">
        <w:rPr>
          <w:rFonts w:ascii="Times New Roman" w:eastAsia="Calibri" w:hAnsi="Times New Roman" w:cs="Times New Roman"/>
          <w:sz w:val="24"/>
          <w:szCs w:val="24"/>
          <w:lang w:val="ro-MD"/>
        </w:rPr>
        <w:t xml:space="preserve"> 12 0</w:t>
      </w:r>
      <w:r w:rsidR="00D62F96" w:rsidRPr="00DD5F1D">
        <w:rPr>
          <w:rFonts w:ascii="Times New Roman" w:eastAsia="Calibri" w:hAnsi="Times New Roman" w:cs="Times New Roman"/>
          <w:sz w:val="24"/>
          <w:szCs w:val="24"/>
          <w:lang w:val="ro-MD"/>
        </w:rPr>
        <w:t>49</w:t>
      </w:r>
      <w:r w:rsidR="006060A7" w:rsidRPr="00DD5F1D">
        <w:rPr>
          <w:rFonts w:ascii="Times New Roman" w:eastAsia="Calibri" w:hAnsi="Times New Roman" w:cs="Times New Roman"/>
          <w:sz w:val="24"/>
          <w:szCs w:val="24"/>
          <w:lang w:val="ro-MD"/>
        </w:rPr>
        <w:t>,</w:t>
      </w:r>
      <w:r w:rsidR="00FC2F89" w:rsidRPr="00DD5F1D">
        <w:rPr>
          <w:rFonts w:ascii="Times New Roman" w:eastAsia="Calibri" w:hAnsi="Times New Roman" w:cs="Times New Roman"/>
          <w:sz w:val="24"/>
          <w:szCs w:val="24"/>
          <w:lang w:val="ro-MD"/>
        </w:rPr>
        <w:t xml:space="preserve">2 </w:t>
      </w:r>
      <w:r w:rsidR="006060A7" w:rsidRPr="00DD5F1D">
        <w:rPr>
          <w:rFonts w:ascii="Times New Roman" w:eastAsia="Calibri" w:hAnsi="Times New Roman" w:cs="Times New Roman"/>
          <w:sz w:val="24"/>
          <w:szCs w:val="24"/>
          <w:lang w:val="ro-MD"/>
        </w:rPr>
        <w:t>mil. lei, iar impozitul pe venit achitat de către aceștia constituie</w:t>
      </w:r>
      <w:r w:rsidR="00A60C5A" w:rsidRPr="00DD5F1D">
        <w:rPr>
          <w:rFonts w:ascii="Times New Roman" w:eastAsia="Calibri" w:hAnsi="Times New Roman" w:cs="Times New Roman"/>
          <w:sz w:val="24"/>
          <w:szCs w:val="24"/>
          <w:lang w:val="ro-MD"/>
        </w:rPr>
        <w:t xml:space="preserve"> aproximativ</w:t>
      </w:r>
      <w:r w:rsidR="00C9053B" w:rsidRPr="00DD5F1D">
        <w:rPr>
          <w:rFonts w:ascii="Times New Roman" w:eastAsia="Calibri" w:hAnsi="Times New Roman" w:cs="Times New Roman"/>
          <w:sz w:val="24"/>
          <w:szCs w:val="24"/>
          <w:lang w:val="ro-MD"/>
        </w:rPr>
        <w:t xml:space="preserve"> 73</w:t>
      </w:r>
      <w:r w:rsidR="00D62F96" w:rsidRPr="00DD5F1D">
        <w:rPr>
          <w:rFonts w:ascii="Times New Roman" w:eastAsia="Calibri" w:hAnsi="Times New Roman" w:cs="Times New Roman"/>
          <w:sz w:val="24"/>
          <w:szCs w:val="24"/>
          <w:lang w:val="ro-MD"/>
        </w:rPr>
        <w:t>4,</w:t>
      </w:r>
      <w:r w:rsidR="00FC2F89" w:rsidRPr="00DD5F1D">
        <w:rPr>
          <w:rFonts w:ascii="Times New Roman" w:eastAsia="Calibri" w:hAnsi="Times New Roman" w:cs="Times New Roman"/>
          <w:sz w:val="24"/>
          <w:szCs w:val="24"/>
          <w:lang w:val="ro-MD"/>
        </w:rPr>
        <w:t>9</w:t>
      </w:r>
      <w:r w:rsidR="00C9053B" w:rsidRPr="00DD5F1D">
        <w:rPr>
          <w:rFonts w:ascii="Times New Roman" w:eastAsia="Calibri" w:hAnsi="Times New Roman" w:cs="Times New Roman"/>
          <w:sz w:val="24"/>
          <w:szCs w:val="24"/>
          <w:lang w:val="ro-MD"/>
        </w:rPr>
        <w:t xml:space="preserve"> mil. lei, informație redată în tabelul de mai jos.</w:t>
      </w:r>
    </w:p>
    <w:p w14:paraId="198C11ED" w14:textId="7D216A02" w:rsidR="00D62F96" w:rsidRPr="00DD5F1D" w:rsidRDefault="00D62F96" w:rsidP="00212F48">
      <w:pPr>
        <w:tabs>
          <w:tab w:val="left" w:pos="7809"/>
        </w:tabs>
        <w:spacing w:after="0" w:line="276" w:lineRule="auto"/>
        <w:jc w:val="right"/>
        <w:rPr>
          <w:rFonts w:ascii="Times New Roman" w:eastAsia="Calibri" w:hAnsi="Times New Roman" w:cs="Times New Roman"/>
          <w:b/>
          <w:sz w:val="24"/>
          <w:szCs w:val="24"/>
          <w:lang w:val="ro-MD"/>
        </w:rPr>
      </w:pPr>
    </w:p>
    <w:p w14:paraId="05ECB7DB" w14:textId="4EFEFA2F" w:rsidR="004B301E" w:rsidRPr="00DD5F1D" w:rsidRDefault="004B301E" w:rsidP="00212F48">
      <w:pPr>
        <w:tabs>
          <w:tab w:val="left" w:pos="7809"/>
        </w:tabs>
        <w:spacing w:after="0" w:line="276" w:lineRule="auto"/>
        <w:jc w:val="right"/>
        <w:rPr>
          <w:rFonts w:ascii="Times New Roman" w:eastAsia="Calibri" w:hAnsi="Times New Roman" w:cs="Times New Roman"/>
          <w:b/>
          <w:sz w:val="24"/>
          <w:szCs w:val="24"/>
          <w:lang w:val="ro-MD"/>
        </w:rPr>
      </w:pPr>
    </w:p>
    <w:p w14:paraId="26D0ADA0" w14:textId="5A842E47" w:rsidR="00FC2F89" w:rsidRPr="00DD5F1D" w:rsidRDefault="00FC2F89" w:rsidP="00212F48">
      <w:pPr>
        <w:tabs>
          <w:tab w:val="left" w:pos="7809"/>
        </w:tabs>
        <w:spacing w:after="0" w:line="276" w:lineRule="auto"/>
        <w:jc w:val="right"/>
        <w:rPr>
          <w:rFonts w:ascii="Times New Roman" w:eastAsia="Calibri" w:hAnsi="Times New Roman" w:cs="Times New Roman"/>
          <w:b/>
          <w:sz w:val="24"/>
          <w:szCs w:val="24"/>
          <w:lang w:val="ro-MD"/>
        </w:rPr>
      </w:pPr>
    </w:p>
    <w:p w14:paraId="1BF04145" w14:textId="77D66424" w:rsidR="00FC2F89" w:rsidRPr="00DD5F1D" w:rsidRDefault="00FC2F89" w:rsidP="00212F48">
      <w:pPr>
        <w:tabs>
          <w:tab w:val="left" w:pos="7809"/>
        </w:tabs>
        <w:spacing w:after="0" w:line="276" w:lineRule="auto"/>
        <w:jc w:val="right"/>
        <w:rPr>
          <w:rFonts w:ascii="Times New Roman" w:eastAsia="Calibri" w:hAnsi="Times New Roman" w:cs="Times New Roman"/>
          <w:b/>
          <w:sz w:val="24"/>
          <w:szCs w:val="24"/>
          <w:lang w:val="ro-MD"/>
        </w:rPr>
      </w:pPr>
    </w:p>
    <w:p w14:paraId="76CCB588" w14:textId="69A4DEC8" w:rsidR="00FC2F89" w:rsidRPr="00DD5F1D" w:rsidRDefault="00FC2F89" w:rsidP="00212F48">
      <w:pPr>
        <w:tabs>
          <w:tab w:val="left" w:pos="7809"/>
        </w:tabs>
        <w:spacing w:after="0" w:line="276" w:lineRule="auto"/>
        <w:jc w:val="right"/>
        <w:rPr>
          <w:rFonts w:ascii="Times New Roman" w:eastAsia="Calibri" w:hAnsi="Times New Roman" w:cs="Times New Roman"/>
          <w:b/>
          <w:sz w:val="24"/>
          <w:szCs w:val="24"/>
          <w:lang w:val="ro-MD"/>
        </w:rPr>
      </w:pPr>
    </w:p>
    <w:p w14:paraId="75039591" w14:textId="77777777" w:rsidR="00FC2F89" w:rsidRPr="00DD5F1D" w:rsidRDefault="00FC2F89" w:rsidP="00212F48">
      <w:pPr>
        <w:tabs>
          <w:tab w:val="left" w:pos="7809"/>
        </w:tabs>
        <w:spacing w:after="0" w:line="276" w:lineRule="auto"/>
        <w:jc w:val="right"/>
        <w:rPr>
          <w:rFonts w:ascii="Times New Roman" w:eastAsia="Calibri" w:hAnsi="Times New Roman" w:cs="Times New Roman"/>
          <w:b/>
          <w:sz w:val="24"/>
          <w:szCs w:val="24"/>
          <w:lang w:val="ro-MD"/>
        </w:rPr>
      </w:pPr>
    </w:p>
    <w:p w14:paraId="255CA705" w14:textId="34C23585" w:rsidR="006060A7" w:rsidRPr="00DD5F1D" w:rsidRDefault="006060A7" w:rsidP="00212F48">
      <w:pPr>
        <w:tabs>
          <w:tab w:val="left" w:pos="7809"/>
        </w:tabs>
        <w:spacing w:after="0" w:line="276" w:lineRule="auto"/>
        <w:jc w:val="right"/>
        <w:rPr>
          <w:rFonts w:ascii="Times New Roman" w:eastAsia="Calibri" w:hAnsi="Times New Roman" w:cs="Times New Roman"/>
          <w:b/>
          <w:szCs w:val="24"/>
          <w:lang w:val="ro-MD"/>
        </w:rPr>
      </w:pPr>
      <w:r w:rsidRPr="00DD5F1D">
        <w:rPr>
          <w:rFonts w:ascii="Times New Roman" w:eastAsia="Calibri" w:hAnsi="Times New Roman" w:cs="Times New Roman"/>
          <w:b/>
          <w:szCs w:val="24"/>
          <w:lang w:val="ro-MD"/>
        </w:rPr>
        <w:t xml:space="preserve">Tabelul nr. </w:t>
      </w:r>
      <w:r w:rsidR="00C9053B" w:rsidRPr="00DD5F1D">
        <w:rPr>
          <w:rFonts w:ascii="Times New Roman" w:eastAsia="Calibri" w:hAnsi="Times New Roman" w:cs="Times New Roman"/>
          <w:b/>
          <w:szCs w:val="24"/>
          <w:lang w:val="ro-MD"/>
        </w:rPr>
        <w:t>6</w:t>
      </w:r>
    </w:p>
    <w:p w14:paraId="6E8027A8" w14:textId="77777777" w:rsidR="006060A7" w:rsidRPr="00DD5F1D" w:rsidRDefault="006060A7" w:rsidP="006060A7">
      <w:pPr>
        <w:shd w:val="clear" w:color="auto" w:fill="FFFFFF" w:themeFill="background1"/>
        <w:tabs>
          <w:tab w:val="left" w:pos="284"/>
          <w:tab w:val="left" w:pos="425"/>
        </w:tabs>
        <w:spacing w:after="0" w:line="276" w:lineRule="auto"/>
        <w:jc w:val="center"/>
        <w:rPr>
          <w:rFonts w:ascii="Times New Roman" w:eastAsia="Calibri" w:hAnsi="Times New Roman" w:cs="Times New Roman"/>
          <w:b/>
          <w:szCs w:val="24"/>
          <w:lang w:val="ro-MD"/>
        </w:rPr>
      </w:pPr>
      <w:r w:rsidRPr="00DD5F1D">
        <w:rPr>
          <w:rFonts w:ascii="Times New Roman" w:eastAsia="Calibri" w:hAnsi="Times New Roman" w:cs="Times New Roman"/>
          <w:b/>
          <w:szCs w:val="24"/>
          <w:lang w:val="ro-MD"/>
        </w:rPr>
        <w:t xml:space="preserve">Analiza privind numărul de beneficiari de dividende și impozitul aferent reținut, </w:t>
      </w:r>
    </w:p>
    <w:p w14:paraId="457E44C1" w14:textId="77777777" w:rsidR="006060A7" w:rsidRPr="00DD5F1D" w:rsidRDefault="006060A7" w:rsidP="006060A7">
      <w:pPr>
        <w:shd w:val="clear" w:color="auto" w:fill="FFFFFF" w:themeFill="background1"/>
        <w:tabs>
          <w:tab w:val="left" w:pos="284"/>
          <w:tab w:val="left" w:pos="425"/>
        </w:tabs>
        <w:spacing w:after="0" w:line="276" w:lineRule="auto"/>
        <w:jc w:val="center"/>
        <w:rPr>
          <w:rFonts w:ascii="Times New Roman" w:eastAsia="Calibri" w:hAnsi="Times New Roman" w:cs="Times New Roman"/>
          <w:b/>
          <w:szCs w:val="24"/>
          <w:lang w:val="ro-MD"/>
        </w:rPr>
      </w:pPr>
      <w:r w:rsidRPr="00DD5F1D">
        <w:rPr>
          <w:rFonts w:ascii="Times New Roman" w:eastAsia="Calibri" w:hAnsi="Times New Roman" w:cs="Times New Roman"/>
          <w:b/>
          <w:szCs w:val="24"/>
          <w:lang w:val="ro-MD"/>
        </w:rPr>
        <w:t>pentru anul 2023</w:t>
      </w:r>
    </w:p>
    <w:tbl>
      <w:tblPr>
        <w:tblW w:w="5000" w:type="pct"/>
        <w:tblLook w:val="04A0" w:firstRow="1" w:lastRow="0" w:firstColumn="1" w:lastColumn="0" w:noHBand="0" w:noVBand="1"/>
      </w:tblPr>
      <w:tblGrid>
        <w:gridCol w:w="8017"/>
        <w:gridCol w:w="2007"/>
      </w:tblGrid>
      <w:tr w:rsidR="006060A7" w:rsidRPr="00DD5F1D" w14:paraId="04CCC9F3" w14:textId="77777777" w:rsidTr="00F61234">
        <w:trPr>
          <w:trHeight w:val="441"/>
        </w:trPr>
        <w:tc>
          <w:tcPr>
            <w:tcW w:w="39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20692C" w14:textId="77777777" w:rsidR="006060A7" w:rsidRPr="00DD5F1D" w:rsidRDefault="006060A7"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Indicatori</w:t>
            </w:r>
          </w:p>
        </w:tc>
        <w:tc>
          <w:tcPr>
            <w:tcW w:w="1001" w:type="pct"/>
            <w:tcBorders>
              <w:top w:val="single" w:sz="4" w:space="0" w:color="auto"/>
              <w:left w:val="nil"/>
              <w:right w:val="single" w:sz="4" w:space="0" w:color="auto"/>
            </w:tcBorders>
            <w:shd w:val="clear" w:color="auto" w:fill="auto"/>
            <w:noWrap/>
            <w:vAlign w:val="center"/>
          </w:tcPr>
          <w:p w14:paraId="2E6F7448" w14:textId="77777777" w:rsidR="006060A7" w:rsidRPr="00DD5F1D" w:rsidRDefault="006060A7"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Anul</w:t>
            </w:r>
          </w:p>
        </w:tc>
      </w:tr>
      <w:tr w:rsidR="006060A7" w:rsidRPr="00DD5F1D" w14:paraId="0B5980DB" w14:textId="77777777" w:rsidTr="00F61234">
        <w:trPr>
          <w:trHeight w:val="254"/>
        </w:trPr>
        <w:tc>
          <w:tcPr>
            <w:tcW w:w="39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F6C0FF2" w14:textId="77777777" w:rsidR="006060A7" w:rsidRPr="00DD5F1D" w:rsidRDefault="006060A7" w:rsidP="00F61234">
            <w:pPr>
              <w:spacing w:after="0" w:line="240" w:lineRule="auto"/>
              <w:rPr>
                <w:rFonts w:ascii="Times New Roman" w:eastAsia="Times New Roman" w:hAnsi="Times New Roman" w:cs="Times New Roman"/>
                <w:b/>
                <w:bCs/>
                <w:sz w:val="20"/>
                <w:szCs w:val="24"/>
                <w:lang w:val="ro-MD"/>
              </w:rPr>
            </w:pPr>
          </w:p>
        </w:tc>
        <w:tc>
          <w:tcPr>
            <w:tcW w:w="1001" w:type="pct"/>
            <w:tcBorders>
              <w:top w:val="nil"/>
              <w:left w:val="nil"/>
              <w:bottom w:val="single" w:sz="4" w:space="0" w:color="auto"/>
              <w:right w:val="single" w:sz="4" w:space="0" w:color="auto"/>
            </w:tcBorders>
            <w:shd w:val="clear" w:color="auto" w:fill="auto"/>
            <w:noWrap/>
            <w:vAlign w:val="center"/>
          </w:tcPr>
          <w:p w14:paraId="2FAC983F" w14:textId="77777777" w:rsidR="006060A7" w:rsidRPr="00DD5F1D" w:rsidRDefault="006060A7"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2023</w:t>
            </w:r>
          </w:p>
        </w:tc>
      </w:tr>
      <w:tr w:rsidR="006060A7" w:rsidRPr="00DD5F1D" w14:paraId="21E8442A" w14:textId="77777777" w:rsidTr="00F61234">
        <w:trPr>
          <w:trHeight w:val="254"/>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14:paraId="03B10E7B" w14:textId="34E755FC" w:rsidR="006060A7" w:rsidRPr="00DD5F1D" w:rsidRDefault="006060A7" w:rsidP="00133EB3">
            <w:pPr>
              <w:spacing w:after="0" w:line="276" w:lineRule="auto"/>
              <w:ind w:left="-18"/>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 xml:space="preserve">Nr. </w:t>
            </w:r>
            <w:r w:rsidR="00133EB3" w:rsidRPr="00DD5F1D">
              <w:rPr>
                <w:rFonts w:ascii="Times New Roman" w:eastAsia="Times New Roman" w:hAnsi="Times New Roman" w:cs="Times New Roman"/>
                <w:sz w:val="20"/>
                <w:szCs w:val="24"/>
                <w:lang w:val="ro-MD"/>
              </w:rPr>
              <w:t>p</w:t>
            </w:r>
            <w:r w:rsidRPr="00DD5F1D">
              <w:rPr>
                <w:rFonts w:ascii="Times New Roman" w:eastAsia="Times New Roman" w:hAnsi="Times New Roman" w:cs="Times New Roman"/>
                <w:sz w:val="20"/>
                <w:szCs w:val="24"/>
                <w:lang w:val="ro-MD"/>
              </w:rPr>
              <w:t>ersoane/beneficiari</w:t>
            </w:r>
          </w:p>
        </w:tc>
        <w:tc>
          <w:tcPr>
            <w:tcW w:w="1001" w:type="pct"/>
            <w:tcBorders>
              <w:top w:val="nil"/>
              <w:left w:val="nil"/>
              <w:bottom w:val="single" w:sz="4" w:space="0" w:color="auto"/>
              <w:right w:val="single" w:sz="4" w:space="0" w:color="auto"/>
            </w:tcBorders>
            <w:shd w:val="clear" w:color="auto" w:fill="auto"/>
            <w:noWrap/>
            <w:vAlign w:val="center"/>
          </w:tcPr>
          <w:p w14:paraId="3A852BA6" w14:textId="0CC83119" w:rsidR="006060A7" w:rsidRPr="00DD5F1D" w:rsidRDefault="006060A7" w:rsidP="00FC2F89">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 xml:space="preserve">14 </w:t>
            </w:r>
            <w:r w:rsidR="00D62F96" w:rsidRPr="00DD5F1D">
              <w:rPr>
                <w:rFonts w:ascii="Times New Roman" w:eastAsia="Times New Roman" w:hAnsi="Times New Roman" w:cs="Times New Roman"/>
                <w:sz w:val="20"/>
                <w:szCs w:val="24"/>
                <w:lang w:val="ro-MD"/>
              </w:rPr>
              <w:t>385</w:t>
            </w:r>
          </w:p>
        </w:tc>
      </w:tr>
      <w:tr w:rsidR="006060A7" w:rsidRPr="00DD5F1D" w14:paraId="1F63288D" w14:textId="77777777" w:rsidTr="00F61234">
        <w:trPr>
          <w:trHeight w:val="254"/>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14:paraId="668BD653" w14:textId="77777777" w:rsidR="006060A7" w:rsidRPr="00DD5F1D" w:rsidRDefault="006060A7" w:rsidP="00F61234">
            <w:pPr>
              <w:spacing w:after="0" w:line="276" w:lineRule="auto"/>
              <w:ind w:left="-18"/>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Suma venitului din dividende, mil. lei</w:t>
            </w:r>
          </w:p>
        </w:tc>
        <w:tc>
          <w:tcPr>
            <w:tcW w:w="1001" w:type="pct"/>
            <w:tcBorders>
              <w:top w:val="nil"/>
              <w:left w:val="nil"/>
              <w:bottom w:val="single" w:sz="4" w:space="0" w:color="auto"/>
              <w:right w:val="single" w:sz="4" w:space="0" w:color="auto"/>
            </w:tcBorders>
            <w:shd w:val="clear" w:color="auto" w:fill="auto"/>
            <w:noWrap/>
            <w:vAlign w:val="center"/>
          </w:tcPr>
          <w:p w14:paraId="1DAA0A8B" w14:textId="55BA0210" w:rsidR="006060A7" w:rsidRPr="00DD5F1D" w:rsidRDefault="006060A7" w:rsidP="00FC2F89">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12 0</w:t>
            </w:r>
            <w:r w:rsidR="00FC2F89" w:rsidRPr="00DD5F1D">
              <w:rPr>
                <w:rFonts w:ascii="Times New Roman" w:eastAsia="Times New Roman" w:hAnsi="Times New Roman" w:cs="Times New Roman"/>
                <w:sz w:val="20"/>
                <w:szCs w:val="24"/>
                <w:lang w:val="ro-MD"/>
              </w:rPr>
              <w:t>49,2</w:t>
            </w:r>
          </w:p>
        </w:tc>
      </w:tr>
      <w:tr w:rsidR="006060A7" w:rsidRPr="00DD5F1D" w14:paraId="7178A19C" w14:textId="77777777" w:rsidTr="00F61234">
        <w:trPr>
          <w:trHeight w:val="254"/>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14:paraId="3A176996" w14:textId="77777777" w:rsidR="006060A7" w:rsidRPr="00DD5F1D" w:rsidRDefault="006060A7" w:rsidP="00F61234">
            <w:pPr>
              <w:spacing w:after="0" w:line="276" w:lineRule="auto"/>
              <w:ind w:left="-18"/>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Suma impozitului pe venit reținut, mil. lei</w:t>
            </w:r>
          </w:p>
        </w:tc>
        <w:tc>
          <w:tcPr>
            <w:tcW w:w="1001" w:type="pct"/>
            <w:tcBorders>
              <w:top w:val="nil"/>
              <w:left w:val="nil"/>
              <w:bottom w:val="single" w:sz="4" w:space="0" w:color="auto"/>
              <w:right w:val="single" w:sz="4" w:space="0" w:color="auto"/>
            </w:tcBorders>
            <w:shd w:val="clear" w:color="auto" w:fill="auto"/>
            <w:noWrap/>
            <w:vAlign w:val="center"/>
          </w:tcPr>
          <w:p w14:paraId="2F3A7A75" w14:textId="2632A7AB" w:rsidR="006060A7" w:rsidRPr="00DD5F1D" w:rsidRDefault="00FC2F89" w:rsidP="00FC2F89">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734,9</w:t>
            </w:r>
          </w:p>
        </w:tc>
      </w:tr>
    </w:tbl>
    <w:p w14:paraId="5F2F41D9" w14:textId="3E0A10A6" w:rsidR="006060A7" w:rsidRPr="00DD5F1D" w:rsidRDefault="006060A7" w:rsidP="006060A7">
      <w:pPr>
        <w:pStyle w:val="a8"/>
        <w:tabs>
          <w:tab w:val="left" w:pos="284"/>
          <w:tab w:val="left" w:pos="425"/>
        </w:tabs>
        <w:spacing w:after="120" w:line="276" w:lineRule="auto"/>
        <w:rPr>
          <w:rFonts w:ascii="Times New Roman" w:hAnsi="Times New Roman" w:cs="Times New Roman"/>
          <w:i/>
          <w:sz w:val="24"/>
          <w:szCs w:val="24"/>
          <w:lang w:val="ro-MD"/>
        </w:rPr>
      </w:pPr>
      <w:r w:rsidRPr="00DD5F1D">
        <w:rPr>
          <w:rFonts w:ascii="Times New Roman" w:hAnsi="Times New Roman" w:cs="Times New Roman"/>
          <w:b/>
          <w:i/>
          <w:szCs w:val="24"/>
          <w:lang w:val="ro-MD"/>
        </w:rPr>
        <w:t>Sursa</w:t>
      </w:r>
      <w:r w:rsidRPr="00DD5F1D">
        <w:rPr>
          <w:rFonts w:ascii="Times New Roman" w:hAnsi="Times New Roman" w:cs="Times New Roman"/>
          <w:i/>
          <w:szCs w:val="24"/>
          <w:lang w:val="ro-MD"/>
        </w:rPr>
        <w:t xml:space="preserve">: Elaborat de audit în baza datelor prezentate de SFS pentru </w:t>
      </w:r>
      <w:r w:rsidR="00133EB3" w:rsidRPr="00DD5F1D">
        <w:rPr>
          <w:rFonts w:ascii="Times New Roman" w:hAnsi="Times New Roman" w:cs="Times New Roman"/>
          <w:i/>
          <w:szCs w:val="24"/>
          <w:lang w:val="ro-MD"/>
        </w:rPr>
        <w:t>anul</w:t>
      </w:r>
      <w:r w:rsidRPr="00DD5F1D">
        <w:rPr>
          <w:rFonts w:ascii="Times New Roman" w:hAnsi="Times New Roman" w:cs="Times New Roman"/>
          <w:i/>
          <w:szCs w:val="24"/>
          <w:lang w:val="ro-MD"/>
        </w:rPr>
        <w:t xml:space="preserve"> 2023</w:t>
      </w:r>
      <w:r w:rsidR="00133EB3" w:rsidRPr="00DD5F1D">
        <w:rPr>
          <w:rFonts w:ascii="Times New Roman" w:hAnsi="Times New Roman" w:cs="Times New Roman"/>
          <w:i/>
          <w:szCs w:val="24"/>
          <w:lang w:val="ro-MD"/>
        </w:rPr>
        <w:t>.</w:t>
      </w:r>
    </w:p>
    <w:p w14:paraId="32FE0676" w14:textId="1855882E" w:rsidR="006060A7" w:rsidRPr="00DD5F1D" w:rsidRDefault="006060A7" w:rsidP="00212F48">
      <w:pPr>
        <w:shd w:val="clear" w:color="auto" w:fill="FFFFFF" w:themeFill="background1"/>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De asemenea, se constată că în anul 2023, în cazul a </w:t>
      </w:r>
      <w:r w:rsidR="00D62F96" w:rsidRPr="00DD5F1D">
        <w:rPr>
          <w:rFonts w:ascii="Times New Roman" w:hAnsi="Times New Roman" w:cs="Times New Roman"/>
          <w:sz w:val="24"/>
          <w:szCs w:val="24"/>
          <w:lang w:val="ro-MD"/>
        </w:rPr>
        <w:t>60</w:t>
      </w:r>
      <w:r w:rsidRPr="00DD5F1D">
        <w:rPr>
          <w:rFonts w:ascii="Times New Roman" w:hAnsi="Times New Roman" w:cs="Times New Roman"/>
          <w:sz w:val="24"/>
          <w:szCs w:val="24"/>
          <w:lang w:val="ro-MD"/>
        </w:rPr>
        <w:t xml:space="preserve"> de beneficiari cărora li s-au achitat dividende în sumă de </w:t>
      </w:r>
      <w:r w:rsidR="00FC2F89" w:rsidRPr="00DD5F1D">
        <w:rPr>
          <w:rFonts w:ascii="Times New Roman" w:hAnsi="Times New Roman" w:cs="Times New Roman"/>
          <w:sz w:val="24"/>
          <w:szCs w:val="24"/>
          <w:lang w:val="ro-MD"/>
        </w:rPr>
        <w:t>41,5</w:t>
      </w:r>
      <w:r w:rsidRPr="00DD5F1D">
        <w:rPr>
          <w:rFonts w:ascii="Times New Roman" w:hAnsi="Times New Roman" w:cs="Times New Roman"/>
          <w:sz w:val="24"/>
          <w:szCs w:val="24"/>
          <w:lang w:val="ro-MD"/>
        </w:rPr>
        <w:t xml:space="preserve"> mil. lei, auditul a constatat că a fost reținut impozit cu </w:t>
      </w:r>
      <w:r w:rsidR="00FC2F89" w:rsidRPr="00DD5F1D">
        <w:rPr>
          <w:rFonts w:ascii="Times New Roman" w:hAnsi="Times New Roman" w:cs="Times New Roman"/>
          <w:sz w:val="24"/>
          <w:szCs w:val="24"/>
          <w:lang w:val="ro-MD"/>
        </w:rPr>
        <w:t>0,9</w:t>
      </w:r>
      <w:r w:rsidRPr="00DD5F1D">
        <w:rPr>
          <w:rFonts w:ascii="Times New Roman" w:hAnsi="Times New Roman" w:cs="Times New Roman"/>
          <w:sz w:val="24"/>
          <w:szCs w:val="24"/>
          <w:lang w:val="ro-MD"/>
        </w:rPr>
        <w:t xml:space="preserve"> mil. </w:t>
      </w:r>
      <w:r w:rsidRPr="00D848B6">
        <w:rPr>
          <w:rFonts w:ascii="Times New Roman" w:hAnsi="Times New Roman" w:cs="Times New Roman"/>
          <w:sz w:val="24"/>
          <w:szCs w:val="24"/>
          <w:lang w:val="ro-MD"/>
        </w:rPr>
        <w:t>lei mai puțin</w:t>
      </w:r>
      <w:r w:rsidRPr="00C66493">
        <w:rPr>
          <w:rFonts w:ascii="Times New Roman" w:hAnsi="Times New Roman" w:cs="Times New Roman"/>
          <w:sz w:val="24"/>
          <w:szCs w:val="24"/>
          <w:lang w:val="ro-MD"/>
        </w:rPr>
        <w:t xml:space="preserve"> </w:t>
      </w:r>
      <w:r w:rsidR="00D62F96" w:rsidRPr="007D32B0">
        <w:rPr>
          <w:rFonts w:ascii="Times New Roman" w:eastAsia="Calibri" w:hAnsi="Times New Roman" w:cs="Times New Roman"/>
          <w:sz w:val="24"/>
          <w:szCs w:val="24"/>
          <w:lang w:val="ro-MD"/>
        </w:rPr>
        <w:t>(în cazul aplicării cotei de 6%)</w:t>
      </w:r>
      <w:r w:rsidRPr="007D32B0">
        <w:rPr>
          <w:rFonts w:ascii="Times New Roman" w:hAnsi="Times New Roman" w:cs="Times New Roman"/>
          <w:sz w:val="24"/>
          <w:szCs w:val="24"/>
          <w:lang w:val="ro-MD"/>
        </w:rPr>
        <w:t>,</w:t>
      </w:r>
      <w:r w:rsidRPr="00D848B6">
        <w:rPr>
          <w:rFonts w:ascii="Times New Roman" w:hAnsi="Times New Roman" w:cs="Times New Roman"/>
          <w:sz w:val="24"/>
          <w:szCs w:val="24"/>
          <w:lang w:val="ro-MD"/>
        </w:rPr>
        <w:t xml:space="preserve"> ceea ce constituie un </w:t>
      </w:r>
      <w:r w:rsidR="00E56F1F" w:rsidRPr="00D848B6">
        <w:rPr>
          <w:rFonts w:ascii="Times New Roman" w:hAnsi="Times New Roman" w:cs="Times New Roman"/>
          <w:sz w:val="24"/>
          <w:szCs w:val="24"/>
          <w:lang w:val="ro-MD"/>
        </w:rPr>
        <w:t xml:space="preserve">posibil </w:t>
      </w:r>
      <w:r w:rsidRPr="00C66493">
        <w:rPr>
          <w:rFonts w:ascii="Times New Roman" w:hAnsi="Times New Roman" w:cs="Times New Roman"/>
          <w:sz w:val="24"/>
          <w:szCs w:val="24"/>
          <w:lang w:val="ro-MD"/>
        </w:rPr>
        <w:t>venit ratat pentru buget.</w:t>
      </w:r>
    </w:p>
    <w:p w14:paraId="564AB488" w14:textId="699DB9ED" w:rsidR="006060A7" w:rsidRPr="00DD5F1D" w:rsidRDefault="006060A7" w:rsidP="00212F48">
      <w:pPr>
        <w:shd w:val="clear" w:color="auto" w:fill="FFFFFF" w:themeFill="background1"/>
        <w:tabs>
          <w:tab w:val="left" w:pos="284"/>
          <w:tab w:val="left" w:pos="425"/>
        </w:tabs>
        <w:spacing w:after="0" w:line="276" w:lineRule="auto"/>
        <w:ind w:left="1338"/>
        <w:jc w:val="right"/>
        <w:rPr>
          <w:rFonts w:ascii="Times New Roman" w:eastAsia="Calibri" w:hAnsi="Times New Roman" w:cs="Times New Roman"/>
          <w:b/>
          <w:szCs w:val="24"/>
          <w:lang w:val="ro-MD"/>
        </w:rPr>
      </w:pPr>
      <w:r w:rsidRPr="00DD5F1D">
        <w:rPr>
          <w:rFonts w:ascii="Times New Roman" w:eastAsia="Calibri" w:hAnsi="Times New Roman" w:cs="Times New Roman"/>
          <w:b/>
          <w:szCs w:val="24"/>
          <w:lang w:val="ro-MD"/>
        </w:rPr>
        <w:t xml:space="preserve">Tabelul nr. </w:t>
      </w:r>
      <w:r w:rsidR="0021536C" w:rsidRPr="00DD5F1D">
        <w:rPr>
          <w:rFonts w:ascii="Times New Roman" w:eastAsia="Calibri" w:hAnsi="Times New Roman" w:cs="Times New Roman"/>
          <w:b/>
          <w:szCs w:val="24"/>
          <w:lang w:val="ro-MD"/>
        </w:rPr>
        <w:t>7</w:t>
      </w:r>
    </w:p>
    <w:p w14:paraId="0AFCB32E" w14:textId="77777777" w:rsidR="006060A7" w:rsidRPr="00DD5F1D" w:rsidRDefault="006060A7" w:rsidP="006060A7">
      <w:pPr>
        <w:tabs>
          <w:tab w:val="left" w:pos="284"/>
          <w:tab w:val="left" w:pos="425"/>
        </w:tabs>
        <w:spacing w:after="120" w:line="276" w:lineRule="auto"/>
        <w:jc w:val="center"/>
        <w:rPr>
          <w:rFonts w:ascii="Times New Roman" w:eastAsia="Calibri" w:hAnsi="Times New Roman" w:cs="Times New Roman"/>
          <w:b/>
          <w:szCs w:val="24"/>
          <w:lang w:val="ro-MD"/>
        </w:rPr>
      </w:pPr>
      <w:r w:rsidRPr="00DD5F1D">
        <w:rPr>
          <w:rFonts w:ascii="Times New Roman" w:eastAsia="Calibri" w:hAnsi="Times New Roman" w:cs="Times New Roman"/>
          <w:b/>
          <w:szCs w:val="24"/>
          <w:lang w:val="ro-MD"/>
        </w:rPr>
        <w:t>Analiza privind divergențele între impozitul de venit calculat și cel reținut, mil. lei</w:t>
      </w:r>
    </w:p>
    <w:tbl>
      <w:tblPr>
        <w:tblStyle w:val="af1"/>
        <w:tblW w:w="5000" w:type="pct"/>
        <w:tblLook w:val="04A0" w:firstRow="1" w:lastRow="0" w:firstColumn="1" w:lastColumn="0" w:noHBand="0" w:noVBand="1"/>
      </w:tblPr>
      <w:tblGrid>
        <w:gridCol w:w="7610"/>
        <w:gridCol w:w="2414"/>
      </w:tblGrid>
      <w:tr w:rsidR="006060A7" w:rsidRPr="00DD5F1D" w14:paraId="0BBDE5C5" w14:textId="77777777" w:rsidTr="00F61234">
        <w:trPr>
          <w:trHeight w:val="281"/>
        </w:trPr>
        <w:tc>
          <w:tcPr>
            <w:tcW w:w="3796" w:type="pct"/>
          </w:tcPr>
          <w:p w14:paraId="1B72A329" w14:textId="77777777" w:rsidR="006060A7" w:rsidRPr="00DD5F1D" w:rsidRDefault="006060A7" w:rsidP="00100079">
            <w:pPr>
              <w:spacing w:line="276" w:lineRule="auto"/>
              <w:ind w:left="-18"/>
              <w:rPr>
                <w:rFonts w:ascii="Times New Roman" w:eastAsia="Times New Roman" w:hAnsi="Times New Roman" w:cs="Times New Roman"/>
                <w:b/>
                <w:sz w:val="20"/>
                <w:szCs w:val="24"/>
                <w:lang w:val="ro-MD"/>
              </w:rPr>
            </w:pPr>
            <w:r w:rsidRPr="00DD5F1D">
              <w:rPr>
                <w:rFonts w:ascii="Times New Roman" w:eastAsia="Times New Roman" w:hAnsi="Times New Roman" w:cs="Times New Roman"/>
                <w:b/>
                <w:sz w:val="20"/>
                <w:szCs w:val="24"/>
                <w:lang w:val="ro-MD"/>
              </w:rPr>
              <w:t>Indicatori</w:t>
            </w:r>
          </w:p>
        </w:tc>
        <w:tc>
          <w:tcPr>
            <w:tcW w:w="1204" w:type="pct"/>
          </w:tcPr>
          <w:p w14:paraId="17EA1F42" w14:textId="77777777" w:rsidR="006060A7" w:rsidRPr="00DD5F1D" w:rsidRDefault="006060A7" w:rsidP="00F61234">
            <w:pPr>
              <w:spacing w:line="276" w:lineRule="auto"/>
              <w:ind w:left="-18"/>
              <w:jc w:val="center"/>
              <w:rPr>
                <w:rFonts w:ascii="Times New Roman" w:eastAsia="Times New Roman" w:hAnsi="Times New Roman" w:cs="Times New Roman"/>
                <w:b/>
                <w:sz w:val="20"/>
                <w:szCs w:val="24"/>
                <w:lang w:val="ro-MD"/>
              </w:rPr>
            </w:pPr>
            <w:r w:rsidRPr="00DD5F1D">
              <w:rPr>
                <w:rFonts w:ascii="Times New Roman" w:eastAsia="Times New Roman" w:hAnsi="Times New Roman" w:cs="Times New Roman"/>
                <w:b/>
                <w:sz w:val="20"/>
                <w:szCs w:val="24"/>
                <w:lang w:val="ro-MD"/>
              </w:rPr>
              <w:t>Valoarea</w:t>
            </w:r>
          </w:p>
        </w:tc>
      </w:tr>
      <w:tr w:rsidR="006060A7" w:rsidRPr="00DD5F1D" w14:paraId="532C6E7C" w14:textId="77777777" w:rsidTr="00F61234">
        <w:trPr>
          <w:trHeight w:val="281"/>
        </w:trPr>
        <w:tc>
          <w:tcPr>
            <w:tcW w:w="3796" w:type="pct"/>
          </w:tcPr>
          <w:p w14:paraId="0F24724A" w14:textId="77777777" w:rsidR="006060A7" w:rsidRPr="00DD5F1D" w:rsidRDefault="006060A7" w:rsidP="00F61234">
            <w:pPr>
              <w:spacing w:line="276" w:lineRule="auto"/>
              <w:ind w:left="-18"/>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Nr. de beneficiari, persoane</w:t>
            </w:r>
          </w:p>
        </w:tc>
        <w:tc>
          <w:tcPr>
            <w:tcW w:w="1204" w:type="pct"/>
          </w:tcPr>
          <w:p w14:paraId="04412B72" w14:textId="792B9F08" w:rsidR="006060A7" w:rsidRPr="00DD5F1D" w:rsidRDefault="00D62F96" w:rsidP="00FC2F89">
            <w:pPr>
              <w:spacing w:line="276" w:lineRule="auto"/>
              <w:ind w:left="-18"/>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60</w:t>
            </w:r>
          </w:p>
        </w:tc>
      </w:tr>
      <w:tr w:rsidR="006060A7" w:rsidRPr="00DD5F1D" w14:paraId="1A5CF4E6" w14:textId="77777777" w:rsidTr="00F61234">
        <w:tc>
          <w:tcPr>
            <w:tcW w:w="3796" w:type="pct"/>
          </w:tcPr>
          <w:p w14:paraId="6A975C1E" w14:textId="695F6C98" w:rsidR="006060A7" w:rsidRPr="00DD5F1D" w:rsidRDefault="006060A7" w:rsidP="00F61234">
            <w:pPr>
              <w:spacing w:line="276" w:lineRule="auto"/>
              <w:ind w:left="-18"/>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Suma venitului din dividende, mil</w:t>
            </w:r>
            <w:r w:rsidR="00133EB3" w:rsidRPr="00DD5F1D">
              <w:rPr>
                <w:rFonts w:ascii="Times New Roman" w:eastAsia="Times New Roman" w:hAnsi="Times New Roman" w:cs="Times New Roman"/>
                <w:sz w:val="20"/>
                <w:szCs w:val="24"/>
                <w:lang w:val="ro-MD"/>
              </w:rPr>
              <w:t>.</w:t>
            </w:r>
            <w:r w:rsidRPr="00DD5F1D">
              <w:rPr>
                <w:rFonts w:ascii="Times New Roman" w:eastAsia="Times New Roman" w:hAnsi="Times New Roman" w:cs="Times New Roman"/>
                <w:sz w:val="20"/>
                <w:szCs w:val="24"/>
                <w:lang w:val="ro-MD"/>
              </w:rPr>
              <w:t xml:space="preserve"> lei</w:t>
            </w:r>
          </w:p>
        </w:tc>
        <w:tc>
          <w:tcPr>
            <w:tcW w:w="1204" w:type="pct"/>
          </w:tcPr>
          <w:p w14:paraId="4BB5D944" w14:textId="7BF874EA" w:rsidR="006060A7" w:rsidRPr="00DD5F1D" w:rsidRDefault="00FC2F89" w:rsidP="00FC2F89">
            <w:pPr>
              <w:spacing w:line="276" w:lineRule="auto"/>
              <w:ind w:left="-18"/>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41,5</w:t>
            </w:r>
          </w:p>
        </w:tc>
      </w:tr>
      <w:tr w:rsidR="006060A7" w:rsidRPr="00DD5F1D" w14:paraId="58287B41" w14:textId="77777777" w:rsidTr="00F61234">
        <w:tc>
          <w:tcPr>
            <w:tcW w:w="3796" w:type="pct"/>
          </w:tcPr>
          <w:p w14:paraId="7B2BE44F" w14:textId="18610F4C" w:rsidR="006060A7" w:rsidRPr="00DD5F1D" w:rsidRDefault="006060A7" w:rsidP="00F61234">
            <w:pPr>
              <w:spacing w:line="276" w:lineRule="auto"/>
              <w:ind w:left="-18"/>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Suma impozitului pe venit reținut, mil</w:t>
            </w:r>
            <w:r w:rsidR="00133EB3" w:rsidRPr="00DD5F1D">
              <w:rPr>
                <w:rFonts w:ascii="Times New Roman" w:eastAsia="Times New Roman" w:hAnsi="Times New Roman" w:cs="Times New Roman"/>
                <w:sz w:val="20"/>
                <w:szCs w:val="24"/>
                <w:lang w:val="ro-MD"/>
              </w:rPr>
              <w:t>.</w:t>
            </w:r>
            <w:r w:rsidRPr="00DD5F1D">
              <w:rPr>
                <w:rFonts w:ascii="Times New Roman" w:eastAsia="Times New Roman" w:hAnsi="Times New Roman" w:cs="Times New Roman"/>
                <w:sz w:val="20"/>
                <w:szCs w:val="24"/>
                <w:lang w:val="ro-MD"/>
              </w:rPr>
              <w:t xml:space="preserve"> lei</w:t>
            </w:r>
          </w:p>
        </w:tc>
        <w:tc>
          <w:tcPr>
            <w:tcW w:w="1204" w:type="pct"/>
          </w:tcPr>
          <w:p w14:paraId="5DE292D9" w14:textId="6555B460" w:rsidR="006060A7" w:rsidRPr="00DD5F1D" w:rsidRDefault="00FC2F89" w:rsidP="00FC2F89">
            <w:pPr>
              <w:spacing w:line="276" w:lineRule="auto"/>
              <w:ind w:left="-18"/>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1,6</w:t>
            </w:r>
          </w:p>
        </w:tc>
      </w:tr>
      <w:tr w:rsidR="006060A7" w:rsidRPr="00DD5F1D" w14:paraId="286F593F" w14:textId="77777777" w:rsidTr="00F61234">
        <w:tc>
          <w:tcPr>
            <w:tcW w:w="3796" w:type="pct"/>
          </w:tcPr>
          <w:p w14:paraId="240D4016" w14:textId="7313E58A" w:rsidR="006060A7" w:rsidRPr="00DD5F1D" w:rsidRDefault="006060A7" w:rsidP="00F61234">
            <w:pPr>
              <w:spacing w:line="276" w:lineRule="auto"/>
              <w:ind w:left="-18"/>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Impozitul pe venit (6%) calculat de audit, mil</w:t>
            </w:r>
            <w:r w:rsidR="00133EB3" w:rsidRPr="00DD5F1D">
              <w:rPr>
                <w:rFonts w:ascii="Times New Roman" w:eastAsia="Times New Roman" w:hAnsi="Times New Roman" w:cs="Times New Roman"/>
                <w:sz w:val="20"/>
                <w:szCs w:val="24"/>
                <w:lang w:val="ro-MD"/>
              </w:rPr>
              <w:t>.</w:t>
            </w:r>
            <w:r w:rsidRPr="00DD5F1D">
              <w:rPr>
                <w:rFonts w:ascii="Times New Roman" w:eastAsia="Times New Roman" w:hAnsi="Times New Roman" w:cs="Times New Roman"/>
                <w:sz w:val="20"/>
                <w:szCs w:val="24"/>
                <w:lang w:val="ro-MD"/>
              </w:rPr>
              <w:t xml:space="preserve"> lei</w:t>
            </w:r>
          </w:p>
        </w:tc>
        <w:tc>
          <w:tcPr>
            <w:tcW w:w="1204" w:type="pct"/>
          </w:tcPr>
          <w:p w14:paraId="2B604CCF" w14:textId="08A13AEA" w:rsidR="006060A7" w:rsidRPr="00DD5F1D" w:rsidRDefault="00FC2F89" w:rsidP="00FC2F89">
            <w:pPr>
              <w:spacing w:line="276" w:lineRule="auto"/>
              <w:ind w:left="-18"/>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2,5</w:t>
            </w:r>
          </w:p>
        </w:tc>
      </w:tr>
      <w:tr w:rsidR="006060A7" w:rsidRPr="00DD5F1D" w14:paraId="4A472759" w14:textId="77777777" w:rsidTr="00F61234">
        <w:tc>
          <w:tcPr>
            <w:tcW w:w="3796" w:type="pct"/>
          </w:tcPr>
          <w:p w14:paraId="52BF9AA1" w14:textId="2A29B3E4" w:rsidR="006060A7" w:rsidRPr="00DD5F1D" w:rsidRDefault="006060A7" w:rsidP="005713AD">
            <w:pPr>
              <w:spacing w:line="276" w:lineRule="auto"/>
              <w:ind w:left="-18"/>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Divergen</w:t>
            </w:r>
            <w:r w:rsidR="005713AD" w:rsidRPr="00DD5F1D">
              <w:rPr>
                <w:rFonts w:ascii="Times New Roman" w:eastAsia="Times New Roman" w:hAnsi="Times New Roman" w:cs="Times New Roman"/>
                <w:sz w:val="20"/>
                <w:szCs w:val="24"/>
                <w:lang w:val="ro-MD"/>
              </w:rPr>
              <w:t>ț</w:t>
            </w:r>
            <w:r w:rsidRPr="00DD5F1D">
              <w:rPr>
                <w:rFonts w:ascii="Times New Roman" w:eastAsia="Times New Roman" w:hAnsi="Times New Roman" w:cs="Times New Roman"/>
                <w:sz w:val="20"/>
                <w:szCs w:val="24"/>
                <w:lang w:val="ro-MD"/>
              </w:rPr>
              <w:t>e (impozitul calculat de audit - suma impozitului reținut), mil</w:t>
            </w:r>
            <w:r w:rsidR="005713AD" w:rsidRPr="00DD5F1D">
              <w:rPr>
                <w:rFonts w:ascii="Times New Roman" w:eastAsia="Times New Roman" w:hAnsi="Times New Roman" w:cs="Times New Roman"/>
                <w:sz w:val="20"/>
                <w:szCs w:val="24"/>
                <w:lang w:val="ro-MD"/>
              </w:rPr>
              <w:t>.</w:t>
            </w:r>
            <w:r w:rsidRPr="00DD5F1D">
              <w:rPr>
                <w:rFonts w:ascii="Times New Roman" w:eastAsia="Times New Roman" w:hAnsi="Times New Roman" w:cs="Times New Roman"/>
                <w:sz w:val="20"/>
                <w:szCs w:val="24"/>
                <w:lang w:val="ro-MD"/>
              </w:rPr>
              <w:t xml:space="preserve"> lei</w:t>
            </w:r>
          </w:p>
        </w:tc>
        <w:tc>
          <w:tcPr>
            <w:tcW w:w="1204" w:type="pct"/>
          </w:tcPr>
          <w:p w14:paraId="1B9BFD0A" w14:textId="4C27AE73" w:rsidR="006060A7" w:rsidRPr="00DD5F1D" w:rsidRDefault="00FC2F89" w:rsidP="00FC2F89">
            <w:pPr>
              <w:spacing w:line="276" w:lineRule="auto"/>
              <w:ind w:left="-18"/>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0,9</w:t>
            </w:r>
          </w:p>
        </w:tc>
      </w:tr>
    </w:tbl>
    <w:p w14:paraId="26BD5C72" w14:textId="14A74E1C" w:rsidR="006060A7" w:rsidRPr="00DD5F1D" w:rsidRDefault="006060A7" w:rsidP="006060A7">
      <w:pPr>
        <w:pStyle w:val="a8"/>
        <w:tabs>
          <w:tab w:val="left" w:pos="284"/>
          <w:tab w:val="left" w:pos="425"/>
        </w:tabs>
        <w:spacing w:after="120" w:line="276" w:lineRule="auto"/>
        <w:rPr>
          <w:rFonts w:ascii="Times New Roman" w:hAnsi="Times New Roman" w:cs="Times New Roman"/>
          <w:i/>
          <w:szCs w:val="24"/>
          <w:lang w:val="ro-MD"/>
        </w:rPr>
      </w:pPr>
      <w:r w:rsidRPr="00DD5F1D">
        <w:rPr>
          <w:rFonts w:ascii="Times New Roman" w:hAnsi="Times New Roman" w:cs="Times New Roman"/>
          <w:b/>
          <w:i/>
          <w:szCs w:val="24"/>
          <w:lang w:val="ro-MD"/>
        </w:rPr>
        <w:t>Sursa:</w:t>
      </w:r>
      <w:r w:rsidRPr="00DD5F1D">
        <w:rPr>
          <w:rFonts w:ascii="Times New Roman" w:hAnsi="Times New Roman" w:cs="Times New Roman"/>
          <w:i/>
          <w:szCs w:val="24"/>
          <w:lang w:val="ro-MD"/>
        </w:rPr>
        <w:t xml:space="preserve"> Elaborat de audit în baza datelor prezentate de SFS pentru peri</w:t>
      </w:r>
      <w:r w:rsidR="005C7D12" w:rsidRPr="00DD5F1D">
        <w:rPr>
          <w:rFonts w:ascii="Times New Roman" w:hAnsi="Times New Roman" w:cs="Times New Roman"/>
          <w:i/>
          <w:szCs w:val="24"/>
          <w:lang w:val="ro-MD"/>
        </w:rPr>
        <w:t xml:space="preserve">oada </w:t>
      </w:r>
      <w:r w:rsidRPr="00DD5F1D">
        <w:rPr>
          <w:rFonts w:ascii="Times New Roman" w:hAnsi="Times New Roman" w:cs="Times New Roman"/>
          <w:i/>
          <w:szCs w:val="24"/>
          <w:lang w:val="ro-MD"/>
        </w:rPr>
        <w:t>2023</w:t>
      </w:r>
      <w:r w:rsidR="005713AD" w:rsidRPr="00DD5F1D">
        <w:rPr>
          <w:rFonts w:ascii="Times New Roman" w:hAnsi="Times New Roman" w:cs="Times New Roman"/>
          <w:i/>
          <w:szCs w:val="24"/>
          <w:lang w:val="ro-MD"/>
        </w:rPr>
        <w:t>.</w:t>
      </w:r>
    </w:p>
    <w:p w14:paraId="3FC22B57" w14:textId="0B7D77E2" w:rsidR="00D62F96" w:rsidRPr="00DD5F1D" w:rsidRDefault="00F41D17" w:rsidP="00D62F96">
      <w:pPr>
        <w:pStyle w:val="Default"/>
        <w:spacing w:line="276" w:lineRule="auto"/>
        <w:jc w:val="both"/>
        <w:rPr>
          <w:i/>
          <w:lang w:val="ro-MD"/>
        </w:rPr>
      </w:pPr>
      <w:r w:rsidRPr="00DD5F1D">
        <w:rPr>
          <w:i/>
          <w:lang w:val="ro-MD"/>
        </w:rPr>
        <w:t xml:space="preserve">Notă: </w:t>
      </w:r>
      <w:r w:rsidR="00D62F96" w:rsidRPr="00DD5F1D">
        <w:rPr>
          <w:i/>
          <w:lang w:val="ro-MD"/>
        </w:rPr>
        <w:t>Potrivit motivațiilor SFS, se menționează că, prin prisma prevederilor art. 90</w:t>
      </w:r>
      <w:r w:rsidR="00D62F96" w:rsidRPr="007D32B0">
        <w:rPr>
          <w:i/>
          <w:vertAlign w:val="superscript"/>
          <w:lang w:val="ro-MD"/>
        </w:rPr>
        <w:t xml:space="preserve">1 </w:t>
      </w:r>
      <w:r w:rsidR="00D62F96" w:rsidRPr="00DD5F1D">
        <w:rPr>
          <w:i/>
          <w:lang w:val="ro-MD"/>
        </w:rPr>
        <w:t xml:space="preserve">Cod fiscal, cota impozitului pe venit reținut din suma dividendelor achitate este direct corelată cu perioada în care a fost obținut profitul nerepartizat, după cum urmează: </w:t>
      </w:r>
    </w:p>
    <w:p w14:paraId="17058957" w14:textId="77777777" w:rsidR="00D62F96" w:rsidRPr="00DD5F1D" w:rsidRDefault="00D62F96" w:rsidP="00D62F96">
      <w:pPr>
        <w:autoSpaceDE w:val="0"/>
        <w:autoSpaceDN w:val="0"/>
        <w:adjustRightInd w:val="0"/>
        <w:spacing w:after="0" w:line="276" w:lineRule="auto"/>
        <w:rPr>
          <w:rFonts w:ascii="Times New Roman" w:hAnsi="Times New Roman" w:cs="Times New Roman"/>
          <w:i/>
          <w:color w:val="000000"/>
          <w:sz w:val="24"/>
          <w:szCs w:val="24"/>
          <w:lang w:val="ro-MD"/>
        </w:rPr>
      </w:pPr>
      <w:r w:rsidRPr="00DD5F1D">
        <w:rPr>
          <w:rFonts w:ascii="Times New Roman" w:hAnsi="Times New Roman" w:cs="Times New Roman"/>
          <w:i/>
          <w:color w:val="000000"/>
          <w:sz w:val="24"/>
          <w:szCs w:val="24"/>
          <w:lang w:val="ro-MD"/>
        </w:rPr>
        <w:t xml:space="preserve">a) Cota 0 – aferent profitului obținut pînă în anul 2008; </w:t>
      </w:r>
    </w:p>
    <w:p w14:paraId="4A729530" w14:textId="77777777" w:rsidR="00D62F96" w:rsidRPr="00DD5F1D" w:rsidRDefault="00D62F96" w:rsidP="00D62F96">
      <w:pPr>
        <w:autoSpaceDE w:val="0"/>
        <w:autoSpaceDN w:val="0"/>
        <w:adjustRightInd w:val="0"/>
        <w:spacing w:after="0" w:line="276" w:lineRule="auto"/>
        <w:rPr>
          <w:rFonts w:ascii="Times New Roman" w:hAnsi="Times New Roman" w:cs="Times New Roman"/>
          <w:i/>
          <w:color w:val="000000"/>
          <w:sz w:val="24"/>
          <w:szCs w:val="24"/>
          <w:lang w:val="ro-MD"/>
        </w:rPr>
      </w:pPr>
      <w:r w:rsidRPr="00DD5F1D">
        <w:rPr>
          <w:rFonts w:ascii="Times New Roman" w:hAnsi="Times New Roman" w:cs="Times New Roman"/>
          <w:i/>
          <w:color w:val="000000"/>
          <w:sz w:val="24"/>
          <w:szCs w:val="24"/>
          <w:lang w:val="ro-MD"/>
        </w:rPr>
        <w:t xml:space="preserve">b) Cota 15% - aferent profitului obținut în perioada 2008-2011 inclusiv; </w:t>
      </w:r>
    </w:p>
    <w:p w14:paraId="28D23053" w14:textId="77777777" w:rsidR="00D62F96" w:rsidRPr="00DD5F1D" w:rsidRDefault="00D62F96" w:rsidP="00D62F96">
      <w:pPr>
        <w:autoSpaceDE w:val="0"/>
        <w:autoSpaceDN w:val="0"/>
        <w:adjustRightInd w:val="0"/>
        <w:spacing w:after="0" w:line="276" w:lineRule="auto"/>
        <w:rPr>
          <w:rFonts w:ascii="Times New Roman" w:hAnsi="Times New Roman" w:cs="Times New Roman"/>
          <w:i/>
          <w:color w:val="000000"/>
          <w:sz w:val="24"/>
          <w:szCs w:val="24"/>
          <w:lang w:val="ro-MD"/>
        </w:rPr>
      </w:pPr>
      <w:r w:rsidRPr="00DD5F1D">
        <w:rPr>
          <w:rFonts w:ascii="Times New Roman" w:hAnsi="Times New Roman" w:cs="Times New Roman"/>
          <w:i/>
          <w:color w:val="000000"/>
          <w:sz w:val="24"/>
          <w:szCs w:val="24"/>
          <w:lang w:val="ro-MD"/>
        </w:rPr>
        <w:t xml:space="preserve">c) Cota 6% - aferent profitului obținut în perioada 2012-prezent. </w:t>
      </w:r>
    </w:p>
    <w:p w14:paraId="68A1723E" w14:textId="570A4A15" w:rsidR="00141B7B" w:rsidRPr="00DD5F1D" w:rsidRDefault="00D62F96" w:rsidP="00D62F96">
      <w:pPr>
        <w:tabs>
          <w:tab w:val="left" w:pos="284"/>
          <w:tab w:val="left" w:pos="425"/>
        </w:tabs>
        <w:spacing w:after="120" w:line="276" w:lineRule="auto"/>
        <w:jc w:val="both"/>
        <w:rPr>
          <w:rFonts w:ascii="Times New Roman" w:hAnsi="Times New Roman" w:cs="Times New Roman"/>
          <w:sz w:val="24"/>
          <w:szCs w:val="24"/>
          <w:lang w:val="ro-MD"/>
        </w:rPr>
      </w:pPr>
      <w:r w:rsidRPr="00DD5F1D">
        <w:rPr>
          <w:rFonts w:ascii="Times New Roman" w:hAnsi="Times New Roman" w:cs="Times New Roman"/>
          <w:i/>
          <w:color w:val="000000"/>
          <w:sz w:val="24"/>
          <w:szCs w:val="24"/>
          <w:lang w:val="ro-MD"/>
        </w:rPr>
        <w:t>Prin urmare, motivele care au stat la baza devierilor în aspectul reținerii impozitului pe venit din dividendele îndreptate spre achitare, nu poate fi stabilită, acest fapt fiind posibil de asigurat doar în baza documentelor disponibile la contribuabili</w:t>
      </w:r>
      <w:r w:rsidRPr="00DD5F1D">
        <w:rPr>
          <w:rFonts w:ascii="Times New Roman" w:hAnsi="Times New Roman" w:cs="Times New Roman"/>
          <w:color w:val="000000"/>
          <w:sz w:val="24"/>
          <w:szCs w:val="24"/>
          <w:lang w:val="ro-MD"/>
        </w:rPr>
        <w:t>.</w:t>
      </w:r>
    </w:p>
    <w:p w14:paraId="14A89795" w14:textId="118775BA" w:rsidR="006060A7" w:rsidRPr="00DD5F1D" w:rsidRDefault="006060A7" w:rsidP="006060A7">
      <w:pPr>
        <w:tabs>
          <w:tab w:val="left" w:pos="284"/>
          <w:tab w:val="left" w:pos="425"/>
        </w:tabs>
        <w:spacing w:after="12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Se menționează că situații similare au fost constatate de audit și pentru anii 2020-2022, astfel prin HCC</w:t>
      </w:r>
      <w:r w:rsidR="0065789F" w:rsidRPr="00DD5F1D">
        <w:rPr>
          <w:rStyle w:val="a5"/>
          <w:rFonts w:ascii="Times New Roman" w:hAnsi="Times New Roman" w:cs="Times New Roman"/>
          <w:sz w:val="24"/>
          <w:szCs w:val="24"/>
          <w:lang w:val="ro-MD"/>
        </w:rPr>
        <w:footnoteReference w:id="25"/>
      </w:r>
      <w:r w:rsidRPr="00DD5F1D">
        <w:rPr>
          <w:rFonts w:ascii="Times New Roman" w:hAnsi="Times New Roman" w:cs="Times New Roman"/>
          <w:sz w:val="24"/>
          <w:szCs w:val="24"/>
          <w:lang w:val="ro-MD"/>
        </w:rPr>
        <w:t xml:space="preserve"> au fost înaintate recomandări</w:t>
      </w:r>
      <w:r w:rsidRPr="00DD5F1D">
        <w:rPr>
          <w:rFonts w:ascii="Times New Roman" w:hAnsi="Times New Roman" w:cs="Times New Roman"/>
          <w:i/>
          <w:sz w:val="24"/>
          <w:szCs w:val="24"/>
          <w:lang w:val="ro-MD"/>
        </w:rPr>
        <w:t xml:space="preserve"> de monitorizare și conformare a contribuabililor, în vederea colectării veniturilor aferente impozitului pe venit din dividendele achitate și virate la bugetul de stat. </w:t>
      </w:r>
      <w:r w:rsidRPr="00DD5F1D">
        <w:rPr>
          <w:rFonts w:ascii="Times New Roman" w:hAnsi="Times New Roman" w:cs="Times New Roman"/>
          <w:sz w:val="24"/>
          <w:szCs w:val="24"/>
          <w:lang w:val="ro-MD"/>
        </w:rPr>
        <w:t>Ca urmare a recomandărilor înaintate,</w:t>
      </w:r>
      <w:r w:rsidRPr="00DD5F1D">
        <w:rPr>
          <w:rFonts w:ascii="Times New Roman" w:hAnsi="Times New Roman" w:cs="Times New Roman"/>
          <w:i/>
          <w:sz w:val="24"/>
          <w:szCs w:val="24"/>
          <w:lang w:val="ro-MD"/>
        </w:rPr>
        <w:t xml:space="preserve"> </w:t>
      </w:r>
      <w:r w:rsidRPr="00DD5F1D">
        <w:rPr>
          <w:rFonts w:ascii="Times New Roman" w:hAnsi="Times New Roman" w:cs="Times New Roman"/>
          <w:sz w:val="24"/>
          <w:szCs w:val="24"/>
          <w:lang w:val="ro-MD"/>
        </w:rPr>
        <w:t>SFS a întreprins măsuri de conformare, în urma cărora a fost calculat suplimentar la buget impozitul pe venit reținut din suma dividendelor achitate (pentru perioa</w:t>
      </w:r>
      <w:r w:rsidR="0065789F" w:rsidRPr="00DD5F1D">
        <w:rPr>
          <w:rFonts w:ascii="Times New Roman" w:hAnsi="Times New Roman" w:cs="Times New Roman"/>
          <w:sz w:val="24"/>
          <w:szCs w:val="24"/>
          <w:lang w:val="ro-MD"/>
        </w:rPr>
        <w:t>da 2020-2022), în sumă</w:t>
      </w:r>
      <w:r w:rsidR="00FC2F89" w:rsidRPr="00DD5F1D">
        <w:rPr>
          <w:rFonts w:ascii="Times New Roman" w:hAnsi="Times New Roman" w:cs="Times New Roman"/>
          <w:sz w:val="24"/>
          <w:szCs w:val="24"/>
          <w:lang w:val="ro-MD"/>
        </w:rPr>
        <w:t xml:space="preserve"> de 1,3</w:t>
      </w:r>
      <w:r w:rsidRPr="00DD5F1D">
        <w:rPr>
          <w:rFonts w:ascii="Times New Roman" w:hAnsi="Times New Roman" w:cs="Times New Roman"/>
          <w:sz w:val="24"/>
          <w:szCs w:val="24"/>
          <w:lang w:val="ro-MD"/>
        </w:rPr>
        <w:t xml:space="preserve"> mil. lei. </w:t>
      </w:r>
    </w:p>
    <w:p w14:paraId="6535C886" w14:textId="5A0B59C5" w:rsidR="00FC2F89" w:rsidRPr="00DD5F1D" w:rsidRDefault="00C9053B" w:rsidP="00737C74">
      <w:pPr>
        <w:tabs>
          <w:tab w:val="left" w:pos="7809"/>
        </w:tabs>
        <w:spacing w:after="12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Auditul a efectuat o analiză pentru 30 </w:t>
      </w:r>
      <w:r w:rsidR="00DB5EB7" w:rsidRPr="00DD5F1D">
        <w:rPr>
          <w:rFonts w:ascii="Times New Roman" w:eastAsia="Calibri" w:hAnsi="Times New Roman" w:cs="Times New Roman"/>
          <w:sz w:val="24"/>
          <w:szCs w:val="24"/>
          <w:lang w:val="ro-MD"/>
        </w:rPr>
        <w:t xml:space="preserve">de </w:t>
      </w:r>
      <w:r w:rsidR="006060A7" w:rsidRPr="00DD5F1D">
        <w:rPr>
          <w:rFonts w:ascii="Times New Roman" w:eastAsia="Calibri" w:hAnsi="Times New Roman" w:cs="Times New Roman"/>
          <w:sz w:val="24"/>
          <w:szCs w:val="24"/>
          <w:lang w:val="ro-MD"/>
        </w:rPr>
        <w:t>agenți economici ce au achitat dividende</w:t>
      </w:r>
      <w:r w:rsidR="00D62F96" w:rsidRPr="00DD5F1D">
        <w:rPr>
          <w:rFonts w:ascii="Times New Roman" w:eastAsia="Calibri" w:hAnsi="Times New Roman" w:cs="Times New Roman"/>
          <w:sz w:val="24"/>
          <w:szCs w:val="24"/>
          <w:lang w:val="ro-MD"/>
        </w:rPr>
        <w:t xml:space="preserve"> în sumă de 135,4 mil. lei în anul 2022 și 82,3 mil</w:t>
      </w:r>
      <w:r w:rsidR="00FC2F89" w:rsidRPr="00DD5F1D">
        <w:rPr>
          <w:rFonts w:ascii="Times New Roman" w:eastAsia="Calibri" w:hAnsi="Times New Roman" w:cs="Times New Roman"/>
          <w:sz w:val="24"/>
          <w:szCs w:val="24"/>
          <w:lang w:val="ro-MD"/>
        </w:rPr>
        <w:t>.</w:t>
      </w:r>
      <w:r w:rsidR="00D62F96" w:rsidRPr="00DD5F1D">
        <w:rPr>
          <w:rFonts w:ascii="Times New Roman" w:eastAsia="Calibri" w:hAnsi="Times New Roman" w:cs="Times New Roman"/>
          <w:sz w:val="24"/>
          <w:szCs w:val="24"/>
          <w:lang w:val="ro-MD"/>
        </w:rPr>
        <w:t xml:space="preserve"> lei în anul 2023</w:t>
      </w:r>
      <w:r w:rsidR="006060A7" w:rsidRPr="00DD5F1D">
        <w:rPr>
          <w:rFonts w:ascii="Times New Roman" w:eastAsia="Calibri" w:hAnsi="Times New Roman" w:cs="Times New Roman"/>
          <w:sz w:val="24"/>
          <w:szCs w:val="24"/>
          <w:lang w:val="ro-MD"/>
        </w:rPr>
        <w:t>, cu informația aferentă a 3</w:t>
      </w:r>
      <w:r w:rsidR="00DB5EB7" w:rsidRPr="00DD5F1D">
        <w:rPr>
          <w:rFonts w:ascii="Times New Roman" w:eastAsia="Calibri" w:hAnsi="Times New Roman" w:cs="Times New Roman"/>
          <w:sz w:val="24"/>
          <w:szCs w:val="24"/>
          <w:lang w:val="ro-MD"/>
        </w:rPr>
        <w:t xml:space="preserve"> </w:t>
      </w:r>
      <w:r w:rsidR="006060A7" w:rsidRPr="00DD5F1D">
        <w:rPr>
          <w:rFonts w:ascii="Times New Roman" w:eastAsia="Calibri" w:hAnsi="Times New Roman" w:cs="Times New Roman"/>
          <w:sz w:val="24"/>
          <w:szCs w:val="24"/>
          <w:lang w:val="ro-MD"/>
        </w:rPr>
        <w:t xml:space="preserve">784 </w:t>
      </w:r>
      <w:r w:rsidR="00DB5EB7" w:rsidRPr="00DD5F1D">
        <w:rPr>
          <w:rFonts w:ascii="Times New Roman" w:eastAsia="Calibri" w:hAnsi="Times New Roman" w:cs="Times New Roman"/>
          <w:sz w:val="24"/>
          <w:szCs w:val="24"/>
          <w:lang w:val="ro-MD"/>
        </w:rPr>
        <w:t xml:space="preserve">de </w:t>
      </w:r>
      <w:r w:rsidR="006060A7" w:rsidRPr="00DD5F1D">
        <w:rPr>
          <w:rFonts w:ascii="Times New Roman" w:eastAsia="Calibri" w:hAnsi="Times New Roman" w:cs="Times New Roman"/>
          <w:sz w:val="24"/>
          <w:szCs w:val="24"/>
          <w:lang w:val="ro-MD"/>
        </w:rPr>
        <w:t xml:space="preserve">angajați, cu privire la salariul achitat, în comparație cu salariul minim și </w:t>
      </w:r>
      <w:r w:rsidR="00161113" w:rsidRPr="00DD5F1D">
        <w:rPr>
          <w:rFonts w:ascii="Times New Roman" w:eastAsia="Calibri" w:hAnsi="Times New Roman" w:cs="Times New Roman"/>
          <w:sz w:val="24"/>
          <w:szCs w:val="24"/>
          <w:lang w:val="ro-MD"/>
        </w:rPr>
        <w:t xml:space="preserve">cel </w:t>
      </w:r>
      <w:r w:rsidR="006060A7" w:rsidRPr="00DD5F1D">
        <w:rPr>
          <w:rFonts w:ascii="Times New Roman" w:eastAsia="Calibri" w:hAnsi="Times New Roman" w:cs="Times New Roman"/>
          <w:sz w:val="24"/>
          <w:szCs w:val="24"/>
          <w:lang w:val="ro-MD"/>
        </w:rPr>
        <w:t>mediu pe economie pen</w:t>
      </w:r>
      <w:r w:rsidR="00737C74" w:rsidRPr="00DD5F1D">
        <w:rPr>
          <w:rFonts w:ascii="Times New Roman" w:eastAsia="Calibri" w:hAnsi="Times New Roman" w:cs="Times New Roman"/>
          <w:sz w:val="24"/>
          <w:szCs w:val="24"/>
          <w:lang w:val="ro-MD"/>
        </w:rPr>
        <w:t>tru anul 2022 și</w:t>
      </w:r>
      <w:r w:rsidR="00161113" w:rsidRPr="00DD5F1D">
        <w:rPr>
          <w:rFonts w:ascii="Times New Roman" w:eastAsia="Calibri" w:hAnsi="Times New Roman" w:cs="Times New Roman"/>
          <w:sz w:val="24"/>
          <w:szCs w:val="24"/>
          <w:lang w:val="ro-MD"/>
        </w:rPr>
        <w:t>,</w:t>
      </w:r>
      <w:r w:rsidR="00737C74" w:rsidRPr="00DD5F1D">
        <w:rPr>
          <w:rFonts w:ascii="Times New Roman" w:eastAsia="Calibri" w:hAnsi="Times New Roman" w:cs="Times New Roman"/>
          <w:sz w:val="24"/>
          <w:szCs w:val="24"/>
          <w:lang w:val="ro-MD"/>
        </w:rPr>
        <w:t xml:space="preserve"> respectiv</w:t>
      </w:r>
      <w:r w:rsidR="00161113" w:rsidRPr="00DD5F1D">
        <w:rPr>
          <w:rFonts w:ascii="Times New Roman" w:eastAsia="Calibri" w:hAnsi="Times New Roman" w:cs="Times New Roman"/>
          <w:sz w:val="24"/>
          <w:szCs w:val="24"/>
          <w:lang w:val="ro-MD"/>
        </w:rPr>
        <w:t>,</w:t>
      </w:r>
      <w:r w:rsidR="00737C74" w:rsidRPr="00DD5F1D">
        <w:rPr>
          <w:rFonts w:ascii="Times New Roman" w:eastAsia="Calibri" w:hAnsi="Times New Roman" w:cs="Times New Roman"/>
          <w:sz w:val="24"/>
          <w:szCs w:val="24"/>
          <w:lang w:val="ro-MD"/>
        </w:rPr>
        <w:t xml:space="preserve"> 2023</w:t>
      </w:r>
      <w:r w:rsidR="006060A7" w:rsidRPr="00DD5F1D">
        <w:rPr>
          <w:rFonts w:ascii="Times New Roman" w:eastAsia="Calibri" w:hAnsi="Times New Roman" w:cs="Times New Roman"/>
          <w:sz w:val="24"/>
          <w:szCs w:val="24"/>
          <w:lang w:val="ro-MD"/>
        </w:rPr>
        <w:t>.</w:t>
      </w:r>
      <w:r w:rsidR="0065789F" w:rsidRPr="00DD5F1D">
        <w:rPr>
          <w:rFonts w:ascii="Times New Roman" w:eastAsia="Calibri" w:hAnsi="Times New Roman" w:cs="Times New Roman"/>
          <w:sz w:val="24"/>
          <w:szCs w:val="24"/>
          <w:lang w:val="ro-MD"/>
        </w:rPr>
        <w:t xml:space="preserve"> Astfel, s-a </w:t>
      </w:r>
      <w:r w:rsidR="00737C74" w:rsidRPr="00DD5F1D">
        <w:rPr>
          <w:rFonts w:ascii="Times New Roman" w:eastAsia="Calibri" w:hAnsi="Times New Roman" w:cs="Times New Roman"/>
          <w:sz w:val="24"/>
          <w:szCs w:val="24"/>
          <w:lang w:val="ro-MD"/>
        </w:rPr>
        <w:t>constat</w:t>
      </w:r>
      <w:r w:rsidR="0065789F" w:rsidRPr="00DD5F1D">
        <w:rPr>
          <w:rFonts w:ascii="Times New Roman" w:eastAsia="Calibri" w:hAnsi="Times New Roman" w:cs="Times New Roman"/>
          <w:sz w:val="24"/>
          <w:szCs w:val="24"/>
          <w:lang w:val="ro-MD"/>
        </w:rPr>
        <w:t>at</w:t>
      </w:r>
      <w:r w:rsidR="00737C74" w:rsidRPr="00DD5F1D">
        <w:rPr>
          <w:rFonts w:ascii="Times New Roman" w:eastAsia="Calibri" w:hAnsi="Times New Roman" w:cs="Times New Roman"/>
          <w:sz w:val="24"/>
          <w:szCs w:val="24"/>
          <w:lang w:val="ro-MD"/>
        </w:rPr>
        <w:t xml:space="preserve"> că în anul </w:t>
      </w:r>
      <w:r w:rsidR="00737C74" w:rsidRPr="00D848B6">
        <w:rPr>
          <w:rFonts w:ascii="Times New Roman" w:eastAsia="Calibri" w:hAnsi="Times New Roman" w:cs="Times New Roman"/>
          <w:sz w:val="24"/>
          <w:szCs w:val="24"/>
          <w:lang w:val="ro-MD"/>
        </w:rPr>
        <w:t xml:space="preserve">2023 </w:t>
      </w:r>
      <w:r w:rsidR="00737C74" w:rsidRPr="007D32B0">
        <w:rPr>
          <w:rFonts w:ascii="Times New Roman" w:eastAsia="Calibri" w:hAnsi="Times New Roman" w:cs="Times New Roman"/>
          <w:sz w:val="24"/>
          <w:szCs w:val="24"/>
          <w:lang w:val="ro-MD"/>
        </w:rPr>
        <w:t xml:space="preserve">doar în cazul a 4 agenți economici, cu un număr de 265 </w:t>
      </w:r>
      <w:r w:rsidR="00161113" w:rsidRPr="007D32B0">
        <w:rPr>
          <w:rFonts w:ascii="Times New Roman" w:eastAsia="Calibri" w:hAnsi="Times New Roman" w:cs="Times New Roman"/>
          <w:sz w:val="24"/>
          <w:szCs w:val="24"/>
          <w:lang w:val="ro-MD"/>
        </w:rPr>
        <w:t xml:space="preserve">de </w:t>
      </w:r>
      <w:r w:rsidR="00737C74" w:rsidRPr="007D32B0">
        <w:rPr>
          <w:rFonts w:ascii="Times New Roman" w:eastAsia="Calibri" w:hAnsi="Times New Roman" w:cs="Times New Roman"/>
          <w:sz w:val="24"/>
          <w:szCs w:val="24"/>
          <w:lang w:val="ro-MD"/>
        </w:rPr>
        <w:t>angajați, au fost achitate salarii mai mari sau egale cu salariul mediu pe economie</w:t>
      </w:r>
      <w:r w:rsidR="00737C74" w:rsidRPr="00D848B6">
        <w:rPr>
          <w:rFonts w:ascii="Times New Roman" w:eastAsia="Calibri" w:hAnsi="Times New Roman" w:cs="Times New Roman"/>
          <w:sz w:val="24"/>
          <w:szCs w:val="24"/>
          <w:lang w:val="ro-MD"/>
        </w:rPr>
        <w:t xml:space="preserve">, </w:t>
      </w:r>
      <w:r w:rsidR="00C7582D" w:rsidRPr="007D32B0">
        <w:rPr>
          <w:rFonts w:ascii="Times New Roman" w:eastAsia="Calibri" w:hAnsi="Times New Roman" w:cs="Times New Roman"/>
          <w:sz w:val="24"/>
          <w:szCs w:val="24"/>
          <w:lang w:val="ro-MD"/>
        </w:rPr>
        <w:t>în cazul a 23 de companii, au fost achitate salarii mai mici decât salariul mediu pe economie</w:t>
      </w:r>
      <w:r w:rsidR="00C7582D" w:rsidRPr="00D848B6">
        <w:rPr>
          <w:rFonts w:ascii="Times New Roman" w:eastAsia="Calibri" w:hAnsi="Times New Roman" w:cs="Times New Roman"/>
          <w:sz w:val="24"/>
          <w:szCs w:val="24"/>
          <w:lang w:val="ro-MD"/>
        </w:rPr>
        <w:t xml:space="preserve">, </w:t>
      </w:r>
      <w:r w:rsidR="00C7582D" w:rsidRPr="007D32B0">
        <w:rPr>
          <w:rFonts w:ascii="Times New Roman" w:eastAsia="Calibri" w:hAnsi="Times New Roman" w:cs="Times New Roman"/>
          <w:sz w:val="24"/>
          <w:szCs w:val="24"/>
          <w:lang w:val="ro-MD"/>
        </w:rPr>
        <w:t>iar</w:t>
      </w:r>
      <w:r w:rsidR="00C7582D" w:rsidRPr="00D848B6">
        <w:rPr>
          <w:rFonts w:ascii="Times New Roman" w:eastAsia="Calibri" w:hAnsi="Times New Roman" w:cs="Times New Roman"/>
          <w:sz w:val="24"/>
          <w:szCs w:val="24"/>
          <w:lang w:val="ro-MD"/>
        </w:rPr>
        <w:t xml:space="preserve"> </w:t>
      </w:r>
      <w:r w:rsidR="00737C74" w:rsidRPr="00D848B6">
        <w:rPr>
          <w:rFonts w:ascii="Times New Roman" w:eastAsia="Calibri" w:hAnsi="Times New Roman" w:cs="Times New Roman"/>
          <w:sz w:val="24"/>
          <w:szCs w:val="24"/>
          <w:lang w:val="ro-MD"/>
        </w:rPr>
        <w:t>în 3 cazuri au fost achitate salarii mai mici decât salariul minim pe economie.</w:t>
      </w:r>
      <w:r w:rsidR="00737C74" w:rsidRPr="00DD5F1D">
        <w:rPr>
          <w:rFonts w:ascii="Times New Roman" w:eastAsia="Calibri" w:hAnsi="Times New Roman" w:cs="Times New Roman"/>
          <w:sz w:val="24"/>
          <w:szCs w:val="24"/>
          <w:lang w:val="ro-MD"/>
        </w:rPr>
        <w:t xml:space="preserve"> </w:t>
      </w:r>
    </w:p>
    <w:p w14:paraId="22CBE78D" w14:textId="6AEA8442" w:rsidR="00737C74" w:rsidRPr="00DD5F1D" w:rsidRDefault="00737C74" w:rsidP="00737C74">
      <w:pPr>
        <w:tabs>
          <w:tab w:val="left" w:pos="7809"/>
        </w:tabs>
        <w:spacing w:after="12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Concomitent, pentru anul 2022</w:t>
      </w:r>
      <w:r w:rsidRPr="00DD5F1D">
        <w:rPr>
          <w:rFonts w:ascii="Times New Roman" w:hAnsi="Times New Roman" w:cs="Times New Roman"/>
          <w:sz w:val="24"/>
          <w:szCs w:val="24"/>
          <w:vertAlign w:val="superscript"/>
          <w:lang w:val="ro-MD"/>
        </w:rPr>
        <w:footnoteReference w:id="26"/>
      </w:r>
      <w:r w:rsidR="00161113"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reieșind din datele publicate/deținute </w:t>
      </w:r>
      <w:r w:rsidR="00E35393" w:rsidRPr="00DD5F1D">
        <w:rPr>
          <w:rFonts w:ascii="Times New Roman" w:eastAsia="Calibri" w:hAnsi="Times New Roman" w:cs="Times New Roman"/>
          <w:sz w:val="24"/>
          <w:szCs w:val="24"/>
          <w:lang w:val="ro-MD"/>
        </w:rPr>
        <w:t xml:space="preserve">de </w:t>
      </w:r>
      <w:r w:rsidRPr="00DD5F1D">
        <w:rPr>
          <w:rFonts w:ascii="Times New Roman" w:eastAsia="Calibri" w:hAnsi="Times New Roman" w:cs="Times New Roman"/>
          <w:sz w:val="24"/>
          <w:szCs w:val="24"/>
          <w:lang w:val="ro-MD"/>
        </w:rPr>
        <w:t>BNS</w:t>
      </w:r>
      <w:r w:rsidRPr="00DD5F1D">
        <w:rPr>
          <w:rFonts w:ascii="Times New Roman" w:hAnsi="Times New Roman" w:cs="Times New Roman"/>
          <w:sz w:val="24"/>
          <w:szCs w:val="24"/>
          <w:vertAlign w:val="superscript"/>
          <w:lang w:val="ro-MD"/>
        </w:rPr>
        <w:footnoteReference w:id="27"/>
      </w:r>
      <w:r w:rsidRPr="00DD5F1D">
        <w:rPr>
          <w:rFonts w:ascii="Times New Roman" w:eastAsia="Calibri" w:hAnsi="Times New Roman" w:cs="Times New Roman"/>
          <w:sz w:val="24"/>
          <w:szCs w:val="24"/>
          <w:lang w:val="ro-MD"/>
        </w:rPr>
        <w:t xml:space="preserve"> aferente costului forței de muncă în conformitate cu genurile de activitate</w:t>
      </w:r>
      <w:r w:rsidR="00161113"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se denotă următoarele:</w:t>
      </w:r>
    </w:p>
    <w:p w14:paraId="037EDD73" w14:textId="4D708F08" w:rsidR="006060A7" w:rsidRPr="00DD5F1D" w:rsidRDefault="006060A7" w:rsidP="006060A7">
      <w:pPr>
        <w:pStyle w:val="aa"/>
        <w:numPr>
          <w:ilvl w:val="0"/>
          <w:numId w:val="9"/>
        </w:numPr>
        <w:tabs>
          <w:tab w:val="left" w:pos="0"/>
        </w:tabs>
        <w:spacing w:after="120" w:line="276" w:lineRule="auto"/>
        <w:ind w:left="0" w:firstLine="0"/>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în cazul a 3 agenți economici, ce desfășoară activitate în comerț, producere articole de îmbrăcăminte și prestarea serviciilor de curățenie, angajații au fost remunerați cu un salariu sub</w:t>
      </w:r>
      <w:r w:rsidR="0065789F" w:rsidRPr="00DD5F1D">
        <w:rPr>
          <w:rFonts w:ascii="Times New Roman" w:eastAsia="Calibri" w:hAnsi="Times New Roman" w:cs="Times New Roman"/>
          <w:sz w:val="24"/>
          <w:szCs w:val="24"/>
          <w:lang w:val="ro-MD"/>
        </w:rPr>
        <w:t xml:space="preserve"> nivelul minim stabilit </w:t>
      </w:r>
      <w:r w:rsidRPr="00DD5F1D">
        <w:rPr>
          <w:rFonts w:ascii="Times New Roman" w:eastAsia="Calibri" w:hAnsi="Times New Roman" w:cs="Times New Roman"/>
          <w:sz w:val="24"/>
          <w:szCs w:val="24"/>
          <w:lang w:val="ro-MD"/>
        </w:rPr>
        <w:t>de 3 500 lei</w:t>
      </w:r>
      <w:r w:rsidR="0065789F" w:rsidRPr="00DD5F1D">
        <w:rPr>
          <w:rFonts w:ascii="Times New Roman" w:eastAsia="Calibri" w:hAnsi="Times New Roman" w:cs="Times New Roman"/>
          <w:sz w:val="24"/>
          <w:szCs w:val="24"/>
          <w:lang w:val="ro-MD"/>
        </w:rPr>
        <w:t>, în timp ce aceștia</w:t>
      </w:r>
      <w:r w:rsidRPr="00DD5F1D">
        <w:rPr>
          <w:rFonts w:ascii="Times New Roman" w:eastAsia="Calibri" w:hAnsi="Times New Roman" w:cs="Times New Roman"/>
          <w:sz w:val="24"/>
          <w:szCs w:val="24"/>
          <w:lang w:val="ro-MD"/>
        </w:rPr>
        <w:t xml:space="preserve"> au</w:t>
      </w:r>
      <w:r w:rsidR="0065789F" w:rsidRPr="00DD5F1D">
        <w:rPr>
          <w:rFonts w:ascii="Times New Roman" w:eastAsia="Calibri" w:hAnsi="Times New Roman" w:cs="Times New Roman"/>
          <w:sz w:val="24"/>
          <w:szCs w:val="24"/>
          <w:lang w:val="ro-MD"/>
        </w:rPr>
        <w:t xml:space="preserve"> achitat</w:t>
      </w:r>
      <w:r w:rsidRPr="00DD5F1D">
        <w:rPr>
          <w:rFonts w:ascii="Times New Roman" w:eastAsia="Calibri" w:hAnsi="Times New Roman" w:cs="Times New Roman"/>
          <w:sz w:val="24"/>
          <w:szCs w:val="24"/>
          <w:lang w:val="ro-MD"/>
        </w:rPr>
        <w:t xml:space="preserve"> dividende în anul respectiv, în valoare de 3,0 mil. lei;</w:t>
      </w:r>
    </w:p>
    <w:p w14:paraId="3502345C" w14:textId="128C8010" w:rsidR="006060A7" w:rsidRPr="00DD5F1D" w:rsidRDefault="0065789F" w:rsidP="006060A7">
      <w:pPr>
        <w:pStyle w:val="aa"/>
        <w:numPr>
          <w:ilvl w:val="0"/>
          <w:numId w:val="9"/>
        </w:numPr>
        <w:tabs>
          <w:tab w:val="left" w:pos="0"/>
        </w:tabs>
        <w:spacing w:after="120" w:line="276" w:lineRule="auto"/>
        <w:ind w:left="0" w:firstLine="0"/>
        <w:jc w:val="both"/>
        <w:rPr>
          <w:rFonts w:ascii="Times New Roman" w:eastAsia="Calibri" w:hAnsi="Times New Roman" w:cs="Times New Roman"/>
          <w:sz w:val="24"/>
          <w:szCs w:val="24"/>
          <w:lang w:val="ro-MD"/>
        </w:rPr>
      </w:pPr>
      <w:r w:rsidRPr="007D32B0">
        <w:rPr>
          <w:rFonts w:ascii="Times New Roman" w:eastAsia="Calibri" w:hAnsi="Times New Roman" w:cs="Times New Roman"/>
          <w:sz w:val="24"/>
          <w:szCs w:val="24"/>
          <w:lang w:val="ro-MD"/>
        </w:rPr>
        <w:t xml:space="preserve">de </w:t>
      </w:r>
      <w:r w:rsidR="006060A7" w:rsidRPr="007D32B0">
        <w:rPr>
          <w:rFonts w:ascii="Times New Roman" w:eastAsia="Calibri" w:hAnsi="Times New Roman" w:cs="Times New Roman"/>
          <w:sz w:val="24"/>
          <w:szCs w:val="24"/>
          <w:lang w:val="ro-MD"/>
        </w:rPr>
        <w:t>salar</w:t>
      </w:r>
      <w:r w:rsidRPr="007D32B0">
        <w:rPr>
          <w:rFonts w:ascii="Times New Roman" w:eastAsia="Calibri" w:hAnsi="Times New Roman" w:cs="Times New Roman"/>
          <w:sz w:val="24"/>
          <w:szCs w:val="24"/>
          <w:lang w:val="ro-MD"/>
        </w:rPr>
        <w:t>ii mai mici de</w:t>
      </w:r>
      <w:r w:rsidR="006060A7" w:rsidRPr="007D32B0">
        <w:rPr>
          <w:rFonts w:ascii="Times New Roman" w:eastAsia="Calibri" w:hAnsi="Times New Roman" w:cs="Times New Roman"/>
          <w:sz w:val="24"/>
          <w:szCs w:val="24"/>
          <w:lang w:val="ro-MD"/>
        </w:rPr>
        <w:t>cât salariu</w:t>
      </w:r>
      <w:r w:rsidR="00161113" w:rsidRPr="007D32B0">
        <w:rPr>
          <w:rFonts w:ascii="Times New Roman" w:eastAsia="Calibri" w:hAnsi="Times New Roman" w:cs="Times New Roman"/>
          <w:sz w:val="24"/>
          <w:szCs w:val="24"/>
          <w:lang w:val="ro-MD"/>
        </w:rPr>
        <w:t>l</w:t>
      </w:r>
      <w:r w:rsidR="006060A7" w:rsidRPr="007D32B0">
        <w:rPr>
          <w:rFonts w:ascii="Times New Roman" w:eastAsia="Calibri" w:hAnsi="Times New Roman" w:cs="Times New Roman"/>
          <w:sz w:val="24"/>
          <w:szCs w:val="24"/>
          <w:lang w:val="ro-MD"/>
        </w:rPr>
        <w:t xml:space="preserve"> mediu pe economie</w:t>
      </w:r>
      <w:r w:rsidR="006060A7" w:rsidRPr="007D32B0">
        <w:rPr>
          <w:rStyle w:val="a5"/>
          <w:rFonts w:ascii="Times New Roman" w:eastAsia="Calibri" w:hAnsi="Times New Roman" w:cs="Times New Roman"/>
          <w:sz w:val="24"/>
          <w:szCs w:val="24"/>
          <w:lang w:val="ro-MD"/>
        </w:rPr>
        <w:footnoteReference w:id="28"/>
      </w:r>
      <w:r w:rsidR="006060A7" w:rsidRPr="007D32B0">
        <w:rPr>
          <w:rFonts w:ascii="Times New Roman" w:eastAsia="Calibri" w:hAnsi="Times New Roman" w:cs="Times New Roman"/>
          <w:sz w:val="24"/>
          <w:szCs w:val="24"/>
          <w:lang w:val="ro-MD"/>
        </w:rPr>
        <w:t>,</w:t>
      </w:r>
      <w:r w:rsidR="006060A7" w:rsidRPr="00D848B6">
        <w:rPr>
          <w:rFonts w:ascii="Times New Roman" w:eastAsia="Calibri" w:hAnsi="Times New Roman" w:cs="Times New Roman"/>
          <w:sz w:val="24"/>
          <w:szCs w:val="24"/>
          <w:lang w:val="ro-MD"/>
        </w:rPr>
        <w:t xml:space="preserve"> precum</w:t>
      </w:r>
      <w:r w:rsidR="006060A7" w:rsidRPr="00DD5F1D">
        <w:rPr>
          <w:rFonts w:ascii="Times New Roman" w:eastAsia="Calibri" w:hAnsi="Times New Roman" w:cs="Times New Roman"/>
          <w:sz w:val="24"/>
          <w:szCs w:val="24"/>
          <w:lang w:val="ro-MD"/>
        </w:rPr>
        <w:t xml:space="preserve"> și mai mici decât media publicată de BNS pe domenii de activitate</w:t>
      </w:r>
      <w:r w:rsidR="006060A7" w:rsidRPr="00DD5F1D">
        <w:rPr>
          <w:rStyle w:val="a5"/>
          <w:rFonts w:ascii="Times New Roman" w:eastAsia="Calibri" w:hAnsi="Times New Roman" w:cs="Times New Roman"/>
          <w:sz w:val="24"/>
          <w:szCs w:val="24"/>
          <w:lang w:val="ro-MD"/>
        </w:rPr>
        <w:footnoteReference w:id="29"/>
      </w:r>
      <w:r w:rsidR="006060A7" w:rsidRPr="00DD5F1D">
        <w:rPr>
          <w:rFonts w:ascii="Times New Roman" w:eastAsia="Calibri" w:hAnsi="Times New Roman" w:cs="Times New Roman"/>
          <w:sz w:val="24"/>
          <w:szCs w:val="24"/>
          <w:lang w:val="ro-MD"/>
        </w:rPr>
        <w:t xml:space="preserve">, au beneficiat angajații a 22 </w:t>
      </w:r>
      <w:r w:rsidR="00161113" w:rsidRPr="00DD5F1D">
        <w:rPr>
          <w:rFonts w:ascii="Times New Roman" w:eastAsia="Calibri" w:hAnsi="Times New Roman" w:cs="Times New Roman"/>
          <w:sz w:val="24"/>
          <w:szCs w:val="24"/>
          <w:lang w:val="ro-MD"/>
        </w:rPr>
        <w:t xml:space="preserve">de </w:t>
      </w:r>
      <w:r w:rsidR="006060A7" w:rsidRPr="00DD5F1D">
        <w:rPr>
          <w:rFonts w:ascii="Times New Roman" w:eastAsia="Calibri" w:hAnsi="Times New Roman" w:cs="Times New Roman"/>
          <w:sz w:val="24"/>
          <w:szCs w:val="24"/>
          <w:lang w:val="ro-MD"/>
        </w:rPr>
        <w:t>companii din domenii diferite. Spre exemplu, salariul mediu pentru angajații companiilor din domeniul transportului rutier, pot</w:t>
      </w:r>
      <w:r w:rsidRPr="00DD5F1D">
        <w:rPr>
          <w:rFonts w:ascii="Times New Roman" w:eastAsia="Calibri" w:hAnsi="Times New Roman" w:cs="Times New Roman"/>
          <w:sz w:val="24"/>
          <w:szCs w:val="24"/>
          <w:lang w:val="ro-MD"/>
        </w:rPr>
        <w:t>rivit datelor BNS</w:t>
      </w:r>
      <w:r w:rsidR="00161113"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constituie 8 795</w:t>
      </w:r>
      <w:r w:rsidR="006060A7" w:rsidRPr="00DD5F1D">
        <w:rPr>
          <w:rFonts w:ascii="Times New Roman" w:eastAsia="Calibri" w:hAnsi="Times New Roman" w:cs="Times New Roman"/>
          <w:sz w:val="24"/>
          <w:szCs w:val="24"/>
          <w:lang w:val="ro-MD"/>
        </w:rPr>
        <w:t xml:space="preserve"> lei, iar salariul de care au beneficiat angajații companiei inclu</w:t>
      </w:r>
      <w:r w:rsidR="00161113" w:rsidRPr="00DD5F1D">
        <w:rPr>
          <w:rFonts w:ascii="Times New Roman" w:eastAsia="Calibri" w:hAnsi="Times New Roman" w:cs="Times New Roman"/>
          <w:sz w:val="24"/>
          <w:szCs w:val="24"/>
          <w:lang w:val="ro-MD"/>
        </w:rPr>
        <w:t>și</w:t>
      </w:r>
      <w:r w:rsidR="006060A7" w:rsidRPr="00DD5F1D">
        <w:rPr>
          <w:rFonts w:ascii="Times New Roman" w:eastAsia="Calibri" w:hAnsi="Times New Roman" w:cs="Times New Roman"/>
          <w:sz w:val="24"/>
          <w:szCs w:val="24"/>
          <w:lang w:val="ro-MD"/>
        </w:rPr>
        <w:t xml:space="preserve"> în eșantionul de verificare, </w:t>
      </w:r>
      <w:r w:rsidRPr="00DD5F1D">
        <w:rPr>
          <w:rFonts w:ascii="Times New Roman" w:eastAsia="Calibri" w:hAnsi="Times New Roman" w:cs="Times New Roman"/>
          <w:sz w:val="24"/>
          <w:szCs w:val="24"/>
          <w:lang w:val="ro-MD"/>
        </w:rPr>
        <w:t xml:space="preserve">a constituit doar 3 633 lei, care </w:t>
      </w:r>
      <w:r w:rsidR="00161113" w:rsidRPr="00DD5F1D">
        <w:rPr>
          <w:rFonts w:ascii="Times New Roman" w:eastAsia="Calibri" w:hAnsi="Times New Roman" w:cs="Times New Roman"/>
          <w:sz w:val="24"/>
          <w:szCs w:val="24"/>
          <w:lang w:val="ro-MD"/>
        </w:rPr>
        <w:t>e</w:t>
      </w:r>
      <w:r w:rsidRPr="00DD5F1D">
        <w:rPr>
          <w:rFonts w:ascii="Times New Roman" w:eastAsia="Calibri" w:hAnsi="Times New Roman" w:cs="Times New Roman"/>
          <w:sz w:val="24"/>
          <w:szCs w:val="24"/>
          <w:lang w:val="ro-MD"/>
        </w:rPr>
        <w:t>ste cu 5 161</w:t>
      </w:r>
      <w:r w:rsidR="006060A7" w:rsidRPr="00DD5F1D">
        <w:rPr>
          <w:rFonts w:ascii="Times New Roman" w:eastAsia="Calibri" w:hAnsi="Times New Roman" w:cs="Times New Roman"/>
          <w:sz w:val="24"/>
          <w:szCs w:val="24"/>
          <w:lang w:val="ro-MD"/>
        </w:rPr>
        <w:t xml:space="preserve"> lei mai </w:t>
      </w:r>
      <w:r w:rsidR="00DB660B" w:rsidRPr="00DD5F1D">
        <w:rPr>
          <w:rFonts w:ascii="Times New Roman" w:eastAsia="Calibri" w:hAnsi="Times New Roman" w:cs="Times New Roman"/>
          <w:sz w:val="24"/>
          <w:szCs w:val="24"/>
          <w:lang w:val="ro-MD"/>
        </w:rPr>
        <w:t>mic</w:t>
      </w:r>
      <w:r w:rsidR="006060A7" w:rsidRPr="00DD5F1D">
        <w:rPr>
          <w:rFonts w:ascii="Times New Roman" w:eastAsia="Calibri" w:hAnsi="Times New Roman" w:cs="Times New Roman"/>
          <w:sz w:val="24"/>
          <w:szCs w:val="24"/>
          <w:lang w:val="ro-MD"/>
        </w:rPr>
        <w:t>. O situație similară este și în cazul angajaților din domeniul construcțiilor, întrucât salariul mediu achitat potrivit BNS constituie 9 363 lei</w:t>
      </w:r>
      <w:r w:rsidR="006060A7" w:rsidRPr="00DD5F1D">
        <w:rPr>
          <w:rStyle w:val="a5"/>
          <w:rFonts w:ascii="Times New Roman" w:eastAsia="Calibri" w:hAnsi="Times New Roman" w:cs="Times New Roman"/>
          <w:sz w:val="24"/>
          <w:szCs w:val="24"/>
          <w:lang w:val="ro-MD"/>
        </w:rPr>
        <w:footnoteReference w:id="30"/>
      </w:r>
      <w:r w:rsidR="006060A7" w:rsidRPr="00DD5F1D">
        <w:rPr>
          <w:rFonts w:ascii="Times New Roman" w:eastAsia="Calibri" w:hAnsi="Times New Roman" w:cs="Times New Roman"/>
          <w:sz w:val="24"/>
          <w:szCs w:val="24"/>
          <w:lang w:val="ro-MD"/>
        </w:rPr>
        <w:t>, iar media plăților salariale achitate de compania inclusă î</w:t>
      </w:r>
      <w:r w:rsidRPr="00DD5F1D">
        <w:rPr>
          <w:rFonts w:ascii="Times New Roman" w:eastAsia="Calibri" w:hAnsi="Times New Roman" w:cs="Times New Roman"/>
          <w:sz w:val="24"/>
          <w:szCs w:val="24"/>
          <w:lang w:val="ro-MD"/>
        </w:rPr>
        <w:t>n eșantionul de verificare a fost de 4 403</w:t>
      </w:r>
      <w:r w:rsidR="00303E30" w:rsidRPr="00DD5F1D">
        <w:rPr>
          <w:rFonts w:ascii="Times New Roman" w:eastAsia="Calibri" w:hAnsi="Times New Roman" w:cs="Times New Roman"/>
          <w:sz w:val="24"/>
          <w:szCs w:val="24"/>
          <w:lang w:val="ro-MD"/>
        </w:rPr>
        <w:t xml:space="preserve"> lei (sau cu 4 960</w:t>
      </w:r>
      <w:r w:rsidR="006060A7" w:rsidRPr="00DD5F1D">
        <w:rPr>
          <w:rFonts w:ascii="Times New Roman" w:eastAsia="Calibri" w:hAnsi="Times New Roman" w:cs="Times New Roman"/>
          <w:sz w:val="24"/>
          <w:szCs w:val="24"/>
          <w:lang w:val="ro-MD"/>
        </w:rPr>
        <w:t xml:space="preserve"> lei mai puțin);</w:t>
      </w:r>
    </w:p>
    <w:p w14:paraId="309F6E03" w14:textId="1C0BBF3F" w:rsidR="006060A7" w:rsidRPr="005152D5" w:rsidRDefault="006060A7" w:rsidP="006060A7">
      <w:pPr>
        <w:pStyle w:val="aa"/>
        <w:numPr>
          <w:ilvl w:val="0"/>
          <w:numId w:val="9"/>
        </w:numPr>
        <w:tabs>
          <w:tab w:val="left" w:pos="0"/>
        </w:tabs>
        <w:spacing w:after="120" w:line="276" w:lineRule="auto"/>
        <w:ind w:left="0" w:firstLine="0"/>
        <w:jc w:val="both"/>
        <w:rPr>
          <w:rFonts w:ascii="Times New Roman" w:eastAsia="Calibri" w:hAnsi="Times New Roman" w:cs="Times New Roman"/>
          <w:sz w:val="24"/>
          <w:szCs w:val="24"/>
          <w:lang w:val="ro-MD"/>
        </w:rPr>
      </w:pPr>
      <w:r w:rsidRPr="00D848B6">
        <w:rPr>
          <w:rFonts w:ascii="Times New Roman" w:eastAsia="Calibri" w:hAnsi="Times New Roman" w:cs="Times New Roman"/>
          <w:sz w:val="24"/>
          <w:szCs w:val="24"/>
          <w:lang w:val="ro-MD"/>
        </w:rPr>
        <w:t>în domeniul comerțului, potrivit BNS salariul mediu pe acest gen de activitate constituie 8 960,6</w:t>
      </w:r>
      <w:r w:rsidRPr="00C66493">
        <w:rPr>
          <w:rFonts w:ascii="Times New Roman" w:eastAsia="Calibri" w:hAnsi="Times New Roman" w:cs="Times New Roman"/>
          <w:sz w:val="24"/>
          <w:szCs w:val="24"/>
          <w:lang w:val="ro-MD"/>
        </w:rPr>
        <w:t xml:space="preserve"> lei, iar salariul achitat de compania inclusă în eșantionul de veri</w:t>
      </w:r>
      <w:r w:rsidR="00212F48" w:rsidRPr="00C66493">
        <w:rPr>
          <w:rFonts w:ascii="Times New Roman" w:eastAsia="Calibri" w:hAnsi="Times New Roman" w:cs="Times New Roman"/>
          <w:sz w:val="24"/>
          <w:szCs w:val="24"/>
          <w:lang w:val="ro-MD"/>
        </w:rPr>
        <w:t xml:space="preserve">ficare </w:t>
      </w:r>
      <w:r w:rsidR="0065789F" w:rsidRPr="00B7777D">
        <w:rPr>
          <w:rFonts w:ascii="Times New Roman" w:eastAsia="Calibri" w:hAnsi="Times New Roman" w:cs="Times New Roman"/>
          <w:sz w:val="24"/>
          <w:szCs w:val="24"/>
          <w:lang w:val="ro-MD"/>
        </w:rPr>
        <w:t>a</w:t>
      </w:r>
      <w:r w:rsidR="00303E30" w:rsidRPr="009A6E4D">
        <w:rPr>
          <w:rFonts w:ascii="Times New Roman" w:eastAsia="Calibri" w:hAnsi="Times New Roman" w:cs="Times New Roman"/>
          <w:sz w:val="24"/>
          <w:szCs w:val="24"/>
          <w:lang w:val="ro-MD"/>
        </w:rPr>
        <w:t xml:space="preserve"> constituit</w:t>
      </w:r>
      <w:r w:rsidR="00212F48" w:rsidRPr="00193E3C">
        <w:rPr>
          <w:rFonts w:ascii="Times New Roman" w:eastAsia="Calibri" w:hAnsi="Times New Roman" w:cs="Times New Roman"/>
          <w:sz w:val="24"/>
          <w:szCs w:val="24"/>
          <w:lang w:val="ro-MD"/>
        </w:rPr>
        <w:t xml:space="preserve"> 3 061,57 lei;</w:t>
      </w:r>
    </w:p>
    <w:p w14:paraId="6F4C3298" w14:textId="2BC71D4B" w:rsidR="006060A7" w:rsidRPr="007D32B0" w:rsidRDefault="006060A7" w:rsidP="006060A7">
      <w:pPr>
        <w:pStyle w:val="aa"/>
        <w:numPr>
          <w:ilvl w:val="0"/>
          <w:numId w:val="9"/>
        </w:numPr>
        <w:tabs>
          <w:tab w:val="left" w:pos="0"/>
        </w:tabs>
        <w:spacing w:after="120" w:line="276" w:lineRule="auto"/>
        <w:ind w:left="0" w:firstLine="0"/>
        <w:jc w:val="both"/>
        <w:rPr>
          <w:rFonts w:ascii="Times New Roman" w:eastAsia="Calibri" w:hAnsi="Times New Roman" w:cs="Times New Roman"/>
          <w:sz w:val="24"/>
          <w:szCs w:val="24"/>
          <w:lang w:val="ro-MD"/>
        </w:rPr>
      </w:pPr>
      <w:r w:rsidRPr="007D32B0">
        <w:rPr>
          <w:rFonts w:ascii="Times New Roman" w:eastAsia="Calibri" w:hAnsi="Times New Roman" w:cs="Times New Roman"/>
          <w:sz w:val="24"/>
          <w:szCs w:val="24"/>
          <w:lang w:val="ro-MD"/>
        </w:rPr>
        <w:t xml:space="preserve">din 30 de agenți economici, doar 5 au achitat salarii mai mari sau </w:t>
      </w:r>
      <w:r w:rsidR="00D54BD7" w:rsidRPr="007D32B0">
        <w:rPr>
          <w:rFonts w:ascii="Times New Roman" w:eastAsia="Calibri" w:hAnsi="Times New Roman" w:cs="Times New Roman"/>
          <w:sz w:val="24"/>
          <w:szCs w:val="24"/>
          <w:lang w:val="ro-MD"/>
        </w:rPr>
        <w:t>e</w:t>
      </w:r>
      <w:r w:rsidRPr="007D32B0">
        <w:rPr>
          <w:rFonts w:ascii="Times New Roman" w:eastAsia="Calibri" w:hAnsi="Times New Roman" w:cs="Times New Roman"/>
          <w:sz w:val="24"/>
          <w:szCs w:val="24"/>
          <w:lang w:val="ro-MD"/>
        </w:rPr>
        <w:t>gale cu salariul mediu pe economie.</w:t>
      </w:r>
    </w:p>
    <w:p w14:paraId="33BAA394" w14:textId="062F84B5" w:rsidR="006060A7" w:rsidRPr="00DD5F1D" w:rsidRDefault="006060A7" w:rsidP="006060A7">
      <w:pPr>
        <w:tabs>
          <w:tab w:val="left" w:pos="7809"/>
        </w:tabs>
        <w:spacing w:after="12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Concomitent, se constată că în anul 2023 au fost </w:t>
      </w:r>
      <w:r w:rsidR="00303E30" w:rsidRPr="00DD5F1D">
        <w:rPr>
          <w:rFonts w:ascii="Times New Roman" w:eastAsia="Calibri" w:hAnsi="Times New Roman" w:cs="Times New Roman"/>
          <w:sz w:val="24"/>
          <w:szCs w:val="24"/>
          <w:lang w:val="ro-MD"/>
        </w:rPr>
        <w:t>efectuate modificări ale actelor normative</w:t>
      </w:r>
      <w:r w:rsidRPr="00DD5F1D">
        <w:rPr>
          <w:rFonts w:ascii="Times New Roman" w:eastAsia="Calibri" w:hAnsi="Times New Roman" w:cs="Times New Roman"/>
          <w:sz w:val="24"/>
          <w:szCs w:val="24"/>
          <w:lang w:val="ro-MD"/>
        </w:rPr>
        <w:t xml:space="preserve"> aferente activității societăților cu răspundere limitată. Astfel, au fost acordate unele facilități agenților economici care pot să formeze un capital de stimulare a beneficiarilor (personalului a</w:t>
      </w:r>
      <w:r w:rsidR="00303E30" w:rsidRPr="00DD5F1D">
        <w:rPr>
          <w:rFonts w:ascii="Times New Roman" w:eastAsia="Calibri" w:hAnsi="Times New Roman" w:cs="Times New Roman"/>
          <w:sz w:val="24"/>
          <w:szCs w:val="24"/>
          <w:lang w:val="ro-MD"/>
        </w:rPr>
        <w:t xml:space="preserve">ngajat) pentru a-i stimula și </w:t>
      </w:r>
      <w:r w:rsidRPr="00DD5F1D">
        <w:rPr>
          <w:rFonts w:ascii="Times New Roman" w:eastAsia="Calibri" w:hAnsi="Times New Roman" w:cs="Times New Roman"/>
          <w:sz w:val="24"/>
          <w:szCs w:val="24"/>
          <w:lang w:val="ro-MD"/>
        </w:rPr>
        <w:t>interesa în activități eficiente, participă</w:t>
      </w:r>
      <w:r w:rsidR="00303E30" w:rsidRPr="00DD5F1D">
        <w:rPr>
          <w:rFonts w:ascii="Times New Roman" w:eastAsia="Calibri" w:hAnsi="Times New Roman" w:cs="Times New Roman"/>
          <w:sz w:val="24"/>
          <w:szCs w:val="24"/>
          <w:lang w:val="ro-MD"/>
        </w:rPr>
        <w:t>ri active, inițiative</w:t>
      </w:r>
      <w:r w:rsidRPr="00DD5F1D">
        <w:rPr>
          <w:rFonts w:ascii="Times New Roman" w:eastAsia="Calibri" w:hAnsi="Times New Roman" w:cs="Times New Roman"/>
          <w:sz w:val="24"/>
          <w:szCs w:val="24"/>
          <w:lang w:val="ro-MD"/>
        </w:rPr>
        <w:t xml:space="preserve"> în favoarea societăți</w:t>
      </w:r>
      <w:r w:rsidR="0011742D" w:rsidRPr="00DD5F1D">
        <w:rPr>
          <w:rFonts w:ascii="Times New Roman" w:eastAsia="Calibri" w:hAnsi="Times New Roman" w:cs="Times New Roman"/>
          <w:sz w:val="24"/>
          <w:szCs w:val="24"/>
          <w:lang w:val="ro-MD"/>
        </w:rPr>
        <w:t>i</w:t>
      </w:r>
      <w:r w:rsidRPr="00DD5F1D">
        <w:rPr>
          <w:rFonts w:ascii="Times New Roman" w:eastAsia="Calibri" w:hAnsi="Times New Roman" w:cs="Times New Roman"/>
          <w:sz w:val="24"/>
          <w:szCs w:val="24"/>
          <w:lang w:val="ro-MD"/>
        </w:rPr>
        <w:t>. Acesta se formează din contul profitului net a</w:t>
      </w:r>
      <w:r w:rsidR="00303E30" w:rsidRPr="00DD5F1D">
        <w:rPr>
          <w:rFonts w:ascii="Times New Roman" w:eastAsia="Calibri" w:hAnsi="Times New Roman" w:cs="Times New Roman"/>
          <w:sz w:val="24"/>
          <w:szCs w:val="24"/>
          <w:lang w:val="ro-MD"/>
        </w:rPr>
        <w:t xml:space="preserve">l societății și poate fi utilizat la acordarea drepturilor de </w:t>
      </w:r>
      <w:r w:rsidRPr="00DD5F1D">
        <w:rPr>
          <w:rFonts w:ascii="Times New Roman" w:eastAsia="Calibri" w:hAnsi="Times New Roman" w:cs="Times New Roman"/>
          <w:sz w:val="24"/>
          <w:szCs w:val="24"/>
          <w:lang w:val="ro-MD"/>
        </w:rPr>
        <w:t>plată la un moment stabilit, modul de creare și utilizare urmează a fi stabilite într-un regulament aprobat de societate. Plățile din capitalul de stimulare se asimilează dividendelor, dar se achită o dată pe an. În aceste condiții, se denotă că prin aceast</w:t>
      </w:r>
      <w:r w:rsidR="00303E30" w:rsidRPr="00DD5F1D">
        <w:rPr>
          <w:rFonts w:ascii="Times New Roman" w:eastAsia="Calibri" w:hAnsi="Times New Roman" w:cs="Times New Roman"/>
          <w:sz w:val="24"/>
          <w:szCs w:val="24"/>
          <w:lang w:val="ro-MD"/>
        </w:rPr>
        <w:t xml:space="preserve">ă metodă, </w:t>
      </w:r>
      <w:r w:rsidRPr="00DD5F1D">
        <w:rPr>
          <w:rFonts w:ascii="Times New Roman" w:eastAsia="Calibri" w:hAnsi="Times New Roman" w:cs="Times New Roman"/>
          <w:sz w:val="24"/>
          <w:szCs w:val="24"/>
          <w:lang w:val="ro-MD"/>
        </w:rPr>
        <w:t>se pot achita plăți salariale la o cotă mai mică prin care se pot diminua și se pot optimiza plățile impozitului pe venit, contribuțiilor de asigurări medicale și sociale achitate de angajat și angajator, deoarece unicul impozit care urmează a fi aplicabil plaților din capitalul de stimulare va fi cot</w:t>
      </w:r>
      <w:r w:rsidR="00737C74" w:rsidRPr="00DD5F1D">
        <w:rPr>
          <w:rFonts w:ascii="Times New Roman" w:eastAsia="Calibri" w:hAnsi="Times New Roman" w:cs="Times New Roman"/>
          <w:sz w:val="24"/>
          <w:szCs w:val="24"/>
          <w:lang w:val="ro-MD"/>
        </w:rPr>
        <w:t>a echivalentă dividendelor (6%), comparativ cu impozitele aferente plăților salariale (24% contribuții de asigurări sociale).</w:t>
      </w:r>
      <w:r w:rsidR="00D54BD7" w:rsidRPr="00DD5F1D">
        <w:rPr>
          <w:rFonts w:ascii="Times New Roman" w:eastAsia="Calibri" w:hAnsi="Times New Roman" w:cs="Times New Roman"/>
          <w:sz w:val="24"/>
          <w:szCs w:val="24"/>
          <w:lang w:val="ro-MD"/>
        </w:rPr>
        <w:t xml:space="preserve"> Astfel, aceste facilități acordate agenților economici pot contribui la </w:t>
      </w:r>
      <w:r w:rsidR="009C4013" w:rsidRPr="00DD5F1D">
        <w:rPr>
          <w:rFonts w:ascii="Times New Roman" w:eastAsia="Calibri" w:hAnsi="Times New Roman" w:cs="Times New Roman"/>
          <w:sz w:val="24"/>
          <w:szCs w:val="24"/>
          <w:lang w:val="ro-MD"/>
        </w:rPr>
        <w:t>diminuarea veniturilor BASS</w:t>
      </w:r>
      <w:r w:rsidR="00D54BD7" w:rsidRPr="00DD5F1D">
        <w:rPr>
          <w:rFonts w:ascii="Times New Roman" w:eastAsia="Calibri" w:hAnsi="Times New Roman" w:cs="Times New Roman"/>
          <w:sz w:val="24"/>
          <w:szCs w:val="24"/>
          <w:lang w:val="ro-MD"/>
        </w:rPr>
        <w:t>.</w:t>
      </w:r>
    </w:p>
    <w:p w14:paraId="1A222E0C" w14:textId="2C66EF84" w:rsidR="006060A7" w:rsidRPr="00DD5F1D" w:rsidRDefault="006060A7" w:rsidP="006060A7">
      <w:pPr>
        <w:tabs>
          <w:tab w:val="left" w:pos="7809"/>
        </w:tabs>
        <w:spacing w:after="12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Astfel, salariul în plic </w:t>
      </w:r>
      <w:r w:rsidR="0011742D" w:rsidRPr="00DD5F1D">
        <w:rPr>
          <w:rFonts w:ascii="Times New Roman" w:eastAsia="Calibri" w:hAnsi="Times New Roman" w:cs="Times New Roman"/>
          <w:sz w:val="24"/>
          <w:szCs w:val="24"/>
          <w:lang w:val="ro-MD"/>
        </w:rPr>
        <w:t>este</w:t>
      </w:r>
      <w:r w:rsidRPr="00DD5F1D">
        <w:rPr>
          <w:rFonts w:ascii="Times New Roman" w:eastAsia="Calibri" w:hAnsi="Times New Roman" w:cs="Times New Roman"/>
          <w:sz w:val="24"/>
          <w:szCs w:val="24"/>
          <w:lang w:val="ro-MD"/>
        </w:rPr>
        <w:t xml:space="preserve"> un fenomen nociv și o problemă pentru fiecare cetățean care acceptă o astfel de remunerare pentru munca sa. Banii primiți în plic evită plata impozitelor și contribuțiilor, dar această practică înseamnă de fapt o condamnare la un viitor nesigur, în special la apariția riscurilor sociale</w:t>
      </w:r>
      <w:r w:rsidR="0011742D"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precum șomaj, boală, invaliditate, bătrânețe sau în celelalte cazuri </w:t>
      </w:r>
      <w:r w:rsidR="00303E30" w:rsidRPr="00DD5F1D">
        <w:rPr>
          <w:rFonts w:ascii="Times New Roman" w:eastAsia="Calibri" w:hAnsi="Times New Roman" w:cs="Times New Roman"/>
          <w:sz w:val="24"/>
          <w:szCs w:val="24"/>
          <w:lang w:val="ro-MD"/>
        </w:rPr>
        <w:t>de pierdere a mijloacelor de subz</w:t>
      </w:r>
      <w:r w:rsidRPr="00DD5F1D">
        <w:rPr>
          <w:rFonts w:ascii="Times New Roman" w:eastAsia="Calibri" w:hAnsi="Times New Roman" w:cs="Times New Roman"/>
          <w:sz w:val="24"/>
          <w:szCs w:val="24"/>
          <w:lang w:val="ro-MD"/>
        </w:rPr>
        <w:t>istență, în urma unor împrejurări independente de voința lor.</w:t>
      </w:r>
    </w:p>
    <w:p w14:paraId="2C4D4E90" w14:textId="611E2680" w:rsidR="00737C74" w:rsidRPr="00DD5F1D" w:rsidRDefault="00737C74" w:rsidP="006060A7">
      <w:pPr>
        <w:pStyle w:val="aa"/>
        <w:tabs>
          <w:tab w:val="left" w:pos="0"/>
        </w:tabs>
        <w:spacing w:after="120" w:line="276" w:lineRule="auto"/>
        <w:ind w:left="0"/>
        <w:jc w:val="both"/>
        <w:rPr>
          <w:rFonts w:ascii="Times New Roman" w:hAnsi="Times New Roman" w:cs="Times New Roman"/>
          <w:sz w:val="24"/>
          <w:szCs w:val="24"/>
          <w:lang w:val="ro-MD"/>
        </w:rPr>
      </w:pPr>
      <w:r w:rsidRPr="00DD5F1D">
        <w:rPr>
          <w:rFonts w:ascii="Times New Roman" w:eastAsia="Calibri" w:hAnsi="Times New Roman" w:cs="Times New Roman"/>
          <w:b/>
          <w:sz w:val="24"/>
          <w:szCs w:val="24"/>
          <w:lang w:val="ro-MD"/>
        </w:rPr>
        <w:t>10</w:t>
      </w:r>
      <w:r w:rsidR="006060A7" w:rsidRPr="00DD5F1D">
        <w:rPr>
          <w:rFonts w:ascii="Times New Roman" w:eastAsia="Calibri" w:hAnsi="Times New Roman" w:cs="Times New Roman"/>
          <w:b/>
          <w:sz w:val="24"/>
          <w:szCs w:val="24"/>
          <w:lang w:val="ro-MD"/>
        </w:rPr>
        <w:t xml:space="preserve"> agenți economici, care pe parcursul anilor 2022-2023 au achitat dividende în sumă de 21,1 mil</w:t>
      </w:r>
      <w:r w:rsidR="00F82B7B" w:rsidRPr="00DD5F1D">
        <w:rPr>
          <w:rFonts w:ascii="Times New Roman" w:eastAsia="Calibri" w:hAnsi="Times New Roman" w:cs="Times New Roman"/>
          <w:b/>
          <w:sz w:val="24"/>
          <w:szCs w:val="24"/>
          <w:lang w:val="ro-MD"/>
        </w:rPr>
        <w:t>.</w:t>
      </w:r>
      <w:r w:rsidR="006060A7" w:rsidRPr="00DD5F1D">
        <w:rPr>
          <w:rFonts w:ascii="Times New Roman" w:eastAsia="Calibri" w:hAnsi="Times New Roman" w:cs="Times New Roman"/>
          <w:b/>
          <w:sz w:val="24"/>
          <w:szCs w:val="24"/>
          <w:lang w:val="ro-MD"/>
        </w:rPr>
        <w:t xml:space="preserve"> lei, ulterior în anul 2023 au intrat </w:t>
      </w:r>
      <w:r w:rsidRPr="00DD5F1D">
        <w:rPr>
          <w:rFonts w:ascii="Times New Roman" w:eastAsia="Calibri" w:hAnsi="Times New Roman" w:cs="Times New Roman"/>
          <w:b/>
          <w:sz w:val="24"/>
          <w:szCs w:val="24"/>
          <w:lang w:val="ro-MD"/>
        </w:rPr>
        <w:t>în procedură de insolvabilitate</w:t>
      </w:r>
      <w:r w:rsidR="006060A7" w:rsidRPr="00DD5F1D">
        <w:rPr>
          <w:rFonts w:ascii="Times New Roman" w:hAnsi="Times New Roman" w:cs="Times New Roman"/>
          <w:b/>
          <w:sz w:val="24"/>
          <w:szCs w:val="24"/>
          <w:lang w:val="ro-MD"/>
        </w:rPr>
        <w:t xml:space="preserve">, acumulând datorii </w:t>
      </w:r>
      <w:r w:rsidRPr="00DD5F1D">
        <w:rPr>
          <w:rFonts w:ascii="Times New Roman" w:hAnsi="Times New Roman" w:cs="Times New Roman"/>
          <w:b/>
          <w:sz w:val="24"/>
          <w:szCs w:val="24"/>
          <w:lang w:val="ro-MD"/>
        </w:rPr>
        <w:t xml:space="preserve">la BASS </w:t>
      </w:r>
      <w:r w:rsidR="00FC2F89" w:rsidRPr="00DD5F1D">
        <w:rPr>
          <w:rFonts w:ascii="Times New Roman" w:hAnsi="Times New Roman" w:cs="Times New Roman"/>
          <w:b/>
          <w:sz w:val="24"/>
          <w:szCs w:val="24"/>
          <w:lang w:val="ro-MD"/>
        </w:rPr>
        <w:t>în sumă de 1,6</w:t>
      </w:r>
      <w:r w:rsidR="00212F48" w:rsidRPr="00DD5F1D">
        <w:rPr>
          <w:rFonts w:ascii="Times New Roman" w:hAnsi="Times New Roman" w:cs="Times New Roman"/>
          <w:b/>
          <w:sz w:val="24"/>
          <w:szCs w:val="24"/>
          <w:lang w:val="ro-MD"/>
        </w:rPr>
        <w:t xml:space="preserve"> mil. lei</w:t>
      </w:r>
    </w:p>
    <w:p w14:paraId="1EA14FD2" w14:textId="48ECFF2B" w:rsidR="00676114" w:rsidRPr="00DD5F1D" w:rsidRDefault="006060A7" w:rsidP="001D5C3A">
      <w:pPr>
        <w:pStyle w:val="aa"/>
        <w:tabs>
          <w:tab w:val="left" w:pos="0"/>
        </w:tabs>
        <w:spacing w:after="120" w:line="276" w:lineRule="auto"/>
        <w:ind w:left="0"/>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Deși la declararea procedurii de insolvabilitate SFS efectuează control</w:t>
      </w:r>
      <w:r w:rsidR="00303E30" w:rsidRPr="00DD5F1D">
        <w:rPr>
          <w:rFonts w:ascii="Times New Roman" w:hAnsi="Times New Roman" w:cs="Times New Roman"/>
          <w:sz w:val="24"/>
          <w:szCs w:val="24"/>
          <w:lang w:val="ro-MD"/>
        </w:rPr>
        <w:t>ul</w:t>
      </w:r>
      <w:r w:rsidRPr="00DD5F1D">
        <w:rPr>
          <w:rFonts w:ascii="Times New Roman" w:hAnsi="Times New Roman" w:cs="Times New Roman"/>
          <w:sz w:val="24"/>
          <w:szCs w:val="24"/>
          <w:lang w:val="ro-MD"/>
        </w:rPr>
        <w:t xml:space="preserve"> în conformitate cu prevederile legale și regulamentare</w:t>
      </w:r>
      <w:r w:rsidRPr="00DD5F1D">
        <w:rPr>
          <w:rStyle w:val="a5"/>
          <w:rFonts w:ascii="Times New Roman" w:hAnsi="Times New Roman" w:cs="Times New Roman"/>
          <w:sz w:val="24"/>
          <w:szCs w:val="24"/>
          <w:lang w:val="ro-MD"/>
        </w:rPr>
        <w:footnoteReference w:id="31"/>
      </w:r>
      <w:r w:rsidR="00303E30"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SFS a comunicat echipei de audit că au fost efectuate controale fiscale prin metoda verificării totale în legătură cu inițierea procedurii de insolvabilitate, în actele de control fiind descrise tranzacțiile economico-financiare ale întreprinderilor. De asemenea, în conformitate cu prevederile Codului de procedură penală, în vederea identificării prezenței sau lipsei elementelor constitutive ale infracțiunilor atribuite în compe</w:t>
      </w:r>
      <w:r w:rsidR="00303E30" w:rsidRPr="00DD5F1D">
        <w:rPr>
          <w:rFonts w:ascii="Times New Roman" w:hAnsi="Times New Roman" w:cs="Times New Roman"/>
          <w:sz w:val="24"/>
          <w:szCs w:val="24"/>
          <w:lang w:val="ro-MD"/>
        </w:rPr>
        <w:t>tența SFS</w:t>
      </w:r>
      <w:r w:rsidRPr="00DD5F1D">
        <w:rPr>
          <w:rFonts w:ascii="Times New Roman" w:hAnsi="Times New Roman" w:cs="Times New Roman"/>
          <w:sz w:val="24"/>
          <w:szCs w:val="24"/>
          <w:lang w:val="ro-MD"/>
        </w:rPr>
        <w:t xml:space="preserve">, au fost examinate acțiunile și/sau inacțiunile factorilor de decizie </w:t>
      </w:r>
      <w:r w:rsidR="00F82B7B" w:rsidRPr="00DD5F1D">
        <w:rPr>
          <w:rFonts w:ascii="Times New Roman" w:hAnsi="Times New Roman" w:cs="Times New Roman"/>
          <w:sz w:val="24"/>
          <w:szCs w:val="24"/>
          <w:lang w:val="ro-MD"/>
        </w:rPr>
        <w:t>de la</w:t>
      </w:r>
      <w:r w:rsidRPr="00DD5F1D">
        <w:rPr>
          <w:rFonts w:ascii="Times New Roman" w:hAnsi="Times New Roman" w:cs="Times New Roman"/>
          <w:sz w:val="24"/>
          <w:szCs w:val="24"/>
          <w:lang w:val="ro-MD"/>
        </w:rPr>
        <w:t xml:space="preserve"> 4 întreprinderi, </w:t>
      </w:r>
      <w:r w:rsidR="00F82B7B" w:rsidRPr="00DD5F1D">
        <w:rPr>
          <w:rFonts w:ascii="Times New Roman" w:hAnsi="Times New Roman" w:cs="Times New Roman"/>
          <w:sz w:val="24"/>
          <w:szCs w:val="24"/>
          <w:lang w:val="ro-MD"/>
        </w:rPr>
        <w:t xml:space="preserve">iar </w:t>
      </w:r>
      <w:r w:rsidRPr="00DD5F1D">
        <w:rPr>
          <w:rFonts w:ascii="Times New Roman" w:hAnsi="Times New Roman" w:cs="Times New Roman"/>
          <w:sz w:val="24"/>
          <w:szCs w:val="24"/>
          <w:lang w:val="ro-MD"/>
        </w:rPr>
        <w:t xml:space="preserve">pentru alte 6 </w:t>
      </w:r>
      <w:r w:rsidR="00303E30" w:rsidRPr="00DD5F1D">
        <w:rPr>
          <w:rFonts w:ascii="Times New Roman" w:hAnsi="Times New Roman" w:cs="Times New Roman"/>
          <w:sz w:val="24"/>
          <w:szCs w:val="24"/>
          <w:lang w:val="ro-MD"/>
        </w:rPr>
        <w:t xml:space="preserve">entități </w:t>
      </w:r>
      <w:r w:rsidRPr="00DD5F1D">
        <w:rPr>
          <w:rFonts w:ascii="Times New Roman" w:hAnsi="Times New Roman" w:cs="Times New Roman"/>
          <w:sz w:val="24"/>
          <w:szCs w:val="24"/>
          <w:lang w:val="ro-MD"/>
        </w:rPr>
        <w:t>nu</w:t>
      </w:r>
      <w:r w:rsidR="00303E30" w:rsidRPr="00DD5F1D">
        <w:rPr>
          <w:rFonts w:ascii="Times New Roman" w:hAnsi="Times New Roman" w:cs="Times New Roman"/>
          <w:sz w:val="24"/>
          <w:szCs w:val="24"/>
          <w:lang w:val="ro-MD"/>
        </w:rPr>
        <w:t xml:space="preserve"> a fost constatat</w:t>
      </w:r>
      <w:r w:rsidR="00F82B7B" w:rsidRPr="00DD5F1D">
        <w:rPr>
          <w:rFonts w:ascii="Times New Roman" w:hAnsi="Times New Roman" w:cs="Times New Roman"/>
          <w:sz w:val="24"/>
          <w:szCs w:val="24"/>
          <w:lang w:val="ro-MD"/>
        </w:rPr>
        <w:t>ă</w:t>
      </w:r>
      <w:r w:rsidRPr="00DD5F1D">
        <w:rPr>
          <w:rFonts w:ascii="Times New Roman" w:hAnsi="Times New Roman" w:cs="Times New Roman"/>
          <w:sz w:val="24"/>
          <w:szCs w:val="24"/>
          <w:lang w:val="ro-MD"/>
        </w:rPr>
        <w:t xml:space="preserve"> întrunirea indicilor de insolvabilitate intenționată.</w:t>
      </w:r>
    </w:p>
    <w:p w14:paraId="7CC6BD53" w14:textId="77777777" w:rsidR="007D41C3" w:rsidRPr="00DD5F1D" w:rsidRDefault="007D41C3" w:rsidP="001D5C3A">
      <w:pPr>
        <w:pStyle w:val="aa"/>
        <w:tabs>
          <w:tab w:val="left" w:pos="0"/>
        </w:tabs>
        <w:spacing w:after="120" w:line="276" w:lineRule="auto"/>
        <w:ind w:left="0"/>
        <w:jc w:val="both"/>
        <w:rPr>
          <w:rFonts w:ascii="Times New Roman" w:hAnsi="Times New Roman" w:cs="Times New Roman"/>
          <w:sz w:val="24"/>
          <w:szCs w:val="24"/>
          <w:lang w:val="ro-MD"/>
        </w:rPr>
      </w:pPr>
    </w:p>
    <w:p w14:paraId="2D7FDBB2" w14:textId="77777777" w:rsidR="00DE27FA" w:rsidRPr="00DD5F1D" w:rsidRDefault="00DE27FA" w:rsidP="00676114">
      <w:pPr>
        <w:pStyle w:val="aa"/>
        <w:numPr>
          <w:ilvl w:val="0"/>
          <w:numId w:val="2"/>
        </w:numPr>
        <w:shd w:val="clear" w:color="auto" w:fill="FFFFFF" w:themeFill="background1"/>
        <w:spacing w:before="240" w:line="276" w:lineRule="auto"/>
        <w:ind w:left="567" w:hanging="567"/>
        <w:jc w:val="both"/>
        <w:outlineLvl w:val="0"/>
        <w:rPr>
          <w:rFonts w:ascii="Times New Roman" w:hAnsi="Times New Roman" w:cs="Times New Roman"/>
          <w:b/>
          <w:sz w:val="24"/>
          <w:szCs w:val="24"/>
          <w:lang w:val="ro-MD"/>
        </w:rPr>
      </w:pPr>
      <w:r w:rsidRPr="00DD5F1D">
        <w:rPr>
          <w:rFonts w:ascii="Times New Roman" w:hAnsi="Times New Roman" w:cs="Times New Roman"/>
          <w:b/>
          <w:sz w:val="24"/>
          <w:szCs w:val="24"/>
          <w:lang w:val="ro-MD"/>
        </w:rPr>
        <w:t>ALTE INFORMAȚII</w:t>
      </w:r>
    </w:p>
    <w:p w14:paraId="3AE870D5" w14:textId="44197FDB" w:rsidR="00795D5D" w:rsidRPr="00DD5F1D" w:rsidRDefault="009C4013" w:rsidP="00795D5D">
      <w:pPr>
        <w:pStyle w:val="aa"/>
        <w:numPr>
          <w:ilvl w:val="1"/>
          <w:numId w:val="2"/>
        </w:numPr>
        <w:spacing w:after="120" w:line="276" w:lineRule="auto"/>
        <w:ind w:left="0" w:firstLine="0"/>
        <w:jc w:val="both"/>
        <w:outlineLvl w:val="1"/>
        <w:rPr>
          <w:rFonts w:ascii="Times New Roman" w:hAnsi="Times New Roman" w:cs="Times New Roman"/>
          <w:b/>
          <w:sz w:val="24"/>
          <w:szCs w:val="24"/>
          <w:lang w:val="ro-MD"/>
        </w:rPr>
      </w:pPr>
      <w:r w:rsidRPr="00DD5F1D">
        <w:rPr>
          <w:rFonts w:ascii="Times New Roman" w:hAnsi="Times New Roman" w:cs="Times New Roman"/>
          <w:b/>
          <w:sz w:val="24"/>
          <w:szCs w:val="24"/>
          <w:lang w:val="ro-MD"/>
        </w:rPr>
        <w:t>Soldul d</w:t>
      </w:r>
      <w:r w:rsidR="00795D5D" w:rsidRPr="00DD5F1D">
        <w:rPr>
          <w:rFonts w:ascii="Times New Roman" w:hAnsi="Times New Roman" w:cs="Times New Roman"/>
          <w:b/>
          <w:sz w:val="24"/>
          <w:szCs w:val="24"/>
          <w:lang w:val="ro-MD"/>
        </w:rPr>
        <w:t>atoriil</w:t>
      </w:r>
      <w:r w:rsidRPr="00DD5F1D">
        <w:rPr>
          <w:rFonts w:ascii="Times New Roman" w:hAnsi="Times New Roman" w:cs="Times New Roman"/>
          <w:b/>
          <w:sz w:val="24"/>
          <w:szCs w:val="24"/>
          <w:lang w:val="ro-MD"/>
        </w:rPr>
        <w:t>or</w:t>
      </w:r>
      <w:r w:rsidR="00795D5D" w:rsidRPr="00DD5F1D">
        <w:rPr>
          <w:rFonts w:ascii="Times New Roman" w:hAnsi="Times New Roman" w:cs="Times New Roman"/>
          <w:b/>
          <w:sz w:val="24"/>
          <w:szCs w:val="24"/>
          <w:lang w:val="ro-MD"/>
        </w:rPr>
        <w:t xml:space="preserve"> prestațiilor sociale suspendate </w:t>
      </w:r>
      <w:r w:rsidRPr="00DD5F1D">
        <w:rPr>
          <w:rFonts w:ascii="Times New Roman" w:hAnsi="Times New Roman" w:cs="Times New Roman"/>
          <w:b/>
          <w:sz w:val="24"/>
          <w:szCs w:val="24"/>
          <w:lang w:val="ro-MD"/>
        </w:rPr>
        <w:t>la 01.01.</w:t>
      </w:r>
      <w:r w:rsidR="00795D5D" w:rsidRPr="00DD5F1D">
        <w:rPr>
          <w:rFonts w:ascii="Times New Roman" w:hAnsi="Times New Roman" w:cs="Times New Roman"/>
          <w:b/>
          <w:sz w:val="24"/>
          <w:szCs w:val="24"/>
          <w:lang w:val="ro-MD"/>
        </w:rPr>
        <w:t>2023 au fost diminuate cu cca. 7,4 mil. lei</w:t>
      </w:r>
      <w:r w:rsidR="00F82B7B" w:rsidRPr="00DD5F1D">
        <w:rPr>
          <w:rFonts w:ascii="Times New Roman" w:hAnsi="Times New Roman" w:cs="Times New Roman"/>
          <w:b/>
          <w:sz w:val="24"/>
          <w:szCs w:val="24"/>
          <w:lang w:val="ro-MD"/>
        </w:rPr>
        <w:t>.</w:t>
      </w:r>
      <w:r w:rsidR="00795D5D" w:rsidRPr="00DD5F1D">
        <w:rPr>
          <w:rFonts w:ascii="Times New Roman" w:hAnsi="Times New Roman" w:cs="Times New Roman"/>
          <w:b/>
          <w:sz w:val="24"/>
          <w:szCs w:val="24"/>
          <w:lang w:val="ro-MD"/>
        </w:rPr>
        <w:t xml:space="preserve"> </w:t>
      </w:r>
    </w:p>
    <w:p w14:paraId="023D8209" w14:textId="7A039529" w:rsidR="00795D5D" w:rsidRPr="00DD5F1D" w:rsidRDefault="00795D5D" w:rsidP="00953257">
      <w:pPr>
        <w:shd w:val="clear" w:color="auto" w:fill="FFFFFF" w:themeFill="background1"/>
        <w:spacing w:after="12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Constatările de audit din </w:t>
      </w:r>
      <w:r w:rsidRPr="00D848B6">
        <w:rPr>
          <w:rFonts w:ascii="Times New Roman" w:hAnsi="Times New Roman" w:cs="Times New Roman"/>
          <w:sz w:val="24"/>
          <w:szCs w:val="24"/>
          <w:lang w:val="ro-MD"/>
        </w:rPr>
        <w:t>anii precedenți</w:t>
      </w:r>
      <w:r w:rsidRPr="00D848B6">
        <w:rPr>
          <w:rStyle w:val="a5"/>
          <w:rFonts w:ascii="Times New Roman" w:hAnsi="Times New Roman" w:cs="Times New Roman"/>
          <w:sz w:val="24"/>
          <w:szCs w:val="24"/>
          <w:lang w:val="ro-MD"/>
        </w:rPr>
        <w:footnoteReference w:id="32"/>
      </w:r>
      <w:r w:rsidRPr="00D848B6">
        <w:rPr>
          <w:rFonts w:ascii="Times New Roman" w:hAnsi="Times New Roman" w:cs="Times New Roman"/>
          <w:sz w:val="24"/>
          <w:szCs w:val="24"/>
          <w:lang w:val="ro-MD"/>
        </w:rPr>
        <w:t xml:space="preserve"> au identificat carențe la reflectarea soldurilor datoriilor aferente prestațiilor suspendate </w:t>
      </w:r>
      <w:r w:rsidR="00C7582D" w:rsidRPr="007D32B0">
        <w:rPr>
          <w:rFonts w:ascii="Times New Roman" w:hAnsi="Times New Roman" w:cs="Times New Roman"/>
          <w:sz w:val="24"/>
          <w:szCs w:val="24"/>
          <w:lang w:val="ro-MD"/>
        </w:rPr>
        <w:t xml:space="preserve">până în anul 2021, din cauza </w:t>
      </w:r>
      <w:r w:rsidR="00C7582D" w:rsidRPr="00D848B6">
        <w:rPr>
          <w:rFonts w:ascii="Times New Roman" w:hAnsi="Times New Roman" w:cs="Times New Roman"/>
          <w:sz w:val="24"/>
          <w:szCs w:val="24"/>
          <w:lang w:val="ro-MD"/>
        </w:rPr>
        <w:t>neridicării de că</w:t>
      </w:r>
      <w:r w:rsidR="00C7582D" w:rsidRPr="00C66493">
        <w:rPr>
          <w:rFonts w:ascii="Times New Roman" w:hAnsi="Times New Roman" w:cs="Times New Roman"/>
          <w:sz w:val="24"/>
          <w:szCs w:val="24"/>
          <w:lang w:val="ro-MD"/>
        </w:rPr>
        <w:t>tre beneficiari a prestațiilor</w:t>
      </w:r>
      <w:r w:rsidR="00C7582D" w:rsidRPr="007D32B0">
        <w:rPr>
          <w:rFonts w:ascii="Times New Roman" w:hAnsi="Times New Roman" w:cs="Times New Roman"/>
          <w:sz w:val="24"/>
          <w:szCs w:val="24"/>
          <w:lang w:val="ro-MD"/>
        </w:rPr>
        <w:t xml:space="preserve"> pe parcursul a 3 sau 6 luni</w:t>
      </w:r>
      <w:r w:rsidRPr="00D848B6">
        <w:rPr>
          <w:rFonts w:ascii="Times New Roman" w:hAnsi="Times New Roman" w:cs="Times New Roman"/>
          <w:sz w:val="24"/>
          <w:szCs w:val="24"/>
          <w:lang w:val="ro-MD"/>
        </w:rPr>
        <w:t xml:space="preserve">, </w:t>
      </w:r>
      <w:r w:rsidR="003D12B2" w:rsidRPr="00D848B6">
        <w:rPr>
          <w:rFonts w:ascii="Times New Roman" w:hAnsi="Times New Roman" w:cs="Times New Roman"/>
          <w:sz w:val="24"/>
          <w:szCs w:val="24"/>
          <w:lang w:val="ro-MD"/>
        </w:rPr>
        <w:t>acestea</w:t>
      </w:r>
      <w:r w:rsidR="003D12B2">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menținându-se doar în SI „Protecția Socială”. Neregulile constatate au avut loc din cauza că SI „Protecția Socială” oferă posibilitatea accesării datoriei per beneficiar (prin verificarea contului individual pentru prestațiile suspendate până în anul 2021), iar datoria asociată cu plățile suspendate nu a fost inclusă în evidența contabilă. Acestea se mențin în sistem </w:t>
      </w:r>
      <w:r w:rsidR="009C4013" w:rsidRPr="00DD5F1D">
        <w:rPr>
          <w:rFonts w:ascii="Times New Roman" w:hAnsi="Times New Roman" w:cs="Times New Roman"/>
          <w:sz w:val="24"/>
          <w:szCs w:val="24"/>
          <w:lang w:val="ro-MD"/>
        </w:rPr>
        <w:t xml:space="preserve">dar </w:t>
      </w:r>
      <w:r w:rsidRPr="00DD5F1D">
        <w:rPr>
          <w:rFonts w:ascii="Times New Roman" w:hAnsi="Times New Roman" w:cs="Times New Roman"/>
          <w:sz w:val="24"/>
          <w:szCs w:val="24"/>
          <w:lang w:val="ro-MD"/>
        </w:rPr>
        <w:t>apar în evidența contabilă odată cu cererea de reluare a plății.</w:t>
      </w:r>
    </w:p>
    <w:p w14:paraId="0CB240E8" w14:textId="514C6EE6" w:rsidR="00795D5D" w:rsidRPr="00DD5F1D" w:rsidRDefault="00795D5D" w:rsidP="00953257">
      <w:pPr>
        <w:shd w:val="clear" w:color="auto" w:fill="FFFFFF" w:themeFill="background1"/>
        <w:spacing w:after="12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De menționat că, potrivit cadrului legal, dreptul la pensie este imprescriptibil, iar pensia stabilită și neîncasată la timp se plătește retroactiv din data suspendării</w:t>
      </w:r>
      <w:r w:rsidRPr="00DD5F1D">
        <w:rPr>
          <w:rStyle w:val="a5"/>
          <w:rFonts w:ascii="Times New Roman" w:hAnsi="Times New Roman" w:cs="Times New Roman"/>
          <w:sz w:val="24"/>
          <w:szCs w:val="24"/>
          <w:lang w:val="ro-MD"/>
        </w:rPr>
        <w:footnoteReference w:id="33"/>
      </w:r>
      <w:r w:rsidRPr="00DD5F1D">
        <w:rPr>
          <w:rFonts w:ascii="Times New Roman" w:hAnsi="Times New Roman" w:cs="Times New Roman"/>
          <w:sz w:val="24"/>
          <w:szCs w:val="24"/>
          <w:lang w:val="ro-MD"/>
        </w:rPr>
        <w:t xml:space="preserve">. Astfel, auditul a solicitat sumele pensiilor reluate pe parcursul anului 2023 ale beneficiarilor cărora li s-a suspendat prestația până la 1 ianuarie 2021, dar cu reluare </w:t>
      </w:r>
      <w:r w:rsidR="00A960EB" w:rsidRPr="00DD5F1D">
        <w:rPr>
          <w:rFonts w:ascii="Times New Roman" w:hAnsi="Times New Roman" w:cs="Times New Roman"/>
          <w:sz w:val="24"/>
          <w:szCs w:val="24"/>
          <w:lang w:val="ro-MD"/>
        </w:rPr>
        <w:t>di</w:t>
      </w:r>
      <w:r w:rsidRPr="00DD5F1D">
        <w:rPr>
          <w:rFonts w:ascii="Times New Roman" w:hAnsi="Times New Roman" w:cs="Times New Roman"/>
          <w:sz w:val="24"/>
          <w:szCs w:val="24"/>
          <w:lang w:val="ro-MD"/>
        </w:rPr>
        <w:t xml:space="preserve">n anul auditat (2023). În </w:t>
      </w:r>
      <w:r w:rsidR="00F82B7B" w:rsidRPr="00DD5F1D">
        <w:rPr>
          <w:rFonts w:ascii="Times New Roman" w:hAnsi="Times New Roman" w:cs="Times New Roman"/>
          <w:sz w:val="24"/>
          <w:szCs w:val="24"/>
          <w:lang w:val="ro-MD"/>
        </w:rPr>
        <w:t xml:space="preserve">acest </w:t>
      </w:r>
      <w:r w:rsidRPr="00DD5F1D">
        <w:rPr>
          <w:rFonts w:ascii="Times New Roman" w:hAnsi="Times New Roman" w:cs="Times New Roman"/>
          <w:sz w:val="24"/>
          <w:szCs w:val="24"/>
          <w:lang w:val="ro-MD"/>
        </w:rPr>
        <w:t>context se denotă că au depus cerere de reluare a pensiei 79 de beneficiari care nu au ridicat prestația pentru o perioadă de la 3 ani și 8 luni până la 12 ani, în valoare totală de 7,4 mil</w:t>
      </w:r>
      <w:r w:rsidR="00F82B7B"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lei, ceea ce constituie estimarea valo</w:t>
      </w:r>
      <w:r w:rsidR="00F82B7B" w:rsidRPr="00DD5F1D">
        <w:rPr>
          <w:rFonts w:ascii="Times New Roman" w:hAnsi="Times New Roman" w:cs="Times New Roman"/>
          <w:sz w:val="24"/>
          <w:szCs w:val="24"/>
          <w:lang w:val="ro-MD"/>
        </w:rPr>
        <w:t>rii</w:t>
      </w:r>
      <w:r w:rsidRPr="00DD5F1D">
        <w:rPr>
          <w:rFonts w:ascii="Times New Roman" w:hAnsi="Times New Roman" w:cs="Times New Roman"/>
          <w:sz w:val="24"/>
          <w:szCs w:val="24"/>
          <w:lang w:val="ro-MD"/>
        </w:rPr>
        <w:t xml:space="preserve"> datoriilor nereflectate. </w:t>
      </w:r>
    </w:p>
    <w:p w14:paraId="4BA93DA3" w14:textId="34EAF3CD" w:rsidR="007D68A6" w:rsidRPr="00DD5F1D" w:rsidRDefault="00795D5D" w:rsidP="000956D1">
      <w:pPr>
        <w:pStyle w:val="aa"/>
        <w:spacing w:after="0" w:line="276" w:lineRule="auto"/>
        <w:ind w:left="0"/>
        <w:jc w:val="both"/>
        <w:rPr>
          <w:rFonts w:ascii="Times New Roman" w:hAnsi="Times New Roman" w:cs="Times New Roman"/>
          <w:bCs/>
          <w:sz w:val="24"/>
          <w:szCs w:val="24"/>
          <w:lang w:val="ro-MD" w:eastAsia="ru-RU"/>
        </w:rPr>
      </w:pPr>
      <w:r w:rsidRPr="00DD5F1D">
        <w:rPr>
          <w:rFonts w:ascii="Times New Roman" w:hAnsi="Times New Roman" w:cs="Times New Roman"/>
          <w:sz w:val="24"/>
          <w:szCs w:val="24"/>
          <w:lang w:val="ro-MD"/>
        </w:rPr>
        <w:t xml:space="preserve">La finele fiecărei luni, sumele pensiilor stabilite și neprimite de beneficiar în decurs de 12 luni consecutive se suspendă și se reflectă la conturi extrabilanțiere. În cazul reluării plății în baza cererii depuse de beneficiar, soldul datoriilor plăților suspendate se micșorează cu suma prestațiilor reluate. La finele anului 2023, acestea au însumat </w:t>
      </w:r>
      <w:r w:rsidRPr="00DD5F1D">
        <w:rPr>
          <w:rFonts w:ascii="Times New Roman" w:hAnsi="Times New Roman" w:cs="Times New Roman"/>
          <w:bCs/>
          <w:sz w:val="24"/>
          <w:szCs w:val="24"/>
          <w:lang w:val="ro-MD" w:eastAsia="ru-RU"/>
        </w:rPr>
        <w:t xml:space="preserve">76 379,2 mii lei, fiind în creștere cu 22 789,0 mii lei </w:t>
      </w:r>
      <w:r w:rsidR="00AE0BA2" w:rsidRPr="00DD5F1D">
        <w:rPr>
          <w:rFonts w:ascii="Times New Roman" w:hAnsi="Times New Roman" w:cs="Times New Roman"/>
          <w:bCs/>
          <w:sz w:val="24"/>
          <w:szCs w:val="24"/>
          <w:lang w:val="ro-MD" w:eastAsia="ru-RU"/>
        </w:rPr>
        <w:t>comparativ cu</w:t>
      </w:r>
      <w:r w:rsidRPr="00DD5F1D">
        <w:rPr>
          <w:rFonts w:ascii="Times New Roman" w:hAnsi="Times New Roman" w:cs="Times New Roman"/>
          <w:bCs/>
          <w:sz w:val="24"/>
          <w:szCs w:val="24"/>
          <w:lang w:val="ro-MD" w:eastAsia="ru-RU"/>
        </w:rPr>
        <w:t xml:space="preserve"> anul precedent, sau cu 42,5% </w:t>
      </w:r>
      <w:r w:rsidR="00A960EB" w:rsidRPr="00DD5F1D">
        <w:rPr>
          <w:rFonts w:ascii="Times New Roman" w:hAnsi="Times New Roman" w:cs="Times New Roman"/>
          <w:bCs/>
          <w:sz w:val="24"/>
          <w:szCs w:val="24"/>
          <w:lang w:val="ro-MD" w:eastAsia="ru-RU"/>
        </w:rPr>
        <w:t>(</w:t>
      </w:r>
      <w:r w:rsidRPr="00DD5F1D">
        <w:rPr>
          <w:rFonts w:ascii="Times New Roman" w:hAnsi="Times New Roman" w:cs="Times New Roman"/>
          <w:bCs/>
          <w:sz w:val="24"/>
          <w:szCs w:val="24"/>
          <w:lang w:val="ro-MD" w:eastAsia="ru-RU"/>
        </w:rPr>
        <w:t>Anexa nr. 10</w:t>
      </w:r>
      <w:r w:rsidR="00A960EB" w:rsidRPr="00DD5F1D">
        <w:rPr>
          <w:rFonts w:ascii="Times New Roman" w:hAnsi="Times New Roman" w:cs="Times New Roman"/>
          <w:bCs/>
          <w:sz w:val="24"/>
          <w:szCs w:val="24"/>
          <w:lang w:val="ro-MD" w:eastAsia="ru-RU"/>
        </w:rPr>
        <w:t xml:space="preserve"> la prezentul Raport de audit)</w:t>
      </w:r>
      <w:r w:rsidRPr="00DD5F1D">
        <w:rPr>
          <w:rFonts w:ascii="Times New Roman" w:hAnsi="Times New Roman" w:cs="Times New Roman"/>
          <w:bCs/>
          <w:sz w:val="24"/>
          <w:szCs w:val="24"/>
          <w:lang w:val="ro-MD" w:eastAsia="ru-RU"/>
        </w:rPr>
        <w:t xml:space="preserve">. </w:t>
      </w:r>
      <w:r w:rsidRPr="00DD5F1D">
        <w:rPr>
          <w:rFonts w:ascii="Times New Roman" w:hAnsi="Times New Roman" w:cs="Times New Roman"/>
          <w:sz w:val="24"/>
          <w:szCs w:val="24"/>
          <w:lang w:val="ro-MD"/>
        </w:rPr>
        <w:t>S</w:t>
      </w:r>
      <w:r w:rsidRPr="00DD5F1D">
        <w:rPr>
          <w:rFonts w:ascii="Times New Roman" w:hAnsi="Times New Roman" w:cs="Times New Roman"/>
          <w:bCs/>
          <w:sz w:val="24"/>
          <w:szCs w:val="24"/>
          <w:lang w:val="ro-MD" w:eastAsia="ru-RU"/>
        </w:rPr>
        <w:t>umele respective urmează a fi achitate în exercițiile financiare din anii următori, în baza cererilor depuse de către beneficiari.</w:t>
      </w:r>
    </w:p>
    <w:p w14:paraId="4D023066" w14:textId="77777777" w:rsidR="000956D1" w:rsidRPr="00DD5F1D" w:rsidRDefault="000956D1" w:rsidP="000956D1">
      <w:pPr>
        <w:pStyle w:val="aa"/>
        <w:spacing w:after="0" w:line="276" w:lineRule="auto"/>
        <w:ind w:left="0"/>
        <w:jc w:val="both"/>
        <w:rPr>
          <w:rFonts w:ascii="Times New Roman" w:hAnsi="Times New Roman" w:cs="Times New Roman"/>
          <w:sz w:val="24"/>
          <w:szCs w:val="24"/>
          <w:lang w:val="ro-MD"/>
        </w:rPr>
      </w:pPr>
    </w:p>
    <w:p w14:paraId="36AE6FFB" w14:textId="1A2ADFE7" w:rsidR="003E306C" w:rsidRPr="00DD5F1D" w:rsidRDefault="007E16C2" w:rsidP="000956D1">
      <w:pPr>
        <w:pStyle w:val="aa"/>
        <w:numPr>
          <w:ilvl w:val="1"/>
          <w:numId w:val="2"/>
        </w:numPr>
        <w:shd w:val="clear" w:color="auto" w:fill="FFFFFF" w:themeFill="background1"/>
        <w:spacing w:before="240" w:line="276" w:lineRule="auto"/>
        <w:ind w:left="360" w:hanging="360"/>
        <w:jc w:val="both"/>
        <w:outlineLvl w:val="1"/>
        <w:rPr>
          <w:rFonts w:ascii="Times New Roman" w:hAnsi="Times New Roman" w:cs="Times New Roman"/>
          <w:b/>
          <w:sz w:val="24"/>
          <w:szCs w:val="24"/>
          <w:lang w:val="ro-MD"/>
        </w:rPr>
      </w:pPr>
      <w:r w:rsidRPr="00DD5F1D">
        <w:rPr>
          <w:rFonts w:ascii="Times New Roman" w:eastAsia="Times New Roman" w:hAnsi="Times New Roman" w:cs="Times New Roman"/>
          <w:b/>
          <w:sz w:val="24"/>
          <w:szCs w:val="24"/>
          <w:lang w:val="ro-MD"/>
        </w:rPr>
        <w:t xml:space="preserve"> </w:t>
      </w:r>
      <w:r w:rsidR="003E306C" w:rsidRPr="00DD5F1D">
        <w:rPr>
          <w:rFonts w:ascii="Times New Roman" w:eastAsia="Times New Roman" w:hAnsi="Times New Roman" w:cs="Times New Roman"/>
          <w:b/>
          <w:sz w:val="24"/>
          <w:szCs w:val="24"/>
          <w:lang w:val="ro-MD"/>
        </w:rPr>
        <w:t>Limitarea</w:t>
      </w:r>
      <w:r w:rsidR="00727344" w:rsidRPr="00DD5F1D">
        <w:rPr>
          <w:rFonts w:ascii="Times New Roman" w:eastAsia="Times New Roman" w:hAnsi="Times New Roman" w:cs="Times New Roman"/>
          <w:b/>
          <w:sz w:val="24"/>
          <w:szCs w:val="24"/>
          <w:lang w:val="ro-MD"/>
        </w:rPr>
        <w:t xml:space="preserve"> domeniului de aplicare a auditului pentru a confirma valoarea </w:t>
      </w:r>
      <w:r w:rsidR="003E306C" w:rsidRPr="00DD5F1D">
        <w:rPr>
          <w:rFonts w:ascii="Times New Roman" w:eastAsia="Times New Roman" w:hAnsi="Times New Roman" w:cs="Times New Roman"/>
          <w:b/>
          <w:sz w:val="24"/>
          <w:szCs w:val="24"/>
          <w:lang w:val="ro-MD"/>
        </w:rPr>
        <w:t xml:space="preserve">de </w:t>
      </w:r>
      <w:r w:rsidR="005F14E2" w:rsidRPr="00DD5F1D">
        <w:rPr>
          <w:rFonts w:ascii="Times New Roman" w:hAnsi="Times New Roman" w:cs="Times New Roman"/>
          <w:b/>
          <w:sz w:val="24"/>
          <w:szCs w:val="24"/>
          <w:lang w:val="ro-MD"/>
        </w:rPr>
        <w:t>1,7 mil lei</w:t>
      </w:r>
      <w:r w:rsidR="003E306C" w:rsidRPr="00DD5F1D">
        <w:rPr>
          <w:rFonts w:ascii="Times New Roman" w:eastAsia="Times New Roman" w:hAnsi="Times New Roman" w:cs="Times New Roman"/>
          <w:b/>
          <w:sz w:val="24"/>
          <w:szCs w:val="24"/>
          <w:lang w:val="ro-MD"/>
        </w:rPr>
        <w:t xml:space="preserve">, a fost generată de neprezentarea informațiilor complete, precum și de lipsa delimitării </w:t>
      </w:r>
      <w:r w:rsidR="005D13A3" w:rsidRPr="00DD5F1D">
        <w:rPr>
          <w:rFonts w:ascii="Times New Roman" w:eastAsia="Times New Roman" w:hAnsi="Times New Roman" w:cs="Times New Roman"/>
          <w:b/>
          <w:sz w:val="24"/>
          <w:szCs w:val="24"/>
          <w:lang w:val="ro-MD"/>
        </w:rPr>
        <w:t xml:space="preserve">în </w:t>
      </w:r>
      <w:r w:rsidR="003E306C" w:rsidRPr="00DD5F1D">
        <w:rPr>
          <w:rFonts w:ascii="Times New Roman" w:eastAsia="Times New Roman" w:hAnsi="Times New Roman" w:cs="Times New Roman"/>
          <w:b/>
          <w:sz w:val="24"/>
          <w:szCs w:val="24"/>
          <w:lang w:val="ro-MD"/>
        </w:rPr>
        <w:t>rapo</w:t>
      </w:r>
      <w:r w:rsidR="005D13A3" w:rsidRPr="00DD5F1D">
        <w:rPr>
          <w:rFonts w:ascii="Times New Roman" w:eastAsia="Times New Roman" w:hAnsi="Times New Roman" w:cs="Times New Roman"/>
          <w:b/>
          <w:sz w:val="24"/>
          <w:szCs w:val="24"/>
          <w:lang w:val="ro-MD"/>
        </w:rPr>
        <w:t>a</w:t>
      </w:r>
      <w:r w:rsidR="003E306C" w:rsidRPr="00DD5F1D">
        <w:rPr>
          <w:rFonts w:ascii="Times New Roman" w:eastAsia="Times New Roman" w:hAnsi="Times New Roman" w:cs="Times New Roman"/>
          <w:b/>
          <w:sz w:val="24"/>
          <w:szCs w:val="24"/>
          <w:lang w:val="ro-MD"/>
        </w:rPr>
        <w:t>rt</w:t>
      </w:r>
      <w:r w:rsidR="005D13A3" w:rsidRPr="00DD5F1D">
        <w:rPr>
          <w:rFonts w:ascii="Times New Roman" w:eastAsia="Times New Roman" w:hAnsi="Times New Roman" w:cs="Times New Roman"/>
          <w:b/>
          <w:sz w:val="24"/>
          <w:szCs w:val="24"/>
          <w:lang w:val="ro-MD"/>
        </w:rPr>
        <w:t xml:space="preserve">ele prezentate a </w:t>
      </w:r>
      <w:r w:rsidR="003E306C" w:rsidRPr="00DD5F1D">
        <w:rPr>
          <w:rFonts w:ascii="Times New Roman" w:eastAsia="Times New Roman" w:hAnsi="Times New Roman" w:cs="Times New Roman"/>
          <w:b/>
          <w:sz w:val="24"/>
          <w:szCs w:val="24"/>
          <w:lang w:val="ro-MD"/>
        </w:rPr>
        <w:t xml:space="preserve"> indem</w:t>
      </w:r>
      <w:r w:rsidR="00212F48" w:rsidRPr="00DD5F1D">
        <w:rPr>
          <w:rFonts w:ascii="Times New Roman" w:eastAsia="Times New Roman" w:hAnsi="Times New Roman" w:cs="Times New Roman"/>
          <w:b/>
          <w:sz w:val="24"/>
          <w:szCs w:val="24"/>
          <w:lang w:val="ro-MD"/>
        </w:rPr>
        <w:t xml:space="preserve">nizației </w:t>
      </w:r>
      <w:r w:rsidR="005F14E2" w:rsidRPr="00DD5F1D">
        <w:rPr>
          <w:rFonts w:ascii="Times New Roman" w:eastAsia="Times New Roman" w:hAnsi="Times New Roman" w:cs="Times New Roman"/>
          <w:b/>
          <w:sz w:val="24"/>
          <w:szCs w:val="24"/>
          <w:lang w:val="ro-MD"/>
        </w:rPr>
        <w:t xml:space="preserve">de șomaj tehnic </w:t>
      </w:r>
      <w:r w:rsidR="00212F48" w:rsidRPr="00DD5F1D">
        <w:rPr>
          <w:rFonts w:ascii="Times New Roman" w:eastAsia="Times New Roman" w:hAnsi="Times New Roman" w:cs="Times New Roman"/>
          <w:b/>
          <w:sz w:val="24"/>
          <w:szCs w:val="24"/>
          <w:lang w:val="ro-MD"/>
        </w:rPr>
        <w:t>de activitatea de bază</w:t>
      </w:r>
      <w:r w:rsidR="00CF0207" w:rsidRPr="00DD5F1D">
        <w:rPr>
          <w:rFonts w:ascii="Times New Roman" w:eastAsia="Times New Roman" w:hAnsi="Times New Roman" w:cs="Times New Roman"/>
          <w:b/>
          <w:sz w:val="24"/>
          <w:szCs w:val="24"/>
          <w:lang w:val="ro-MD"/>
        </w:rPr>
        <w:t>.</w:t>
      </w:r>
    </w:p>
    <w:p w14:paraId="5D0ABAE3" w14:textId="4A9758BE" w:rsidR="003E306C" w:rsidRPr="00DD5F1D" w:rsidRDefault="003E306C" w:rsidP="003E306C">
      <w:pPr>
        <w:spacing w:line="276" w:lineRule="auto"/>
        <w:jc w:val="both"/>
        <w:rPr>
          <w:rFonts w:ascii="Times New Roman" w:hAnsi="Times New Roman" w:cs="Times New Roman"/>
          <w:sz w:val="24"/>
          <w:szCs w:val="24"/>
          <w:shd w:val="clear" w:color="auto" w:fill="FFFFFF"/>
          <w:lang w:val="ro-MD"/>
        </w:rPr>
      </w:pPr>
      <w:r w:rsidRPr="00DD5F1D">
        <w:rPr>
          <w:rFonts w:ascii="Times New Roman" w:hAnsi="Times New Roman" w:cs="Times New Roman"/>
          <w:sz w:val="24"/>
          <w:szCs w:val="24"/>
          <w:lang w:val="ro-MD"/>
        </w:rPr>
        <w:t>În anul 2023, din sursele bugetului de stat au fost acordate indemnizații pentru șomaj tehnic la 124 de be</w:t>
      </w:r>
      <w:r w:rsidR="00770C85" w:rsidRPr="00DD5F1D">
        <w:rPr>
          <w:rFonts w:ascii="Times New Roman" w:hAnsi="Times New Roman" w:cs="Times New Roman"/>
          <w:sz w:val="24"/>
          <w:szCs w:val="24"/>
          <w:lang w:val="ro-MD"/>
        </w:rPr>
        <w:t>neficiari, în valoare de 1,7 mil.lei.</w:t>
      </w:r>
      <w:r w:rsidRPr="00DD5F1D">
        <w:rPr>
          <w:rFonts w:ascii="Times New Roman" w:eastAsia="Times New Roman" w:hAnsi="Times New Roman" w:cs="Times New Roman"/>
          <w:sz w:val="28"/>
          <w:szCs w:val="28"/>
          <w:lang w:val="ro-MD"/>
        </w:rPr>
        <w:t xml:space="preserve"> </w:t>
      </w:r>
      <w:r w:rsidRPr="00DD5F1D">
        <w:rPr>
          <w:rFonts w:ascii="Times New Roman" w:hAnsi="Times New Roman" w:cs="Times New Roman"/>
          <w:sz w:val="24"/>
          <w:szCs w:val="24"/>
          <w:lang w:val="ro-MD"/>
        </w:rPr>
        <w:t>Potrivit normelor</w:t>
      </w:r>
      <w:r w:rsidR="00B77A9A" w:rsidRPr="00DD5F1D">
        <w:rPr>
          <w:rFonts w:ascii="Times New Roman" w:hAnsi="Times New Roman" w:cs="Times New Roman"/>
          <w:sz w:val="24"/>
          <w:szCs w:val="24"/>
          <w:lang w:val="ro-MD"/>
        </w:rPr>
        <w:t xml:space="preserve"> regulamentare</w:t>
      </w:r>
      <w:r w:rsidRPr="00DD5F1D">
        <w:rPr>
          <w:rFonts w:ascii="Times New Roman" w:hAnsi="Times New Roman" w:cs="Times New Roman"/>
          <w:sz w:val="24"/>
          <w:szCs w:val="24"/>
          <w:lang w:val="ro-MD"/>
        </w:rPr>
        <w:t>, indemnizația pentru șomaj tehnic se acordă salariatului aflat în șomaj tehnic instituit de angajator ca urmare a restricțiilor impuse în starea de urgență în sănătate publică sau ca urmare a declarării stării de urgență, de asediu și de război</w:t>
      </w:r>
      <w:r w:rsidRPr="00DD5F1D">
        <w:rPr>
          <w:rFonts w:ascii="Times New Roman" w:hAnsi="Times New Roman" w:cs="Times New Roman"/>
          <w:sz w:val="24"/>
          <w:szCs w:val="24"/>
          <w:shd w:val="clear" w:color="auto" w:fill="FFFFFF"/>
          <w:lang w:val="ro-MD"/>
        </w:rPr>
        <w:t>. Totodată, a</w:t>
      </w:r>
      <w:r w:rsidRPr="00DD5F1D">
        <w:rPr>
          <w:rFonts w:ascii="Times New Roman" w:hAnsi="Times New Roman" w:cs="Times New Roman"/>
          <w:sz w:val="24"/>
          <w:szCs w:val="24"/>
          <w:lang w:val="ro-MD"/>
        </w:rPr>
        <w:t xml:space="preserve">ngajatorul, până la data de 25 a lunii imediat următoare lunii în care a fost stabilit șomajul tehnic, prezintă, prin intermediul ghișeului unic de raportare electronică, solicitarea acordării din bugetul de stat a indemnizației pentru șomaj tehnic, iar </w:t>
      </w:r>
      <w:r w:rsidRPr="00DD5F1D">
        <w:rPr>
          <w:rFonts w:ascii="Times New Roman" w:hAnsi="Times New Roman" w:cs="Times New Roman"/>
          <w:sz w:val="24"/>
          <w:szCs w:val="24"/>
          <w:shd w:val="clear" w:color="auto" w:fill="FFFFFF"/>
          <w:lang w:val="ro-MD"/>
        </w:rPr>
        <w:t>Ministerul Finanțelor planifică și transferă lunar mijloace financia</w:t>
      </w:r>
      <w:r w:rsidR="00770C85" w:rsidRPr="00DD5F1D">
        <w:rPr>
          <w:rFonts w:ascii="Times New Roman" w:hAnsi="Times New Roman" w:cs="Times New Roman"/>
          <w:sz w:val="24"/>
          <w:szCs w:val="24"/>
          <w:shd w:val="clear" w:color="auto" w:fill="FFFFFF"/>
          <w:lang w:val="ro-MD"/>
        </w:rPr>
        <w:t>re, în modul stabilit, către CNAS</w:t>
      </w:r>
      <w:r w:rsidRPr="00DD5F1D">
        <w:rPr>
          <w:rFonts w:ascii="Times New Roman" w:hAnsi="Times New Roman" w:cs="Times New Roman"/>
          <w:sz w:val="24"/>
          <w:szCs w:val="24"/>
          <w:shd w:val="clear" w:color="auto" w:fill="FFFFFF"/>
          <w:lang w:val="ro-MD"/>
        </w:rPr>
        <w:t xml:space="preserve"> pentru plata indemnizației în limitele surselor prevăzute în bugetul de stat în aceste scopuri</w:t>
      </w:r>
      <w:r w:rsidRPr="00DD5F1D">
        <w:rPr>
          <w:rStyle w:val="a5"/>
          <w:rFonts w:ascii="Times New Roman" w:hAnsi="Times New Roman" w:cs="Times New Roman"/>
          <w:sz w:val="24"/>
          <w:szCs w:val="24"/>
          <w:shd w:val="clear" w:color="auto" w:fill="FFFFFF"/>
          <w:lang w:val="ro-MD"/>
        </w:rPr>
        <w:footnoteReference w:id="34"/>
      </w:r>
      <w:r w:rsidRPr="00DD5F1D">
        <w:rPr>
          <w:rStyle w:val="a5"/>
          <w:rFonts w:ascii="Times New Roman" w:hAnsi="Times New Roman" w:cs="Times New Roman"/>
          <w:sz w:val="24"/>
          <w:szCs w:val="24"/>
          <w:shd w:val="clear" w:color="auto" w:fill="FFFFFF"/>
          <w:vertAlign w:val="baseline"/>
          <w:lang w:val="ro-MD"/>
        </w:rPr>
        <w:t>.</w:t>
      </w:r>
      <w:r w:rsidRPr="00DD5F1D">
        <w:rPr>
          <w:rFonts w:ascii="Times New Roman" w:hAnsi="Times New Roman" w:cs="Times New Roman"/>
          <w:sz w:val="24"/>
          <w:szCs w:val="24"/>
          <w:shd w:val="clear" w:color="auto" w:fill="FFFFFF"/>
          <w:lang w:val="ro-MD"/>
        </w:rPr>
        <w:t xml:space="preserve"> Se denotă că indemnizațiile au fost achitate pentru anul 2022, pe motiv că în anul respectiv nu au fost suficiente mijloace financiare.</w:t>
      </w:r>
    </w:p>
    <w:p w14:paraId="7FB073F9" w14:textId="5AA95E26" w:rsidR="003E306C" w:rsidRPr="00DD5F1D" w:rsidRDefault="003E306C" w:rsidP="003E306C">
      <w:pPr>
        <w:spacing w:line="276" w:lineRule="auto"/>
        <w:jc w:val="both"/>
        <w:rPr>
          <w:rFonts w:ascii="Times New Roman" w:eastAsia="Times New Roman" w:hAnsi="Times New Roman" w:cs="Times New Roman"/>
          <w:sz w:val="28"/>
          <w:szCs w:val="28"/>
          <w:lang w:val="ro-MD"/>
        </w:rPr>
      </w:pPr>
      <w:r w:rsidRPr="00DD5F1D">
        <w:rPr>
          <w:rFonts w:ascii="Times New Roman" w:hAnsi="Times New Roman" w:cs="Times New Roman"/>
          <w:sz w:val="24"/>
          <w:szCs w:val="24"/>
          <w:shd w:val="clear" w:color="auto" w:fill="FFFFFF"/>
          <w:lang w:val="ro-MD"/>
        </w:rPr>
        <w:t>Deși prin legea BASS pentru anul 2023</w:t>
      </w:r>
      <w:r w:rsidRPr="00DD5F1D">
        <w:rPr>
          <w:rStyle w:val="a5"/>
          <w:rFonts w:ascii="Times New Roman" w:hAnsi="Times New Roman" w:cs="Times New Roman"/>
          <w:sz w:val="24"/>
          <w:szCs w:val="24"/>
          <w:shd w:val="clear" w:color="auto" w:fill="FFFFFF"/>
          <w:lang w:val="ro-MD"/>
        </w:rPr>
        <w:footnoteReference w:id="35"/>
      </w:r>
      <w:r w:rsidRPr="00DD5F1D">
        <w:rPr>
          <w:rFonts w:ascii="Times New Roman" w:hAnsi="Times New Roman" w:cs="Times New Roman"/>
          <w:sz w:val="24"/>
          <w:szCs w:val="24"/>
          <w:shd w:val="clear" w:color="auto" w:fill="FFFFFF"/>
          <w:lang w:val="ro-MD"/>
        </w:rPr>
        <w:t>, inițial nu au fost prevăzute/planificate mijloace financiare p</w:t>
      </w:r>
      <w:r w:rsidR="00E71A1E" w:rsidRPr="00DD5F1D">
        <w:rPr>
          <w:rFonts w:ascii="Times New Roman" w:hAnsi="Times New Roman" w:cs="Times New Roman"/>
          <w:sz w:val="24"/>
          <w:szCs w:val="24"/>
          <w:shd w:val="clear" w:color="auto" w:fill="FFFFFF"/>
          <w:lang w:val="ro-MD"/>
        </w:rPr>
        <w:t>entru această indemnizație</w:t>
      </w:r>
      <w:r w:rsidRPr="00DD5F1D">
        <w:rPr>
          <w:rStyle w:val="a5"/>
          <w:rFonts w:ascii="Times New Roman" w:hAnsi="Times New Roman" w:cs="Times New Roman"/>
          <w:sz w:val="24"/>
          <w:szCs w:val="24"/>
          <w:shd w:val="clear" w:color="auto" w:fill="FFFFFF"/>
          <w:lang w:val="ro-MD"/>
        </w:rPr>
        <w:footnoteReference w:id="36"/>
      </w:r>
      <w:r w:rsidRPr="00DD5F1D">
        <w:rPr>
          <w:rFonts w:ascii="Times New Roman" w:hAnsi="Times New Roman" w:cs="Times New Roman"/>
          <w:sz w:val="24"/>
          <w:szCs w:val="24"/>
          <w:shd w:val="clear" w:color="auto" w:fill="FFFFFF"/>
          <w:lang w:val="ro-MD"/>
        </w:rPr>
        <w:t xml:space="preserve"> </w:t>
      </w:r>
      <w:r w:rsidR="00E71A1E" w:rsidRPr="00DD5F1D">
        <w:rPr>
          <w:rFonts w:ascii="Times New Roman" w:hAnsi="Times New Roman" w:cs="Times New Roman"/>
          <w:sz w:val="24"/>
          <w:szCs w:val="24"/>
          <w:shd w:val="clear" w:color="auto" w:fill="FFFFFF"/>
          <w:lang w:val="ro-MD"/>
        </w:rPr>
        <w:t xml:space="preserve">la propunerea MMPS  au fost efectuate </w:t>
      </w:r>
      <w:r w:rsidRPr="00DD5F1D">
        <w:rPr>
          <w:rFonts w:ascii="Times New Roman" w:hAnsi="Times New Roman" w:cs="Times New Roman"/>
          <w:sz w:val="24"/>
          <w:szCs w:val="24"/>
          <w:shd w:val="clear" w:color="auto" w:fill="FFFFFF"/>
          <w:lang w:val="ro-MD"/>
        </w:rPr>
        <w:t>modi</w:t>
      </w:r>
      <w:r w:rsidR="00E71A1E" w:rsidRPr="00DD5F1D">
        <w:rPr>
          <w:rFonts w:ascii="Times New Roman" w:hAnsi="Times New Roman" w:cs="Times New Roman"/>
          <w:sz w:val="24"/>
          <w:szCs w:val="24"/>
          <w:shd w:val="clear" w:color="auto" w:fill="FFFFFF"/>
          <w:lang w:val="ro-MD"/>
        </w:rPr>
        <w:t>ficări la prevederile Legii</w:t>
      </w:r>
      <w:r w:rsidRPr="00DD5F1D">
        <w:rPr>
          <w:rFonts w:ascii="Times New Roman" w:hAnsi="Times New Roman" w:cs="Times New Roman"/>
          <w:sz w:val="24"/>
          <w:szCs w:val="24"/>
          <w:shd w:val="clear" w:color="auto" w:fill="FFFFFF"/>
          <w:lang w:val="ro-MD"/>
        </w:rPr>
        <w:t xml:space="preserve"> BASS pentru anul 2023</w:t>
      </w:r>
      <w:r w:rsidRPr="00DD5F1D">
        <w:rPr>
          <w:rStyle w:val="a5"/>
          <w:rFonts w:ascii="Times New Roman" w:hAnsi="Times New Roman" w:cs="Times New Roman"/>
          <w:sz w:val="24"/>
          <w:szCs w:val="24"/>
          <w:shd w:val="clear" w:color="auto" w:fill="FFFFFF"/>
          <w:lang w:val="ro-MD"/>
        </w:rPr>
        <w:footnoteReference w:id="37"/>
      </w:r>
      <w:r w:rsidR="005D13A3" w:rsidRPr="00DD5F1D">
        <w:rPr>
          <w:rFonts w:ascii="Times New Roman" w:hAnsi="Times New Roman" w:cs="Times New Roman"/>
          <w:sz w:val="24"/>
          <w:szCs w:val="24"/>
          <w:shd w:val="clear" w:color="auto" w:fill="FFFFFF"/>
          <w:lang w:val="ro-MD"/>
        </w:rPr>
        <w:t xml:space="preserve">, fiind </w:t>
      </w:r>
      <w:r w:rsidRPr="00DD5F1D">
        <w:rPr>
          <w:rFonts w:ascii="Times New Roman" w:hAnsi="Times New Roman" w:cs="Times New Roman"/>
          <w:sz w:val="24"/>
          <w:szCs w:val="24"/>
          <w:shd w:val="clear" w:color="auto" w:fill="FFFFFF"/>
          <w:lang w:val="ro-MD"/>
        </w:rPr>
        <w:t xml:space="preserve"> alocate mijloace financiare suplimentare în sumă de </w:t>
      </w:r>
      <w:r w:rsidR="00770C85" w:rsidRPr="00DD5F1D">
        <w:rPr>
          <w:rFonts w:ascii="Times New Roman" w:hAnsi="Times New Roman" w:cs="Times New Roman"/>
          <w:sz w:val="24"/>
          <w:szCs w:val="24"/>
          <w:shd w:val="clear" w:color="auto" w:fill="FFFFFF"/>
          <w:lang w:val="ro-MD"/>
        </w:rPr>
        <w:t>2,0 mil. lei</w:t>
      </w:r>
      <w:r w:rsidRPr="00DD5F1D">
        <w:rPr>
          <w:rStyle w:val="a5"/>
          <w:rFonts w:ascii="Times New Roman" w:hAnsi="Times New Roman" w:cs="Times New Roman"/>
          <w:sz w:val="24"/>
          <w:szCs w:val="24"/>
          <w:shd w:val="clear" w:color="auto" w:fill="FFFFFF"/>
          <w:lang w:val="ro-MD"/>
        </w:rPr>
        <w:footnoteReference w:id="38"/>
      </w:r>
      <w:r w:rsidRPr="00DD5F1D">
        <w:rPr>
          <w:rFonts w:ascii="Times New Roman" w:hAnsi="Times New Roman" w:cs="Times New Roman"/>
          <w:sz w:val="24"/>
          <w:szCs w:val="24"/>
          <w:shd w:val="clear" w:color="auto" w:fill="FFFFFF"/>
          <w:lang w:val="ro-MD"/>
        </w:rPr>
        <w:t>.</w:t>
      </w:r>
    </w:p>
    <w:p w14:paraId="2F5E0BAC" w14:textId="18F673D1" w:rsidR="003E306C" w:rsidRPr="00DD5F1D" w:rsidRDefault="003E306C" w:rsidP="003E306C">
      <w:pPr>
        <w:spacing w:line="276" w:lineRule="auto"/>
        <w:jc w:val="both"/>
        <w:rPr>
          <w:rFonts w:ascii="Times New Roman" w:eastAsia="Times New Roman" w:hAnsi="Times New Roman" w:cs="Times New Roman"/>
          <w:sz w:val="28"/>
          <w:szCs w:val="28"/>
          <w:lang w:val="ro-MD"/>
        </w:rPr>
      </w:pPr>
      <w:r w:rsidRPr="00DD5F1D">
        <w:rPr>
          <w:rFonts w:ascii="Times New Roman" w:hAnsi="Times New Roman" w:cs="Times New Roman"/>
          <w:sz w:val="24"/>
          <w:szCs w:val="24"/>
          <w:lang w:val="ro-MD"/>
        </w:rPr>
        <w:t>Pentru asigurarea corectitudinii stabilirii și achitării indemnizației de șomaj, auditul a solicitat lista agenților economici/angajatorilor care au instituit șomaj. CNAS a prezentat informații privind plata către salariați, iar SFS, CTIF și MF nu au prezentat informații suplimentare privind angajatorii, baza de calcul, perioada pentru care a fost acordată indemnizația etc.</w:t>
      </w:r>
      <w:r w:rsidRPr="00DD5F1D">
        <w:rPr>
          <w:rFonts w:ascii="Times New Roman" w:eastAsia="Times New Roman" w:hAnsi="Times New Roman" w:cs="Times New Roman"/>
          <w:sz w:val="28"/>
          <w:szCs w:val="28"/>
          <w:lang w:val="ro-MD"/>
        </w:rPr>
        <w:t xml:space="preserve"> </w:t>
      </w:r>
      <w:r w:rsidRPr="007D32B0">
        <w:rPr>
          <w:rFonts w:ascii="Times New Roman" w:hAnsi="Times New Roman" w:cs="Times New Roman"/>
          <w:sz w:val="24"/>
          <w:szCs w:val="24"/>
          <w:lang w:val="ro-MD"/>
        </w:rPr>
        <w:t>Codul muncii</w:t>
      </w:r>
      <w:r w:rsidR="00D848B6" w:rsidRPr="007D32B0">
        <w:rPr>
          <w:rFonts w:ascii="Times New Roman" w:hAnsi="Times New Roman" w:cs="Times New Roman"/>
          <w:sz w:val="24"/>
          <w:szCs w:val="24"/>
          <w:lang w:val="ro-MD"/>
        </w:rPr>
        <w:t>,</w:t>
      </w:r>
      <w:r w:rsidRPr="007D32B0">
        <w:rPr>
          <w:rFonts w:ascii="Times New Roman" w:hAnsi="Times New Roman" w:cs="Times New Roman"/>
          <w:sz w:val="24"/>
          <w:szCs w:val="24"/>
          <w:lang w:val="ro-MD"/>
        </w:rPr>
        <w:t xml:space="preserve"> </w:t>
      </w:r>
      <w:r w:rsidR="00D848B6" w:rsidRPr="007D32B0">
        <w:rPr>
          <w:rFonts w:ascii="Times New Roman" w:hAnsi="Times New Roman" w:cs="Times New Roman"/>
          <w:sz w:val="24"/>
          <w:szCs w:val="24"/>
          <w:lang w:val="ro-MD"/>
        </w:rPr>
        <w:t xml:space="preserve">încă de la aprobarea, </w:t>
      </w:r>
      <w:r w:rsidRPr="007D32B0">
        <w:rPr>
          <w:rFonts w:ascii="Times New Roman" w:hAnsi="Times New Roman" w:cs="Times New Roman"/>
          <w:sz w:val="24"/>
          <w:szCs w:val="24"/>
          <w:lang w:val="ro-MD"/>
        </w:rPr>
        <w:t>prevede condițiile de acordare a șomajului tehnic,</w:t>
      </w:r>
      <w:r w:rsidRPr="00DD5F1D">
        <w:rPr>
          <w:rFonts w:ascii="Times New Roman" w:hAnsi="Times New Roman" w:cs="Times New Roman"/>
          <w:sz w:val="24"/>
          <w:szCs w:val="24"/>
          <w:lang w:val="ro-MD"/>
        </w:rPr>
        <w:t xml:space="preserve"> însă până în prezent nu a fost atribuit codul unic</w:t>
      </w:r>
      <w:r w:rsidRPr="00DD5F1D">
        <w:rPr>
          <w:rStyle w:val="a5"/>
          <w:rFonts w:ascii="Times New Roman" w:hAnsi="Times New Roman" w:cs="Times New Roman"/>
          <w:sz w:val="24"/>
          <w:szCs w:val="24"/>
          <w:lang w:val="ro-MD"/>
        </w:rPr>
        <w:footnoteReference w:id="39"/>
      </w:r>
      <w:r w:rsidRPr="00DD5F1D">
        <w:rPr>
          <w:rFonts w:ascii="Times New Roman" w:hAnsi="Times New Roman" w:cs="Times New Roman"/>
          <w:sz w:val="24"/>
          <w:szCs w:val="24"/>
          <w:lang w:val="ro-MD"/>
        </w:rPr>
        <w:t xml:space="preserve"> de raportare/clasificare aferent acestei </w:t>
      </w:r>
      <w:r w:rsidR="005D13A3" w:rsidRPr="00DD5F1D">
        <w:rPr>
          <w:rFonts w:ascii="Times New Roman" w:hAnsi="Times New Roman" w:cs="Times New Roman"/>
          <w:sz w:val="24"/>
          <w:szCs w:val="24"/>
          <w:lang w:val="ro-MD"/>
        </w:rPr>
        <w:t>plăți</w:t>
      </w:r>
      <w:r w:rsidRPr="00DD5F1D">
        <w:rPr>
          <w:rFonts w:ascii="Times New Roman" w:hAnsi="Times New Roman" w:cs="Times New Roman"/>
          <w:sz w:val="24"/>
          <w:szCs w:val="24"/>
          <w:lang w:val="ro-MD"/>
        </w:rPr>
        <w:t xml:space="preserve">. Astfel, la analiza extraselor de cont ale beneficiarilor, s-a constatat că nu există delimitare între </w:t>
      </w:r>
      <w:r w:rsidR="005D13A3" w:rsidRPr="00DD5F1D">
        <w:rPr>
          <w:rFonts w:ascii="Times New Roman" w:hAnsi="Times New Roman" w:cs="Times New Roman"/>
          <w:sz w:val="24"/>
          <w:szCs w:val="24"/>
          <w:lang w:val="ro-MD"/>
        </w:rPr>
        <w:t xml:space="preserve">plățile pentru </w:t>
      </w:r>
      <w:r w:rsidRPr="00DD5F1D">
        <w:rPr>
          <w:rFonts w:ascii="Times New Roman" w:hAnsi="Times New Roman" w:cs="Times New Roman"/>
          <w:sz w:val="24"/>
          <w:szCs w:val="24"/>
          <w:lang w:val="ro-MD"/>
        </w:rPr>
        <w:t xml:space="preserve">activitatea de bază (cod 101) și </w:t>
      </w:r>
      <w:r w:rsidR="005D13A3" w:rsidRPr="00DD5F1D">
        <w:rPr>
          <w:rFonts w:ascii="Times New Roman" w:hAnsi="Times New Roman" w:cs="Times New Roman"/>
          <w:sz w:val="24"/>
          <w:szCs w:val="24"/>
          <w:lang w:val="ro-MD"/>
        </w:rPr>
        <w:t>plățile pentr</w:t>
      </w:r>
      <w:r w:rsidR="00D848B6">
        <w:rPr>
          <w:rFonts w:ascii="Times New Roman" w:hAnsi="Times New Roman" w:cs="Times New Roman"/>
          <w:sz w:val="24"/>
          <w:szCs w:val="24"/>
          <w:lang w:val="ro-MD"/>
        </w:rPr>
        <w:t>u</w:t>
      </w:r>
      <w:r w:rsidR="005D13A3"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șomajul tehnic, acest</w:t>
      </w:r>
      <w:r w:rsidR="005D13A3" w:rsidRPr="00DD5F1D">
        <w:rPr>
          <w:rFonts w:ascii="Times New Roman" w:hAnsi="Times New Roman" w:cs="Times New Roman"/>
          <w:sz w:val="24"/>
          <w:szCs w:val="24"/>
          <w:lang w:val="ro-MD"/>
        </w:rPr>
        <w:t>e</w:t>
      </w:r>
      <w:r w:rsidRPr="00DD5F1D">
        <w:rPr>
          <w:rFonts w:ascii="Times New Roman" w:hAnsi="Times New Roman" w:cs="Times New Roman"/>
          <w:sz w:val="24"/>
          <w:szCs w:val="24"/>
          <w:lang w:val="ro-MD"/>
        </w:rPr>
        <w:t>a din urm</w:t>
      </w:r>
      <w:r w:rsidR="008C3335" w:rsidRPr="00DD5F1D">
        <w:rPr>
          <w:rFonts w:ascii="Times New Roman" w:hAnsi="Times New Roman" w:cs="Times New Roman"/>
          <w:sz w:val="24"/>
          <w:szCs w:val="24"/>
          <w:lang w:val="ro-MD"/>
        </w:rPr>
        <w:t>ă</w:t>
      </w:r>
      <w:r w:rsidRPr="00DD5F1D">
        <w:rPr>
          <w:rFonts w:ascii="Times New Roman" w:hAnsi="Times New Roman" w:cs="Times New Roman"/>
          <w:sz w:val="24"/>
          <w:szCs w:val="24"/>
          <w:lang w:val="ro-MD"/>
        </w:rPr>
        <w:t xml:space="preserve"> fiind raportat</w:t>
      </w:r>
      <w:r w:rsidR="005D13A3" w:rsidRPr="00DD5F1D">
        <w:rPr>
          <w:rFonts w:ascii="Times New Roman" w:hAnsi="Times New Roman" w:cs="Times New Roman"/>
          <w:sz w:val="24"/>
          <w:szCs w:val="24"/>
          <w:lang w:val="ro-MD"/>
        </w:rPr>
        <w:t>e</w:t>
      </w:r>
      <w:r w:rsidRPr="00DD5F1D">
        <w:rPr>
          <w:rFonts w:ascii="Times New Roman" w:hAnsi="Times New Roman" w:cs="Times New Roman"/>
          <w:sz w:val="24"/>
          <w:szCs w:val="24"/>
          <w:lang w:val="ro-MD"/>
        </w:rPr>
        <w:t xml:space="preserve"> la același cod. Prin urmare, auditul a fost în imposibilitate de</w:t>
      </w:r>
      <w:r w:rsidR="00770C85" w:rsidRPr="00DD5F1D">
        <w:rPr>
          <w:rFonts w:ascii="Times New Roman" w:hAnsi="Times New Roman" w:cs="Times New Roman"/>
          <w:sz w:val="24"/>
          <w:szCs w:val="24"/>
          <w:lang w:val="ro-MD"/>
        </w:rPr>
        <w:t xml:space="preserve"> a evalua și </w:t>
      </w:r>
      <w:r w:rsidR="008C3335" w:rsidRPr="00DD5F1D">
        <w:rPr>
          <w:rFonts w:ascii="Times New Roman" w:hAnsi="Times New Roman" w:cs="Times New Roman"/>
          <w:sz w:val="24"/>
          <w:szCs w:val="24"/>
          <w:lang w:val="ro-MD"/>
        </w:rPr>
        <w:t xml:space="preserve">a </w:t>
      </w:r>
      <w:r w:rsidRPr="00DD5F1D">
        <w:rPr>
          <w:rFonts w:ascii="Times New Roman" w:hAnsi="Times New Roman" w:cs="Times New Roman"/>
          <w:sz w:val="24"/>
          <w:szCs w:val="24"/>
          <w:lang w:val="ro-MD"/>
        </w:rPr>
        <w:t>obține asigurare privind</w:t>
      </w:r>
      <w:r w:rsidR="00770C85" w:rsidRPr="00DD5F1D">
        <w:rPr>
          <w:rFonts w:ascii="Times New Roman" w:hAnsi="Times New Roman" w:cs="Times New Roman"/>
          <w:sz w:val="24"/>
          <w:szCs w:val="24"/>
          <w:lang w:val="ro-MD"/>
        </w:rPr>
        <w:t xml:space="preserve"> regularitatea</w:t>
      </w:r>
      <w:r w:rsidRPr="00DD5F1D">
        <w:rPr>
          <w:rFonts w:ascii="Times New Roman" w:hAnsi="Times New Roman" w:cs="Times New Roman"/>
          <w:sz w:val="24"/>
          <w:szCs w:val="24"/>
          <w:lang w:val="ro-MD"/>
        </w:rPr>
        <w:t xml:space="preserve"> calculării indemni</w:t>
      </w:r>
      <w:r w:rsidR="00B77A9A" w:rsidRPr="00DD5F1D">
        <w:rPr>
          <w:rFonts w:ascii="Times New Roman" w:hAnsi="Times New Roman" w:cs="Times New Roman"/>
          <w:sz w:val="24"/>
          <w:szCs w:val="24"/>
          <w:lang w:val="ro-MD"/>
        </w:rPr>
        <w:t>zației în sumă 1,7 mil. lei</w:t>
      </w:r>
      <w:r w:rsidRPr="00DD5F1D">
        <w:rPr>
          <w:rFonts w:ascii="Times New Roman" w:eastAsia="Times New Roman" w:hAnsi="Times New Roman" w:cs="Times New Roman"/>
          <w:sz w:val="24"/>
          <w:szCs w:val="24"/>
          <w:lang w:val="ro-MD"/>
        </w:rPr>
        <w:t>,</w:t>
      </w:r>
      <w:r w:rsidRPr="00DD5F1D">
        <w:rPr>
          <w:rFonts w:ascii="Times New Roman" w:eastAsia="Times New Roman" w:hAnsi="Times New Roman" w:cs="Times New Roman"/>
          <w:b/>
          <w:sz w:val="24"/>
          <w:szCs w:val="24"/>
          <w:lang w:val="ro-MD"/>
        </w:rPr>
        <w:t xml:space="preserve"> </w:t>
      </w:r>
      <w:r w:rsidRPr="00DD5F1D">
        <w:rPr>
          <w:rFonts w:ascii="Times New Roman" w:hAnsi="Times New Roman" w:cs="Times New Roman"/>
          <w:sz w:val="24"/>
          <w:szCs w:val="24"/>
          <w:lang w:val="ro-MD"/>
        </w:rPr>
        <w:t xml:space="preserve">din lipsa delimitării </w:t>
      </w:r>
      <w:r w:rsidR="005D13A3" w:rsidRPr="00DD5F1D">
        <w:rPr>
          <w:rFonts w:ascii="Times New Roman" w:hAnsi="Times New Roman" w:cs="Times New Roman"/>
          <w:sz w:val="24"/>
          <w:szCs w:val="24"/>
          <w:lang w:val="ro-MD"/>
        </w:rPr>
        <w:t xml:space="preserve">plăților </w:t>
      </w:r>
      <w:r w:rsidRPr="00DD5F1D">
        <w:rPr>
          <w:rFonts w:ascii="Times New Roman" w:hAnsi="Times New Roman" w:cs="Times New Roman"/>
          <w:sz w:val="24"/>
          <w:szCs w:val="24"/>
          <w:lang w:val="ro-MD"/>
        </w:rPr>
        <w:t>în extrasul de cont și din cauza neprezentării informații</w:t>
      </w:r>
      <w:r w:rsidR="008C3335" w:rsidRPr="00DD5F1D">
        <w:rPr>
          <w:rFonts w:ascii="Times New Roman" w:hAnsi="Times New Roman" w:cs="Times New Roman"/>
          <w:sz w:val="24"/>
          <w:szCs w:val="24"/>
          <w:lang w:val="ro-MD"/>
        </w:rPr>
        <w:t>lor</w:t>
      </w:r>
      <w:r w:rsidRPr="00DD5F1D">
        <w:rPr>
          <w:rFonts w:ascii="Times New Roman" w:hAnsi="Times New Roman" w:cs="Times New Roman"/>
          <w:sz w:val="24"/>
          <w:szCs w:val="24"/>
          <w:lang w:val="ro-MD"/>
        </w:rPr>
        <w:t>.</w:t>
      </w:r>
    </w:p>
    <w:p w14:paraId="45F294D5" w14:textId="19862E27" w:rsidR="00C342ED" w:rsidRPr="00DD5F1D" w:rsidRDefault="00C342ED" w:rsidP="00251419">
      <w:pPr>
        <w:pStyle w:val="2"/>
        <w:numPr>
          <w:ilvl w:val="1"/>
          <w:numId w:val="2"/>
        </w:numPr>
        <w:shd w:val="clear" w:color="auto" w:fill="FFFFFF" w:themeFill="background1"/>
        <w:spacing w:before="0" w:line="276" w:lineRule="auto"/>
        <w:ind w:left="0" w:firstLine="0"/>
        <w:jc w:val="both"/>
        <w:rPr>
          <w:rFonts w:ascii="Times New Roman" w:hAnsi="Times New Roman" w:cs="Times New Roman"/>
          <w:b/>
          <w:color w:val="auto"/>
          <w:sz w:val="24"/>
          <w:szCs w:val="24"/>
          <w:lang w:val="ro-MD"/>
        </w:rPr>
      </w:pPr>
      <w:r w:rsidRPr="00DD5F1D">
        <w:rPr>
          <w:rFonts w:ascii="Times New Roman" w:hAnsi="Times New Roman" w:cs="Times New Roman"/>
          <w:b/>
          <w:color w:val="auto"/>
          <w:sz w:val="24"/>
          <w:szCs w:val="24"/>
          <w:lang w:val="ro-MD"/>
        </w:rPr>
        <w:t>Pen</w:t>
      </w:r>
      <w:r w:rsidR="006162F6" w:rsidRPr="00DD5F1D">
        <w:rPr>
          <w:rFonts w:ascii="Times New Roman" w:hAnsi="Times New Roman" w:cs="Times New Roman"/>
          <w:b/>
          <w:color w:val="auto"/>
          <w:sz w:val="24"/>
          <w:szCs w:val="24"/>
          <w:lang w:val="ro-MD"/>
        </w:rPr>
        <w:t xml:space="preserve">siile pentru limită de vârstă, </w:t>
      </w:r>
      <w:r w:rsidRPr="00DD5F1D">
        <w:rPr>
          <w:rFonts w:ascii="Times New Roman" w:hAnsi="Times New Roman" w:cs="Times New Roman"/>
          <w:b/>
          <w:color w:val="auto"/>
          <w:sz w:val="24"/>
          <w:szCs w:val="24"/>
          <w:lang w:val="ro-MD"/>
        </w:rPr>
        <w:t>de dizabilitate și de urmaș au fost stabilite c</w:t>
      </w:r>
      <w:r w:rsidR="00770C85" w:rsidRPr="00DD5F1D">
        <w:rPr>
          <w:rFonts w:ascii="Times New Roman" w:hAnsi="Times New Roman" w:cs="Times New Roman"/>
          <w:b/>
          <w:color w:val="auto"/>
          <w:sz w:val="24"/>
          <w:szCs w:val="24"/>
          <w:lang w:val="ro-MD"/>
        </w:rPr>
        <w:t xml:space="preserve">onform cadrului normativ, în timp ce </w:t>
      </w:r>
      <w:r w:rsidRPr="00DD5F1D">
        <w:rPr>
          <w:rFonts w:ascii="Times New Roman" w:hAnsi="Times New Roman" w:cs="Times New Roman"/>
          <w:b/>
          <w:color w:val="auto"/>
          <w:sz w:val="24"/>
          <w:szCs w:val="24"/>
          <w:lang w:val="ro-MD"/>
        </w:rPr>
        <w:t>preluarea cu întârziere a informațiilor privind dece</w:t>
      </w:r>
      <w:r w:rsidR="00770C85" w:rsidRPr="00DD5F1D">
        <w:rPr>
          <w:rFonts w:ascii="Times New Roman" w:hAnsi="Times New Roman" w:cs="Times New Roman"/>
          <w:b/>
          <w:color w:val="auto"/>
          <w:sz w:val="24"/>
          <w:szCs w:val="24"/>
          <w:lang w:val="ro-MD"/>
        </w:rPr>
        <w:t>sul beneficiarilor a condiționat</w:t>
      </w:r>
      <w:r w:rsidRPr="00DD5F1D">
        <w:rPr>
          <w:rFonts w:ascii="Times New Roman" w:hAnsi="Times New Roman" w:cs="Times New Roman"/>
          <w:b/>
          <w:color w:val="auto"/>
          <w:sz w:val="24"/>
          <w:szCs w:val="24"/>
          <w:lang w:val="ro-MD"/>
        </w:rPr>
        <w:t xml:space="preserve"> cheltuieli nejustificate în sumă de</w:t>
      </w:r>
      <w:r w:rsidR="00B376D6" w:rsidRPr="00DD5F1D">
        <w:rPr>
          <w:rFonts w:ascii="Times New Roman" w:hAnsi="Times New Roman" w:cs="Times New Roman"/>
          <w:b/>
          <w:color w:val="auto"/>
          <w:sz w:val="24"/>
          <w:szCs w:val="24"/>
          <w:lang w:val="ro-MD"/>
        </w:rPr>
        <w:t xml:space="preserve"> 870,7</w:t>
      </w:r>
      <w:r w:rsidRPr="00DD5F1D">
        <w:rPr>
          <w:rFonts w:ascii="Times New Roman" w:hAnsi="Times New Roman" w:cs="Times New Roman"/>
          <w:b/>
          <w:color w:val="auto"/>
          <w:sz w:val="24"/>
          <w:szCs w:val="24"/>
          <w:lang w:val="ro-MD"/>
        </w:rPr>
        <w:t xml:space="preserve"> mii lei</w:t>
      </w:r>
      <w:r w:rsidR="00770C85" w:rsidRPr="00DD5F1D">
        <w:rPr>
          <w:rFonts w:ascii="Times New Roman" w:hAnsi="Times New Roman" w:cs="Times New Roman"/>
          <w:b/>
          <w:color w:val="auto"/>
          <w:sz w:val="24"/>
          <w:szCs w:val="24"/>
          <w:lang w:val="ro-MD"/>
        </w:rPr>
        <w:t>.</w:t>
      </w:r>
    </w:p>
    <w:p w14:paraId="064496EF" w14:textId="2AE9F57A" w:rsidR="00636C42" w:rsidRPr="00DD5F1D" w:rsidRDefault="00D71A75" w:rsidP="000956D1">
      <w:pPr>
        <w:pStyle w:val="aa"/>
        <w:numPr>
          <w:ilvl w:val="0"/>
          <w:numId w:val="24"/>
        </w:numPr>
        <w:spacing w:line="276" w:lineRule="auto"/>
        <w:jc w:val="both"/>
        <w:rPr>
          <w:rFonts w:ascii="Times New Roman" w:hAnsi="Times New Roman" w:cs="Times New Roman"/>
          <w:b/>
          <w:sz w:val="24"/>
          <w:szCs w:val="24"/>
          <w:lang w:val="ro-MD"/>
        </w:rPr>
      </w:pPr>
      <w:r w:rsidRPr="00DD5F1D">
        <w:rPr>
          <w:rFonts w:ascii="Times New Roman" w:hAnsi="Times New Roman" w:cs="Times New Roman"/>
          <w:b/>
          <w:sz w:val="24"/>
          <w:szCs w:val="24"/>
          <w:lang w:val="ro-MD"/>
        </w:rPr>
        <w:t>În anul 2023, pensia minimă a depășit minimul de exi</w:t>
      </w:r>
      <w:r w:rsidR="003C576D" w:rsidRPr="00DD5F1D">
        <w:rPr>
          <w:rFonts w:ascii="Times New Roman" w:hAnsi="Times New Roman" w:cs="Times New Roman"/>
          <w:b/>
          <w:sz w:val="24"/>
          <w:szCs w:val="24"/>
          <w:lang w:val="ro-MD"/>
        </w:rPr>
        <w:t>stență pentru pensionari, cu 9%</w:t>
      </w:r>
      <w:r w:rsidR="008C3335" w:rsidRPr="00DD5F1D">
        <w:rPr>
          <w:rFonts w:ascii="Times New Roman" w:hAnsi="Times New Roman" w:cs="Times New Roman"/>
          <w:b/>
          <w:sz w:val="24"/>
          <w:szCs w:val="24"/>
          <w:lang w:val="ro-MD"/>
        </w:rPr>
        <w:t>.</w:t>
      </w:r>
    </w:p>
    <w:p w14:paraId="4E739955" w14:textId="232CE44F" w:rsidR="000956D1" w:rsidRPr="00DD5F1D" w:rsidRDefault="00D71A75" w:rsidP="000956D1">
      <w:pPr>
        <w:spacing w:after="0" w:line="276" w:lineRule="auto"/>
        <w:jc w:val="both"/>
        <w:rPr>
          <w:rFonts w:ascii="Times New Roman" w:hAnsi="Times New Roman" w:cs="Times New Roman"/>
          <w:b/>
          <w:sz w:val="24"/>
          <w:szCs w:val="24"/>
          <w:lang w:val="ro-MD"/>
        </w:rPr>
      </w:pPr>
      <w:r w:rsidRPr="00DD5F1D">
        <w:rPr>
          <w:rFonts w:ascii="Times New Roman" w:eastAsia="Times New Roman" w:hAnsi="Times New Roman" w:cs="Times New Roman"/>
          <w:sz w:val="24"/>
          <w:szCs w:val="24"/>
          <w:lang w:val="ro-MD"/>
        </w:rPr>
        <w:t>Cuantumul pensiei minime pentru limită de vârstă se stabilește anual de către Guvern</w:t>
      </w:r>
      <w:r w:rsidR="009A6FDF" w:rsidRPr="00DD5F1D">
        <w:rPr>
          <w:rStyle w:val="a5"/>
          <w:rFonts w:ascii="Times New Roman" w:eastAsia="Times New Roman" w:hAnsi="Times New Roman" w:cs="Times New Roman"/>
          <w:sz w:val="24"/>
          <w:szCs w:val="24"/>
          <w:lang w:val="ro-MD"/>
        </w:rPr>
        <w:footnoteReference w:id="40"/>
      </w:r>
      <w:r w:rsidRPr="00DD5F1D">
        <w:rPr>
          <w:rFonts w:ascii="Times New Roman" w:eastAsia="Times New Roman" w:hAnsi="Times New Roman" w:cs="Times New Roman"/>
          <w:sz w:val="24"/>
          <w:szCs w:val="24"/>
          <w:lang w:val="ro-MD"/>
        </w:rPr>
        <w:t xml:space="preserve"> și este cel puțin egal cu cuantumu</w:t>
      </w:r>
      <w:r w:rsidR="00636C42" w:rsidRPr="00DD5F1D">
        <w:rPr>
          <w:rFonts w:ascii="Times New Roman" w:eastAsia="Times New Roman" w:hAnsi="Times New Roman" w:cs="Times New Roman"/>
          <w:sz w:val="24"/>
          <w:szCs w:val="24"/>
          <w:lang w:val="ro-MD"/>
        </w:rPr>
        <w:t>l pentru anul precedent indexat. Aceast</w:t>
      </w:r>
      <w:r w:rsidR="00CE671D" w:rsidRPr="00DD5F1D">
        <w:rPr>
          <w:rFonts w:ascii="Times New Roman" w:eastAsia="Times New Roman" w:hAnsi="Times New Roman" w:cs="Times New Roman"/>
          <w:sz w:val="24"/>
          <w:szCs w:val="24"/>
          <w:lang w:val="ro-MD"/>
        </w:rPr>
        <w:t>a se ac</w:t>
      </w:r>
      <w:r w:rsidR="00636C42" w:rsidRPr="00DD5F1D">
        <w:rPr>
          <w:rFonts w:ascii="Times New Roman" w:eastAsia="Times New Roman" w:hAnsi="Times New Roman" w:cs="Times New Roman"/>
          <w:sz w:val="24"/>
          <w:szCs w:val="24"/>
          <w:lang w:val="ro-MD"/>
        </w:rPr>
        <w:t xml:space="preserve">ordă în </w:t>
      </w:r>
      <w:r w:rsidRPr="00DD5F1D">
        <w:rPr>
          <w:rFonts w:ascii="Times New Roman" w:hAnsi="Times New Roman" w:cs="Times New Roman"/>
          <w:sz w:val="24"/>
          <w:szCs w:val="24"/>
          <w:shd w:val="clear" w:color="auto" w:fill="FFFFFF"/>
          <w:lang w:val="ro-MD"/>
        </w:rPr>
        <w:t>cazul în care cuantumul pensiei calculate pentru un stagiu compl</w:t>
      </w:r>
      <w:r w:rsidR="00CE671D" w:rsidRPr="00DD5F1D">
        <w:rPr>
          <w:rFonts w:ascii="Times New Roman" w:hAnsi="Times New Roman" w:cs="Times New Roman"/>
          <w:sz w:val="24"/>
          <w:szCs w:val="24"/>
          <w:shd w:val="clear" w:color="auto" w:fill="FFFFFF"/>
          <w:lang w:val="ro-MD"/>
        </w:rPr>
        <w:t>et de cotizare este mai mic decâ</w:t>
      </w:r>
      <w:r w:rsidRPr="00DD5F1D">
        <w:rPr>
          <w:rFonts w:ascii="Times New Roman" w:hAnsi="Times New Roman" w:cs="Times New Roman"/>
          <w:sz w:val="24"/>
          <w:szCs w:val="24"/>
          <w:shd w:val="clear" w:color="auto" w:fill="FFFFFF"/>
          <w:lang w:val="ro-MD"/>
        </w:rPr>
        <w:t>t cua</w:t>
      </w:r>
      <w:r w:rsidR="00CE671D" w:rsidRPr="00DD5F1D">
        <w:rPr>
          <w:rFonts w:ascii="Times New Roman" w:hAnsi="Times New Roman" w:cs="Times New Roman"/>
          <w:sz w:val="24"/>
          <w:szCs w:val="24"/>
          <w:shd w:val="clear" w:color="auto" w:fill="FFFFFF"/>
          <w:lang w:val="ro-MD"/>
        </w:rPr>
        <w:t>ntumul pensiei minime stabilit</w:t>
      </w:r>
      <w:r w:rsidR="00233569" w:rsidRPr="00DD5F1D">
        <w:rPr>
          <w:rFonts w:ascii="Times New Roman" w:hAnsi="Times New Roman" w:cs="Times New Roman"/>
          <w:sz w:val="24"/>
          <w:szCs w:val="24"/>
          <w:shd w:val="clear" w:color="auto" w:fill="FFFFFF"/>
          <w:lang w:val="ro-MD"/>
        </w:rPr>
        <w:t>e</w:t>
      </w:r>
      <w:r w:rsidR="00CE671D" w:rsidRPr="00DD5F1D">
        <w:rPr>
          <w:rFonts w:ascii="Times New Roman" w:hAnsi="Times New Roman" w:cs="Times New Roman"/>
          <w:sz w:val="24"/>
          <w:szCs w:val="24"/>
          <w:shd w:val="clear" w:color="auto" w:fill="FFFFFF"/>
          <w:lang w:val="ro-MD"/>
        </w:rPr>
        <w:t>. Astfel, la finele anului</w:t>
      </w:r>
      <w:r w:rsidR="00770C85" w:rsidRPr="00DD5F1D">
        <w:rPr>
          <w:rFonts w:ascii="Times New Roman" w:hAnsi="Times New Roman" w:cs="Times New Roman"/>
          <w:sz w:val="24"/>
          <w:szCs w:val="24"/>
          <w:shd w:val="clear" w:color="auto" w:fill="FFFFFF"/>
          <w:lang w:val="ro-MD"/>
        </w:rPr>
        <w:t xml:space="preserve"> 2023</w:t>
      </w:r>
      <w:r w:rsidR="00CE671D" w:rsidRPr="00DD5F1D">
        <w:rPr>
          <w:rFonts w:ascii="Times New Roman" w:hAnsi="Times New Roman" w:cs="Times New Roman"/>
          <w:sz w:val="24"/>
          <w:szCs w:val="24"/>
          <w:shd w:val="clear" w:color="auto" w:fill="FFFFFF"/>
          <w:lang w:val="ro-MD"/>
        </w:rPr>
        <w:t>, din 528</w:t>
      </w:r>
      <w:r w:rsidR="003C576D" w:rsidRPr="00DD5F1D">
        <w:rPr>
          <w:rFonts w:ascii="Times New Roman" w:hAnsi="Times New Roman" w:cs="Times New Roman"/>
          <w:sz w:val="24"/>
          <w:szCs w:val="24"/>
          <w:shd w:val="clear" w:color="auto" w:fill="FFFFFF"/>
          <w:lang w:val="ro-MD"/>
        </w:rPr>
        <w:t xml:space="preserve"> </w:t>
      </w:r>
      <w:r w:rsidR="00CE671D" w:rsidRPr="00DD5F1D">
        <w:rPr>
          <w:rFonts w:ascii="Times New Roman" w:hAnsi="Times New Roman" w:cs="Times New Roman"/>
          <w:sz w:val="24"/>
          <w:szCs w:val="24"/>
          <w:shd w:val="clear" w:color="auto" w:fill="FFFFFF"/>
          <w:lang w:val="ro-MD"/>
        </w:rPr>
        <w:t xml:space="preserve">666 </w:t>
      </w:r>
      <w:r w:rsidR="00233569" w:rsidRPr="00DD5F1D">
        <w:rPr>
          <w:rFonts w:ascii="Times New Roman" w:hAnsi="Times New Roman" w:cs="Times New Roman"/>
          <w:sz w:val="24"/>
          <w:szCs w:val="24"/>
          <w:shd w:val="clear" w:color="auto" w:fill="FFFFFF"/>
          <w:lang w:val="ro-MD"/>
        </w:rPr>
        <w:t xml:space="preserve">de </w:t>
      </w:r>
      <w:r w:rsidR="00CE671D" w:rsidRPr="00DD5F1D">
        <w:rPr>
          <w:rFonts w:ascii="Times New Roman" w:hAnsi="Times New Roman" w:cs="Times New Roman"/>
          <w:sz w:val="24"/>
          <w:szCs w:val="24"/>
          <w:shd w:val="clear" w:color="auto" w:fill="FFFFFF"/>
          <w:lang w:val="ro-MD"/>
        </w:rPr>
        <w:t>beneficiari de pe</w:t>
      </w:r>
      <w:r w:rsidR="00344697" w:rsidRPr="00DD5F1D">
        <w:rPr>
          <w:rFonts w:ascii="Times New Roman" w:hAnsi="Times New Roman" w:cs="Times New Roman"/>
          <w:sz w:val="24"/>
          <w:szCs w:val="24"/>
          <w:shd w:val="clear" w:color="auto" w:fill="FFFFFF"/>
          <w:lang w:val="ro-MD"/>
        </w:rPr>
        <w:t>nsie pentru limită de vârstă, 125 165</w:t>
      </w:r>
      <w:r w:rsidR="00770C85" w:rsidRPr="00DD5F1D">
        <w:rPr>
          <w:rFonts w:ascii="Times New Roman" w:hAnsi="Times New Roman" w:cs="Times New Roman"/>
          <w:sz w:val="24"/>
          <w:szCs w:val="24"/>
          <w:shd w:val="clear" w:color="auto" w:fill="FFFFFF"/>
          <w:lang w:val="ro-MD"/>
        </w:rPr>
        <w:t xml:space="preserve"> </w:t>
      </w:r>
      <w:r w:rsidR="005F416A" w:rsidRPr="00DD5F1D">
        <w:rPr>
          <w:rFonts w:ascii="Times New Roman" w:hAnsi="Times New Roman" w:cs="Times New Roman"/>
          <w:sz w:val="24"/>
          <w:szCs w:val="24"/>
          <w:shd w:val="clear" w:color="auto" w:fill="FFFFFF"/>
          <w:lang w:val="ro-MD"/>
        </w:rPr>
        <w:t xml:space="preserve">persoane </w:t>
      </w:r>
      <w:r w:rsidR="00770C85" w:rsidRPr="00DD5F1D">
        <w:rPr>
          <w:rFonts w:ascii="Times New Roman" w:hAnsi="Times New Roman" w:cs="Times New Roman"/>
          <w:sz w:val="24"/>
          <w:szCs w:val="24"/>
          <w:shd w:val="clear" w:color="auto" w:fill="FFFFFF"/>
          <w:lang w:val="ro-MD"/>
        </w:rPr>
        <w:t>(sau 23,7%) au</w:t>
      </w:r>
      <w:r w:rsidR="00CE671D" w:rsidRPr="00DD5F1D">
        <w:rPr>
          <w:rFonts w:ascii="Times New Roman" w:hAnsi="Times New Roman" w:cs="Times New Roman"/>
          <w:sz w:val="24"/>
          <w:szCs w:val="24"/>
          <w:shd w:val="clear" w:color="auto" w:fill="FFFFFF"/>
          <w:lang w:val="ro-MD"/>
        </w:rPr>
        <w:t xml:space="preserve"> benef</w:t>
      </w:r>
      <w:r w:rsidR="00770C85" w:rsidRPr="00DD5F1D">
        <w:rPr>
          <w:rFonts w:ascii="Times New Roman" w:hAnsi="Times New Roman" w:cs="Times New Roman"/>
          <w:sz w:val="24"/>
          <w:szCs w:val="24"/>
          <w:shd w:val="clear" w:color="auto" w:fill="FFFFFF"/>
          <w:lang w:val="ro-MD"/>
        </w:rPr>
        <w:t>iciat de pensie minimă</w:t>
      </w:r>
      <w:r w:rsidR="00CE671D" w:rsidRPr="00DD5F1D">
        <w:rPr>
          <w:rFonts w:ascii="Times New Roman" w:hAnsi="Times New Roman" w:cs="Times New Roman"/>
          <w:sz w:val="24"/>
          <w:szCs w:val="24"/>
          <w:shd w:val="clear" w:color="auto" w:fill="FFFFFF"/>
          <w:lang w:val="ro-MD"/>
        </w:rPr>
        <w:t>. Totodată, se constată că dacă în anul 2020, pensia minimă stabilită reprezenta doar 64,3% din minimul de existență, în anul 2023 aceasta depășește minimul de existență cu 9%</w:t>
      </w:r>
      <w:r w:rsidR="00233569" w:rsidRPr="00DD5F1D">
        <w:rPr>
          <w:rFonts w:ascii="Times New Roman" w:hAnsi="Times New Roman" w:cs="Times New Roman"/>
          <w:sz w:val="24"/>
          <w:szCs w:val="24"/>
          <w:shd w:val="clear" w:color="auto" w:fill="FFFFFF"/>
          <w:lang w:val="ro-MD"/>
        </w:rPr>
        <w:t>,</w:t>
      </w:r>
      <w:r w:rsidR="00CE671D" w:rsidRPr="00DD5F1D">
        <w:rPr>
          <w:rFonts w:ascii="Times New Roman" w:hAnsi="Times New Roman" w:cs="Times New Roman"/>
          <w:sz w:val="24"/>
          <w:szCs w:val="24"/>
          <w:shd w:val="clear" w:color="auto" w:fill="FFFFFF"/>
          <w:lang w:val="ro-MD"/>
        </w:rPr>
        <w:t xml:space="preserve"> sau cu 216,7 lei, situație redată în tabelul de mai jos:</w:t>
      </w:r>
    </w:p>
    <w:p w14:paraId="281053D6" w14:textId="69F338D0" w:rsidR="00720D0A" w:rsidRPr="00DD5F1D" w:rsidRDefault="00CE671D" w:rsidP="00CE671D">
      <w:pPr>
        <w:spacing w:after="0" w:line="276" w:lineRule="auto"/>
        <w:jc w:val="right"/>
        <w:rPr>
          <w:rFonts w:ascii="Times New Roman" w:hAnsi="Times New Roman" w:cs="Times New Roman"/>
          <w:b/>
          <w:szCs w:val="24"/>
          <w:lang w:val="ro-MD"/>
        </w:rPr>
      </w:pPr>
      <w:r w:rsidRPr="00DD5F1D">
        <w:rPr>
          <w:rFonts w:ascii="Times New Roman" w:hAnsi="Times New Roman" w:cs="Times New Roman"/>
          <w:b/>
          <w:szCs w:val="24"/>
          <w:lang w:val="ro-MD"/>
        </w:rPr>
        <w:t>Tabel</w:t>
      </w:r>
      <w:r w:rsidR="003C576D" w:rsidRPr="00DD5F1D">
        <w:rPr>
          <w:rFonts w:ascii="Times New Roman" w:hAnsi="Times New Roman" w:cs="Times New Roman"/>
          <w:b/>
          <w:szCs w:val="24"/>
          <w:lang w:val="ro-MD"/>
        </w:rPr>
        <w:t>ul</w:t>
      </w:r>
      <w:r w:rsidRPr="00DD5F1D">
        <w:rPr>
          <w:rFonts w:ascii="Times New Roman" w:hAnsi="Times New Roman" w:cs="Times New Roman"/>
          <w:b/>
          <w:szCs w:val="24"/>
          <w:lang w:val="ro-MD"/>
        </w:rPr>
        <w:t xml:space="preserve"> nr.</w:t>
      </w:r>
      <w:r w:rsidR="00212F48" w:rsidRPr="00DD5F1D">
        <w:rPr>
          <w:rFonts w:ascii="Times New Roman" w:hAnsi="Times New Roman" w:cs="Times New Roman"/>
          <w:b/>
          <w:szCs w:val="24"/>
          <w:lang w:val="ro-MD"/>
        </w:rPr>
        <w:t xml:space="preserve"> </w:t>
      </w:r>
      <w:r w:rsidR="0021536C" w:rsidRPr="00DD5F1D">
        <w:rPr>
          <w:rFonts w:ascii="Times New Roman" w:hAnsi="Times New Roman" w:cs="Times New Roman"/>
          <w:b/>
          <w:szCs w:val="24"/>
          <w:lang w:val="ro-MD"/>
        </w:rPr>
        <w:t>8</w:t>
      </w:r>
    </w:p>
    <w:p w14:paraId="156CFECE" w14:textId="6CDD830B" w:rsidR="00D71A75" w:rsidRPr="00DD5F1D" w:rsidRDefault="00C342ED" w:rsidP="00720D0A">
      <w:pPr>
        <w:spacing w:after="0" w:line="276" w:lineRule="auto"/>
        <w:jc w:val="center"/>
        <w:rPr>
          <w:rFonts w:ascii="Times New Roman" w:hAnsi="Times New Roman" w:cs="Times New Roman"/>
          <w:b/>
          <w:szCs w:val="24"/>
          <w:lang w:val="ro-MD"/>
        </w:rPr>
      </w:pPr>
      <w:r w:rsidRPr="00DD5F1D">
        <w:rPr>
          <w:rFonts w:ascii="Times New Roman" w:hAnsi="Times New Roman" w:cs="Times New Roman"/>
          <w:b/>
          <w:szCs w:val="24"/>
          <w:lang w:val="ro-MD"/>
        </w:rPr>
        <w:t>Dinamica creșterii cuantumului pensiei minime, a minimului de existență</w:t>
      </w:r>
      <w:r w:rsidR="006C591F" w:rsidRPr="00DD5F1D">
        <w:rPr>
          <w:rFonts w:ascii="Times New Roman" w:hAnsi="Times New Roman" w:cs="Times New Roman"/>
          <w:b/>
          <w:szCs w:val="24"/>
          <w:lang w:val="ro-MD"/>
        </w:rPr>
        <w:t xml:space="preserve"> în</w:t>
      </w:r>
      <w:r w:rsidRPr="00DD5F1D">
        <w:rPr>
          <w:rFonts w:ascii="Times New Roman" w:hAnsi="Times New Roman" w:cs="Times New Roman"/>
          <w:b/>
          <w:szCs w:val="24"/>
          <w:lang w:val="ro-MD"/>
        </w:rPr>
        <w:t xml:space="preserve"> </w:t>
      </w:r>
      <w:r w:rsidR="006C591F" w:rsidRPr="00DD5F1D">
        <w:rPr>
          <w:rFonts w:ascii="Times New Roman" w:hAnsi="Times New Roman" w:cs="Times New Roman"/>
          <w:b/>
          <w:szCs w:val="24"/>
          <w:lang w:val="ro-MD"/>
        </w:rPr>
        <w:t>a</w:t>
      </w:r>
      <w:r w:rsidRPr="00DD5F1D">
        <w:rPr>
          <w:rFonts w:ascii="Times New Roman" w:hAnsi="Times New Roman" w:cs="Times New Roman"/>
          <w:b/>
          <w:szCs w:val="24"/>
          <w:lang w:val="ro-MD"/>
        </w:rPr>
        <w:t>nii 2020-2023</w:t>
      </w:r>
    </w:p>
    <w:tbl>
      <w:tblPr>
        <w:tblW w:w="9965" w:type="dxa"/>
        <w:tblLook w:val="04A0" w:firstRow="1" w:lastRow="0" w:firstColumn="1" w:lastColumn="0" w:noHBand="0" w:noVBand="1"/>
      </w:tblPr>
      <w:tblGrid>
        <w:gridCol w:w="1255"/>
        <w:gridCol w:w="2478"/>
        <w:gridCol w:w="2181"/>
        <w:gridCol w:w="2025"/>
        <w:gridCol w:w="2026"/>
      </w:tblGrid>
      <w:tr w:rsidR="00D71A75" w:rsidRPr="00DD5F1D" w14:paraId="19CC95A6" w14:textId="77777777" w:rsidTr="007D41C3">
        <w:trPr>
          <w:trHeight w:val="283"/>
        </w:trPr>
        <w:tc>
          <w:tcPr>
            <w:tcW w:w="1255" w:type="dxa"/>
            <w:vMerge w:val="restart"/>
            <w:tcBorders>
              <w:top w:val="single" w:sz="4" w:space="0" w:color="auto"/>
              <w:left w:val="single" w:sz="4" w:space="0" w:color="auto"/>
              <w:right w:val="single" w:sz="4" w:space="0" w:color="auto"/>
            </w:tcBorders>
            <w:shd w:val="clear" w:color="auto" w:fill="auto"/>
            <w:noWrap/>
            <w:vAlign w:val="center"/>
            <w:hideMark/>
          </w:tcPr>
          <w:p w14:paraId="1177D1F2" w14:textId="77777777" w:rsidR="00D71A75" w:rsidRPr="00DD5F1D" w:rsidRDefault="00D71A75" w:rsidP="003C576D">
            <w:pPr>
              <w:spacing w:after="0" w:line="240" w:lineRule="auto"/>
              <w:jc w:val="center"/>
              <w:rPr>
                <w:rFonts w:ascii="Times New Roman" w:eastAsia="Times New Roman" w:hAnsi="Times New Roman" w:cs="Times New Roman"/>
                <w:b/>
                <w:sz w:val="20"/>
                <w:szCs w:val="24"/>
                <w:lang w:val="ro-MD"/>
              </w:rPr>
            </w:pPr>
            <w:r w:rsidRPr="00DD5F1D">
              <w:rPr>
                <w:rFonts w:ascii="Times New Roman" w:eastAsia="Times New Roman" w:hAnsi="Times New Roman" w:cs="Times New Roman"/>
                <w:b/>
                <w:sz w:val="20"/>
                <w:szCs w:val="24"/>
                <w:lang w:val="ro-MD"/>
              </w:rPr>
              <w:t>Anul</w:t>
            </w:r>
          </w:p>
        </w:tc>
        <w:tc>
          <w:tcPr>
            <w:tcW w:w="2478" w:type="dxa"/>
            <w:vMerge w:val="restart"/>
            <w:tcBorders>
              <w:top w:val="single" w:sz="4" w:space="0" w:color="auto"/>
              <w:left w:val="nil"/>
              <w:right w:val="single" w:sz="4" w:space="0" w:color="auto"/>
            </w:tcBorders>
            <w:shd w:val="clear" w:color="auto" w:fill="auto"/>
            <w:noWrap/>
            <w:vAlign w:val="bottom"/>
            <w:hideMark/>
          </w:tcPr>
          <w:p w14:paraId="3CBDF1BA" w14:textId="77777777" w:rsidR="00D71A75" w:rsidRPr="00DD5F1D" w:rsidRDefault="00D71A75" w:rsidP="00D71A75">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Media anuală a minimului de existență, lei</w:t>
            </w:r>
          </w:p>
        </w:tc>
        <w:tc>
          <w:tcPr>
            <w:tcW w:w="2181" w:type="dxa"/>
            <w:vMerge w:val="restart"/>
            <w:tcBorders>
              <w:top w:val="single" w:sz="4" w:space="0" w:color="auto"/>
              <w:left w:val="nil"/>
              <w:right w:val="single" w:sz="4" w:space="0" w:color="auto"/>
            </w:tcBorders>
            <w:shd w:val="clear" w:color="auto" w:fill="auto"/>
            <w:noWrap/>
            <w:vAlign w:val="center"/>
            <w:hideMark/>
          </w:tcPr>
          <w:p w14:paraId="5DEF4AFA" w14:textId="7D857CFA" w:rsidR="00D71A75" w:rsidRPr="00DD5F1D" w:rsidRDefault="00D71A75" w:rsidP="00233569">
            <w:pPr>
              <w:spacing w:after="0" w:line="240" w:lineRule="auto"/>
              <w:jc w:val="center"/>
              <w:rPr>
                <w:rFonts w:ascii="Times New Roman" w:eastAsia="Times New Roman" w:hAnsi="Times New Roman" w:cs="Times New Roman"/>
                <w:b/>
                <w:sz w:val="20"/>
                <w:szCs w:val="24"/>
                <w:lang w:val="ro-MD"/>
              </w:rPr>
            </w:pPr>
            <w:r w:rsidRPr="00DD5F1D">
              <w:rPr>
                <w:rFonts w:ascii="Times New Roman" w:eastAsia="Times New Roman" w:hAnsi="Times New Roman" w:cs="Times New Roman"/>
                <w:b/>
                <w:sz w:val="20"/>
                <w:szCs w:val="24"/>
                <w:lang w:val="ro-MD"/>
              </w:rPr>
              <w:t>Pensia minim</w:t>
            </w:r>
            <w:r w:rsidR="00233569" w:rsidRPr="00DD5F1D">
              <w:rPr>
                <w:rFonts w:ascii="Times New Roman" w:eastAsia="Times New Roman" w:hAnsi="Times New Roman" w:cs="Times New Roman"/>
                <w:b/>
                <w:sz w:val="20"/>
                <w:szCs w:val="24"/>
                <w:lang w:val="ro-MD"/>
              </w:rPr>
              <w:t>ă</w:t>
            </w:r>
            <w:r w:rsidRPr="00DD5F1D">
              <w:rPr>
                <w:rFonts w:ascii="Times New Roman" w:eastAsia="Times New Roman" w:hAnsi="Times New Roman" w:cs="Times New Roman"/>
                <w:b/>
                <w:sz w:val="20"/>
                <w:szCs w:val="24"/>
                <w:lang w:val="ro-MD"/>
              </w:rPr>
              <w:t xml:space="preserve"> aprobată, lei</w:t>
            </w:r>
          </w:p>
        </w:tc>
        <w:tc>
          <w:tcPr>
            <w:tcW w:w="4051" w:type="dxa"/>
            <w:gridSpan w:val="2"/>
            <w:tcBorders>
              <w:top w:val="single" w:sz="4" w:space="0" w:color="auto"/>
              <w:left w:val="nil"/>
              <w:bottom w:val="single" w:sz="4" w:space="0" w:color="auto"/>
              <w:right w:val="single" w:sz="4" w:space="0" w:color="auto"/>
            </w:tcBorders>
          </w:tcPr>
          <w:p w14:paraId="401C53EE" w14:textId="11C7A232" w:rsidR="00D71A75" w:rsidRPr="00DD5F1D" w:rsidRDefault="00D71A75" w:rsidP="00233569">
            <w:pPr>
              <w:spacing w:after="0" w:line="240" w:lineRule="auto"/>
              <w:jc w:val="center"/>
              <w:rPr>
                <w:rFonts w:ascii="Times New Roman" w:eastAsia="Times New Roman" w:hAnsi="Times New Roman" w:cs="Times New Roman"/>
                <w:b/>
                <w:sz w:val="20"/>
                <w:szCs w:val="24"/>
                <w:lang w:val="ro-MD"/>
              </w:rPr>
            </w:pPr>
            <w:r w:rsidRPr="00DD5F1D">
              <w:rPr>
                <w:rFonts w:ascii="Times New Roman" w:eastAsia="Times New Roman" w:hAnsi="Times New Roman" w:cs="Times New Roman"/>
                <w:b/>
                <w:sz w:val="20"/>
                <w:szCs w:val="24"/>
                <w:lang w:val="ro-MD"/>
              </w:rPr>
              <w:t>Cu</w:t>
            </w:r>
            <w:r w:rsidR="00CE671D" w:rsidRPr="00DD5F1D">
              <w:rPr>
                <w:rFonts w:ascii="Times New Roman" w:eastAsia="Times New Roman" w:hAnsi="Times New Roman" w:cs="Times New Roman"/>
                <w:b/>
                <w:sz w:val="20"/>
                <w:szCs w:val="24"/>
                <w:lang w:val="ro-MD"/>
              </w:rPr>
              <w:t>a</w:t>
            </w:r>
            <w:r w:rsidRPr="00DD5F1D">
              <w:rPr>
                <w:rFonts w:ascii="Times New Roman" w:eastAsia="Times New Roman" w:hAnsi="Times New Roman" w:cs="Times New Roman"/>
                <w:b/>
                <w:sz w:val="20"/>
                <w:szCs w:val="24"/>
                <w:lang w:val="ro-MD"/>
              </w:rPr>
              <w:t>ntumul pensiei minime comparativ cu minimul de existență</w:t>
            </w:r>
          </w:p>
        </w:tc>
      </w:tr>
      <w:tr w:rsidR="000D40B3" w:rsidRPr="00DD5F1D" w14:paraId="64926620" w14:textId="77777777" w:rsidTr="007D41C3">
        <w:trPr>
          <w:trHeight w:val="283"/>
        </w:trPr>
        <w:tc>
          <w:tcPr>
            <w:tcW w:w="1255" w:type="dxa"/>
            <w:vMerge/>
            <w:tcBorders>
              <w:left w:val="single" w:sz="4" w:space="0" w:color="auto"/>
              <w:bottom w:val="single" w:sz="4" w:space="0" w:color="auto"/>
              <w:right w:val="single" w:sz="4" w:space="0" w:color="auto"/>
            </w:tcBorders>
            <w:shd w:val="clear" w:color="auto" w:fill="auto"/>
            <w:noWrap/>
            <w:vAlign w:val="bottom"/>
          </w:tcPr>
          <w:p w14:paraId="5895C005" w14:textId="77777777" w:rsidR="00D71A75" w:rsidRPr="00DD5F1D" w:rsidRDefault="00D71A75" w:rsidP="00D71A75">
            <w:pPr>
              <w:spacing w:after="0" w:line="240" w:lineRule="auto"/>
              <w:jc w:val="center"/>
              <w:rPr>
                <w:rFonts w:ascii="Times New Roman" w:eastAsia="Times New Roman" w:hAnsi="Times New Roman" w:cs="Times New Roman"/>
                <w:b/>
                <w:bCs/>
                <w:sz w:val="20"/>
                <w:szCs w:val="24"/>
                <w:lang w:val="ro-MD"/>
              </w:rPr>
            </w:pPr>
          </w:p>
        </w:tc>
        <w:tc>
          <w:tcPr>
            <w:tcW w:w="2478" w:type="dxa"/>
            <w:vMerge/>
            <w:tcBorders>
              <w:left w:val="nil"/>
              <w:bottom w:val="single" w:sz="4" w:space="0" w:color="auto"/>
              <w:right w:val="single" w:sz="4" w:space="0" w:color="auto"/>
            </w:tcBorders>
            <w:shd w:val="clear" w:color="auto" w:fill="auto"/>
            <w:noWrap/>
            <w:vAlign w:val="bottom"/>
          </w:tcPr>
          <w:p w14:paraId="03F45AEF" w14:textId="77777777" w:rsidR="00D71A75" w:rsidRPr="00DD5F1D" w:rsidRDefault="00D71A75" w:rsidP="00D71A75">
            <w:pPr>
              <w:spacing w:after="0" w:line="240" w:lineRule="auto"/>
              <w:jc w:val="center"/>
              <w:rPr>
                <w:rFonts w:ascii="Times New Roman" w:eastAsia="Times New Roman" w:hAnsi="Times New Roman" w:cs="Times New Roman"/>
                <w:b/>
                <w:sz w:val="20"/>
                <w:szCs w:val="24"/>
                <w:lang w:val="ro-MD"/>
              </w:rPr>
            </w:pPr>
          </w:p>
        </w:tc>
        <w:tc>
          <w:tcPr>
            <w:tcW w:w="2181" w:type="dxa"/>
            <w:vMerge/>
            <w:tcBorders>
              <w:left w:val="nil"/>
              <w:bottom w:val="single" w:sz="4" w:space="0" w:color="auto"/>
              <w:right w:val="single" w:sz="4" w:space="0" w:color="auto"/>
            </w:tcBorders>
            <w:shd w:val="clear" w:color="auto" w:fill="auto"/>
            <w:noWrap/>
            <w:vAlign w:val="bottom"/>
          </w:tcPr>
          <w:p w14:paraId="50513181" w14:textId="77777777" w:rsidR="00D71A75" w:rsidRPr="00DD5F1D" w:rsidRDefault="00D71A75" w:rsidP="00D71A75">
            <w:pPr>
              <w:spacing w:after="0" w:line="240" w:lineRule="auto"/>
              <w:jc w:val="center"/>
              <w:rPr>
                <w:rFonts w:ascii="Times New Roman" w:eastAsia="Times New Roman" w:hAnsi="Times New Roman" w:cs="Times New Roman"/>
                <w:b/>
                <w:sz w:val="20"/>
                <w:szCs w:val="24"/>
                <w:lang w:val="ro-MD"/>
              </w:rPr>
            </w:pPr>
          </w:p>
        </w:tc>
        <w:tc>
          <w:tcPr>
            <w:tcW w:w="2025" w:type="dxa"/>
            <w:tcBorders>
              <w:top w:val="single" w:sz="4" w:space="0" w:color="auto"/>
              <w:left w:val="nil"/>
              <w:bottom w:val="single" w:sz="4" w:space="0" w:color="auto"/>
              <w:right w:val="single" w:sz="4" w:space="0" w:color="auto"/>
            </w:tcBorders>
          </w:tcPr>
          <w:p w14:paraId="55E501EC" w14:textId="77777777" w:rsidR="00D71A75" w:rsidRPr="00DD5F1D" w:rsidRDefault="00D71A75" w:rsidP="00D71A75">
            <w:pPr>
              <w:spacing w:after="0" w:line="240" w:lineRule="auto"/>
              <w:jc w:val="center"/>
              <w:rPr>
                <w:rFonts w:ascii="Times New Roman" w:eastAsia="Times New Roman" w:hAnsi="Times New Roman" w:cs="Times New Roman"/>
                <w:b/>
                <w:sz w:val="20"/>
                <w:szCs w:val="24"/>
                <w:lang w:val="ro-MD"/>
              </w:rPr>
            </w:pPr>
            <w:r w:rsidRPr="00DD5F1D">
              <w:rPr>
                <w:rFonts w:ascii="Times New Roman" w:eastAsia="Times New Roman" w:hAnsi="Times New Roman" w:cs="Times New Roman"/>
                <w:b/>
                <w:sz w:val="20"/>
                <w:szCs w:val="24"/>
                <w:lang w:val="ro-MD"/>
              </w:rPr>
              <w:t>Sumă, lei</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78F54" w14:textId="77777777" w:rsidR="00D71A75" w:rsidRPr="00DD5F1D" w:rsidRDefault="00D71A75" w:rsidP="00D71A75">
            <w:pPr>
              <w:spacing w:after="0" w:line="240" w:lineRule="auto"/>
              <w:jc w:val="center"/>
              <w:rPr>
                <w:rFonts w:ascii="Times New Roman" w:eastAsia="Times New Roman" w:hAnsi="Times New Roman" w:cs="Times New Roman"/>
                <w:b/>
                <w:sz w:val="20"/>
                <w:szCs w:val="24"/>
                <w:lang w:val="ro-MD"/>
              </w:rPr>
            </w:pPr>
            <w:r w:rsidRPr="00DD5F1D">
              <w:rPr>
                <w:rFonts w:ascii="Times New Roman" w:eastAsia="Times New Roman" w:hAnsi="Times New Roman" w:cs="Times New Roman"/>
                <w:b/>
                <w:sz w:val="20"/>
                <w:szCs w:val="24"/>
                <w:lang w:val="ro-MD"/>
              </w:rPr>
              <w:t>%</w:t>
            </w:r>
          </w:p>
        </w:tc>
      </w:tr>
      <w:tr w:rsidR="000D40B3" w:rsidRPr="00DD5F1D" w14:paraId="5B1F71D9" w14:textId="77777777" w:rsidTr="007D41C3">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F64C6F2" w14:textId="77777777" w:rsidR="00D71A75" w:rsidRPr="00DD5F1D" w:rsidRDefault="00D71A75" w:rsidP="003C576D">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2020</w:t>
            </w:r>
          </w:p>
        </w:tc>
        <w:tc>
          <w:tcPr>
            <w:tcW w:w="2478" w:type="dxa"/>
            <w:tcBorders>
              <w:top w:val="nil"/>
              <w:left w:val="nil"/>
              <w:bottom w:val="single" w:sz="4" w:space="0" w:color="auto"/>
              <w:right w:val="single" w:sz="4" w:space="0" w:color="auto"/>
            </w:tcBorders>
            <w:shd w:val="clear" w:color="auto" w:fill="auto"/>
            <w:noWrap/>
            <w:vAlign w:val="bottom"/>
            <w:hideMark/>
          </w:tcPr>
          <w:p w14:paraId="38310C47"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w:t>
            </w:r>
            <w:r w:rsidR="003C576D"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759,8</w:t>
            </w:r>
          </w:p>
        </w:tc>
        <w:tc>
          <w:tcPr>
            <w:tcW w:w="2181" w:type="dxa"/>
            <w:tcBorders>
              <w:top w:val="nil"/>
              <w:left w:val="nil"/>
              <w:bottom w:val="single" w:sz="4" w:space="0" w:color="auto"/>
              <w:right w:val="single" w:sz="4" w:space="0" w:color="auto"/>
            </w:tcBorders>
            <w:shd w:val="clear" w:color="auto" w:fill="auto"/>
            <w:noWrap/>
            <w:vAlign w:val="bottom"/>
            <w:hideMark/>
          </w:tcPr>
          <w:p w14:paraId="4CB0DBE1"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w:t>
            </w:r>
            <w:r w:rsidR="003C576D" w:rsidRPr="00DD5F1D">
              <w:rPr>
                <w:rFonts w:ascii="Times New Roman" w:eastAsia="Times New Roman" w:hAnsi="Times New Roman" w:cs="Times New Roman"/>
                <w:sz w:val="20"/>
                <w:szCs w:val="24"/>
                <w:lang w:val="ro-MD"/>
              </w:rPr>
              <w:t xml:space="preserve"> </w:t>
            </w:r>
            <w:r w:rsidR="00BF0A23" w:rsidRPr="00DD5F1D">
              <w:rPr>
                <w:rFonts w:ascii="Times New Roman" w:eastAsia="Times New Roman" w:hAnsi="Times New Roman" w:cs="Times New Roman"/>
                <w:sz w:val="20"/>
                <w:szCs w:val="24"/>
                <w:lang w:val="ro-MD"/>
              </w:rPr>
              <w:t>131,5</w:t>
            </w:r>
          </w:p>
        </w:tc>
        <w:tc>
          <w:tcPr>
            <w:tcW w:w="2025" w:type="dxa"/>
            <w:tcBorders>
              <w:top w:val="single" w:sz="4" w:space="0" w:color="auto"/>
              <w:left w:val="nil"/>
              <w:bottom w:val="single" w:sz="4" w:space="0" w:color="auto"/>
              <w:right w:val="nil"/>
            </w:tcBorders>
            <w:shd w:val="clear" w:color="auto" w:fill="auto"/>
            <w:vAlign w:val="bottom"/>
          </w:tcPr>
          <w:p w14:paraId="37F029A5"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-628,3</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A6FCB" w14:textId="77777777" w:rsidR="00D71A75" w:rsidRPr="00DD5F1D" w:rsidRDefault="00BF0A23" w:rsidP="00BF0A23">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64,3</w:t>
            </w:r>
            <w:r w:rsidR="00D71A75" w:rsidRPr="00DD5F1D">
              <w:rPr>
                <w:rFonts w:ascii="Times New Roman" w:eastAsia="Times New Roman" w:hAnsi="Times New Roman" w:cs="Times New Roman"/>
                <w:sz w:val="20"/>
                <w:szCs w:val="24"/>
                <w:lang w:val="ro-MD"/>
              </w:rPr>
              <w:t>%</w:t>
            </w:r>
          </w:p>
        </w:tc>
      </w:tr>
      <w:tr w:rsidR="000D40B3" w:rsidRPr="00DD5F1D" w14:paraId="7AEE7EC7" w14:textId="77777777" w:rsidTr="007D41C3">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05F6706" w14:textId="77777777" w:rsidR="00D71A75" w:rsidRPr="00DD5F1D" w:rsidRDefault="00D71A75" w:rsidP="003C576D">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2021</w:t>
            </w:r>
          </w:p>
        </w:tc>
        <w:tc>
          <w:tcPr>
            <w:tcW w:w="2478" w:type="dxa"/>
            <w:tcBorders>
              <w:top w:val="nil"/>
              <w:left w:val="nil"/>
              <w:bottom w:val="single" w:sz="4" w:space="0" w:color="auto"/>
              <w:right w:val="single" w:sz="4" w:space="0" w:color="auto"/>
            </w:tcBorders>
            <w:shd w:val="clear" w:color="auto" w:fill="auto"/>
            <w:noWrap/>
            <w:vAlign w:val="bottom"/>
            <w:hideMark/>
          </w:tcPr>
          <w:p w14:paraId="47003F2D"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w:t>
            </w:r>
            <w:r w:rsidR="003C576D"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811,7</w:t>
            </w:r>
          </w:p>
        </w:tc>
        <w:tc>
          <w:tcPr>
            <w:tcW w:w="2181" w:type="dxa"/>
            <w:tcBorders>
              <w:top w:val="nil"/>
              <w:left w:val="nil"/>
              <w:bottom w:val="single" w:sz="4" w:space="0" w:color="auto"/>
              <w:right w:val="single" w:sz="4" w:space="0" w:color="auto"/>
            </w:tcBorders>
            <w:shd w:val="clear" w:color="auto" w:fill="auto"/>
            <w:noWrap/>
            <w:vAlign w:val="bottom"/>
            <w:hideMark/>
          </w:tcPr>
          <w:p w14:paraId="6F846DB2"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w:t>
            </w:r>
            <w:r w:rsidR="003C576D" w:rsidRPr="00DD5F1D">
              <w:rPr>
                <w:rFonts w:ascii="Times New Roman" w:eastAsia="Times New Roman" w:hAnsi="Times New Roman" w:cs="Times New Roman"/>
                <w:sz w:val="20"/>
                <w:szCs w:val="24"/>
                <w:lang w:val="ro-MD"/>
              </w:rPr>
              <w:t xml:space="preserve"> </w:t>
            </w:r>
            <w:r w:rsidR="00BF0A23" w:rsidRPr="00DD5F1D">
              <w:rPr>
                <w:rFonts w:ascii="Times New Roman" w:eastAsia="Times New Roman" w:hAnsi="Times New Roman" w:cs="Times New Roman"/>
                <w:sz w:val="20"/>
                <w:szCs w:val="24"/>
                <w:lang w:val="ro-MD"/>
              </w:rPr>
              <w:t>188,0</w:t>
            </w:r>
          </w:p>
        </w:tc>
        <w:tc>
          <w:tcPr>
            <w:tcW w:w="2025" w:type="dxa"/>
            <w:tcBorders>
              <w:top w:val="single" w:sz="4" w:space="0" w:color="auto"/>
              <w:left w:val="nil"/>
              <w:bottom w:val="single" w:sz="4" w:space="0" w:color="auto"/>
              <w:right w:val="nil"/>
            </w:tcBorders>
            <w:shd w:val="clear" w:color="auto" w:fill="auto"/>
            <w:vAlign w:val="bottom"/>
          </w:tcPr>
          <w:p w14:paraId="46714963"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-623,7</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94165" w14:textId="77777777" w:rsidR="00D71A75" w:rsidRPr="00DD5F1D" w:rsidRDefault="00BF0A23"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65,6</w:t>
            </w:r>
            <w:r w:rsidR="00D71A75" w:rsidRPr="00DD5F1D">
              <w:rPr>
                <w:rFonts w:ascii="Times New Roman" w:eastAsia="Times New Roman" w:hAnsi="Times New Roman" w:cs="Times New Roman"/>
                <w:sz w:val="20"/>
                <w:szCs w:val="24"/>
                <w:lang w:val="ro-MD"/>
              </w:rPr>
              <w:t>%</w:t>
            </w:r>
          </w:p>
        </w:tc>
      </w:tr>
      <w:tr w:rsidR="000D40B3" w:rsidRPr="00DD5F1D" w14:paraId="59088951" w14:textId="77777777" w:rsidTr="007D41C3">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A829640" w14:textId="77777777" w:rsidR="00D71A75" w:rsidRPr="00DD5F1D" w:rsidRDefault="00D71A75" w:rsidP="003C576D">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2022</w:t>
            </w:r>
          </w:p>
        </w:tc>
        <w:tc>
          <w:tcPr>
            <w:tcW w:w="2478" w:type="dxa"/>
            <w:tcBorders>
              <w:top w:val="nil"/>
              <w:left w:val="nil"/>
              <w:bottom w:val="single" w:sz="4" w:space="0" w:color="auto"/>
              <w:right w:val="single" w:sz="4" w:space="0" w:color="auto"/>
            </w:tcBorders>
            <w:shd w:val="clear" w:color="auto" w:fill="auto"/>
            <w:noWrap/>
            <w:vAlign w:val="bottom"/>
            <w:hideMark/>
          </w:tcPr>
          <w:p w14:paraId="6ECAECB0"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w:t>
            </w:r>
            <w:r w:rsidR="003C576D"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193,3</w:t>
            </w:r>
          </w:p>
        </w:tc>
        <w:tc>
          <w:tcPr>
            <w:tcW w:w="2181" w:type="dxa"/>
            <w:tcBorders>
              <w:top w:val="nil"/>
              <w:left w:val="nil"/>
              <w:bottom w:val="single" w:sz="4" w:space="0" w:color="auto"/>
              <w:right w:val="single" w:sz="4" w:space="0" w:color="auto"/>
            </w:tcBorders>
            <w:shd w:val="clear" w:color="auto" w:fill="auto"/>
            <w:noWrap/>
            <w:vAlign w:val="bottom"/>
            <w:hideMark/>
          </w:tcPr>
          <w:p w14:paraId="79E71B2A"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w:t>
            </w:r>
            <w:r w:rsidR="003C576D"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278,8</w:t>
            </w:r>
          </w:p>
        </w:tc>
        <w:tc>
          <w:tcPr>
            <w:tcW w:w="2025" w:type="dxa"/>
            <w:tcBorders>
              <w:top w:val="single" w:sz="4" w:space="0" w:color="auto"/>
              <w:left w:val="nil"/>
              <w:bottom w:val="single" w:sz="4" w:space="0" w:color="auto"/>
              <w:right w:val="nil"/>
            </w:tcBorders>
            <w:shd w:val="clear" w:color="auto" w:fill="auto"/>
            <w:vAlign w:val="bottom"/>
          </w:tcPr>
          <w:p w14:paraId="320A0495"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85,5</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9861" w14:textId="77777777" w:rsidR="00D71A75" w:rsidRPr="00DD5F1D" w:rsidRDefault="00BF0A23"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103,9</w:t>
            </w:r>
            <w:r w:rsidR="00D71A75" w:rsidRPr="00DD5F1D">
              <w:rPr>
                <w:rFonts w:ascii="Times New Roman" w:eastAsia="Times New Roman" w:hAnsi="Times New Roman" w:cs="Times New Roman"/>
                <w:sz w:val="20"/>
                <w:szCs w:val="24"/>
                <w:lang w:val="ro-MD"/>
              </w:rPr>
              <w:t>%</w:t>
            </w:r>
          </w:p>
        </w:tc>
      </w:tr>
      <w:tr w:rsidR="00D71A75" w:rsidRPr="00DD5F1D" w14:paraId="6AD8970D" w14:textId="77777777" w:rsidTr="007D41C3">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788DE97" w14:textId="77777777" w:rsidR="00D71A75" w:rsidRPr="00DD5F1D" w:rsidRDefault="00D71A75" w:rsidP="003C576D">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2023</w:t>
            </w:r>
          </w:p>
        </w:tc>
        <w:tc>
          <w:tcPr>
            <w:tcW w:w="2478" w:type="dxa"/>
            <w:tcBorders>
              <w:top w:val="nil"/>
              <w:left w:val="nil"/>
              <w:bottom w:val="single" w:sz="4" w:space="0" w:color="auto"/>
              <w:right w:val="single" w:sz="4" w:space="0" w:color="auto"/>
            </w:tcBorders>
            <w:shd w:val="clear" w:color="auto" w:fill="auto"/>
            <w:noWrap/>
            <w:vAlign w:val="bottom"/>
            <w:hideMark/>
          </w:tcPr>
          <w:p w14:paraId="18D00B7E"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w:t>
            </w:r>
            <w:r w:rsidR="003C576D"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403,9</w:t>
            </w:r>
          </w:p>
        </w:tc>
        <w:tc>
          <w:tcPr>
            <w:tcW w:w="2181" w:type="dxa"/>
            <w:tcBorders>
              <w:top w:val="nil"/>
              <w:left w:val="nil"/>
              <w:bottom w:val="single" w:sz="4" w:space="0" w:color="auto"/>
              <w:right w:val="single" w:sz="4" w:space="0" w:color="auto"/>
            </w:tcBorders>
            <w:shd w:val="clear" w:color="auto" w:fill="auto"/>
            <w:noWrap/>
            <w:vAlign w:val="bottom"/>
            <w:hideMark/>
          </w:tcPr>
          <w:p w14:paraId="0055A2F0"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w:t>
            </w:r>
            <w:r w:rsidR="003C576D"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620,6</w:t>
            </w:r>
          </w:p>
        </w:tc>
        <w:tc>
          <w:tcPr>
            <w:tcW w:w="2025" w:type="dxa"/>
            <w:tcBorders>
              <w:top w:val="single" w:sz="4" w:space="0" w:color="auto"/>
              <w:left w:val="nil"/>
              <w:bottom w:val="single" w:sz="4" w:space="0" w:color="auto"/>
              <w:right w:val="nil"/>
            </w:tcBorders>
            <w:shd w:val="clear" w:color="auto" w:fill="auto"/>
            <w:vAlign w:val="bottom"/>
          </w:tcPr>
          <w:p w14:paraId="70589392" w14:textId="77777777" w:rsidR="00D71A75" w:rsidRPr="00DD5F1D" w:rsidRDefault="00D71A75"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216,7</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245B3" w14:textId="77777777" w:rsidR="00D71A75" w:rsidRPr="00DD5F1D" w:rsidRDefault="00BF0A23" w:rsidP="00D71A7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109,0</w:t>
            </w:r>
            <w:r w:rsidR="00D71A75" w:rsidRPr="00DD5F1D">
              <w:rPr>
                <w:rFonts w:ascii="Times New Roman" w:eastAsia="Times New Roman" w:hAnsi="Times New Roman" w:cs="Times New Roman"/>
                <w:sz w:val="20"/>
                <w:szCs w:val="24"/>
                <w:lang w:val="ro-MD"/>
              </w:rPr>
              <w:t>%</w:t>
            </w:r>
          </w:p>
        </w:tc>
      </w:tr>
    </w:tbl>
    <w:p w14:paraId="1227C250" w14:textId="2A2CE2F7" w:rsidR="00D71A75" w:rsidRPr="00DD5F1D" w:rsidRDefault="00CE671D" w:rsidP="00C342ED">
      <w:pPr>
        <w:spacing w:after="0" w:line="276" w:lineRule="auto"/>
        <w:jc w:val="both"/>
        <w:rPr>
          <w:rFonts w:ascii="Times New Roman" w:eastAsia="Times New Roman" w:hAnsi="Times New Roman" w:cs="Times New Roman"/>
          <w:i/>
          <w:iCs/>
          <w:sz w:val="18"/>
          <w:szCs w:val="24"/>
          <w:lang w:val="ro-MD"/>
        </w:rPr>
      </w:pPr>
      <w:r w:rsidRPr="00DD5F1D">
        <w:rPr>
          <w:rFonts w:ascii="Times New Roman" w:eastAsia="Times New Roman" w:hAnsi="Times New Roman" w:cs="Times New Roman"/>
          <w:b/>
          <w:i/>
          <w:iCs/>
          <w:sz w:val="20"/>
          <w:szCs w:val="24"/>
          <w:lang w:val="ro-MD"/>
        </w:rPr>
        <w:t>Sursa</w:t>
      </w:r>
      <w:r w:rsidRPr="00DD5F1D">
        <w:rPr>
          <w:rFonts w:ascii="Times New Roman" w:eastAsia="Times New Roman" w:hAnsi="Times New Roman" w:cs="Times New Roman"/>
          <w:i/>
          <w:iCs/>
          <w:sz w:val="20"/>
          <w:szCs w:val="24"/>
          <w:lang w:val="ro-MD"/>
        </w:rPr>
        <w:t xml:space="preserve">: </w:t>
      </w:r>
      <w:r w:rsidR="003C576D" w:rsidRPr="00DD5F1D">
        <w:rPr>
          <w:rFonts w:ascii="Times New Roman" w:eastAsia="Times New Roman" w:hAnsi="Times New Roman" w:cs="Times New Roman"/>
          <w:i/>
          <w:iCs/>
          <w:sz w:val="20"/>
          <w:szCs w:val="24"/>
          <w:lang w:val="ro-MD"/>
        </w:rPr>
        <w:t>Elaborat de audit în baza informațiilor de la BNS</w:t>
      </w:r>
      <w:r w:rsidR="00233569" w:rsidRPr="00DD5F1D">
        <w:rPr>
          <w:rFonts w:ascii="Times New Roman" w:eastAsia="Times New Roman" w:hAnsi="Times New Roman" w:cs="Times New Roman"/>
          <w:i/>
          <w:iCs/>
          <w:sz w:val="20"/>
          <w:szCs w:val="24"/>
          <w:lang w:val="ro-MD"/>
        </w:rPr>
        <w:t>.</w:t>
      </w:r>
    </w:p>
    <w:p w14:paraId="1A5642D1" w14:textId="00AE98F8" w:rsidR="00C342ED" w:rsidRPr="00DD5F1D" w:rsidRDefault="00640E45" w:rsidP="00C342ED">
      <w:pPr>
        <w:spacing w:before="240"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Totodată auditul menționează că</w:t>
      </w:r>
      <w:r w:rsidR="00233569"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p</w:t>
      </w:r>
      <w:r w:rsidR="00C342ED" w:rsidRPr="00DD5F1D">
        <w:rPr>
          <w:rFonts w:ascii="Times New Roman" w:hAnsi="Times New Roman" w:cs="Times New Roman"/>
          <w:sz w:val="24"/>
          <w:szCs w:val="24"/>
          <w:lang w:val="ro-MD"/>
        </w:rPr>
        <w:t>otrivit legislației</w:t>
      </w:r>
      <w:r w:rsidRPr="00DD5F1D">
        <w:rPr>
          <w:rStyle w:val="a5"/>
          <w:rFonts w:ascii="Times New Roman" w:hAnsi="Times New Roman" w:cs="Times New Roman"/>
          <w:sz w:val="24"/>
          <w:szCs w:val="24"/>
          <w:lang w:val="ro-MD"/>
        </w:rPr>
        <w:footnoteReference w:id="41"/>
      </w:r>
      <w:r w:rsidR="00233569" w:rsidRPr="00DD5F1D">
        <w:rPr>
          <w:rFonts w:ascii="Times New Roman" w:hAnsi="Times New Roman" w:cs="Times New Roman"/>
          <w:sz w:val="24"/>
          <w:szCs w:val="24"/>
          <w:lang w:val="ro-MD"/>
        </w:rPr>
        <w:t>,</w:t>
      </w:r>
      <w:r w:rsidR="00C342ED" w:rsidRPr="00DD5F1D">
        <w:rPr>
          <w:rStyle w:val="af0"/>
          <w:rFonts w:ascii="Times New Roman" w:hAnsi="Times New Roman" w:cs="Times New Roman"/>
          <w:sz w:val="24"/>
          <w:szCs w:val="24"/>
          <w:shd w:val="clear" w:color="auto" w:fill="FFFFFF"/>
          <w:lang w:val="ro-MD"/>
        </w:rPr>
        <w:t xml:space="preserve"> </w:t>
      </w:r>
      <w:r w:rsidR="00C342ED" w:rsidRPr="00DD5F1D">
        <w:rPr>
          <w:rStyle w:val="af0"/>
          <w:rFonts w:ascii="Times New Roman" w:hAnsi="Times New Roman" w:cs="Times New Roman"/>
          <w:b w:val="0"/>
          <w:sz w:val="24"/>
          <w:szCs w:val="24"/>
          <w:shd w:val="clear" w:color="auto" w:fill="FFFFFF"/>
          <w:lang w:val="ro-MD"/>
        </w:rPr>
        <w:t>c</w:t>
      </w:r>
      <w:r w:rsidR="00C342ED" w:rsidRPr="00DD5F1D">
        <w:rPr>
          <w:rFonts w:ascii="Times New Roman" w:hAnsi="Times New Roman" w:cs="Times New Roman"/>
          <w:sz w:val="24"/>
          <w:szCs w:val="24"/>
          <w:lang w:val="ro-MD"/>
        </w:rPr>
        <w:t>uantumul pensiilor se majorează a</w:t>
      </w:r>
      <w:r w:rsidRPr="00DD5F1D">
        <w:rPr>
          <w:rFonts w:ascii="Times New Roman" w:hAnsi="Times New Roman" w:cs="Times New Roman"/>
          <w:sz w:val="24"/>
          <w:szCs w:val="24"/>
          <w:lang w:val="ro-MD"/>
        </w:rPr>
        <w:t>nual în sumă fixă</w:t>
      </w:r>
      <w:r w:rsidR="00233569" w:rsidRPr="00DD5F1D">
        <w:rPr>
          <w:rFonts w:ascii="Times New Roman" w:hAnsi="Times New Roman" w:cs="Times New Roman"/>
          <w:sz w:val="24"/>
          <w:szCs w:val="24"/>
          <w:lang w:val="ro-MD"/>
        </w:rPr>
        <w:t xml:space="preserve"> la 1 aprilie</w:t>
      </w:r>
      <w:r w:rsidRPr="00DD5F1D">
        <w:rPr>
          <w:rFonts w:ascii="Times New Roman" w:hAnsi="Times New Roman" w:cs="Times New Roman"/>
          <w:sz w:val="24"/>
          <w:szCs w:val="24"/>
          <w:lang w:val="ro-MD"/>
        </w:rPr>
        <w:t xml:space="preserve">, </w:t>
      </w:r>
      <w:r w:rsidR="00C342ED" w:rsidRPr="00DD5F1D">
        <w:rPr>
          <w:rFonts w:ascii="Times New Roman" w:eastAsia="Times New Roman" w:hAnsi="Times New Roman" w:cs="Times New Roman"/>
          <w:sz w:val="24"/>
          <w:szCs w:val="24"/>
          <w:lang w:val="ro-MD"/>
        </w:rPr>
        <w:t>prin multiplicarea cuantumului pensiei medii cu 50% din creșterea produsulu</w:t>
      </w:r>
      <w:r w:rsidRPr="00DD5F1D">
        <w:rPr>
          <w:rFonts w:ascii="Times New Roman" w:eastAsia="Times New Roman" w:hAnsi="Times New Roman" w:cs="Times New Roman"/>
          <w:sz w:val="24"/>
          <w:szCs w:val="24"/>
          <w:lang w:val="ro-MD"/>
        </w:rPr>
        <w:t>i intern brut în anul precedent</w:t>
      </w:r>
      <w:r w:rsidR="00C342ED" w:rsidRPr="00DD5F1D">
        <w:rPr>
          <w:rFonts w:ascii="Times New Roman" w:eastAsia="Times New Roman" w:hAnsi="Times New Roman" w:cs="Times New Roman"/>
          <w:sz w:val="24"/>
          <w:szCs w:val="24"/>
          <w:lang w:val="ro-MD"/>
        </w:rPr>
        <w:t>.</w:t>
      </w:r>
      <w:r w:rsidRPr="00DD5F1D">
        <w:rPr>
          <w:rFonts w:ascii="Times New Roman" w:eastAsia="Times New Roman" w:hAnsi="Times New Roman" w:cs="Times New Roman"/>
          <w:sz w:val="24"/>
          <w:szCs w:val="24"/>
          <w:lang w:val="ro-MD"/>
        </w:rPr>
        <w:t xml:space="preserve"> Se constată că î</w:t>
      </w:r>
      <w:r w:rsidR="00C342ED" w:rsidRPr="00DD5F1D">
        <w:rPr>
          <w:rFonts w:ascii="Times New Roman" w:eastAsia="Times New Roman" w:hAnsi="Times New Roman" w:cs="Times New Roman"/>
          <w:sz w:val="24"/>
          <w:szCs w:val="24"/>
          <w:lang w:val="ro-MD"/>
        </w:rPr>
        <w:t>n anul 2023</w:t>
      </w:r>
      <w:r w:rsidRPr="00DD5F1D">
        <w:rPr>
          <w:rFonts w:ascii="Times New Roman" w:eastAsia="Times New Roman" w:hAnsi="Times New Roman" w:cs="Times New Roman"/>
          <w:sz w:val="24"/>
          <w:szCs w:val="24"/>
          <w:lang w:val="ro-MD"/>
        </w:rPr>
        <w:t xml:space="preserve">, din cauza </w:t>
      </w:r>
      <w:r w:rsidR="00F811F3" w:rsidRPr="00DD5F1D">
        <w:rPr>
          <w:rFonts w:ascii="Times New Roman" w:eastAsia="Times New Roman" w:hAnsi="Times New Roman" w:cs="Times New Roman"/>
          <w:sz w:val="24"/>
          <w:szCs w:val="24"/>
          <w:lang w:val="ro-MD"/>
        </w:rPr>
        <w:t>neînregistrării</w:t>
      </w:r>
      <w:r w:rsidRPr="00DD5F1D">
        <w:rPr>
          <w:rFonts w:ascii="Times New Roman" w:eastAsia="Times New Roman" w:hAnsi="Times New Roman" w:cs="Times New Roman"/>
          <w:sz w:val="24"/>
          <w:szCs w:val="24"/>
          <w:lang w:val="ro-MD"/>
        </w:rPr>
        <w:t xml:space="preserve"> </w:t>
      </w:r>
      <w:r w:rsidR="00F811F3" w:rsidRPr="00DD5F1D">
        <w:rPr>
          <w:rFonts w:ascii="Times New Roman" w:eastAsia="Times New Roman" w:hAnsi="Times New Roman" w:cs="Times New Roman"/>
          <w:sz w:val="24"/>
          <w:szCs w:val="24"/>
          <w:lang w:val="ro-MD"/>
        </w:rPr>
        <w:t>nivelului de creștere a</w:t>
      </w:r>
      <w:r w:rsidR="00C342ED" w:rsidRPr="00DD5F1D">
        <w:rPr>
          <w:rFonts w:ascii="Times New Roman" w:eastAsia="Times New Roman" w:hAnsi="Times New Roman" w:cs="Times New Roman"/>
          <w:sz w:val="24"/>
          <w:szCs w:val="24"/>
          <w:lang w:val="ro-MD"/>
        </w:rPr>
        <w:t xml:space="preserve"> PIB-ul</w:t>
      </w:r>
      <w:r w:rsidRPr="00DD5F1D">
        <w:rPr>
          <w:rFonts w:ascii="Times New Roman" w:eastAsia="Times New Roman" w:hAnsi="Times New Roman" w:cs="Times New Roman"/>
          <w:sz w:val="24"/>
          <w:szCs w:val="24"/>
          <w:lang w:val="ro-MD"/>
        </w:rPr>
        <w:t>ui, care</w:t>
      </w:r>
      <w:r w:rsidR="00C342ED" w:rsidRPr="00DD5F1D">
        <w:rPr>
          <w:rFonts w:ascii="Times New Roman" w:eastAsia="Times New Roman" w:hAnsi="Times New Roman" w:cs="Times New Roman"/>
          <w:sz w:val="24"/>
          <w:szCs w:val="24"/>
          <w:lang w:val="ro-MD"/>
        </w:rPr>
        <w:t xml:space="preserve"> a înregistrat o valoare de 95,4%, </w:t>
      </w:r>
      <w:r w:rsidRPr="00DD5F1D">
        <w:rPr>
          <w:rFonts w:ascii="Times New Roman" w:eastAsia="Times New Roman" w:hAnsi="Times New Roman" w:cs="Times New Roman"/>
          <w:sz w:val="24"/>
          <w:szCs w:val="24"/>
          <w:lang w:val="ro-MD"/>
        </w:rPr>
        <w:t>pensiile nu s-au majorat în sumă fixă.</w:t>
      </w:r>
    </w:p>
    <w:p w14:paraId="7A4E17E6" w14:textId="66EA29B0" w:rsidR="00277488" w:rsidRPr="00DD5F1D" w:rsidRDefault="00277488" w:rsidP="00C342ED">
      <w:pPr>
        <w:spacing w:before="240" w:after="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Cu referire la</w:t>
      </w:r>
      <w:r w:rsidR="00640E45" w:rsidRPr="00DD5F1D">
        <w:rPr>
          <w:rFonts w:ascii="Times New Roman" w:eastAsia="Calibri" w:hAnsi="Times New Roman" w:cs="Times New Roman"/>
          <w:sz w:val="24"/>
          <w:szCs w:val="24"/>
          <w:lang w:val="ro-MD"/>
        </w:rPr>
        <w:t xml:space="preserve"> evidența, raportarea și executarea mijloacelor financiare pentru plata pensiilor de asigurări sociale, auditul </w:t>
      </w:r>
      <w:r w:rsidRPr="00DD5F1D">
        <w:rPr>
          <w:rFonts w:ascii="Times New Roman" w:eastAsia="Calibri" w:hAnsi="Times New Roman" w:cs="Times New Roman"/>
          <w:sz w:val="24"/>
          <w:szCs w:val="24"/>
          <w:lang w:val="ro-MD"/>
        </w:rPr>
        <w:t>constată</w:t>
      </w:r>
      <w:r w:rsidR="00F31109" w:rsidRPr="00DD5F1D">
        <w:rPr>
          <w:rFonts w:ascii="Times New Roman" w:eastAsia="Calibri" w:hAnsi="Times New Roman" w:cs="Times New Roman"/>
          <w:sz w:val="24"/>
          <w:szCs w:val="24"/>
          <w:lang w:val="ro-MD"/>
        </w:rPr>
        <w:t xml:space="preserve"> că</w:t>
      </w:r>
      <w:r w:rsidRPr="00DD5F1D">
        <w:rPr>
          <w:rFonts w:ascii="Times New Roman" w:eastAsia="Calibri" w:hAnsi="Times New Roman" w:cs="Times New Roman"/>
          <w:sz w:val="24"/>
          <w:szCs w:val="24"/>
          <w:lang w:val="ro-MD"/>
        </w:rPr>
        <w:t xml:space="preserve"> s</w:t>
      </w:r>
      <w:r w:rsidR="00C342ED" w:rsidRPr="00DD5F1D">
        <w:rPr>
          <w:rFonts w:ascii="Times New Roman" w:eastAsia="Calibri" w:hAnsi="Times New Roman" w:cs="Times New Roman"/>
          <w:sz w:val="24"/>
          <w:szCs w:val="24"/>
          <w:lang w:val="ro-MD"/>
        </w:rPr>
        <w:t xml:space="preserve">istemul informațional </w:t>
      </w:r>
      <w:r w:rsidR="00C342ED" w:rsidRPr="00DD5F1D">
        <w:rPr>
          <w:rFonts w:ascii="Times New Roman" w:hAnsi="Times New Roman" w:cs="Times New Roman"/>
          <w:sz w:val="24"/>
          <w:szCs w:val="24"/>
          <w:lang w:val="ro-MD"/>
        </w:rPr>
        <w:t>„Protecția Socială”</w:t>
      </w:r>
      <w:r w:rsidR="00C342ED" w:rsidRPr="00DD5F1D">
        <w:rPr>
          <w:rFonts w:ascii="Times New Roman" w:eastAsia="Calibri" w:hAnsi="Times New Roman" w:cs="Times New Roman"/>
          <w:sz w:val="24"/>
          <w:szCs w:val="24"/>
          <w:lang w:val="ro-MD"/>
        </w:rPr>
        <w:t xml:space="preserve"> generează și efectuează calculele reieșind din </w:t>
      </w:r>
      <w:r w:rsidRPr="00DD5F1D">
        <w:rPr>
          <w:rFonts w:ascii="Times New Roman" w:eastAsia="Calibri" w:hAnsi="Times New Roman" w:cs="Times New Roman"/>
          <w:sz w:val="24"/>
          <w:szCs w:val="24"/>
          <w:lang w:val="ro-MD"/>
        </w:rPr>
        <w:t xml:space="preserve">extrasul de cont al beneficiarului și </w:t>
      </w:r>
      <w:r w:rsidR="00C342ED" w:rsidRPr="00DD5F1D">
        <w:rPr>
          <w:rFonts w:ascii="Times New Roman" w:eastAsia="Calibri" w:hAnsi="Times New Roman" w:cs="Times New Roman"/>
          <w:sz w:val="24"/>
          <w:szCs w:val="24"/>
          <w:lang w:val="ro-MD"/>
        </w:rPr>
        <w:t>datele introduse de specialiști la stabilirea/recalcularea pensiilor.</w:t>
      </w:r>
      <w:r w:rsidR="00C342ED" w:rsidRPr="00DD5F1D">
        <w:rPr>
          <w:rFonts w:ascii="Times New Roman" w:hAnsi="Times New Roman" w:cs="Times New Roman"/>
          <w:sz w:val="24"/>
          <w:szCs w:val="24"/>
          <w:lang w:val="ro-MD"/>
        </w:rPr>
        <w:t xml:space="preserve"> Astfel, s-a confirmat corectitudinea înregistrării datelor în SI, </w:t>
      </w:r>
      <w:r w:rsidR="00233569" w:rsidRPr="00DD5F1D">
        <w:rPr>
          <w:rFonts w:ascii="Times New Roman" w:hAnsi="Times New Roman" w:cs="Times New Roman"/>
          <w:sz w:val="24"/>
          <w:szCs w:val="24"/>
          <w:lang w:val="ro-MD"/>
        </w:rPr>
        <w:t xml:space="preserve">ca </w:t>
      </w:r>
      <w:r w:rsidR="00C342ED" w:rsidRPr="00DD5F1D">
        <w:rPr>
          <w:rFonts w:ascii="Times New Roman" w:hAnsi="Times New Roman" w:cs="Times New Roman"/>
          <w:sz w:val="24"/>
          <w:szCs w:val="24"/>
          <w:lang w:val="ro-MD"/>
        </w:rPr>
        <w:t xml:space="preserve">urmare a contrapunerii datelor </w:t>
      </w:r>
      <w:r w:rsidRPr="00DD5F1D">
        <w:rPr>
          <w:rFonts w:ascii="Times New Roman" w:hAnsi="Times New Roman" w:cs="Times New Roman"/>
          <w:sz w:val="24"/>
          <w:szCs w:val="24"/>
          <w:lang w:val="ro-MD"/>
        </w:rPr>
        <w:t>din evidența individuală și</w:t>
      </w:r>
      <w:r w:rsidR="00C342ED" w:rsidRPr="00DD5F1D">
        <w:rPr>
          <w:rFonts w:ascii="Times New Roman" w:hAnsi="Times New Roman" w:cs="Times New Roman"/>
          <w:sz w:val="24"/>
          <w:szCs w:val="24"/>
          <w:lang w:val="ro-MD"/>
        </w:rPr>
        <w:t xml:space="preserve"> documentele anexate la dosarul beneficiarului, nefiind constatate divergențe în exactitatea calculelor. De asemenea, l</w:t>
      </w:r>
      <w:r w:rsidR="00C342ED" w:rsidRPr="00DD5F1D">
        <w:rPr>
          <w:rFonts w:ascii="Times New Roman" w:eastAsia="Calibri" w:hAnsi="Times New Roman" w:cs="Times New Roman"/>
          <w:sz w:val="24"/>
          <w:szCs w:val="24"/>
          <w:lang w:val="ro-MD"/>
        </w:rPr>
        <w:t xml:space="preserve">a verificarea regularității stabilirii/recalculării pensiilor pentru limită de vârstă, </w:t>
      </w:r>
      <w:r w:rsidR="00C342ED" w:rsidRPr="00DD5F1D">
        <w:rPr>
          <w:rFonts w:ascii="Times New Roman" w:hAnsi="Times New Roman" w:cs="Times New Roman"/>
          <w:sz w:val="24"/>
          <w:szCs w:val="24"/>
          <w:lang w:val="ro-MD"/>
        </w:rPr>
        <w:t>de dizabilitate și de urmaș, precum și înregistrării/raportării cheltuielilor aferente nu s-au stabilit e</w:t>
      </w:r>
      <w:r w:rsidR="00C342ED" w:rsidRPr="00DD5F1D">
        <w:rPr>
          <w:rFonts w:ascii="Times New Roman" w:eastAsia="Calibri" w:hAnsi="Times New Roman" w:cs="Times New Roman"/>
          <w:sz w:val="24"/>
          <w:szCs w:val="24"/>
          <w:lang w:val="ro-MD"/>
        </w:rPr>
        <w:t xml:space="preserve">rori. </w:t>
      </w:r>
    </w:p>
    <w:p w14:paraId="20F7D9CD" w14:textId="2EA516A3" w:rsidR="00277488" w:rsidRPr="00DD5F1D" w:rsidRDefault="00C342ED" w:rsidP="00277488">
      <w:pPr>
        <w:spacing w:before="240" w:line="276" w:lineRule="auto"/>
        <w:jc w:val="both"/>
        <w:rPr>
          <w:rFonts w:ascii="Times New Roman" w:hAnsi="Times New Roman" w:cs="Times New Roman"/>
          <w:sz w:val="24"/>
          <w:szCs w:val="24"/>
          <w:lang w:val="ro-MD"/>
        </w:rPr>
      </w:pPr>
      <w:r w:rsidRPr="00DD5F1D">
        <w:rPr>
          <w:rFonts w:ascii="Times New Roman" w:eastAsia="Calibri" w:hAnsi="Times New Roman" w:cs="Times New Roman"/>
          <w:sz w:val="24"/>
          <w:szCs w:val="24"/>
          <w:lang w:val="ro-MD"/>
        </w:rPr>
        <w:t>C</w:t>
      </w:r>
      <w:r w:rsidRPr="00DD5F1D">
        <w:rPr>
          <w:rFonts w:ascii="Times New Roman" w:hAnsi="Times New Roman" w:cs="Times New Roman"/>
          <w:sz w:val="24"/>
          <w:szCs w:val="24"/>
          <w:lang w:val="ro-MD"/>
        </w:rPr>
        <w:t>u privire la corectitudinea și plenitudinea datelor înregistrate în evidența contabilă</w:t>
      </w:r>
      <w:r w:rsidR="00A514FF" w:rsidRPr="00DD5F1D">
        <w:rPr>
          <w:rFonts w:ascii="Times New Roman" w:hAnsi="Times New Roman" w:cs="Times New Roman"/>
          <w:sz w:val="24"/>
          <w:szCs w:val="24"/>
          <w:lang w:val="ro-MD"/>
        </w:rPr>
        <w:t xml:space="preserve"> a CNAS</w:t>
      </w:r>
      <w:r w:rsidRPr="00DD5F1D">
        <w:rPr>
          <w:rFonts w:ascii="Times New Roman" w:hAnsi="Times New Roman" w:cs="Times New Roman"/>
          <w:sz w:val="24"/>
          <w:szCs w:val="24"/>
          <w:lang w:val="ro-MD"/>
        </w:rPr>
        <w:t xml:space="preserve">, auditul nu a constatat divergențe, sumele fiind reflectate în perioada corespunzătoare </w:t>
      </w:r>
      <w:r w:rsidRPr="00DD5F1D">
        <w:rPr>
          <w:rFonts w:ascii="Times New Roman" w:eastAsia="Calibri" w:hAnsi="Times New Roman" w:cs="Times New Roman"/>
          <w:sz w:val="24"/>
          <w:szCs w:val="24"/>
          <w:lang w:val="ro-MD"/>
        </w:rPr>
        <w:t>pe elementele componente</w:t>
      </w:r>
      <w:r w:rsidRPr="00DD5F1D">
        <w:rPr>
          <w:rFonts w:ascii="Times New Roman" w:eastAsia="Calibri" w:hAnsi="Times New Roman" w:cs="Times New Roman"/>
          <w:sz w:val="24"/>
          <w:szCs w:val="24"/>
          <w:lang w:val="ro-MD" w:eastAsia="ro-RO"/>
        </w:rPr>
        <w:t xml:space="preserve"> (</w:t>
      </w:r>
      <w:r w:rsidRPr="00DD5F1D">
        <w:rPr>
          <w:rFonts w:ascii="Times New Roman" w:eastAsia="Times New Roman" w:hAnsi="Times New Roman" w:cs="Times New Roman"/>
          <w:sz w:val="24"/>
          <w:szCs w:val="24"/>
          <w:lang w:val="ro-MD"/>
        </w:rPr>
        <w:t>pentru acoperirea diferenței până la pensia minimă, aferente perioadelor necontributive incluse în stagiul de cotizare),</w:t>
      </w:r>
      <w:r w:rsidRPr="00DD5F1D">
        <w:rPr>
          <w:rFonts w:ascii="Times New Roman" w:eastAsia="Calibri" w:hAnsi="Times New Roman" w:cs="Times New Roman"/>
          <w:sz w:val="24"/>
          <w:szCs w:val="24"/>
          <w:lang w:val="ro-MD" w:eastAsia="ro-RO"/>
        </w:rPr>
        <w:t xml:space="preserve"> înregistrate separat în conturile prevăzute în acest sens</w:t>
      </w:r>
      <w:r w:rsidRPr="00DD5F1D">
        <w:rPr>
          <w:rFonts w:ascii="Times New Roman" w:hAnsi="Times New Roman" w:cs="Times New Roman"/>
          <w:sz w:val="24"/>
          <w:szCs w:val="24"/>
          <w:lang w:val="ro-MD"/>
        </w:rPr>
        <w:t xml:space="preserve"> și în </w:t>
      </w:r>
      <w:r w:rsidR="00A5411D" w:rsidRPr="00DD5F1D">
        <w:rPr>
          <w:rFonts w:ascii="Times New Roman" w:hAnsi="Times New Roman" w:cs="Times New Roman"/>
          <w:sz w:val="24"/>
          <w:szCs w:val="24"/>
          <w:lang w:val="ro-MD"/>
        </w:rPr>
        <w:t>funcție</w:t>
      </w:r>
      <w:r w:rsidRPr="00DD5F1D">
        <w:rPr>
          <w:rFonts w:ascii="Times New Roman" w:hAnsi="Times New Roman" w:cs="Times New Roman"/>
          <w:sz w:val="24"/>
          <w:szCs w:val="24"/>
          <w:lang w:val="ro-MD"/>
        </w:rPr>
        <w:t xml:space="preserve"> de sursa de finanțare</w:t>
      </w:r>
      <w:r w:rsidR="00277488" w:rsidRPr="00DD5F1D">
        <w:rPr>
          <w:rFonts w:ascii="Times New Roman" w:hAnsi="Times New Roman" w:cs="Times New Roman"/>
          <w:sz w:val="24"/>
          <w:szCs w:val="24"/>
          <w:lang w:val="ro-MD"/>
        </w:rPr>
        <w:t xml:space="preserve"> (BASS/BS).</w:t>
      </w:r>
    </w:p>
    <w:p w14:paraId="5F6B6211" w14:textId="7F8D03A6" w:rsidR="006F4F11" w:rsidRPr="00DD5F1D" w:rsidRDefault="0013496E" w:rsidP="006F4F11">
      <w:pPr>
        <w:pStyle w:val="a6"/>
        <w:shd w:val="clear" w:color="auto" w:fill="FFFFFF" w:themeFill="background1"/>
        <w:spacing w:after="240" w:line="276" w:lineRule="auto"/>
        <w:ind w:firstLine="0"/>
        <w:rPr>
          <w:b/>
          <w:lang w:val="ro-MD"/>
        </w:rPr>
      </w:pPr>
      <w:r w:rsidRPr="00DD5F1D">
        <w:rPr>
          <w:b/>
          <w:lang w:val="ro-MD"/>
        </w:rPr>
        <w:t>Suspendarea</w:t>
      </w:r>
      <w:r w:rsidR="006F4F11" w:rsidRPr="00DD5F1D">
        <w:rPr>
          <w:b/>
          <w:lang w:val="ro-MD"/>
        </w:rPr>
        <w:t xml:space="preserve"> plății în cazul decesului beneficiarilor de pensii este cauzată de preluarea cu întârziere a informațiilor privind decesul beneficiarilor, ceea ce a determinat cheltuieli nejustificate în sumă de </w:t>
      </w:r>
      <w:r w:rsidR="006A630F" w:rsidRPr="00DD5F1D">
        <w:rPr>
          <w:b/>
          <w:lang w:val="ro-MD"/>
        </w:rPr>
        <w:t>870,7</w:t>
      </w:r>
      <w:r w:rsidR="006F4F11" w:rsidRPr="00DD5F1D">
        <w:rPr>
          <w:b/>
          <w:lang w:val="ro-MD"/>
        </w:rPr>
        <w:t xml:space="preserve"> mii lei</w:t>
      </w:r>
      <w:r w:rsidR="00A5411D" w:rsidRPr="00DD5F1D">
        <w:rPr>
          <w:b/>
          <w:lang w:val="ro-MD"/>
        </w:rPr>
        <w:t>.</w:t>
      </w:r>
    </w:p>
    <w:p w14:paraId="359E02CA" w14:textId="4660AEF0" w:rsidR="00C342ED" w:rsidRPr="00DD5F1D" w:rsidRDefault="006F4F11" w:rsidP="007D32B0">
      <w:pPr>
        <w:pStyle w:val="a6"/>
        <w:shd w:val="clear" w:color="auto" w:fill="FFFFFF" w:themeFill="background1"/>
        <w:spacing w:line="276" w:lineRule="auto"/>
        <w:ind w:firstLine="0"/>
        <w:rPr>
          <w:rFonts w:eastAsia="Calibri"/>
          <w:noProof/>
          <w:lang w:val="ro-MD"/>
        </w:rPr>
      </w:pPr>
      <w:r w:rsidRPr="00DD5F1D">
        <w:rPr>
          <w:lang w:val="ro-MD"/>
        </w:rPr>
        <w:t xml:space="preserve">Anual, Curtea de Conturi identifică deficiențe în procesul de </w:t>
      </w:r>
      <w:r w:rsidR="00C342ED" w:rsidRPr="00DD5F1D">
        <w:rPr>
          <w:lang w:val="ro-MD"/>
        </w:rPr>
        <w:t>sistare</w:t>
      </w:r>
      <w:r w:rsidRPr="00DD5F1D">
        <w:rPr>
          <w:lang w:val="ro-MD"/>
        </w:rPr>
        <w:t xml:space="preserve"> </w:t>
      </w:r>
      <w:r w:rsidR="00C342ED" w:rsidRPr="00DD5F1D">
        <w:rPr>
          <w:lang w:val="ro-MD"/>
        </w:rPr>
        <w:t xml:space="preserve">a plății în cazul decesului beneficiarilor </w:t>
      </w:r>
      <w:r w:rsidRPr="00DD5F1D">
        <w:rPr>
          <w:lang w:val="ro-MD"/>
        </w:rPr>
        <w:t>de pensii, care au impact asupra executării indicatorilor BASS</w:t>
      </w:r>
      <w:r w:rsidR="00770C85" w:rsidRPr="00DD5F1D">
        <w:rPr>
          <w:lang w:val="ro-MD"/>
        </w:rPr>
        <w:t>. Astfel, deși cadrul normativ</w:t>
      </w:r>
      <w:r w:rsidR="00C342ED" w:rsidRPr="00DD5F1D">
        <w:rPr>
          <w:lang w:val="ro-MD"/>
        </w:rPr>
        <w:t xml:space="preserve"> prevede că pensia se plătește inclusiv pentru luna în care a avut loc decesul beneficiarului</w:t>
      </w:r>
      <w:r w:rsidR="00C342ED" w:rsidRPr="00DD5F1D">
        <w:rPr>
          <w:rStyle w:val="a5"/>
          <w:rFonts w:eastAsiaTheme="majorEastAsia"/>
          <w:lang w:val="ro-MD"/>
        </w:rPr>
        <w:footnoteReference w:id="42"/>
      </w:r>
      <w:r w:rsidR="00C342ED" w:rsidRPr="00DD5F1D">
        <w:rPr>
          <w:lang w:val="ro-MD"/>
        </w:rPr>
        <w:t>, s-a constatat că, în cazul a 1</w:t>
      </w:r>
      <w:r w:rsidR="006A630F" w:rsidRPr="00DD5F1D">
        <w:rPr>
          <w:lang w:val="ro-MD"/>
        </w:rPr>
        <w:t>17</w:t>
      </w:r>
      <w:r w:rsidR="00C342ED" w:rsidRPr="00DD5F1D">
        <w:rPr>
          <w:lang w:val="ro-MD"/>
        </w:rPr>
        <w:t xml:space="preserve"> beneficiari decedați (3</w:t>
      </w:r>
      <w:r w:rsidR="006A630F" w:rsidRPr="00DD5F1D">
        <w:rPr>
          <w:lang w:val="ro-MD"/>
        </w:rPr>
        <w:t>5</w:t>
      </w:r>
      <w:r w:rsidR="00770C85" w:rsidRPr="00DD5F1D">
        <w:rPr>
          <w:lang w:val="ro-MD"/>
        </w:rPr>
        <w:t>,7</w:t>
      </w:r>
      <w:r w:rsidR="00C342ED" w:rsidRPr="00DD5F1D">
        <w:rPr>
          <w:lang w:val="ro-MD"/>
        </w:rPr>
        <w:t xml:space="preserve">%), din </w:t>
      </w:r>
      <w:r w:rsidR="006A630F" w:rsidRPr="00DD5F1D">
        <w:rPr>
          <w:lang w:val="ro-MD"/>
        </w:rPr>
        <w:t>326</w:t>
      </w:r>
      <w:r w:rsidR="00C342ED" w:rsidRPr="00DD5F1D">
        <w:rPr>
          <w:lang w:val="ro-MD"/>
        </w:rPr>
        <w:t xml:space="preserve"> verificați, pensia a fost achitată după data decesului, de la o lună până la </w:t>
      </w:r>
      <w:r w:rsidR="00727DD0" w:rsidRPr="00DD5F1D">
        <w:rPr>
          <w:lang w:val="ro-MD"/>
        </w:rPr>
        <w:t>5</w:t>
      </w:r>
      <w:r w:rsidR="00C342ED" w:rsidRPr="00DD5F1D">
        <w:rPr>
          <w:lang w:val="ro-MD"/>
        </w:rPr>
        <w:t xml:space="preserve"> luni. Din totalul sum</w:t>
      </w:r>
      <w:r w:rsidR="00727DD0" w:rsidRPr="00DD5F1D">
        <w:rPr>
          <w:lang w:val="ro-MD"/>
        </w:rPr>
        <w:t>elor achitate nejustificat, 89,</w:t>
      </w:r>
      <w:r w:rsidR="00E07EC9" w:rsidRPr="00DD5F1D">
        <w:rPr>
          <w:lang w:val="ro-MD"/>
        </w:rPr>
        <w:t>9</w:t>
      </w:r>
      <w:r w:rsidR="00727DD0" w:rsidRPr="00DD5F1D">
        <w:rPr>
          <w:lang w:val="ro-MD"/>
        </w:rPr>
        <w:t xml:space="preserve"> </w:t>
      </w:r>
      <w:r w:rsidR="00C342ED" w:rsidRPr="00DD5F1D">
        <w:rPr>
          <w:lang w:val="ro-MD"/>
        </w:rPr>
        <w:t>% (</w:t>
      </w:r>
      <w:r w:rsidR="006A630F" w:rsidRPr="00DD5F1D">
        <w:rPr>
          <w:lang w:val="ro-MD"/>
        </w:rPr>
        <w:t>1</w:t>
      </w:r>
      <w:r w:rsidR="00770C85" w:rsidRPr="00DD5F1D">
        <w:rPr>
          <w:lang w:val="ro-MD"/>
        </w:rPr>
        <w:t>,</w:t>
      </w:r>
      <w:r w:rsidR="006A630F" w:rsidRPr="00DD5F1D">
        <w:rPr>
          <w:lang w:val="ro-MD"/>
        </w:rPr>
        <w:t>2</w:t>
      </w:r>
      <w:r w:rsidR="00770C85" w:rsidRPr="00DD5F1D">
        <w:rPr>
          <w:lang w:val="ro-MD"/>
        </w:rPr>
        <w:t xml:space="preserve"> mil.</w:t>
      </w:r>
      <w:r w:rsidR="00C342ED" w:rsidRPr="00DD5F1D">
        <w:rPr>
          <w:lang w:val="ro-MD"/>
        </w:rPr>
        <w:t xml:space="preserve"> lei) au fost restituite benevol de către rudele persoanelor decedate, iar </w:t>
      </w:r>
      <w:r w:rsidR="00727DD0" w:rsidRPr="00DD5F1D">
        <w:rPr>
          <w:lang w:val="ro-MD"/>
        </w:rPr>
        <w:t>10,</w:t>
      </w:r>
      <w:r w:rsidR="00E07EC9" w:rsidRPr="00DD5F1D">
        <w:rPr>
          <w:lang w:val="ro-MD"/>
        </w:rPr>
        <w:t>1</w:t>
      </w:r>
      <w:r w:rsidR="00727DD0" w:rsidRPr="00DD5F1D">
        <w:rPr>
          <w:lang w:val="ro-MD"/>
        </w:rPr>
        <w:t xml:space="preserve"> </w:t>
      </w:r>
      <w:r w:rsidR="006A630F" w:rsidRPr="00DD5F1D">
        <w:rPr>
          <w:lang w:val="ro-MD"/>
        </w:rPr>
        <w:t>% (137</w:t>
      </w:r>
      <w:r w:rsidR="00C342ED" w:rsidRPr="00DD5F1D">
        <w:rPr>
          <w:lang w:val="ro-MD"/>
        </w:rPr>
        <w:t>,9 mii lei</w:t>
      </w:r>
      <w:r w:rsidR="00C342ED" w:rsidRPr="00DD5F1D">
        <w:rPr>
          <w:i/>
          <w:lang w:val="ro-MD"/>
        </w:rPr>
        <w:t>)</w:t>
      </w:r>
      <w:r w:rsidRPr="00DD5F1D">
        <w:rPr>
          <w:lang w:val="ro-MD"/>
        </w:rPr>
        <w:t xml:space="preserve"> nu au fost restituite</w:t>
      </w:r>
      <w:r w:rsidR="00C342ED" w:rsidRPr="00DD5F1D">
        <w:rPr>
          <w:lang w:val="ro-MD"/>
        </w:rPr>
        <w:t xml:space="preserve">. </w:t>
      </w:r>
    </w:p>
    <w:p w14:paraId="09DDC658" w14:textId="324D5668" w:rsidR="00C342ED" w:rsidRPr="00DD5F1D" w:rsidRDefault="00C342ED" w:rsidP="007D32B0">
      <w:pPr>
        <w:spacing w:after="0" w:line="276" w:lineRule="auto"/>
        <w:jc w:val="both"/>
        <w:rPr>
          <w:rFonts w:ascii="Times New Roman" w:hAnsi="Times New Roman" w:cs="Times New Roman"/>
          <w:sz w:val="24"/>
          <w:szCs w:val="24"/>
          <w:shd w:val="clear" w:color="auto" w:fill="FFFFFF"/>
          <w:lang w:val="ro-MD"/>
        </w:rPr>
      </w:pPr>
      <w:r w:rsidRPr="00DD5F1D">
        <w:rPr>
          <w:rFonts w:ascii="Times New Roman" w:hAnsi="Times New Roman" w:cs="Times New Roman"/>
          <w:sz w:val="24"/>
          <w:szCs w:val="24"/>
          <w:lang w:val="ro-MD"/>
        </w:rPr>
        <w:t xml:space="preserve">Conform Acordului încheiat între CNAS și </w:t>
      </w:r>
      <w:r w:rsidRPr="00DD5F1D">
        <w:rPr>
          <w:rFonts w:ascii="Times New Roman" w:eastAsia="Calibri" w:hAnsi="Times New Roman" w:cs="Times New Roman"/>
          <w:noProof/>
          <w:sz w:val="24"/>
          <w:szCs w:val="24"/>
          <w:lang w:val="ro-MD"/>
        </w:rPr>
        <w:t>AGE</w:t>
      </w:r>
      <w:r w:rsidRPr="00DD5F1D">
        <w:rPr>
          <w:rStyle w:val="a5"/>
          <w:rFonts w:ascii="Times New Roman" w:eastAsia="Calibri" w:hAnsi="Times New Roman" w:cs="Times New Roman"/>
          <w:noProof/>
          <w:sz w:val="24"/>
          <w:szCs w:val="24"/>
          <w:lang w:val="ro-MD"/>
        </w:rPr>
        <w:footnoteReference w:id="43"/>
      </w:r>
      <w:r w:rsidRPr="00DD5F1D">
        <w:rPr>
          <w:rFonts w:ascii="Times New Roman" w:eastAsia="Calibri" w:hAnsi="Times New Roman" w:cs="Times New Roman"/>
          <w:noProof/>
          <w:sz w:val="24"/>
          <w:szCs w:val="24"/>
          <w:lang w:val="ro-MD"/>
        </w:rPr>
        <w:t xml:space="preserve">, aceasta din urmă </w:t>
      </w:r>
      <w:r w:rsidRPr="00DD5F1D">
        <w:rPr>
          <w:rFonts w:ascii="Times New Roman" w:hAnsi="Times New Roman" w:cs="Times New Roman"/>
          <w:sz w:val="24"/>
          <w:szCs w:val="24"/>
          <w:lang w:val="ro-MD"/>
        </w:rPr>
        <w:t>oferă,</w:t>
      </w:r>
      <w:r w:rsidRPr="00DD5F1D">
        <w:rPr>
          <w:rFonts w:ascii="Times New Roman" w:eastAsia="Calibri" w:hAnsi="Times New Roman" w:cs="Times New Roman"/>
          <w:noProof/>
          <w:sz w:val="24"/>
          <w:szCs w:val="24"/>
          <w:lang w:val="ro-MD"/>
        </w:rPr>
        <w:t xml:space="preserve"> prin intermediul platformei M-Conect, conexiunea între CNAS și </w:t>
      </w:r>
      <w:r w:rsidRPr="00DD5F1D">
        <w:rPr>
          <w:rFonts w:ascii="Times New Roman" w:hAnsi="Times New Roman" w:cs="Times New Roman"/>
          <w:sz w:val="24"/>
          <w:szCs w:val="24"/>
          <w:lang w:val="ro-MD"/>
        </w:rPr>
        <w:t>ASP. Astfel,</w:t>
      </w:r>
      <w:r w:rsidRPr="00DD5F1D">
        <w:rPr>
          <w:rFonts w:ascii="Times New Roman" w:eastAsia="Calibri" w:hAnsi="Times New Roman" w:cs="Times New Roman"/>
          <w:noProof/>
          <w:sz w:val="24"/>
          <w:szCs w:val="24"/>
          <w:lang w:val="ro-MD"/>
        </w:rPr>
        <w:t xml:space="preserve"> în regim automatizat s</w:t>
      </w:r>
      <w:r w:rsidRPr="00DD5F1D">
        <w:rPr>
          <w:rFonts w:ascii="Times New Roman" w:hAnsi="Times New Roman" w:cs="Times New Roman"/>
          <w:sz w:val="24"/>
          <w:szCs w:val="24"/>
          <w:lang w:val="ro-MD"/>
        </w:rPr>
        <w:t>unt recepționate toate datele despre persoanele fizice decedate, care au parvenit în acea zi, preluate din Registrul de Stat al Populației (deținut de Agenția Servicii Publice). Datele se încarcă în SI „Protecția Socială”, după care, în regim automatizat, programul analizează toate tipurile de prestații sociale și, în cazul în care depistează decizii de plată active, inițiază blocarea plății. S</w:t>
      </w:r>
      <w:r w:rsidRPr="00DD5F1D">
        <w:rPr>
          <w:rFonts w:ascii="Times New Roman" w:eastAsia="Calibri" w:hAnsi="Times New Roman" w:cs="Times New Roman"/>
          <w:noProof/>
          <w:sz w:val="24"/>
          <w:szCs w:val="24"/>
          <w:lang w:val="ro-MD"/>
        </w:rPr>
        <w:t>chimbul de date urmează a avea loc zilnic (24 ore din 24 ore, 7 zile în săptămână) pentru a se evita achitările în plus a</w:t>
      </w:r>
      <w:r w:rsidR="00A5411D" w:rsidRPr="00DD5F1D">
        <w:rPr>
          <w:rFonts w:ascii="Times New Roman" w:eastAsia="Calibri" w:hAnsi="Times New Roman" w:cs="Times New Roman"/>
          <w:noProof/>
          <w:sz w:val="24"/>
          <w:szCs w:val="24"/>
          <w:lang w:val="ro-MD"/>
        </w:rPr>
        <w:t>le</w:t>
      </w:r>
      <w:r w:rsidRPr="00DD5F1D">
        <w:rPr>
          <w:rFonts w:ascii="Times New Roman" w:eastAsia="Calibri" w:hAnsi="Times New Roman" w:cs="Times New Roman"/>
          <w:noProof/>
          <w:sz w:val="24"/>
          <w:szCs w:val="24"/>
          <w:lang w:val="ro-MD"/>
        </w:rPr>
        <w:t xml:space="preserve"> prestațiilor sociale. </w:t>
      </w:r>
    </w:p>
    <w:p w14:paraId="1C0ED1F9" w14:textId="764F022E" w:rsidR="00C342ED" w:rsidRPr="00DD5F1D" w:rsidRDefault="00C342ED" w:rsidP="007D32B0">
      <w:pPr>
        <w:pStyle w:val="a6"/>
        <w:shd w:val="clear" w:color="auto" w:fill="FFFFFF" w:themeFill="background1"/>
        <w:spacing w:line="276" w:lineRule="auto"/>
        <w:ind w:firstLine="0"/>
        <w:rPr>
          <w:rFonts w:eastAsia="Calibri"/>
          <w:noProof/>
          <w:lang w:val="ro-MD"/>
        </w:rPr>
      </w:pPr>
      <w:r w:rsidRPr="00DD5F1D">
        <w:rPr>
          <w:rFonts w:eastAsia="Calibri"/>
          <w:noProof/>
          <w:lang w:val="ro-MD"/>
        </w:rPr>
        <w:t xml:space="preserve">Potrivit </w:t>
      </w:r>
      <w:r w:rsidR="006F4F11" w:rsidRPr="00DD5F1D">
        <w:rPr>
          <w:rFonts w:eastAsia="Calibri"/>
          <w:noProof/>
          <w:lang w:val="ro-MD"/>
        </w:rPr>
        <w:t>motivațiilor</w:t>
      </w:r>
      <w:r w:rsidRPr="00DD5F1D">
        <w:rPr>
          <w:rFonts w:eastAsia="Calibri"/>
          <w:noProof/>
          <w:lang w:val="ro-MD"/>
        </w:rPr>
        <w:t xml:space="preserve"> CNAS</w:t>
      </w:r>
      <w:r w:rsidR="00A5411D" w:rsidRPr="00DD5F1D">
        <w:rPr>
          <w:rFonts w:eastAsia="Calibri"/>
          <w:noProof/>
          <w:lang w:val="ro-MD"/>
        </w:rPr>
        <w:t>,</w:t>
      </w:r>
      <w:r w:rsidRPr="00DD5F1D">
        <w:rPr>
          <w:rFonts w:eastAsia="Calibri"/>
          <w:noProof/>
          <w:lang w:val="ro-MD"/>
        </w:rPr>
        <w:t xml:space="preserve"> </w:t>
      </w:r>
      <w:r w:rsidR="00770C85" w:rsidRPr="00DD5F1D">
        <w:rPr>
          <w:rFonts w:eastAsia="Calibri"/>
          <w:noProof/>
          <w:lang w:val="ro-MD"/>
        </w:rPr>
        <w:t>s</w:t>
      </w:r>
      <w:r w:rsidR="006F4F11" w:rsidRPr="00DD5F1D">
        <w:rPr>
          <w:rFonts w:eastAsia="Calibri"/>
          <w:noProof/>
          <w:lang w:val="ro-MD"/>
        </w:rPr>
        <w:t>e denotă</w:t>
      </w:r>
      <w:r w:rsidRPr="00DD5F1D">
        <w:rPr>
          <w:rFonts w:eastAsia="Calibri"/>
          <w:noProof/>
          <w:lang w:val="ro-MD"/>
        </w:rPr>
        <w:t xml:space="preserve"> că schimbul de date are </w:t>
      </w:r>
      <w:r w:rsidR="00770C85" w:rsidRPr="00DD5F1D">
        <w:rPr>
          <w:rFonts w:eastAsia="Calibri"/>
          <w:noProof/>
          <w:lang w:val="ro-MD"/>
        </w:rPr>
        <w:t>loc zilnic, iar în unele</w:t>
      </w:r>
      <w:r w:rsidRPr="00DD5F1D">
        <w:rPr>
          <w:rFonts w:eastAsia="Calibri"/>
          <w:noProof/>
          <w:lang w:val="ro-MD"/>
        </w:rPr>
        <w:t xml:space="preserve"> cazuri sistarea plății prestației are loc atunci când rudele se adresează după ajutorul de deces. </w:t>
      </w:r>
      <w:r w:rsidRPr="00DD5F1D">
        <w:rPr>
          <w:lang w:val="ro-MD"/>
        </w:rPr>
        <w:t>Achitarea nejustificată a pensiei este condiționată de două cauze:</w:t>
      </w:r>
    </w:p>
    <w:p w14:paraId="7F99F32D" w14:textId="7F8B0A9F" w:rsidR="00C342ED" w:rsidRPr="00DD5F1D" w:rsidRDefault="00A5411D" w:rsidP="00740B15">
      <w:pPr>
        <w:pStyle w:val="a6"/>
        <w:numPr>
          <w:ilvl w:val="0"/>
          <w:numId w:val="10"/>
        </w:numPr>
        <w:shd w:val="clear" w:color="auto" w:fill="FFFFFF" w:themeFill="background1"/>
        <w:spacing w:line="276" w:lineRule="auto"/>
        <w:rPr>
          <w:b/>
          <w:lang w:val="ro-MD"/>
        </w:rPr>
      </w:pPr>
      <w:r w:rsidRPr="00DD5F1D">
        <w:rPr>
          <w:b/>
          <w:lang w:val="ro-MD"/>
        </w:rPr>
        <w:t>i</w:t>
      </w:r>
      <w:r w:rsidR="00C342ED" w:rsidRPr="00DD5F1D">
        <w:rPr>
          <w:b/>
          <w:lang w:val="ro-MD"/>
        </w:rPr>
        <w:t>ntroducerea</w:t>
      </w:r>
      <w:r w:rsidR="00DB1551" w:rsidRPr="00DD5F1D">
        <w:rPr>
          <w:b/>
          <w:lang w:val="ro-MD"/>
        </w:rPr>
        <w:t xml:space="preserve"> tardivă a</w:t>
      </w:r>
      <w:r w:rsidR="00C342ED" w:rsidRPr="00DD5F1D">
        <w:rPr>
          <w:b/>
          <w:lang w:val="ro-MD"/>
        </w:rPr>
        <w:t xml:space="preserve"> informațiilor de deces a</w:t>
      </w:r>
      <w:r w:rsidRPr="00DD5F1D">
        <w:rPr>
          <w:b/>
          <w:lang w:val="ro-MD"/>
        </w:rPr>
        <w:t>le</w:t>
      </w:r>
      <w:r w:rsidR="00C342ED" w:rsidRPr="00DD5F1D">
        <w:rPr>
          <w:b/>
          <w:lang w:val="ro-MD"/>
        </w:rPr>
        <w:t xml:space="preserve"> beneficiarilor de către registratorii ASP în Registrul de stat al populației.</w:t>
      </w:r>
    </w:p>
    <w:p w14:paraId="50130E9E" w14:textId="68CA59A1" w:rsidR="00C342ED" w:rsidRPr="00DD5F1D" w:rsidRDefault="00C342ED" w:rsidP="00C342ED">
      <w:pPr>
        <w:pStyle w:val="a6"/>
        <w:shd w:val="clear" w:color="auto" w:fill="FFFFFF" w:themeFill="background1"/>
        <w:spacing w:after="240" w:line="276" w:lineRule="auto"/>
        <w:ind w:firstLine="0"/>
        <w:rPr>
          <w:lang w:val="ro-MD"/>
        </w:rPr>
      </w:pPr>
      <w:r w:rsidRPr="00DD5F1D">
        <w:rPr>
          <w:lang w:val="ro-MD"/>
        </w:rPr>
        <w:t xml:space="preserve">Auditorul a solicitat de la ASP date </w:t>
      </w:r>
      <w:r w:rsidR="00110791" w:rsidRPr="00DD5F1D">
        <w:rPr>
          <w:lang w:val="ro-MD"/>
        </w:rPr>
        <w:t xml:space="preserve">privind </w:t>
      </w:r>
      <w:r w:rsidRPr="00DD5F1D">
        <w:rPr>
          <w:lang w:val="ro-MD"/>
        </w:rPr>
        <w:t>decesul beneficiarilor și perioada introducerii informației în Registrul de stat al populației. Astfel, pentru 117 pensionari au fost stabilite devieri între data decesului și data înregistrării la ASP, de la 1 zile până la 140 de zile</w:t>
      </w:r>
      <w:r w:rsidR="00770C85" w:rsidRPr="00DD5F1D">
        <w:rPr>
          <w:lang w:val="ro-MD"/>
        </w:rPr>
        <w:t xml:space="preserve"> (circa</w:t>
      </w:r>
      <w:r w:rsidR="006F4F11" w:rsidRPr="00DD5F1D">
        <w:rPr>
          <w:lang w:val="ro-MD"/>
        </w:rPr>
        <w:t xml:space="preserve"> 5 luni)</w:t>
      </w:r>
      <w:r w:rsidRPr="00DD5F1D">
        <w:rPr>
          <w:lang w:val="ro-MD"/>
        </w:rPr>
        <w:t>. Potrivit motivațiilor instituț</w:t>
      </w:r>
      <w:r w:rsidR="006F4F11" w:rsidRPr="00DD5F1D">
        <w:rPr>
          <w:lang w:val="ro-MD"/>
        </w:rPr>
        <w:t xml:space="preserve">iei, abaterile au fost cauzate de: </w:t>
      </w:r>
      <w:r w:rsidRPr="00DD5F1D">
        <w:rPr>
          <w:lang w:val="ro-MD"/>
        </w:rPr>
        <w:t xml:space="preserve">producerea decesului în străinătate, iar actele au fost întocmite în procedură de transcriere </w:t>
      </w:r>
      <w:r w:rsidRPr="00B7777D">
        <w:rPr>
          <w:lang w:val="ro-MD"/>
        </w:rPr>
        <w:t xml:space="preserve">(5 cazuri), </w:t>
      </w:r>
      <w:r w:rsidR="002A1C87" w:rsidRPr="00D4484E">
        <w:rPr>
          <w:lang w:val="ro-MD"/>
        </w:rPr>
        <w:t>nedeclararea  și neîntocmirea actelor de deces (1 caz)</w:t>
      </w:r>
      <w:r w:rsidR="002A1C87">
        <w:rPr>
          <w:lang w:val="ro-MD"/>
        </w:rPr>
        <w:t xml:space="preserve">, </w:t>
      </w:r>
      <w:r w:rsidRPr="00B7777D">
        <w:rPr>
          <w:lang w:val="ro-MD"/>
        </w:rPr>
        <w:t>în alte cazuri faptele de deces au fost produse și/sau consemnate în stânga Nistrului (4 cazuri)</w:t>
      </w:r>
      <w:r w:rsidR="00770C85" w:rsidRPr="007D32B0">
        <w:rPr>
          <w:lang w:val="ro-MD"/>
        </w:rPr>
        <w:t>.</w:t>
      </w:r>
      <w:r w:rsidR="00770C85" w:rsidRPr="00B7777D">
        <w:rPr>
          <w:lang w:val="ro-MD"/>
        </w:rPr>
        <w:t xml:space="preserve"> </w:t>
      </w:r>
      <w:r w:rsidR="00110791" w:rsidRPr="009A6E4D">
        <w:rPr>
          <w:lang w:val="ro-MD"/>
        </w:rPr>
        <w:t>Printre</w:t>
      </w:r>
      <w:r w:rsidRPr="00193E3C">
        <w:rPr>
          <w:lang w:val="ro-MD"/>
        </w:rPr>
        <w:t xml:space="preserve"> motivele pentru care data producerii faptului decesului nu coincide cu data înregistrării actului de deces, a fost menționat și </w:t>
      </w:r>
      <w:r w:rsidR="002A1C87" w:rsidRPr="005152D5">
        <w:rPr>
          <w:lang w:val="ro-MD"/>
        </w:rPr>
        <w:t>nedeclararea decesului</w:t>
      </w:r>
      <w:r w:rsidR="002A1C87" w:rsidRPr="002A1C87">
        <w:rPr>
          <w:lang w:val="ro-MD"/>
        </w:rPr>
        <w:t xml:space="preserve">, </w:t>
      </w:r>
      <w:r w:rsidRPr="007D32B0">
        <w:rPr>
          <w:lang w:val="ro-MD"/>
        </w:rPr>
        <w:t>procedura înregistrării decesului</w:t>
      </w:r>
      <w:r w:rsidR="002A1C87" w:rsidRPr="007D32B0">
        <w:rPr>
          <w:lang w:val="ro-MD"/>
        </w:rPr>
        <w:t xml:space="preserve"> efectuându-se </w:t>
      </w:r>
      <w:r w:rsidRPr="007D32B0">
        <w:rPr>
          <w:lang w:val="ro-MD"/>
        </w:rPr>
        <w:t xml:space="preserve">din oficiu, de </w:t>
      </w:r>
      <w:r w:rsidR="00316A95" w:rsidRPr="007D32B0">
        <w:rPr>
          <w:lang w:val="ro-MD"/>
        </w:rPr>
        <w:t>către organele de stare civilă</w:t>
      </w:r>
      <w:r w:rsidR="00316A95" w:rsidRPr="00B7777D">
        <w:rPr>
          <w:lang w:val="ro-MD"/>
        </w:rPr>
        <w:t xml:space="preserve"> </w:t>
      </w:r>
      <w:r w:rsidRPr="009A6E4D">
        <w:rPr>
          <w:lang w:val="ro-MD"/>
        </w:rPr>
        <w:t>(44 dintre cazurile identificate de audit).</w:t>
      </w:r>
    </w:p>
    <w:p w14:paraId="06249440" w14:textId="6FFFDDEB" w:rsidR="00C342ED" w:rsidRPr="00DD5F1D" w:rsidRDefault="00C342ED" w:rsidP="00C342ED">
      <w:pPr>
        <w:spacing w:before="24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Totodată, ASP a menționat că, în scopul actualizării în termen cât mai restrâns a Registrului de stat al populației cu informați</w:t>
      </w:r>
      <w:r w:rsidR="00110791" w:rsidRPr="00DD5F1D">
        <w:rPr>
          <w:rFonts w:ascii="Times New Roman" w:hAnsi="Times New Roman" w:cs="Times New Roman"/>
          <w:sz w:val="24"/>
          <w:szCs w:val="24"/>
          <w:lang w:val="ro-MD"/>
        </w:rPr>
        <w:t>i</w:t>
      </w:r>
      <w:r w:rsidRPr="00DD5F1D">
        <w:rPr>
          <w:rFonts w:ascii="Times New Roman" w:hAnsi="Times New Roman" w:cs="Times New Roman"/>
          <w:sz w:val="24"/>
          <w:szCs w:val="24"/>
          <w:lang w:val="ro-MD"/>
        </w:rPr>
        <w:t xml:space="preserve"> despre statutul civil al persoanei decedate, drept măsură imediată întreprinsă în acest sens de către Departamentul stare civilă al ASP constituie conlucrarea cu autoritățile publice locale de a recepționa săptămânal actele de stare civilă întocmite de primării</w:t>
      </w:r>
      <w:r w:rsidR="00770C85" w:rsidRPr="00DD5F1D">
        <w:rPr>
          <w:rFonts w:ascii="Times New Roman" w:hAnsi="Times New Roman" w:cs="Times New Roman"/>
          <w:sz w:val="24"/>
          <w:szCs w:val="24"/>
          <w:lang w:val="ro-MD"/>
        </w:rPr>
        <w:t>le localităților, precum și</w:t>
      </w:r>
      <w:r w:rsidRPr="00DD5F1D">
        <w:rPr>
          <w:rFonts w:ascii="Times New Roman" w:hAnsi="Times New Roman" w:cs="Times New Roman"/>
          <w:sz w:val="24"/>
          <w:szCs w:val="24"/>
          <w:lang w:val="ro-MD"/>
        </w:rPr>
        <w:t xml:space="preserve"> a</w:t>
      </w:r>
      <w:r w:rsidR="00770C85" w:rsidRPr="00DD5F1D">
        <w:rPr>
          <w:rFonts w:ascii="Times New Roman" w:hAnsi="Times New Roman" w:cs="Times New Roman"/>
          <w:sz w:val="24"/>
          <w:szCs w:val="24"/>
          <w:lang w:val="ro-MD"/>
        </w:rPr>
        <w:t>utomatizarea datelor</w:t>
      </w:r>
      <w:r w:rsidRPr="00DD5F1D">
        <w:rPr>
          <w:rFonts w:ascii="Times New Roman" w:hAnsi="Times New Roman" w:cs="Times New Roman"/>
          <w:sz w:val="24"/>
          <w:szCs w:val="24"/>
          <w:lang w:val="ro-MD"/>
        </w:rPr>
        <w:t xml:space="preserve"> prin intermediul sistemelor informaționale</w:t>
      </w:r>
      <w:r w:rsidR="00770C85" w:rsidRPr="00DD5F1D">
        <w:rPr>
          <w:rFonts w:ascii="Times New Roman" w:hAnsi="Times New Roman" w:cs="Times New Roman"/>
          <w:sz w:val="24"/>
          <w:szCs w:val="24"/>
          <w:lang w:val="ro-MD"/>
        </w:rPr>
        <w:t xml:space="preserve"> oferite de oficiile stării civile.</w:t>
      </w:r>
      <w:r w:rsidRPr="00DD5F1D">
        <w:rPr>
          <w:rFonts w:ascii="Times New Roman" w:hAnsi="Times New Roman" w:cs="Times New Roman"/>
          <w:sz w:val="24"/>
          <w:szCs w:val="24"/>
          <w:lang w:val="ro-MD"/>
        </w:rPr>
        <w:t xml:space="preserve"> </w:t>
      </w:r>
    </w:p>
    <w:p w14:paraId="36FD75CD" w14:textId="15639C0F" w:rsidR="00CC7599" w:rsidRPr="00DD5F1D" w:rsidRDefault="00CC7599" w:rsidP="00761FE8">
      <w:pPr>
        <w:autoSpaceDE w:val="0"/>
        <w:autoSpaceDN w:val="0"/>
        <w:adjustRightInd w:val="0"/>
        <w:spacing w:after="0" w:line="276" w:lineRule="auto"/>
        <w:jc w:val="both"/>
        <w:rPr>
          <w:rFonts w:ascii="Times New Roman" w:hAnsi="Times New Roman" w:cs="Times New Roman"/>
          <w:i/>
          <w:color w:val="333333"/>
          <w:sz w:val="24"/>
          <w:szCs w:val="24"/>
          <w:lang w:val="ro-MD"/>
        </w:rPr>
      </w:pPr>
      <w:r w:rsidRPr="00DD5F1D">
        <w:rPr>
          <w:rFonts w:ascii="Times New Roman" w:hAnsi="Times New Roman" w:cs="Times New Roman"/>
          <w:i/>
          <w:color w:val="000000"/>
          <w:sz w:val="24"/>
          <w:szCs w:val="24"/>
          <w:lang w:val="ro-MD"/>
        </w:rPr>
        <w:t>Notă: potrivit motivațiilor ASP, în cadrul proiectului privind Modernizarea serviciilor publice</w:t>
      </w:r>
      <w:r w:rsidRPr="00DD5F1D">
        <w:rPr>
          <w:rStyle w:val="a5"/>
          <w:rFonts w:ascii="Times New Roman" w:hAnsi="Times New Roman" w:cs="Times New Roman"/>
          <w:i/>
          <w:color w:val="000000"/>
          <w:sz w:val="24"/>
          <w:szCs w:val="24"/>
          <w:lang w:val="ro-MD"/>
        </w:rPr>
        <w:footnoteReference w:id="44"/>
      </w:r>
      <w:r w:rsidRPr="00DD5F1D">
        <w:rPr>
          <w:rFonts w:ascii="Times New Roman" w:hAnsi="Times New Roman" w:cs="Times New Roman"/>
          <w:i/>
          <w:color w:val="000000"/>
          <w:sz w:val="24"/>
          <w:szCs w:val="24"/>
          <w:lang w:val="ro-MD"/>
        </w:rPr>
        <w:t xml:space="preserve">, </w:t>
      </w:r>
      <w:r w:rsidR="004F6719" w:rsidRPr="00DD5F1D">
        <w:rPr>
          <w:rFonts w:ascii="Times New Roman" w:hAnsi="Times New Roman" w:cs="Times New Roman"/>
          <w:i/>
          <w:color w:val="000000"/>
          <w:sz w:val="24"/>
          <w:szCs w:val="24"/>
          <w:lang w:val="ro-MD"/>
        </w:rPr>
        <w:t xml:space="preserve">se propune </w:t>
      </w:r>
      <w:r w:rsidRPr="00DD5F1D">
        <w:rPr>
          <w:rFonts w:ascii="Times New Roman" w:hAnsi="Times New Roman" w:cs="Times New Roman"/>
          <w:i/>
          <w:color w:val="000000"/>
          <w:sz w:val="24"/>
          <w:szCs w:val="24"/>
          <w:lang w:val="ro-MD"/>
        </w:rPr>
        <w:t>asigur</w:t>
      </w:r>
      <w:r w:rsidR="004F6719" w:rsidRPr="00DD5F1D">
        <w:rPr>
          <w:rFonts w:ascii="Times New Roman" w:hAnsi="Times New Roman" w:cs="Times New Roman"/>
          <w:i/>
          <w:color w:val="000000"/>
          <w:sz w:val="24"/>
          <w:szCs w:val="24"/>
          <w:lang w:val="ro-MD"/>
        </w:rPr>
        <w:t>area</w:t>
      </w:r>
      <w:r w:rsidRPr="00DD5F1D">
        <w:rPr>
          <w:rFonts w:ascii="Times New Roman" w:hAnsi="Times New Roman" w:cs="Times New Roman"/>
          <w:i/>
          <w:color w:val="000000"/>
          <w:sz w:val="24"/>
          <w:szCs w:val="24"/>
          <w:lang w:val="ro-MD"/>
        </w:rPr>
        <w:t xml:space="preserve"> implementării </w:t>
      </w:r>
      <w:r w:rsidR="004F6719" w:rsidRPr="00DD5F1D">
        <w:rPr>
          <w:rFonts w:ascii="Times New Roman" w:hAnsi="Times New Roman" w:cs="Times New Roman"/>
          <w:i/>
          <w:color w:val="000000"/>
          <w:sz w:val="24"/>
          <w:szCs w:val="24"/>
          <w:lang w:val="ro-MD"/>
        </w:rPr>
        <w:t>unui nou</w:t>
      </w:r>
      <w:r w:rsidRPr="00DD5F1D">
        <w:rPr>
          <w:rFonts w:ascii="Times New Roman" w:hAnsi="Times New Roman" w:cs="Times New Roman"/>
          <w:i/>
          <w:color w:val="000000"/>
          <w:sz w:val="24"/>
          <w:szCs w:val="24"/>
          <w:lang w:val="ro-MD"/>
        </w:rPr>
        <w:t xml:space="preserve"> model de prestare a serviciilor de stare civilă, care presupune preluarea datelor despre deces direct de la Ministerul Sănătății prin platforma MConnect. Proiectul este în faza de dezvoltare a software-ului. La moment, datele necesare deținute de către Ministerul Sănătății </w:t>
      </w:r>
      <w:r w:rsidRPr="00DD5F1D">
        <w:rPr>
          <w:rFonts w:ascii="Times New Roman" w:hAnsi="Times New Roman" w:cs="Times New Roman"/>
          <w:i/>
          <w:iCs/>
          <w:color w:val="000000"/>
          <w:sz w:val="24"/>
          <w:szCs w:val="24"/>
          <w:lang w:val="ro-MD"/>
        </w:rPr>
        <w:t xml:space="preserve">(din Sistemul </w:t>
      </w:r>
      <w:r w:rsidR="004F6719" w:rsidRPr="00DD5F1D">
        <w:rPr>
          <w:rFonts w:ascii="Times New Roman" w:hAnsi="Times New Roman" w:cs="Times New Roman"/>
          <w:i/>
          <w:iCs/>
          <w:color w:val="000000"/>
          <w:sz w:val="24"/>
          <w:szCs w:val="24"/>
          <w:lang w:val="ro-MD"/>
        </w:rPr>
        <w:t>informaț</w:t>
      </w:r>
      <w:r w:rsidRPr="00DD5F1D">
        <w:rPr>
          <w:rFonts w:ascii="Times New Roman" w:hAnsi="Times New Roman" w:cs="Times New Roman"/>
          <w:i/>
          <w:iCs/>
          <w:color w:val="000000"/>
          <w:sz w:val="24"/>
          <w:szCs w:val="24"/>
          <w:lang w:val="ro-MD"/>
        </w:rPr>
        <w:t>ional</w:t>
      </w:r>
      <w:r w:rsidRPr="00DD5F1D">
        <w:rPr>
          <w:rFonts w:ascii="Times New Roman" w:hAnsi="Times New Roman" w:cs="Times New Roman"/>
          <w:i/>
          <w:color w:val="000000"/>
          <w:sz w:val="24"/>
          <w:szCs w:val="24"/>
          <w:lang w:val="ro-MD"/>
        </w:rPr>
        <w:t xml:space="preserve"> </w:t>
      </w:r>
      <w:r w:rsidRPr="00DD5F1D">
        <w:rPr>
          <w:rFonts w:ascii="Times New Roman" w:hAnsi="Times New Roman" w:cs="Times New Roman"/>
          <w:i/>
          <w:iCs/>
          <w:color w:val="000000"/>
          <w:sz w:val="24"/>
          <w:szCs w:val="24"/>
          <w:lang w:val="ro-MD"/>
        </w:rPr>
        <w:t>„Constatarea medicală a nașterii și decesului</w:t>
      </w:r>
      <w:r w:rsidRPr="00DD5F1D">
        <w:rPr>
          <w:rFonts w:ascii="Times New Roman" w:hAnsi="Times New Roman" w:cs="Times New Roman"/>
          <w:i/>
          <w:color w:val="000000"/>
          <w:sz w:val="24"/>
          <w:szCs w:val="24"/>
          <w:lang w:val="ro-MD"/>
        </w:rPr>
        <w:t xml:space="preserve"> </w:t>
      </w:r>
      <w:r w:rsidRPr="00DD5F1D">
        <w:rPr>
          <w:rFonts w:ascii="Times New Roman" w:hAnsi="Times New Roman" w:cs="Times New Roman"/>
          <w:i/>
          <w:iCs/>
          <w:color w:val="000000"/>
          <w:sz w:val="24"/>
          <w:szCs w:val="24"/>
          <w:lang w:val="ro-MD"/>
        </w:rPr>
        <w:t xml:space="preserve">(SI e-CMND) </w:t>
      </w:r>
      <w:r w:rsidRPr="00DD5F1D">
        <w:rPr>
          <w:rFonts w:ascii="Times New Roman" w:hAnsi="Times New Roman" w:cs="Times New Roman"/>
          <w:i/>
          <w:color w:val="000000"/>
          <w:sz w:val="24"/>
          <w:szCs w:val="24"/>
          <w:lang w:val="ro-MD"/>
        </w:rPr>
        <w:t xml:space="preserve">încă nu sunt disponibile în MConnect pentru a fi consumate de către ASP </w:t>
      </w:r>
      <w:r w:rsidRPr="00DD5F1D">
        <w:rPr>
          <w:rFonts w:ascii="Times New Roman" w:hAnsi="Times New Roman" w:cs="Times New Roman"/>
          <w:i/>
          <w:iCs/>
          <w:color w:val="000000"/>
          <w:sz w:val="24"/>
          <w:szCs w:val="24"/>
          <w:lang w:val="ro-MD"/>
        </w:rPr>
        <w:t xml:space="preserve">(RSP) </w:t>
      </w:r>
      <w:r w:rsidR="004F6719" w:rsidRPr="00DD5F1D">
        <w:rPr>
          <w:rFonts w:ascii="Times New Roman" w:hAnsi="Times New Roman" w:cs="Times New Roman"/>
          <w:i/>
          <w:color w:val="000000"/>
          <w:sz w:val="24"/>
          <w:szCs w:val="24"/>
          <w:lang w:val="ro-MD"/>
        </w:rPr>
        <w:t>și ulterior</w:t>
      </w:r>
      <w:r w:rsidRPr="00DD5F1D">
        <w:rPr>
          <w:rFonts w:ascii="Times New Roman" w:hAnsi="Times New Roman" w:cs="Times New Roman"/>
          <w:i/>
          <w:color w:val="000000"/>
          <w:sz w:val="24"/>
          <w:szCs w:val="24"/>
          <w:lang w:val="ro-MD"/>
        </w:rPr>
        <w:t xml:space="preserve"> de către </w:t>
      </w:r>
      <w:r w:rsidR="00A514FF" w:rsidRPr="00DD5F1D">
        <w:rPr>
          <w:rFonts w:ascii="Times New Roman" w:hAnsi="Times New Roman" w:cs="Times New Roman"/>
          <w:i/>
          <w:color w:val="000000"/>
          <w:sz w:val="24"/>
          <w:szCs w:val="24"/>
          <w:lang w:val="ro-MD"/>
        </w:rPr>
        <w:t>CNAS</w:t>
      </w:r>
      <w:r w:rsidR="00A53BA2" w:rsidRPr="00DD5F1D">
        <w:rPr>
          <w:rFonts w:ascii="Times New Roman" w:hAnsi="Times New Roman" w:cs="Times New Roman"/>
          <w:i/>
          <w:color w:val="000000"/>
          <w:sz w:val="24"/>
          <w:szCs w:val="24"/>
          <w:lang w:val="ro-MD"/>
        </w:rPr>
        <w:t>;</w:t>
      </w:r>
    </w:p>
    <w:p w14:paraId="44580E5A" w14:textId="2C9C91AE" w:rsidR="00C342ED" w:rsidRPr="00DD5F1D" w:rsidRDefault="00A53BA2" w:rsidP="00DB1551">
      <w:pPr>
        <w:pStyle w:val="aa"/>
        <w:numPr>
          <w:ilvl w:val="0"/>
          <w:numId w:val="10"/>
        </w:numPr>
        <w:spacing w:before="240" w:after="0" w:line="276" w:lineRule="auto"/>
        <w:jc w:val="both"/>
        <w:rPr>
          <w:rFonts w:ascii="Times New Roman" w:hAnsi="Times New Roman" w:cs="Times New Roman"/>
          <w:b/>
          <w:sz w:val="24"/>
          <w:szCs w:val="24"/>
          <w:lang w:val="ro-MD"/>
        </w:rPr>
      </w:pPr>
      <w:r w:rsidRPr="00DD5F1D">
        <w:rPr>
          <w:rFonts w:ascii="Times New Roman" w:hAnsi="Times New Roman" w:cs="Times New Roman"/>
          <w:b/>
          <w:sz w:val="24"/>
          <w:szCs w:val="24"/>
          <w:lang w:val="ro-MD"/>
        </w:rPr>
        <w:t>t</w:t>
      </w:r>
      <w:r w:rsidR="00C342ED" w:rsidRPr="00DD5F1D">
        <w:rPr>
          <w:rFonts w:ascii="Times New Roman" w:hAnsi="Times New Roman" w:cs="Times New Roman"/>
          <w:b/>
          <w:sz w:val="24"/>
          <w:szCs w:val="24"/>
          <w:lang w:val="ro-MD"/>
        </w:rPr>
        <w:t>ransmiterea tardivă de către ASP a datelor din Registrul de stat al populației către CNAS prin intermediul SI MConnect.</w:t>
      </w:r>
      <w:r w:rsidR="00C342ED" w:rsidRPr="00DD5F1D">
        <w:rPr>
          <w:rFonts w:eastAsia="Calibri"/>
          <w:noProof/>
          <w:lang w:val="ro-MD"/>
        </w:rPr>
        <w:t xml:space="preserve"> </w:t>
      </w:r>
    </w:p>
    <w:p w14:paraId="20F95A65" w14:textId="2CCDFC22" w:rsidR="007D41C3" w:rsidRPr="00DD5F1D" w:rsidRDefault="00C342ED" w:rsidP="00C342ED">
      <w:pPr>
        <w:pStyle w:val="Default"/>
        <w:spacing w:before="240" w:line="276" w:lineRule="auto"/>
        <w:jc w:val="both"/>
        <w:rPr>
          <w:color w:val="auto"/>
          <w:lang w:val="ro-MD"/>
        </w:rPr>
      </w:pPr>
      <w:r w:rsidRPr="007D32B0">
        <w:rPr>
          <w:color w:val="auto"/>
          <w:lang w:val="ro-MD"/>
        </w:rPr>
        <w:t>La contrapunerea datelor</w:t>
      </w:r>
      <w:r w:rsidR="00623324" w:rsidRPr="007D32B0">
        <w:rPr>
          <w:color w:val="auto"/>
          <w:lang w:val="ro-MD"/>
        </w:rPr>
        <w:t xml:space="preserve"> privind decesul</w:t>
      </w:r>
      <w:r w:rsidRPr="007D32B0">
        <w:rPr>
          <w:color w:val="auto"/>
          <w:lang w:val="ro-MD"/>
        </w:rPr>
        <w:t xml:space="preserve"> înregistrat la CNAS </w:t>
      </w:r>
      <w:r w:rsidR="00623324" w:rsidRPr="007D32B0">
        <w:rPr>
          <w:color w:val="auto"/>
          <w:lang w:val="ro-MD"/>
        </w:rPr>
        <w:t xml:space="preserve">în SI </w:t>
      </w:r>
      <w:r w:rsidRPr="007D32B0">
        <w:rPr>
          <w:color w:val="auto"/>
          <w:lang w:val="ro-MD"/>
        </w:rPr>
        <w:t xml:space="preserve">cu data decesului beneficiarului, </w:t>
      </w:r>
      <w:r w:rsidR="00623324" w:rsidRPr="007D32B0">
        <w:rPr>
          <w:color w:val="auto"/>
          <w:lang w:val="ro-MD"/>
        </w:rPr>
        <w:t>s-a constatat</w:t>
      </w:r>
      <w:r w:rsidRPr="007D32B0">
        <w:rPr>
          <w:color w:val="auto"/>
          <w:lang w:val="ro-MD"/>
        </w:rPr>
        <w:t xml:space="preserve"> că numărul de zile variază între 1 și 141.</w:t>
      </w:r>
    </w:p>
    <w:p w14:paraId="793D5D75" w14:textId="77777777" w:rsidR="00C342ED" w:rsidRPr="00DD5F1D" w:rsidRDefault="00C342ED" w:rsidP="00C342ED">
      <w:pPr>
        <w:pStyle w:val="Default"/>
        <w:spacing w:before="240" w:line="276" w:lineRule="auto"/>
        <w:jc w:val="center"/>
        <w:rPr>
          <w:color w:val="auto"/>
          <w:lang w:val="ro-MD"/>
        </w:rPr>
      </w:pPr>
      <w:r w:rsidRPr="00DD5F1D">
        <w:rPr>
          <w:b/>
          <w:bCs/>
          <w:color w:val="auto"/>
          <w:lang w:val="ro-MD"/>
        </w:rPr>
        <w:t>Evaluarea termenelor de înregistrare a informațiilor constatate de audit</w:t>
      </w:r>
    </w:p>
    <w:p w14:paraId="42374438" w14:textId="77777777" w:rsidR="00C342ED" w:rsidRPr="00DD5F1D" w:rsidRDefault="00C342ED" w:rsidP="007D32B0">
      <w:pPr>
        <w:pStyle w:val="a6"/>
        <w:shd w:val="clear" w:color="auto" w:fill="FFFFFF" w:themeFill="background1"/>
        <w:spacing w:line="276" w:lineRule="auto"/>
        <w:ind w:firstLine="0"/>
        <w:jc w:val="center"/>
        <w:rPr>
          <w:lang w:val="ro-MD"/>
        </w:rPr>
      </w:pPr>
      <w:r w:rsidRPr="00DD5F1D">
        <w:rPr>
          <w:noProof/>
          <w:lang w:val="ru-RU" w:eastAsia="ru-RU"/>
        </w:rPr>
        <w:drawing>
          <wp:inline distT="0" distB="0" distL="0" distR="0" wp14:anchorId="1B628CBE" wp14:editId="7FDDA336">
            <wp:extent cx="6031523" cy="2438400"/>
            <wp:effectExtent l="0" t="0" r="26670" b="952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D410151" w14:textId="6FD7CA2F" w:rsidR="00C342ED" w:rsidRPr="00DD5F1D" w:rsidRDefault="001549A1" w:rsidP="007741FE">
      <w:pPr>
        <w:shd w:val="clear" w:color="auto" w:fill="FFFFFF" w:themeFill="background1"/>
        <w:spacing w:line="276" w:lineRule="auto"/>
        <w:rPr>
          <w:rFonts w:ascii="Times New Roman" w:hAnsi="Times New Roman" w:cs="Times New Roman"/>
          <w:i/>
          <w:szCs w:val="24"/>
          <w:lang w:val="ro-MD"/>
        </w:rPr>
      </w:pPr>
      <w:r w:rsidRPr="00DD5F1D">
        <w:rPr>
          <w:rFonts w:ascii="Times New Roman" w:hAnsi="Times New Roman" w:cs="Times New Roman"/>
          <w:b/>
          <w:i/>
          <w:sz w:val="20"/>
          <w:szCs w:val="24"/>
          <w:lang w:val="ro-MD"/>
        </w:rPr>
        <w:t>Figura nr. 2</w:t>
      </w:r>
      <w:r w:rsidR="00C342ED" w:rsidRPr="00DD5F1D">
        <w:rPr>
          <w:rFonts w:ascii="Times New Roman" w:hAnsi="Times New Roman" w:cs="Times New Roman"/>
          <w:i/>
          <w:sz w:val="20"/>
          <w:szCs w:val="24"/>
          <w:lang w:val="ro-MD"/>
        </w:rPr>
        <w:t xml:space="preserve"> Procesul de recepționare a informații</w:t>
      </w:r>
      <w:r w:rsidR="00450E15" w:rsidRPr="00DD5F1D">
        <w:rPr>
          <w:rFonts w:ascii="Times New Roman" w:hAnsi="Times New Roman" w:cs="Times New Roman"/>
          <w:i/>
          <w:sz w:val="20"/>
          <w:szCs w:val="24"/>
          <w:lang w:val="ro-MD"/>
        </w:rPr>
        <w:t>lor</w:t>
      </w:r>
      <w:r w:rsidR="00C342ED" w:rsidRPr="00DD5F1D">
        <w:rPr>
          <w:rFonts w:ascii="Times New Roman" w:hAnsi="Times New Roman" w:cs="Times New Roman"/>
          <w:i/>
          <w:sz w:val="20"/>
          <w:szCs w:val="24"/>
          <w:lang w:val="ro-MD"/>
        </w:rPr>
        <w:t xml:space="preserve"> privind datele despre decesul beneficiarilor</w:t>
      </w:r>
      <w:r w:rsidR="00623324" w:rsidRPr="00DD5F1D">
        <w:rPr>
          <w:rFonts w:ascii="Times New Roman" w:hAnsi="Times New Roman" w:cs="Times New Roman"/>
          <w:i/>
          <w:sz w:val="20"/>
          <w:szCs w:val="24"/>
          <w:lang w:val="ro-MD"/>
        </w:rPr>
        <w:t>, elaborat de audit în baza informațiilor prezentate de ASP și CNAS</w:t>
      </w:r>
      <w:r w:rsidR="00450E15" w:rsidRPr="00DD5F1D">
        <w:rPr>
          <w:rFonts w:ascii="Times New Roman" w:hAnsi="Times New Roman" w:cs="Times New Roman"/>
          <w:i/>
          <w:sz w:val="20"/>
          <w:szCs w:val="24"/>
          <w:lang w:val="ro-MD"/>
        </w:rPr>
        <w:t>.</w:t>
      </w:r>
    </w:p>
    <w:p w14:paraId="21DC6CA0" w14:textId="7AE399FC" w:rsidR="00C342ED" w:rsidRPr="00DD5F1D" w:rsidRDefault="00C342ED" w:rsidP="00600049">
      <w:pPr>
        <w:pStyle w:val="a6"/>
        <w:shd w:val="clear" w:color="auto" w:fill="FFFFFF" w:themeFill="background1"/>
        <w:spacing w:before="240" w:after="240" w:line="276" w:lineRule="auto"/>
        <w:ind w:firstLine="0"/>
        <w:rPr>
          <w:lang w:val="ro-MD"/>
        </w:rPr>
      </w:pPr>
      <w:r w:rsidRPr="00DD5F1D">
        <w:rPr>
          <w:lang w:val="ro-MD"/>
        </w:rPr>
        <w:t xml:space="preserve">În </w:t>
      </w:r>
      <w:r w:rsidR="00450E15" w:rsidRPr="00DD5F1D">
        <w:rPr>
          <w:lang w:val="ro-MD"/>
        </w:rPr>
        <w:t>urma</w:t>
      </w:r>
      <w:r w:rsidRPr="00DD5F1D">
        <w:rPr>
          <w:lang w:val="ro-MD"/>
        </w:rPr>
        <w:t xml:space="preserve"> deficiențelor constatate </w:t>
      </w:r>
      <w:r w:rsidR="00450E15" w:rsidRPr="00DD5F1D">
        <w:rPr>
          <w:lang w:val="ro-MD"/>
        </w:rPr>
        <w:t>privind</w:t>
      </w:r>
      <w:r w:rsidRPr="00DD5F1D">
        <w:rPr>
          <w:lang w:val="ro-MD"/>
        </w:rPr>
        <w:t xml:space="preserve"> recepțion</w:t>
      </w:r>
      <w:r w:rsidR="00450E15" w:rsidRPr="00DD5F1D">
        <w:rPr>
          <w:lang w:val="ro-MD"/>
        </w:rPr>
        <w:t>area</w:t>
      </w:r>
      <w:r w:rsidRPr="00DD5F1D">
        <w:rPr>
          <w:lang w:val="ro-MD"/>
        </w:rPr>
        <w:t xml:space="preserve"> informații</w:t>
      </w:r>
      <w:r w:rsidR="00450E15" w:rsidRPr="00DD5F1D">
        <w:rPr>
          <w:lang w:val="ro-MD"/>
        </w:rPr>
        <w:t>lor</w:t>
      </w:r>
      <w:r w:rsidRPr="00DD5F1D">
        <w:rPr>
          <w:lang w:val="ro-MD"/>
        </w:rPr>
        <w:t xml:space="preserve"> în cazul decesului beneficiarului</w:t>
      </w:r>
      <w:r w:rsidR="00E8004A">
        <w:rPr>
          <w:lang w:val="ro-MD"/>
        </w:rPr>
        <w:t xml:space="preserve"> determină</w:t>
      </w:r>
      <w:r w:rsidRPr="00DD5F1D">
        <w:rPr>
          <w:lang w:val="ro-MD"/>
        </w:rPr>
        <w:t xml:space="preserve"> erori potențiale</w:t>
      </w:r>
      <w:r w:rsidR="00E8004A">
        <w:rPr>
          <w:lang w:val="ro-MD"/>
        </w:rPr>
        <w:t xml:space="preserve">, iar cele identificate </w:t>
      </w:r>
      <w:r w:rsidRPr="00DD5F1D">
        <w:rPr>
          <w:lang w:val="ro-MD"/>
        </w:rPr>
        <w:t xml:space="preserve">de audit sub formă de </w:t>
      </w:r>
      <w:r w:rsidR="00623324" w:rsidRPr="00DD5F1D">
        <w:rPr>
          <w:lang w:val="ro-MD"/>
        </w:rPr>
        <w:t>cheltuieli nejustificate</w:t>
      </w:r>
      <w:r w:rsidRPr="00DD5F1D">
        <w:rPr>
          <w:lang w:val="ro-MD"/>
        </w:rPr>
        <w:t xml:space="preserve"> asupra</w:t>
      </w:r>
      <w:r w:rsidR="00623324" w:rsidRPr="00DD5F1D">
        <w:rPr>
          <w:lang w:val="ro-MD"/>
        </w:rPr>
        <w:t xml:space="preserve"> BASS/BS aferente cheltuielilor</w:t>
      </w:r>
      <w:r w:rsidR="007740A5" w:rsidRPr="00DD5F1D">
        <w:rPr>
          <w:lang w:val="ro-MD"/>
        </w:rPr>
        <w:t xml:space="preserve"> </w:t>
      </w:r>
      <w:r w:rsidRPr="00DD5F1D">
        <w:rPr>
          <w:lang w:val="ro-MD"/>
        </w:rPr>
        <w:t>pentru pensiile de limită de vârstă</w:t>
      </w:r>
      <w:r w:rsidR="00623324" w:rsidRPr="00DD5F1D">
        <w:rPr>
          <w:lang w:val="ro-MD"/>
        </w:rPr>
        <w:t xml:space="preserve"> au constituit</w:t>
      </w:r>
      <w:r w:rsidRPr="00DD5F1D">
        <w:rPr>
          <w:lang w:val="ro-MD"/>
        </w:rPr>
        <w:t xml:space="preserve"> 870,7 mii lei</w:t>
      </w:r>
      <w:r w:rsidR="007740A5" w:rsidRPr="00DD5F1D">
        <w:rPr>
          <w:lang w:val="ro-MD"/>
        </w:rPr>
        <w:t xml:space="preserve">. </w:t>
      </w:r>
      <w:r w:rsidRPr="00DD5F1D">
        <w:rPr>
          <w:lang w:val="ro-MD"/>
        </w:rPr>
        <w:t xml:space="preserve">Prin urmare, reieșind din </w:t>
      </w:r>
      <w:r w:rsidR="00DB1551" w:rsidRPr="00DD5F1D">
        <w:rPr>
          <w:lang w:val="ro-MD"/>
        </w:rPr>
        <w:t>insuficiența veniturilor pentru acoperirea prestațiilor sociale,</w:t>
      </w:r>
      <w:r w:rsidRPr="00DD5F1D">
        <w:rPr>
          <w:lang w:val="ro-MD"/>
        </w:rPr>
        <w:t xml:space="preserve"> excluder</w:t>
      </w:r>
      <w:r w:rsidR="00DB1551" w:rsidRPr="00DD5F1D">
        <w:rPr>
          <w:lang w:val="ro-MD"/>
        </w:rPr>
        <w:t>ea</w:t>
      </w:r>
      <w:r w:rsidR="00623324" w:rsidRPr="00DD5F1D">
        <w:rPr>
          <w:lang w:val="ro-MD"/>
        </w:rPr>
        <w:t xml:space="preserve"> pe viitor a</w:t>
      </w:r>
      <w:r w:rsidR="00DB1551" w:rsidRPr="00DD5F1D">
        <w:rPr>
          <w:lang w:val="ro-MD"/>
        </w:rPr>
        <w:t xml:space="preserve"> </w:t>
      </w:r>
      <w:r w:rsidRPr="00DD5F1D">
        <w:rPr>
          <w:lang w:val="ro-MD"/>
        </w:rPr>
        <w:t xml:space="preserve">cheltuielilor nejustificate este o necesitate </w:t>
      </w:r>
      <w:r w:rsidR="00FA17FF" w:rsidRPr="00DD5F1D">
        <w:rPr>
          <w:lang w:val="ro-MD"/>
        </w:rPr>
        <w:t>imperativă</w:t>
      </w:r>
      <w:r w:rsidRPr="00DD5F1D">
        <w:rPr>
          <w:lang w:val="ro-MD"/>
        </w:rPr>
        <w:t>. </w:t>
      </w:r>
    </w:p>
    <w:p w14:paraId="509AF77A" w14:textId="5801F2E8" w:rsidR="00C342ED" w:rsidRPr="00DD5F1D" w:rsidRDefault="00720D0A" w:rsidP="00251419">
      <w:pPr>
        <w:pStyle w:val="aa"/>
        <w:numPr>
          <w:ilvl w:val="1"/>
          <w:numId w:val="2"/>
        </w:numPr>
        <w:spacing w:after="0" w:line="276" w:lineRule="auto"/>
        <w:ind w:left="0" w:firstLine="0"/>
        <w:jc w:val="both"/>
        <w:outlineLvl w:val="1"/>
        <w:rPr>
          <w:rFonts w:ascii="Times New Roman" w:hAnsi="Times New Roman" w:cs="Times New Roman"/>
          <w:b/>
          <w:sz w:val="24"/>
          <w:szCs w:val="24"/>
          <w:lang w:val="ro-MD"/>
        </w:rPr>
      </w:pPr>
      <w:r w:rsidRPr="00DD5F1D">
        <w:rPr>
          <w:rFonts w:ascii="Times New Roman" w:hAnsi="Times New Roman" w:cs="Times New Roman"/>
          <w:b/>
          <w:sz w:val="24"/>
          <w:szCs w:val="24"/>
          <w:lang w:val="ro-MD"/>
        </w:rPr>
        <w:t>Insuficiența proceselor de control intern la întocmirea și eliberarea certificatelor de concediu medical de către prestatorii de servicii medicale, în unele cazuri a</w:t>
      </w:r>
      <w:r w:rsidR="00B52D56" w:rsidRPr="00DD5F1D">
        <w:rPr>
          <w:rFonts w:ascii="Times New Roman" w:hAnsi="Times New Roman" w:cs="Times New Roman"/>
          <w:b/>
          <w:sz w:val="24"/>
          <w:szCs w:val="24"/>
          <w:lang w:val="ro-MD"/>
        </w:rPr>
        <w:t>re</w:t>
      </w:r>
      <w:r w:rsidRPr="00DD5F1D">
        <w:rPr>
          <w:rFonts w:ascii="Times New Roman" w:hAnsi="Times New Roman" w:cs="Times New Roman"/>
          <w:b/>
          <w:sz w:val="24"/>
          <w:szCs w:val="24"/>
          <w:lang w:val="ro-MD"/>
        </w:rPr>
        <w:t xml:space="preserve"> impact asupra stabilirii neregulamentare a indemnizației pentru incapacitate temporară de muncă din BASS, care pentru eșantionul verificat se estimează la circa 1</w:t>
      </w:r>
      <w:r w:rsidR="009867FF" w:rsidRPr="00DD5F1D">
        <w:rPr>
          <w:rFonts w:ascii="Times New Roman" w:hAnsi="Times New Roman" w:cs="Times New Roman"/>
          <w:b/>
          <w:sz w:val="24"/>
          <w:szCs w:val="24"/>
          <w:lang w:val="ro-MD"/>
        </w:rPr>
        <w:t>15</w:t>
      </w:r>
      <w:r w:rsidRPr="00DD5F1D">
        <w:rPr>
          <w:rFonts w:ascii="Times New Roman" w:hAnsi="Times New Roman" w:cs="Times New Roman"/>
          <w:b/>
          <w:sz w:val="24"/>
          <w:szCs w:val="24"/>
          <w:lang w:val="ro-MD"/>
        </w:rPr>
        <w:t>,</w:t>
      </w:r>
      <w:r w:rsidR="009867FF" w:rsidRPr="00DD5F1D">
        <w:rPr>
          <w:rFonts w:ascii="Times New Roman" w:hAnsi="Times New Roman" w:cs="Times New Roman"/>
          <w:b/>
          <w:sz w:val="24"/>
          <w:szCs w:val="24"/>
          <w:lang w:val="ro-MD"/>
        </w:rPr>
        <w:t>8</w:t>
      </w:r>
      <w:r w:rsidRPr="00DD5F1D">
        <w:rPr>
          <w:rFonts w:ascii="Times New Roman" w:hAnsi="Times New Roman" w:cs="Times New Roman"/>
          <w:b/>
          <w:sz w:val="24"/>
          <w:szCs w:val="24"/>
          <w:lang w:val="ro-MD"/>
        </w:rPr>
        <w:t xml:space="preserve"> mii lei</w:t>
      </w:r>
      <w:r w:rsidR="00B52D56" w:rsidRPr="00DD5F1D">
        <w:rPr>
          <w:rFonts w:ascii="Times New Roman" w:hAnsi="Times New Roman" w:cs="Times New Roman"/>
          <w:b/>
          <w:sz w:val="24"/>
          <w:szCs w:val="24"/>
          <w:lang w:val="ro-MD"/>
        </w:rPr>
        <w:t>.</w:t>
      </w:r>
    </w:p>
    <w:p w14:paraId="6414E09B" w14:textId="3468256B" w:rsidR="00B12485" w:rsidRPr="00DD5F1D" w:rsidRDefault="00B12485" w:rsidP="0095276F">
      <w:pPr>
        <w:pStyle w:val="aa"/>
        <w:spacing w:line="276" w:lineRule="auto"/>
        <w:ind w:left="0"/>
        <w:jc w:val="both"/>
        <w:rPr>
          <w:rFonts w:ascii="Times New Roman" w:hAnsi="Times New Roman" w:cs="Times New Roman"/>
          <w:sz w:val="24"/>
          <w:shd w:val="clear" w:color="auto" w:fill="FFFFFF"/>
          <w:lang w:val="ro-MD"/>
        </w:rPr>
      </w:pPr>
      <w:r w:rsidRPr="00DD5F1D">
        <w:rPr>
          <w:rFonts w:ascii="Times New Roman" w:hAnsi="Times New Roman" w:cs="Times New Roman"/>
          <w:sz w:val="24"/>
          <w:lang w:val="ro-MD"/>
        </w:rPr>
        <w:t>Conform prevederilor</w:t>
      </w:r>
      <w:r w:rsidR="00623324" w:rsidRPr="00DD5F1D">
        <w:rPr>
          <w:rFonts w:ascii="Times New Roman" w:hAnsi="Times New Roman" w:cs="Times New Roman"/>
          <w:sz w:val="24"/>
          <w:lang w:val="ro-MD"/>
        </w:rPr>
        <w:t xml:space="preserve"> regulamentare</w:t>
      </w:r>
      <w:r w:rsidRPr="00DD5F1D">
        <w:rPr>
          <w:rStyle w:val="a5"/>
          <w:rFonts w:ascii="Times New Roman" w:hAnsi="Times New Roman" w:cs="Times New Roman"/>
          <w:sz w:val="24"/>
          <w:lang w:val="ro-MD"/>
        </w:rPr>
        <w:footnoteReference w:id="45"/>
      </w:r>
      <w:r w:rsidRPr="00DD5F1D">
        <w:rPr>
          <w:rFonts w:ascii="Times New Roman" w:hAnsi="Times New Roman" w:cs="Times New Roman"/>
          <w:sz w:val="24"/>
          <w:lang w:val="ro-MD"/>
        </w:rPr>
        <w:t>, CNAS stabilește indemnizațiile pentru incapacitate temporară de muncă în temei</w:t>
      </w:r>
      <w:r w:rsidR="002239E4" w:rsidRPr="00DD5F1D">
        <w:rPr>
          <w:rFonts w:ascii="Times New Roman" w:hAnsi="Times New Roman" w:cs="Times New Roman"/>
          <w:sz w:val="24"/>
          <w:lang w:val="ro-MD"/>
        </w:rPr>
        <w:t>ul informații</w:t>
      </w:r>
      <w:r w:rsidR="00B52D56" w:rsidRPr="00DD5F1D">
        <w:rPr>
          <w:rFonts w:ascii="Times New Roman" w:hAnsi="Times New Roman" w:cs="Times New Roman"/>
          <w:sz w:val="24"/>
          <w:lang w:val="ro-MD"/>
        </w:rPr>
        <w:t>lor</w:t>
      </w:r>
      <w:r w:rsidR="002239E4" w:rsidRPr="00DD5F1D">
        <w:rPr>
          <w:rFonts w:ascii="Times New Roman" w:hAnsi="Times New Roman" w:cs="Times New Roman"/>
          <w:sz w:val="24"/>
          <w:lang w:val="ro-MD"/>
        </w:rPr>
        <w:t xml:space="preserve"> din certificatele de concediu </w:t>
      </w:r>
      <w:r w:rsidRPr="00DD5F1D">
        <w:rPr>
          <w:rFonts w:ascii="Times New Roman" w:hAnsi="Times New Roman" w:cs="Times New Roman"/>
          <w:sz w:val="24"/>
          <w:lang w:val="ro-MD"/>
        </w:rPr>
        <w:t>medical, transmise prin intermediul conexiunilor intersistemice securizate și autentificate prin semnătur</w:t>
      </w:r>
      <w:r w:rsidR="00B52D56" w:rsidRPr="00DD5F1D">
        <w:rPr>
          <w:rFonts w:ascii="Times New Roman" w:hAnsi="Times New Roman" w:cs="Times New Roman"/>
          <w:sz w:val="24"/>
          <w:lang w:val="ro-MD"/>
        </w:rPr>
        <w:t>a</w:t>
      </w:r>
      <w:r w:rsidRPr="00DD5F1D">
        <w:rPr>
          <w:rFonts w:ascii="Times New Roman" w:hAnsi="Times New Roman" w:cs="Times New Roman"/>
          <w:sz w:val="24"/>
          <w:lang w:val="ro-MD"/>
        </w:rPr>
        <w:t xml:space="preserve"> electronică a persoanei responsabile a prestatorilor de </w:t>
      </w:r>
      <w:r w:rsidR="002239E4" w:rsidRPr="00DD5F1D">
        <w:rPr>
          <w:rFonts w:ascii="Times New Roman" w:hAnsi="Times New Roman" w:cs="Times New Roman"/>
          <w:sz w:val="24"/>
          <w:lang w:val="ro-MD"/>
        </w:rPr>
        <w:t xml:space="preserve">servicii </w:t>
      </w:r>
      <w:r w:rsidRPr="00DD5F1D">
        <w:rPr>
          <w:rFonts w:ascii="Times New Roman" w:hAnsi="Times New Roman" w:cs="Times New Roman"/>
          <w:sz w:val="24"/>
          <w:lang w:val="ro-MD"/>
        </w:rPr>
        <w:t>medical</w:t>
      </w:r>
      <w:r w:rsidR="002239E4" w:rsidRPr="00DD5F1D">
        <w:rPr>
          <w:rFonts w:ascii="Times New Roman" w:hAnsi="Times New Roman" w:cs="Times New Roman"/>
          <w:sz w:val="24"/>
          <w:lang w:val="ro-MD"/>
        </w:rPr>
        <w:t>e</w:t>
      </w:r>
      <w:r w:rsidRPr="00DD5F1D">
        <w:rPr>
          <w:rFonts w:ascii="Times New Roman" w:hAnsi="Times New Roman" w:cs="Times New Roman"/>
          <w:sz w:val="24"/>
          <w:lang w:val="ro-MD"/>
        </w:rPr>
        <w:t>. Concomitent</w:t>
      </w:r>
      <w:r w:rsidR="00721C03" w:rsidRPr="00DD5F1D">
        <w:rPr>
          <w:rFonts w:ascii="Times New Roman" w:hAnsi="Times New Roman" w:cs="Times New Roman"/>
          <w:sz w:val="24"/>
          <w:lang w:val="ro-MD"/>
        </w:rPr>
        <w:t xml:space="preserve">, </w:t>
      </w:r>
      <w:r w:rsidRPr="00DD5F1D">
        <w:rPr>
          <w:rFonts w:ascii="Times New Roman" w:hAnsi="Times New Roman" w:cs="Times New Roman"/>
          <w:sz w:val="24"/>
          <w:lang w:val="ro-MD"/>
        </w:rPr>
        <w:t>certificatul</w:t>
      </w:r>
      <w:r w:rsidR="002239E4" w:rsidRPr="00DD5F1D">
        <w:rPr>
          <w:rFonts w:ascii="Times New Roman" w:hAnsi="Times New Roman" w:cs="Times New Roman"/>
          <w:sz w:val="24"/>
          <w:lang w:val="ro-MD"/>
        </w:rPr>
        <w:t xml:space="preserve"> de concediu</w:t>
      </w:r>
      <w:r w:rsidRPr="00DD5F1D">
        <w:rPr>
          <w:rFonts w:ascii="Times New Roman" w:hAnsi="Times New Roman" w:cs="Times New Roman"/>
          <w:sz w:val="24"/>
          <w:lang w:val="ro-MD"/>
        </w:rPr>
        <w:t xml:space="preserve"> medical se eliberează numai în cazurile în care persoana asigurată, în urma unor boli, traume sau alte cauze, pierde temporar capacitatea de a exercita funcțiile și obligațiunile de serviciu</w:t>
      </w:r>
      <w:r w:rsidR="00721C03" w:rsidRPr="00DD5F1D">
        <w:rPr>
          <w:rStyle w:val="a5"/>
          <w:rFonts w:ascii="Times New Roman" w:hAnsi="Times New Roman" w:cs="Times New Roman"/>
          <w:sz w:val="24"/>
          <w:lang w:val="ro-MD"/>
        </w:rPr>
        <w:footnoteReference w:id="46"/>
      </w:r>
      <w:r w:rsidRPr="00DD5F1D">
        <w:rPr>
          <w:rFonts w:ascii="Times New Roman" w:hAnsi="Times New Roman" w:cs="Times New Roman"/>
          <w:sz w:val="24"/>
          <w:lang w:val="ro-MD"/>
        </w:rPr>
        <w:t>. În toate cazurile, eliberarea și prelungirea certificatului se argumentează prin existența în documentația medicală primară a înscrierilor care confirmă incapacitatea temporară de muncă a pacientului</w:t>
      </w:r>
      <w:r w:rsidRPr="00DD5F1D">
        <w:rPr>
          <w:rStyle w:val="a5"/>
          <w:rFonts w:ascii="Times New Roman" w:hAnsi="Times New Roman" w:cs="Times New Roman"/>
          <w:sz w:val="24"/>
          <w:lang w:val="ro-MD"/>
        </w:rPr>
        <w:footnoteReference w:id="47"/>
      </w:r>
      <w:r w:rsidRPr="00DD5F1D">
        <w:rPr>
          <w:rFonts w:ascii="Times New Roman" w:hAnsi="Times New Roman" w:cs="Times New Roman"/>
          <w:sz w:val="24"/>
          <w:lang w:val="ro-MD"/>
        </w:rPr>
        <w:t xml:space="preserve">. </w:t>
      </w:r>
      <w:r w:rsidRPr="00DD5F1D">
        <w:rPr>
          <w:rFonts w:ascii="Times New Roman" w:hAnsi="Times New Roman" w:cs="Times New Roman"/>
          <w:sz w:val="24"/>
          <w:shd w:val="clear" w:color="auto" w:fill="FFFFFF"/>
          <w:lang w:val="ro-MD"/>
        </w:rPr>
        <w:t>Ținem să menționăm că, potrivit cadrului normativ</w:t>
      </w:r>
      <w:r w:rsidRPr="00DD5F1D">
        <w:rPr>
          <w:rStyle w:val="a5"/>
          <w:rFonts w:ascii="Times New Roman" w:hAnsi="Times New Roman" w:cs="Times New Roman"/>
          <w:sz w:val="24"/>
          <w:shd w:val="clear" w:color="auto" w:fill="FFFFFF"/>
          <w:lang w:val="ro-MD"/>
        </w:rPr>
        <w:footnoteReference w:id="48"/>
      </w:r>
      <w:r w:rsidR="00C630C6" w:rsidRPr="00DD5F1D">
        <w:rPr>
          <w:rFonts w:ascii="Times New Roman" w:hAnsi="Times New Roman" w:cs="Times New Roman"/>
          <w:sz w:val="24"/>
          <w:shd w:val="clear" w:color="auto" w:fill="FFFFFF"/>
          <w:lang w:val="ro-MD"/>
        </w:rPr>
        <w:t>,</w:t>
      </w:r>
      <w:r w:rsidRPr="00DD5F1D">
        <w:rPr>
          <w:rFonts w:ascii="Times New Roman" w:hAnsi="Times New Roman" w:cs="Times New Roman"/>
          <w:sz w:val="24"/>
          <w:shd w:val="clear" w:color="auto" w:fill="FFFFFF"/>
          <w:lang w:val="ro-MD"/>
        </w:rPr>
        <w:t xml:space="preserve"> certificatul de concediu medical nu se eliberează în cazurile în care persoana s-a deplasat peste hotarele țării în perioada aflării în concediu medical, cu excepția deplasării cu scop de tratament, confirmat prin acte medicale. </w:t>
      </w:r>
    </w:p>
    <w:p w14:paraId="0FF9799F" w14:textId="05DEFAA9" w:rsidR="00B12485" w:rsidRPr="00DD5F1D" w:rsidRDefault="00623324" w:rsidP="0095276F">
      <w:pPr>
        <w:pStyle w:val="aa"/>
        <w:spacing w:line="276" w:lineRule="auto"/>
        <w:ind w:left="0"/>
        <w:jc w:val="both"/>
        <w:rPr>
          <w:rFonts w:ascii="Times New Roman" w:hAnsi="Times New Roman" w:cs="Times New Roman"/>
          <w:sz w:val="28"/>
          <w:lang w:val="ro-MD"/>
        </w:rPr>
      </w:pPr>
      <w:r w:rsidRPr="00DD5F1D">
        <w:rPr>
          <w:rFonts w:ascii="Times New Roman" w:hAnsi="Times New Roman" w:cs="Times New Roman"/>
          <w:sz w:val="24"/>
          <w:shd w:val="clear" w:color="auto" w:fill="FFFFFF"/>
          <w:lang w:val="ro-MD"/>
        </w:rPr>
        <w:t>Astfel,</w:t>
      </w:r>
      <w:r w:rsidR="00B12485" w:rsidRPr="00DD5F1D">
        <w:rPr>
          <w:rFonts w:ascii="Times New Roman" w:hAnsi="Times New Roman" w:cs="Times New Roman"/>
          <w:sz w:val="24"/>
          <w:shd w:val="clear" w:color="auto" w:fill="FFFFFF"/>
          <w:lang w:val="ro-MD"/>
        </w:rPr>
        <w:t xml:space="preserve"> auditul a analizat un eșantion de 501 persoane care au beneficiat de</w:t>
      </w:r>
      <w:r w:rsidR="00F42BEB" w:rsidRPr="00DD5F1D">
        <w:rPr>
          <w:rFonts w:ascii="Times New Roman" w:hAnsi="Times New Roman" w:cs="Times New Roman"/>
          <w:sz w:val="24"/>
          <w:shd w:val="clear" w:color="auto" w:fill="FFFFFF"/>
          <w:lang w:val="ro-MD"/>
        </w:rPr>
        <w:t xml:space="preserve"> indemnizații pentru</w:t>
      </w:r>
      <w:r w:rsidR="00B12485" w:rsidRPr="00DD5F1D">
        <w:rPr>
          <w:rFonts w:ascii="Times New Roman" w:hAnsi="Times New Roman" w:cs="Times New Roman"/>
          <w:sz w:val="24"/>
          <w:shd w:val="clear" w:color="auto" w:fill="FFFFFF"/>
          <w:lang w:val="ro-MD"/>
        </w:rPr>
        <w:t xml:space="preserve"> incapacitate temporară de muncă</w:t>
      </w:r>
      <w:r w:rsidR="00721C03" w:rsidRPr="00DD5F1D">
        <w:rPr>
          <w:rFonts w:ascii="Times New Roman" w:hAnsi="Times New Roman" w:cs="Times New Roman"/>
          <w:sz w:val="24"/>
          <w:shd w:val="clear" w:color="auto" w:fill="FFFFFF"/>
          <w:lang w:val="ro-MD"/>
        </w:rPr>
        <w:t xml:space="preserve"> în valoare de 1</w:t>
      </w:r>
      <w:r w:rsidRPr="00DD5F1D">
        <w:rPr>
          <w:rFonts w:ascii="Times New Roman" w:hAnsi="Times New Roman" w:cs="Times New Roman"/>
          <w:sz w:val="24"/>
          <w:shd w:val="clear" w:color="auto" w:fill="FFFFFF"/>
          <w:lang w:val="ro-MD"/>
        </w:rPr>
        <w:t xml:space="preserve"> </w:t>
      </w:r>
      <w:r w:rsidR="00721C03" w:rsidRPr="00DD5F1D">
        <w:rPr>
          <w:rFonts w:ascii="Times New Roman" w:hAnsi="Times New Roman" w:cs="Times New Roman"/>
          <w:sz w:val="24"/>
          <w:shd w:val="clear" w:color="auto" w:fill="FFFFFF"/>
          <w:lang w:val="ro-MD"/>
        </w:rPr>
        <w:t>921,6 mii lei</w:t>
      </w:r>
      <w:r w:rsidR="00B12485" w:rsidRPr="00DD5F1D">
        <w:rPr>
          <w:rFonts w:ascii="Times New Roman" w:hAnsi="Times New Roman" w:cs="Times New Roman"/>
          <w:sz w:val="24"/>
          <w:shd w:val="clear" w:color="auto" w:fill="FFFFFF"/>
          <w:lang w:val="ro-MD"/>
        </w:rPr>
        <w:t xml:space="preserve">. </w:t>
      </w:r>
      <w:r w:rsidR="00B12485" w:rsidRPr="00DD5F1D">
        <w:rPr>
          <w:rFonts w:ascii="Times New Roman" w:hAnsi="Times New Roman" w:cs="Times New Roman"/>
          <w:sz w:val="24"/>
          <w:szCs w:val="24"/>
          <w:shd w:val="clear" w:color="auto" w:fill="FFFFFF"/>
          <w:lang w:val="ro-MD"/>
        </w:rPr>
        <w:t xml:space="preserve">În </w:t>
      </w:r>
      <w:r w:rsidR="00C630C6" w:rsidRPr="00DD5F1D">
        <w:rPr>
          <w:rFonts w:ascii="Times New Roman" w:hAnsi="Times New Roman" w:cs="Times New Roman"/>
          <w:sz w:val="24"/>
          <w:szCs w:val="24"/>
          <w:shd w:val="clear" w:color="auto" w:fill="FFFFFF"/>
          <w:lang w:val="ro-MD"/>
        </w:rPr>
        <w:t>urma</w:t>
      </w:r>
      <w:r w:rsidR="00B12485" w:rsidRPr="00DD5F1D">
        <w:rPr>
          <w:rFonts w:ascii="Times New Roman" w:hAnsi="Times New Roman" w:cs="Times New Roman"/>
          <w:sz w:val="24"/>
          <w:szCs w:val="24"/>
          <w:shd w:val="clear" w:color="auto" w:fill="FFFFFF"/>
          <w:lang w:val="ro-MD"/>
        </w:rPr>
        <w:t xml:space="preserve"> auditării</w:t>
      </w:r>
      <w:r w:rsidR="00B12485" w:rsidRPr="00DD5F1D">
        <w:rPr>
          <w:rStyle w:val="a5"/>
          <w:rFonts w:ascii="Times New Roman" w:hAnsi="Times New Roman" w:cs="Times New Roman"/>
          <w:sz w:val="24"/>
          <w:szCs w:val="24"/>
          <w:shd w:val="clear" w:color="auto" w:fill="FFFFFF"/>
          <w:lang w:val="ro-MD"/>
        </w:rPr>
        <w:footnoteReference w:id="49"/>
      </w:r>
      <w:r w:rsidR="00B12485" w:rsidRPr="00DD5F1D">
        <w:rPr>
          <w:rFonts w:ascii="Times New Roman" w:hAnsi="Times New Roman" w:cs="Times New Roman"/>
          <w:sz w:val="24"/>
          <w:szCs w:val="24"/>
          <w:shd w:val="clear" w:color="auto" w:fill="FFFFFF"/>
          <w:lang w:val="ro-MD"/>
        </w:rPr>
        <w:t xml:space="preserve"> </w:t>
      </w:r>
      <w:r w:rsidR="00B12485" w:rsidRPr="00DD5F1D">
        <w:rPr>
          <w:rFonts w:ascii="Times New Roman" w:hAnsi="Times New Roman" w:cs="Times New Roman"/>
          <w:sz w:val="24"/>
          <w:szCs w:val="24"/>
          <w:lang w:val="ro-MD"/>
        </w:rPr>
        <w:t xml:space="preserve">s-a stabilit că 23 </w:t>
      </w:r>
      <w:r w:rsidR="00C630C6" w:rsidRPr="00DD5F1D">
        <w:rPr>
          <w:rFonts w:ascii="Times New Roman" w:hAnsi="Times New Roman" w:cs="Times New Roman"/>
          <w:sz w:val="24"/>
          <w:szCs w:val="24"/>
          <w:lang w:val="ro-MD"/>
        </w:rPr>
        <w:t xml:space="preserve">de </w:t>
      </w:r>
      <w:r w:rsidR="00B12485" w:rsidRPr="00DD5F1D">
        <w:rPr>
          <w:rFonts w:ascii="Times New Roman" w:hAnsi="Times New Roman" w:cs="Times New Roman"/>
          <w:sz w:val="24"/>
          <w:szCs w:val="24"/>
          <w:lang w:val="ro-MD"/>
        </w:rPr>
        <w:t>persoane din cele verificate</w:t>
      </w:r>
      <w:r w:rsidR="00C630C6" w:rsidRPr="00DD5F1D">
        <w:rPr>
          <w:rFonts w:ascii="Times New Roman" w:hAnsi="Times New Roman" w:cs="Times New Roman"/>
          <w:sz w:val="24"/>
          <w:szCs w:val="24"/>
          <w:lang w:val="ro-MD"/>
        </w:rPr>
        <w:t>,</w:t>
      </w:r>
      <w:r w:rsidR="00B12485" w:rsidRPr="00DD5F1D">
        <w:rPr>
          <w:rFonts w:ascii="Times New Roman" w:hAnsi="Times New Roman" w:cs="Times New Roman"/>
          <w:sz w:val="24"/>
          <w:szCs w:val="24"/>
          <w:lang w:val="ro-MD"/>
        </w:rPr>
        <w:t xml:space="preserve"> sau 4,6%, în perioada aflării în concediu medical s-au deplasat peste hotarele țării.</w:t>
      </w:r>
    </w:p>
    <w:p w14:paraId="70BB7E08" w14:textId="68801926" w:rsidR="00B12485" w:rsidRPr="00DD5F1D" w:rsidRDefault="00B12485" w:rsidP="0095276F">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La solicitarea echipei de audit, IMSP</w:t>
      </w:r>
      <w:r w:rsidRPr="00DD5F1D">
        <w:rPr>
          <w:rStyle w:val="a5"/>
          <w:rFonts w:ascii="Times New Roman" w:hAnsi="Times New Roman" w:cs="Times New Roman"/>
          <w:sz w:val="24"/>
          <w:szCs w:val="24"/>
          <w:lang w:val="ro-MD"/>
        </w:rPr>
        <w:footnoteReference w:id="50"/>
      </w:r>
      <w:r w:rsidRPr="00DD5F1D">
        <w:rPr>
          <w:rFonts w:ascii="Times New Roman" w:hAnsi="Times New Roman" w:cs="Times New Roman"/>
          <w:sz w:val="24"/>
          <w:szCs w:val="24"/>
          <w:lang w:val="ro-MD"/>
        </w:rPr>
        <w:t xml:space="preserve"> informează că în cazul a 21 de pacienți</w:t>
      </w:r>
      <w:r w:rsidR="00EE6C79" w:rsidRPr="00DD5F1D">
        <w:rPr>
          <w:rFonts w:ascii="Times New Roman" w:hAnsi="Times New Roman" w:cs="Times New Roman"/>
          <w:sz w:val="24"/>
          <w:szCs w:val="24"/>
          <w:lang w:val="ro-MD"/>
        </w:rPr>
        <w:t xml:space="preserve"> care au beneficiat de </w:t>
      </w:r>
      <w:r w:rsidR="00623324" w:rsidRPr="00DD5F1D">
        <w:rPr>
          <w:rFonts w:ascii="Times New Roman" w:hAnsi="Times New Roman" w:cs="Times New Roman"/>
          <w:sz w:val="24"/>
          <w:szCs w:val="24"/>
          <w:lang w:val="ro-MD"/>
        </w:rPr>
        <w:t>indemnizații în sumă</w:t>
      </w:r>
      <w:r w:rsidR="009867FF" w:rsidRPr="00DD5F1D">
        <w:rPr>
          <w:rFonts w:ascii="Times New Roman" w:hAnsi="Times New Roman" w:cs="Times New Roman"/>
          <w:sz w:val="24"/>
          <w:szCs w:val="24"/>
          <w:lang w:val="ro-MD"/>
        </w:rPr>
        <w:t xml:space="preserve"> de 115,8 </w:t>
      </w:r>
      <w:r w:rsidR="00EE6C79" w:rsidRPr="00DD5F1D">
        <w:rPr>
          <w:rFonts w:ascii="Times New Roman" w:hAnsi="Times New Roman" w:cs="Times New Roman"/>
          <w:sz w:val="24"/>
          <w:szCs w:val="24"/>
          <w:lang w:val="ro-MD"/>
        </w:rPr>
        <w:t>mii lei</w:t>
      </w:r>
      <w:r w:rsidRPr="00DD5F1D">
        <w:rPr>
          <w:rFonts w:ascii="Times New Roman" w:hAnsi="Times New Roman" w:cs="Times New Roman"/>
          <w:sz w:val="24"/>
          <w:szCs w:val="24"/>
          <w:lang w:val="ro-MD"/>
        </w:rPr>
        <w:t xml:space="preserve">, </w:t>
      </w:r>
      <w:r w:rsidR="00C630C6" w:rsidRPr="00DD5F1D">
        <w:rPr>
          <w:rFonts w:ascii="Times New Roman" w:hAnsi="Times New Roman" w:cs="Times New Roman"/>
          <w:sz w:val="24"/>
          <w:szCs w:val="24"/>
          <w:lang w:val="ro-MD"/>
        </w:rPr>
        <w:t xml:space="preserve">aceștia </w:t>
      </w:r>
      <w:r w:rsidRPr="00DD5F1D">
        <w:rPr>
          <w:rFonts w:ascii="Times New Roman" w:hAnsi="Times New Roman" w:cs="Times New Roman"/>
          <w:sz w:val="24"/>
          <w:szCs w:val="24"/>
          <w:lang w:val="ro-MD"/>
        </w:rPr>
        <w:t xml:space="preserve">nu dețin acte confirmative despre deplasările peste hotarele țării cu scop de tratament sau investigații medicale, sau </w:t>
      </w:r>
      <w:r w:rsidR="00C630C6" w:rsidRPr="00DD5F1D">
        <w:rPr>
          <w:rFonts w:ascii="Times New Roman" w:hAnsi="Times New Roman" w:cs="Times New Roman"/>
          <w:sz w:val="24"/>
          <w:szCs w:val="24"/>
          <w:lang w:val="ro-MD"/>
        </w:rPr>
        <w:t>despre</w:t>
      </w:r>
      <w:r w:rsidRPr="00DD5F1D">
        <w:rPr>
          <w:rFonts w:ascii="Times New Roman" w:hAnsi="Times New Roman" w:cs="Times New Roman"/>
          <w:sz w:val="24"/>
          <w:szCs w:val="24"/>
          <w:lang w:val="ro-MD"/>
        </w:rPr>
        <w:t xml:space="preserve"> faptul deplasării peste hotare a persoanei</w:t>
      </w:r>
      <w:r w:rsidR="00C630C6"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medicul nu a fost informat. Totodată, pentru 2 pacienți este documentată deplasarea peste hotare în scop de tratament. </w:t>
      </w:r>
    </w:p>
    <w:p w14:paraId="63DEFEBA" w14:textId="4F3AB8B6" w:rsidR="00B12485" w:rsidRPr="00DD5F1D" w:rsidRDefault="00B12485" w:rsidP="0095276F">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În acest sens, se constată că deși IMSP nu au dreptul eliberării certificatului medical la deplasarea peste hotarele țării </w:t>
      </w:r>
      <w:r w:rsidR="00C630C6" w:rsidRPr="00DD5F1D">
        <w:rPr>
          <w:rFonts w:ascii="Times New Roman" w:hAnsi="Times New Roman" w:cs="Times New Roman"/>
          <w:sz w:val="24"/>
          <w:szCs w:val="24"/>
          <w:lang w:val="ro-MD"/>
        </w:rPr>
        <w:t>în</w:t>
      </w:r>
      <w:r w:rsidRPr="00DD5F1D">
        <w:rPr>
          <w:rFonts w:ascii="Times New Roman" w:hAnsi="Times New Roman" w:cs="Times New Roman"/>
          <w:sz w:val="24"/>
          <w:szCs w:val="24"/>
          <w:lang w:val="ro-MD"/>
        </w:rPr>
        <w:t xml:space="preserve"> perioada aflării în concediu medical</w:t>
      </w:r>
      <w:r w:rsidR="00EE6C79" w:rsidRPr="00DD5F1D">
        <w:rPr>
          <w:rStyle w:val="a5"/>
          <w:rFonts w:ascii="Times New Roman" w:hAnsi="Times New Roman" w:cs="Times New Roman"/>
          <w:sz w:val="24"/>
          <w:shd w:val="clear" w:color="auto" w:fill="FFFFFF"/>
          <w:lang w:val="ro-MD"/>
        </w:rPr>
        <w:footnoteReference w:id="51"/>
      </w:r>
      <w:r w:rsidRPr="00DD5F1D">
        <w:rPr>
          <w:rFonts w:ascii="Times New Roman" w:hAnsi="Times New Roman" w:cs="Times New Roman"/>
          <w:sz w:val="24"/>
          <w:szCs w:val="24"/>
          <w:lang w:val="ro-MD"/>
        </w:rPr>
        <w:t>, acestea nu dețin informații privind traversarea frontierei și nu au stabilite proceduri de verificare în acest sens, responsabilitatea fiind atribuită pacienților.</w:t>
      </w:r>
      <w:r w:rsidR="00623324" w:rsidRPr="00DD5F1D">
        <w:rPr>
          <w:rFonts w:ascii="Times New Roman" w:hAnsi="Times New Roman" w:cs="Times New Roman"/>
          <w:sz w:val="24"/>
          <w:szCs w:val="24"/>
          <w:lang w:val="ro-MD"/>
        </w:rPr>
        <w:t xml:space="preserve"> În aceste situații</w:t>
      </w:r>
      <w:r w:rsidRPr="00DD5F1D">
        <w:rPr>
          <w:rFonts w:ascii="Times New Roman" w:hAnsi="Times New Roman" w:cs="Times New Roman"/>
          <w:sz w:val="24"/>
          <w:szCs w:val="24"/>
          <w:lang w:val="ro-MD"/>
        </w:rPr>
        <w:t>, nu</w:t>
      </w:r>
      <w:r w:rsidR="00623324" w:rsidRPr="00DD5F1D">
        <w:rPr>
          <w:rFonts w:ascii="Times New Roman" w:hAnsi="Times New Roman" w:cs="Times New Roman"/>
          <w:sz w:val="24"/>
          <w:szCs w:val="24"/>
          <w:lang w:val="ro-MD"/>
        </w:rPr>
        <w:t xml:space="preserve"> se</w:t>
      </w:r>
      <w:r w:rsidRPr="00DD5F1D">
        <w:rPr>
          <w:rFonts w:ascii="Times New Roman" w:hAnsi="Times New Roman" w:cs="Times New Roman"/>
          <w:sz w:val="24"/>
          <w:szCs w:val="24"/>
          <w:lang w:val="ro-MD"/>
        </w:rPr>
        <w:t xml:space="preserve"> asigură evidența și eliberarea conformă a certificatului medic</w:t>
      </w:r>
      <w:r w:rsidR="00623324" w:rsidRPr="00DD5F1D">
        <w:rPr>
          <w:rFonts w:ascii="Times New Roman" w:hAnsi="Times New Roman" w:cs="Times New Roman"/>
          <w:sz w:val="24"/>
          <w:szCs w:val="24"/>
          <w:lang w:val="ro-MD"/>
        </w:rPr>
        <w:t>al, ceea ce determină</w:t>
      </w:r>
      <w:r w:rsidRPr="00DD5F1D">
        <w:rPr>
          <w:rFonts w:ascii="Times New Roman" w:hAnsi="Times New Roman" w:cs="Times New Roman"/>
          <w:sz w:val="24"/>
          <w:szCs w:val="24"/>
          <w:lang w:val="ro-MD"/>
        </w:rPr>
        <w:t xml:space="preserve"> riscul întocmirii și eliberării neregulamentare a certificatelor de concediu medical de către prestatorii de servicii medicale, care în unele cazuri au impact asupra stabilirii neconforme a indemnizației pentru incapacitate temporară de muncă din BASS</w:t>
      </w:r>
      <w:r w:rsidR="009867FF" w:rsidRPr="00DD5F1D">
        <w:rPr>
          <w:rFonts w:ascii="Times New Roman" w:hAnsi="Times New Roman" w:cs="Times New Roman"/>
          <w:sz w:val="24"/>
          <w:szCs w:val="24"/>
          <w:lang w:val="ro-MD"/>
        </w:rPr>
        <w:t>, estimată de audit la cca 115,8</w:t>
      </w:r>
      <w:r w:rsidRPr="00DD5F1D">
        <w:rPr>
          <w:rFonts w:ascii="Times New Roman" w:hAnsi="Times New Roman" w:cs="Times New Roman"/>
          <w:sz w:val="24"/>
          <w:szCs w:val="24"/>
          <w:lang w:val="ro-MD"/>
        </w:rPr>
        <w:t xml:space="preserve"> mii lei.</w:t>
      </w:r>
    </w:p>
    <w:p w14:paraId="7CDF0F4A" w14:textId="142159A2" w:rsidR="00B12485" w:rsidRPr="00DD5F1D" w:rsidRDefault="0010383B" w:rsidP="0095276F">
      <w:pPr>
        <w:spacing w:line="276" w:lineRule="auto"/>
        <w:jc w:val="both"/>
        <w:rPr>
          <w:rFonts w:ascii="Times New Roman" w:hAnsi="Times New Roman" w:cs="Times New Roman"/>
          <w:sz w:val="24"/>
          <w:szCs w:val="24"/>
          <w:shd w:val="clear" w:color="auto" w:fill="FFFFFF"/>
          <w:lang w:val="ro-MD"/>
        </w:rPr>
      </w:pPr>
      <w:r w:rsidRPr="00DD5F1D">
        <w:rPr>
          <w:rFonts w:ascii="Times New Roman" w:hAnsi="Times New Roman" w:cs="Times New Roman"/>
          <w:sz w:val="24"/>
          <w:szCs w:val="24"/>
          <w:lang w:val="ro-MD"/>
        </w:rPr>
        <w:t>Actele normative</w:t>
      </w:r>
      <w:r w:rsidR="00B12485" w:rsidRPr="00DD5F1D">
        <w:rPr>
          <w:rFonts w:ascii="Times New Roman" w:hAnsi="Times New Roman" w:cs="Times New Roman"/>
          <w:sz w:val="24"/>
          <w:szCs w:val="24"/>
          <w:lang w:val="ro-MD"/>
        </w:rPr>
        <w:t xml:space="preserve"> prevăd</w:t>
      </w:r>
      <w:r w:rsidR="00B12485" w:rsidRPr="00DD5F1D">
        <w:rPr>
          <w:rFonts w:ascii="Times New Roman" w:hAnsi="Times New Roman" w:cs="Times New Roman"/>
          <w:sz w:val="24"/>
          <w:szCs w:val="24"/>
          <w:shd w:val="clear" w:color="auto" w:fill="FFFFFF"/>
          <w:lang w:val="ro-MD"/>
        </w:rPr>
        <w:t xml:space="preserve"> că certificatul</w:t>
      </w:r>
      <w:r w:rsidR="00623324" w:rsidRPr="00DD5F1D">
        <w:rPr>
          <w:rFonts w:ascii="Times New Roman" w:hAnsi="Times New Roman" w:cs="Times New Roman"/>
          <w:sz w:val="24"/>
          <w:szCs w:val="24"/>
          <w:shd w:val="clear" w:color="auto" w:fill="FFFFFF"/>
          <w:lang w:val="ro-MD"/>
        </w:rPr>
        <w:t xml:space="preserve"> de concediu medical</w:t>
      </w:r>
      <w:r w:rsidR="00B12485" w:rsidRPr="00DD5F1D">
        <w:rPr>
          <w:rFonts w:ascii="Times New Roman" w:hAnsi="Times New Roman" w:cs="Times New Roman"/>
          <w:sz w:val="24"/>
          <w:szCs w:val="24"/>
          <w:shd w:val="clear" w:color="auto" w:fill="FFFFFF"/>
          <w:lang w:val="ro-MD"/>
        </w:rPr>
        <w:t xml:space="preserve"> se eliberează din ziua în care asiguratul se adresează la prestatorul de servicii medicale şi </w:t>
      </w:r>
      <w:r w:rsidR="003C1FB1" w:rsidRPr="00DD5F1D">
        <w:rPr>
          <w:rFonts w:ascii="Times New Roman" w:hAnsi="Times New Roman" w:cs="Times New Roman"/>
          <w:sz w:val="24"/>
          <w:szCs w:val="24"/>
          <w:shd w:val="clear" w:color="auto" w:fill="FFFFFF"/>
          <w:lang w:val="ro-MD"/>
        </w:rPr>
        <w:t xml:space="preserve">îi </w:t>
      </w:r>
      <w:r w:rsidR="00B12485" w:rsidRPr="00DD5F1D">
        <w:rPr>
          <w:rFonts w:ascii="Times New Roman" w:hAnsi="Times New Roman" w:cs="Times New Roman"/>
          <w:sz w:val="24"/>
          <w:szCs w:val="24"/>
          <w:shd w:val="clear" w:color="auto" w:fill="FFFFFF"/>
          <w:lang w:val="ro-MD"/>
        </w:rPr>
        <w:t>este stabilită incapacitatea temporară de muncă</w:t>
      </w:r>
      <w:r w:rsidR="00B12485" w:rsidRPr="00DD5F1D">
        <w:rPr>
          <w:rStyle w:val="a5"/>
          <w:rFonts w:ascii="Times New Roman" w:hAnsi="Times New Roman" w:cs="Times New Roman"/>
          <w:sz w:val="24"/>
          <w:szCs w:val="24"/>
          <w:shd w:val="clear" w:color="auto" w:fill="FFFFFF"/>
          <w:lang w:val="ro-MD"/>
        </w:rPr>
        <w:footnoteReference w:id="52"/>
      </w:r>
      <w:r w:rsidR="00B12485" w:rsidRPr="00DD5F1D">
        <w:rPr>
          <w:rFonts w:ascii="Times New Roman" w:hAnsi="Times New Roman" w:cs="Times New Roman"/>
          <w:sz w:val="24"/>
          <w:szCs w:val="24"/>
          <w:shd w:val="clear" w:color="auto" w:fill="FFFFFF"/>
          <w:lang w:val="ro-MD"/>
        </w:rPr>
        <w:t xml:space="preserve">, iar </w:t>
      </w:r>
      <w:r w:rsidR="00B12485" w:rsidRPr="00DD5F1D">
        <w:rPr>
          <w:rFonts w:ascii="Times New Roman" w:hAnsi="Times New Roman" w:cs="Times New Roman"/>
          <w:sz w:val="24"/>
          <w:szCs w:val="24"/>
          <w:lang w:val="ro-MD"/>
        </w:rPr>
        <w:t>condițiile generale de acordare a asistenței medicale pentru fiecare tip de asistență medicală și servicii medicale prestate în cadrul asigurării obligatorii de asistență medicală presupun că, atât în caz de boală</w:t>
      </w:r>
      <w:r w:rsidR="00C630C6" w:rsidRPr="00DD5F1D">
        <w:rPr>
          <w:rFonts w:ascii="Times New Roman" w:hAnsi="Times New Roman" w:cs="Times New Roman"/>
          <w:sz w:val="24"/>
          <w:szCs w:val="24"/>
          <w:lang w:val="ro-MD"/>
        </w:rPr>
        <w:t>,</w:t>
      </w:r>
      <w:r w:rsidR="00B12485" w:rsidRPr="00DD5F1D">
        <w:rPr>
          <w:rFonts w:ascii="Times New Roman" w:hAnsi="Times New Roman" w:cs="Times New Roman"/>
          <w:sz w:val="24"/>
          <w:szCs w:val="24"/>
          <w:lang w:val="ro-MD"/>
        </w:rPr>
        <w:t xml:space="preserve"> cât și în caz de vizită profilactică, </w:t>
      </w:r>
      <w:r w:rsidR="00B12485" w:rsidRPr="00C92EC2">
        <w:rPr>
          <w:rFonts w:ascii="Times New Roman" w:hAnsi="Times New Roman" w:cs="Times New Roman"/>
          <w:sz w:val="24"/>
          <w:szCs w:val="24"/>
          <w:lang w:val="ro-MD"/>
        </w:rPr>
        <w:t>persoana se prezintă inițial, cu actul de identitate</w:t>
      </w:r>
      <w:r w:rsidR="00B12485" w:rsidRPr="00DD5F1D">
        <w:rPr>
          <w:rFonts w:ascii="Times New Roman" w:hAnsi="Times New Roman" w:cs="Times New Roman"/>
          <w:sz w:val="24"/>
          <w:szCs w:val="24"/>
          <w:lang w:val="ro-MD"/>
        </w:rPr>
        <w:t xml:space="preserve"> și/sau polița de asigurare obligatorie de asistentă medicală</w:t>
      </w:r>
      <w:r w:rsidR="00C630C6" w:rsidRPr="00DD5F1D">
        <w:rPr>
          <w:rFonts w:ascii="Times New Roman" w:hAnsi="Times New Roman" w:cs="Times New Roman"/>
          <w:sz w:val="24"/>
          <w:szCs w:val="24"/>
          <w:lang w:val="ro-MD"/>
        </w:rPr>
        <w:t>,</w:t>
      </w:r>
      <w:r w:rsidR="00B12485" w:rsidRPr="00DD5F1D">
        <w:rPr>
          <w:rFonts w:ascii="Times New Roman" w:hAnsi="Times New Roman" w:cs="Times New Roman"/>
          <w:sz w:val="24"/>
          <w:szCs w:val="24"/>
          <w:lang w:val="ro-MD"/>
        </w:rPr>
        <w:t xml:space="preserve"> la medicul de familie</w:t>
      </w:r>
      <w:r w:rsidR="00B12485" w:rsidRPr="00DD5F1D">
        <w:rPr>
          <w:rStyle w:val="a5"/>
          <w:rFonts w:ascii="Times New Roman" w:hAnsi="Times New Roman" w:cs="Times New Roman"/>
          <w:sz w:val="24"/>
          <w:szCs w:val="24"/>
          <w:lang w:val="ro-MD"/>
        </w:rPr>
        <w:footnoteReference w:id="53"/>
      </w:r>
      <w:r w:rsidR="00B12485" w:rsidRPr="00DD5F1D">
        <w:rPr>
          <w:rFonts w:ascii="Times New Roman" w:hAnsi="Times New Roman" w:cs="Times New Roman"/>
          <w:sz w:val="24"/>
          <w:szCs w:val="24"/>
          <w:lang w:val="ro-MD"/>
        </w:rPr>
        <w:t>.</w:t>
      </w:r>
    </w:p>
    <w:p w14:paraId="145A9567" w14:textId="2588165D" w:rsidR="00B12485" w:rsidRPr="00DD5F1D" w:rsidRDefault="003C1FB1" w:rsidP="0095276F">
      <w:pPr>
        <w:spacing w:line="276" w:lineRule="auto"/>
        <w:jc w:val="both"/>
        <w:rPr>
          <w:rFonts w:ascii="Times New Roman" w:hAnsi="Times New Roman" w:cs="Times New Roman"/>
          <w:sz w:val="24"/>
          <w:szCs w:val="24"/>
          <w:shd w:val="clear" w:color="auto" w:fill="FFFFFF"/>
          <w:lang w:val="ro-MD"/>
        </w:rPr>
      </w:pPr>
      <w:r w:rsidRPr="00DD5F1D">
        <w:rPr>
          <w:rFonts w:ascii="Times New Roman" w:hAnsi="Times New Roman" w:cs="Times New Roman"/>
          <w:sz w:val="24"/>
          <w:szCs w:val="24"/>
          <w:lang w:val="ro-MD"/>
        </w:rPr>
        <w:t>A</w:t>
      </w:r>
      <w:r w:rsidR="00B12485" w:rsidRPr="00DD5F1D">
        <w:rPr>
          <w:rFonts w:ascii="Times New Roman" w:hAnsi="Times New Roman" w:cs="Times New Roman"/>
          <w:sz w:val="24"/>
          <w:szCs w:val="24"/>
          <w:lang w:val="ro-MD"/>
        </w:rPr>
        <w:t>udi</w:t>
      </w:r>
      <w:r w:rsidR="00623324" w:rsidRPr="00DD5F1D">
        <w:rPr>
          <w:rFonts w:ascii="Times New Roman" w:hAnsi="Times New Roman" w:cs="Times New Roman"/>
          <w:sz w:val="24"/>
          <w:szCs w:val="24"/>
          <w:lang w:val="ro-MD"/>
        </w:rPr>
        <w:t>t</w:t>
      </w:r>
      <w:r w:rsidRPr="00DD5F1D">
        <w:rPr>
          <w:rFonts w:ascii="Times New Roman" w:hAnsi="Times New Roman" w:cs="Times New Roman"/>
          <w:sz w:val="24"/>
          <w:szCs w:val="24"/>
          <w:lang w:val="ro-MD"/>
        </w:rPr>
        <w:t>ul a stabilit</w:t>
      </w:r>
      <w:r w:rsidR="00623324" w:rsidRPr="00DD5F1D">
        <w:rPr>
          <w:rFonts w:ascii="Times New Roman" w:hAnsi="Times New Roman" w:cs="Times New Roman"/>
          <w:sz w:val="24"/>
          <w:szCs w:val="24"/>
          <w:lang w:val="ro-MD"/>
        </w:rPr>
        <w:t xml:space="preserve"> </w:t>
      </w:r>
      <w:r w:rsidR="00337FC2" w:rsidRPr="00DD5F1D">
        <w:rPr>
          <w:rFonts w:ascii="Times New Roman" w:hAnsi="Times New Roman" w:cs="Times New Roman"/>
          <w:sz w:val="24"/>
          <w:szCs w:val="24"/>
          <w:lang w:val="ro-MD"/>
        </w:rPr>
        <w:t xml:space="preserve">în </w:t>
      </w:r>
      <w:r w:rsidR="00623324" w:rsidRPr="00DD5F1D">
        <w:rPr>
          <w:rFonts w:ascii="Times New Roman" w:hAnsi="Times New Roman" w:cs="Times New Roman"/>
          <w:sz w:val="24"/>
          <w:szCs w:val="24"/>
          <w:lang w:val="ro-MD"/>
        </w:rPr>
        <w:t>cazul a 5 persoane</w:t>
      </w:r>
      <w:r w:rsidR="00C630C6" w:rsidRPr="00DD5F1D">
        <w:rPr>
          <w:rFonts w:ascii="Times New Roman" w:hAnsi="Times New Roman" w:cs="Times New Roman"/>
          <w:sz w:val="24"/>
          <w:szCs w:val="24"/>
          <w:lang w:val="ro-MD"/>
        </w:rPr>
        <w:t xml:space="preserve"> cărora</w:t>
      </w:r>
      <w:r w:rsidR="00623324" w:rsidRPr="00DD5F1D">
        <w:rPr>
          <w:rFonts w:ascii="Times New Roman" w:hAnsi="Times New Roman" w:cs="Times New Roman"/>
          <w:sz w:val="24"/>
          <w:szCs w:val="24"/>
          <w:lang w:val="ro-MD"/>
        </w:rPr>
        <w:t xml:space="preserve"> li s-au eliberat certificate</w:t>
      </w:r>
      <w:r w:rsidR="00B12485" w:rsidRPr="00DD5F1D">
        <w:rPr>
          <w:rFonts w:ascii="Times New Roman" w:hAnsi="Times New Roman" w:cs="Times New Roman"/>
          <w:sz w:val="24"/>
          <w:szCs w:val="24"/>
          <w:lang w:val="ro-MD"/>
        </w:rPr>
        <w:t xml:space="preserve"> medical</w:t>
      </w:r>
      <w:r w:rsidR="00623324" w:rsidRPr="00DD5F1D">
        <w:rPr>
          <w:rFonts w:ascii="Times New Roman" w:hAnsi="Times New Roman" w:cs="Times New Roman"/>
          <w:sz w:val="24"/>
          <w:szCs w:val="24"/>
          <w:lang w:val="ro-MD"/>
        </w:rPr>
        <w:t xml:space="preserve">e </w:t>
      </w:r>
      <w:r w:rsidR="00C630C6" w:rsidRPr="00DD5F1D">
        <w:rPr>
          <w:rFonts w:ascii="Times New Roman" w:hAnsi="Times New Roman" w:cs="Times New Roman"/>
          <w:sz w:val="24"/>
          <w:szCs w:val="24"/>
          <w:lang w:val="ro-MD"/>
        </w:rPr>
        <w:t>în legătură cu</w:t>
      </w:r>
      <w:r w:rsidR="00623324" w:rsidRPr="00DD5F1D">
        <w:rPr>
          <w:rFonts w:ascii="Times New Roman" w:hAnsi="Times New Roman" w:cs="Times New Roman"/>
          <w:sz w:val="24"/>
          <w:szCs w:val="24"/>
          <w:lang w:val="ro-MD"/>
        </w:rPr>
        <w:t xml:space="preserve"> </w:t>
      </w:r>
      <w:r w:rsidR="00B12485" w:rsidRPr="00DD5F1D">
        <w:rPr>
          <w:rFonts w:ascii="Times New Roman" w:hAnsi="Times New Roman" w:cs="Times New Roman"/>
          <w:sz w:val="24"/>
          <w:szCs w:val="24"/>
          <w:lang w:val="ro-MD"/>
        </w:rPr>
        <w:t>efe</w:t>
      </w:r>
      <w:r w:rsidR="00623324" w:rsidRPr="00DD5F1D">
        <w:rPr>
          <w:rFonts w:ascii="Times New Roman" w:hAnsi="Times New Roman" w:cs="Times New Roman"/>
          <w:sz w:val="24"/>
          <w:szCs w:val="24"/>
          <w:lang w:val="ro-MD"/>
        </w:rPr>
        <w:t>ctu</w:t>
      </w:r>
      <w:r w:rsidR="00C630C6" w:rsidRPr="00DD5F1D">
        <w:rPr>
          <w:rFonts w:ascii="Times New Roman" w:hAnsi="Times New Roman" w:cs="Times New Roman"/>
          <w:sz w:val="24"/>
          <w:szCs w:val="24"/>
          <w:lang w:val="ro-MD"/>
        </w:rPr>
        <w:t>area</w:t>
      </w:r>
      <w:r w:rsidR="00623324" w:rsidRPr="00DD5F1D">
        <w:rPr>
          <w:rFonts w:ascii="Times New Roman" w:hAnsi="Times New Roman" w:cs="Times New Roman"/>
          <w:sz w:val="24"/>
          <w:szCs w:val="24"/>
          <w:lang w:val="ro-MD"/>
        </w:rPr>
        <w:t xml:space="preserve"> consultului sau </w:t>
      </w:r>
      <w:r w:rsidRPr="00DD5F1D">
        <w:rPr>
          <w:rFonts w:ascii="Times New Roman" w:hAnsi="Times New Roman" w:cs="Times New Roman"/>
          <w:sz w:val="24"/>
          <w:szCs w:val="24"/>
          <w:lang w:val="ro-MD"/>
        </w:rPr>
        <w:t xml:space="preserve">le-a fost </w:t>
      </w:r>
      <w:r w:rsidR="00B12485" w:rsidRPr="00DD5F1D">
        <w:rPr>
          <w:rFonts w:ascii="Times New Roman" w:hAnsi="Times New Roman" w:cs="Times New Roman"/>
          <w:sz w:val="24"/>
          <w:szCs w:val="24"/>
          <w:lang w:val="ro-MD"/>
        </w:rPr>
        <w:t>prel</w:t>
      </w:r>
      <w:r w:rsidR="00623324" w:rsidRPr="00DD5F1D">
        <w:rPr>
          <w:rFonts w:ascii="Times New Roman" w:hAnsi="Times New Roman" w:cs="Times New Roman"/>
          <w:sz w:val="24"/>
          <w:szCs w:val="24"/>
          <w:lang w:val="ro-MD"/>
        </w:rPr>
        <w:t>ungi</w:t>
      </w:r>
      <w:r w:rsidRPr="00DD5F1D">
        <w:rPr>
          <w:rFonts w:ascii="Times New Roman" w:hAnsi="Times New Roman" w:cs="Times New Roman"/>
          <w:sz w:val="24"/>
          <w:szCs w:val="24"/>
          <w:lang w:val="ro-MD"/>
        </w:rPr>
        <w:t>t</w:t>
      </w:r>
      <w:r w:rsidR="00623324" w:rsidRPr="00DD5F1D">
        <w:rPr>
          <w:rFonts w:ascii="Times New Roman" w:hAnsi="Times New Roman" w:cs="Times New Roman"/>
          <w:sz w:val="24"/>
          <w:szCs w:val="24"/>
          <w:lang w:val="ro-MD"/>
        </w:rPr>
        <w:t xml:space="preserve"> certificatul de concediu medical, </w:t>
      </w:r>
      <w:r w:rsidRPr="00DD5F1D">
        <w:rPr>
          <w:rFonts w:ascii="Times New Roman" w:hAnsi="Times New Roman" w:cs="Times New Roman"/>
          <w:sz w:val="24"/>
          <w:szCs w:val="24"/>
          <w:lang w:val="ro-MD"/>
        </w:rPr>
        <w:t xml:space="preserve">sau le-a fost </w:t>
      </w:r>
      <w:r w:rsidR="00623324" w:rsidRPr="00DD5F1D">
        <w:rPr>
          <w:rFonts w:ascii="Times New Roman" w:hAnsi="Times New Roman" w:cs="Times New Roman"/>
          <w:sz w:val="24"/>
          <w:szCs w:val="24"/>
          <w:lang w:val="ro-MD"/>
        </w:rPr>
        <w:t>înch</w:t>
      </w:r>
      <w:r w:rsidRPr="00DD5F1D">
        <w:rPr>
          <w:rFonts w:ascii="Times New Roman" w:hAnsi="Times New Roman" w:cs="Times New Roman"/>
          <w:sz w:val="24"/>
          <w:szCs w:val="24"/>
          <w:lang w:val="ro-MD"/>
        </w:rPr>
        <w:t>eiat</w:t>
      </w:r>
      <w:r w:rsidR="00B12485" w:rsidRPr="00DD5F1D">
        <w:rPr>
          <w:rFonts w:ascii="Times New Roman" w:hAnsi="Times New Roman" w:cs="Times New Roman"/>
          <w:sz w:val="24"/>
          <w:szCs w:val="24"/>
          <w:lang w:val="ro-MD"/>
        </w:rPr>
        <w:t xml:space="preserve"> certificatul</w:t>
      </w:r>
      <w:r w:rsidR="00623324" w:rsidRPr="00DD5F1D">
        <w:rPr>
          <w:rFonts w:ascii="Times New Roman" w:hAnsi="Times New Roman" w:cs="Times New Roman"/>
          <w:sz w:val="24"/>
          <w:szCs w:val="24"/>
          <w:lang w:val="ro-MD"/>
        </w:rPr>
        <w:t xml:space="preserve"> de concediu medical</w:t>
      </w:r>
      <w:r w:rsidR="00B12485" w:rsidRPr="00DD5F1D">
        <w:rPr>
          <w:rFonts w:ascii="Times New Roman" w:hAnsi="Times New Roman" w:cs="Times New Roman"/>
          <w:sz w:val="24"/>
          <w:szCs w:val="24"/>
          <w:lang w:val="ro-MD"/>
        </w:rPr>
        <w:t xml:space="preserve"> fără pre</w:t>
      </w:r>
      <w:r w:rsidR="00623324" w:rsidRPr="00DD5F1D">
        <w:rPr>
          <w:rFonts w:ascii="Times New Roman" w:hAnsi="Times New Roman" w:cs="Times New Roman"/>
          <w:sz w:val="24"/>
          <w:szCs w:val="24"/>
          <w:lang w:val="ro-MD"/>
        </w:rPr>
        <w:t>zența pacientului la medic</w:t>
      </w:r>
      <w:r w:rsidR="00623324" w:rsidRPr="00B7777D">
        <w:rPr>
          <w:rFonts w:ascii="Times New Roman" w:hAnsi="Times New Roman" w:cs="Times New Roman"/>
          <w:sz w:val="24"/>
          <w:szCs w:val="24"/>
          <w:lang w:val="ro-MD"/>
        </w:rPr>
        <w:t xml:space="preserve">, </w:t>
      </w:r>
      <w:r w:rsidR="00623324" w:rsidRPr="007D32B0">
        <w:rPr>
          <w:rFonts w:ascii="Times New Roman" w:hAnsi="Times New Roman" w:cs="Times New Roman"/>
          <w:sz w:val="24"/>
          <w:szCs w:val="24"/>
          <w:lang w:val="ro-MD"/>
        </w:rPr>
        <w:t>ace</w:t>
      </w:r>
      <w:r w:rsidRPr="007D32B0">
        <w:rPr>
          <w:rFonts w:ascii="Times New Roman" w:hAnsi="Times New Roman" w:cs="Times New Roman"/>
          <w:sz w:val="24"/>
          <w:szCs w:val="24"/>
          <w:lang w:val="ro-MD"/>
        </w:rPr>
        <w:t>sta</w:t>
      </w:r>
      <w:r w:rsidR="00B12485" w:rsidRPr="007D32B0">
        <w:rPr>
          <w:rFonts w:ascii="Times New Roman" w:hAnsi="Times New Roman" w:cs="Times New Roman"/>
          <w:sz w:val="24"/>
          <w:szCs w:val="24"/>
          <w:lang w:val="ro-MD"/>
        </w:rPr>
        <w:t xml:space="preserve"> aflându-se peste hotarele țării </w:t>
      </w:r>
      <w:r w:rsidR="00F63C56" w:rsidRPr="007D32B0">
        <w:rPr>
          <w:rFonts w:ascii="Times New Roman" w:hAnsi="Times New Roman" w:cs="Times New Roman"/>
          <w:sz w:val="24"/>
          <w:szCs w:val="24"/>
          <w:lang w:val="ro-MD"/>
        </w:rPr>
        <w:t>(</w:t>
      </w:r>
      <w:r w:rsidR="00B12485" w:rsidRPr="007D32B0">
        <w:rPr>
          <w:rFonts w:ascii="Times New Roman" w:hAnsi="Times New Roman" w:cs="Times New Roman"/>
          <w:sz w:val="24"/>
          <w:szCs w:val="24"/>
          <w:lang w:val="ro-MD"/>
        </w:rPr>
        <w:t>de la 1 zi până la 5 zile</w:t>
      </w:r>
      <w:r w:rsidR="00F63C56" w:rsidRPr="007D32B0">
        <w:rPr>
          <w:rFonts w:ascii="Times New Roman" w:hAnsi="Times New Roman" w:cs="Times New Roman"/>
          <w:sz w:val="24"/>
          <w:szCs w:val="24"/>
          <w:lang w:val="ro-MD"/>
        </w:rPr>
        <w:t>)</w:t>
      </w:r>
      <w:r w:rsidR="00B12485" w:rsidRPr="007D32B0">
        <w:rPr>
          <w:rFonts w:ascii="Times New Roman" w:hAnsi="Times New Roman" w:cs="Times New Roman"/>
          <w:sz w:val="24"/>
          <w:szCs w:val="24"/>
          <w:lang w:val="ro-MD"/>
        </w:rPr>
        <w:t>.</w:t>
      </w:r>
      <w:r w:rsidR="00B12485" w:rsidRPr="00B7777D">
        <w:rPr>
          <w:rFonts w:ascii="Times New Roman" w:hAnsi="Times New Roman" w:cs="Times New Roman"/>
          <w:sz w:val="24"/>
          <w:szCs w:val="24"/>
          <w:lang w:val="ro-MD"/>
        </w:rPr>
        <w:t xml:space="preserve"> </w:t>
      </w:r>
      <w:r w:rsidR="005528D1" w:rsidRPr="009A6E4D">
        <w:rPr>
          <w:rFonts w:ascii="Times New Roman" w:hAnsi="Times New Roman" w:cs="Times New Roman"/>
          <w:sz w:val="24"/>
          <w:szCs w:val="24"/>
          <w:lang w:val="ro-MD"/>
        </w:rPr>
        <w:t>Î</w:t>
      </w:r>
      <w:r w:rsidR="00EE6C79" w:rsidRPr="00193E3C">
        <w:rPr>
          <w:rFonts w:ascii="Times New Roman" w:hAnsi="Times New Roman" w:cs="Times New Roman"/>
          <w:sz w:val="24"/>
          <w:szCs w:val="24"/>
          <w:lang w:val="ro-MD"/>
        </w:rPr>
        <w:t>n cazul unei persoane</w:t>
      </w:r>
      <w:r w:rsidR="00C630C6" w:rsidRPr="005152D5">
        <w:rPr>
          <w:rFonts w:ascii="Times New Roman" w:hAnsi="Times New Roman" w:cs="Times New Roman"/>
          <w:sz w:val="24"/>
          <w:szCs w:val="24"/>
          <w:lang w:val="ro-MD"/>
        </w:rPr>
        <w:t>,</w:t>
      </w:r>
      <w:r w:rsidR="00EE6C79" w:rsidRPr="00DD5F1D">
        <w:rPr>
          <w:rFonts w:ascii="Times New Roman" w:hAnsi="Times New Roman" w:cs="Times New Roman"/>
          <w:sz w:val="24"/>
          <w:szCs w:val="24"/>
          <w:lang w:val="ro-MD"/>
        </w:rPr>
        <w:t xml:space="preserve"> i-a fost stabilit diagno</w:t>
      </w:r>
      <w:r w:rsidR="00C630C6" w:rsidRPr="00DD5F1D">
        <w:rPr>
          <w:rFonts w:ascii="Times New Roman" w:hAnsi="Times New Roman" w:cs="Times New Roman"/>
          <w:sz w:val="24"/>
          <w:szCs w:val="24"/>
          <w:lang w:val="ro-MD"/>
        </w:rPr>
        <w:t>sticul</w:t>
      </w:r>
      <w:r w:rsidR="00EE6C79" w:rsidRPr="00DD5F1D">
        <w:rPr>
          <w:rFonts w:ascii="Times New Roman" w:hAnsi="Times New Roman" w:cs="Times New Roman"/>
          <w:sz w:val="24"/>
          <w:szCs w:val="24"/>
          <w:lang w:val="ro-MD"/>
        </w:rPr>
        <w:t xml:space="preserve"> și </w:t>
      </w:r>
      <w:r w:rsidR="00C630C6" w:rsidRPr="00DD5F1D">
        <w:rPr>
          <w:rFonts w:ascii="Times New Roman" w:hAnsi="Times New Roman" w:cs="Times New Roman"/>
          <w:sz w:val="24"/>
          <w:szCs w:val="24"/>
          <w:lang w:val="ro-MD"/>
        </w:rPr>
        <w:t xml:space="preserve">i-a fost </w:t>
      </w:r>
      <w:r w:rsidR="00EE6C79" w:rsidRPr="00DD5F1D">
        <w:rPr>
          <w:rFonts w:ascii="Times New Roman" w:hAnsi="Times New Roman" w:cs="Times New Roman"/>
          <w:sz w:val="24"/>
          <w:szCs w:val="24"/>
          <w:lang w:val="ro-MD"/>
        </w:rPr>
        <w:t>deschis certificat</w:t>
      </w:r>
      <w:r w:rsidR="002239E4" w:rsidRPr="00DD5F1D">
        <w:rPr>
          <w:rFonts w:ascii="Times New Roman" w:hAnsi="Times New Roman" w:cs="Times New Roman"/>
          <w:sz w:val="24"/>
          <w:szCs w:val="24"/>
          <w:lang w:val="ro-MD"/>
        </w:rPr>
        <w:t xml:space="preserve"> de concediu</w:t>
      </w:r>
      <w:r w:rsidR="00EE6C79" w:rsidRPr="00DD5F1D">
        <w:rPr>
          <w:rFonts w:ascii="Times New Roman" w:hAnsi="Times New Roman" w:cs="Times New Roman"/>
          <w:sz w:val="24"/>
          <w:szCs w:val="24"/>
          <w:lang w:val="ro-MD"/>
        </w:rPr>
        <w:t xml:space="preserve"> medical, ulterior </w:t>
      </w:r>
      <w:r w:rsidR="000E2E65" w:rsidRPr="00DD5F1D">
        <w:rPr>
          <w:rFonts w:ascii="Times New Roman" w:hAnsi="Times New Roman" w:cs="Times New Roman"/>
          <w:sz w:val="24"/>
          <w:szCs w:val="24"/>
          <w:lang w:val="ro-MD"/>
        </w:rPr>
        <w:t>fiind</w:t>
      </w:r>
      <w:r w:rsidR="00EE6C79" w:rsidRPr="00DD5F1D">
        <w:rPr>
          <w:rFonts w:ascii="Times New Roman" w:hAnsi="Times New Roman" w:cs="Times New Roman"/>
          <w:sz w:val="24"/>
          <w:szCs w:val="24"/>
          <w:lang w:val="ro-MD"/>
        </w:rPr>
        <w:t xml:space="preserve"> documentat</w:t>
      </w:r>
      <w:r w:rsidR="00623324" w:rsidRPr="00DD5F1D">
        <w:rPr>
          <w:rFonts w:ascii="Times New Roman" w:hAnsi="Times New Roman" w:cs="Times New Roman"/>
          <w:sz w:val="24"/>
          <w:szCs w:val="24"/>
          <w:lang w:val="ro-MD"/>
        </w:rPr>
        <w:t>ă</w:t>
      </w:r>
      <w:r w:rsidR="00EE6C79" w:rsidRPr="00DD5F1D">
        <w:rPr>
          <w:rFonts w:ascii="Times New Roman" w:hAnsi="Times New Roman" w:cs="Times New Roman"/>
          <w:sz w:val="24"/>
          <w:szCs w:val="24"/>
          <w:lang w:val="ro-MD"/>
        </w:rPr>
        <w:t xml:space="preserve"> consult</w:t>
      </w:r>
      <w:r w:rsidR="00623324" w:rsidRPr="00DD5F1D">
        <w:rPr>
          <w:rFonts w:ascii="Times New Roman" w:hAnsi="Times New Roman" w:cs="Times New Roman"/>
          <w:sz w:val="24"/>
          <w:szCs w:val="24"/>
          <w:lang w:val="ro-MD"/>
        </w:rPr>
        <w:t>ația</w:t>
      </w:r>
      <w:r w:rsidR="00EE6C79" w:rsidRPr="00DD5F1D">
        <w:rPr>
          <w:rFonts w:ascii="Times New Roman" w:hAnsi="Times New Roman" w:cs="Times New Roman"/>
          <w:sz w:val="24"/>
          <w:szCs w:val="24"/>
          <w:lang w:val="ro-MD"/>
        </w:rPr>
        <w:t xml:space="preserve"> medical</w:t>
      </w:r>
      <w:r w:rsidR="00623324" w:rsidRPr="00DD5F1D">
        <w:rPr>
          <w:rFonts w:ascii="Times New Roman" w:hAnsi="Times New Roman" w:cs="Times New Roman"/>
          <w:sz w:val="24"/>
          <w:szCs w:val="24"/>
          <w:lang w:val="ro-MD"/>
        </w:rPr>
        <w:t>ă a pacientului</w:t>
      </w:r>
      <w:r w:rsidR="00EE6C79" w:rsidRPr="00DD5F1D">
        <w:rPr>
          <w:rFonts w:ascii="Times New Roman" w:hAnsi="Times New Roman" w:cs="Times New Roman"/>
          <w:sz w:val="24"/>
          <w:szCs w:val="24"/>
          <w:lang w:val="ro-MD"/>
        </w:rPr>
        <w:t xml:space="preserve"> în SIA AMP, la fel</w:t>
      </w:r>
      <w:r w:rsidR="000E2E65" w:rsidRPr="00DD5F1D">
        <w:rPr>
          <w:rFonts w:ascii="Times New Roman" w:hAnsi="Times New Roman" w:cs="Times New Roman"/>
          <w:sz w:val="24"/>
          <w:szCs w:val="24"/>
          <w:lang w:val="ro-MD"/>
        </w:rPr>
        <w:t>,</w:t>
      </w:r>
      <w:r w:rsidR="00EE6C79" w:rsidRPr="00DD5F1D">
        <w:rPr>
          <w:rFonts w:ascii="Times New Roman" w:hAnsi="Times New Roman" w:cs="Times New Roman"/>
          <w:sz w:val="24"/>
          <w:szCs w:val="24"/>
          <w:lang w:val="ro-MD"/>
        </w:rPr>
        <w:t xml:space="preserve"> în timp ce persoana se afla peste hotarele țării. La acest aspect, instituția medicală motivează</w:t>
      </w:r>
      <w:r w:rsidR="00EE6C79" w:rsidRPr="00DD5F1D">
        <w:rPr>
          <w:rStyle w:val="a5"/>
          <w:rFonts w:ascii="Times New Roman" w:hAnsi="Times New Roman" w:cs="Times New Roman"/>
          <w:sz w:val="24"/>
          <w:szCs w:val="24"/>
          <w:lang w:val="ro-MD"/>
        </w:rPr>
        <w:footnoteReference w:id="54"/>
      </w:r>
      <w:r w:rsidR="00EE6C79" w:rsidRPr="00DD5F1D">
        <w:rPr>
          <w:rFonts w:ascii="Times New Roman" w:hAnsi="Times New Roman" w:cs="Times New Roman"/>
          <w:sz w:val="24"/>
          <w:szCs w:val="24"/>
          <w:lang w:val="ro-MD"/>
        </w:rPr>
        <w:t xml:space="preserve"> că aceste acțiuni au fost întreprinse în </w:t>
      </w:r>
      <w:r w:rsidR="00C630C6" w:rsidRPr="00DD5F1D">
        <w:rPr>
          <w:rFonts w:ascii="Times New Roman" w:hAnsi="Times New Roman" w:cs="Times New Roman"/>
          <w:sz w:val="24"/>
          <w:szCs w:val="24"/>
          <w:lang w:val="ro-MD"/>
        </w:rPr>
        <w:t>urma</w:t>
      </w:r>
      <w:r w:rsidR="00EE6C79" w:rsidRPr="00DD5F1D">
        <w:rPr>
          <w:rFonts w:ascii="Times New Roman" w:hAnsi="Times New Roman" w:cs="Times New Roman"/>
          <w:sz w:val="24"/>
          <w:szCs w:val="24"/>
          <w:lang w:val="ro-MD"/>
        </w:rPr>
        <w:t xml:space="preserve"> adresării telefonice a pacientului. </w:t>
      </w:r>
      <w:r w:rsidR="00B12485" w:rsidRPr="00DD5F1D">
        <w:rPr>
          <w:rFonts w:ascii="Times New Roman" w:hAnsi="Times New Roman" w:cs="Times New Roman"/>
          <w:sz w:val="24"/>
          <w:szCs w:val="24"/>
          <w:lang w:val="ro-MD"/>
        </w:rPr>
        <w:t>Astfel, prelungirea certificatului medical, inclusiv documentarea vizitelor la medicul de familie sau medicul de profil, în cazul persoanelor care se aflau la moment în</w:t>
      </w:r>
      <w:r w:rsidR="00F42BEB" w:rsidRPr="00DD5F1D">
        <w:rPr>
          <w:rFonts w:ascii="Times New Roman" w:hAnsi="Times New Roman" w:cs="Times New Roman"/>
          <w:sz w:val="24"/>
          <w:szCs w:val="24"/>
          <w:lang w:val="ro-MD"/>
        </w:rPr>
        <w:t xml:space="preserve"> </w:t>
      </w:r>
      <w:r w:rsidR="00B12485" w:rsidRPr="00DD5F1D">
        <w:rPr>
          <w:rFonts w:ascii="Times New Roman" w:hAnsi="Times New Roman" w:cs="Times New Roman"/>
          <w:sz w:val="24"/>
          <w:szCs w:val="24"/>
          <w:lang w:val="ro-MD"/>
        </w:rPr>
        <w:t>afara țării, s-a efectuat neregulamentar în lipsa pacientului.</w:t>
      </w:r>
    </w:p>
    <w:p w14:paraId="72224C48" w14:textId="77777777" w:rsidR="00677AEC" w:rsidRPr="00DD5F1D" w:rsidRDefault="00677AEC" w:rsidP="0095276F">
      <w:pPr>
        <w:spacing w:line="276" w:lineRule="auto"/>
        <w:jc w:val="both"/>
        <w:rPr>
          <w:rFonts w:ascii="Times New Roman" w:hAnsi="Times New Roman" w:cs="Times New Roman"/>
          <w:sz w:val="24"/>
          <w:szCs w:val="24"/>
          <w:shd w:val="clear" w:color="auto" w:fill="FFFFFF"/>
          <w:lang w:val="ro-MD"/>
        </w:rPr>
      </w:pPr>
      <w:r w:rsidRPr="00DD5F1D">
        <w:rPr>
          <w:rFonts w:ascii="Times New Roman" w:hAnsi="Times New Roman" w:cs="Times New Roman"/>
          <w:sz w:val="24"/>
          <w:szCs w:val="24"/>
          <w:shd w:val="clear" w:color="auto" w:fill="FFFFFF"/>
          <w:lang w:val="ro-MD"/>
        </w:rPr>
        <w:t>Concomitent, Ministerul Sănătății a informat că „</w:t>
      </w:r>
      <w:r w:rsidRPr="00DD5F1D">
        <w:rPr>
          <w:rFonts w:ascii="Times New Roman" w:hAnsi="Times New Roman" w:cs="Times New Roman"/>
          <w:i/>
          <w:sz w:val="24"/>
          <w:szCs w:val="24"/>
          <w:shd w:val="clear" w:color="auto" w:fill="FFFFFF"/>
          <w:lang w:val="ro-MD"/>
        </w:rPr>
        <w:t>verificarea persoanelor care se deplasează peste hotarele țării în perioada aflării în concediul medical, nu ține de competența Ministerului Sănătății și instituțiilor medico-sanitare publice</w:t>
      </w:r>
      <w:r w:rsidRPr="00DD5F1D">
        <w:rPr>
          <w:rFonts w:ascii="Times New Roman" w:hAnsi="Times New Roman" w:cs="Times New Roman"/>
          <w:sz w:val="24"/>
          <w:szCs w:val="24"/>
          <w:shd w:val="clear" w:color="auto" w:fill="FFFFFF"/>
          <w:lang w:val="ro-MD"/>
        </w:rPr>
        <w:t>”</w:t>
      </w:r>
      <w:r w:rsidRPr="00DD5F1D">
        <w:rPr>
          <w:rStyle w:val="a5"/>
          <w:rFonts w:ascii="Times New Roman" w:hAnsi="Times New Roman" w:cs="Times New Roman"/>
          <w:sz w:val="24"/>
          <w:szCs w:val="24"/>
          <w:shd w:val="clear" w:color="auto" w:fill="FFFFFF"/>
          <w:lang w:val="ro-MD"/>
        </w:rPr>
        <w:footnoteReference w:id="55"/>
      </w:r>
      <w:r w:rsidRPr="00DD5F1D">
        <w:rPr>
          <w:rFonts w:ascii="Times New Roman" w:hAnsi="Times New Roman" w:cs="Times New Roman"/>
          <w:sz w:val="24"/>
          <w:szCs w:val="24"/>
          <w:shd w:val="clear" w:color="auto" w:fill="FFFFFF"/>
          <w:lang w:val="ro-MD"/>
        </w:rPr>
        <w:t>.</w:t>
      </w:r>
    </w:p>
    <w:p w14:paraId="28D56B61" w14:textId="76601027" w:rsidR="00B12485" w:rsidRPr="00DD5F1D" w:rsidRDefault="00B12485" w:rsidP="0095276F">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În același timp</w:t>
      </w:r>
      <w:r w:rsidRPr="00B7777D">
        <w:rPr>
          <w:rFonts w:ascii="Times New Roman" w:hAnsi="Times New Roman" w:cs="Times New Roman"/>
          <w:sz w:val="24"/>
          <w:szCs w:val="24"/>
          <w:lang w:val="ro-MD"/>
        </w:rPr>
        <w:t xml:space="preserve">, </w:t>
      </w:r>
      <w:r w:rsidRPr="007D32B0">
        <w:rPr>
          <w:rFonts w:ascii="Times New Roman" w:hAnsi="Times New Roman" w:cs="Times New Roman"/>
          <w:sz w:val="24"/>
          <w:szCs w:val="24"/>
          <w:lang w:val="ro-MD"/>
        </w:rPr>
        <w:t>conform prevederilor</w:t>
      </w:r>
      <w:r w:rsidR="00623324" w:rsidRPr="007D32B0">
        <w:rPr>
          <w:rFonts w:ascii="Times New Roman" w:hAnsi="Times New Roman" w:cs="Times New Roman"/>
          <w:sz w:val="24"/>
          <w:szCs w:val="24"/>
          <w:lang w:val="ro-MD"/>
        </w:rPr>
        <w:t xml:space="preserve"> regulamentare</w:t>
      </w:r>
      <w:r w:rsidRPr="007D32B0">
        <w:rPr>
          <w:rStyle w:val="a5"/>
          <w:rFonts w:ascii="Times New Roman" w:hAnsi="Times New Roman" w:cs="Times New Roman"/>
          <w:sz w:val="24"/>
          <w:szCs w:val="24"/>
          <w:lang w:val="ro-MD"/>
        </w:rPr>
        <w:footnoteReference w:id="56"/>
      </w:r>
      <w:r w:rsidR="000E2E65" w:rsidRPr="007D32B0">
        <w:rPr>
          <w:rFonts w:ascii="Times New Roman" w:hAnsi="Times New Roman" w:cs="Times New Roman"/>
          <w:sz w:val="24"/>
          <w:szCs w:val="24"/>
          <w:lang w:val="ro-MD"/>
        </w:rPr>
        <w:t>,</w:t>
      </w:r>
      <w:r w:rsidRPr="00B7777D">
        <w:rPr>
          <w:rFonts w:ascii="Times New Roman" w:hAnsi="Times New Roman" w:cs="Times New Roman"/>
          <w:sz w:val="24"/>
          <w:szCs w:val="24"/>
          <w:lang w:val="ro-MD"/>
        </w:rPr>
        <w:t xml:space="preserve"> </w:t>
      </w:r>
      <w:r w:rsidR="00F42BEB" w:rsidRPr="009A6E4D">
        <w:rPr>
          <w:rFonts w:ascii="Times New Roman" w:hAnsi="Times New Roman" w:cs="Times New Roman"/>
          <w:sz w:val="24"/>
          <w:szCs w:val="24"/>
          <w:lang w:val="ro-MD"/>
        </w:rPr>
        <w:t>in</w:t>
      </w:r>
      <w:r w:rsidR="00F42BEB" w:rsidRPr="00193E3C">
        <w:rPr>
          <w:rFonts w:ascii="Times New Roman" w:hAnsi="Times New Roman" w:cs="Times New Roman"/>
          <w:sz w:val="24"/>
          <w:szCs w:val="24"/>
          <w:lang w:val="ro-MD"/>
        </w:rPr>
        <w:t>demnizația</w:t>
      </w:r>
      <w:r w:rsidRPr="00DD5F1D">
        <w:rPr>
          <w:rFonts w:ascii="Times New Roman" w:hAnsi="Times New Roman" w:cs="Times New Roman"/>
          <w:sz w:val="24"/>
          <w:szCs w:val="24"/>
          <w:lang w:val="ro-MD"/>
        </w:rPr>
        <w:t xml:space="preserve"> nu se </w:t>
      </w:r>
      <w:r w:rsidR="00F42BEB" w:rsidRPr="00DD5F1D">
        <w:rPr>
          <w:rFonts w:ascii="Times New Roman" w:hAnsi="Times New Roman" w:cs="Times New Roman"/>
          <w:sz w:val="24"/>
          <w:szCs w:val="24"/>
          <w:lang w:val="ro-MD"/>
        </w:rPr>
        <w:t>stabilește</w:t>
      </w:r>
      <w:r w:rsidRPr="00DD5F1D">
        <w:rPr>
          <w:rFonts w:ascii="Times New Roman" w:hAnsi="Times New Roman" w:cs="Times New Roman"/>
          <w:sz w:val="24"/>
          <w:szCs w:val="24"/>
          <w:lang w:val="ro-MD"/>
        </w:rPr>
        <w:t xml:space="preserve"> de către CNAS în cazul în care asiguratul se deplasează peste hotarele </w:t>
      </w:r>
      <w:r w:rsidR="00F42BEB" w:rsidRPr="00DD5F1D">
        <w:rPr>
          <w:rFonts w:ascii="Times New Roman" w:hAnsi="Times New Roman" w:cs="Times New Roman"/>
          <w:sz w:val="24"/>
          <w:szCs w:val="24"/>
          <w:lang w:val="ro-MD"/>
        </w:rPr>
        <w:t>țării</w:t>
      </w:r>
      <w:r w:rsidRPr="00DD5F1D">
        <w:rPr>
          <w:rFonts w:ascii="Times New Roman" w:hAnsi="Times New Roman" w:cs="Times New Roman"/>
          <w:sz w:val="24"/>
          <w:szCs w:val="24"/>
          <w:lang w:val="ro-MD"/>
        </w:rPr>
        <w:t xml:space="preserve"> în perioada aflării în concediu medical, cu </w:t>
      </w:r>
      <w:r w:rsidR="00F42BEB" w:rsidRPr="00DD5F1D">
        <w:rPr>
          <w:rFonts w:ascii="Times New Roman" w:hAnsi="Times New Roman" w:cs="Times New Roman"/>
          <w:sz w:val="24"/>
          <w:szCs w:val="24"/>
          <w:lang w:val="ro-MD"/>
        </w:rPr>
        <w:t>excepția</w:t>
      </w:r>
      <w:r w:rsidRPr="00DD5F1D">
        <w:rPr>
          <w:rFonts w:ascii="Times New Roman" w:hAnsi="Times New Roman" w:cs="Times New Roman"/>
          <w:sz w:val="24"/>
          <w:szCs w:val="24"/>
          <w:lang w:val="ro-MD"/>
        </w:rPr>
        <w:t xml:space="preserve"> deplasării pentru </w:t>
      </w:r>
      <w:r w:rsidR="00F42BEB" w:rsidRPr="00DD5F1D">
        <w:rPr>
          <w:rFonts w:ascii="Times New Roman" w:hAnsi="Times New Roman" w:cs="Times New Roman"/>
          <w:sz w:val="24"/>
          <w:szCs w:val="24"/>
          <w:lang w:val="ro-MD"/>
        </w:rPr>
        <w:t>consultații</w:t>
      </w:r>
      <w:r w:rsidRPr="00DD5F1D">
        <w:rPr>
          <w:rFonts w:ascii="Times New Roman" w:hAnsi="Times New Roman" w:cs="Times New Roman"/>
          <w:sz w:val="24"/>
          <w:szCs w:val="24"/>
          <w:lang w:val="ro-MD"/>
        </w:rPr>
        <w:t xml:space="preserve">, </w:t>
      </w:r>
      <w:r w:rsidR="00F42BEB" w:rsidRPr="00DD5F1D">
        <w:rPr>
          <w:rFonts w:ascii="Times New Roman" w:hAnsi="Times New Roman" w:cs="Times New Roman"/>
          <w:sz w:val="24"/>
          <w:szCs w:val="24"/>
          <w:lang w:val="ro-MD"/>
        </w:rPr>
        <w:t>investigații</w:t>
      </w:r>
      <w:r w:rsidRPr="00DD5F1D">
        <w:rPr>
          <w:rFonts w:ascii="Times New Roman" w:hAnsi="Times New Roman" w:cs="Times New Roman"/>
          <w:sz w:val="24"/>
          <w:szCs w:val="24"/>
          <w:lang w:val="ro-MD"/>
        </w:rPr>
        <w:t xml:space="preserve"> sau pentru a urma tratamentul prescris și cu excepția femeilor aflate în concediu de maternitate. Auditul constată că în cadrul CNAS nu există proceduri și controale de identificare a persoanelor ce se deplasea</w:t>
      </w:r>
      <w:r w:rsidR="00623324" w:rsidRPr="00DD5F1D">
        <w:rPr>
          <w:rFonts w:ascii="Times New Roman" w:hAnsi="Times New Roman" w:cs="Times New Roman"/>
          <w:sz w:val="24"/>
          <w:szCs w:val="24"/>
          <w:lang w:val="ro-MD"/>
        </w:rPr>
        <w:t>ză peste hotarele țării,</w:t>
      </w:r>
      <w:r w:rsidRPr="00DD5F1D">
        <w:rPr>
          <w:rFonts w:ascii="Times New Roman" w:hAnsi="Times New Roman" w:cs="Times New Roman"/>
          <w:sz w:val="24"/>
          <w:szCs w:val="24"/>
          <w:lang w:val="ro-MD"/>
        </w:rPr>
        <w:t xml:space="preserve"> </w:t>
      </w:r>
      <w:r w:rsidR="00F42BEB" w:rsidRPr="00DD5F1D">
        <w:rPr>
          <w:rFonts w:ascii="Times New Roman" w:hAnsi="Times New Roman" w:cs="Times New Roman"/>
          <w:sz w:val="24"/>
          <w:szCs w:val="24"/>
          <w:lang w:val="ro-MD"/>
        </w:rPr>
        <w:t>motivând</w:t>
      </w:r>
      <w:r w:rsidRPr="00DD5F1D">
        <w:rPr>
          <w:rFonts w:ascii="Times New Roman" w:hAnsi="Times New Roman" w:cs="Times New Roman"/>
          <w:sz w:val="24"/>
          <w:szCs w:val="24"/>
          <w:lang w:val="ro-MD"/>
        </w:rPr>
        <w:t xml:space="preserve"> că</w:t>
      </w:r>
      <w:r w:rsidR="00623324" w:rsidRPr="00DD5F1D">
        <w:rPr>
          <w:rFonts w:ascii="Times New Roman" w:hAnsi="Times New Roman" w:cs="Times New Roman"/>
          <w:sz w:val="24"/>
          <w:szCs w:val="24"/>
          <w:lang w:val="ro-MD"/>
        </w:rPr>
        <w:t xml:space="preserve"> indemnizația se stabilește</w:t>
      </w:r>
      <w:r w:rsidRPr="00DD5F1D">
        <w:rPr>
          <w:rFonts w:ascii="Times New Roman" w:hAnsi="Times New Roman" w:cs="Times New Roman"/>
          <w:sz w:val="24"/>
          <w:szCs w:val="24"/>
          <w:lang w:val="ro-MD"/>
        </w:rPr>
        <w:t xml:space="preserve"> în temeiul informații</w:t>
      </w:r>
      <w:r w:rsidR="000E2E65" w:rsidRPr="00DD5F1D">
        <w:rPr>
          <w:rFonts w:ascii="Times New Roman" w:hAnsi="Times New Roman" w:cs="Times New Roman"/>
          <w:sz w:val="24"/>
          <w:szCs w:val="24"/>
          <w:lang w:val="ro-MD"/>
        </w:rPr>
        <w:t>lor</w:t>
      </w:r>
      <w:r w:rsidRPr="00DD5F1D">
        <w:rPr>
          <w:rFonts w:ascii="Times New Roman" w:hAnsi="Times New Roman" w:cs="Times New Roman"/>
          <w:sz w:val="24"/>
          <w:szCs w:val="24"/>
          <w:lang w:val="ro-MD"/>
        </w:rPr>
        <w:t xml:space="preserve"> din certificatele</w:t>
      </w:r>
      <w:r w:rsidR="00623324" w:rsidRPr="00DD5F1D">
        <w:rPr>
          <w:rFonts w:ascii="Times New Roman" w:hAnsi="Times New Roman" w:cs="Times New Roman"/>
          <w:sz w:val="24"/>
          <w:szCs w:val="24"/>
          <w:lang w:val="ro-MD"/>
        </w:rPr>
        <w:t xml:space="preserve"> de concediu medical</w:t>
      </w:r>
      <w:r w:rsidRPr="00DD5F1D">
        <w:rPr>
          <w:rFonts w:ascii="Times New Roman" w:hAnsi="Times New Roman" w:cs="Times New Roman"/>
          <w:sz w:val="24"/>
          <w:szCs w:val="24"/>
          <w:lang w:val="ro-MD"/>
        </w:rPr>
        <w:t xml:space="preserve"> transmise prin intermediul conexiunilor intersistemice. </w:t>
      </w:r>
    </w:p>
    <w:p w14:paraId="2DD57AE1" w14:textId="4C2B4F8C" w:rsidR="00BF20A1" w:rsidRPr="00DD5F1D" w:rsidRDefault="0037381E" w:rsidP="00100079">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Totodată, cadrul normativ nu stabilește exhaustiv responsabilitățile IMSP și CNAS de verificare și/sau preluare a informații</w:t>
      </w:r>
      <w:r w:rsidR="000E2E65" w:rsidRPr="00DD5F1D">
        <w:rPr>
          <w:rFonts w:ascii="Times New Roman" w:hAnsi="Times New Roman" w:cs="Times New Roman"/>
          <w:sz w:val="24"/>
          <w:szCs w:val="24"/>
          <w:lang w:val="ro-MD"/>
        </w:rPr>
        <w:t>lor</w:t>
      </w:r>
      <w:r w:rsidRPr="00DD5F1D">
        <w:rPr>
          <w:rFonts w:ascii="Times New Roman" w:hAnsi="Times New Roman" w:cs="Times New Roman"/>
          <w:sz w:val="24"/>
          <w:szCs w:val="24"/>
          <w:lang w:val="ro-MD"/>
        </w:rPr>
        <w:t xml:space="preserve"> privind traversarea frontierei de la IGPF, ceea ce </w:t>
      </w:r>
      <w:r w:rsidR="00B12485" w:rsidRPr="00DD5F1D">
        <w:rPr>
          <w:rFonts w:ascii="Times New Roman" w:hAnsi="Times New Roman" w:cs="Times New Roman"/>
          <w:sz w:val="24"/>
          <w:szCs w:val="24"/>
          <w:lang w:val="ro-MD"/>
        </w:rPr>
        <w:t>determină stabilirea și achitarea nejustificată a indemnizației.</w:t>
      </w:r>
    </w:p>
    <w:p w14:paraId="71D7E35A" w14:textId="77777777" w:rsidR="00DE27FA" w:rsidRPr="00DD5F1D" w:rsidRDefault="00DE27FA" w:rsidP="00BF20A1">
      <w:pPr>
        <w:pStyle w:val="aa"/>
        <w:numPr>
          <w:ilvl w:val="0"/>
          <w:numId w:val="2"/>
        </w:numPr>
        <w:shd w:val="clear" w:color="auto" w:fill="FFFFFF" w:themeFill="background1"/>
        <w:spacing w:line="276" w:lineRule="auto"/>
        <w:ind w:left="567" w:hanging="567"/>
        <w:jc w:val="both"/>
        <w:outlineLvl w:val="0"/>
        <w:rPr>
          <w:rFonts w:ascii="Times New Roman" w:hAnsi="Times New Roman" w:cs="Times New Roman"/>
          <w:b/>
          <w:sz w:val="24"/>
          <w:szCs w:val="24"/>
          <w:lang w:val="ro-MD"/>
        </w:rPr>
      </w:pPr>
      <w:r w:rsidRPr="00DD5F1D">
        <w:rPr>
          <w:rFonts w:ascii="Times New Roman" w:hAnsi="Times New Roman" w:cs="Times New Roman"/>
          <w:b/>
          <w:sz w:val="24"/>
          <w:szCs w:val="24"/>
          <w:lang w:val="ro-MD"/>
        </w:rPr>
        <w:t>BUNA GUVERNANȚĂ</w:t>
      </w:r>
    </w:p>
    <w:p w14:paraId="0239D6D4" w14:textId="77777777" w:rsidR="00F91773" w:rsidRPr="00DD5F1D" w:rsidRDefault="00F91773" w:rsidP="00A2497C">
      <w:pPr>
        <w:pStyle w:val="2"/>
        <w:numPr>
          <w:ilvl w:val="1"/>
          <w:numId w:val="2"/>
        </w:numPr>
        <w:spacing w:before="0" w:line="276" w:lineRule="auto"/>
        <w:ind w:left="0" w:firstLine="0"/>
        <w:jc w:val="both"/>
        <w:rPr>
          <w:rFonts w:ascii="Times New Roman" w:hAnsi="Times New Roman" w:cs="Times New Roman"/>
          <w:b/>
          <w:color w:val="auto"/>
          <w:sz w:val="24"/>
          <w:szCs w:val="24"/>
          <w:lang w:val="ro-MD"/>
        </w:rPr>
      </w:pPr>
      <w:r w:rsidRPr="00DD5F1D">
        <w:rPr>
          <w:rFonts w:ascii="Times New Roman" w:hAnsi="Times New Roman" w:cs="Times New Roman"/>
          <w:b/>
          <w:color w:val="auto"/>
          <w:sz w:val="24"/>
          <w:szCs w:val="24"/>
          <w:lang w:val="ro-MD"/>
        </w:rPr>
        <w:t>Sistemul de control intern managerial din cadrul Casei Naționale este documentat, cu activități și reglementări interne dezvoltate, iar unele procese urmează a fi perfecționate, reieșind din aspectele descrise în prezentul Raport de audit.</w:t>
      </w:r>
    </w:p>
    <w:p w14:paraId="324A3CC2" w14:textId="6838E18A" w:rsidR="00542390" w:rsidRPr="00DD5F1D" w:rsidRDefault="00F91773" w:rsidP="00542390">
      <w:pPr>
        <w:spacing w:line="276" w:lineRule="auto"/>
        <w:jc w:val="both"/>
        <w:rPr>
          <w:rFonts w:ascii="Times New Roman" w:hAnsi="Times New Roman" w:cs="Times New Roman"/>
          <w:sz w:val="24"/>
          <w:szCs w:val="24"/>
          <w:lang w:val="ro-MD"/>
        </w:rPr>
      </w:pPr>
      <w:r w:rsidRPr="00DD5F1D">
        <w:rPr>
          <w:rFonts w:ascii="Times New Roman" w:eastAsia="Times New Roman" w:hAnsi="Times New Roman" w:cs="Times New Roman"/>
          <w:sz w:val="24"/>
          <w:szCs w:val="24"/>
          <w:lang w:val="ro-MD"/>
        </w:rPr>
        <w:t>Evaluarea sistemului de control intern managerial relevă că CNAS a instituit sistemul de control intern manageria</w:t>
      </w:r>
      <w:r w:rsidR="0065740A" w:rsidRPr="00DD5F1D">
        <w:rPr>
          <w:rFonts w:ascii="Times New Roman" w:eastAsia="Times New Roman" w:hAnsi="Times New Roman" w:cs="Times New Roman"/>
          <w:sz w:val="24"/>
          <w:szCs w:val="24"/>
          <w:lang w:val="ro-MD"/>
        </w:rPr>
        <w:t>l în corespundere cu cerințele legale</w:t>
      </w:r>
      <w:r w:rsidR="0065740A" w:rsidRPr="00DD5F1D">
        <w:rPr>
          <w:rStyle w:val="a5"/>
          <w:rFonts w:ascii="Times New Roman" w:eastAsia="Times New Roman" w:hAnsi="Times New Roman" w:cs="Times New Roman"/>
          <w:sz w:val="24"/>
          <w:szCs w:val="24"/>
          <w:lang w:val="ro-MD"/>
        </w:rPr>
        <w:footnoteReference w:id="57"/>
      </w:r>
      <w:r w:rsidRPr="00DD5F1D">
        <w:rPr>
          <w:rFonts w:ascii="Times New Roman" w:eastAsia="Times New Roman" w:hAnsi="Times New Roman" w:cs="Times New Roman"/>
          <w:sz w:val="24"/>
          <w:szCs w:val="24"/>
          <w:lang w:val="ro-MD"/>
        </w:rPr>
        <w:t>, iar conform Declarației de răspundere managerială, organizarea şi funcționarea acestuia permite furnizarea unei asigurări rezonabile precum că mijloacele publice alocate în scopul atingerii obiectivelor strategice şi operaționale au fost utilizate în condiții de transparență, economicitate, eficiență, eficacitate, legalitate, etică şi integritate.</w:t>
      </w:r>
      <w:r w:rsidR="0065740A" w:rsidRPr="00DD5F1D">
        <w:rPr>
          <w:rFonts w:ascii="Times New Roman" w:eastAsia="Times New Roman" w:hAnsi="Times New Roman" w:cs="Times New Roman"/>
          <w:sz w:val="24"/>
          <w:szCs w:val="24"/>
          <w:lang w:val="ro-MD"/>
        </w:rPr>
        <w:t xml:space="preserve"> CNAS</w:t>
      </w:r>
      <w:r w:rsidR="00B8004A" w:rsidRPr="00DD5F1D">
        <w:rPr>
          <w:rFonts w:ascii="Times New Roman" w:eastAsia="Times New Roman" w:hAnsi="Times New Roman" w:cs="Times New Roman"/>
          <w:sz w:val="24"/>
          <w:szCs w:val="24"/>
          <w:lang w:val="ro-MD"/>
        </w:rPr>
        <w:t xml:space="preserve"> deține o structură bine organizată și dezvoltată, </w:t>
      </w:r>
      <w:r w:rsidR="00D41606" w:rsidRPr="00DD5F1D">
        <w:rPr>
          <w:rFonts w:ascii="Times New Roman" w:eastAsia="Times New Roman" w:hAnsi="Times New Roman" w:cs="Times New Roman"/>
          <w:sz w:val="24"/>
          <w:szCs w:val="24"/>
          <w:lang w:val="ro-MD"/>
        </w:rPr>
        <w:t xml:space="preserve">cu descrierea proceselor operaționale și identificarea riscurilor, iar </w:t>
      </w:r>
      <w:r w:rsidR="00D41606" w:rsidRPr="00DD5F1D">
        <w:rPr>
          <w:rFonts w:ascii="Times New Roman" w:hAnsi="Times New Roman" w:cs="Times New Roman"/>
          <w:sz w:val="24"/>
          <w:szCs w:val="24"/>
          <w:lang w:val="ro-MD"/>
        </w:rPr>
        <w:t>conducerea CNAS și conducătorii subdiviziunilor structurale sunt responsabili de funcționalitatea acestuia</w:t>
      </w:r>
      <w:r w:rsidR="00B8004A" w:rsidRPr="00DD5F1D">
        <w:rPr>
          <w:rFonts w:ascii="Times New Roman" w:eastAsia="Times New Roman" w:hAnsi="Times New Roman" w:cs="Times New Roman"/>
          <w:sz w:val="24"/>
          <w:szCs w:val="24"/>
          <w:lang w:val="ro-MD"/>
        </w:rPr>
        <w:t xml:space="preserve">. </w:t>
      </w:r>
      <w:r w:rsidR="00F63C56" w:rsidRPr="00DD5F1D">
        <w:rPr>
          <w:rFonts w:ascii="Times New Roman" w:hAnsi="Times New Roman" w:cs="Times New Roman"/>
          <w:sz w:val="24"/>
          <w:szCs w:val="24"/>
          <w:lang w:val="ro-MD"/>
        </w:rPr>
        <w:t xml:space="preserve">Casa Națională are stabilite obiectivele strategice și cele operaționale cu indicatori de performanță. </w:t>
      </w:r>
      <w:r w:rsidR="00B8004A" w:rsidRPr="007D32B0">
        <w:rPr>
          <w:rFonts w:ascii="Times New Roman" w:eastAsia="Times New Roman" w:hAnsi="Times New Roman" w:cs="Times New Roman"/>
          <w:sz w:val="24"/>
          <w:szCs w:val="24"/>
          <w:lang w:val="ro-MD"/>
        </w:rPr>
        <w:t>Descrierea proceselor de bază se actualizează anual,</w:t>
      </w:r>
      <w:r w:rsidR="00B8004A" w:rsidRPr="00B7777D">
        <w:rPr>
          <w:rFonts w:ascii="Times New Roman" w:eastAsia="Times New Roman" w:hAnsi="Times New Roman" w:cs="Times New Roman"/>
          <w:sz w:val="24"/>
          <w:szCs w:val="24"/>
          <w:lang w:val="ro-MD"/>
        </w:rPr>
        <w:t xml:space="preserve"> efectuându</w:t>
      </w:r>
      <w:r w:rsidR="00B8004A" w:rsidRPr="00DD5F1D">
        <w:rPr>
          <w:rFonts w:ascii="Times New Roman" w:eastAsia="Times New Roman" w:hAnsi="Times New Roman" w:cs="Times New Roman"/>
          <w:sz w:val="24"/>
          <w:szCs w:val="24"/>
          <w:lang w:val="ro-MD"/>
        </w:rPr>
        <w:t xml:space="preserve">-se și autoevaluarea CIM la nivel de direcții și per entitate. </w:t>
      </w:r>
      <w:r w:rsidR="00F63C56">
        <w:rPr>
          <w:rFonts w:ascii="Times New Roman" w:hAnsi="Times New Roman" w:cs="Times New Roman"/>
          <w:sz w:val="24"/>
          <w:szCs w:val="24"/>
          <w:lang w:val="ro-MD"/>
        </w:rPr>
        <w:t>I</w:t>
      </w:r>
      <w:r w:rsidR="00B8004A" w:rsidRPr="00DD5F1D">
        <w:rPr>
          <w:rFonts w:ascii="Times New Roman" w:hAnsi="Times New Roman" w:cs="Times New Roman"/>
          <w:sz w:val="24"/>
          <w:szCs w:val="24"/>
          <w:lang w:val="ro-MD"/>
        </w:rPr>
        <w:t>nstituția are descrise și cartografiate 7</w:t>
      </w:r>
      <w:r w:rsidR="00EF2A41" w:rsidRPr="00DD5F1D">
        <w:rPr>
          <w:rFonts w:ascii="Times New Roman" w:hAnsi="Times New Roman" w:cs="Times New Roman"/>
          <w:sz w:val="24"/>
          <w:szCs w:val="24"/>
          <w:lang w:val="ro-MD"/>
        </w:rPr>
        <w:t xml:space="preserve">6 </w:t>
      </w:r>
      <w:r w:rsidR="00B8004A" w:rsidRPr="00DD5F1D">
        <w:rPr>
          <w:rFonts w:ascii="Times New Roman" w:hAnsi="Times New Roman" w:cs="Times New Roman"/>
          <w:sz w:val="24"/>
          <w:szCs w:val="24"/>
          <w:lang w:val="ro-MD"/>
        </w:rPr>
        <w:t xml:space="preserve">de procese operaționale de bază cu stabilirea acțiunilor de control, care au fost modificate și ajustate odată cu schimbarea cadrului legal </w:t>
      </w:r>
      <w:r w:rsidR="00D41606" w:rsidRPr="00DD5F1D">
        <w:rPr>
          <w:rFonts w:ascii="Times New Roman" w:hAnsi="Times New Roman" w:cs="Times New Roman"/>
          <w:sz w:val="24"/>
          <w:szCs w:val="24"/>
          <w:lang w:val="ro-MD"/>
        </w:rPr>
        <w:t>c</w:t>
      </w:r>
      <w:r w:rsidR="00B52AE1" w:rsidRPr="00DD5F1D">
        <w:rPr>
          <w:rFonts w:ascii="Times New Roman" w:hAnsi="Times New Roman" w:cs="Times New Roman"/>
          <w:sz w:val="24"/>
          <w:szCs w:val="24"/>
          <w:lang w:val="ro-MD"/>
        </w:rPr>
        <w:t xml:space="preserve">e vizează acțiunile respective. </w:t>
      </w:r>
      <w:r w:rsidR="00D41606" w:rsidRPr="00DD5F1D">
        <w:rPr>
          <w:rFonts w:ascii="Times New Roman" w:hAnsi="Times New Roman" w:cs="Times New Roman"/>
          <w:sz w:val="24"/>
          <w:szCs w:val="24"/>
          <w:lang w:val="ro-MD"/>
        </w:rPr>
        <w:t xml:space="preserve">Totodată, </w:t>
      </w:r>
      <w:r w:rsidR="00ED0D98" w:rsidRPr="00DD5F1D">
        <w:rPr>
          <w:rFonts w:ascii="Times New Roman" w:hAnsi="Times New Roman" w:cs="Times New Roman"/>
          <w:sz w:val="24"/>
          <w:szCs w:val="24"/>
          <w:lang w:val="ro-MD"/>
        </w:rPr>
        <w:t>punctele slabe identificate și</w:t>
      </w:r>
      <w:r w:rsidR="00D41606" w:rsidRPr="00DD5F1D">
        <w:rPr>
          <w:rFonts w:ascii="Times New Roman" w:hAnsi="Times New Roman" w:cs="Times New Roman"/>
          <w:sz w:val="24"/>
          <w:szCs w:val="24"/>
          <w:lang w:val="ro-MD"/>
        </w:rPr>
        <w:t xml:space="preserve"> descrise în</w:t>
      </w:r>
      <w:r w:rsidR="00ED0D98" w:rsidRPr="00DD5F1D">
        <w:rPr>
          <w:rFonts w:ascii="Times New Roman" w:hAnsi="Times New Roman" w:cs="Times New Roman"/>
          <w:sz w:val="24"/>
          <w:szCs w:val="24"/>
          <w:lang w:val="ro-MD"/>
        </w:rPr>
        <w:t xml:space="preserve"> prezentul</w:t>
      </w:r>
      <w:r w:rsidR="00D41606" w:rsidRPr="00DD5F1D">
        <w:rPr>
          <w:rFonts w:ascii="Times New Roman" w:hAnsi="Times New Roman" w:cs="Times New Roman"/>
          <w:sz w:val="24"/>
          <w:szCs w:val="24"/>
          <w:lang w:val="ro-MD"/>
        </w:rPr>
        <w:t xml:space="preserve"> </w:t>
      </w:r>
      <w:r w:rsidR="006F74BF" w:rsidRPr="00DD5F1D">
        <w:rPr>
          <w:rFonts w:ascii="Times New Roman" w:hAnsi="Times New Roman" w:cs="Times New Roman"/>
          <w:sz w:val="24"/>
          <w:szCs w:val="24"/>
          <w:lang w:val="ro-MD"/>
        </w:rPr>
        <w:t>R</w:t>
      </w:r>
      <w:r w:rsidR="00D41606" w:rsidRPr="00DD5F1D">
        <w:rPr>
          <w:rFonts w:ascii="Times New Roman" w:hAnsi="Times New Roman" w:cs="Times New Roman"/>
          <w:sz w:val="24"/>
          <w:szCs w:val="24"/>
          <w:lang w:val="ro-MD"/>
        </w:rPr>
        <w:t>aport</w:t>
      </w:r>
      <w:r w:rsidR="00ED0D98" w:rsidRPr="00DD5F1D">
        <w:rPr>
          <w:rFonts w:ascii="Times New Roman" w:hAnsi="Times New Roman" w:cs="Times New Roman"/>
          <w:sz w:val="24"/>
          <w:szCs w:val="24"/>
          <w:lang w:val="ro-MD"/>
        </w:rPr>
        <w:t xml:space="preserve"> </w:t>
      </w:r>
      <w:r w:rsidR="00D41606" w:rsidRPr="00DD5F1D">
        <w:rPr>
          <w:rFonts w:ascii="Times New Roman" w:hAnsi="Times New Roman" w:cs="Times New Roman"/>
          <w:sz w:val="24"/>
          <w:szCs w:val="24"/>
          <w:lang w:val="ro-MD"/>
        </w:rPr>
        <w:t>relevă necesitatea perfecționării sistemului de control intern pentru anumite procese.</w:t>
      </w:r>
      <w:r w:rsidR="00DB7415" w:rsidRPr="00DD5F1D">
        <w:rPr>
          <w:rFonts w:ascii="Times New Roman" w:hAnsi="Times New Roman" w:cs="Times New Roman"/>
          <w:sz w:val="24"/>
          <w:szCs w:val="24"/>
          <w:lang w:val="ro-MD"/>
        </w:rPr>
        <w:t xml:space="preserve"> De asemenea, activitatea complexă a Casei Naționale determină lipsa cadrelor și </w:t>
      </w:r>
      <w:r w:rsidR="003E62D9" w:rsidRPr="00DD5F1D">
        <w:rPr>
          <w:rFonts w:ascii="Times New Roman" w:hAnsi="Times New Roman" w:cs="Times New Roman"/>
          <w:sz w:val="24"/>
          <w:szCs w:val="24"/>
          <w:lang w:val="ro-MD"/>
        </w:rPr>
        <w:t>o fluctuație</w:t>
      </w:r>
      <w:r w:rsidR="00DB7415" w:rsidRPr="00DD5F1D">
        <w:rPr>
          <w:rFonts w:ascii="Times New Roman" w:hAnsi="Times New Roman" w:cs="Times New Roman"/>
          <w:sz w:val="24"/>
          <w:szCs w:val="24"/>
          <w:lang w:val="ro-MD"/>
        </w:rPr>
        <w:t xml:space="preserve"> mare de angajați. </w:t>
      </w:r>
      <w:r w:rsidR="00DB7415" w:rsidRPr="007D32B0">
        <w:rPr>
          <w:rFonts w:ascii="Times New Roman" w:hAnsi="Times New Roman" w:cs="Times New Roman"/>
          <w:sz w:val="24"/>
          <w:szCs w:val="24"/>
          <w:lang w:val="ro-MD"/>
        </w:rPr>
        <w:t>Se constată că în anul 202</w:t>
      </w:r>
      <w:r w:rsidR="00F63C56" w:rsidRPr="007D32B0">
        <w:rPr>
          <w:rFonts w:ascii="Times New Roman" w:hAnsi="Times New Roman" w:cs="Times New Roman"/>
          <w:sz w:val="24"/>
          <w:szCs w:val="24"/>
          <w:lang w:val="ro-MD"/>
        </w:rPr>
        <w:t>3</w:t>
      </w:r>
      <w:r w:rsidR="00DB7415" w:rsidRPr="007D32B0">
        <w:rPr>
          <w:rFonts w:ascii="Times New Roman" w:hAnsi="Times New Roman" w:cs="Times New Roman"/>
          <w:sz w:val="24"/>
          <w:szCs w:val="24"/>
          <w:lang w:val="ro-MD"/>
        </w:rPr>
        <w:t xml:space="preserve"> </w:t>
      </w:r>
      <w:r w:rsidR="00F63C56" w:rsidRPr="007D32B0">
        <w:rPr>
          <w:rFonts w:ascii="Times New Roman" w:hAnsi="Times New Roman" w:cs="Times New Roman"/>
          <w:sz w:val="24"/>
          <w:szCs w:val="24"/>
          <w:lang w:val="ro-MD"/>
        </w:rPr>
        <w:t xml:space="preserve">CNAS avea aprobate 1145 unități de personal, din care </w:t>
      </w:r>
      <w:r w:rsidR="00FB32DE" w:rsidRPr="007D32B0">
        <w:rPr>
          <w:rFonts w:ascii="Times New Roman" w:hAnsi="Times New Roman" w:cs="Times New Roman"/>
          <w:sz w:val="24"/>
          <w:szCs w:val="24"/>
          <w:lang w:val="ro-MD"/>
        </w:rPr>
        <w:t>real</w:t>
      </w:r>
      <w:r w:rsidR="00F63C56" w:rsidRPr="007D32B0">
        <w:rPr>
          <w:rFonts w:ascii="Times New Roman" w:hAnsi="Times New Roman" w:cs="Times New Roman"/>
          <w:sz w:val="24"/>
          <w:szCs w:val="24"/>
          <w:lang w:val="ro-MD"/>
        </w:rPr>
        <w:t xml:space="preserve"> angajate</w:t>
      </w:r>
      <w:r w:rsidR="00DB7415" w:rsidRPr="007D32B0">
        <w:rPr>
          <w:rFonts w:ascii="Times New Roman" w:hAnsi="Times New Roman" w:cs="Times New Roman"/>
          <w:sz w:val="24"/>
          <w:szCs w:val="24"/>
          <w:lang w:val="ro-MD"/>
        </w:rPr>
        <w:t xml:space="preserve"> 950 </w:t>
      </w:r>
      <w:r w:rsidR="000A7067" w:rsidRPr="007D32B0">
        <w:rPr>
          <w:rFonts w:ascii="Times New Roman" w:hAnsi="Times New Roman" w:cs="Times New Roman"/>
          <w:sz w:val="24"/>
          <w:szCs w:val="24"/>
          <w:lang w:val="ro-MD"/>
        </w:rPr>
        <w:t xml:space="preserve">de </w:t>
      </w:r>
      <w:r w:rsidR="00DB7415" w:rsidRPr="007D32B0">
        <w:rPr>
          <w:rFonts w:ascii="Times New Roman" w:hAnsi="Times New Roman" w:cs="Times New Roman"/>
          <w:sz w:val="24"/>
          <w:szCs w:val="24"/>
          <w:lang w:val="ro-MD"/>
        </w:rPr>
        <w:t>persoane,</w:t>
      </w:r>
      <w:r w:rsidR="00DB7415" w:rsidRPr="00B7777D">
        <w:rPr>
          <w:rFonts w:ascii="Times New Roman" w:hAnsi="Times New Roman" w:cs="Times New Roman"/>
          <w:sz w:val="24"/>
          <w:szCs w:val="24"/>
          <w:lang w:val="ro-MD"/>
        </w:rPr>
        <w:t xml:space="preserve"> ceea ce constituie o </w:t>
      </w:r>
      <w:r w:rsidR="00DB7415" w:rsidRPr="009A6E4D">
        <w:rPr>
          <w:rFonts w:ascii="Times New Roman" w:hAnsi="Times New Roman" w:cs="Times New Roman"/>
          <w:sz w:val="24"/>
          <w:szCs w:val="24"/>
          <w:lang w:val="ro-MD"/>
        </w:rPr>
        <w:t>rată de angajare de 85,8%, iar 14</w:t>
      </w:r>
      <w:r w:rsidR="00DB7415" w:rsidRPr="00193E3C">
        <w:rPr>
          <w:rFonts w:ascii="Times New Roman" w:hAnsi="Times New Roman" w:cs="Times New Roman"/>
          <w:sz w:val="24"/>
          <w:szCs w:val="24"/>
          <w:lang w:val="ro-MD"/>
        </w:rPr>
        <w:t xml:space="preserve">,2% </w:t>
      </w:r>
      <w:r w:rsidR="00080C8E" w:rsidRPr="005152D5">
        <w:rPr>
          <w:rFonts w:ascii="Times New Roman" w:hAnsi="Times New Roman" w:cs="Times New Roman"/>
          <w:sz w:val="24"/>
          <w:szCs w:val="24"/>
          <w:lang w:val="ro-MD"/>
        </w:rPr>
        <w:t xml:space="preserve">de unități </w:t>
      </w:r>
      <w:r w:rsidR="00F63C56" w:rsidRPr="00912273">
        <w:rPr>
          <w:rFonts w:ascii="Times New Roman" w:hAnsi="Times New Roman" w:cs="Times New Roman"/>
          <w:sz w:val="24"/>
          <w:szCs w:val="24"/>
          <w:lang w:val="ro-MD"/>
        </w:rPr>
        <w:t>erau</w:t>
      </w:r>
      <w:r w:rsidR="00DB7415" w:rsidRPr="00912273">
        <w:rPr>
          <w:rFonts w:ascii="Times New Roman" w:hAnsi="Times New Roman" w:cs="Times New Roman"/>
          <w:sz w:val="24"/>
          <w:szCs w:val="24"/>
          <w:lang w:val="ro-MD"/>
        </w:rPr>
        <w:t xml:space="preserve"> vacante. </w:t>
      </w:r>
      <w:r w:rsidR="00F63C56" w:rsidRPr="00912273">
        <w:rPr>
          <w:rFonts w:ascii="Times New Roman" w:hAnsi="Times New Roman" w:cs="Times New Roman"/>
          <w:sz w:val="24"/>
          <w:szCs w:val="24"/>
          <w:lang w:val="ro-MD"/>
        </w:rPr>
        <w:t xml:space="preserve">În aprilie 2024 </w:t>
      </w:r>
      <w:r w:rsidR="00F63C56" w:rsidRPr="007D32B0">
        <w:rPr>
          <w:rFonts w:ascii="Times New Roman" w:hAnsi="Times New Roman" w:cs="Times New Roman"/>
          <w:sz w:val="24"/>
          <w:szCs w:val="24"/>
          <w:lang w:val="ro-MD"/>
        </w:rPr>
        <w:t>numărul de personal al CNAS a fost redus cu 58 de persoane (la 1088 de unități)</w:t>
      </w:r>
      <w:r w:rsidR="00912273" w:rsidRPr="007D32B0">
        <w:rPr>
          <w:rFonts w:ascii="Times New Roman" w:hAnsi="Times New Roman" w:cs="Times New Roman"/>
          <w:sz w:val="24"/>
          <w:szCs w:val="24"/>
          <w:lang w:val="ro-MD"/>
        </w:rPr>
        <w:t xml:space="preserve">, </w:t>
      </w:r>
      <w:r w:rsidR="006E693D" w:rsidRPr="005152D5">
        <w:rPr>
          <w:rFonts w:ascii="Times New Roman" w:hAnsi="Times New Roman" w:cs="Times New Roman"/>
          <w:sz w:val="24"/>
          <w:szCs w:val="24"/>
          <w:lang w:val="ro-MD"/>
        </w:rPr>
        <w:t xml:space="preserve">deși </w:t>
      </w:r>
      <w:r w:rsidR="006E693D" w:rsidRPr="00912273">
        <w:rPr>
          <w:rFonts w:ascii="Times New Roman" w:hAnsi="Times New Roman" w:cs="Times New Roman"/>
          <w:sz w:val="24"/>
          <w:szCs w:val="24"/>
          <w:lang w:val="ro-MD"/>
        </w:rPr>
        <w:t>procesele operaționale au rămas aceleași</w:t>
      </w:r>
      <w:r w:rsidR="005B7F0E" w:rsidRPr="00912273">
        <w:rPr>
          <w:rFonts w:ascii="Times New Roman" w:hAnsi="Times New Roman" w:cs="Times New Roman"/>
          <w:sz w:val="24"/>
          <w:szCs w:val="24"/>
          <w:lang w:val="ro-MD"/>
        </w:rPr>
        <w:t>.</w:t>
      </w:r>
      <w:r w:rsidR="006E693D" w:rsidRPr="00DD5F1D">
        <w:rPr>
          <w:rFonts w:ascii="Times New Roman" w:hAnsi="Times New Roman" w:cs="Times New Roman"/>
          <w:sz w:val="24"/>
          <w:szCs w:val="24"/>
          <w:lang w:val="ro-MD"/>
        </w:rPr>
        <w:t xml:space="preserve"> </w:t>
      </w:r>
    </w:p>
    <w:p w14:paraId="6509A163" w14:textId="0F25F679" w:rsidR="00B8004A" w:rsidRPr="007D32B0" w:rsidRDefault="00A2497C" w:rsidP="00600049">
      <w:pPr>
        <w:pStyle w:val="aa"/>
        <w:numPr>
          <w:ilvl w:val="1"/>
          <w:numId w:val="2"/>
        </w:numPr>
        <w:spacing w:line="276" w:lineRule="auto"/>
        <w:ind w:left="0" w:firstLine="0"/>
        <w:jc w:val="both"/>
        <w:outlineLvl w:val="1"/>
        <w:rPr>
          <w:rFonts w:ascii="Times New Roman" w:eastAsia="Calibri" w:hAnsi="Times New Roman" w:cs="Times New Roman"/>
          <w:b/>
          <w:sz w:val="24"/>
          <w:szCs w:val="24"/>
          <w:lang w:val="ro-MD"/>
        </w:rPr>
      </w:pPr>
      <w:r w:rsidRPr="007D32B0">
        <w:rPr>
          <w:rFonts w:ascii="Times New Roman" w:eastAsia="Calibri" w:hAnsi="Times New Roman" w:cs="Times New Roman"/>
          <w:b/>
          <w:sz w:val="24"/>
          <w:szCs w:val="24"/>
          <w:lang w:val="ro-MD"/>
        </w:rPr>
        <w:t>Activitatea a</w:t>
      </w:r>
      <w:r w:rsidR="00B8004A" w:rsidRPr="007D32B0">
        <w:rPr>
          <w:rFonts w:ascii="Times New Roman" w:eastAsia="Calibri" w:hAnsi="Times New Roman" w:cs="Times New Roman"/>
          <w:b/>
          <w:sz w:val="24"/>
          <w:szCs w:val="24"/>
          <w:lang w:val="ro-MD"/>
        </w:rPr>
        <w:t>uditul</w:t>
      </w:r>
      <w:r w:rsidRPr="007D32B0">
        <w:rPr>
          <w:rFonts w:ascii="Times New Roman" w:eastAsia="Calibri" w:hAnsi="Times New Roman" w:cs="Times New Roman"/>
          <w:b/>
          <w:sz w:val="24"/>
          <w:szCs w:val="24"/>
          <w:lang w:val="ro-MD"/>
        </w:rPr>
        <w:t>ui</w:t>
      </w:r>
      <w:r w:rsidR="00B8004A" w:rsidRPr="007D32B0">
        <w:rPr>
          <w:rFonts w:ascii="Times New Roman" w:eastAsia="Calibri" w:hAnsi="Times New Roman" w:cs="Times New Roman"/>
          <w:b/>
          <w:sz w:val="24"/>
          <w:szCs w:val="24"/>
          <w:lang w:val="ro-MD"/>
        </w:rPr>
        <w:t xml:space="preserve"> intern </w:t>
      </w:r>
      <w:r w:rsidR="00912273" w:rsidRPr="007D32B0">
        <w:rPr>
          <w:rFonts w:ascii="Times New Roman" w:eastAsia="Calibri" w:hAnsi="Times New Roman" w:cs="Times New Roman"/>
          <w:b/>
          <w:sz w:val="24"/>
          <w:szCs w:val="24"/>
          <w:lang w:val="ro-MD"/>
        </w:rPr>
        <w:t xml:space="preserve">deși </w:t>
      </w:r>
      <w:r w:rsidRPr="007D32B0">
        <w:rPr>
          <w:rFonts w:ascii="Times New Roman" w:eastAsia="Calibri" w:hAnsi="Times New Roman" w:cs="Times New Roman"/>
          <w:b/>
          <w:sz w:val="24"/>
          <w:szCs w:val="24"/>
          <w:lang w:val="ro-MD"/>
        </w:rPr>
        <w:t xml:space="preserve">contribuie la </w:t>
      </w:r>
      <w:r w:rsidR="00912273" w:rsidRPr="007D32B0">
        <w:rPr>
          <w:rFonts w:ascii="Times New Roman" w:eastAsia="Calibri" w:hAnsi="Times New Roman" w:cs="Times New Roman"/>
          <w:b/>
          <w:sz w:val="24"/>
          <w:szCs w:val="24"/>
          <w:lang w:val="ro-MD"/>
        </w:rPr>
        <w:t xml:space="preserve">eficientizarea </w:t>
      </w:r>
      <w:r w:rsidRPr="007D32B0">
        <w:rPr>
          <w:rFonts w:ascii="Times New Roman" w:eastAsia="Calibri" w:hAnsi="Times New Roman" w:cs="Times New Roman"/>
          <w:b/>
          <w:sz w:val="24"/>
          <w:szCs w:val="24"/>
          <w:lang w:val="ro-MD"/>
        </w:rPr>
        <w:t>activității CNAS</w:t>
      </w:r>
      <w:r w:rsidR="00912273" w:rsidRPr="007D32B0">
        <w:rPr>
          <w:rFonts w:ascii="Times New Roman" w:eastAsia="Calibri" w:hAnsi="Times New Roman" w:cs="Times New Roman"/>
          <w:b/>
          <w:sz w:val="24"/>
          <w:szCs w:val="24"/>
          <w:lang w:val="ro-MD"/>
        </w:rPr>
        <w:t>,</w:t>
      </w:r>
      <w:r w:rsidRPr="007D32B0">
        <w:rPr>
          <w:rFonts w:ascii="Times New Roman" w:eastAsia="Calibri" w:hAnsi="Times New Roman" w:cs="Times New Roman"/>
          <w:b/>
          <w:sz w:val="24"/>
          <w:szCs w:val="24"/>
          <w:lang w:val="ro-MD"/>
        </w:rPr>
        <w:t xml:space="preserve"> prin </w:t>
      </w:r>
      <w:r w:rsidR="00B8004A" w:rsidRPr="007D32B0">
        <w:rPr>
          <w:rFonts w:ascii="Times New Roman" w:eastAsia="Calibri" w:hAnsi="Times New Roman" w:cs="Times New Roman"/>
          <w:b/>
          <w:sz w:val="24"/>
          <w:szCs w:val="24"/>
          <w:lang w:val="ro-MD"/>
        </w:rPr>
        <w:t>realiz</w:t>
      </w:r>
      <w:r w:rsidRPr="007D32B0">
        <w:rPr>
          <w:rFonts w:ascii="Times New Roman" w:eastAsia="Calibri" w:hAnsi="Times New Roman" w:cs="Times New Roman"/>
          <w:b/>
          <w:sz w:val="24"/>
          <w:szCs w:val="24"/>
          <w:lang w:val="ro-MD"/>
        </w:rPr>
        <w:t>area</w:t>
      </w:r>
      <w:r w:rsidR="00B8004A" w:rsidRPr="007D32B0">
        <w:rPr>
          <w:rFonts w:ascii="Times New Roman" w:eastAsia="Calibri" w:hAnsi="Times New Roman" w:cs="Times New Roman"/>
          <w:b/>
          <w:sz w:val="24"/>
          <w:szCs w:val="24"/>
          <w:lang w:val="ro-MD"/>
        </w:rPr>
        <w:t xml:space="preserve"> misiuni</w:t>
      </w:r>
      <w:r w:rsidRPr="007D32B0">
        <w:rPr>
          <w:rFonts w:ascii="Times New Roman" w:eastAsia="Calibri" w:hAnsi="Times New Roman" w:cs="Times New Roman"/>
          <w:b/>
          <w:sz w:val="24"/>
          <w:szCs w:val="24"/>
          <w:lang w:val="ro-MD"/>
        </w:rPr>
        <w:t xml:space="preserve">lor menite </w:t>
      </w:r>
      <w:r w:rsidR="00B8004A" w:rsidRPr="007D32B0">
        <w:rPr>
          <w:rFonts w:ascii="Times New Roman" w:eastAsia="Calibri" w:hAnsi="Times New Roman" w:cs="Times New Roman"/>
          <w:b/>
          <w:sz w:val="24"/>
          <w:szCs w:val="24"/>
          <w:lang w:val="ro-MD"/>
        </w:rPr>
        <w:t xml:space="preserve">să </w:t>
      </w:r>
      <w:r w:rsidR="00912273" w:rsidRPr="007D32B0">
        <w:rPr>
          <w:rFonts w:ascii="Times New Roman" w:eastAsia="Calibri" w:hAnsi="Times New Roman" w:cs="Times New Roman"/>
          <w:b/>
          <w:sz w:val="24"/>
          <w:szCs w:val="24"/>
          <w:lang w:val="ro-MD"/>
        </w:rPr>
        <w:t xml:space="preserve">evalueze </w:t>
      </w:r>
      <w:r w:rsidR="00B8004A" w:rsidRPr="007D32B0">
        <w:rPr>
          <w:rFonts w:ascii="Times New Roman" w:hAnsi="Times New Roman" w:cs="Times New Roman"/>
          <w:b/>
          <w:sz w:val="24"/>
          <w:szCs w:val="24"/>
          <w:lang w:val="ro-MD"/>
        </w:rPr>
        <w:t>procesele desfășurate</w:t>
      </w:r>
      <w:r w:rsidR="00912273" w:rsidRPr="007D32B0">
        <w:rPr>
          <w:rFonts w:ascii="Times New Roman" w:hAnsi="Times New Roman" w:cs="Times New Roman"/>
          <w:b/>
          <w:sz w:val="24"/>
          <w:szCs w:val="24"/>
          <w:lang w:val="ro-MD"/>
        </w:rPr>
        <w:t>, aceasta urmează a fi îmbunătățită</w:t>
      </w:r>
      <w:r w:rsidR="00B8004A" w:rsidRPr="007D32B0">
        <w:rPr>
          <w:rFonts w:ascii="Times New Roman" w:hAnsi="Times New Roman" w:cs="Times New Roman"/>
          <w:b/>
          <w:sz w:val="24"/>
          <w:szCs w:val="24"/>
          <w:lang w:val="ro-MD"/>
        </w:rPr>
        <w:t>.</w:t>
      </w:r>
      <w:r w:rsidR="00B8004A" w:rsidRPr="007D32B0">
        <w:rPr>
          <w:rFonts w:ascii="Times New Roman" w:eastAsia="Calibri" w:hAnsi="Times New Roman" w:cs="Times New Roman"/>
          <w:b/>
          <w:sz w:val="24"/>
          <w:szCs w:val="24"/>
          <w:lang w:val="ro-MD"/>
        </w:rPr>
        <w:t xml:space="preserve"> </w:t>
      </w:r>
    </w:p>
    <w:p w14:paraId="3D8134AC" w14:textId="57CE9F54" w:rsidR="00542390" w:rsidRPr="00DD5F1D" w:rsidRDefault="0056497B" w:rsidP="00542390">
      <w:pPr>
        <w:spacing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În cadrul Casei Naționale </w:t>
      </w:r>
      <w:r w:rsidR="0033739D" w:rsidRPr="00DD5F1D">
        <w:rPr>
          <w:rFonts w:ascii="Times New Roman" w:eastAsia="Calibri" w:hAnsi="Times New Roman" w:cs="Times New Roman"/>
          <w:sz w:val="24"/>
          <w:szCs w:val="24"/>
          <w:lang w:val="ro-MD"/>
        </w:rPr>
        <w:t xml:space="preserve">este </w:t>
      </w:r>
      <w:r w:rsidR="005B7F0E" w:rsidRPr="00DD5F1D">
        <w:rPr>
          <w:rFonts w:ascii="Times New Roman" w:eastAsia="Calibri" w:hAnsi="Times New Roman" w:cs="Times New Roman"/>
          <w:sz w:val="24"/>
          <w:szCs w:val="24"/>
          <w:lang w:val="ro-MD"/>
        </w:rPr>
        <w:t>instituită</w:t>
      </w:r>
      <w:r w:rsidRPr="00DD5F1D">
        <w:rPr>
          <w:rFonts w:ascii="Times New Roman" w:eastAsia="Calibri" w:hAnsi="Times New Roman" w:cs="Times New Roman"/>
          <w:sz w:val="24"/>
          <w:szCs w:val="24"/>
          <w:lang w:val="ro-MD"/>
        </w:rPr>
        <w:t xml:space="preserve"> Direcția generală de audit intern, </w:t>
      </w:r>
      <w:r w:rsidR="000A7067" w:rsidRPr="00DD5F1D">
        <w:rPr>
          <w:rFonts w:ascii="Times New Roman" w:eastAsia="Calibri" w:hAnsi="Times New Roman" w:cs="Times New Roman"/>
          <w:sz w:val="24"/>
          <w:szCs w:val="24"/>
          <w:lang w:val="ro-MD"/>
        </w:rPr>
        <w:t xml:space="preserve">a cărei </w:t>
      </w:r>
      <w:r w:rsidRPr="00DD5F1D">
        <w:rPr>
          <w:rFonts w:ascii="Times New Roman" w:eastAsia="Calibri" w:hAnsi="Times New Roman" w:cs="Times New Roman"/>
          <w:sz w:val="24"/>
          <w:szCs w:val="24"/>
          <w:lang w:val="ro-MD"/>
        </w:rPr>
        <w:t>misiune constă în acordarea consultanței și furnizarea asigurării obiective privind eficacitatea sistemului de control intern managerial</w:t>
      </w:r>
      <w:r w:rsidR="000A7067"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oferind recomandări pentru perfecționarea acestuia și contribuind la îmbunătățirea activității CNAS. </w:t>
      </w:r>
      <w:r w:rsidR="009004CA" w:rsidRPr="00DD5F1D">
        <w:rPr>
          <w:rFonts w:ascii="Times New Roman" w:eastAsia="Calibri" w:hAnsi="Times New Roman" w:cs="Times New Roman"/>
          <w:sz w:val="24"/>
          <w:szCs w:val="24"/>
          <w:lang w:val="ro-MD"/>
        </w:rPr>
        <w:t>La 1 ianuarie 2024 existau 9 auditori</w:t>
      </w:r>
      <w:r w:rsidR="00A96002" w:rsidRPr="00DD5F1D">
        <w:rPr>
          <w:rFonts w:ascii="Times New Roman" w:eastAsia="Calibri" w:hAnsi="Times New Roman" w:cs="Times New Roman"/>
          <w:sz w:val="24"/>
          <w:szCs w:val="24"/>
          <w:lang w:val="ro-MD"/>
        </w:rPr>
        <w:t xml:space="preserve"> sau 50%</w:t>
      </w:r>
      <w:r w:rsidR="009004CA" w:rsidRPr="00DD5F1D">
        <w:rPr>
          <w:rFonts w:ascii="Times New Roman" w:eastAsia="Calibri" w:hAnsi="Times New Roman" w:cs="Times New Roman"/>
          <w:sz w:val="24"/>
          <w:szCs w:val="24"/>
          <w:lang w:val="ro-MD"/>
        </w:rPr>
        <w:t xml:space="preserve"> din totalul de 18 </w:t>
      </w:r>
      <w:r w:rsidR="00576AD4" w:rsidRPr="00DD5F1D">
        <w:rPr>
          <w:rFonts w:ascii="Times New Roman" w:eastAsia="Calibri" w:hAnsi="Times New Roman" w:cs="Times New Roman"/>
          <w:sz w:val="24"/>
          <w:szCs w:val="24"/>
          <w:lang w:val="ro-MD"/>
        </w:rPr>
        <w:t>unități aprobate</w:t>
      </w:r>
      <w:r w:rsidR="009004CA" w:rsidRPr="00DD5F1D">
        <w:rPr>
          <w:rFonts w:ascii="Times New Roman" w:eastAsia="Calibri" w:hAnsi="Times New Roman" w:cs="Times New Roman"/>
          <w:sz w:val="24"/>
          <w:szCs w:val="24"/>
          <w:lang w:val="ro-MD"/>
        </w:rPr>
        <w:t xml:space="preserve">. </w:t>
      </w:r>
      <w:r w:rsidR="00542390" w:rsidRPr="00DD5F1D">
        <w:rPr>
          <w:rFonts w:ascii="Times New Roman" w:eastAsia="Calibri" w:hAnsi="Times New Roman" w:cs="Times New Roman"/>
          <w:sz w:val="24"/>
          <w:szCs w:val="24"/>
          <w:lang w:val="ro-MD"/>
        </w:rPr>
        <w:t>Totodată,</w:t>
      </w:r>
      <w:r w:rsidR="00542390" w:rsidRPr="00DD5F1D">
        <w:rPr>
          <w:rFonts w:ascii="Times New Roman" w:hAnsi="Times New Roman" w:cs="Times New Roman"/>
          <w:sz w:val="24"/>
          <w:szCs w:val="24"/>
          <w:lang w:val="ro-MD"/>
        </w:rPr>
        <w:t xml:space="preserve"> în contextul aprobării criteriilor de dimensionare a subdiviziunilor de audit intern din cadrul ministerelor și al autorităților administrative din subordinea acestora</w:t>
      </w:r>
      <w:r w:rsidR="007C10E0" w:rsidRPr="00DD5F1D">
        <w:rPr>
          <w:rStyle w:val="a5"/>
          <w:rFonts w:ascii="Times New Roman" w:hAnsi="Times New Roman" w:cs="Times New Roman"/>
          <w:sz w:val="24"/>
          <w:szCs w:val="24"/>
          <w:lang w:val="ro-MD"/>
        </w:rPr>
        <w:footnoteReference w:id="58"/>
      </w:r>
      <w:r w:rsidR="00542390" w:rsidRPr="00DD5F1D">
        <w:rPr>
          <w:rFonts w:ascii="Times New Roman" w:hAnsi="Times New Roman" w:cs="Times New Roman"/>
          <w:sz w:val="24"/>
          <w:szCs w:val="24"/>
          <w:lang w:val="ro-MD"/>
        </w:rPr>
        <w:t>, se denotă că CNAS</w:t>
      </w:r>
      <w:r w:rsidR="00542390" w:rsidRPr="00DD5F1D">
        <w:rPr>
          <w:lang w:val="ro-MD"/>
        </w:rPr>
        <w:t xml:space="preserve"> </w:t>
      </w:r>
      <w:r w:rsidR="00542390" w:rsidRPr="00DD5F1D">
        <w:rPr>
          <w:rFonts w:ascii="Times New Roman" w:eastAsia="Calibri" w:hAnsi="Times New Roman" w:cs="Times New Roman"/>
          <w:sz w:val="24"/>
          <w:szCs w:val="24"/>
          <w:lang w:val="ro-MD"/>
        </w:rPr>
        <w:t>este autoritate</w:t>
      </w:r>
      <w:r w:rsidR="000A7067" w:rsidRPr="00DD5F1D">
        <w:rPr>
          <w:rFonts w:ascii="Times New Roman" w:eastAsia="Calibri" w:hAnsi="Times New Roman" w:cs="Times New Roman"/>
          <w:sz w:val="24"/>
          <w:szCs w:val="24"/>
          <w:lang w:val="ro-MD"/>
        </w:rPr>
        <w:t>a</w:t>
      </w:r>
      <w:r w:rsidR="00542390" w:rsidRPr="00DD5F1D">
        <w:rPr>
          <w:rFonts w:ascii="Times New Roman" w:eastAsia="Calibri" w:hAnsi="Times New Roman" w:cs="Times New Roman"/>
          <w:sz w:val="24"/>
          <w:szCs w:val="24"/>
          <w:lang w:val="ro-MD"/>
        </w:rPr>
        <w:t xml:space="preserve"> care realizează multiple procese complexe de evidenț</w:t>
      </w:r>
      <w:r w:rsidR="000A7067" w:rsidRPr="00DD5F1D">
        <w:rPr>
          <w:rFonts w:ascii="Times New Roman" w:eastAsia="Calibri" w:hAnsi="Times New Roman" w:cs="Times New Roman"/>
          <w:sz w:val="24"/>
          <w:szCs w:val="24"/>
          <w:lang w:val="ro-MD"/>
        </w:rPr>
        <w:t xml:space="preserve">ă </w:t>
      </w:r>
      <w:r w:rsidR="00542390" w:rsidRPr="00DD5F1D">
        <w:rPr>
          <w:rFonts w:ascii="Times New Roman" w:eastAsia="Calibri" w:hAnsi="Times New Roman" w:cs="Times New Roman"/>
          <w:sz w:val="24"/>
          <w:szCs w:val="24"/>
          <w:lang w:val="ro-MD"/>
        </w:rPr>
        <w:t xml:space="preserve">a persoanelor asigurate, </w:t>
      </w:r>
      <w:r w:rsidR="000A7067" w:rsidRPr="00DD5F1D">
        <w:rPr>
          <w:rFonts w:ascii="Times New Roman" w:eastAsia="Calibri" w:hAnsi="Times New Roman" w:cs="Times New Roman"/>
          <w:sz w:val="24"/>
          <w:szCs w:val="24"/>
          <w:lang w:val="ro-MD"/>
        </w:rPr>
        <w:t xml:space="preserve">de </w:t>
      </w:r>
      <w:r w:rsidR="00542390" w:rsidRPr="00DD5F1D">
        <w:rPr>
          <w:rFonts w:ascii="Times New Roman" w:eastAsia="Calibri" w:hAnsi="Times New Roman" w:cs="Times New Roman"/>
          <w:sz w:val="24"/>
          <w:szCs w:val="24"/>
          <w:lang w:val="ro-MD"/>
        </w:rPr>
        <w:t xml:space="preserve">stabilire, recalculare a prestațiilor, </w:t>
      </w:r>
      <w:r w:rsidR="000A7067" w:rsidRPr="00DD5F1D">
        <w:rPr>
          <w:rFonts w:ascii="Times New Roman" w:eastAsia="Calibri" w:hAnsi="Times New Roman" w:cs="Times New Roman"/>
          <w:sz w:val="24"/>
          <w:szCs w:val="24"/>
          <w:lang w:val="ro-MD"/>
        </w:rPr>
        <w:t xml:space="preserve">de </w:t>
      </w:r>
      <w:r w:rsidR="00542390" w:rsidRPr="00DD5F1D">
        <w:rPr>
          <w:rFonts w:ascii="Times New Roman" w:eastAsia="Calibri" w:hAnsi="Times New Roman" w:cs="Times New Roman"/>
          <w:sz w:val="24"/>
          <w:szCs w:val="24"/>
          <w:lang w:val="ro-MD"/>
        </w:rPr>
        <w:t>achitare a acestora etc., și prin prisma asigurării respectării prevederilor normative</w:t>
      </w:r>
      <w:r w:rsidR="00542390" w:rsidRPr="00DD5F1D">
        <w:rPr>
          <w:rStyle w:val="a5"/>
          <w:rFonts w:ascii="Times New Roman" w:eastAsia="Calibri" w:hAnsi="Times New Roman" w:cs="Times New Roman"/>
          <w:sz w:val="24"/>
          <w:szCs w:val="24"/>
          <w:lang w:val="ro-MD"/>
        </w:rPr>
        <w:footnoteReference w:id="59"/>
      </w:r>
      <w:r w:rsidR="00542390" w:rsidRPr="00DD5F1D">
        <w:rPr>
          <w:rFonts w:ascii="Times New Roman" w:eastAsia="Calibri" w:hAnsi="Times New Roman" w:cs="Times New Roman"/>
          <w:sz w:val="24"/>
          <w:szCs w:val="24"/>
          <w:lang w:val="ro-MD"/>
        </w:rPr>
        <w:t xml:space="preserve">, se menționează că subdiviziunea de audit intern urmează a fi dimensionată în baza volumului de activitate, astfel încât să asigure auditarea sistematică a </w:t>
      </w:r>
      <w:r w:rsidR="00FB32DE" w:rsidRPr="00DD5F1D">
        <w:rPr>
          <w:rFonts w:ascii="Times New Roman" w:eastAsia="Calibri" w:hAnsi="Times New Roman" w:cs="Times New Roman"/>
          <w:sz w:val="24"/>
          <w:szCs w:val="24"/>
          <w:lang w:val="ro-MD"/>
        </w:rPr>
        <w:t>proceselor</w:t>
      </w:r>
      <w:r w:rsidR="00542390" w:rsidRPr="00DD5F1D">
        <w:rPr>
          <w:rFonts w:ascii="Times New Roman" w:eastAsia="Calibri" w:hAnsi="Times New Roman" w:cs="Times New Roman"/>
          <w:sz w:val="24"/>
          <w:szCs w:val="24"/>
          <w:lang w:val="ro-MD"/>
        </w:rPr>
        <w:t xml:space="preserve"> entității publice.</w:t>
      </w:r>
    </w:p>
    <w:p w14:paraId="20CE7EEE" w14:textId="77B291FD" w:rsidR="00A2497C" w:rsidRPr="00DD5F1D" w:rsidRDefault="00D41606" w:rsidP="0019542C">
      <w:pPr>
        <w:spacing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Pe parcursul anului 202</w:t>
      </w:r>
      <w:r w:rsidR="0056497B" w:rsidRPr="00DD5F1D">
        <w:rPr>
          <w:rFonts w:ascii="Times New Roman" w:eastAsia="Calibri" w:hAnsi="Times New Roman" w:cs="Times New Roman"/>
          <w:sz w:val="24"/>
          <w:szCs w:val="24"/>
          <w:lang w:val="ro-MD"/>
        </w:rPr>
        <w:t>3</w:t>
      </w:r>
      <w:r w:rsidRPr="00DD5F1D">
        <w:rPr>
          <w:rFonts w:ascii="Times New Roman" w:eastAsia="Calibri" w:hAnsi="Times New Roman" w:cs="Times New Roman"/>
          <w:sz w:val="24"/>
          <w:szCs w:val="24"/>
          <w:lang w:val="ro-MD"/>
        </w:rPr>
        <w:t xml:space="preserve"> auditul intern a avut rolul de suport </w:t>
      </w:r>
      <w:r w:rsidR="00823594" w:rsidRPr="00DD5F1D">
        <w:rPr>
          <w:rFonts w:ascii="Times New Roman" w:eastAsia="Calibri" w:hAnsi="Times New Roman" w:cs="Times New Roman"/>
          <w:sz w:val="24"/>
          <w:szCs w:val="24"/>
          <w:lang w:val="ro-MD"/>
        </w:rPr>
        <w:t>pe</w:t>
      </w:r>
      <w:r w:rsidRPr="00DD5F1D">
        <w:rPr>
          <w:rFonts w:ascii="Times New Roman" w:eastAsia="Calibri" w:hAnsi="Times New Roman" w:cs="Times New Roman"/>
          <w:sz w:val="24"/>
          <w:szCs w:val="24"/>
          <w:lang w:val="ro-MD"/>
        </w:rPr>
        <w:t xml:space="preserve">ntru asigurarea îmbunătățirii activității și atingerea obiectivelor propuse. </w:t>
      </w:r>
      <w:r w:rsidRPr="00DD5F1D">
        <w:rPr>
          <w:rFonts w:ascii="Times New Roman" w:hAnsi="Times New Roman" w:cs="Times New Roman"/>
          <w:sz w:val="24"/>
          <w:szCs w:val="24"/>
          <w:lang w:val="ro-MD"/>
        </w:rPr>
        <w:t>A</w:t>
      </w:r>
      <w:r w:rsidRPr="00DD5F1D">
        <w:rPr>
          <w:rFonts w:ascii="Times New Roman" w:eastAsia="Times New Roman" w:hAnsi="Times New Roman" w:cs="Times New Roman"/>
          <w:sz w:val="24"/>
          <w:szCs w:val="24"/>
          <w:lang w:val="ro-MD"/>
        </w:rPr>
        <w:t>ctivitățile de audit s-au axat pe evaluarea mai multor procese operaționale desfășurate la Casa Națională și în subdiviziunile acesteia.</w:t>
      </w:r>
      <w:r w:rsidRPr="00DD5F1D">
        <w:rPr>
          <w:rFonts w:ascii="Times New Roman" w:eastAsia="Calibri" w:hAnsi="Times New Roman" w:cs="Times New Roman"/>
          <w:sz w:val="24"/>
          <w:szCs w:val="24"/>
          <w:lang w:val="ro-MD"/>
        </w:rPr>
        <w:t xml:space="preserve"> Astfel, activitatea de audit intern a contribuit la realizarea obie</w:t>
      </w:r>
      <w:r w:rsidR="0056497B" w:rsidRPr="00DD5F1D">
        <w:rPr>
          <w:rFonts w:ascii="Times New Roman" w:eastAsia="Calibri" w:hAnsi="Times New Roman" w:cs="Times New Roman"/>
          <w:sz w:val="24"/>
          <w:szCs w:val="24"/>
          <w:lang w:val="ro-MD"/>
        </w:rPr>
        <w:t>ctivelor CNAS, fiind realizate 10</w:t>
      </w:r>
      <w:r w:rsidRPr="00DD5F1D">
        <w:rPr>
          <w:rFonts w:ascii="Times New Roman" w:eastAsia="Calibri" w:hAnsi="Times New Roman" w:cs="Times New Roman"/>
          <w:sz w:val="24"/>
          <w:szCs w:val="24"/>
          <w:lang w:val="ro-MD"/>
        </w:rPr>
        <w:t xml:space="preserve"> misiuni de audit intern, cu prezentarea opiniei independente şi obiective Directorului general al CNAS asupra </w:t>
      </w:r>
      <w:r w:rsidR="00AB40C5" w:rsidRPr="00DD5F1D">
        <w:rPr>
          <w:rFonts w:ascii="Times New Roman" w:eastAsia="Calibri" w:hAnsi="Times New Roman" w:cs="Times New Roman"/>
          <w:sz w:val="24"/>
          <w:szCs w:val="24"/>
          <w:lang w:val="ro-MD"/>
        </w:rPr>
        <w:t>eficacității</w:t>
      </w:r>
      <w:r w:rsidRPr="00DD5F1D">
        <w:rPr>
          <w:rFonts w:ascii="Times New Roman" w:eastAsia="Calibri" w:hAnsi="Times New Roman" w:cs="Times New Roman"/>
          <w:sz w:val="24"/>
          <w:szCs w:val="24"/>
          <w:lang w:val="ro-MD"/>
        </w:rPr>
        <w:t xml:space="preserve"> proceselor de gestionare a riscurilor, control și guvernanță</w:t>
      </w:r>
      <w:r w:rsidR="0033739D" w:rsidRPr="00DD5F1D">
        <w:rPr>
          <w:rFonts w:ascii="Times New Roman" w:eastAsia="Calibri" w:hAnsi="Times New Roman" w:cs="Times New Roman"/>
          <w:sz w:val="24"/>
          <w:szCs w:val="24"/>
          <w:lang w:val="ro-MD"/>
        </w:rPr>
        <w:t>,</w:t>
      </w:r>
      <w:r w:rsidRPr="00DD5F1D">
        <w:rPr>
          <w:rFonts w:ascii="Times New Roman" w:eastAsia="Calibri" w:hAnsi="Times New Roman" w:cs="Times New Roman"/>
          <w:sz w:val="24"/>
          <w:szCs w:val="24"/>
          <w:lang w:val="ro-MD"/>
        </w:rPr>
        <w:t xml:space="preserve"> </w:t>
      </w:r>
      <w:r w:rsidR="00823594" w:rsidRPr="00DD5F1D">
        <w:rPr>
          <w:rFonts w:ascii="Times New Roman" w:eastAsia="Calibri" w:hAnsi="Times New Roman" w:cs="Times New Roman"/>
          <w:sz w:val="24"/>
          <w:szCs w:val="24"/>
          <w:lang w:val="ro-MD"/>
        </w:rPr>
        <w:t>cu</w:t>
      </w:r>
      <w:r w:rsidRPr="00DD5F1D">
        <w:rPr>
          <w:rFonts w:ascii="Times New Roman" w:eastAsia="Calibri" w:hAnsi="Times New Roman" w:cs="Times New Roman"/>
          <w:sz w:val="24"/>
          <w:szCs w:val="24"/>
          <w:lang w:val="ro-MD"/>
        </w:rPr>
        <w:t xml:space="preserve"> înaintarea recomandărilor de </w:t>
      </w:r>
      <w:r w:rsidR="00AB40C5" w:rsidRPr="00DD5F1D">
        <w:rPr>
          <w:rFonts w:ascii="Times New Roman" w:eastAsia="Calibri" w:hAnsi="Times New Roman" w:cs="Times New Roman"/>
          <w:sz w:val="24"/>
          <w:szCs w:val="24"/>
          <w:lang w:val="ro-MD"/>
        </w:rPr>
        <w:t>îmbunătățire</w:t>
      </w:r>
      <w:r w:rsidR="00B8004A"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Unele constatări</w:t>
      </w:r>
      <w:r w:rsidR="00B8004A" w:rsidRPr="00DD5F1D">
        <w:rPr>
          <w:rFonts w:ascii="Times New Roman" w:hAnsi="Times New Roman" w:cs="Times New Roman"/>
          <w:sz w:val="24"/>
          <w:szCs w:val="24"/>
          <w:lang w:val="ro-MD"/>
        </w:rPr>
        <w:t xml:space="preserve"> </w:t>
      </w:r>
      <w:r w:rsidR="00AB40C5" w:rsidRPr="00DD5F1D">
        <w:rPr>
          <w:rFonts w:ascii="Times New Roman" w:hAnsi="Times New Roman" w:cs="Times New Roman"/>
          <w:sz w:val="24"/>
          <w:szCs w:val="24"/>
          <w:lang w:val="ro-MD"/>
        </w:rPr>
        <w:t>menționate</w:t>
      </w:r>
      <w:r w:rsidR="00B8004A" w:rsidRPr="00DD5F1D">
        <w:rPr>
          <w:rFonts w:ascii="Times New Roman" w:hAnsi="Times New Roman" w:cs="Times New Roman"/>
          <w:sz w:val="24"/>
          <w:szCs w:val="24"/>
          <w:lang w:val="ro-MD"/>
        </w:rPr>
        <w:t xml:space="preserve"> în prezentul Raport de audit </w:t>
      </w:r>
      <w:r w:rsidRPr="00DD5F1D">
        <w:rPr>
          <w:rFonts w:ascii="Times New Roman" w:hAnsi="Times New Roman" w:cs="Times New Roman"/>
          <w:sz w:val="24"/>
          <w:szCs w:val="24"/>
          <w:lang w:val="ro-MD"/>
        </w:rPr>
        <w:t xml:space="preserve">indică asupra necesității </w:t>
      </w:r>
      <w:r w:rsidR="00823594"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perfecțion</w:t>
      </w:r>
      <w:r w:rsidR="00823594" w:rsidRPr="00DD5F1D">
        <w:rPr>
          <w:rFonts w:ascii="Times New Roman" w:hAnsi="Times New Roman" w:cs="Times New Roman"/>
          <w:sz w:val="24"/>
          <w:szCs w:val="24"/>
          <w:lang w:val="ro-MD"/>
        </w:rPr>
        <w:t>are a</w:t>
      </w:r>
      <w:r w:rsidR="00B8004A" w:rsidRPr="00DD5F1D">
        <w:rPr>
          <w:rFonts w:ascii="Times New Roman" w:hAnsi="Times New Roman" w:cs="Times New Roman"/>
          <w:sz w:val="24"/>
          <w:szCs w:val="24"/>
          <w:lang w:val="ro-MD"/>
        </w:rPr>
        <w:t xml:space="preserve"> </w:t>
      </w:r>
      <w:r w:rsidR="00AB40C5" w:rsidRPr="00DD5F1D">
        <w:rPr>
          <w:rFonts w:ascii="Times New Roman" w:hAnsi="Times New Roman" w:cs="Times New Roman"/>
          <w:sz w:val="24"/>
          <w:szCs w:val="24"/>
          <w:lang w:val="ro-MD"/>
        </w:rPr>
        <w:t>activităților</w:t>
      </w:r>
      <w:r w:rsidR="00B8004A" w:rsidRPr="00DD5F1D">
        <w:rPr>
          <w:rFonts w:ascii="Times New Roman" w:hAnsi="Times New Roman" w:cs="Times New Roman"/>
          <w:sz w:val="24"/>
          <w:szCs w:val="24"/>
          <w:lang w:val="ro-MD"/>
        </w:rPr>
        <w:t xml:space="preserve"> de control în procesele </w:t>
      </w:r>
      <w:r w:rsidR="00AB40C5" w:rsidRPr="00DD5F1D">
        <w:rPr>
          <w:rFonts w:ascii="Times New Roman" w:hAnsi="Times New Roman" w:cs="Times New Roman"/>
          <w:sz w:val="24"/>
          <w:szCs w:val="24"/>
          <w:lang w:val="ro-MD"/>
        </w:rPr>
        <w:t>operaționale</w:t>
      </w:r>
      <w:r w:rsidR="00B8004A" w:rsidRPr="00DD5F1D">
        <w:rPr>
          <w:rFonts w:ascii="Times New Roman" w:hAnsi="Times New Roman" w:cs="Times New Roman"/>
          <w:sz w:val="24"/>
          <w:szCs w:val="24"/>
          <w:lang w:val="ro-MD"/>
        </w:rPr>
        <w:t xml:space="preserve"> evaluate de audit.</w:t>
      </w:r>
    </w:p>
    <w:p w14:paraId="2CE83F23" w14:textId="5F7365CF" w:rsidR="0019542C" w:rsidRPr="00DD5F1D" w:rsidRDefault="0019542C" w:rsidP="00627F73">
      <w:pPr>
        <w:pStyle w:val="aa"/>
        <w:numPr>
          <w:ilvl w:val="1"/>
          <w:numId w:val="2"/>
        </w:numPr>
        <w:tabs>
          <w:tab w:val="left" w:pos="0"/>
          <w:tab w:val="left" w:pos="709"/>
          <w:tab w:val="left" w:pos="1276"/>
        </w:tabs>
        <w:spacing w:line="276" w:lineRule="auto"/>
        <w:ind w:left="0" w:firstLine="0"/>
        <w:jc w:val="both"/>
        <w:outlineLvl w:val="1"/>
        <w:rPr>
          <w:rFonts w:ascii="Times New Roman" w:hAnsi="Times New Roman" w:cs="Times New Roman"/>
          <w:b/>
          <w:sz w:val="24"/>
          <w:szCs w:val="24"/>
          <w:lang w:val="ro-MD"/>
        </w:rPr>
      </w:pPr>
      <w:r w:rsidRPr="00DD5F1D">
        <w:rPr>
          <w:rFonts w:ascii="Times New Roman" w:hAnsi="Times New Roman" w:cs="Times New Roman"/>
          <w:b/>
          <w:iCs/>
          <w:sz w:val="24"/>
          <w:szCs w:val="24"/>
          <w:lang w:val="ro-MD"/>
        </w:rPr>
        <w:t xml:space="preserve">Implementarea </w:t>
      </w:r>
      <w:r w:rsidRPr="00DD5F1D">
        <w:rPr>
          <w:rFonts w:ascii="Times New Roman" w:eastAsia="Times New Roman" w:hAnsi="Times New Roman" w:cs="Times New Roman"/>
          <w:b/>
          <w:sz w:val="24"/>
          <w:szCs w:val="24"/>
          <w:lang w:val="ro-MD" w:eastAsia="ru-RU"/>
        </w:rPr>
        <w:t>de către Casa Națională de Asigurări Sociale</w:t>
      </w:r>
      <w:r w:rsidRPr="00DD5F1D">
        <w:rPr>
          <w:rFonts w:ascii="Times New Roman" w:hAnsi="Times New Roman" w:cs="Times New Roman"/>
          <w:b/>
          <w:iCs/>
          <w:sz w:val="24"/>
          <w:szCs w:val="24"/>
          <w:lang w:val="ro-MD"/>
        </w:rPr>
        <w:t xml:space="preserve"> a recomandărilor înaintate, </w:t>
      </w:r>
      <w:r w:rsidRPr="00DD5F1D">
        <w:rPr>
          <w:rFonts w:ascii="Times New Roman" w:hAnsi="Times New Roman" w:cs="Times New Roman"/>
          <w:b/>
          <w:sz w:val="24"/>
          <w:szCs w:val="24"/>
          <w:lang w:val="ro-MD"/>
        </w:rPr>
        <w:t>ca urmare a realizării misiunii precedente de audit public extern</w:t>
      </w:r>
      <w:r w:rsidRPr="00DD5F1D">
        <w:rPr>
          <w:rFonts w:ascii="Times New Roman" w:hAnsi="Times New Roman" w:cs="Times New Roman"/>
          <w:b/>
          <w:iCs/>
          <w:sz w:val="24"/>
          <w:szCs w:val="24"/>
          <w:lang w:val="ro-MD"/>
        </w:rPr>
        <w:t>, a contribuit la îmbunătățirea proceselor și fu</w:t>
      </w:r>
      <w:r w:rsidR="003609C3" w:rsidRPr="00DD5F1D">
        <w:rPr>
          <w:rFonts w:ascii="Times New Roman" w:hAnsi="Times New Roman" w:cs="Times New Roman"/>
          <w:b/>
          <w:iCs/>
          <w:sz w:val="24"/>
          <w:szCs w:val="24"/>
          <w:lang w:val="ro-MD"/>
        </w:rPr>
        <w:t xml:space="preserve">rnizarea informațiilor veridice, în timp ce </w:t>
      </w:r>
      <w:r w:rsidRPr="00DD5F1D">
        <w:rPr>
          <w:rFonts w:ascii="Times New Roman" w:hAnsi="Times New Roman" w:cs="Times New Roman"/>
          <w:b/>
          <w:iCs/>
          <w:sz w:val="24"/>
          <w:szCs w:val="24"/>
          <w:lang w:val="ro-MD"/>
        </w:rPr>
        <w:t>neimplementarea r</w:t>
      </w:r>
      <w:r w:rsidR="003609C3" w:rsidRPr="00DD5F1D">
        <w:rPr>
          <w:rFonts w:ascii="Times New Roman" w:hAnsi="Times New Roman" w:cs="Times New Roman"/>
          <w:b/>
          <w:iCs/>
          <w:sz w:val="24"/>
          <w:szCs w:val="24"/>
          <w:lang w:val="ro-MD"/>
        </w:rPr>
        <w:t>ecomandărilor de către alte</w:t>
      </w:r>
      <w:r w:rsidRPr="00DD5F1D">
        <w:rPr>
          <w:rFonts w:ascii="Times New Roman" w:hAnsi="Times New Roman" w:cs="Times New Roman"/>
          <w:b/>
          <w:iCs/>
          <w:sz w:val="24"/>
          <w:szCs w:val="24"/>
          <w:lang w:val="ro-MD"/>
        </w:rPr>
        <w:t xml:space="preserve"> entități (MMPS, ASP, MS) mențin în continuare situații incerte în stabilirea prestațiilor cu suportarea cheltuielilor neargumentate.</w:t>
      </w:r>
    </w:p>
    <w:p w14:paraId="64CAF0EA" w14:textId="339F8C63" w:rsidR="00ED0D98" w:rsidRPr="00DD5F1D" w:rsidRDefault="0019542C" w:rsidP="0019542C">
      <w:pPr>
        <w:tabs>
          <w:tab w:val="left" w:pos="709"/>
          <w:tab w:val="left" w:pos="993"/>
          <w:tab w:val="left" w:pos="1276"/>
        </w:tabs>
        <w:spacing w:after="0" w:line="276" w:lineRule="auto"/>
        <w:jc w:val="both"/>
        <w:rPr>
          <w:rFonts w:ascii="Times New Roman" w:hAnsi="Times New Roman" w:cs="Times New Roman"/>
          <w:iCs/>
          <w:sz w:val="24"/>
          <w:szCs w:val="24"/>
          <w:lang w:val="ro-MD"/>
        </w:rPr>
      </w:pPr>
      <w:r w:rsidRPr="00DD5F1D">
        <w:rPr>
          <w:rFonts w:ascii="Times New Roman" w:hAnsi="Times New Roman" w:cs="Times New Roman"/>
          <w:iCs/>
          <w:sz w:val="24"/>
          <w:szCs w:val="24"/>
          <w:lang w:val="ro-MD"/>
        </w:rPr>
        <w:t>Analiza implementării recomandărilor</w:t>
      </w:r>
      <w:r w:rsidRPr="00DD5F1D">
        <w:rPr>
          <w:rFonts w:ascii="Times New Roman" w:hAnsi="Times New Roman" w:cs="Times New Roman"/>
          <w:vertAlign w:val="superscript"/>
          <w:lang w:val="ro-MD"/>
        </w:rPr>
        <w:footnoteReference w:id="60"/>
      </w:r>
      <w:r w:rsidRPr="00DD5F1D">
        <w:rPr>
          <w:rFonts w:ascii="Times New Roman" w:hAnsi="Times New Roman" w:cs="Times New Roman"/>
          <w:iCs/>
          <w:sz w:val="24"/>
          <w:szCs w:val="24"/>
          <w:lang w:val="ro-MD"/>
        </w:rPr>
        <w:t xml:space="preserve"> atestă că</w:t>
      </w:r>
      <w:r w:rsidR="0033739D" w:rsidRPr="00DD5F1D">
        <w:rPr>
          <w:rFonts w:ascii="Times New Roman" w:hAnsi="Times New Roman" w:cs="Times New Roman"/>
          <w:iCs/>
          <w:sz w:val="24"/>
          <w:szCs w:val="24"/>
          <w:lang w:val="ro-MD"/>
        </w:rPr>
        <w:t>,</w:t>
      </w:r>
      <w:r w:rsidR="00ED0D98" w:rsidRPr="00DD5F1D">
        <w:rPr>
          <w:rFonts w:ascii="Times New Roman" w:hAnsi="Times New Roman" w:cs="Times New Roman"/>
          <w:iCs/>
          <w:sz w:val="24"/>
          <w:szCs w:val="24"/>
          <w:lang w:val="ro-MD"/>
        </w:rPr>
        <w:t xml:space="preserve"> din 21 </w:t>
      </w:r>
      <w:r w:rsidR="0033739D" w:rsidRPr="00DD5F1D">
        <w:rPr>
          <w:rFonts w:ascii="Times New Roman" w:hAnsi="Times New Roman" w:cs="Times New Roman"/>
          <w:iCs/>
          <w:sz w:val="24"/>
          <w:szCs w:val="24"/>
          <w:lang w:val="ro-MD"/>
        </w:rPr>
        <w:t xml:space="preserve">de </w:t>
      </w:r>
      <w:r w:rsidR="00ED0D98" w:rsidRPr="00DD5F1D">
        <w:rPr>
          <w:rFonts w:ascii="Times New Roman" w:hAnsi="Times New Roman" w:cs="Times New Roman"/>
          <w:iCs/>
          <w:sz w:val="24"/>
          <w:szCs w:val="24"/>
          <w:lang w:val="ro-MD"/>
        </w:rPr>
        <w:t>recomandări înaintate, au fost implementate 1</w:t>
      </w:r>
      <w:r w:rsidR="003609C3" w:rsidRPr="00DD5F1D">
        <w:rPr>
          <w:rFonts w:ascii="Times New Roman" w:hAnsi="Times New Roman" w:cs="Times New Roman"/>
          <w:iCs/>
          <w:sz w:val="24"/>
          <w:szCs w:val="24"/>
          <w:lang w:val="ro-MD"/>
        </w:rPr>
        <w:t>3 recomandări, una</w:t>
      </w:r>
      <w:r w:rsidR="00EE0F16" w:rsidRPr="00DD5F1D">
        <w:rPr>
          <w:rFonts w:ascii="Times New Roman" w:hAnsi="Times New Roman" w:cs="Times New Roman"/>
          <w:iCs/>
          <w:sz w:val="24"/>
          <w:szCs w:val="24"/>
          <w:lang w:val="ro-MD"/>
        </w:rPr>
        <w:t xml:space="preserve"> </w:t>
      </w:r>
      <w:r w:rsidR="00ED0D98" w:rsidRPr="00DD5F1D">
        <w:rPr>
          <w:rFonts w:ascii="Times New Roman" w:hAnsi="Times New Roman" w:cs="Times New Roman"/>
          <w:iCs/>
          <w:sz w:val="24"/>
          <w:szCs w:val="24"/>
          <w:lang w:val="ro-MD"/>
        </w:rPr>
        <w:t>parțial implementat</w:t>
      </w:r>
      <w:r w:rsidR="003609C3" w:rsidRPr="00DD5F1D">
        <w:rPr>
          <w:rFonts w:ascii="Times New Roman" w:hAnsi="Times New Roman" w:cs="Times New Roman"/>
          <w:iCs/>
          <w:sz w:val="24"/>
          <w:szCs w:val="24"/>
          <w:lang w:val="ro-MD"/>
        </w:rPr>
        <w:t>ă</w:t>
      </w:r>
      <w:r w:rsidR="00ED0D98" w:rsidRPr="00DD5F1D">
        <w:rPr>
          <w:rFonts w:ascii="Times New Roman" w:hAnsi="Times New Roman" w:cs="Times New Roman"/>
          <w:iCs/>
          <w:sz w:val="24"/>
          <w:szCs w:val="24"/>
          <w:lang w:val="ro-MD"/>
        </w:rPr>
        <w:t xml:space="preserve"> </w:t>
      </w:r>
      <w:r w:rsidR="00EE0F16" w:rsidRPr="00DD5F1D">
        <w:rPr>
          <w:rFonts w:ascii="Times New Roman" w:hAnsi="Times New Roman" w:cs="Times New Roman"/>
          <w:iCs/>
          <w:sz w:val="24"/>
          <w:szCs w:val="24"/>
          <w:lang w:val="ro-MD"/>
        </w:rPr>
        <w:t>și 7 neimplementate.</w:t>
      </w:r>
    </w:p>
    <w:p w14:paraId="58891A9F" w14:textId="048BB334" w:rsidR="0019542C" w:rsidRPr="00DD5F1D" w:rsidRDefault="0019542C" w:rsidP="0019542C">
      <w:pPr>
        <w:tabs>
          <w:tab w:val="left" w:pos="709"/>
          <w:tab w:val="left" w:pos="993"/>
          <w:tab w:val="left" w:pos="1276"/>
        </w:tabs>
        <w:spacing w:after="0" w:line="276" w:lineRule="auto"/>
        <w:jc w:val="both"/>
        <w:rPr>
          <w:rFonts w:ascii="Times New Roman" w:hAnsi="Times New Roman" w:cs="Times New Roman"/>
          <w:iCs/>
          <w:sz w:val="24"/>
          <w:szCs w:val="24"/>
          <w:lang w:val="ro-MD"/>
        </w:rPr>
      </w:pPr>
      <w:r w:rsidRPr="00DD5F1D">
        <w:rPr>
          <w:rFonts w:ascii="Times New Roman" w:eastAsia="Times New Roman" w:hAnsi="Times New Roman" w:cs="Times New Roman"/>
          <w:sz w:val="24"/>
          <w:szCs w:val="24"/>
          <w:lang w:val="ro-MD" w:eastAsia="ru-RU"/>
        </w:rPr>
        <w:t xml:space="preserve">CNAS a realizat procesele ce condiționează o eficiență sporită în realizarea obiectivelor sale. </w:t>
      </w:r>
      <w:r w:rsidR="003609C3" w:rsidRPr="00DD5F1D">
        <w:rPr>
          <w:rFonts w:ascii="Times New Roman" w:hAnsi="Times New Roman" w:cs="Times New Roman"/>
          <w:iCs/>
          <w:sz w:val="24"/>
          <w:szCs w:val="24"/>
          <w:lang w:val="ro-MD"/>
        </w:rPr>
        <w:t>Astfel, se atestă progrese la</w:t>
      </w:r>
      <w:r w:rsidRPr="00DD5F1D">
        <w:rPr>
          <w:rFonts w:ascii="Times New Roman" w:hAnsi="Times New Roman" w:cs="Times New Roman"/>
          <w:iCs/>
          <w:sz w:val="24"/>
          <w:szCs w:val="24"/>
          <w:lang w:val="ro-MD"/>
        </w:rPr>
        <w:t xml:space="preserve"> îmbunătățirea cadrului regulator, inclusiv a celui intern, în special cu privire la modul de înregistrare și raportare a indicatorilor BASS</w:t>
      </w:r>
      <w:r w:rsidR="003609C3" w:rsidRPr="00DD5F1D">
        <w:rPr>
          <w:rFonts w:ascii="Times New Roman" w:hAnsi="Times New Roman" w:cs="Times New Roman"/>
          <w:iCs/>
          <w:sz w:val="24"/>
          <w:szCs w:val="24"/>
          <w:lang w:val="ro-MD"/>
        </w:rPr>
        <w:t>. Aceste acțiuni constituie</w:t>
      </w:r>
      <w:r w:rsidRPr="00DD5F1D">
        <w:rPr>
          <w:rFonts w:ascii="Times New Roman" w:hAnsi="Times New Roman" w:cs="Times New Roman"/>
          <w:iCs/>
          <w:sz w:val="24"/>
          <w:szCs w:val="24"/>
          <w:lang w:val="ro-MD"/>
        </w:rPr>
        <w:t xml:space="preserve"> un pas în sporirea capacității CNAS de a oferi informații veridice utilizatorilor rapoartelor și de a presta s</w:t>
      </w:r>
      <w:r w:rsidR="00DF16E4" w:rsidRPr="00DD5F1D">
        <w:rPr>
          <w:rFonts w:ascii="Times New Roman" w:hAnsi="Times New Roman" w:cs="Times New Roman"/>
          <w:iCs/>
          <w:sz w:val="24"/>
          <w:szCs w:val="24"/>
          <w:lang w:val="ro-MD"/>
        </w:rPr>
        <w:t xml:space="preserve">ervicii calitative cetățenilor. Totodată, </w:t>
      </w:r>
      <w:r w:rsidRPr="00DD5F1D">
        <w:rPr>
          <w:rFonts w:ascii="Times New Roman" w:hAnsi="Times New Roman" w:cs="Times New Roman"/>
          <w:iCs/>
          <w:sz w:val="24"/>
          <w:szCs w:val="24"/>
          <w:lang w:val="ro-MD"/>
        </w:rPr>
        <w:t xml:space="preserve">Ministerul Finanțelor </w:t>
      </w:r>
      <w:r w:rsidRPr="00DD5F1D">
        <w:rPr>
          <w:rFonts w:ascii="Times New Roman" w:hAnsi="Times New Roman" w:cs="Times New Roman"/>
          <w:sz w:val="24"/>
          <w:szCs w:val="24"/>
          <w:lang w:val="ro-MD"/>
        </w:rPr>
        <w:t xml:space="preserve">a </w:t>
      </w:r>
      <w:r w:rsidR="00DF16E4" w:rsidRPr="00DD5F1D">
        <w:rPr>
          <w:rFonts w:ascii="Times New Roman" w:hAnsi="Times New Roman" w:cs="Times New Roman"/>
          <w:sz w:val="24"/>
          <w:szCs w:val="24"/>
          <w:lang w:val="ro-MD"/>
        </w:rPr>
        <w:t>modificat</w:t>
      </w:r>
      <w:r w:rsidRPr="00DD5F1D">
        <w:rPr>
          <w:rFonts w:ascii="Times New Roman" w:hAnsi="Times New Roman" w:cs="Times New Roman"/>
          <w:sz w:val="24"/>
          <w:szCs w:val="24"/>
          <w:lang w:val="ro-MD"/>
        </w:rPr>
        <w:t xml:space="preserve"> normele metodologice de raportare </w:t>
      </w:r>
      <w:r w:rsidR="008F2E85" w:rsidRPr="00DD5F1D">
        <w:rPr>
          <w:rFonts w:ascii="Times New Roman" w:hAnsi="Times New Roman" w:cs="Times New Roman"/>
          <w:sz w:val="24"/>
          <w:szCs w:val="24"/>
          <w:lang w:val="ro-MD"/>
        </w:rPr>
        <w:t xml:space="preserve">menite să asigure o imagine de ansamblu privind evidența patrimoniului </w:t>
      </w:r>
      <w:r w:rsidRPr="00DD5F1D">
        <w:rPr>
          <w:rFonts w:ascii="Times New Roman" w:hAnsi="Times New Roman" w:cs="Times New Roman"/>
          <w:sz w:val="24"/>
          <w:szCs w:val="24"/>
          <w:lang w:val="ro-MD"/>
        </w:rPr>
        <w:t>și datoriilor aferente instituț</w:t>
      </w:r>
      <w:r w:rsidR="008F2E85" w:rsidRPr="00DD5F1D">
        <w:rPr>
          <w:rFonts w:ascii="Times New Roman" w:hAnsi="Times New Roman" w:cs="Times New Roman"/>
          <w:sz w:val="24"/>
          <w:szCs w:val="24"/>
          <w:lang w:val="ro-MD"/>
        </w:rPr>
        <w:t>iilor bugetare finanțate din BS.</w:t>
      </w:r>
    </w:p>
    <w:p w14:paraId="1ECF28E5" w14:textId="746FB972" w:rsidR="0019542C" w:rsidRPr="00DD5F1D" w:rsidRDefault="0033739D" w:rsidP="0019542C">
      <w:pPr>
        <w:tabs>
          <w:tab w:val="left" w:pos="709"/>
          <w:tab w:val="left" w:pos="993"/>
          <w:tab w:val="left" w:pos="1276"/>
        </w:tabs>
        <w:spacing w:after="0" w:line="276" w:lineRule="auto"/>
        <w:jc w:val="both"/>
        <w:rPr>
          <w:rFonts w:ascii="Times New Roman" w:hAnsi="Times New Roman" w:cs="Times New Roman"/>
          <w:iCs/>
          <w:sz w:val="24"/>
          <w:szCs w:val="24"/>
          <w:lang w:val="ro-MD"/>
        </w:rPr>
      </w:pPr>
      <w:r w:rsidRPr="00DD5F1D">
        <w:rPr>
          <w:rFonts w:ascii="Times New Roman" w:hAnsi="Times New Roman" w:cs="Times New Roman"/>
          <w:sz w:val="24"/>
          <w:szCs w:val="24"/>
          <w:lang w:val="ro-MD"/>
        </w:rPr>
        <w:t>Pe de altă parte</w:t>
      </w:r>
      <w:r w:rsidR="0019542C" w:rsidRPr="00DD5F1D">
        <w:rPr>
          <w:rFonts w:ascii="Times New Roman" w:hAnsi="Times New Roman" w:cs="Times New Roman"/>
          <w:sz w:val="24"/>
          <w:szCs w:val="24"/>
          <w:lang w:val="ro-MD"/>
        </w:rPr>
        <w:t>,</w:t>
      </w:r>
      <w:r w:rsidR="0019542C" w:rsidRPr="00DD5F1D">
        <w:rPr>
          <w:rFonts w:ascii="Times New Roman" w:hAnsi="Times New Roman" w:cs="Times New Roman"/>
          <w:iCs/>
          <w:sz w:val="24"/>
          <w:szCs w:val="24"/>
          <w:lang w:val="ro-MD"/>
        </w:rPr>
        <w:t xml:space="preserve"> recomandările înaintate altor entități</w:t>
      </w:r>
      <w:r w:rsidR="00A92C6D" w:rsidRPr="00DD5F1D">
        <w:rPr>
          <w:rStyle w:val="a5"/>
          <w:rFonts w:ascii="Times New Roman" w:hAnsi="Times New Roman" w:cs="Times New Roman"/>
          <w:iCs/>
          <w:sz w:val="24"/>
          <w:szCs w:val="24"/>
          <w:lang w:val="ro-MD"/>
        </w:rPr>
        <w:footnoteReference w:id="61"/>
      </w:r>
      <w:r w:rsidR="0019542C" w:rsidRPr="00DD5F1D">
        <w:rPr>
          <w:rFonts w:ascii="Times New Roman" w:hAnsi="Times New Roman" w:cs="Times New Roman"/>
          <w:iCs/>
          <w:sz w:val="24"/>
          <w:szCs w:val="24"/>
          <w:lang w:val="ro-MD"/>
        </w:rPr>
        <w:t xml:space="preserve"> nu au fost implementate, </w:t>
      </w:r>
      <w:r w:rsidRPr="00DD5F1D">
        <w:rPr>
          <w:rFonts w:ascii="Times New Roman" w:hAnsi="Times New Roman" w:cs="Times New Roman"/>
          <w:iCs/>
          <w:sz w:val="24"/>
          <w:szCs w:val="24"/>
          <w:lang w:val="ro-MD"/>
        </w:rPr>
        <w:t xml:space="preserve">fapt ce </w:t>
      </w:r>
      <w:r w:rsidR="0060737C" w:rsidRPr="00DD5F1D">
        <w:rPr>
          <w:rFonts w:ascii="Times New Roman" w:hAnsi="Times New Roman" w:cs="Times New Roman"/>
          <w:iCs/>
          <w:sz w:val="24"/>
          <w:szCs w:val="24"/>
          <w:lang w:val="ro-MD"/>
        </w:rPr>
        <w:t>mențin</w:t>
      </w:r>
      <w:r w:rsidRPr="00DD5F1D">
        <w:rPr>
          <w:rFonts w:ascii="Times New Roman" w:hAnsi="Times New Roman" w:cs="Times New Roman"/>
          <w:iCs/>
          <w:sz w:val="24"/>
          <w:szCs w:val="24"/>
          <w:lang w:val="ro-MD"/>
        </w:rPr>
        <w:t>e</w:t>
      </w:r>
      <w:r w:rsidR="0060737C" w:rsidRPr="00DD5F1D">
        <w:rPr>
          <w:rFonts w:ascii="Times New Roman" w:hAnsi="Times New Roman" w:cs="Times New Roman"/>
          <w:iCs/>
          <w:sz w:val="24"/>
          <w:szCs w:val="24"/>
          <w:lang w:val="ro-MD"/>
        </w:rPr>
        <w:t xml:space="preserve"> în continuare situații</w:t>
      </w:r>
      <w:r w:rsidRPr="00DD5F1D">
        <w:rPr>
          <w:rFonts w:ascii="Times New Roman" w:hAnsi="Times New Roman" w:cs="Times New Roman"/>
          <w:iCs/>
          <w:sz w:val="24"/>
          <w:szCs w:val="24"/>
          <w:lang w:val="ro-MD"/>
        </w:rPr>
        <w:t>le</w:t>
      </w:r>
      <w:r w:rsidR="0060737C" w:rsidRPr="00DD5F1D">
        <w:rPr>
          <w:rFonts w:ascii="Times New Roman" w:hAnsi="Times New Roman" w:cs="Times New Roman"/>
          <w:iCs/>
          <w:sz w:val="24"/>
          <w:szCs w:val="24"/>
          <w:lang w:val="ro-MD"/>
        </w:rPr>
        <w:t xml:space="preserve"> incerte în aspectul asigurării informațiilor integre </w:t>
      </w:r>
      <w:r w:rsidR="00080C8E" w:rsidRPr="00DD5F1D">
        <w:rPr>
          <w:rFonts w:ascii="Times New Roman" w:hAnsi="Times New Roman" w:cs="Times New Roman"/>
          <w:sz w:val="24"/>
          <w:szCs w:val="24"/>
          <w:lang w:val="ro-MD"/>
        </w:rPr>
        <w:t xml:space="preserve">privind </w:t>
      </w:r>
      <w:r w:rsidR="0019542C" w:rsidRPr="00DD5F1D">
        <w:rPr>
          <w:rFonts w:ascii="Times New Roman" w:hAnsi="Times New Roman" w:cs="Times New Roman"/>
          <w:sz w:val="24"/>
          <w:szCs w:val="24"/>
          <w:lang w:val="ro-MD"/>
        </w:rPr>
        <w:t>liber-</w:t>
      </w:r>
      <w:r w:rsidR="00080C8E" w:rsidRPr="00DD5F1D">
        <w:rPr>
          <w:rFonts w:ascii="Times New Roman" w:hAnsi="Times New Roman" w:cs="Times New Roman"/>
          <w:sz w:val="24"/>
          <w:szCs w:val="24"/>
          <w:lang w:val="ro-MD"/>
        </w:rPr>
        <w:t xml:space="preserve">profesioniștii </w:t>
      </w:r>
      <w:r w:rsidR="0019542C" w:rsidRPr="00DD5F1D">
        <w:rPr>
          <w:rFonts w:ascii="Times New Roman" w:hAnsi="Times New Roman" w:cs="Times New Roman"/>
          <w:sz w:val="24"/>
          <w:szCs w:val="24"/>
          <w:lang w:val="ro-MD"/>
        </w:rPr>
        <w:t xml:space="preserve">ce practică activitate în sectorul justiției, </w:t>
      </w:r>
      <w:r w:rsidR="0019542C" w:rsidRPr="00DD5F1D">
        <w:rPr>
          <w:rFonts w:ascii="Times New Roman" w:hAnsi="Times New Roman" w:cs="Times New Roman"/>
          <w:sz w:val="24"/>
          <w:lang w:val="ro-MD"/>
        </w:rPr>
        <w:t>stopării/sistării plății pensiei unor angajați din aviația civilă în cazul reangajării în funcții ale căror condiții de muncă se încadrează în condițiile speciale</w:t>
      </w:r>
      <w:r w:rsidRPr="00DD5F1D">
        <w:rPr>
          <w:rFonts w:ascii="Times New Roman" w:hAnsi="Times New Roman" w:cs="Times New Roman"/>
          <w:sz w:val="24"/>
          <w:lang w:val="ro-MD"/>
        </w:rPr>
        <w:t>,</w:t>
      </w:r>
      <w:r w:rsidR="0019542C" w:rsidRPr="00DD5F1D">
        <w:rPr>
          <w:rFonts w:ascii="Times New Roman" w:hAnsi="Times New Roman" w:cs="Times New Roman"/>
          <w:iCs/>
          <w:sz w:val="24"/>
          <w:szCs w:val="24"/>
          <w:lang w:val="ro-MD"/>
        </w:rPr>
        <w:t xml:space="preserve"> cu suportarea cheltuielilor neargumentate.</w:t>
      </w:r>
    </w:p>
    <w:p w14:paraId="0C609896" w14:textId="59A8AAB7" w:rsidR="0060737C" w:rsidRPr="00DD5F1D" w:rsidRDefault="0060737C" w:rsidP="0019542C">
      <w:pPr>
        <w:tabs>
          <w:tab w:val="left" w:pos="709"/>
          <w:tab w:val="left" w:pos="993"/>
          <w:tab w:val="left" w:pos="1276"/>
        </w:tabs>
        <w:spacing w:after="0" w:line="276" w:lineRule="auto"/>
        <w:jc w:val="both"/>
        <w:rPr>
          <w:rFonts w:ascii="Times New Roman" w:hAnsi="Times New Roman" w:cs="Times New Roman"/>
          <w:iCs/>
          <w:sz w:val="24"/>
          <w:szCs w:val="24"/>
          <w:lang w:val="ro-MD"/>
        </w:rPr>
      </w:pPr>
      <w:r w:rsidRPr="00DD5F1D">
        <w:rPr>
          <w:rFonts w:ascii="Times New Roman" w:hAnsi="Times New Roman" w:cs="Times New Roman"/>
          <w:iCs/>
          <w:sz w:val="24"/>
          <w:szCs w:val="24"/>
          <w:lang w:val="ro-MD"/>
        </w:rPr>
        <w:t xml:space="preserve">Totodată, lipsa </w:t>
      </w:r>
      <w:r w:rsidRPr="00DD5F1D">
        <w:rPr>
          <w:rFonts w:ascii="Times New Roman" w:hAnsi="Times New Roman" w:cs="Times New Roman"/>
          <w:color w:val="000000" w:themeColor="text1"/>
          <w:sz w:val="24"/>
          <w:szCs w:val="24"/>
          <w:lang w:val="ro-MD"/>
        </w:rPr>
        <w:t>fundamentării cotelor diferențiate de asigurări sociale, cu evaluarea impactului și corectitudin</w:t>
      </w:r>
      <w:r w:rsidR="0033739D" w:rsidRPr="00DD5F1D">
        <w:rPr>
          <w:rFonts w:ascii="Times New Roman" w:hAnsi="Times New Roman" w:cs="Times New Roman"/>
          <w:color w:val="000000" w:themeColor="text1"/>
          <w:sz w:val="24"/>
          <w:szCs w:val="24"/>
          <w:lang w:val="ro-MD"/>
        </w:rPr>
        <w:t>ii</w:t>
      </w:r>
      <w:r w:rsidRPr="00DD5F1D">
        <w:rPr>
          <w:rFonts w:ascii="Times New Roman" w:hAnsi="Times New Roman" w:cs="Times New Roman"/>
          <w:color w:val="000000" w:themeColor="text1"/>
          <w:sz w:val="24"/>
          <w:szCs w:val="24"/>
          <w:lang w:val="ro-MD"/>
        </w:rPr>
        <w:t xml:space="preserve"> reflectării acestora, precum și </w:t>
      </w:r>
      <w:r w:rsidR="00E23177" w:rsidRPr="00DD5F1D">
        <w:rPr>
          <w:rFonts w:ascii="Times New Roman" w:hAnsi="Times New Roman" w:cs="Times New Roman"/>
          <w:color w:val="000000" w:themeColor="text1"/>
          <w:sz w:val="24"/>
          <w:szCs w:val="24"/>
          <w:lang w:val="ro-MD"/>
        </w:rPr>
        <w:t xml:space="preserve">a </w:t>
      </w:r>
      <w:r w:rsidR="00A6120D" w:rsidRPr="00DD5F1D">
        <w:rPr>
          <w:rFonts w:ascii="Times New Roman" w:hAnsi="Times New Roman" w:cs="Times New Roman"/>
          <w:color w:val="000000" w:themeColor="text1"/>
          <w:sz w:val="24"/>
          <w:szCs w:val="24"/>
          <w:lang w:val="ro-MD"/>
        </w:rPr>
        <w:t>cauzel</w:t>
      </w:r>
      <w:r w:rsidR="00E23177" w:rsidRPr="00DD5F1D">
        <w:rPr>
          <w:rFonts w:ascii="Times New Roman" w:hAnsi="Times New Roman" w:cs="Times New Roman"/>
          <w:color w:val="000000" w:themeColor="text1"/>
          <w:sz w:val="24"/>
          <w:szCs w:val="24"/>
          <w:lang w:val="ro-MD"/>
        </w:rPr>
        <w:t>or</w:t>
      </w:r>
      <w:r w:rsidR="00A6120D" w:rsidRPr="00DD5F1D">
        <w:rPr>
          <w:rFonts w:ascii="Times New Roman" w:hAnsi="Times New Roman" w:cs="Times New Roman"/>
          <w:color w:val="000000" w:themeColor="text1"/>
          <w:sz w:val="24"/>
          <w:szCs w:val="24"/>
          <w:lang w:val="ro-MD"/>
        </w:rPr>
        <w:t xml:space="preserve"> problemelor aferente sustenabilității BASS, </w:t>
      </w:r>
      <w:r w:rsidR="00E23177" w:rsidRPr="00DD5F1D">
        <w:rPr>
          <w:rFonts w:ascii="Times New Roman" w:hAnsi="Times New Roman" w:cs="Times New Roman"/>
          <w:color w:val="000000" w:themeColor="text1"/>
          <w:sz w:val="24"/>
          <w:szCs w:val="24"/>
          <w:lang w:val="ro-MD"/>
        </w:rPr>
        <w:t>inclusiv a</w:t>
      </w:r>
      <w:r w:rsidR="00A6120D" w:rsidRPr="00DD5F1D">
        <w:rPr>
          <w:rFonts w:ascii="Times New Roman" w:hAnsi="Times New Roman" w:cs="Times New Roman"/>
          <w:color w:val="000000" w:themeColor="text1"/>
          <w:sz w:val="24"/>
          <w:szCs w:val="24"/>
          <w:lang w:val="ro-MD"/>
        </w:rPr>
        <w:t xml:space="preserve"> fenomenului salariilor în plic</w:t>
      </w:r>
      <w:r w:rsidR="00E23177" w:rsidRPr="00DD5F1D">
        <w:rPr>
          <w:rFonts w:ascii="Times New Roman" w:hAnsi="Times New Roman" w:cs="Times New Roman"/>
          <w:color w:val="000000" w:themeColor="text1"/>
          <w:sz w:val="24"/>
          <w:szCs w:val="24"/>
          <w:lang w:val="ro-MD"/>
        </w:rPr>
        <w:t>,</w:t>
      </w:r>
      <w:r w:rsidR="00A6120D" w:rsidRPr="00DD5F1D">
        <w:rPr>
          <w:rFonts w:ascii="Times New Roman" w:hAnsi="Times New Roman" w:cs="Times New Roman"/>
          <w:color w:val="000000" w:themeColor="text1"/>
          <w:sz w:val="24"/>
          <w:szCs w:val="24"/>
          <w:lang w:val="ro-MD"/>
        </w:rPr>
        <w:t xml:space="preserve"> </w:t>
      </w:r>
      <w:r w:rsidR="00E23177" w:rsidRPr="00DD5F1D">
        <w:rPr>
          <w:rFonts w:ascii="Times New Roman" w:hAnsi="Times New Roman" w:cs="Times New Roman"/>
          <w:color w:val="000000" w:themeColor="text1"/>
          <w:sz w:val="24"/>
          <w:szCs w:val="24"/>
          <w:lang w:val="ro-MD"/>
        </w:rPr>
        <w:t>cauzează</w:t>
      </w:r>
      <w:r w:rsidR="003609C3" w:rsidRPr="00DD5F1D">
        <w:rPr>
          <w:rFonts w:ascii="Times New Roman" w:hAnsi="Times New Roman" w:cs="Times New Roman"/>
          <w:color w:val="000000" w:themeColor="text1"/>
          <w:sz w:val="24"/>
          <w:szCs w:val="24"/>
          <w:lang w:val="ro-MD"/>
        </w:rPr>
        <w:t xml:space="preserve"> neobținerea veniturilor posibile la BASS</w:t>
      </w:r>
      <w:r w:rsidR="00A6120D" w:rsidRPr="00DD5F1D">
        <w:rPr>
          <w:rFonts w:ascii="Times New Roman" w:hAnsi="Times New Roman" w:cs="Times New Roman"/>
          <w:color w:val="000000" w:themeColor="text1"/>
          <w:sz w:val="24"/>
          <w:szCs w:val="24"/>
          <w:lang w:val="ro-MD"/>
        </w:rPr>
        <w:t>.</w:t>
      </w:r>
    </w:p>
    <w:p w14:paraId="70CA593A" w14:textId="172E5180" w:rsidR="0019542C" w:rsidRPr="00DD5F1D" w:rsidRDefault="0019542C" w:rsidP="0019542C">
      <w:pPr>
        <w:tabs>
          <w:tab w:val="left" w:pos="709"/>
          <w:tab w:val="left" w:pos="993"/>
          <w:tab w:val="left" w:pos="1276"/>
        </w:tabs>
        <w:spacing w:after="0" w:line="276" w:lineRule="auto"/>
        <w:jc w:val="both"/>
        <w:rPr>
          <w:rFonts w:ascii="Times New Roman" w:hAnsi="Times New Roman" w:cs="Times New Roman"/>
          <w:sz w:val="24"/>
          <w:szCs w:val="24"/>
          <w:lang w:val="ro-MD"/>
        </w:rPr>
      </w:pPr>
      <w:r w:rsidRPr="00DD5F1D">
        <w:rPr>
          <w:rFonts w:ascii="Times New Roman" w:hAnsi="Times New Roman" w:cs="Times New Roman"/>
          <w:iCs/>
          <w:sz w:val="24"/>
          <w:szCs w:val="24"/>
          <w:lang w:val="ro-MD"/>
        </w:rPr>
        <w:t xml:space="preserve">Cu referire la implementarea recomandărilor de către MS, actuala misiune de audit relevă că acțiunile întreprinse nu au avut impactul scontat, </w:t>
      </w:r>
      <w:r w:rsidR="00E23177" w:rsidRPr="00DD5F1D">
        <w:rPr>
          <w:rFonts w:ascii="Times New Roman" w:hAnsi="Times New Roman" w:cs="Times New Roman"/>
          <w:iCs/>
          <w:sz w:val="24"/>
          <w:szCs w:val="24"/>
          <w:lang w:val="ro-MD"/>
        </w:rPr>
        <w:t xml:space="preserve">și anume </w:t>
      </w:r>
      <w:r w:rsidRPr="00DD5F1D">
        <w:rPr>
          <w:rFonts w:ascii="Times New Roman" w:hAnsi="Times New Roman" w:cs="Times New Roman"/>
          <w:iCs/>
          <w:sz w:val="24"/>
          <w:szCs w:val="24"/>
          <w:lang w:val="ro-MD"/>
        </w:rPr>
        <w:t xml:space="preserve">de </w:t>
      </w:r>
      <w:r w:rsidRPr="00DD5F1D">
        <w:rPr>
          <w:rFonts w:ascii="Times New Roman" w:hAnsi="Times New Roman" w:cs="Times New Roman"/>
          <w:sz w:val="24"/>
          <w:szCs w:val="24"/>
          <w:lang w:val="ro-MD"/>
        </w:rPr>
        <w:t xml:space="preserve">eficientizare a controlului permanent asupra corectitudinii și plenitudinii datelor introduse în Portalul certificatelor de concediu medical, </w:t>
      </w:r>
      <w:r w:rsidR="00D5169A" w:rsidRPr="00DD5F1D">
        <w:rPr>
          <w:rFonts w:ascii="Times New Roman" w:hAnsi="Times New Roman" w:cs="Times New Roman"/>
          <w:sz w:val="24"/>
          <w:szCs w:val="24"/>
          <w:lang w:val="ro-MD"/>
        </w:rPr>
        <w:t>ceea</w:t>
      </w:r>
      <w:r w:rsidRPr="00DD5F1D">
        <w:rPr>
          <w:rFonts w:ascii="Times New Roman" w:hAnsi="Times New Roman" w:cs="Times New Roman"/>
          <w:sz w:val="24"/>
          <w:szCs w:val="24"/>
          <w:lang w:val="ro-MD"/>
        </w:rPr>
        <w:t xml:space="preserve"> ce creează situații de stabilire a indemnizației cu </w:t>
      </w:r>
      <w:r w:rsidR="00F10437" w:rsidRPr="00DD5F1D">
        <w:rPr>
          <w:rFonts w:ascii="Times New Roman" w:hAnsi="Times New Roman" w:cs="Times New Roman"/>
          <w:sz w:val="24"/>
          <w:szCs w:val="24"/>
          <w:lang w:val="ro-MD"/>
        </w:rPr>
        <w:t xml:space="preserve">depășirea termenului stabilit </w:t>
      </w:r>
      <w:r w:rsidRPr="00DD5F1D">
        <w:rPr>
          <w:rFonts w:ascii="Times New Roman" w:hAnsi="Times New Roman" w:cs="Times New Roman"/>
          <w:sz w:val="24"/>
          <w:szCs w:val="24"/>
          <w:lang w:val="ro-MD"/>
        </w:rPr>
        <w:t>mai mult de 1 an. De asemenea, până în prezent sunt identificate plăți nejustificate în cazul decesului pensionarilor, generate de lipsa unui sistem informațional medical automatizat, precum și de introducerea tardivă a informației despre deces.</w:t>
      </w:r>
    </w:p>
    <w:p w14:paraId="1DCE02C1" w14:textId="77777777" w:rsidR="008F2E85" w:rsidRPr="00DD5F1D" w:rsidRDefault="008F2E85" w:rsidP="0019542C">
      <w:pPr>
        <w:tabs>
          <w:tab w:val="left" w:pos="709"/>
          <w:tab w:val="left" w:pos="993"/>
          <w:tab w:val="left" w:pos="1276"/>
        </w:tabs>
        <w:spacing w:after="0" w:line="276" w:lineRule="auto"/>
        <w:jc w:val="both"/>
        <w:rPr>
          <w:rFonts w:ascii="Times New Roman" w:hAnsi="Times New Roman" w:cs="Times New Roman"/>
          <w:sz w:val="24"/>
          <w:szCs w:val="24"/>
          <w:lang w:val="ro-MD"/>
        </w:rPr>
      </w:pPr>
    </w:p>
    <w:p w14:paraId="034C632F" w14:textId="7DA0D151" w:rsidR="00E578FA" w:rsidRPr="009A6E4D" w:rsidRDefault="00E578FA" w:rsidP="00E578FA">
      <w:pPr>
        <w:pStyle w:val="aa"/>
        <w:numPr>
          <w:ilvl w:val="1"/>
          <w:numId w:val="2"/>
        </w:numPr>
        <w:spacing w:line="276" w:lineRule="auto"/>
        <w:ind w:left="0" w:firstLine="0"/>
        <w:jc w:val="both"/>
        <w:outlineLvl w:val="1"/>
        <w:rPr>
          <w:rFonts w:ascii="Times New Roman" w:hAnsi="Times New Roman" w:cs="Times New Roman"/>
          <w:sz w:val="24"/>
          <w:szCs w:val="24"/>
          <w:lang w:val="ro-MD"/>
        </w:rPr>
      </w:pPr>
      <w:r w:rsidRPr="00B7777D">
        <w:rPr>
          <w:rFonts w:ascii="Times New Roman" w:hAnsi="Times New Roman" w:cs="Times New Roman"/>
          <w:b/>
          <w:sz w:val="24"/>
          <w:szCs w:val="24"/>
          <w:lang w:val="ro-MD"/>
        </w:rPr>
        <w:t>Neevaluarea facilităților privind tarifele contribuțiilor asigurărilor sociale de stat acorda</w:t>
      </w:r>
      <w:r w:rsidRPr="009A6E4D">
        <w:rPr>
          <w:rFonts w:ascii="Times New Roman" w:hAnsi="Times New Roman" w:cs="Times New Roman"/>
          <w:b/>
          <w:sz w:val="24"/>
          <w:szCs w:val="24"/>
          <w:lang w:val="ro-MD"/>
        </w:rPr>
        <w:t>te ș</w:t>
      </w:r>
      <w:r w:rsidR="003609C3" w:rsidRPr="00193E3C">
        <w:rPr>
          <w:rFonts w:ascii="Times New Roman" w:hAnsi="Times New Roman" w:cs="Times New Roman"/>
          <w:b/>
          <w:sz w:val="24"/>
          <w:szCs w:val="24"/>
          <w:lang w:val="ro-MD"/>
        </w:rPr>
        <w:t>i a impactului acestora</w:t>
      </w:r>
      <w:r w:rsidR="007D32B0">
        <w:rPr>
          <w:rFonts w:ascii="Times New Roman" w:hAnsi="Times New Roman" w:cs="Times New Roman"/>
          <w:b/>
          <w:sz w:val="24"/>
          <w:szCs w:val="24"/>
          <w:lang w:val="ro-MD"/>
        </w:rPr>
        <w:t>,</w:t>
      </w:r>
      <w:r w:rsidR="003609C3" w:rsidRPr="00193E3C">
        <w:rPr>
          <w:rFonts w:ascii="Times New Roman" w:hAnsi="Times New Roman" w:cs="Times New Roman"/>
          <w:b/>
          <w:sz w:val="24"/>
          <w:szCs w:val="24"/>
          <w:lang w:val="ro-MD"/>
        </w:rPr>
        <w:t xml:space="preserve"> </w:t>
      </w:r>
      <w:r w:rsidR="00912273" w:rsidRPr="005152D5">
        <w:rPr>
          <w:rFonts w:ascii="Times New Roman" w:hAnsi="Times New Roman" w:cs="Times New Roman"/>
          <w:b/>
          <w:sz w:val="24"/>
          <w:szCs w:val="24"/>
          <w:lang w:val="ro-MD"/>
        </w:rPr>
        <w:t xml:space="preserve">nu identifică soluții de </w:t>
      </w:r>
      <w:r w:rsidR="00912273" w:rsidRPr="00A93D77">
        <w:rPr>
          <w:rFonts w:ascii="Times New Roman" w:hAnsi="Times New Roman" w:cs="Times New Roman"/>
          <w:b/>
          <w:sz w:val="24"/>
          <w:szCs w:val="24"/>
          <w:lang w:val="ro-MD"/>
        </w:rPr>
        <w:t xml:space="preserve">acoperire a deficitului </w:t>
      </w:r>
      <w:r w:rsidRPr="007D32B0">
        <w:rPr>
          <w:rFonts w:ascii="Times New Roman" w:hAnsi="Times New Roman" w:cs="Times New Roman"/>
          <w:b/>
          <w:sz w:val="24"/>
          <w:szCs w:val="24"/>
          <w:lang w:val="ro-MD"/>
        </w:rPr>
        <w:t>BASS</w:t>
      </w:r>
      <w:r w:rsidR="00E23177" w:rsidRPr="00B7777D">
        <w:rPr>
          <w:rFonts w:ascii="Times New Roman" w:hAnsi="Times New Roman" w:cs="Times New Roman"/>
          <w:b/>
          <w:sz w:val="24"/>
          <w:szCs w:val="24"/>
          <w:lang w:val="ro-MD"/>
        </w:rPr>
        <w:t>.</w:t>
      </w:r>
    </w:p>
    <w:p w14:paraId="2485B6FA" w14:textId="77777777" w:rsidR="00E578FA" w:rsidRPr="00DD5F1D" w:rsidRDefault="00E578FA" w:rsidP="00E578FA">
      <w:pPr>
        <w:spacing w:line="276" w:lineRule="auto"/>
        <w:jc w:val="both"/>
        <w:rPr>
          <w:lang w:val="ro-MD"/>
        </w:rPr>
      </w:pPr>
      <w:r w:rsidRPr="00DD5F1D">
        <w:rPr>
          <w:rFonts w:ascii="Times New Roman" w:hAnsi="Times New Roman" w:cs="Times New Roman"/>
          <w:sz w:val="24"/>
          <w:szCs w:val="24"/>
          <w:lang w:val="ro-MD"/>
        </w:rPr>
        <w:t>Pe parcursul dezvoltării sistemului public de asigurări sociale în Republica Moldova, tariful contribuției aplicat la fondul de remunerare a muncii a variat de la cota de 46% în anul 1992 până la cota de 29%, stabilită în anul 2005 și păstrată până în anul 2018. Din anul 2018, pentru angajatorii din sectorul privat tariful contribuției a fost diminuat cu 5 puncte procentuale și constituie 24%. Astfel, potrivit pct.1.1 al Anexei nr.1 la Legea nr.489/1999, angajatorul, persoana juridică sau fizică asimilată angajatorului, achită contribuții de asigurare socială de: - 29% de la suma salariilor și recompenselor calculate lunar pentru toți angajații, pentru angajatorii autorităților/instituțiilor bugetare și autorităților/instituțiilor publice la autogestiune, cu excepția instituțiilor de învățământ superior și a instituțiilor medico-sanitare; - 24% la suma salariilor și recompenselor calculate lunar pentru toți angajații, pentru angajatorii sectorului privat, instituțiilor de învățământ superior și ai instituțiilor medico-sanitare.</w:t>
      </w:r>
      <w:r w:rsidRPr="00DD5F1D">
        <w:rPr>
          <w:lang w:val="ro-MD"/>
        </w:rPr>
        <w:t xml:space="preserve"> </w:t>
      </w:r>
    </w:p>
    <w:p w14:paraId="1E462482" w14:textId="57D52542" w:rsidR="00E578FA" w:rsidRPr="00DD5F1D" w:rsidRDefault="00E578FA" w:rsidP="00100079">
      <w:pPr>
        <w:pStyle w:val="Default"/>
        <w:spacing w:after="240" w:line="276" w:lineRule="auto"/>
        <w:jc w:val="both"/>
        <w:rPr>
          <w:color w:val="auto"/>
          <w:lang w:val="ro-MD"/>
        </w:rPr>
      </w:pPr>
      <w:r w:rsidRPr="00DD5F1D">
        <w:rPr>
          <w:color w:val="auto"/>
          <w:lang w:val="ro-MD"/>
        </w:rPr>
        <w:t>Diminuarea cotei de contribuții s-a realizat în scopul susținerii sectorului privat și scoater</w:t>
      </w:r>
      <w:r w:rsidR="00D5169A" w:rsidRPr="00DD5F1D">
        <w:rPr>
          <w:color w:val="auto"/>
          <w:lang w:val="ro-MD"/>
        </w:rPr>
        <w:t>ii</w:t>
      </w:r>
      <w:r w:rsidRPr="00DD5F1D">
        <w:rPr>
          <w:color w:val="auto"/>
          <w:lang w:val="ro-MD"/>
        </w:rPr>
        <w:t xml:space="preserve"> fondului de remunerare a muncii din tenebritate. Analiza de audit denotă că intențiile </w:t>
      </w:r>
      <w:r w:rsidR="000F5588" w:rsidRPr="00DD5F1D">
        <w:rPr>
          <w:color w:val="auto"/>
          <w:lang w:val="ro-MD"/>
        </w:rPr>
        <w:t xml:space="preserve">de </w:t>
      </w:r>
      <w:r w:rsidRPr="00DD5F1D">
        <w:rPr>
          <w:color w:val="auto"/>
          <w:lang w:val="ro-MD"/>
        </w:rPr>
        <w:t>lărgire a</w:t>
      </w:r>
      <w:r w:rsidR="00D5169A" w:rsidRPr="00DD5F1D">
        <w:rPr>
          <w:color w:val="auto"/>
          <w:lang w:val="ro-MD"/>
        </w:rPr>
        <w:t>le</w:t>
      </w:r>
      <w:r w:rsidRPr="00DD5F1D">
        <w:rPr>
          <w:color w:val="auto"/>
          <w:lang w:val="ro-MD"/>
        </w:rPr>
        <w:t xml:space="preserve"> bazei de calcul nu </w:t>
      </w:r>
      <w:r w:rsidR="0063268F" w:rsidRPr="00DD5F1D">
        <w:rPr>
          <w:color w:val="auto"/>
          <w:lang w:val="ro-MD"/>
        </w:rPr>
        <w:t xml:space="preserve">  </w:t>
      </w:r>
      <w:r w:rsidRPr="00DD5F1D">
        <w:rPr>
          <w:color w:val="auto"/>
          <w:lang w:val="ro-MD"/>
        </w:rPr>
        <w:t>s-au soldat cu rezultate majore. Astfel, deși baza de calcul a înregistrat în anul 2023 o creștere cu 23</w:t>
      </w:r>
      <w:r w:rsidR="00D5169A" w:rsidRPr="00DD5F1D">
        <w:rPr>
          <w:color w:val="auto"/>
          <w:lang w:val="ro-MD"/>
        </w:rPr>
        <w:t xml:space="preserve"> </w:t>
      </w:r>
      <w:r w:rsidRPr="00DD5F1D">
        <w:rPr>
          <w:color w:val="auto"/>
          <w:lang w:val="ro-MD"/>
        </w:rPr>
        <w:t xml:space="preserve">390,4 mil. lei față de anul 2019, numărul de </w:t>
      </w:r>
      <w:r w:rsidR="00046B68" w:rsidRPr="00DD5F1D">
        <w:rPr>
          <w:color w:val="auto"/>
          <w:lang w:val="ro-MD"/>
        </w:rPr>
        <w:t>contribuabili</w:t>
      </w:r>
      <w:r w:rsidRPr="00DD5F1D">
        <w:rPr>
          <w:color w:val="auto"/>
          <w:lang w:val="ro-MD"/>
        </w:rPr>
        <w:t xml:space="preserve"> a scăzut cu 3</w:t>
      </w:r>
      <w:r w:rsidR="00D5169A" w:rsidRPr="00DD5F1D">
        <w:rPr>
          <w:color w:val="auto"/>
          <w:lang w:val="ro-MD"/>
        </w:rPr>
        <w:t xml:space="preserve"> </w:t>
      </w:r>
      <w:r w:rsidRPr="00DD5F1D">
        <w:rPr>
          <w:color w:val="auto"/>
          <w:lang w:val="ro-MD"/>
        </w:rPr>
        <w:t>992 de persoane, iar baza de calcul s</w:t>
      </w:r>
      <w:r w:rsidR="00D5169A" w:rsidRPr="00DD5F1D">
        <w:rPr>
          <w:color w:val="auto"/>
          <w:lang w:val="ro-MD"/>
        </w:rPr>
        <w:t>-a</w:t>
      </w:r>
      <w:r w:rsidRPr="00DD5F1D">
        <w:rPr>
          <w:color w:val="auto"/>
          <w:lang w:val="ro-MD"/>
        </w:rPr>
        <w:t xml:space="preserve"> major</w:t>
      </w:r>
      <w:r w:rsidR="00D5169A" w:rsidRPr="00DD5F1D">
        <w:rPr>
          <w:color w:val="auto"/>
          <w:lang w:val="ro-MD"/>
        </w:rPr>
        <w:t>at</w:t>
      </w:r>
      <w:r w:rsidRPr="00DD5F1D">
        <w:rPr>
          <w:color w:val="auto"/>
          <w:lang w:val="ro-MD"/>
        </w:rPr>
        <w:t xml:space="preserve"> inclusiv </w:t>
      </w:r>
      <w:r w:rsidR="00D5169A" w:rsidRPr="00DD5F1D">
        <w:rPr>
          <w:color w:val="auto"/>
          <w:lang w:val="ro-MD"/>
        </w:rPr>
        <w:t xml:space="preserve">datorită </w:t>
      </w:r>
      <w:r w:rsidRPr="00DD5F1D">
        <w:rPr>
          <w:color w:val="auto"/>
          <w:lang w:val="ro-MD"/>
        </w:rPr>
        <w:t>creșterii constante a indicatorilor macroeconomici, a salariului mediu pe economie.</w:t>
      </w:r>
    </w:p>
    <w:p w14:paraId="2A0A3A42" w14:textId="6219A813" w:rsidR="00E578FA" w:rsidRPr="00DD5F1D" w:rsidRDefault="00252C53" w:rsidP="00E578FA">
      <w:pPr>
        <w:pStyle w:val="Default"/>
        <w:spacing w:line="276" w:lineRule="auto"/>
        <w:jc w:val="both"/>
        <w:rPr>
          <w:color w:val="000000" w:themeColor="text1"/>
          <w:lang w:val="ro-MD"/>
        </w:rPr>
      </w:pPr>
      <w:r w:rsidRPr="00DD5F1D">
        <w:rPr>
          <w:color w:val="auto"/>
          <w:lang w:val="ro-MD"/>
        </w:rPr>
        <w:t>Potrivit cadrului normativ</w:t>
      </w:r>
      <w:r w:rsidR="00E578FA" w:rsidRPr="00DD5F1D">
        <w:rPr>
          <w:vertAlign w:val="superscript"/>
          <w:lang w:val="ro-MD"/>
        </w:rPr>
        <w:footnoteReference w:id="62"/>
      </w:r>
      <w:r w:rsidR="00E578FA" w:rsidRPr="00DD5F1D">
        <w:rPr>
          <w:color w:val="auto"/>
          <w:lang w:val="ro-MD"/>
        </w:rPr>
        <w:t>, ajutorul de stat este o măsură de sprijin care poate fi acordat, inclusiv prin scutiri și/</w:t>
      </w:r>
      <w:r w:rsidR="00E578FA" w:rsidRPr="00DD5F1D">
        <w:rPr>
          <w:color w:val="000000" w:themeColor="text1"/>
          <w:lang w:val="ro-MD"/>
        </w:rPr>
        <w:t>sau reduceri la plata impozitelor, a taxelor și a altor plăți obligatorii. De asemenea, aceeași lege prevede că furnizorul ajutorului de stat/autoritatea de stat are obligația să țină o evidență strictă a ajutoarelor de stat acordate</w:t>
      </w:r>
      <w:r w:rsidR="00E578FA" w:rsidRPr="00DD5F1D">
        <w:rPr>
          <w:color w:val="000000" w:themeColor="text1"/>
          <w:vertAlign w:val="superscript"/>
          <w:lang w:val="ro-MD"/>
        </w:rPr>
        <w:footnoteReference w:id="63"/>
      </w:r>
      <w:r w:rsidR="00E578FA" w:rsidRPr="00DD5F1D">
        <w:rPr>
          <w:color w:val="000000" w:themeColor="text1"/>
          <w:lang w:val="ro-MD"/>
        </w:rPr>
        <w:t>.</w:t>
      </w:r>
    </w:p>
    <w:p w14:paraId="6569BA02" w14:textId="3F10613C" w:rsidR="00E578FA" w:rsidRPr="00DD5F1D" w:rsidRDefault="00E578FA" w:rsidP="00E578FA">
      <w:pPr>
        <w:pStyle w:val="a6"/>
        <w:spacing w:line="276" w:lineRule="auto"/>
        <w:ind w:firstLine="0"/>
        <w:rPr>
          <w:color w:val="000000" w:themeColor="text1"/>
          <w:shd w:val="clear" w:color="auto" w:fill="FFFFFF"/>
          <w:lang w:val="ro-MD"/>
        </w:rPr>
      </w:pPr>
      <w:r w:rsidRPr="00DD5F1D">
        <w:rPr>
          <w:color w:val="000000" w:themeColor="text1"/>
          <w:lang w:val="ro-MD"/>
        </w:rPr>
        <w:t>Concomitent precizăm că, potrivit cadrului normativ</w:t>
      </w:r>
      <w:r w:rsidRPr="00DD5F1D">
        <w:rPr>
          <w:rStyle w:val="a5"/>
          <w:rFonts w:eastAsiaTheme="majorEastAsia"/>
          <w:color w:val="000000" w:themeColor="text1"/>
          <w:shd w:val="clear" w:color="auto" w:fill="FFFFFF"/>
          <w:lang w:val="ro-MD"/>
        </w:rPr>
        <w:footnoteReference w:id="64"/>
      </w:r>
      <w:r w:rsidRPr="00DD5F1D">
        <w:rPr>
          <w:color w:val="000000" w:themeColor="text1"/>
          <w:lang w:val="ro-MD"/>
        </w:rPr>
        <w:t>, funcțiile de bază ale MMPS sunt</w:t>
      </w:r>
      <w:r w:rsidRPr="00DD5F1D">
        <w:rPr>
          <w:color w:val="000000" w:themeColor="text1"/>
          <w:shd w:val="clear" w:color="auto" w:fill="FFFFFF"/>
          <w:lang w:val="ro-MD"/>
        </w:rPr>
        <w:t xml:space="preserve"> monitorizarea calităţii politicilor publice şi actelor normative în domeniile de activitate specifice Ministerului, inclusiv în colaborare cu societatea civilă şi sectorul privat</w:t>
      </w:r>
      <w:r w:rsidR="00912AB0" w:rsidRPr="00DD5F1D">
        <w:rPr>
          <w:color w:val="000000" w:themeColor="text1"/>
          <w:shd w:val="clear" w:color="auto" w:fill="FFFFFF"/>
          <w:lang w:val="ro-MD"/>
        </w:rPr>
        <w:t>,</w:t>
      </w:r>
      <w:r w:rsidRPr="00DD5F1D">
        <w:rPr>
          <w:color w:val="000000" w:themeColor="text1"/>
          <w:shd w:val="clear" w:color="auto" w:fill="FFFFFF"/>
          <w:lang w:val="ro-MD"/>
        </w:rPr>
        <w:t xml:space="preserve"> precum și elaborarea analizelor ex</w:t>
      </w:r>
      <w:r w:rsidR="00912AB0" w:rsidRPr="00DD5F1D">
        <w:rPr>
          <w:color w:val="000000" w:themeColor="text1"/>
          <w:shd w:val="clear" w:color="auto" w:fill="FFFFFF"/>
          <w:lang w:val="ro-MD"/>
        </w:rPr>
        <w:t>-</w:t>
      </w:r>
      <w:r w:rsidRPr="00DD5F1D">
        <w:rPr>
          <w:color w:val="000000" w:themeColor="text1"/>
          <w:shd w:val="clear" w:color="auto" w:fill="FFFFFF"/>
          <w:lang w:val="ro-MD"/>
        </w:rPr>
        <w:t xml:space="preserve">ante, documentelor de politici, proiectelor de acte normative în domeniile asigurărilor sociale, după publicarea acestora în Monitorul Oficial al Republicii Moldova. Astfel, la solicitarea auditului privind </w:t>
      </w:r>
      <w:r w:rsidRPr="00DD5F1D">
        <w:rPr>
          <w:color w:val="000000"/>
          <w:lang w:val="ro-MD"/>
        </w:rPr>
        <w:t>estimarea și evaluarea impactului facilității aferente achitării contribuției de asigurare socială pentru sectorul privat</w:t>
      </w:r>
      <w:r w:rsidR="00912AB0" w:rsidRPr="00DD5F1D">
        <w:rPr>
          <w:color w:val="000000"/>
          <w:lang w:val="ro-MD"/>
        </w:rPr>
        <w:t>,</w:t>
      </w:r>
      <w:r w:rsidRPr="00DD5F1D">
        <w:rPr>
          <w:color w:val="000000"/>
          <w:lang w:val="ro-MD"/>
        </w:rPr>
        <w:t xml:space="preserve"> precum și </w:t>
      </w:r>
      <w:r w:rsidR="00912AB0" w:rsidRPr="00DD5F1D">
        <w:rPr>
          <w:color w:val="000000"/>
          <w:lang w:val="ro-MD"/>
        </w:rPr>
        <w:t xml:space="preserve">a </w:t>
      </w:r>
      <w:r w:rsidRPr="00DD5F1D">
        <w:rPr>
          <w:color w:val="000000"/>
          <w:lang w:val="ro-MD"/>
        </w:rPr>
        <w:t>cheltuielil</w:t>
      </w:r>
      <w:r w:rsidR="00912AB0" w:rsidRPr="00DD5F1D">
        <w:rPr>
          <w:color w:val="000000"/>
          <w:lang w:val="ro-MD"/>
        </w:rPr>
        <w:t>or</w:t>
      </w:r>
      <w:r w:rsidRPr="00DD5F1D">
        <w:rPr>
          <w:color w:val="000000"/>
          <w:lang w:val="ro-MD"/>
        </w:rPr>
        <w:t xml:space="preserve"> suplimentare suportate de autoritățile/instituțiile bugetare și autoritățile/ instituțiile publice la autogestiune de la intrarea în vigoare a acestei diferențieri,</w:t>
      </w:r>
      <w:r w:rsidRPr="00DD5F1D">
        <w:rPr>
          <w:color w:val="000000" w:themeColor="text1"/>
          <w:shd w:val="clear" w:color="auto" w:fill="FFFFFF"/>
          <w:lang w:val="ro-MD"/>
        </w:rPr>
        <w:t xml:space="preserve"> MM</w:t>
      </w:r>
      <w:r w:rsidR="0067355D" w:rsidRPr="00DD5F1D">
        <w:rPr>
          <w:color w:val="000000" w:themeColor="text1"/>
          <w:shd w:val="clear" w:color="auto" w:fill="FFFFFF"/>
          <w:lang w:val="ro-MD"/>
        </w:rPr>
        <w:t>PS nu a oferit date auditului</w:t>
      </w:r>
      <w:r w:rsidRPr="00DD5F1D">
        <w:rPr>
          <w:rStyle w:val="a5"/>
          <w:rFonts w:eastAsiaTheme="majorEastAsia"/>
          <w:i/>
          <w:lang w:val="ro-MD"/>
        </w:rPr>
        <w:footnoteReference w:id="65"/>
      </w:r>
      <w:r w:rsidRPr="00DD5F1D">
        <w:rPr>
          <w:i/>
          <w:lang w:val="ro-MD"/>
        </w:rPr>
        <w:t>.</w:t>
      </w:r>
    </w:p>
    <w:p w14:paraId="2411DC3C" w14:textId="6C51CA3B" w:rsidR="00E578FA" w:rsidRPr="00DD5F1D" w:rsidRDefault="00E578FA" w:rsidP="00E578FA">
      <w:pPr>
        <w:pStyle w:val="Default"/>
        <w:spacing w:line="276" w:lineRule="auto"/>
        <w:jc w:val="both"/>
        <w:rPr>
          <w:color w:val="000000" w:themeColor="text1"/>
          <w:shd w:val="clear" w:color="auto" w:fill="FFFFFF"/>
          <w:lang w:val="ro-MD"/>
        </w:rPr>
      </w:pPr>
      <w:r w:rsidRPr="00DD5F1D">
        <w:rPr>
          <w:color w:val="000000" w:themeColor="text1"/>
          <w:shd w:val="clear" w:color="auto" w:fill="FFFFFF"/>
          <w:lang w:val="ro-MD"/>
        </w:rPr>
        <w:t>În același timp, prin HCC</w:t>
      </w:r>
      <w:r w:rsidRPr="00DD5F1D">
        <w:rPr>
          <w:rStyle w:val="a5"/>
          <w:color w:val="000000" w:themeColor="text1"/>
          <w:shd w:val="clear" w:color="auto" w:fill="FFFFFF"/>
          <w:lang w:val="ro-MD"/>
        </w:rPr>
        <w:footnoteReference w:id="66"/>
      </w:r>
      <w:r w:rsidRPr="00DD5F1D">
        <w:rPr>
          <w:color w:val="000000" w:themeColor="text1"/>
          <w:shd w:val="clear" w:color="auto" w:fill="FFFFFF"/>
          <w:lang w:val="ro-MD"/>
        </w:rPr>
        <w:t xml:space="preserve"> a fost înaintată o recomandare prin care MMPS urma </w:t>
      </w:r>
      <w:r w:rsidR="00912AB0" w:rsidRPr="00DD5F1D">
        <w:rPr>
          <w:i/>
          <w:color w:val="000000" w:themeColor="text1"/>
          <w:shd w:val="clear" w:color="auto" w:fill="FFFFFF"/>
          <w:lang w:val="ro-MD"/>
        </w:rPr>
        <w:t>„</w:t>
      </w:r>
      <w:r w:rsidRPr="00DD5F1D">
        <w:rPr>
          <w:i/>
          <w:color w:val="000000" w:themeColor="text1"/>
          <w:shd w:val="clear" w:color="auto" w:fill="FFFFFF"/>
          <w:lang w:val="ro-MD"/>
        </w:rPr>
        <w:t>să asigure fundamentarea cotelor diferențiate de asigurări sociale, cu evaluarea impactului și corectitudinea reflectării acestora în rapoartele financiare”</w:t>
      </w:r>
      <w:r w:rsidRPr="00DD5F1D">
        <w:rPr>
          <w:color w:val="000000" w:themeColor="text1"/>
          <w:shd w:val="clear" w:color="auto" w:fill="FFFFFF"/>
          <w:lang w:val="ro-MD"/>
        </w:rPr>
        <w:t xml:space="preserve">, </w:t>
      </w:r>
      <w:r w:rsidR="00912AB0" w:rsidRPr="00DD5F1D">
        <w:rPr>
          <w:color w:val="000000" w:themeColor="text1"/>
          <w:shd w:val="clear" w:color="auto" w:fill="FFFFFF"/>
          <w:lang w:val="ro-MD"/>
        </w:rPr>
        <w:t xml:space="preserve">dar </w:t>
      </w:r>
      <w:r w:rsidRPr="00DD5F1D">
        <w:rPr>
          <w:color w:val="000000" w:themeColor="text1"/>
          <w:shd w:val="clear" w:color="auto" w:fill="FFFFFF"/>
          <w:lang w:val="ro-MD"/>
        </w:rPr>
        <w:t xml:space="preserve">se constată că recomandarea este neimplementată. La acest aspect MMPS a informat că, </w:t>
      </w:r>
      <w:r w:rsidRPr="00DD5F1D">
        <w:rPr>
          <w:i/>
          <w:color w:val="000000" w:themeColor="text1"/>
          <w:shd w:val="clear" w:color="auto" w:fill="FFFFFF"/>
          <w:lang w:val="ro-MD"/>
        </w:rPr>
        <w:t>„urmare a consultărilor publice cu partenerii de dezvoltare, organizațiile societății civile și alte părți interesate, acțiunea dată nu a fost susținută de către participanții la consultări, fiind considerată o povară pentru angajator, aspectul dat urmează a fi analizat mai complex”</w:t>
      </w:r>
      <w:r w:rsidRPr="00DD5F1D">
        <w:rPr>
          <w:rStyle w:val="a5"/>
          <w:i/>
          <w:color w:val="000000" w:themeColor="text1"/>
          <w:shd w:val="clear" w:color="auto" w:fill="FFFFFF"/>
          <w:lang w:val="ro-MD"/>
        </w:rPr>
        <w:footnoteReference w:id="67"/>
      </w:r>
      <w:r w:rsidRPr="00DD5F1D">
        <w:rPr>
          <w:i/>
          <w:color w:val="000000" w:themeColor="text1"/>
          <w:shd w:val="clear" w:color="auto" w:fill="FFFFFF"/>
          <w:lang w:val="ro-MD"/>
        </w:rPr>
        <w:t>.</w:t>
      </w:r>
    </w:p>
    <w:p w14:paraId="511D67AD" w14:textId="358C08C3" w:rsidR="00E578FA" w:rsidRPr="00DD5F1D" w:rsidRDefault="00E578FA" w:rsidP="00E578FA">
      <w:pPr>
        <w:pStyle w:val="Default"/>
        <w:spacing w:line="276" w:lineRule="auto"/>
        <w:jc w:val="both"/>
        <w:rPr>
          <w:color w:val="000000" w:themeColor="text1"/>
          <w:lang w:val="ro-MD"/>
        </w:rPr>
      </w:pPr>
      <w:r w:rsidRPr="00DD5F1D">
        <w:rPr>
          <w:color w:val="000000" w:themeColor="text1"/>
          <w:lang w:val="ro-MD"/>
        </w:rPr>
        <w:t>Astfel, reieșind din baza de calcul declarată de către sectorul privat, auditul a analizat și</w:t>
      </w:r>
      <w:r w:rsidR="00912AB0" w:rsidRPr="00DD5F1D">
        <w:rPr>
          <w:color w:val="000000" w:themeColor="text1"/>
          <w:lang w:val="ro-MD"/>
        </w:rPr>
        <w:t xml:space="preserve"> a</w:t>
      </w:r>
      <w:r w:rsidRPr="00DD5F1D">
        <w:rPr>
          <w:color w:val="000000" w:themeColor="text1"/>
          <w:lang w:val="ro-MD"/>
        </w:rPr>
        <w:t xml:space="preserve"> estimat că </w:t>
      </w:r>
      <w:r w:rsidRPr="00DD5F1D">
        <w:rPr>
          <w:rFonts w:eastAsia="Times New Roman"/>
          <w:lang w:val="ro-MD"/>
        </w:rPr>
        <w:t xml:space="preserve">suma facilității contribuțiilor acordate sectorului privat pentru dezvoltarea și scoaterea economiei din tenebritate </w:t>
      </w:r>
      <w:r w:rsidRPr="00DD5F1D">
        <w:rPr>
          <w:color w:val="000000" w:themeColor="text1"/>
          <w:lang w:val="ro-MD"/>
        </w:rPr>
        <w:t>în anul 2023 a fost de cca 3</w:t>
      </w:r>
      <w:r w:rsidR="00912AB0" w:rsidRPr="00DD5F1D">
        <w:rPr>
          <w:color w:val="000000" w:themeColor="text1"/>
          <w:lang w:val="ro-MD"/>
        </w:rPr>
        <w:t xml:space="preserve"> </w:t>
      </w:r>
      <w:r w:rsidRPr="00DD5F1D">
        <w:rPr>
          <w:color w:val="000000" w:themeColor="text1"/>
          <w:lang w:val="ro-MD"/>
        </w:rPr>
        <w:t>068,0 mil</w:t>
      </w:r>
      <w:r w:rsidR="00252C53" w:rsidRPr="00DD5F1D">
        <w:rPr>
          <w:color w:val="000000" w:themeColor="text1"/>
          <w:lang w:val="ro-MD"/>
        </w:rPr>
        <w:t>. lei, vezi tabelul de mai jos.</w:t>
      </w:r>
    </w:p>
    <w:p w14:paraId="554E3516" w14:textId="19413B54" w:rsidR="004B301E" w:rsidRPr="00DD5F1D" w:rsidRDefault="004B301E" w:rsidP="00E578FA">
      <w:pPr>
        <w:pStyle w:val="Default"/>
        <w:spacing w:line="276" w:lineRule="auto"/>
        <w:jc w:val="both"/>
        <w:rPr>
          <w:color w:val="000000" w:themeColor="text1"/>
          <w:lang w:val="ro-MD"/>
        </w:rPr>
      </w:pPr>
    </w:p>
    <w:p w14:paraId="701F3EF2" w14:textId="3A31C4BA" w:rsidR="00E578FA" w:rsidRPr="00DD5F1D" w:rsidRDefault="00E578FA" w:rsidP="00E578FA">
      <w:pPr>
        <w:pStyle w:val="Default"/>
        <w:spacing w:line="276" w:lineRule="auto"/>
        <w:jc w:val="right"/>
        <w:rPr>
          <w:b/>
          <w:color w:val="auto"/>
          <w:sz w:val="22"/>
          <w:lang w:val="ro-MD"/>
        </w:rPr>
      </w:pPr>
      <w:r w:rsidRPr="00DD5F1D">
        <w:rPr>
          <w:b/>
          <w:color w:val="auto"/>
          <w:sz w:val="22"/>
          <w:lang w:val="ro-MD"/>
        </w:rPr>
        <w:t xml:space="preserve">Tabelul nr. </w:t>
      </w:r>
      <w:r w:rsidR="00E462E2" w:rsidRPr="00DD5F1D">
        <w:rPr>
          <w:b/>
          <w:color w:val="auto"/>
          <w:sz w:val="22"/>
          <w:lang w:val="ro-MD"/>
        </w:rPr>
        <w:t>1</w:t>
      </w:r>
      <w:r w:rsidR="0021536C" w:rsidRPr="00DD5F1D">
        <w:rPr>
          <w:b/>
          <w:color w:val="auto"/>
          <w:sz w:val="22"/>
          <w:lang w:val="ro-MD"/>
        </w:rPr>
        <w:t>0</w:t>
      </w:r>
    </w:p>
    <w:p w14:paraId="79BEC7B7" w14:textId="77777777" w:rsidR="00E578FA" w:rsidRPr="00DD5F1D" w:rsidRDefault="00E578FA" w:rsidP="00E578FA">
      <w:pPr>
        <w:pStyle w:val="Default"/>
        <w:spacing w:line="276" w:lineRule="auto"/>
        <w:jc w:val="center"/>
        <w:rPr>
          <w:b/>
          <w:color w:val="auto"/>
          <w:sz w:val="22"/>
          <w:lang w:val="ro-MD"/>
        </w:rPr>
      </w:pPr>
      <w:r w:rsidRPr="00DD5F1D">
        <w:rPr>
          <w:b/>
          <w:color w:val="auto"/>
          <w:sz w:val="22"/>
          <w:lang w:val="ro-MD"/>
        </w:rPr>
        <w:t>Evaluarea impactului privind aplicarea cotei contribuției de asigurări sociale</w:t>
      </w:r>
    </w:p>
    <w:p w14:paraId="2700B6C9" w14:textId="005118E4" w:rsidR="00E578FA" w:rsidRPr="00DD5F1D" w:rsidRDefault="00E578FA" w:rsidP="00E578FA">
      <w:pPr>
        <w:spacing w:after="0" w:line="276" w:lineRule="auto"/>
        <w:jc w:val="both"/>
        <w:rPr>
          <w:rFonts w:ascii="Times New Roman" w:hAnsi="Times New Roman" w:cs="Times New Roman"/>
          <w:sz w:val="20"/>
          <w:szCs w:val="20"/>
          <w:lang w:val="ro-MD"/>
        </w:rPr>
      </w:pPr>
      <w:r w:rsidRPr="00DD5F1D">
        <w:rPr>
          <w:rFonts w:ascii="Times New Roman" w:eastAsia="Times New Roman" w:hAnsi="Times New Roman" w:cs="Times New Roman"/>
          <w:color w:val="000000"/>
          <w:sz w:val="20"/>
          <w:szCs w:val="20"/>
          <w:lang w:val="ro-MD"/>
        </w:rPr>
        <w:t>Notă: *Pentru anul 2018, contribuțiile de 18%+6% în sectorul privat sunt prezentate pentru 3 luni (de la intrarea în vigoare a prevederilor legale)</w:t>
      </w:r>
      <w:r w:rsidR="00912AB0" w:rsidRPr="00DD5F1D">
        <w:rPr>
          <w:rFonts w:ascii="Times New Roman" w:eastAsia="Times New Roman" w:hAnsi="Times New Roman" w:cs="Times New Roman"/>
          <w:color w:val="000000"/>
          <w:sz w:val="20"/>
          <w:szCs w:val="20"/>
          <w:lang w:val="ro-MD"/>
        </w:rPr>
        <w:t>.</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974"/>
        <w:gridCol w:w="935"/>
        <w:gridCol w:w="997"/>
        <w:gridCol w:w="933"/>
        <w:gridCol w:w="933"/>
        <w:gridCol w:w="941"/>
        <w:gridCol w:w="989"/>
      </w:tblGrid>
      <w:tr w:rsidR="00E578FA" w:rsidRPr="00DD5F1D" w14:paraId="6EEBC8E7" w14:textId="77777777" w:rsidTr="00A4476B">
        <w:trPr>
          <w:trHeight w:val="449"/>
        </w:trPr>
        <w:tc>
          <w:tcPr>
            <w:tcW w:w="1760" w:type="pct"/>
            <w:shd w:val="clear" w:color="auto" w:fill="auto"/>
            <w:vAlign w:val="center"/>
            <w:hideMark/>
          </w:tcPr>
          <w:p w14:paraId="617107DF" w14:textId="77777777" w:rsidR="00E578FA" w:rsidRPr="00DD5F1D" w:rsidRDefault="00E578FA" w:rsidP="00100079">
            <w:pPr>
              <w:spacing w:after="0" w:line="240" w:lineRule="auto"/>
              <w:jc w:val="center"/>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Indicator</w:t>
            </w:r>
          </w:p>
        </w:tc>
        <w:tc>
          <w:tcPr>
            <w:tcW w:w="471" w:type="pct"/>
            <w:shd w:val="clear" w:color="auto" w:fill="auto"/>
            <w:vAlign w:val="center"/>
            <w:hideMark/>
          </w:tcPr>
          <w:p w14:paraId="4847E175" w14:textId="77777777" w:rsidR="00E578FA" w:rsidRPr="00DD5F1D" w:rsidRDefault="00E578FA" w:rsidP="00100079">
            <w:pPr>
              <w:spacing w:after="0" w:line="240" w:lineRule="auto"/>
              <w:jc w:val="center"/>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 xml:space="preserve">2018 </w:t>
            </w:r>
          </w:p>
        </w:tc>
        <w:tc>
          <w:tcPr>
            <w:tcW w:w="452" w:type="pct"/>
            <w:shd w:val="clear" w:color="auto" w:fill="auto"/>
            <w:vAlign w:val="center"/>
            <w:hideMark/>
          </w:tcPr>
          <w:p w14:paraId="08A1317B" w14:textId="77777777" w:rsidR="00E578FA" w:rsidRPr="00DD5F1D" w:rsidRDefault="00E578FA" w:rsidP="00100079">
            <w:pPr>
              <w:spacing w:after="0" w:line="240" w:lineRule="auto"/>
              <w:jc w:val="center"/>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 xml:space="preserve">2019     </w:t>
            </w:r>
          </w:p>
        </w:tc>
        <w:tc>
          <w:tcPr>
            <w:tcW w:w="482" w:type="pct"/>
            <w:shd w:val="clear" w:color="auto" w:fill="auto"/>
            <w:vAlign w:val="center"/>
            <w:hideMark/>
          </w:tcPr>
          <w:p w14:paraId="2AF3E558" w14:textId="77777777" w:rsidR="00E578FA" w:rsidRPr="00DD5F1D" w:rsidRDefault="00E578FA" w:rsidP="00100079">
            <w:pPr>
              <w:spacing w:after="0" w:line="240" w:lineRule="auto"/>
              <w:jc w:val="center"/>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 xml:space="preserve">2020 </w:t>
            </w:r>
          </w:p>
        </w:tc>
        <w:tc>
          <w:tcPr>
            <w:tcW w:w="451" w:type="pct"/>
            <w:shd w:val="clear" w:color="auto" w:fill="auto"/>
            <w:noWrap/>
            <w:vAlign w:val="center"/>
            <w:hideMark/>
          </w:tcPr>
          <w:p w14:paraId="69B23A81" w14:textId="77777777" w:rsidR="00E578FA" w:rsidRPr="00DD5F1D" w:rsidRDefault="00E578FA" w:rsidP="00100079">
            <w:pPr>
              <w:spacing w:after="0" w:line="240" w:lineRule="auto"/>
              <w:jc w:val="center"/>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2021</w:t>
            </w:r>
          </w:p>
        </w:tc>
        <w:tc>
          <w:tcPr>
            <w:tcW w:w="451" w:type="pct"/>
            <w:shd w:val="clear" w:color="auto" w:fill="auto"/>
            <w:noWrap/>
            <w:vAlign w:val="center"/>
            <w:hideMark/>
          </w:tcPr>
          <w:p w14:paraId="757B6963" w14:textId="77777777" w:rsidR="00E578FA" w:rsidRPr="00DD5F1D" w:rsidRDefault="00E578FA" w:rsidP="00100079">
            <w:pPr>
              <w:spacing w:after="0" w:line="240" w:lineRule="auto"/>
              <w:jc w:val="center"/>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2022</w:t>
            </w:r>
          </w:p>
        </w:tc>
        <w:tc>
          <w:tcPr>
            <w:tcW w:w="455" w:type="pct"/>
          </w:tcPr>
          <w:p w14:paraId="03BB0B42" w14:textId="77777777" w:rsidR="00912AB0" w:rsidRPr="00DD5F1D" w:rsidRDefault="00912AB0" w:rsidP="00100079">
            <w:pPr>
              <w:spacing w:after="0" w:line="240" w:lineRule="auto"/>
              <w:jc w:val="center"/>
              <w:rPr>
                <w:rFonts w:ascii="Times New Roman" w:eastAsia="Times New Roman" w:hAnsi="Times New Roman" w:cs="Times New Roman"/>
                <w:b/>
                <w:bCs/>
                <w:color w:val="000000"/>
                <w:sz w:val="20"/>
                <w:szCs w:val="20"/>
                <w:lang w:val="ro-MD"/>
              </w:rPr>
            </w:pPr>
          </w:p>
          <w:p w14:paraId="1A86E4D7" w14:textId="74D753E9" w:rsidR="00E578FA" w:rsidRPr="00DD5F1D" w:rsidRDefault="00E578FA" w:rsidP="00100079">
            <w:pPr>
              <w:spacing w:after="0" w:line="240" w:lineRule="auto"/>
              <w:jc w:val="center"/>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2023</w:t>
            </w:r>
          </w:p>
        </w:tc>
        <w:tc>
          <w:tcPr>
            <w:tcW w:w="479" w:type="pct"/>
            <w:vAlign w:val="center"/>
          </w:tcPr>
          <w:p w14:paraId="4405D8E8" w14:textId="77777777" w:rsidR="00E578FA" w:rsidRPr="00DD5F1D" w:rsidRDefault="00E578FA" w:rsidP="00100079">
            <w:pPr>
              <w:spacing w:after="0" w:line="240" w:lineRule="auto"/>
              <w:jc w:val="center"/>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Devieri</w:t>
            </w:r>
          </w:p>
          <w:p w14:paraId="2F5F1D17" w14:textId="77777777" w:rsidR="00E578FA" w:rsidRPr="00DD5F1D" w:rsidRDefault="00E578FA" w:rsidP="00100079">
            <w:pPr>
              <w:spacing w:after="0" w:line="240" w:lineRule="auto"/>
              <w:jc w:val="center"/>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2023-2019</w:t>
            </w:r>
          </w:p>
        </w:tc>
      </w:tr>
      <w:tr w:rsidR="00E578FA" w:rsidRPr="00DD5F1D" w14:paraId="2AE469AD" w14:textId="77777777" w:rsidTr="00A4476B">
        <w:trPr>
          <w:trHeight w:val="299"/>
        </w:trPr>
        <w:tc>
          <w:tcPr>
            <w:tcW w:w="1760" w:type="pct"/>
            <w:shd w:val="clear" w:color="auto" w:fill="auto"/>
            <w:vAlign w:val="bottom"/>
            <w:hideMark/>
          </w:tcPr>
          <w:p w14:paraId="6687460B" w14:textId="77777777" w:rsidR="00E578FA" w:rsidRPr="00DD5F1D" w:rsidRDefault="00E578FA"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Nr. mediu al salariaților în autoritățile publice, 29%</w:t>
            </w:r>
          </w:p>
        </w:tc>
        <w:tc>
          <w:tcPr>
            <w:tcW w:w="471" w:type="pct"/>
            <w:shd w:val="clear" w:color="auto" w:fill="auto"/>
            <w:noWrap/>
            <w:vAlign w:val="center"/>
            <w:hideMark/>
          </w:tcPr>
          <w:p w14:paraId="6E970536" w14:textId="77777777" w:rsidR="00E578FA" w:rsidRPr="00DD5F1D" w:rsidRDefault="00E578FA" w:rsidP="00100079">
            <w:pPr>
              <w:spacing w:after="0" w:line="240" w:lineRule="auto"/>
              <w:jc w:val="center"/>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x</w:t>
            </w:r>
          </w:p>
        </w:tc>
        <w:tc>
          <w:tcPr>
            <w:tcW w:w="452" w:type="pct"/>
            <w:shd w:val="clear" w:color="auto" w:fill="auto"/>
            <w:noWrap/>
            <w:vAlign w:val="center"/>
            <w:hideMark/>
          </w:tcPr>
          <w:p w14:paraId="32AFD411"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189515</w:t>
            </w:r>
          </w:p>
        </w:tc>
        <w:tc>
          <w:tcPr>
            <w:tcW w:w="482" w:type="pct"/>
            <w:shd w:val="clear" w:color="auto" w:fill="auto"/>
            <w:noWrap/>
            <w:vAlign w:val="center"/>
            <w:hideMark/>
          </w:tcPr>
          <w:p w14:paraId="1E6755F0"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183526</w:t>
            </w:r>
          </w:p>
        </w:tc>
        <w:tc>
          <w:tcPr>
            <w:tcW w:w="451" w:type="pct"/>
            <w:shd w:val="clear" w:color="auto" w:fill="auto"/>
            <w:noWrap/>
            <w:vAlign w:val="center"/>
            <w:hideMark/>
          </w:tcPr>
          <w:p w14:paraId="7D588FC8"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185235</w:t>
            </w:r>
          </w:p>
        </w:tc>
        <w:tc>
          <w:tcPr>
            <w:tcW w:w="451" w:type="pct"/>
            <w:tcBorders>
              <w:right w:val="single" w:sz="4" w:space="0" w:color="auto"/>
            </w:tcBorders>
            <w:shd w:val="clear" w:color="auto" w:fill="auto"/>
            <w:noWrap/>
            <w:vAlign w:val="center"/>
            <w:hideMark/>
          </w:tcPr>
          <w:p w14:paraId="4990E351"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181845</w:t>
            </w:r>
          </w:p>
        </w:tc>
        <w:tc>
          <w:tcPr>
            <w:tcW w:w="455" w:type="pct"/>
            <w:vAlign w:val="center"/>
          </w:tcPr>
          <w:p w14:paraId="566D7769"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181419</w:t>
            </w:r>
          </w:p>
        </w:tc>
        <w:tc>
          <w:tcPr>
            <w:tcW w:w="479" w:type="pct"/>
            <w:tcBorders>
              <w:right w:val="single" w:sz="4" w:space="0" w:color="auto"/>
            </w:tcBorders>
            <w:vAlign w:val="center"/>
          </w:tcPr>
          <w:p w14:paraId="408AE0F2"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-8096</w:t>
            </w:r>
          </w:p>
        </w:tc>
      </w:tr>
      <w:tr w:rsidR="00E578FA" w:rsidRPr="00DD5F1D" w14:paraId="77EC1BDF" w14:textId="77777777" w:rsidTr="00A4476B">
        <w:trPr>
          <w:trHeight w:val="449"/>
        </w:trPr>
        <w:tc>
          <w:tcPr>
            <w:tcW w:w="1760" w:type="pct"/>
            <w:shd w:val="clear" w:color="auto" w:fill="auto"/>
            <w:vAlign w:val="bottom"/>
            <w:hideMark/>
          </w:tcPr>
          <w:p w14:paraId="17B6C972" w14:textId="77777777" w:rsidR="00E578FA" w:rsidRPr="00DD5F1D" w:rsidRDefault="00E578FA"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Baza de calcul declarată a contribuțiilor în autoritățile publice, mil. lei</w:t>
            </w:r>
          </w:p>
        </w:tc>
        <w:tc>
          <w:tcPr>
            <w:tcW w:w="471" w:type="pct"/>
            <w:shd w:val="clear" w:color="auto" w:fill="auto"/>
            <w:noWrap/>
            <w:vAlign w:val="center"/>
            <w:hideMark/>
          </w:tcPr>
          <w:p w14:paraId="5A5AEBB6" w14:textId="77777777" w:rsidR="00E578FA" w:rsidRPr="00DD5F1D" w:rsidRDefault="00E578FA" w:rsidP="00100079">
            <w:pPr>
              <w:spacing w:after="0" w:line="240" w:lineRule="auto"/>
              <w:jc w:val="center"/>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x</w:t>
            </w:r>
          </w:p>
        </w:tc>
        <w:tc>
          <w:tcPr>
            <w:tcW w:w="452" w:type="pct"/>
            <w:shd w:val="clear" w:color="auto" w:fill="auto"/>
            <w:noWrap/>
            <w:vAlign w:val="center"/>
            <w:hideMark/>
          </w:tcPr>
          <w:p w14:paraId="6D118207"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14491,9</w:t>
            </w:r>
          </w:p>
        </w:tc>
        <w:tc>
          <w:tcPr>
            <w:tcW w:w="482" w:type="pct"/>
            <w:shd w:val="clear" w:color="auto" w:fill="auto"/>
            <w:noWrap/>
            <w:vAlign w:val="center"/>
            <w:hideMark/>
          </w:tcPr>
          <w:p w14:paraId="53B6295F"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15781,1</w:t>
            </w:r>
          </w:p>
        </w:tc>
        <w:tc>
          <w:tcPr>
            <w:tcW w:w="451" w:type="pct"/>
            <w:shd w:val="clear" w:color="auto" w:fill="auto"/>
            <w:noWrap/>
            <w:vAlign w:val="center"/>
            <w:hideMark/>
          </w:tcPr>
          <w:p w14:paraId="0E5E11D5"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16884,9</w:t>
            </w:r>
          </w:p>
        </w:tc>
        <w:tc>
          <w:tcPr>
            <w:tcW w:w="451" w:type="pct"/>
            <w:tcBorders>
              <w:right w:val="single" w:sz="4" w:space="0" w:color="auto"/>
            </w:tcBorders>
            <w:shd w:val="clear" w:color="auto" w:fill="auto"/>
            <w:noWrap/>
            <w:vAlign w:val="center"/>
            <w:hideMark/>
          </w:tcPr>
          <w:p w14:paraId="49DED692"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19146,4</w:t>
            </w:r>
          </w:p>
        </w:tc>
        <w:tc>
          <w:tcPr>
            <w:tcW w:w="455" w:type="pct"/>
            <w:vAlign w:val="center"/>
          </w:tcPr>
          <w:p w14:paraId="04DA6FBE"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22269,9</w:t>
            </w:r>
          </w:p>
        </w:tc>
        <w:tc>
          <w:tcPr>
            <w:tcW w:w="479" w:type="pct"/>
            <w:tcBorders>
              <w:right w:val="single" w:sz="4" w:space="0" w:color="auto"/>
            </w:tcBorders>
            <w:vAlign w:val="center"/>
          </w:tcPr>
          <w:p w14:paraId="4AFD7130"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7778,0</w:t>
            </w:r>
          </w:p>
        </w:tc>
      </w:tr>
      <w:tr w:rsidR="00E578FA" w:rsidRPr="00DD5F1D" w14:paraId="60D82E3A" w14:textId="77777777" w:rsidTr="00A4476B">
        <w:trPr>
          <w:trHeight w:val="299"/>
        </w:trPr>
        <w:tc>
          <w:tcPr>
            <w:tcW w:w="1760" w:type="pct"/>
            <w:shd w:val="clear" w:color="auto" w:fill="auto"/>
            <w:vAlign w:val="bottom"/>
            <w:hideMark/>
          </w:tcPr>
          <w:p w14:paraId="37F62742" w14:textId="5D8C8DAF" w:rsidR="00E578FA" w:rsidRPr="00DD5F1D" w:rsidRDefault="00E578FA" w:rsidP="00100079">
            <w:pPr>
              <w:spacing w:after="0" w:line="240" w:lineRule="auto"/>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Contribuții calculate conform tarifului, 29%</w:t>
            </w:r>
            <w:r w:rsidR="007C1257" w:rsidRPr="00DD5F1D">
              <w:rPr>
                <w:rFonts w:ascii="Times New Roman" w:eastAsia="Times New Roman" w:hAnsi="Times New Roman" w:cs="Times New Roman"/>
                <w:b/>
                <w:bCs/>
                <w:color w:val="000000"/>
                <w:sz w:val="20"/>
                <w:szCs w:val="20"/>
                <w:lang w:val="ro-MD"/>
              </w:rPr>
              <w:t>, mil.lei</w:t>
            </w:r>
          </w:p>
        </w:tc>
        <w:tc>
          <w:tcPr>
            <w:tcW w:w="471" w:type="pct"/>
            <w:shd w:val="clear" w:color="auto" w:fill="auto"/>
            <w:noWrap/>
            <w:vAlign w:val="center"/>
            <w:hideMark/>
          </w:tcPr>
          <w:p w14:paraId="794CE285" w14:textId="77777777" w:rsidR="00E578FA" w:rsidRPr="00DD5F1D" w:rsidRDefault="00E578FA" w:rsidP="00100079">
            <w:pPr>
              <w:spacing w:after="0" w:line="240" w:lineRule="auto"/>
              <w:jc w:val="center"/>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x</w:t>
            </w:r>
          </w:p>
        </w:tc>
        <w:tc>
          <w:tcPr>
            <w:tcW w:w="452" w:type="pct"/>
            <w:shd w:val="clear" w:color="auto" w:fill="auto"/>
            <w:noWrap/>
            <w:vAlign w:val="center"/>
            <w:hideMark/>
          </w:tcPr>
          <w:p w14:paraId="159AF677" w14:textId="77777777" w:rsidR="00E578FA" w:rsidRPr="00DD5F1D" w:rsidRDefault="00E578FA" w:rsidP="00C92EC2">
            <w:pPr>
              <w:spacing w:after="0" w:line="240" w:lineRule="auto"/>
              <w:jc w:val="right"/>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4202,6</w:t>
            </w:r>
          </w:p>
        </w:tc>
        <w:tc>
          <w:tcPr>
            <w:tcW w:w="482" w:type="pct"/>
            <w:shd w:val="clear" w:color="auto" w:fill="auto"/>
            <w:noWrap/>
            <w:vAlign w:val="center"/>
            <w:hideMark/>
          </w:tcPr>
          <w:p w14:paraId="74EDE74D" w14:textId="77777777" w:rsidR="00E578FA" w:rsidRPr="00DD5F1D" w:rsidRDefault="00E578FA" w:rsidP="00C92EC2">
            <w:pPr>
              <w:spacing w:after="0" w:line="240" w:lineRule="auto"/>
              <w:jc w:val="right"/>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4576,5</w:t>
            </w:r>
          </w:p>
        </w:tc>
        <w:tc>
          <w:tcPr>
            <w:tcW w:w="451" w:type="pct"/>
            <w:shd w:val="clear" w:color="auto" w:fill="auto"/>
            <w:noWrap/>
            <w:vAlign w:val="center"/>
            <w:hideMark/>
          </w:tcPr>
          <w:p w14:paraId="65CF7E64" w14:textId="77777777" w:rsidR="00E578FA" w:rsidRPr="00DD5F1D" w:rsidRDefault="00E578FA" w:rsidP="00C92EC2">
            <w:pPr>
              <w:spacing w:after="0" w:line="240" w:lineRule="auto"/>
              <w:jc w:val="right"/>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4896,6</w:t>
            </w:r>
          </w:p>
        </w:tc>
        <w:tc>
          <w:tcPr>
            <w:tcW w:w="451" w:type="pct"/>
            <w:tcBorders>
              <w:right w:val="single" w:sz="4" w:space="0" w:color="auto"/>
            </w:tcBorders>
            <w:shd w:val="clear" w:color="auto" w:fill="auto"/>
            <w:noWrap/>
            <w:vAlign w:val="center"/>
            <w:hideMark/>
          </w:tcPr>
          <w:p w14:paraId="6430A143" w14:textId="77777777" w:rsidR="00E578FA" w:rsidRPr="00DD5F1D" w:rsidRDefault="00E578FA" w:rsidP="00C92EC2">
            <w:pPr>
              <w:spacing w:after="0" w:line="240" w:lineRule="auto"/>
              <w:jc w:val="right"/>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5552,4</w:t>
            </w:r>
          </w:p>
        </w:tc>
        <w:tc>
          <w:tcPr>
            <w:tcW w:w="455" w:type="pct"/>
            <w:vAlign w:val="center"/>
          </w:tcPr>
          <w:p w14:paraId="38A76680"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b/>
                <w:bCs/>
                <w:color w:val="000000"/>
                <w:sz w:val="20"/>
                <w:szCs w:val="20"/>
                <w:lang w:val="ro-MD"/>
              </w:rPr>
              <w:t>6458,3</w:t>
            </w:r>
          </w:p>
        </w:tc>
        <w:tc>
          <w:tcPr>
            <w:tcW w:w="479" w:type="pct"/>
            <w:tcBorders>
              <w:right w:val="single" w:sz="4" w:space="0" w:color="auto"/>
            </w:tcBorders>
            <w:vAlign w:val="center"/>
          </w:tcPr>
          <w:p w14:paraId="09140A34"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2255,6</w:t>
            </w:r>
          </w:p>
        </w:tc>
      </w:tr>
      <w:tr w:rsidR="00E578FA" w:rsidRPr="00DD5F1D" w14:paraId="3ED170C5" w14:textId="77777777" w:rsidTr="00A4476B">
        <w:trPr>
          <w:trHeight w:val="299"/>
        </w:trPr>
        <w:tc>
          <w:tcPr>
            <w:tcW w:w="1760" w:type="pct"/>
            <w:shd w:val="clear" w:color="auto" w:fill="auto"/>
            <w:vAlign w:val="bottom"/>
            <w:hideMark/>
          </w:tcPr>
          <w:p w14:paraId="60724FE5" w14:textId="77777777" w:rsidR="00E578FA" w:rsidRPr="00DD5F1D" w:rsidRDefault="00E578FA"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Nr. mediu al salariaților din sectorul privat, 24%</w:t>
            </w:r>
          </w:p>
        </w:tc>
        <w:tc>
          <w:tcPr>
            <w:tcW w:w="471" w:type="pct"/>
            <w:shd w:val="clear" w:color="auto" w:fill="auto"/>
            <w:noWrap/>
            <w:vAlign w:val="center"/>
            <w:hideMark/>
          </w:tcPr>
          <w:p w14:paraId="1C6FE274" w14:textId="77777777" w:rsidR="00E578FA" w:rsidRPr="00DD5F1D" w:rsidRDefault="00E578FA"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551004</w:t>
            </w:r>
          </w:p>
        </w:tc>
        <w:tc>
          <w:tcPr>
            <w:tcW w:w="452" w:type="pct"/>
            <w:shd w:val="clear" w:color="auto" w:fill="auto"/>
            <w:noWrap/>
            <w:vAlign w:val="center"/>
            <w:hideMark/>
          </w:tcPr>
          <w:p w14:paraId="0B4F42F4"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558602</w:t>
            </w:r>
          </w:p>
        </w:tc>
        <w:tc>
          <w:tcPr>
            <w:tcW w:w="482" w:type="pct"/>
            <w:shd w:val="clear" w:color="auto" w:fill="auto"/>
            <w:noWrap/>
            <w:vAlign w:val="center"/>
            <w:hideMark/>
          </w:tcPr>
          <w:p w14:paraId="7AC830B3"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540933</w:t>
            </w:r>
          </w:p>
        </w:tc>
        <w:tc>
          <w:tcPr>
            <w:tcW w:w="451" w:type="pct"/>
            <w:shd w:val="clear" w:color="auto" w:fill="auto"/>
            <w:noWrap/>
            <w:vAlign w:val="center"/>
            <w:hideMark/>
          </w:tcPr>
          <w:p w14:paraId="6D014DB8"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550769</w:t>
            </w:r>
          </w:p>
        </w:tc>
        <w:tc>
          <w:tcPr>
            <w:tcW w:w="451" w:type="pct"/>
            <w:tcBorders>
              <w:right w:val="single" w:sz="4" w:space="0" w:color="auto"/>
            </w:tcBorders>
            <w:shd w:val="clear" w:color="auto" w:fill="auto"/>
            <w:noWrap/>
            <w:vAlign w:val="center"/>
            <w:hideMark/>
          </w:tcPr>
          <w:p w14:paraId="660F6E13"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552622</w:t>
            </w:r>
          </w:p>
        </w:tc>
        <w:tc>
          <w:tcPr>
            <w:tcW w:w="455" w:type="pct"/>
            <w:vAlign w:val="center"/>
          </w:tcPr>
          <w:p w14:paraId="78FEADD5"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554610</w:t>
            </w:r>
          </w:p>
        </w:tc>
        <w:tc>
          <w:tcPr>
            <w:tcW w:w="479" w:type="pct"/>
            <w:tcBorders>
              <w:right w:val="single" w:sz="4" w:space="0" w:color="auto"/>
            </w:tcBorders>
            <w:vAlign w:val="center"/>
          </w:tcPr>
          <w:p w14:paraId="5D5FC9E6"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-3992</w:t>
            </w:r>
          </w:p>
        </w:tc>
      </w:tr>
      <w:tr w:rsidR="00E578FA" w:rsidRPr="00DD5F1D" w14:paraId="72F1A355" w14:textId="77777777" w:rsidTr="00A4476B">
        <w:trPr>
          <w:trHeight w:val="449"/>
        </w:trPr>
        <w:tc>
          <w:tcPr>
            <w:tcW w:w="1760" w:type="pct"/>
            <w:shd w:val="clear" w:color="auto" w:fill="auto"/>
            <w:vAlign w:val="bottom"/>
            <w:hideMark/>
          </w:tcPr>
          <w:p w14:paraId="03E004D8" w14:textId="77777777" w:rsidR="00E578FA" w:rsidRPr="00DD5F1D" w:rsidRDefault="00E578FA"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Baza de calcul declarată a contribuțiilor în sectorul privat, mil. lei</w:t>
            </w:r>
          </w:p>
        </w:tc>
        <w:tc>
          <w:tcPr>
            <w:tcW w:w="471" w:type="pct"/>
            <w:shd w:val="clear" w:color="auto" w:fill="auto"/>
            <w:noWrap/>
            <w:vAlign w:val="center"/>
            <w:hideMark/>
          </w:tcPr>
          <w:p w14:paraId="44268CB0" w14:textId="77777777" w:rsidR="00E578FA" w:rsidRPr="00DD5F1D" w:rsidRDefault="00E578FA"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8940,5*</w:t>
            </w:r>
          </w:p>
        </w:tc>
        <w:tc>
          <w:tcPr>
            <w:tcW w:w="452" w:type="pct"/>
            <w:shd w:val="clear" w:color="auto" w:fill="auto"/>
            <w:noWrap/>
            <w:vAlign w:val="center"/>
            <w:hideMark/>
          </w:tcPr>
          <w:p w14:paraId="15F01AF3"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37969,7</w:t>
            </w:r>
          </w:p>
        </w:tc>
        <w:tc>
          <w:tcPr>
            <w:tcW w:w="482" w:type="pct"/>
            <w:shd w:val="clear" w:color="auto" w:fill="auto"/>
            <w:noWrap/>
            <w:vAlign w:val="center"/>
            <w:hideMark/>
          </w:tcPr>
          <w:p w14:paraId="37469C0B"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38961,3</w:t>
            </w:r>
          </w:p>
        </w:tc>
        <w:tc>
          <w:tcPr>
            <w:tcW w:w="451" w:type="pct"/>
            <w:shd w:val="clear" w:color="auto" w:fill="auto"/>
            <w:noWrap/>
            <w:vAlign w:val="center"/>
            <w:hideMark/>
          </w:tcPr>
          <w:p w14:paraId="2ADD1B94"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45622,9</w:t>
            </w:r>
          </w:p>
        </w:tc>
        <w:tc>
          <w:tcPr>
            <w:tcW w:w="451" w:type="pct"/>
            <w:tcBorders>
              <w:right w:val="single" w:sz="4" w:space="0" w:color="auto"/>
            </w:tcBorders>
            <w:shd w:val="clear" w:color="auto" w:fill="auto"/>
            <w:noWrap/>
            <w:vAlign w:val="center"/>
            <w:hideMark/>
          </w:tcPr>
          <w:p w14:paraId="7F77BE79"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52378,5</w:t>
            </w:r>
          </w:p>
        </w:tc>
        <w:tc>
          <w:tcPr>
            <w:tcW w:w="455" w:type="pct"/>
            <w:vAlign w:val="center"/>
          </w:tcPr>
          <w:p w14:paraId="2FD333A0"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61360,1</w:t>
            </w:r>
          </w:p>
        </w:tc>
        <w:tc>
          <w:tcPr>
            <w:tcW w:w="479" w:type="pct"/>
            <w:tcBorders>
              <w:right w:val="single" w:sz="4" w:space="0" w:color="auto"/>
            </w:tcBorders>
            <w:vAlign w:val="center"/>
          </w:tcPr>
          <w:p w14:paraId="54704AC7"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23390,4</w:t>
            </w:r>
          </w:p>
        </w:tc>
      </w:tr>
      <w:tr w:rsidR="00E578FA" w:rsidRPr="00DD5F1D" w14:paraId="6554AD09" w14:textId="77777777" w:rsidTr="00A4476B">
        <w:trPr>
          <w:trHeight w:val="299"/>
        </w:trPr>
        <w:tc>
          <w:tcPr>
            <w:tcW w:w="1760" w:type="pct"/>
            <w:shd w:val="clear" w:color="auto" w:fill="auto"/>
            <w:vAlign w:val="bottom"/>
            <w:hideMark/>
          </w:tcPr>
          <w:p w14:paraId="3B13FB6D" w14:textId="75EB5885" w:rsidR="00E578FA" w:rsidRPr="00DD5F1D" w:rsidRDefault="00E578FA" w:rsidP="00100079">
            <w:pPr>
              <w:spacing w:after="0" w:line="240" w:lineRule="auto"/>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Contribuții calculate conform tarifului, 24%</w:t>
            </w:r>
            <w:r w:rsidR="007C1257" w:rsidRPr="00DD5F1D">
              <w:rPr>
                <w:rFonts w:ascii="Times New Roman" w:eastAsia="Times New Roman" w:hAnsi="Times New Roman" w:cs="Times New Roman"/>
                <w:b/>
                <w:bCs/>
                <w:color w:val="000000"/>
                <w:sz w:val="20"/>
                <w:szCs w:val="20"/>
                <w:lang w:val="ro-MD"/>
              </w:rPr>
              <w:t>, mil. lei</w:t>
            </w:r>
          </w:p>
        </w:tc>
        <w:tc>
          <w:tcPr>
            <w:tcW w:w="471" w:type="pct"/>
            <w:shd w:val="clear" w:color="auto" w:fill="auto"/>
            <w:noWrap/>
            <w:vAlign w:val="center"/>
            <w:hideMark/>
          </w:tcPr>
          <w:p w14:paraId="08A14EB5" w14:textId="77777777" w:rsidR="00E578FA" w:rsidRPr="00DD5F1D" w:rsidRDefault="00E578FA" w:rsidP="00100079">
            <w:pPr>
              <w:spacing w:after="0" w:line="240" w:lineRule="auto"/>
              <w:jc w:val="right"/>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2145,7</w:t>
            </w:r>
          </w:p>
        </w:tc>
        <w:tc>
          <w:tcPr>
            <w:tcW w:w="452" w:type="pct"/>
            <w:shd w:val="clear" w:color="auto" w:fill="auto"/>
            <w:noWrap/>
            <w:vAlign w:val="center"/>
            <w:hideMark/>
          </w:tcPr>
          <w:p w14:paraId="2F551B85" w14:textId="77777777" w:rsidR="00E578FA" w:rsidRPr="00DD5F1D" w:rsidRDefault="00E578FA" w:rsidP="00C92EC2">
            <w:pPr>
              <w:spacing w:after="0" w:line="240" w:lineRule="auto"/>
              <w:jc w:val="right"/>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9112,7</w:t>
            </w:r>
          </w:p>
        </w:tc>
        <w:tc>
          <w:tcPr>
            <w:tcW w:w="482" w:type="pct"/>
            <w:shd w:val="clear" w:color="auto" w:fill="auto"/>
            <w:noWrap/>
            <w:vAlign w:val="center"/>
            <w:hideMark/>
          </w:tcPr>
          <w:p w14:paraId="6F0D85C5" w14:textId="77777777" w:rsidR="00E578FA" w:rsidRPr="00DD5F1D" w:rsidRDefault="00E578FA" w:rsidP="00C92EC2">
            <w:pPr>
              <w:spacing w:after="0" w:line="240" w:lineRule="auto"/>
              <w:jc w:val="right"/>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9350,7</w:t>
            </w:r>
          </w:p>
        </w:tc>
        <w:tc>
          <w:tcPr>
            <w:tcW w:w="451" w:type="pct"/>
            <w:shd w:val="clear" w:color="auto" w:fill="auto"/>
            <w:noWrap/>
            <w:vAlign w:val="center"/>
            <w:hideMark/>
          </w:tcPr>
          <w:p w14:paraId="74D1C934" w14:textId="77777777" w:rsidR="00E578FA" w:rsidRPr="00DD5F1D" w:rsidRDefault="00E578FA" w:rsidP="00C92EC2">
            <w:pPr>
              <w:spacing w:after="0" w:line="240" w:lineRule="auto"/>
              <w:jc w:val="right"/>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10949,5</w:t>
            </w:r>
          </w:p>
        </w:tc>
        <w:tc>
          <w:tcPr>
            <w:tcW w:w="451" w:type="pct"/>
            <w:tcBorders>
              <w:right w:val="single" w:sz="4" w:space="0" w:color="auto"/>
            </w:tcBorders>
            <w:shd w:val="clear" w:color="auto" w:fill="auto"/>
            <w:noWrap/>
            <w:vAlign w:val="center"/>
            <w:hideMark/>
          </w:tcPr>
          <w:p w14:paraId="2F20CCCC" w14:textId="77777777" w:rsidR="00E578FA" w:rsidRPr="00DD5F1D" w:rsidRDefault="00E578FA" w:rsidP="00C92EC2">
            <w:pPr>
              <w:spacing w:after="0" w:line="240" w:lineRule="auto"/>
              <w:jc w:val="right"/>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12570,8</w:t>
            </w:r>
          </w:p>
        </w:tc>
        <w:tc>
          <w:tcPr>
            <w:tcW w:w="455" w:type="pct"/>
            <w:vAlign w:val="center"/>
          </w:tcPr>
          <w:p w14:paraId="185D8029"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b/>
                <w:bCs/>
                <w:color w:val="000000"/>
                <w:sz w:val="20"/>
                <w:szCs w:val="20"/>
                <w:lang w:val="ro-MD"/>
              </w:rPr>
              <w:t>14726,4</w:t>
            </w:r>
          </w:p>
        </w:tc>
        <w:tc>
          <w:tcPr>
            <w:tcW w:w="479" w:type="pct"/>
            <w:tcBorders>
              <w:right w:val="single" w:sz="4" w:space="0" w:color="auto"/>
            </w:tcBorders>
            <w:vAlign w:val="center"/>
          </w:tcPr>
          <w:p w14:paraId="560A5466"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5613,7</w:t>
            </w:r>
          </w:p>
        </w:tc>
      </w:tr>
      <w:tr w:rsidR="00E578FA" w:rsidRPr="00DD5F1D" w14:paraId="37A1E994" w14:textId="77777777" w:rsidTr="00A4476B">
        <w:trPr>
          <w:trHeight w:val="299"/>
        </w:trPr>
        <w:tc>
          <w:tcPr>
            <w:tcW w:w="1760" w:type="pct"/>
            <w:shd w:val="clear" w:color="auto" w:fill="auto"/>
            <w:vAlign w:val="bottom"/>
            <w:hideMark/>
          </w:tcPr>
          <w:p w14:paraId="7C7F2641" w14:textId="1A188107" w:rsidR="00E578FA" w:rsidRPr="00DD5F1D" w:rsidRDefault="00E578FA" w:rsidP="00100079">
            <w:pPr>
              <w:spacing w:after="0" w:line="240" w:lineRule="auto"/>
              <w:rPr>
                <w:rFonts w:ascii="Times New Roman" w:eastAsia="Times New Roman" w:hAnsi="Times New Roman" w:cs="Times New Roman"/>
                <w:b/>
                <w:bCs/>
                <w:color w:val="000000"/>
                <w:sz w:val="20"/>
                <w:szCs w:val="20"/>
                <w:lang w:val="ro-MD"/>
              </w:rPr>
            </w:pPr>
            <w:r w:rsidRPr="00DD5F1D">
              <w:rPr>
                <w:rFonts w:ascii="Times New Roman" w:eastAsia="Times New Roman" w:hAnsi="Times New Roman" w:cs="Times New Roman"/>
                <w:b/>
                <w:bCs/>
                <w:color w:val="000000"/>
                <w:sz w:val="20"/>
                <w:szCs w:val="20"/>
                <w:lang w:val="ro-MD"/>
              </w:rPr>
              <w:t>Contribuții calculate conform tarifului, 29%</w:t>
            </w:r>
            <w:r w:rsidR="007C1257" w:rsidRPr="00DD5F1D">
              <w:rPr>
                <w:rFonts w:ascii="Times New Roman" w:eastAsia="Times New Roman" w:hAnsi="Times New Roman" w:cs="Times New Roman"/>
                <w:b/>
                <w:bCs/>
                <w:color w:val="000000"/>
                <w:sz w:val="20"/>
                <w:szCs w:val="20"/>
                <w:lang w:val="ro-MD"/>
              </w:rPr>
              <w:t>, mil. lei</w:t>
            </w:r>
          </w:p>
        </w:tc>
        <w:tc>
          <w:tcPr>
            <w:tcW w:w="471" w:type="pct"/>
            <w:shd w:val="clear" w:color="auto" w:fill="auto"/>
            <w:noWrap/>
            <w:vAlign w:val="center"/>
            <w:hideMark/>
          </w:tcPr>
          <w:p w14:paraId="34EB92B6" w14:textId="77777777" w:rsidR="00E578FA" w:rsidRPr="00DD5F1D" w:rsidRDefault="00E578FA"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2592,7</w:t>
            </w:r>
          </w:p>
        </w:tc>
        <w:tc>
          <w:tcPr>
            <w:tcW w:w="452" w:type="pct"/>
            <w:shd w:val="clear" w:color="auto" w:fill="auto"/>
            <w:noWrap/>
            <w:vAlign w:val="center"/>
            <w:hideMark/>
          </w:tcPr>
          <w:p w14:paraId="4C6816C6"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11011,2</w:t>
            </w:r>
          </w:p>
        </w:tc>
        <w:tc>
          <w:tcPr>
            <w:tcW w:w="482" w:type="pct"/>
            <w:shd w:val="clear" w:color="auto" w:fill="auto"/>
            <w:noWrap/>
            <w:vAlign w:val="center"/>
            <w:hideMark/>
          </w:tcPr>
          <w:p w14:paraId="503E8EC8"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11298,8</w:t>
            </w:r>
          </w:p>
        </w:tc>
        <w:tc>
          <w:tcPr>
            <w:tcW w:w="451" w:type="pct"/>
            <w:shd w:val="clear" w:color="auto" w:fill="auto"/>
            <w:noWrap/>
            <w:vAlign w:val="center"/>
            <w:hideMark/>
          </w:tcPr>
          <w:p w14:paraId="0AF87B3B"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13230,6</w:t>
            </w:r>
          </w:p>
        </w:tc>
        <w:tc>
          <w:tcPr>
            <w:tcW w:w="451" w:type="pct"/>
            <w:tcBorders>
              <w:right w:val="single" w:sz="4" w:space="0" w:color="auto"/>
            </w:tcBorders>
            <w:shd w:val="clear" w:color="auto" w:fill="auto"/>
            <w:noWrap/>
            <w:vAlign w:val="center"/>
            <w:hideMark/>
          </w:tcPr>
          <w:p w14:paraId="799C4179"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15189,8</w:t>
            </w:r>
          </w:p>
        </w:tc>
        <w:tc>
          <w:tcPr>
            <w:tcW w:w="455" w:type="pct"/>
            <w:vAlign w:val="center"/>
          </w:tcPr>
          <w:p w14:paraId="7A88C440"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17794,4</w:t>
            </w:r>
          </w:p>
        </w:tc>
        <w:tc>
          <w:tcPr>
            <w:tcW w:w="479" w:type="pct"/>
            <w:tcBorders>
              <w:right w:val="single" w:sz="4" w:space="0" w:color="auto"/>
            </w:tcBorders>
            <w:vAlign w:val="center"/>
          </w:tcPr>
          <w:p w14:paraId="6BDDD0D8"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6783,2</w:t>
            </w:r>
          </w:p>
        </w:tc>
      </w:tr>
      <w:tr w:rsidR="00E578FA" w:rsidRPr="00DD5F1D" w14:paraId="7AD167E8" w14:textId="77777777" w:rsidTr="00A4476B">
        <w:trPr>
          <w:trHeight w:val="749"/>
        </w:trPr>
        <w:tc>
          <w:tcPr>
            <w:tcW w:w="1760" w:type="pct"/>
            <w:shd w:val="clear" w:color="auto" w:fill="auto"/>
            <w:vAlign w:val="center"/>
            <w:hideMark/>
          </w:tcPr>
          <w:p w14:paraId="598A9706" w14:textId="77777777" w:rsidR="00E578FA" w:rsidRPr="00DD5F1D" w:rsidRDefault="00E578FA"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Suma facilității contribuțiilor acordate sectorului privat pentru dezvoltarea și scoaterea economiei din tenebritate, estimate de audit, mil. lei</w:t>
            </w:r>
          </w:p>
        </w:tc>
        <w:tc>
          <w:tcPr>
            <w:tcW w:w="471" w:type="pct"/>
            <w:shd w:val="clear" w:color="auto" w:fill="auto"/>
            <w:noWrap/>
            <w:vAlign w:val="center"/>
            <w:hideMark/>
          </w:tcPr>
          <w:p w14:paraId="34D0AD3A" w14:textId="77777777" w:rsidR="00E578FA" w:rsidRPr="00DD5F1D" w:rsidRDefault="00E578FA"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447,0</w:t>
            </w:r>
          </w:p>
        </w:tc>
        <w:tc>
          <w:tcPr>
            <w:tcW w:w="452" w:type="pct"/>
            <w:shd w:val="clear" w:color="auto" w:fill="auto"/>
            <w:noWrap/>
            <w:vAlign w:val="center"/>
            <w:hideMark/>
          </w:tcPr>
          <w:p w14:paraId="44926110"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1898,5</w:t>
            </w:r>
          </w:p>
        </w:tc>
        <w:tc>
          <w:tcPr>
            <w:tcW w:w="482" w:type="pct"/>
            <w:shd w:val="clear" w:color="auto" w:fill="auto"/>
            <w:noWrap/>
            <w:vAlign w:val="center"/>
            <w:hideMark/>
          </w:tcPr>
          <w:p w14:paraId="3EA2783B"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1948,1</w:t>
            </w:r>
          </w:p>
        </w:tc>
        <w:tc>
          <w:tcPr>
            <w:tcW w:w="451" w:type="pct"/>
            <w:shd w:val="clear" w:color="auto" w:fill="auto"/>
            <w:noWrap/>
            <w:vAlign w:val="center"/>
            <w:hideMark/>
          </w:tcPr>
          <w:p w14:paraId="79EB4BF8"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2281,1</w:t>
            </w:r>
          </w:p>
        </w:tc>
        <w:tc>
          <w:tcPr>
            <w:tcW w:w="451" w:type="pct"/>
            <w:shd w:val="clear" w:color="auto" w:fill="auto"/>
            <w:noWrap/>
            <w:vAlign w:val="center"/>
            <w:hideMark/>
          </w:tcPr>
          <w:p w14:paraId="52CE4F72"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2618,9</w:t>
            </w:r>
          </w:p>
        </w:tc>
        <w:tc>
          <w:tcPr>
            <w:tcW w:w="455" w:type="pct"/>
            <w:vAlign w:val="center"/>
          </w:tcPr>
          <w:p w14:paraId="4FCAA70C"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3068,0</w:t>
            </w:r>
          </w:p>
        </w:tc>
        <w:tc>
          <w:tcPr>
            <w:tcW w:w="479" w:type="pct"/>
            <w:vAlign w:val="center"/>
          </w:tcPr>
          <w:p w14:paraId="2C776103" w14:textId="77777777" w:rsidR="00E578FA" w:rsidRPr="00DD5F1D" w:rsidRDefault="00E578FA" w:rsidP="00C92EC2">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hAnsi="Times New Roman" w:cs="Times New Roman"/>
                <w:color w:val="000000"/>
                <w:sz w:val="20"/>
                <w:szCs w:val="20"/>
                <w:lang w:val="ro-MD"/>
              </w:rPr>
              <w:t>1169,5</w:t>
            </w:r>
          </w:p>
        </w:tc>
      </w:tr>
      <w:tr w:rsidR="00E578FA" w:rsidRPr="00DD5F1D" w14:paraId="6DDAA131" w14:textId="77777777" w:rsidTr="00A4476B">
        <w:trPr>
          <w:trHeight w:val="749"/>
        </w:trPr>
        <w:tc>
          <w:tcPr>
            <w:tcW w:w="1760" w:type="pct"/>
            <w:shd w:val="clear" w:color="auto" w:fill="auto"/>
            <w:vAlign w:val="center"/>
          </w:tcPr>
          <w:p w14:paraId="4E8C3BD9" w14:textId="7BFD1BBE" w:rsidR="00E578FA" w:rsidRPr="00DD5F1D" w:rsidRDefault="00E578FA" w:rsidP="00100079">
            <w:pPr>
              <w:spacing w:after="0" w:line="240" w:lineRule="auto"/>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b/>
                <w:color w:val="000000"/>
                <w:sz w:val="20"/>
                <w:szCs w:val="20"/>
                <w:lang w:val="ro-MD"/>
              </w:rPr>
              <w:t xml:space="preserve">Total suma facilității de la intrarea în vigoare a prevederilor legale, </w:t>
            </w:r>
            <w:r w:rsidRPr="00DD5F1D">
              <w:rPr>
                <w:rFonts w:ascii="Times New Roman" w:eastAsia="Times New Roman" w:hAnsi="Times New Roman" w:cs="Times New Roman"/>
                <w:color w:val="000000"/>
                <w:sz w:val="20"/>
                <w:szCs w:val="20"/>
                <w:lang w:val="ro-MD"/>
              </w:rPr>
              <w:t>mil. lei</w:t>
            </w:r>
          </w:p>
        </w:tc>
        <w:tc>
          <w:tcPr>
            <w:tcW w:w="3240" w:type="pct"/>
            <w:gridSpan w:val="7"/>
            <w:shd w:val="clear" w:color="auto" w:fill="auto"/>
            <w:noWrap/>
            <w:vAlign w:val="center"/>
          </w:tcPr>
          <w:p w14:paraId="74E0C461" w14:textId="77777777" w:rsidR="00E578FA" w:rsidRPr="00DD5F1D" w:rsidRDefault="00E578FA" w:rsidP="00100079">
            <w:pPr>
              <w:spacing w:after="0" w:line="240" w:lineRule="auto"/>
              <w:jc w:val="center"/>
              <w:rPr>
                <w:rFonts w:ascii="Times New Roman" w:hAnsi="Times New Roman" w:cs="Times New Roman"/>
                <w:b/>
                <w:color w:val="000000"/>
                <w:sz w:val="20"/>
                <w:szCs w:val="20"/>
                <w:lang w:val="ro-MD"/>
              </w:rPr>
            </w:pPr>
            <w:r w:rsidRPr="00DD5F1D">
              <w:rPr>
                <w:rFonts w:ascii="Times New Roman" w:hAnsi="Times New Roman" w:cs="Times New Roman"/>
                <w:b/>
                <w:color w:val="000000"/>
                <w:sz w:val="20"/>
                <w:szCs w:val="20"/>
                <w:lang w:val="ro-MD"/>
              </w:rPr>
              <w:t>12261,7</w:t>
            </w:r>
          </w:p>
        </w:tc>
      </w:tr>
    </w:tbl>
    <w:p w14:paraId="3B1286A2" w14:textId="5693F86F" w:rsidR="00E578FA" w:rsidRPr="00DD5F1D" w:rsidRDefault="00E578FA" w:rsidP="00252C53">
      <w:pPr>
        <w:pStyle w:val="Default"/>
        <w:spacing w:after="240" w:line="276" w:lineRule="auto"/>
        <w:jc w:val="both"/>
        <w:rPr>
          <w:i/>
          <w:color w:val="auto"/>
          <w:sz w:val="20"/>
          <w:szCs w:val="20"/>
          <w:lang w:val="ro-MD"/>
        </w:rPr>
      </w:pPr>
      <w:r w:rsidRPr="00DD5F1D">
        <w:rPr>
          <w:b/>
          <w:color w:val="auto"/>
          <w:sz w:val="20"/>
          <w:szCs w:val="20"/>
          <w:lang w:val="ro-MD"/>
        </w:rPr>
        <w:t>Sursa:</w:t>
      </w:r>
      <w:r w:rsidRPr="00DD5F1D">
        <w:rPr>
          <w:color w:val="auto"/>
          <w:sz w:val="20"/>
          <w:szCs w:val="20"/>
          <w:lang w:val="ro-MD"/>
        </w:rPr>
        <w:t xml:space="preserve"> </w:t>
      </w:r>
      <w:r w:rsidRPr="00DD5F1D">
        <w:rPr>
          <w:i/>
          <w:color w:val="auto"/>
          <w:sz w:val="20"/>
          <w:szCs w:val="20"/>
          <w:lang w:val="ro-MD"/>
        </w:rPr>
        <w:t>Elaborat de audit în baza dărilor de seamă generalizatoare privind calcularea, utilizarea și transferarea contribuțiilor de asigurări soc</w:t>
      </w:r>
      <w:r w:rsidR="00252C53" w:rsidRPr="00DD5F1D">
        <w:rPr>
          <w:i/>
          <w:color w:val="auto"/>
          <w:sz w:val="20"/>
          <w:szCs w:val="20"/>
          <w:lang w:val="ro-MD"/>
        </w:rPr>
        <w:t>iale de stat pe anii 2018-2023.</w:t>
      </w:r>
    </w:p>
    <w:p w14:paraId="50C3CE17" w14:textId="4B67A932" w:rsidR="00E578FA" w:rsidRPr="00DD5F1D" w:rsidRDefault="00E578FA" w:rsidP="00E578FA">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Subsecvent, auditul menționează că, deși au fost prevăzute cote diferite de contribuții pentru diferite sectoare, principiile generale de asigurare ale stabilirii prestațiilor sunt aceleași. Astfel, deși pentru asigurarea unui salariat, autoritățile/instituțiile bugetare și autoritățile/instituțiile publice la autogestiune suport</w:t>
      </w:r>
      <w:r w:rsidR="00912AB0" w:rsidRPr="00DD5F1D">
        <w:rPr>
          <w:rFonts w:ascii="Times New Roman" w:hAnsi="Times New Roman" w:cs="Times New Roman"/>
          <w:sz w:val="24"/>
          <w:szCs w:val="24"/>
          <w:lang w:val="ro-MD"/>
        </w:rPr>
        <w:t>ă</w:t>
      </w:r>
      <w:r w:rsidRPr="00DD5F1D">
        <w:rPr>
          <w:rFonts w:ascii="Times New Roman" w:hAnsi="Times New Roman" w:cs="Times New Roman"/>
          <w:sz w:val="24"/>
          <w:szCs w:val="24"/>
          <w:lang w:val="ro-MD"/>
        </w:rPr>
        <w:t xml:space="preserve"> cheltuieli în cuantum mai mare pentru achitarea contribuțiilor comparativ cu sectorul privat, cadrul legal nu prevede anumite măsuri de beneficiere de prestații sociale în alte condiții decât angajații din sectorul privat. Prin urmare, se denotă că nu se asigură principiul contributivităţii, conform căruia drepturile de asigurări sociale se cuvin în temeiul contribuțiilor de asigurări sociale plătite, precum și conform principiului obligativității, potrivit căruia persoanele fizice şi juridice au, conform legii, obligația de a participa la sistemul public, iar drepturile de asigurări sociale se exercită </w:t>
      </w:r>
      <w:r w:rsidRPr="00DD5F1D">
        <w:rPr>
          <w:rFonts w:ascii="Times New Roman" w:hAnsi="Times New Roman" w:cs="Times New Roman"/>
          <w:b/>
          <w:sz w:val="24"/>
          <w:szCs w:val="24"/>
          <w:lang w:val="ro-MD"/>
        </w:rPr>
        <w:t xml:space="preserve">corelativ </w:t>
      </w:r>
      <w:r w:rsidRPr="00DD5F1D">
        <w:rPr>
          <w:rFonts w:ascii="Times New Roman" w:hAnsi="Times New Roman" w:cs="Times New Roman"/>
          <w:sz w:val="24"/>
          <w:szCs w:val="24"/>
          <w:lang w:val="ro-MD"/>
        </w:rPr>
        <w:t>îndeplinirii obligațiilor. Acestea sunt principii fundamentale care stau la baza sistemului de asigurări sociale.</w:t>
      </w:r>
    </w:p>
    <w:p w14:paraId="53F0F82E" w14:textId="213EFF83" w:rsidR="000C1DE0" w:rsidRPr="000C1DE0" w:rsidRDefault="00E578FA" w:rsidP="000C1DE0">
      <w:pPr>
        <w:pStyle w:val="aa"/>
        <w:spacing w:line="276" w:lineRule="auto"/>
        <w:ind w:left="0"/>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Prin urmare, în condițiile în care nu există es</w:t>
      </w:r>
      <w:r w:rsidR="00252C53" w:rsidRPr="00DD5F1D">
        <w:rPr>
          <w:rFonts w:ascii="Times New Roman" w:hAnsi="Times New Roman" w:cs="Times New Roman"/>
          <w:sz w:val="24"/>
          <w:szCs w:val="24"/>
          <w:lang w:val="ro-MD"/>
        </w:rPr>
        <w:t>timări ale impactului normelor</w:t>
      </w:r>
      <w:r w:rsidRPr="00DD5F1D">
        <w:rPr>
          <w:rFonts w:ascii="Times New Roman" w:hAnsi="Times New Roman" w:cs="Times New Roman"/>
          <w:sz w:val="24"/>
          <w:szCs w:val="24"/>
          <w:lang w:val="ro-MD"/>
        </w:rPr>
        <w:t xml:space="preserve"> aplicate, precum și nu sunt acordate drepturi corelativ obligațiilor onorate, se conturează riscul susținerii BASS prin surse indirecte de la bugetul de stat și bugetele unităților administrativ-teritoriale, care </w:t>
      </w:r>
      <w:r w:rsidR="00252C53" w:rsidRPr="00DD5F1D">
        <w:rPr>
          <w:rFonts w:ascii="Times New Roman" w:hAnsi="Times New Roman" w:cs="Times New Roman"/>
          <w:sz w:val="24"/>
          <w:szCs w:val="24"/>
          <w:lang w:val="ro-MD"/>
        </w:rPr>
        <w:t xml:space="preserve">pentru </w:t>
      </w:r>
      <w:r w:rsidRPr="00DD5F1D">
        <w:rPr>
          <w:rFonts w:ascii="Times New Roman" w:hAnsi="Times New Roman" w:cs="Times New Roman"/>
          <w:sz w:val="24"/>
          <w:szCs w:val="24"/>
          <w:lang w:val="ro-MD"/>
        </w:rPr>
        <w:t xml:space="preserve">perioada </w:t>
      </w:r>
      <w:r w:rsidR="00C526E1">
        <w:rPr>
          <w:rFonts w:ascii="Times New Roman" w:hAnsi="Times New Roman" w:cs="Times New Roman"/>
          <w:sz w:val="24"/>
          <w:szCs w:val="24"/>
          <w:lang w:val="ro-MD"/>
        </w:rPr>
        <w:t xml:space="preserve">anului 2023 </w:t>
      </w:r>
      <w:r w:rsidRPr="00DD5F1D">
        <w:rPr>
          <w:rFonts w:ascii="Times New Roman" w:hAnsi="Times New Roman" w:cs="Times New Roman"/>
          <w:sz w:val="24"/>
          <w:szCs w:val="24"/>
          <w:lang w:val="ro-MD"/>
        </w:rPr>
        <w:t xml:space="preserve"> sunt estimate de </w:t>
      </w:r>
      <w:r w:rsidRPr="00B7777D">
        <w:rPr>
          <w:rFonts w:ascii="Times New Roman" w:hAnsi="Times New Roman" w:cs="Times New Roman"/>
          <w:sz w:val="24"/>
          <w:szCs w:val="24"/>
          <w:lang w:val="ro-MD"/>
        </w:rPr>
        <w:t xml:space="preserve">audit </w:t>
      </w:r>
      <w:r w:rsidRPr="006A6EDC">
        <w:rPr>
          <w:rFonts w:ascii="Times New Roman" w:hAnsi="Times New Roman" w:cs="Times New Roman"/>
          <w:sz w:val="24"/>
          <w:szCs w:val="24"/>
          <w:lang w:val="ro-MD"/>
        </w:rPr>
        <w:t>la cca 1,</w:t>
      </w:r>
      <w:r w:rsidR="00C526E1" w:rsidRPr="006A6EDC">
        <w:rPr>
          <w:rFonts w:ascii="Times New Roman" w:hAnsi="Times New Roman" w:cs="Times New Roman"/>
          <w:sz w:val="24"/>
          <w:szCs w:val="24"/>
          <w:lang w:val="ro-MD"/>
        </w:rPr>
        <w:t>1</w:t>
      </w:r>
      <w:r w:rsidRPr="006A6EDC">
        <w:rPr>
          <w:rFonts w:ascii="Times New Roman" w:hAnsi="Times New Roman" w:cs="Times New Roman"/>
          <w:sz w:val="24"/>
          <w:szCs w:val="24"/>
          <w:lang w:val="ro-MD"/>
        </w:rPr>
        <w:t xml:space="preserve"> miliarde lei</w:t>
      </w:r>
      <w:r w:rsidRPr="00B7777D">
        <w:rPr>
          <w:rFonts w:ascii="Times New Roman" w:hAnsi="Times New Roman" w:cs="Times New Roman"/>
          <w:sz w:val="24"/>
          <w:szCs w:val="24"/>
          <w:lang w:val="ro-MD"/>
        </w:rPr>
        <w:t>.</w:t>
      </w:r>
      <w:r w:rsidRPr="00DD5F1D">
        <w:rPr>
          <w:rFonts w:ascii="Times New Roman" w:hAnsi="Times New Roman" w:cs="Times New Roman"/>
          <w:b/>
          <w:sz w:val="24"/>
          <w:szCs w:val="24"/>
          <w:lang w:val="ro-MD"/>
        </w:rPr>
        <w:t xml:space="preserve"> </w:t>
      </w:r>
    </w:p>
    <w:p w14:paraId="7533FB20" w14:textId="77777777" w:rsidR="000C1DE0" w:rsidRPr="000C1DE0" w:rsidRDefault="000C1DE0" w:rsidP="000C1DE0">
      <w:pPr>
        <w:pStyle w:val="aa"/>
        <w:spacing w:line="276" w:lineRule="auto"/>
        <w:ind w:left="0"/>
        <w:jc w:val="both"/>
        <w:rPr>
          <w:rFonts w:ascii="Times New Roman" w:hAnsi="Times New Roman" w:cs="Times New Roman"/>
          <w:sz w:val="24"/>
          <w:szCs w:val="24"/>
          <w:lang w:val="ro-MD"/>
        </w:rPr>
      </w:pPr>
    </w:p>
    <w:p w14:paraId="080633BA" w14:textId="2502BDB1" w:rsidR="00E578FA" w:rsidRPr="00DD5F1D" w:rsidRDefault="00E578FA" w:rsidP="00E578FA">
      <w:pPr>
        <w:pStyle w:val="aa"/>
        <w:numPr>
          <w:ilvl w:val="1"/>
          <w:numId w:val="2"/>
        </w:numPr>
        <w:spacing w:line="276" w:lineRule="auto"/>
        <w:ind w:left="0" w:firstLine="0"/>
        <w:jc w:val="both"/>
        <w:outlineLvl w:val="1"/>
        <w:rPr>
          <w:rFonts w:ascii="Times New Roman" w:hAnsi="Times New Roman" w:cs="Times New Roman"/>
          <w:sz w:val="24"/>
          <w:szCs w:val="24"/>
          <w:lang w:val="ro-MD"/>
        </w:rPr>
      </w:pPr>
      <w:r w:rsidRPr="00DD5F1D">
        <w:rPr>
          <w:rFonts w:ascii="Times New Roman" w:hAnsi="Times New Roman" w:cs="Times New Roman"/>
          <w:b/>
          <w:sz w:val="24"/>
          <w:szCs w:val="24"/>
          <w:lang w:val="ro-MD"/>
        </w:rPr>
        <w:t>Tarifele</w:t>
      </w:r>
      <w:r w:rsidR="00A71DDE" w:rsidRPr="00DD5F1D">
        <w:rPr>
          <w:rFonts w:ascii="Times New Roman" w:hAnsi="Times New Roman" w:cs="Times New Roman"/>
          <w:b/>
          <w:sz w:val="24"/>
          <w:szCs w:val="24"/>
          <w:lang w:val="ro-MD"/>
        </w:rPr>
        <w:t xml:space="preserve"> stabilite</w:t>
      </w:r>
      <w:r w:rsidRPr="00DD5F1D">
        <w:rPr>
          <w:rFonts w:ascii="Times New Roman" w:hAnsi="Times New Roman" w:cs="Times New Roman"/>
          <w:b/>
          <w:sz w:val="24"/>
          <w:szCs w:val="24"/>
          <w:lang w:val="ro-MD"/>
        </w:rPr>
        <w:t xml:space="preserve"> </w:t>
      </w:r>
      <w:r w:rsidR="00A71DDE" w:rsidRPr="00DD5F1D">
        <w:rPr>
          <w:rFonts w:ascii="Times New Roman" w:hAnsi="Times New Roman" w:cs="Times New Roman"/>
          <w:b/>
          <w:sz w:val="24"/>
          <w:szCs w:val="24"/>
          <w:lang w:val="ro-MD"/>
        </w:rPr>
        <w:t>la</w:t>
      </w:r>
      <w:r w:rsidRPr="00DD5F1D">
        <w:rPr>
          <w:rFonts w:ascii="Times New Roman" w:hAnsi="Times New Roman" w:cs="Times New Roman"/>
          <w:b/>
          <w:sz w:val="24"/>
          <w:szCs w:val="24"/>
          <w:lang w:val="ro-MD"/>
        </w:rPr>
        <w:t xml:space="preserve"> contribuții</w:t>
      </w:r>
      <w:r w:rsidR="00A71DDE" w:rsidRPr="00DD5F1D">
        <w:rPr>
          <w:rFonts w:ascii="Times New Roman" w:hAnsi="Times New Roman" w:cs="Times New Roman"/>
          <w:b/>
          <w:sz w:val="24"/>
          <w:szCs w:val="24"/>
          <w:lang w:val="ro-MD"/>
        </w:rPr>
        <w:t>le</w:t>
      </w:r>
      <w:r w:rsidRPr="00DD5F1D">
        <w:rPr>
          <w:rFonts w:ascii="Times New Roman" w:hAnsi="Times New Roman" w:cs="Times New Roman"/>
          <w:b/>
          <w:sz w:val="24"/>
          <w:szCs w:val="24"/>
          <w:lang w:val="ro-MD"/>
        </w:rPr>
        <w:t xml:space="preserve"> de asigurări sociale nu asigură acumularea veniturilor pentru acoperirea cheltuielilor suportate din BASS</w:t>
      </w:r>
      <w:r w:rsidRPr="00DD5F1D">
        <w:rPr>
          <w:rFonts w:ascii="Times New Roman" w:eastAsia="Times New Roman" w:hAnsi="Times New Roman" w:cs="Times New Roman"/>
          <w:b/>
          <w:sz w:val="24"/>
          <w:szCs w:val="24"/>
          <w:lang w:val="ro-MD"/>
        </w:rPr>
        <w:t>, ceea ce a cauzat menținerea insuficienței mijloacelor proprii ale sistemului public de asigurări sociale pentru onorarea obligațiilor și formarea dependenței de transferurile de la bugetul de stat.</w:t>
      </w:r>
    </w:p>
    <w:p w14:paraId="40E60762" w14:textId="489652A4" w:rsidR="00507C70" w:rsidRDefault="00E578FA" w:rsidP="0029775A">
      <w:pPr>
        <w:pStyle w:val="aa"/>
        <w:ind w:left="0"/>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 xml:space="preserve">Ponderea esențială a veniturilor proprii ale BASS o constituie contribuțiile de asigurări sociale, virate de plătitorii de contribuții, persoane juridice și fizice. Pe de altă parte, ponderea esențială a cheltuielilor suportate din BASS o constituie prestațiile de asigurări sociale (pensii, indemnizații și alte prestații de asigurări sociale). Astfel, pe parcursul anilor 2018-2023, cheltuielile </w:t>
      </w:r>
      <w:r w:rsidR="00C36674" w:rsidRPr="00DD5F1D">
        <w:rPr>
          <w:rFonts w:ascii="Times New Roman" w:eastAsia="Times New Roman" w:hAnsi="Times New Roman" w:cs="Times New Roman"/>
          <w:sz w:val="24"/>
          <w:szCs w:val="24"/>
          <w:lang w:val="ro-MD"/>
        </w:rPr>
        <w:t xml:space="preserve">proprii </w:t>
      </w:r>
      <w:r w:rsidRPr="00DD5F1D">
        <w:rPr>
          <w:rFonts w:ascii="Times New Roman" w:eastAsia="Times New Roman" w:hAnsi="Times New Roman" w:cs="Times New Roman"/>
          <w:sz w:val="24"/>
          <w:szCs w:val="24"/>
          <w:lang w:val="ro-MD"/>
        </w:rPr>
        <w:t>BASS au depășit veniturile proprii, de la 842,4 mil. lei în anul 2018 până la 5</w:t>
      </w:r>
      <w:r w:rsidR="00A71DDE" w:rsidRPr="00DD5F1D">
        <w:rPr>
          <w:rFonts w:ascii="Times New Roman" w:eastAsia="Times New Roman" w:hAnsi="Times New Roman" w:cs="Times New Roman"/>
          <w:sz w:val="24"/>
          <w:szCs w:val="24"/>
          <w:lang w:val="ro-MD"/>
        </w:rPr>
        <w:t xml:space="preserve"> </w:t>
      </w:r>
      <w:r w:rsidRPr="00DD5F1D">
        <w:rPr>
          <w:rFonts w:ascii="Times New Roman" w:eastAsia="Times New Roman" w:hAnsi="Times New Roman" w:cs="Times New Roman"/>
          <w:sz w:val="24"/>
          <w:szCs w:val="24"/>
          <w:lang w:val="ro-MD"/>
        </w:rPr>
        <w:t>268,8 mil. lei în anul 2023, situați</w:t>
      </w:r>
      <w:r w:rsidR="0029775A" w:rsidRPr="00DD5F1D">
        <w:rPr>
          <w:rFonts w:ascii="Times New Roman" w:eastAsia="Times New Roman" w:hAnsi="Times New Roman" w:cs="Times New Roman"/>
          <w:sz w:val="24"/>
          <w:szCs w:val="24"/>
          <w:lang w:val="ro-MD"/>
        </w:rPr>
        <w:t>e redată în tabelul de mai jos.</w:t>
      </w:r>
    </w:p>
    <w:p w14:paraId="49ED2DFA" w14:textId="31D5CBEB" w:rsidR="00C92EC2" w:rsidRDefault="00C92EC2" w:rsidP="0029775A">
      <w:pPr>
        <w:pStyle w:val="aa"/>
        <w:ind w:left="0"/>
        <w:jc w:val="both"/>
        <w:rPr>
          <w:rFonts w:ascii="Times New Roman" w:eastAsia="Times New Roman" w:hAnsi="Times New Roman" w:cs="Times New Roman"/>
          <w:sz w:val="24"/>
          <w:szCs w:val="24"/>
          <w:lang w:val="ro-MD"/>
        </w:rPr>
      </w:pPr>
    </w:p>
    <w:p w14:paraId="71FCB323" w14:textId="2858F69B" w:rsidR="00C92EC2" w:rsidRDefault="00C92EC2" w:rsidP="0029775A">
      <w:pPr>
        <w:pStyle w:val="aa"/>
        <w:ind w:left="0"/>
        <w:jc w:val="both"/>
        <w:rPr>
          <w:rFonts w:ascii="Times New Roman" w:eastAsia="Times New Roman" w:hAnsi="Times New Roman" w:cs="Times New Roman"/>
          <w:sz w:val="24"/>
          <w:szCs w:val="24"/>
          <w:lang w:val="ro-MD"/>
        </w:rPr>
      </w:pPr>
    </w:p>
    <w:p w14:paraId="77F96748" w14:textId="19259595" w:rsidR="00C92EC2" w:rsidRDefault="00C92EC2" w:rsidP="0029775A">
      <w:pPr>
        <w:pStyle w:val="aa"/>
        <w:ind w:left="0"/>
        <w:jc w:val="both"/>
        <w:rPr>
          <w:rFonts w:ascii="Times New Roman" w:eastAsia="Times New Roman" w:hAnsi="Times New Roman" w:cs="Times New Roman"/>
          <w:sz w:val="24"/>
          <w:szCs w:val="24"/>
          <w:lang w:val="ro-MD"/>
        </w:rPr>
      </w:pPr>
    </w:p>
    <w:p w14:paraId="51E835CB" w14:textId="71CA3996" w:rsidR="00C92EC2" w:rsidRDefault="00C92EC2" w:rsidP="0029775A">
      <w:pPr>
        <w:pStyle w:val="aa"/>
        <w:ind w:left="0"/>
        <w:jc w:val="both"/>
        <w:rPr>
          <w:rFonts w:ascii="Times New Roman" w:eastAsia="Times New Roman" w:hAnsi="Times New Roman" w:cs="Times New Roman"/>
          <w:sz w:val="24"/>
          <w:szCs w:val="24"/>
          <w:lang w:val="ro-MD"/>
        </w:rPr>
      </w:pPr>
    </w:p>
    <w:p w14:paraId="76101252" w14:textId="64525F08" w:rsidR="00C92EC2" w:rsidRDefault="00C92EC2" w:rsidP="0029775A">
      <w:pPr>
        <w:pStyle w:val="aa"/>
        <w:ind w:left="0"/>
        <w:jc w:val="both"/>
        <w:rPr>
          <w:rFonts w:ascii="Times New Roman" w:eastAsia="Times New Roman" w:hAnsi="Times New Roman" w:cs="Times New Roman"/>
          <w:sz w:val="24"/>
          <w:szCs w:val="24"/>
          <w:lang w:val="ro-MD"/>
        </w:rPr>
      </w:pPr>
    </w:p>
    <w:p w14:paraId="47149690" w14:textId="10038FB9" w:rsidR="00C92EC2" w:rsidRDefault="00C92EC2" w:rsidP="0029775A">
      <w:pPr>
        <w:pStyle w:val="aa"/>
        <w:ind w:left="0"/>
        <w:jc w:val="both"/>
        <w:rPr>
          <w:rFonts w:ascii="Times New Roman" w:eastAsia="Times New Roman" w:hAnsi="Times New Roman" w:cs="Times New Roman"/>
          <w:sz w:val="24"/>
          <w:szCs w:val="24"/>
          <w:lang w:val="ro-MD"/>
        </w:rPr>
      </w:pPr>
    </w:p>
    <w:p w14:paraId="73AD55DD" w14:textId="089A9C4C" w:rsidR="00C92EC2" w:rsidRDefault="00C92EC2" w:rsidP="0029775A">
      <w:pPr>
        <w:pStyle w:val="aa"/>
        <w:ind w:left="0"/>
        <w:jc w:val="both"/>
        <w:rPr>
          <w:rFonts w:ascii="Times New Roman" w:eastAsia="Times New Roman" w:hAnsi="Times New Roman" w:cs="Times New Roman"/>
          <w:sz w:val="24"/>
          <w:szCs w:val="24"/>
          <w:lang w:val="ro-MD"/>
        </w:rPr>
      </w:pPr>
    </w:p>
    <w:p w14:paraId="2E6AD046" w14:textId="0FD6104C" w:rsidR="00C92EC2" w:rsidRDefault="00C92EC2" w:rsidP="0029775A">
      <w:pPr>
        <w:pStyle w:val="aa"/>
        <w:ind w:left="0"/>
        <w:jc w:val="both"/>
        <w:rPr>
          <w:rFonts w:ascii="Times New Roman" w:eastAsia="Times New Roman" w:hAnsi="Times New Roman" w:cs="Times New Roman"/>
          <w:sz w:val="24"/>
          <w:szCs w:val="24"/>
          <w:lang w:val="ro-MD"/>
        </w:rPr>
      </w:pPr>
    </w:p>
    <w:p w14:paraId="223BF0E7" w14:textId="77777777" w:rsidR="00C92EC2" w:rsidRPr="00DD5F1D" w:rsidRDefault="00C92EC2" w:rsidP="0029775A">
      <w:pPr>
        <w:pStyle w:val="aa"/>
        <w:ind w:left="0"/>
        <w:jc w:val="both"/>
        <w:rPr>
          <w:rFonts w:ascii="Times New Roman" w:eastAsia="Times New Roman" w:hAnsi="Times New Roman" w:cs="Times New Roman"/>
          <w:sz w:val="24"/>
          <w:szCs w:val="24"/>
          <w:lang w:val="ro-MD"/>
        </w:rPr>
      </w:pPr>
    </w:p>
    <w:p w14:paraId="69F2A03E" w14:textId="460174AE" w:rsidR="00E578FA" w:rsidRPr="00DD5F1D" w:rsidRDefault="00E578FA" w:rsidP="004B301E">
      <w:pPr>
        <w:spacing w:after="0" w:line="276" w:lineRule="auto"/>
        <w:jc w:val="right"/>
        <w:rPr>
          <w:rFonts w:ascii="Times New Roman" w:eastAsia="Times New Roman" w:hAnsi="Times New Roman" w:cs="Times New Roman"/>
          <w:b/>
          <w:color w:val="000000" w:themeColor="text1"/>
          <w:szCs w:val="24"/>
          <w:lang w:val="ro-MD"/>
        </w:rPr>
      </w:pPr>
      <w:r w:rsidRPr="00DD5F1D">
        <w:rPr>
          <w:rFonts w:ascii="Times New Roman" w:eastAsia="Times New Roman" w:hAnsi="Times New Roman" w:cs="Times New Roman"/>
          <w:b/>
          <w:color w:val="000000" w:themeColor="text1"/>
          <w:szCs w:val="24"/>
          <w:lang w:val="ro-MD"/>
        </w:rPr>
        <w:t>Tabelul nr.</w:t>
      </w:r>
      <w:r w:rsidR="008926F5" w:rsidRPr="00DD5F1D">
        <w:rPr>
          <w:rFonts w:ascii="Times New Roman" w:eastAsia="Times New Roman" w:hAnsi="Times New Roman" w:cs="Times New Roman"/>
          <w:b/>
          <w:color w:val="000000" w:themeColor="text1"/>
          <w:szCs w:val="24"/>
          <w:lang w:val="ro-MD"/>
        </w:rPr>
        <w:t xml:space="preserve"> 1</w:t>
      </w:r>
      <w:r w:rsidR="0021536C" w:rsidRPr="00DD5F1D">
        <w:rPr>
          <w:rFonts w:ascii="Times New Roman" w:eastAsia="Times New Roman" w:hAnsi="Times New Roman" w:cs="Times New Roman"/>
          <w:b/>
          <w:color w:val="000000" w:themeColor="text1"/>
          <w:szCs w:val="24"/>
          <w:lang w:val="ro-MD"/>
        </w:rPr>
        <w:t>1</w:t>
      </w:r>
    </w:p>
    <w:p w14:paraId="1BFA500E" w14:textId="77777777" w:rsidR="00E578FA" w:rsidRPr="00DD5F1D" w:rsidRDefault="00E578FA" w:rsidP="004B301E">
      <w:pPr>
        <w:spacing w:line="276" w:lineRule="auto"/>
        <w:jc w:val="center"/>
        <w:rPr>
          <w:rFonts w:ascii="Times New Roman" w:eastAsia="Times New Roman" w:hAnsi="Times New Roman" w:cs="Times New Roman"/>
          <w:b/>
          <w:color w:val="000000" w:themeColor="text1"/>
          <w:szCs w:val="24"/>
          <w:lang w:val="ro-MD"/>
        </w:rPr>
      </w:pPr>
      <w:r w:rsidRPr="00DD5F1D">
        <w:rPr>
          <w:rFonts w:ascii="Times New Roman" w:eastAsia="Times New Roman" w:hAnsi="Times New Roman" w:cs="Times New Roman"/>
          <w:b/>
          <w:color w:val="000000" w:themeColor="text1"/>
          <w:szCs w:val="24"/>
          <w:lang w:val="ro-MD"/>
        </w:rPr>
        <w:t>Ritmul de creștere a cheltuielilor comparativ cu ritmul de creștere a veniturilor în anii 2018-2023</w:t>
      </w:r>
    </w:p>
    <w:tbl>
      <w:tblPr>
        <w:tblW w:w="9880" w:type="dxa"/>
        <w:jc w:val="center"/>
        <w:tblLook w:val="04A0" w:firstRow="1" w:lastRow="0" w:firstColumn="1" w:lastColumn="0" w:noHBand="0" w:noVBand="1"/>
      </w:tblPr>
      <w:tblGrid>
        <w:gridCol w:w="957"/>
        <w:gridCol w:w="1940"/>
        <w:gridCol w:w="1443"/>
        <w:gridCol w:w="1600"/>
        <w:gridCol w:w="1560"/>
        <w:gridCol w:w="2380"/>
      </w:tblGrid>
      <w:tr w:rsidR="00E578FA" w:rsidRPr="00DD5F1D" w14:paraId="383EB369" w14:textId="77777777" w:rsidTr="00C92EC2">
        <w:trPr>
          <w:trHeight w:val="828"/>
          <w:jc w:val="center"/>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DE148" w14:textId="77777777"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Anul</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869D7" w14:textId="77777777"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Cheltuielile suportate din BASS, mil. lei</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11920" w14:textId="77777777"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Ritmul creșterii cheltuielilor față de anul precedent,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12A7A" w14:textId="77777777" w:rsidR="00A71DDE"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 xml:space="preserve">Veniturile proprii ale BASS, </w:t>
            </w:r>
          </w:p>
          <w:p w14:paraId="254DA70F" w14:textId="7D91A699"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mil. lei</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EBA66" w14:textId="77777777"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Ritmul creșterii veniturilor față de anul precedent, %</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11ADA0" w14:textId="5A9C8893"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Depășirea cheltuielilor BASS asupra veniturilor proprii, mil</w:t>
            </w:r>
            <w:r w:rsidR="00A71DDE" w:rsidRPr="00DD5F1D">
              <w:rPr>
                <w:rFonts w:ascii="Times New Roman" w:eastAsia="Times New Roman" w:hAnsi="Times New Roman" w:cs="Times New Roman"/>
                <w:b/>
                <w:bCs/>
                <w:color w:val="000000" w:themeColor="text1"/>
                <w:sz w:val="20"/>
                <w:szCs w:val="20"/>
                <w:lang w:val="ro-MD"/>
              </w:rPr>
              <w:t>.</w:t>
            </w:r>
            <w:r w:rsidRPr="00DD5F1D">
              <w:rPr>
                <w:rFonts w:ascii="Times New Roman" w:eastAsia="Times New Roman" w:hAnsi="Times New Roman" w:cs="Times New Roman"/>
                <w:b/>
                <w:bCs/>
                <w:color w:val="000000" w:themeColor="text1"/>
                <w:sz w:val="20"/>
                <w:szCs w:val="20"/>
                <w:lang w:val="ro-MD"/>
              </w:rPr>
              <w:t xml:space="preserve"> lei</w:t>
            </w:r>
          </w:p>
        </w:tc>
      </w:tr>
      <w:tr w:rsidR="00E578FA" w:rsidRPr="00DD5F1D" w14:paraId="1038AE0F" w14:textId="77777777" w:rsidTr="00C92EC2">
        <w:trPr>
          <w:trHeight w:val="708"/>
          <w:jc w:val="center"/>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58758647" w14:textId="77777777" w:rsidR="00E578FA" w:rsidRPr="00DD5F1D" w:rsidRDefault="00E578FA" w:rsidP="00A4476B">
            <w:pPr>
              <w:spacing w:after="0" w:line="240" w:lineRule="auto"/>
              <w:rPr>
                <w:rFonts w:ascii="Times New Roman" w:eastAsia="Times New Roman" w:hAnsi="Times New Roman" w:cs="Times New Roman"/>
                <w:b/>
                <w:bCs/>
                <w:color w:val="000000" w:themeColor="text1"/>
                <w:sz w:val="20"/>
                <w:szCs w:val="20"/>
                <w:lang w:val="ro-MD"/>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2FAD4868" w14:textId="77777777" w:rsidR="00E578FA" w:rsidRPr="00DD5F1D" w:rsidRDefault="00E578FA" w:rsidP="00A4476B">
            <w:pPr>
              <w:spacing w:after="0" w:line="240" w:lineRule="auto"/>
              <w:rPr>
                <w:rFonts w:ascii="Times New Roman" w:eastAsia="Times New Roman" w:hAnsi="Times New Roman" w:cs="Times New Roman"/>
                <w:b/>
                <w:bCs/>
                <w:color w:val="000000" w:themeColor="text1"/>
                <w:sz w:val="20"/>
                <w:szCs w:val="20"/>
                <w:lang w:val="ro-MD"/>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25BF85DD" w14:textId="77777777" w:rsidR="00E578FA" w:rsidRPr="00DD5F1D" w:rsidRDefault="00E578FA" w:rsidP="00A4476B">
            <w:pPr>
              <w:spacing w:after="0" w:line="240" w:lineRule="auto"/>
              <w:rPr>
                <w:rFonts w:ascii="Times New Roman" w:eastAsia="Times New Roman" w:hAnsi="Times New Roman" w:cs="Times New Roman"/>
                <w:b/>
                <w:bCs/>
                <w:color w:val="000000" w:themeColor="text1"/>
                <w:sz w:val="20"/>
                <w:szCs w:val="20"/>
                <w:lang w:val="ro-MD"/>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3F7F3F16" w14:textId="77777777" w:rsidR="00E578FA" w:rsidRPr="00DD5F1D" w:rsidRDefault="00E578FA" w:rsidP="00A4476B">
            <w:pPr>
              <w:spacing w:after="0" w:line="240" w:lineRule="auto"/>
              <w:rPr>
                <w:rFonts w:ascii="Times New Roman" w:eastAsia="Times New Roman" w:hAnsi="Times New Roman" w:cs="Times New Roman"/>
                <w:b/>
                <w:bCs/>
                <w:color w:val="000000" w:themeColor="text1"/>
                <w:sz w:val="20"/>
                <w:szCs w:val="20"/>
                <w:lang w:val="ro-MD"/>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FA3F3A1" w14:textId="77777777" w:rsidR="00E578FA" w:rsidRPr="00DD5F1D" w:rsidRDefault="00E578FA" w:rsidP="00A4476B">
            <w:pPr>
              <w:spacing w:after="0" w:line="240" w:lineRule="auto"/>
              <w:rPr>
                <w:rFonts w:ascii="Times New Roman" w:eastAsia="Times New Roman" w:hAnsi="Times New Roman" w:cs="Times New Roman"/>
                <w:b/>
                <w:bCs/>
                <w:color w:val="000000" w:themeColor="text1"/>
                <w:sz w:val="20"/>
                <w:szCs w:val="20"/>
                <w:lang w:val="ro-MD"/>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14:paraId="1FC629A7" w14:textId="77777777" w:rsidR="00E578FA" w:rsidRPr="00DD5F1D" w:rsidRDefault="00E578FA" w:rsidP="00A4476B">
            <w:pPr>
              <w:spacing w:after="0" w:line="240" w:lineRule="auto"/>
              <w:rPr>
                <w:rFonts w:ascii="Times New Roman" w:eastAsia="Times New Roman" w:hAnsi="Times New Roman" w:cs="Times New Roman"/>
                <w:b/>
                <w:bCs/>
                <w:color w:val="000000" w:themeColor="text1"/>
                <w:sz w:val="20"/>
                <w:szCs w:val="20"/>
                <w:lang w:val="ro-MD"/>
              </w:rPr>
            </w:pPr>
          </w:p>
        </w:tc>
      </w:tr>
      <w:tr w:rsidR="00E578FA" w:rsidRPr="00DD5F1D" w14:paraId="00611225" w14:textId="77777777" w:rsidTr="00C92EC2">
        <w:trPr>
          <w:trHeight w:val="28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697A2660" w14:textId="77777777"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2018</w:t>
            </w:r>
          </w:p>
        </w:tc>
        <w:tc>
          <w:tcPr>
            <w:tcW w:w="1940" w:type="dxa"/>
            <w:tcBorders>
              <w:top w:val="nil"/>
              <w:left w:val="nil"/>
              <w:bottom w:val="single" w:sz="4" w:space="0" w:color="auto"/>
              <w:right w:val="single" w:sz="4" w:space="0" w:color="auto"/>
            </w:tcBorders>
            <w:shd w:val="clear" w:color="auto" w:fill="auto"/>
            <w:vAlign w:val="center"/>
            <w:hideMark/>
          </w:tcPr>
          <w:p w14:paraId="0E1F222C"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 xml:space="preserve">13 962,5 </w:t>
            </w:r>
          </w:p>
        </w:tc>
        <w:tc>
          <w:tcPr>
            <w:tcW w:w="1443" w:type="dxa"/>
            <w:tcBorders>
              <w:top w:val="nil"/>
              <w:left w:val="nil"/>
              <w:bottom w:val="single" w:sz="4" w:space="0" w:color="auto"/>
              <w:right w:val="single" w:sz="4" w:space="0" w:color="auto"/>
            </w:tcBorders>
            <w:shd w:val="clear" w:color="auto" w:fill="auto"/>
            <w:vAlign w:val="center"/>
            <w:hideMark/>
          </w:tcPr>
          <w:p w14:paraId="5B6E97AC"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110,5</w:t>
            </w:r>
          </w:p>
        </w:tc>
        <w:tc>
          <w:tcPr>
            <w:tcW w:w="1600" w:type="dxa"/>
            <w:tcBorders>
              <w:top w:val="nil"/>
              <w:left w:val="nil"/>
              <w:bottom w:val="single" w:sz="4" w:space="0" w:color="auto"/>
              <w:right w:val="single" w:sz="4" w:space="0" w:color="auto"/>
            </w:tcBorders>
            <w:shd w:val="clear" w:color="auto" w:fill="auto"/>
            <w:vAlign w:val="center"/>
            <w:hideMark/>
          </w:tcPr>
          <w:p w14:paraId="3CBD8956"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 xml:space="preserve">13 120,1 </w:t>
            </w:r>
          </w:p>
        </w:tc>
        <w:tc>
          <w:tcPr>
            <w:tcW w:w="1560" w:type="dxa"/>
            <w:tcBorders>
              <w:top w:val="nil"/>
              <w:left w:val="nil"/>
              <w:bottom w:val="single" w:sz="4" w:space="0" w:color="auto"/>
              <w:right w:val="single" w:sz="4" w:space="0" w:color="auto"/>
            </w:tcBorders>
            <w:shd w:val="clear" w:color="auto" w:fill="auto"/>
            <w:vAlign w:val="center"/>
            <w:hideMark/>
          </w:tcPr>
          <w:p w14:paraId="4E4A78A4"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110,5</w:t>
            </w:r>
          </w:p>
        </w:tc>
        <w:tc>
          <w:tcPr>
            <w:tcW w:w="2380" w:type="dxa"/>
            <w:tcBorders>
              <w:top w:val="nil"/>
              <w:left w:val="nil"/>
              <w:bottom w:val="single" w:sz="4" w:space="0" w:color="auto"/>
              <w:right w:val="single" w:sz="4" w:space="0" w:color="auto"/>
            </w:tcBorders>
            <w:shd w:val="clear" w:color="auto" w:fill="auto"/>
            <w:vAlign w:val="center"/>
            <w:hideMark/>
          </w:tcPr>
          <w:p w14:paraId="1A030199"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842,4</w:t>
            </w:r>
          </w:p>
        </w:tc>
      </w:tr>
      <w:tr w:rsidR="00E578FA" w:rsidRPr="00DD5F1D" w14:paraId="4BD633F3" w14:textId="77777777" w:rsidTr="00C92EC2">
        <w:trPr>
          <w:trHeight w:val="28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2701B477" w14:textId="77777777"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2019</w:t>
            </w:r>
          </w:p>
        </w:tc>
        <w:tc>
          <w:tcPr>
            <w:tcW w:w="1940" w:type="dxa"/>
            <w:tcBorders>
              <w:top w:val="nil"/>
              <w:left w:val="nil"/>
              <w:bottom w:val="single" w:sz="4" w:space="0" w:color="auto"/>
              <w:right w:val="single" w:sz="4" w:space="0" w:color="auto"/>
            </w:tcBorders>
            <w:shd w:val="clear" w:color="auto" w:fill="auto"/>
            <w:vAlign w:val="center"/>
            <w:hideMark/>
          </w:tcPr>
          <w:p w14:paraId="0774F45B"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 xml:space="preserve">15 686,0 </w:t>
            </w:r>
          </w:p>
        </w:tc>
        <w:tc>
          <w:tcPr>
            <w:tcW w:w="1443" w:type="dxa"/>
            <w:tcBorders>
              <w:top w:val="nil"/>
              <w:left w:val="nil"/>
              <w:bottom w:val="single" w:sz="4" w:space="0" w:color="auto"/>
              <w:right w:val="single" w:sz="4" w:space="0" w:color="auto"/>
            </w:tcBorders>
            <w:shd w:val="clear" w:color="auto" w:fill="auto"/>
            <w:vAlign w:val="center"/>
            <w:hideMark/>
          </w:tcPr>
          <w:p w14:paraId="2CCEEE9F"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112,3</w:t>
            </w:r>
          </w:p>
        </w:tc>
        <w:tc>
          <w:tcPr>
            <w:tcW w:w="1600" w:type="dxa"/>
            <w:tcBorders>
              <w:top w:val="nil"/>
              <w:left w:val="nil"/>
              <w:bottom w:val="single" w:sz="4" w:space="0" w:color="auto"/>
              <w:right w:val="single" w:sz="4" w:space="0" w:color="auto"/>
            </w:tcBorders>
            <w:shd w:val="clear" w:color="auto" w:fill="auto"/>
            <w:vAlign w:val="center"/>
            <w:hideMark/>
          </w:tcPr>
          <w:p w14:paraId="19A52002"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 xml:space="preserve">13 791,4 </w:t>
            </w:r>
          </w:p>
        </w:tc>
        <w:tc>
          <w:tcPr>
            <w:tcW w:w="1560" w:type="dxa"/>
            <w:tcBorders>
              <w:top w:val="nil"/>
              <w:left w:val="nil"/>
              <w:bottom w:val="single" w:sz="4" w:space="0" w:color="auto"/>
              <w:right w:val="single" w:sz="4" w:space="0" w:color="auto"/>
            </w:tcBorders>
            <w:shd w:val="clear" w:color="auto" w:fill="auto"/>
            <w:vAlign w:val="center"/>
            <w:hideMark/>
          </w:tcPr>
          <w:p w14:paraId="6EC9A2D2"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105,1</w:t>
            </w:r>
          </w:p>
        </w:tc>
        <w:tc>
          <w:tcPr>
            <w:tcW w:w="2380" w:type="dxa"/>
            <w:tcBorders>
              <w:top w:val="nil"/>
              <w:left w:val="nil"/>
              <w:bottom w:val="single" w:sz="4" w:space="0" w:color="auto"/>
              <w:right w:val="single" w:sz="4" w:space="0" w:color="auto"/>
            </w:tcBorders>
            <w:shd w:val="clear" w:color="auto" w:fill="auto"/>
            <w:vAlign w:val="center"/>
            <w:hideMark/>
          </w:tcPr>
          <w:p w14:paraId="48785809"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 xml:space="preserve">1 894,6 </w:t>
            </w:r>
          </w:p>
        </w:tc>
      </w:tr>
      <w:tr w:rsidR="00E578FA" w:rsidRPr="00DD5F1D" w14:paraId="55D1CE2B" w14:textId="77777777" w:rsidTr="00C92EC2">
        <w:trPr>
          <w:trHeight w:val="28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7393D395" w14:textId="77777777"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2020</w:t>
            </w:r>
          </w:p>
        </w:tc>
        <w:tc>
          <w:tcPr>
            <w:tcW w:w="1940" w:type="dxa"/>
            <w:tcBorders>
              <w:top w:val="nil"/>
              <w:left w:val="nil"/>
              <w:bottom w:val="single" w:sz="4" w:space="0" w:color="auto"/>
              <w:right w:val="single" w:sz="4" w:space="0" w:color="auto"/>
            </w:tcBorders>
            <w:shd w:val="clear" w:color="auto" w:fill="auto"/>
            <w:vAlign w:val="center"/>
            <w:hideMark/>
          </w:tcPr>
          <w:p w14:paraId="0928E0F6"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 xml:space="preserve">17 138,8 </w:t>
            </w:r>
          </w:p>
        </w:tc>
        <w:tc>
          <w:tcPr>
            <w:tcW w:w="1443" w:type="dxa"/>
            <w:tcBorders>
              <w:top w:val="nil"/>
              <w:left w:val="nil"/>
              <w:bottom w:val="single" w:sz="4" w:space="0" w:color="auto"/>
              <w:right w:val="single" w:sz="4" w:space="0" w:color="auto"/>
            </w:tcBorders>
            <w:shd w:val="clear" w:color="auto" w:fill="auto"/>
            <w:vAlign w:val="center"/>
            <w:hideMark/>
          </w:tcPr>
          <w:p w14:paraId="004AEB27"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109,3</w:t>
            </w:r>
          </w:p>
        </w:tc>
        <w:tc>
          <w:tcPr>
            <w:tcW w:w="1600" w:type="dxa"/>
            <w:tcBorders>
              <w:top w:val="nil"/>
              <w:left w:val="nil"/>
              <w:bottom w:val="single" w:sz="4" w:space="0" w:color="auto"/>
              <w:right w:val="single" w:sz="4" w:space="0" w:color="auto"/>
            </w:tcBorders>
            <w:shd w:val="clear" w:color="auto" w:fill="auto"/>
            <w:vAlign w:val="center"/>
            <w:hideMark/>
          </w:tcPr>
          <w:p w14:paraId="552BE9F8"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 xml:space="preserve">14 516,2 </w:t>
            </w:r>
          </w:p>
        </w:tc>
        <w:tc>
          <w:tcPr>
            <w:tcW w:w="1560" w:type="dxa"/>
            <w:tcBorders>
              <w:top w:val="nil"/>
              <w:left w:val="nil"/>
              <w:bottom w:val="single" w:sz="4" w:space="0" w:color="auto"/>
              <w:right w:val="single" w:sz="4" w:space="0" w:color="auto"/>
            </w:tcBorders>
            <w:shd w:val="clear" w:color="auto" w:fill="auto"/>
            <w:vAlign w:val="center"/>
            <w:hideMark/>
          </w:tcPr>
          <w:p w14:paraId="10BBAEC8"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105,3</w:t>
            </w:r>
          </w:p>
        </w:tc>
        <w:tc>
          <w:tcPr>
            <w:tcW w:w="2380" w:type="dxa"/>
            <w:tcBorders>
              <w:top w:val="nil"/>
              <w:left w:val="nil"/>
              <w:bottom w:val="single" w:sz="4" w:space="0" w:color="auto"/>
              <w:right w:val="single" w:sz="4" w:space="0" w:color="auto"/>
            </w:tcBorders>
            <w:shd w:val="clear" w:color="auto" w:fill="auto"/>
            <w:vAlign w:val="center"/>
            <w:hideMark/>
          </w:tcPr>
          <w:p w14:paraId="0B2CEECC"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 xml:space="preserve">2 622,6 </w:t>
            </w:r>
          </w:p>
        </w:tc>
      </w:tr>
      <w:tr w:rsidR="00E578FA" w:rsidRPr="00DD5F1D" w14:paraId="2BD83729" w14:textId="77777777" w:rsidTr="00C92EC2">
        <w:trPr>
          <w:trHeight w:val="28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6CDF1B17" w14:textId="77777777"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2021</w:t>
            </w:r>
          </w:p>
        </w:tc>
        <w:tc>
          <w:tcPr>
            <w:tcW w:w="1940" w:type="dxa"/>
            <w:tcBorders>
              <w:top w:val="nil"/>
              <w:left w:val="nil"/>
              <w:bottom w:val="single" w:sz="4" w:space="0" w:color="auto"/>
              <w:right w:val="single" w:sz="4" w:space="0" w:color="auto"/>
            </w:tcBorders>
            <w:shd w:val="clear" w:color="auto" w:fill="auto"/>
            <w:vAlign w:val="center"/>
            <w:hideMark/>
          </w:tcPr>
          <w:p w14:paraId="461F2888"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 xml:space="preserve">19 343,2 </w:t>
            </w:r>
          </w:p>
        </w:tc>
        <w:tc>
          <w:tcPr>
            <w:tcW w:w="1443" w:type="dxa"/>
            <w:tcBorders>
              <w:top w:val="nil"/>
              <w:left w:val="nil"/>
              <w:bottom w:val="single" w:sz="4" w:space="0" w:color="auto"/>
              <w:right w:val="single" w:sz="4" w:space="0" w:color="auto"/>
            </w:tcBorders>
            <w:shd w:val="clear" w:color="auto" w:fill="auto"/>
            <w:vAlign w:val="center"/>
            <w:hideMark/>
          </w:tcPr>
          <w:p w14:paraId="3462C7E4"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112,9</w:t>
            </w:r>
          </w:p>
        </w:tc>
        <w:tc>
          <w:tcPr>
            <w:tcW w:w="1600" w:type="dxa"/>
            <w:tcBorders>
              <w:top w:val="nil"/>
              <w:left w:val="nil"/>
              <w:bottom w:val="single" w:sz="4" w:space="0" w:color="auto"/>
              <w:right w:val="single" w:sz="4" w:space="0" w:color="auto"/>
            </w:tcBorders>
            <w:shd w:val="clear" w:color="auto" w:fill="auto"/>
            <w:vAlign w:val="center"/>
            <w:hideMark/>
          </w:tcPr>
          <w:p w14:paraId="4C9B518A"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 xml:space="preserve">16 522,1 </w:t>
            </w:r>
          </w:p>
        </w:tc>
        <w:tc>
          <w:tcPr>
            <w:tcW w:w="1560" w:type="dxa"/>
            <w:tcBorders>
              <w:top w:val="nil"/>
              <w:left w:val="nil"/>
              <w:bottom w:val="single" w:sz="4" w:space="0" w:color="auto"/>
              <w:right w:val="single" w:sz="4" w:space="0" w:color="auto"/>
            </w:tcBorders>
            <w:shd w:val="clear" w:color="auto" w:fill="auto"/>
            <w:vAlign w:val="center"/>
            <w:hideMark/>
          </w:tcPr>
          <w:p w14:paraId="7D94018E"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113,8</w:t>
            </w:r>
          </w:p>
        </w:tc>
        <w:tc>
          <w:tcPr>
            <w:tcW w:w="2380" w:type="dxa"/>
            <w:tcBorders>
              <w:top w:val="nil"/>
              <w:left w:val="nil"/>
              <w:bottom w:val="single" w:sz="4" w:space="0" w:color="auto"/>
              <w:right w:val="single" w:sz="4" w:space="0" w:color="auto"/>
            </w:tcBorders>
            <w:shd w:val="clear" w:color="auto" w:fill="auto"/>
            <w:vAlign w:val="center"/>
            <w:hideMark/>
          </w:tcPr>
          <w:p w14:paraId="320CB067"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 xml:space="preserve">2 821,1 </w:t>
            </w:r>
          </w:p>
        </w:tc>
      </w:tr>
      <w:tr w:rsidR="00E578FA" w:rsidRPr="00DD5F1D" w14:paraId="29A153FA" w14:textId="77777777" w:rsidTr="00C92EC2">
        <w:trPr>
          <w:trHeight w:val="28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20C8EE46" w14:textId="77777777"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2022</w:t>
            </w:r>
          </w:p>
        </w:tc>
        <w:tc>
          <w:tcPr>
            <w:tcW w:w="1940" w:type="dxa"/>
            <w:tcBorders>
              <w:top w:val="nil"/>
              <w:left w:val="nil"/>
              <w:bottom w:val="single" w:sz="4" w:space="0" w:color="auto"/>
              <w:right w:val="single" w:sz="4" w:space="0" w:color="auto"/>
            </w:tcBorders>
            <w:shd w:val="clear" w:color="auto" w:fill="auto"/>
            <w:noWrap/>
            <w:vAlign w:val="bottom"/>
            <w:hideMark/>
          </w:tcPr>
          <w:p w14:paraId="5769A6C1"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23 491,2</w:t>
            </w:r>
          </w:p>
        </w:tc>
        <w:tc>
          <w:tcPr>
            <w:tcW w:w="1443" w:type="dxa"/>
            <w:tcBorders>
              <w:top w:val="nil"/>
              <w:left w:val="nil"/>
              <w:bottom w:val="single" w:sz="4" w:space="0" w:color="auto"/>
              <w:right w:val="single" w:sz="4" w:space="0" w:color="auto"/>
            </w:tcBorders>
            <w:shd w:val="clear" w:color="auto" w:fill="auto"/>
            <w:vAlign w:val="center"/>
            <w:hideMark/>
          </w:tcPr>
          <w:p w14:paraId="0B2F2437"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121,4</w:t>
            </w:r>
          </w:p>
        </w:tc>
        <w:tc>
          <w:tcPr>
            <w:tcW w:w="1600" w:type="dxa"/>
            <w:tcBorders>
              <w:top w:val="nil"/>
              <w:left w:val="nil"/>
              <w:bottom w:val="single" w:sz="4" w:space="0" w:color="auto"/>
              <w:right w:val="single" w:sz="4" w:space="0" w:color="auto"/>
            </w:tcBorders>
            <w:shd w:val="clear" w:color="auto" w:fill="auto"/>
            <w:noWrap/>
            <w:vAlign w:val="bottom"/>
            <w:hideMark/>
          </w:tcPr>
          <w:p w14:paraId="2A8D0D40"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19002,1</w:t>
            </w:r>
          </w:p>
        </w:tc>
        <w:tc>
          <w:tcPr>
            <w:tcW w:w="1560" w:type="dxa"/>
            <w:tcBorders>
              <w:top w:val="nil"/>
              <w:left w:val="nil"/>
              <w:bottom w:val="single" w:sz="4" w:space="0" w:color="auto"/>
              <w:right w:val="single" w:sz="4" w:space="0" w:color="auto"/>
            </w:tcBorders>
            <w:shd w:val="clear" w:color="auto" w:fill="auto"/>
            <w:vAlign w:val="center"/>
            <w:hideMark/>
          </w:tcPr>
          <w:p w14:paraId="00421DBB"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115,0</w:t>
            </w:r>
          </w:p>
        </w:tc>
        <w:tc>
          <w:tcPr>
            <w:tcW w:w="2380" w:type="dxa"/>
            <w:tcBorders>
              <w:top w:val="nil"/>
              <w:left w:val="nil"/>
              <w:bottom w:val="single" w:sz="4" w:space="0" w:color="auto"/>
              <w:right w:val="single" w:sz="4" w:space="0" w:color="auto"/>
            </w:tcBorders>
            <w:shd w:val="clear" w:color="auto" w:fill="auto"/>
            <w:noWrap/>
            <w:vAlign w:val="bottom"/>
            <w:hideMark/>
          </w:tcPr>
          <w:p w14:paraId="037B3B5F"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4 489,1</w:t>
            </w:r>
          </w:p>
        </w:tc>
      </w:tr>
      <w:tr w:rsidR="00E578FA" w:rsidRPr="00DD5F1D" w14:paraId="7DF294E8" w14:textId="77777777" w:rsidTr="00C92EC2">
        <w:trPr>
          <w:trHeight w:val="288"/>
          <w:jc w:val="center"/>
        </w:trPr>
        <w:tc>
          <w:tcPr>
            <w:tcW w:w="957" w:type="dxa"/>
            <w:tcBorders>
              <w:top w:val="nil"/>
              <w:left w:val="single" w:sz="4" w:space="0" w:color="auto"/>
              <w:bottom w:val="single" w:sz="4" w:space="0" w:color="auto"/>
              <w:right w:val="single" w:sz="4" w:space="0" w:color="auto"/>
            </w:tcBorders>
            <w:shd w:val="clear" w:color="auto" w:fill="auto"/>
            <w:vAlign w:val="center"/>
            <w:hideMark/>
          </w:tcPr>
          <w:p w14:paraId="2D1F62F7" w14:textId="77777777" w:rsidR="00E578FA" w:rsidRPr="00DD5F1D" w:rsidRDefault="00E578FA" w:rsidP="00A4476B">
            <w:pPr>
              <w:spacing w:after="0" w:line="240" w:lineRule="auto"/>
              <w:jc w:val="center"/>
              <w:rPr>
                <w:rFonts w:ascii="Times New Roman" w:eastAsia="Times New Roman" w:hAnsi="Times New Roman" w:cs="Times New Roman"/>
                <w:b/>
                <w:bCs/>
                <w:color w:val="000000" w:themeColor="text1"/>
                <w:sz w:val="20"/>
                <w:szCs w:val="20"/>
                <w:lang w:val="ro-MD"/>
              </w:rPr>
            </w:pPr>
            <w:r w:rsidRPr="00DD5F1D">
              <w:rPr>
                <w:rFonts w:ascii="Times New Roman" w:eastAsia="Times New Roman" w:hAnsi="Times New Roman" w:cs="Times New Roman"/>
                <w:b/>
                <w:bCs/>
                <w:color w:val="000000" w:themeColor="text1"/>
                <w:sz w:val="20"/>
                <w:szCs w:val="20"/>
                <w:lang w:val="ro-MD"/>
              </w:rPr>
              <w:t>2023</w:t>
            </w:r>
          </w:p>
        </w:tc>
        <w:tc>
          <w:tcPr>
            <w:tcW w:w="1940" w:type="dxa"/>
            <w:tcBorders>
              <w:top w:val="nil"/>
              <w:left w:val="nil"/>
              <w:bottom w:val="single" w:sz="4" w:space="0" w:color="auto"/>
              <w:right w:val="single" w:sz="4" w:space="0" w:color="auto"/>
            </w:tcBorders>
            <w:shd w:val="clear" w:color="auto" w:fill="auto"/>
            <w:noWrap/>
            <w:vAlign w:val="bottom"/>
            <w:hideMark/>
          </w:tcPr>
          <w:p w14:paraId="282479C8"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27 367,0</w:t>
            </w:r>
          </w:p>
        </w:tc>
        <w:tc>
          <w:tcPr>
            <w:tcW w:w="1443" w:type="dxa"/>
            <w:tcBorders>
              <w:top w:val="nil"/>
              <w:left w:val="nil"/>
              <w:bottom w:val="single" w:sz="4" w:space="0" w:color="auto"/>
              <w:right w:val="single" w:sz="4" w:space="0" w:color="auto"/>
            </w:tcBorders>
            <w:shd w:val="clear" w:color="auto" w:fill="auto"/>
            <w:noWrap/>
            <w:vAlign w:val="bottom"/>
            <w:hideMark/>
          </w:tcPr>
          <w:p w14:paraId="1A60B9E6"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116,5</w:t>
            </w:r>
          </w:p>
        </w:tc>
        <w:tc>
          <w:tcPr>
            <w:tcW w:w="1600" w:type="dxa"/>
            <w:tcBorders>
              <w:top w:val="nil"/>
              <w:left w:val="nil"/>
              <w:bottom w:val="single" w:sz="4" w:space="0" w:color="auto"/>
              <w:right w:val="single" w:sz="4" w:space="0" w:color="auto"/>
            </w:tcBorders>
            <w:shd w:val="clear" w:color="auto" w:fill="auto"/>
            <w:noWrap/>
            <w:vAlign w:val="bottom"/>
            <w:hideMark/>
          </w:tcPr>
          <w:p w14:paraId="0BC86C49"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22098,2</w:t>
            </w:r>
          </w:p>
        </w:tc>
        <w:tc>
          <w:tcPr>
            <w:tcW w:w="1560" w:type="dxa"/>
            <w:tcBorders>
              <w:top w:val="nil"/>
              <w:left w:val="nil"/>
              <w:bottom w:val="single" w:sz="4" w:space="0" w:color="auto"/>
              <w:right w:val="single" w:sz="4" w:space="0" w:color="auto"/>
            </w:tcBorders>
            <w:shd w:val="clear" w:color="auto" w:fill="auto"/>
            <w:noWrap/>
            <w:vAlign w:val="bottom"/>
            <w:hideMark/>
          </w:tcPr>
          <w:p w14:paraId="22EEDF6F"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116,3</w:t>
            </w:r>
          </w:p>
        </w:tc>
        <w:tc>
          <w:tcPr>
            <w:tcW w:w="2380" w:type="dxa"/>
            <w:tcBorders>
              <w:top w:val="nil"/>
              <w:left w:val="nil"/>
              <w:bottom w:val="single" w:sz="4" w:space="0" w:color="auto"/>
              <w:right w:val="single" w:sz="4" w:space="0" w:color="auto"/>
            </w:tcBorders>
            <w:shd w:val="clear" w:color="auto" w:fill="auto"/>
            <w:noWrap/>
            <w:vAlign w:val="bottom"/>
            <w:hideMark/>
          </w:tcPr>
          <w:p w14:paraId="40FE7C47" w14:textId="77777777" w:rsidR="00E578FA" w:rsidRPr="00DD5F1D" w:rsidRDefault="00E578FA" w:rsidP="00A4476B">
            <w:pPr>
              <w:spacing w:after="0" w:line="240" w:lineRule="auto"/>
              <w:jc w:val="right"/>
              <w:rPr>
                <w:rFonts w:ascii="Times New Roman" w:eastAsia="Times New Roman" w:hAnsi="Times New Roman" w:cs="Times New Roman"/>
                <w:color w:val="000000" w:themeColor="text1"/>
                <w:sz w:val="20"/>
                <w:szCs w:val="20"/>
                <w:lang w:val="ro-MD"/>
              </w:rPr>
            </w:pPr>
            <w:r w:rsidRPr="00DD5F1D">
              <w:rPr>
                <w:rFonts w:ascii="Times New Roman" w:eastAsia="Times New Roman" w:hAnsi="Times New Roman" w:cs="Times New Roman"/>
                <w:color w:val="000000" w:themeColor="text1"/>
                <w:sz w:val="20"/>
                <w:szCs w:val="20"/>
                <w:lang w:val="ro-MD"/>
              </w:rPr>
              <w:t>5 268,8</w:t>
            </w:r>
          </w:p>
        </w:tc>
      </w:tr>
    </w:tbl>
    <w:p w14:paraId="5E477A05" w14:textId="752031F2" w:rsidR="00E578FA" w:rsidRPr="00DD5F1D" w:rsidRDefault="00E578FA" w:rsidP="00E578FA">
      <w:pPr>
        <w:jc w:val="both"/>
        <w:rPr>
          <w:rFonts w:ascii="Times New Roman" w:eastAsia="Times New Roman" w:hAnsi="Times New Roman" w:cs="Times New Roman"/>
          <w:i/>
          <w:color w:val="000000" w:themeColor="text1"/>
          <w:sz w:val="20"/>
          <w:szCs w:val="24"/>
          <w:lang w:val="ro-MD"/>
        </w:rPr>
      </w:pPr>
      <w:r w:rsidRPr="00DD5F1D">
        <w:rPr>
          <w:rFonts w:ascii="Times New Roman" w:eastAsia="Times New Roman" w:hAnsi="Times New Roman" w:cs="Times New Roman"/>
          <w:b/>
          <w:i/>
          <w:color w:val="000000" w:themeColor="text1"/>
          <w:sz w:val="20"/>
          <w:szCs w:val="24"/>
          <w:lang w:val="ro-MD"/>
        </w:rPr>
        <w:t>Sursa:</w:t>
      </w:r>
      <w:r w:rsidR="00252C53" w:rsidRPr="00DD5F1D">
        <w:rPr>
          <w:rFonts w:ascii="Times New Roman" w:eastAsia="Times New Roman" w:hAnsi="Times New Roman" w:cs="Times New Roman"/>
          <w:i/>
          <w:color w:val="000000" w:themeColor="text1"/>
          <w:sz w:val="20"/>
          <w:szCs w:val="24"/>
          <w:lang w:val="ro-MD"/>
        </w:rPr>
        <w:t xml:space="preserve"> Analiz</w:t>
      </w:r>
      <w:r w:rsidR="00A71DDE" w:rsidRPr="00DD5F1D">
        <w:rPr>
          <w:rFonts w:ascii="Times New Roman" w:eastAsia="Times New Roman" w:hAnsi="Times New Roman" w:cs="Times New Roman"/>
          <w:i/>
          <w:color w:val="000000" w:themeColor="text1"/>
          <w:sz w:val="20"/>
          <w:szCs w:val="24"/>
          <w:lang w:val="ro-MD"/>
        </w:rPr>
        <w:t>ă</w:t>
      </w:r>
      <w:r w:rsidR="00252C53" w:rsidRPr="00DD5F1D">
        <w:rPr>
          <w:rFonts w:ascii="Times New Roman" w:eastAsia="Times New Roman" w:hAnsi="Times New Roman" w:cs="Times New Roman"/>
          <w:i/>
          <w:color w:val="000000" w:themeColor="text1"/>
          <w:sz w:val="20"/>
          <w:szCs w:val="24"/>
          <w:lang w:val="ro-MD"/>
        </w:rPr>
        <w:t xml:space="preserve"> elaborată de audit în baza Rapoartelor</w:t>
      </w:r>
      <w:r w:rsidRPr="00DD5F1D">
        <w:rPr>
          <w:rFonts w:ascii="Times New Roman" w:eastAsia="Times New Roman" w:hAnsi="Times New Roman" w:cs="Times New Roman"/>
          <w:i/>
          <w:color w:val="000000" w:themeColor="text1"/>
          <w:sz w:val="20"/>
          <w:szCs w:val="24"/>
          <w:lang w:val="ro-MD"/>
        </w:rPr>
        <w:t xml:space="preserve"> privind executarea BASS în anii 2018-2023.</w:t>
      </w:r>
    </w:p>
    <w:p w14:paraId="772107D3" w14:textId="7BD1B32B" w:rsidR="00E578FA" w:rsidRPr="00DD5F1D" w:rsidRDefault="00E578FA" w:rsidP="00E578FA">
      <w:pPr>
        <w:jc w:val="both"/>
        <w:rPr>
          <w:rFonts w:ascii="Times New Roman" w:eastAsia="Times New Roman" w:hAnsi="Times New Roman" w:cs="Times New Roman"/>
          <w:color w:val="000000" w:themeColor="text1"/>
          <w:sz w:val="24"/>
          <w:szCs w:val="24"/>
          <w:lang w:val="ro-MD"/>
        </w:rPr>
      </w:pPr>
      <w:r w:rsidRPr="00DD5F1D">
        <w:rPr>
          <w:rFonts w:ascii="Times New Roman" w:eastAsia="Times New Roman" w:hAnsi="Times New Roman" w:cs="Times New Roman"/>
          <w:color w:val="000000" w:themeColor="text1"/>
          <w:sz w:val="24"/>
          <w:szCs w:val="24"/>
          <w:lang w:val="ro-MD"/>
        </w:rPr>
        <w:t>Datele din tabel indică că atât veniturile</w:t>
      </w:r>
      <w:r w:rsidR="00A71DDE" w:rsidRPr="00DD5F1D">
        <w:rPr>
          <w:rFonts w:ascii="Times New Roman" w:eastAsia="Times New Roman" w:hAnsi="Times New Roman" w:cs="Times New Roman"/>
          <w:color w:val="000000" w:themeColor="text1"/>
          <w:sz w:val="24"/>
          <w:szCs w:val="24"/>
          <w:lang w:val="ro-MD"/>
        </w:rPr>
        <w:t>,</w:t>
      </w:r>
      <w:r w:rsidRPr="00DD5F1D">
        <w:rPr>
          <w:rFonts w:ascii="Times New Roman" w:eastAsia="Times New Roman" w:hAnsi="Times New Roman" w:cs="Times New Roman"/>
          <w:color w:val="000000" w:themeColor="text1"/>
          <w:sz w:val="24"/>
          <w:szCs w:val="24"/>
          <w:lang w:val="ro-MD"/>
        </w:rPr>
        <w:t xml:space="preserve"> cât și cheltuielile au crescut în anul 2023 cu cca 16 %, totodată cuantumul acestora diferă semnificativ, cheltuielile fiind cu cca 5,3 miliarde </w:t>
      </w:r>
      <w:r w:rsidR="00A71DDE" w:rsidRPr="00DD5F1D">
        <w:rPr>
          <w:rFonts w:ascii="Times New Roman" w:eastAsia="Times New Roman" w:hAnsi="Times New Roman" w:cs="Times New Roman"/>
          <w:color w:val="000000" w:themeColor="text1"/>
          <w:sz w:val="24"/>
          <w:szCs w:val="24"/>
          <w:lang w:val="ro-MD"/>
        </w:rPr>
        <w:t xml:space="preserve">lei </w:t>
      </w:r>
      <w:r w:rsidRPr="00DD5F1D">
        <w:rPr>
          <w:rFonts w:ascii="Times New Roman" w:eastAsia="Times New Roman" w:hAnsi="Times New Roman" w:cs="Times New Roman"/>
          <w:color w:val="000000" w:themeColor="text1"/>
          <w:sz w:val="24"/>
          <w:szCs w:val="24"/>
          <w:lang w:val="ro-MD"/>
        </w:rPr>
        <w:t xml:space="preserve">mai mari. </w:t>
      </w:r>
      <w:r w:rsidR="00A71DDE" w:rsidRPr="00DD5F1D">
        <w:rPr>
          <w:rFonts w:ascii="Times New Roman" w:eastAsia="Times New Roman" w:hAnsi="Times New Roman" w:cs="Times New Roman"/>
          <w:color w:val="000000" w:themeColor="text1"/>
          <w:sz w:val="24"/>
          <w:szCs w:val="24"/>
          <w:lang w:val="ro-MD"/>
        </w:rPr>
        <w:t>A</w:t>
      </w:r>
      <w:r w:rsidRPr="00DD5F1D">
        <w:rPr>
          <w:rFonts w:ascii="Times New Roman" w:eastAsia="Times New Roman" w:hAnsi="Times New Roman" w:cs="Times New Roman"/>
          <w:color w:val="000000" w:themeColor="text1"/>
          <w:sz w:val="24"/>
          <w:szCs w:val="24"/>
          <w:lang w:val="ro-MD"/>
        </w:rPr>
        <w:t xml:space="preserve">uditul menționează că un sistem public de asigurări sociale este eficient atunci </w:t>
      </w:r>
      <w:r w:rsidR="008926F5" w:rsidRPr="00DD5F1D">
        <w:rPr>
          <w:rFonts w:ascii="Times New Roman" w:eastAsia="Times New Roman" w:hAnsi="Times New Roman" w:cs="Times New Roman"/>
          <w:color w:val="000000" w:themeColor="text1"/>
          <w:sz w:val="24"/>
          <w:szCs w:val="24"/>
          <w:lang w:val="ro-MD"/>
        </w:rPr>
        <w:t>când</w:t>
      </w:r>
      <w:r w:rsidRPr="00DD5F1D">
        <w:rPr>
          <w:rFonts w:ascii="Times New Roman" w:eastAsia="Times New Roman" w:hAnsi="Times New Roman" w:cs="Times New Roman"/>
          <w:color w:val="000000" w:themeColor="text1"/>
          <w:sz w:val="24"/>
          <w:szCs w:val="24"/>
          <w:lang w:val="ro-MD"/>
        </w:rPr>
        <w:t xml:space="preserve"> cheltuielile pentru prestațiile de asigurări sociale sunt acoperite cu veniturile proprii, încasate la</w:t>
      </w:r>
      <w:r w:rsidR="00252C53" w:rsidRPr="00DD5F1D">
        <w:rPr>
          <w:rFonts w:ascii="Times New Roman" w:eastAsia="Times New Roman" w:hAnsi="Times New Roman" w:cs="Times New Roman"/>
          <w:color w:val="000000" w:themeColor="text1"/>
          <w:sz w:val="24"/>
          <w:szCs w:val="24"/>
          <w:lang w:val="ro-MD"/>
        </w:rPr>
        <w:t xml:space="preserve"> acest</w:t>
      </w:r>
      <w:r w:rsidRPr="00DD5F1D">
        <w:rPr>
          <w:rFonts w:ascii="Times New Roman" w:eastAsia="Times New Roman" w:hAnsi="Times New Roman" w:cs="Times New Roman"/>
          <w:color w:val="000000" w:themeColor="text1"/>
          <w:sz w:val="24"/>
          <w:szCs w:val="24"/>
          <w:lang w:val="ro-MD"/>
        </w:rPr>
        <w:t xml:space="preserve"> buget. În context, menționăm că ritmul de creștere a cheltuielilor suportate din BASS (196,0%) în anul 2023, față de 2018, a depășit ritmul de creștere a veniturilor proprii (168,4%) cu 29,6 puncte procentuale, ceea ce a determinat solicitarea mijloacelor financiare necesare acoperirii deficitului și asigurării plății prestațiilor sociale către beneficiari/cetățeni în termenele stabilite.</w:t>
      </w:r>
    </w:p>
    <w:p w14:paraId="49362D14" w14:textId="327CA18A" w:rsidR="00E578FA" w:rsidRPr="00DD5F1D" w:rsidRDefault="00E578FA" w:rsidP="00E578FA">
      <w:pPr>
        <w:pStyle w:val="Default"/>
        <w:spacing w:line="276" w:lineRule="auto"/>
        <w:jc w:val="both"/>
        <w:rPr>
          <w:color w:val="auto"/>
          <w:lang w:val="ro-MD"/>
        </w:rPr>
      </w:pPr>
      <w:r w:rsidRPr="00DD5F1D">
        <w:rPr>
          <w:rFonts w:eastAsia="Times New Roman"/>
          <w:color w:val="000000" w:themeColor="text1"/>
          <w:lang w:val="ro-MD"/>
        </w:rPr>
        <w:t xml:space="preserve">Ritmul de creștere a veniturilor într-un cuantum mai mic este influențat inclusiv de implementarea politicilor preferențiale și de susținere a diferitor sectoare economice ale RM. Astfel, a fost diminuat tariful contribuțiilor pentru sectorul privat, au fost excluși din sistemul unic de calculare a contribuțiilor un șir de plătitori, fiind transferați la sisteme preferențiale, precum: unele categorii de angajați din domeniul agriculturii, angajații la rezidenții parcurilor pentru tehnologia informației, angajații din domeniul transportului rutier de persoane în regim de taxi. </w:t>
      </w:r>
      <w:r w:rsidRPr="00DD5F1D">
        <w:rPr>
          <w:color w:val="auto"/>
          <w:lang w:val="ro-MD"/>
        </w:rPr>
        <w:t xml:space="preserve">Din iulie 2022 persoanele care exercită unele activități necalificate cu caracter ocazional, de zilieri, sunt asigurate pentru dreptul la pensie pentru limită de vârstă și ajutorul de deces, prin achitarea de către beneficiarul de lucrări a tarifului contribuției de doar 6% la remunerația zilnică. </w:t>
      </w:r>
    </w:p>
    <w:p w14:paraId="3E6C22D2" w14:textId="24212608" w:rsidR="00E578FA" w:rsidRPr="00DD5F1D" w:rsidRDefault="00E578FA" w:rsidP="005B7F0E">
      <w:pPr>
        <w:pStyle w:val="Default"/>
        <w:spacing w:after="120" w:line="276" w:lineRule="auto"/>
        <w:jc w:val="both"/>
        <w:rPr>
          <w:color w:val="auto"/>
          <w:lang w:val="ro-MD"/>
        </w:rPr>
      </w:pPr>
      <w:r w:rsidRPr="00DD5F1D">
        <w:rPr>
          <w:color w:val="auto"/>
          <w:lang w:val="ro-MD"/>
        </w:rPr>
        <w:t xml:space="preserve">Astfel, stabilirea unor condiții speciale pentru unii plătitori de contribuții dezechilibrează  principiile sistemului public de asigurări, în special principiul egalității, precum și demotivează ceilalți participanți, stimulând căutarea căilor de obținere a unor facilități la calcularea contribuțiilor. </w:t>
      </w:r>
    </w:p>
    <w:p w14:paraId="5580A1DD" w14:textId="24AE8241" w:rsidR="00E578FA" w:rsidRPr="00DD5F1D" w:rsidRDefault="00E578FA" w:rsidP="005B7F0E">
      <w:pPr>
        <w:pStyle w:val="Default"/>
        <w:spacing w:after="120" w:line="276" w:lineRule="auto"/>
        <w:jc w:val="both"/>
        <w:rPr>
          <w:lang w:val="ro-MD"/>
        </w:rPr>
      </w:pPr>
      <w:r w:rsidRPr="00DD5F1D">
        <w:rPr>
          <w:lang w:val="ro-MD"/>
        </w:rPr>
        <w:t xml:space="preserve">Concomitent, anual sunt implementate </w:t>
      </w:r>
      <w:r w:rsidRPr="00DD5F1D">
        <w:rPr>
          <w:rFonts w:eastAsia="Times New Roman"/>
          <w:color w:val="000000" w:themeColor="text1"/>
          <w:lang w:val="ro-MD"/>
        </w:rPr>
        <w:t>procese și politici noi ce au menirea de majorare a prestațiilor și de susținere a cetățenilor</w:t>
      </w:r>
      <w:r w:rsidRPr="00DD5F1D">
        <w:rPr>
          <w:lang w:val="ro-MD"/>
        </w:rPr>
        <w:t>, cu impact bugetar semnificativ pe partea de cheltuieli BASS</w:t>
      </w:r>
      <w:r w:rsidRPr="000C1DE0">
        <w:rPr>
          <w:lang w:val="ro-MD"/>
        </w:rPr>
        <w:t>, iar</w:t>
      </w:r>
      <w:r w:rsidRPr="00DD5F1D">
        <w:rPr>
          <w:lang w:val="ro-MD"/>
        </w:rPr>
        <w:t xml:space="preserve"> </w:t>
      </w:r>
      <w:r w:rsidRPr="00DD5F1D">
        <w:rPr>
          <w:color w:val="auto"/>
          <w:lang w:val="ro-MD"/>
        </w:rPr>
        <w:t xml:space="preserve">în situațiile de survenire a riscului social toate categoriile de persoane asigurate optează pentru toate tipurile de prestații din sistemul de asigurări sociale în cuantumuri cât mai favorabile (de exemplu, - </w:t>
      </w:r>
      <w:r w:rsidRPr="00DD5F1D">
        <w:rPr>
          <w:lang w:val="ro-MD"/>
        </w:rPr>
        <w:t>indemnizația de maternitate se calculează din venitul asigurat al unuia dintre soți, care va determina un cuantum mai mare al indemnizației de maternitate; - pensionarii care activează sau au activat în câmpul muncii după realizarea/reexaminarea dreptului la pensie pentru limită de vârstă/pensie de dizabilitate pot solicita reexaminarea pensiei nu mai des decât o dată la doi ani, cu condiția că pensia calculată este mai mare decât pensia aflată în plată</w:t>
      </w:r>
      <w:r w:rsidRPr="00DD5F1D">
        <w:rPr>
          <w:rStyle w:val="a5"/>
          <w:lang w:val="ro-MD"/>
        </w:rPr>
        <w:footnoteReference w:id="68"/>
      </w:r>
      <w:r w:rsidRPr="00DD5F1D">
        <w:rPr>
          <w:lang w:val="ro-MD"/>
        </w:rPr>
        <w:t xml:space="preserve">). </w:t>
      </w:r>
    </w:p>
    <w:p w14:paraId="42CE7161" w14:textId="6626059D" w:rsidR="00E578FA" w:rsidRPr="00DD5F1D" w:rsidRDefault="00E578FA" w:rsidP="00E578FA">
      <w:pPr>
        <w:jc w:val="both"/>
        <w:rPr>
          <w:rFonts w:ascii="Times New Roman" w:eastAsia="Times New Roman" w:hAnsi="Times New Roman" w:cs="Times New Roman"/>
          <w:color w:val="000000" w:themeColor="text1"/>
          <w:sz w:val="24"/>
          <w:szCs w:val="24"/>
          <w:lang w:val="ro-MD"/>
        </w:rPr>
      </w:pPr>
      <w:r w:rsidRPr="000C1DE0">
        <w:rPr>
          <w:rFonts w:ascii="Times New Roman" w:eastAsia="Times New Roman" w:hAnsi="Times New Roman" w:cs="Times New Roman"/>
          <w:color w:val="000000" w:themeColor="text1"/>
          <w:sz w:val="24"/>
          <w:szCs w:val="24"/>
          <w:lang w:val="ro-MD"/>
        </w:rPr>
        <w:t>În acest context, auditul denotă că</w:t>
      </w:r>
      <w:r w:rsidRPr="000C1DE0">
        <w:rPr>
          <w:rFonts w:ascii="Times New Roman" w:hAnsi="Times New Roman" w:cs="Times New Roman"/>
          <w:sz w:val="24"/>
          <w:szCs w:val="24"/>
          <w:lang w:val="ro-MD"/>
        </w:rPr>
        <w:t xml:space="preserve"> tarifele actuale, inclusiv cele preferențiale</w:t>
      </w:r>
      <w:r w:rsidR="00654916" w:rsidRPr="000C1DE0">
        <w:rPr>
          <w:rFonts w:ascii="Times New Roman" w:hAnsi="Times New Roman" w:cs="Times New Roman"/>
          <w:sz w:val="24"/>
          <w:szCs w:val="24"/>
          <w:lang w:val="ro-MD"/>
        </w:rPr>
        <w:t>,</w:t>
      </w:r>
      <w:r w:rsidRPr="000C1DE0">
        <w:rPr>
          <w:rFonts w:ascii="Times New Roman" w:hAnsi="Times New Roman" w:cs="Times New Roman"/>
          <w:sz w:val="24"/>
          <w:szCs w:val="24"/>
          <w:lang w:val="ro-MD"/>
        </w:rPr>
        <w:t xml:space="preserve"> nu oferă acoperire</w:t>
      </w:r>
      <w:r w:rsidR="002E733A" w:rsidRPr="000C1DE0">
        <w:rPr>
          <w:rFonts w:ascii="Times New Roman" w:hAnsi="Times New Roman" w:cs="Times New Roman"/>
          <w:sz w:val="24"/>
          <w:szCs w:val="24"/>
          <w:lang w:val="ro-MD"/>
        </w:rPr>
        <w:t xml:space="preserve"> pentru </w:t>
      </w:r>
      <w:r w:rsidRPr="000C1DE0">
        <w:rPr>
          <w:rFonts w:ascii="Times New Roman" w:eastAsia="Times New Roman" w:hAnsi="Times New Roman" w:cs="Times New Roman"/>
          <w:color w:val="000000" w:themeColor="text1"/>
          <w:sz w:val="24"/>
          <w:szCs w:val="24"/>
          <w:lang w:val="ro-MD"/>
        </w:rPr>
        <w:t xml:space="preserve">acumularea suficientă a veniturilor </w:t>
      </w:r>
      <w:r w:rsidR="002E733A" w:rsidRPr="000C1DE0">
        <w:rPr>
          <w:rFonts w:ascii="Times New Roman" w:eastAsia="Times New Roman" w:hAnsi="Times New Roman" w:cs="Times New Roman"/>
          <w:color w:val="000000" w:themeColor="text1"/>
          <w:sz w:val="24"/>
          <w:szCs w:val="24"/>
          <w:lang w:val="ro-MD"/>
        </w:rPr>
        <w:t>necesare suportării</w:t>
      </w:r>
      <w:r w:rsidRPr="000C1DE0">
        <w:rPr>
          <w:rFonts w:ascii="Times New Roman" w:eastAsia="Times New Roman" w:hAnsi="Times New Roman" w:cs="Times New Roman"/>
          <w:color w:val="000000" w:themeColor="text1"/>
          <w:sz w:val="24"/>
          <w:szCs w:val="24"/>
          <w:lang w:val="ro-MD"/>
        </w:rPr>
        <w:t xml:space="preserve"> cheltuielil</w:t>
      </w:r>
      <w:r w:rsidR="002E733A" w:rsidRPr="000C1DE0">
        <w:rPr>
          <w:rFonts w:ascii="Times New Roman" w:eastAsia="Times New Roman" w:hAnsi="Times New Roman" w:cs="Times New Roman"/>
          <w:color w:val="000000" w:themeColor="text1"/>
          <w:sz w:val="24"/>
          <w:szCs w:val="24"/>
          <w:lang w:val="ro-MD"/>
        </w:rPr>
        <w:t>or BASS, ceea ce în unele cazuri</w:t>
      </w:r>
      <w:r w:rsidRPr="000C1DE0">
        <w:rPr>
          <w:rFonts w:ascii="Times New Roman" w:eastAsia="Times New Roman" w:hAnsi="Times New Roman" w:cs="Times New Roman"/>
          <w:color w:val="000000" w:themeColor="text1"/>
          <w:sz w:val="24"/>
          <w:szCs w:val="24"/>
          <w:lang w:val="ro-MD"/>
        </w:rPr>
        <w:t xml:space="preserve"> influențează </w:t>
      </w:r>
      <w:r w:rsidR="00654916" w:rsidRPr="000C1DE0">
        <w:rPr>
          <w:rFonts w:ascii="Times New Roman" w:eastAsia="Times New Roman" w:hAnsi="Times New Roman" w:cs="Times New Roman"/>
          <w:color w:val="000000" w:themeColor="text1"/>
          <w:sz w:val="24"/>
          <w:szCs w:val="24"/>
          <w:lang w:val="ro-MD"/>
        </w:rPr>
        <w:t>și</w:t>
      </w:r>
      <w:r w:rsidRPr="000C1DE0">
        <w:rPr>
          <w:rFonts w:ascii="Times New Roman" w:eastAsia="Times New Roman" w:hAnsi="Times New Roman" w:cs="Times New Roman"/>
          <w:color w:val="000000" w:themeColor="text1"/>
          <w:sz w:val="24"/>
          <w:szCs w:val="24"/>
          <w:lang w:val="ro-MD"/>
        </w:rPr>
        <w:t xml:space="preserve"> deciziile ce se referă la unele prestații sociale.</w:t>
      </w:r>
    </w:p>
    <w:p w14:paraId="04E064C4" w14:textId="203D78F3" w:rsidR="00E578FA" w:rsidRPr="00DD5F1D" w:rsidRDefault="00E578FA" w:rsidP="00E578FA">
      <w:pPr>
        <w:spacing w:line="276" w:lineRule="auto"/>
        <w:jc w:val="both"/>
        <w:rPr>
          <w:rFonts w:ascii="Times New Roman" w:hAnsi="Times New Roman" w:cs="Times New Roman"/>
          <w:color w:val="000000" w:themeColor="text1"/>
          <w:sz w:val="24"/>
          <w:szCs w:val="24"/>
          <w:shd w:val="clear" w:color="auto" w:fill="FFFFFF"/>
          <w:lang w:val="ro-MD"/>
        </w:rPr>
      </w:pPr>
      <w:r w:rsidRPr="00DD5F1D">
        <w:rPr>
          <w:rFonts w:ascii="Times New Roman" w:eastAsia="Times New Roman" w:hAnsi="Times New Roman" w:cs="Times New Roman"/>
          <w:color w:val="000000" w:themeColor="text1"/>
          <w:sz w:val="24"/>
          <w:szCs w:val="24"/>
          <w:lang w:val="ro-MD"/>
        </w:rPr>
        <w:t>De exemplu, indexarea pensiilor este o măsură realizată periodic pentru actualizarea cuantumului pensiei calculate în vederea păstrării puterii de cumpărare a pensiei</w:t>
      </w:r>
      <w:r w:rsidRPr="00DD5F1D">
        <w:rPr>
          <w:rStyle w:val="a5"/>
          <w:rFonts w:ascii="Times New Roman" w:eastAsia="Times New Roman" w:hAnsi="Times New Roman" w:cs="Times New Roman"/>
          <w:color w:val="000000" w:themeColor="text1"/>
          <w:sz w:val="24"/>
          <w:szCs w:val="24"/>
          <w:lang w:val="ro-MD"/>
        </w:rPr>
        <w:footnoteReference w:id="69"/>
      </w:r>
      <w:r w:rsidRPr="00DD5F1D">
        <w:rPr>
          <w:rFonts w:ascii="Times New Roman" w:eastAsia="Times New Roman" w:hAnsi="Times New Roman" w:cs="Times New Roman"/>
          <w:color w:val="000000" w:themeColor="text1"/>
          <w:sz w:val="24"/>
          <w:szCs w:val="24"/>
          <w:lang w:val="ro-MD"/>
        </w:rPr>
        <w:t>. Astfel, pe parcursul aplicării indexării, c</w:t>
      </w:r>
      <w:r w:rsidRPr="00DD5F1D">
        <w:rPr>
          <w:rFonts w:ascii="Times New Roman" w:hAnsi="Times New Roman" w:cs="Times New Roman"/>
          <w:color w:val="000000" w:themeColor="text1"/>
          <w:sz w:val="24"/>
          <w:szCs w:val="24"/>
          <w:shd w:val="clear" w:color="auto" w:fill="FFFFFF"/>
          <w:lang w:val="ro-MD"/>
        </w:rPr>
        <w:t>oeficientul de indexare s-a bazat preponderent pe rata inflației la sfârșitul anului precedent, exprimată prin creșterea prețurilor de consum în luna decembrie a anului respectiv</w:t>
      </w:r>
      <w:r w:rsidR="00654916" w:rsidRPr="00DD5F1D">
        <w:rPr>
          <w:rFonts w:ascii="Times New Roman" w:hAnsi="Times New Roman" w:cs="Times New Roman"/>
          <w:color w:val="000000" w:themeColor="text1"/>
          <w:sz w:val="24"/>
          <w:szCs w:val="24"/>
          <w:shd w:val="clear" w:color="auto" w:fill="FFFFFF"/>
          <w:lang w:val="ro-MD"/>
        </w:rPr>
        <w:t>,</w:t>
      </w:r>
      <w:r w:rsidRPr="00DD5F1D">
        <w:rPr>
          <w:rFonts w:ascii="Times New Roman" w:hAnsi="Times New Roman" w:cs="Times New Roman"/>
          <w:color w:val="000000" w:themeColor="text1"/>
          <w:sz w:val="24"/>
          <w:szCs w:val="24"/>
          <w:shd w:val="clear" w:color="auto" w:fill="FFFFFF"/>
          <w:lang w:val="ro-MD"/>
        </w:rPr>
        <w:t xml:space="preserve"> față de aceeași lună a anului premergător sau</w:t>
      </w:r>
      <w:r w:rsidRPr="00DD5F1D">
        <w:rPr>
          <w:rFonts w:ascii="Times New Roman" w:hAnsi="Times New Roman" w:cs="Times New Roman"/>
          <w:color w:val="000000" w:themeColor="text1"/>
          <w:sz w:val="24"/>
          <w:szCs w:val="24"/>
          <w:lang w:val="ro-MD"/>
        </w:rPr>
        <w:t xml:space="preserve"> media dintre creșterea anuală a indicelui prețurilor de consum şi creșterea anuală a salariului mediu pe țară pen</w:t>
      </w:r>
      <w:r w:rsidR="008926F5" w:rsidRPr="00DD5F1D">
        <w:rPr>
          <w:rFonts w:ascii="Times New Roman" w:hAnsi="Times New Roman" w:cs="Times New Roman"/>
          <w:color w:val="000000" w:themeColor="text1"/>
          <w:sz w:val="24"/>
          <w:szCs w:val="24"/>
          <w:lang w:val="ro-MD"/>
        </w:rPr>
        <w:t>tru anul precedent (vezi Anexa</w:t>
      </w:r>
      <w:r w:rsidR="00FF0E52" w:rsidRPr="00DD5F1D">
        <w:rPr>
          <w:rFonts w:ascii="Times New Roman" w:hAnsi="Times New Roman" w:cs="Times New Roman"/>
          <w:color w:val="000000" w:themeColor="text1"/>
          <w:sz w:val="24"/>
          <w:szCs w:val="24"/>
          <w:lang w:val="ro-MD"/>
        </w:rPr>
        <w:t xml:space="preserve"> nr. </w:t>
      </w:r>
      <w:r w:rsidR="000E2AC7" w:rsidRPr="00DD5F1D">
        <w:rPr>
          <w:rFonts w:ascii="Times New Roman" w:hAnsi="Times New Roman" w:cs="Times New Roman"/>
          <w:color w:val="000000" w:themeColor="text1"/>
          <w:sz w:val="24"/>
          <w:szCs w:val="24"/>
          <w:lang w:val="ro-MD"/>
        </w:rPr>
        <w:t>11</w:t>
      </w:r>
      <w:r w:rsidR="00654916" w:rsidRPr="00DD5F1D">
        <w:rPr>
          <w:rFonts w:ascii="Times New Roman" w:hAnsi="Times New Roman" w:cs="Times New Roman"/>
          <w:color w:val="000000" w:themeColor="text1"/>
          <w:sz w:val="24"/>
          <w:szCs w:val="24"/>
          <w:lang w:val="ro-MD"/>
        </w:rPr>
        <w:t xml:space="preserve"> la prezentul Raport de audit</w:t>
      </w:r>
      <w:r w:rsidRPr="00DD5F1D">
        <w:rPr>
          <w:rFonts w:ascii="Times New Roman" w:hAnsi="Times New Roman" w:cs="Times New Roman"/>
          <w:color w:val="000000" w:themeColor="text1"/>
          <w:sz w:val="24"/>
          <w:szCs w:val="24"/>
          <w:lang w:val="ro-MD"/>
        </w:rPr>
        <w:t>), modalitatea fiind anual stabilită</w:t>
      </w:r>
      <w:r w:rsidRPr="00DD5F1D">
        <w:rPr>
          <w:rFonts w:ascii="Times New Roman" w:hAnsi="Times New Roman" w:cs="Times New Roman"/>
          <w:color w:val="000000" w:themeColor="text1"/>
          <w:sz w:val="24"/>
          <w:szCs w:val="24"/>
          <w:shd w:val="clear" w:color="auto" w:fill="FFFFFF"/>
          <w:lang w:val="ro-MD"/>
        </w:rPr>
        <w:t xml:space="preserve"> de către Guvern. Se denotă că, </w:t>
      </w:r>
      <w:r w:rsidRPr="00DD5F1D">
        <w:rPr>
          <w:rFonts w:ascii="Times New Roman" w:eastAsia="Times New Roman" w:hAnsi="Times New Roman" w:cs="Times New Roman"/>
          <w:color w:val="000000" w:themeColor="text1"/>
          <w:sz w:val="24"/>
          <w:szCs w:val="24"/>
          <w:lang w:val="ro-MD"/>
        </w:rPr>
        <w:t xml:space="preserve">de la începutul implementării mecanismului de indexare, din anul 2003, pentru prima dată în anul 2023, bază a indexării a servit nivelul creșterii veniturilor BASS. Astfel, prin derogare de la </w:t>
      </w:r>
      <w:r w:rsidR="00654916" w:rsidRPr="00DD5F1D">
        <w:rPr>
          <w:rFonts w:ascii="Times New Roman" w:eastAsia="Times New Roman" w:hAnsi="Times New Roman" w:cs="Times New Roman"/>
          <w:color w:val="000000" w:themeColor="text1"/>
          <w:sz w:val="24"/>
          <w:szCs w:val="24"/>
          <w:lang w:val="ro-MD"/>
        </w:rPr>
        <w:t>L</w:t>
      </w:r>
      <w:r w:rsidRPr="00DD5F1D">
        <w:rPr>
          <w:rFonts w:ascii="Times New Roman" w:eastAsia="Times New Roman" w:hAnsi="Times New Roman" w:cs="Times New Roman"/>
          <w:color w:val="000000" w:themeColor="text1"/>
          <w:sz w:val="24"/>
          <w:szCs w:val="24"/>
          <w:lang w:val="ro-MD"/>
        </w:rPr>
        <w:t>egea privind sistemul public de pensii</w:t>
      </w:r>
      <w:r w:rsidRPr="00DD5F1D">
        <w:rPr>
          <w:rStyle w:val="a5"/>
          <w:rFonts w:ascii="Times New Roman" w:eastAsia="Times New Roman" w:hAnsi="Times New Roman" w:cs="Times New Roman"/>
          <w:color w:val="000000" w:themeColor="text1"/>
          <w:sz w:val="24"/>
          <w:szCs w:val="24"/>
          <w:lang w:val="ro-MD"/>
        </w:rPr>
        <w:footnoteReference w:id="70"/>
      </w:r>
      <w:r w:rsidRPr="00DD5F1D">
        <w:rPr>
          <w:rFonts w:ascii="Times New Roman" w:eastAsia="Times New Roman" w:hAnsi="Times New Roman" w:cs="Times New Roman"/>
          <w:color w:val="000000" w:themeColor="text1"/>
          <w:sz w:val="24"/>
          <w:szCs w:val="24"/>
          <w:lang w:val="ro-MD"/>
        </w:rPr>
        <w:t xml:space="preserve">, s-a stabilit că </w:t>
      </w:r>
      <w:r w:rsidRPr="00DD5F1D">
        <w:rPr>
          <w:rFonts w:ascii="Times New Roman" w:hAnsi="Times New Roman" w:cs="Times New Roman"/>
          <w:color w:val="000000" w:themeColor="text1"/>
          <w:sz w:val="24"/>
          <w:szCs w:val="24"/>
          <w:shd w:val="clear" w:color="auto" w:fill="FFFFFF"/>
          <w:lang w:val="ro-MD"/>
        </w:rPr>
        <w:t>în cazul indexării pensiilor din aprilie 2023, coeficientul de indexare nu va depăși creșterea procentuală a veniturilor proprii ale BASS pentru anul 2022</w:t>
      </w:r>
      <w:r w:rsidR="00654916" w:rsidRPr="00DD5F1D">
        <w:rPr>
          <w:rFonts w:ascii="Times New Roman" w:hAnsi="Times New Roman" w:cs="Times New Roman"/>
          <w:color w:val="000000" w:themeColor="text1"/>
          <w:sz w:val="24"/>
          <w:szCs w:val="24"/>
          <w:shd w:val="clear" w:color="auto" w:fill="FFFFFF"/>
          <w:lang w:val="ro-MD"/>
        </w:rPr>
        <w:t>,</w:t>
      </w:r>
      <w:r w:rsidRPr="00DD5F1D">
        <w:rPr>
          <w:rFonts w:ascii="Times New Roman" w:hAnsi="Times New Roman" w:cs="Times New Roman"/>
          <w:color w:val="000000" w:themeColor="text1"/>
          <w:sz w:val="24"/>
          <w:szCs w:val="24"/>
          <w:shd w:val="clear" w:color="auto" w:fill="FFFFFF"/>
          <w:lang w:val="ro-MD"/>
        </w:rPr>
        <w:t xml:space="preserve"> față de anul 2021, </w:t>
      </w:r>
      <w:r w:rsidRPr="00DD5F1D">
        <w:rPr>
          <w:rFonts w:ascii="Times New Roman" w:eastAsia="Times New Roman" w:hAnsi="Times New Roman" w:cs="Times New Roman"/>
          <w:color w:val="000000" w:themeColor="text1"/>
          <w:sz w:val="24"/>
          <w:szCs w:val="24"/>
          <w:lang w:val="ro-MD"/>
        </w:rPr>
        <w:t>p</w:t>
      </w:r>
      <w:r w:rsidR="007C1257" w:rsidRPr="00DD5F1D">
        <w:rPr>
          <w:rFonts w:ascii="Times New Roman" w:eastAsia="Times New Roman" w:hAnsi="Times New Roman" w:cs="Times New Roman"/>
          <w:color w:val="000000" w:themeColor="text1"/>
          <w:sz w:val="24"/>
          <w:szCs w:val="24"/>
          <w:lang w:val="ro-MD"/>
        </w:rPr>
        <w:t xml:space="preserve">ensiile fiind indexate cu 15 %. </w:t>
      </w:r>
      <w:r w:rsidRPr="00B7777D">
        <w:rPr>
          <w:rFonts w:ascii="Times New Roman" w:hAnsi="Times New Roman" w:cs="Times New Roman"/>
          <w:color w:val="000000" w:themeColor="text1"/>
          <w:sz w:val="24"/>
          <w:szCs w:val="24"/>
          <w:shd w:val="clear" w:color="auto" w:fill="FFFFFF"/>
          <w:lang w:val="ro-MD"/>
        </w:rPr>
        <w:t xml:space="preserve">Concomitent, </w:t>
      </w:r>
      <w:r w:rsidRPr="000C1DE0">
        <w:rPr>
          <w:rFonts w:ascii="Times New Roman" w:hAnsi="Times New Roman" w:cs="Times New Roman"/>
          <w:color w:val="000000" w:themeColor="text1"/>
          <w:sz w:val="24"/>
          <w:szCs w:val="24"/>
          <w:shd w:val="clear" w:color="auto" w:fill="FFFFFF"/>
          <w:lang w:val="ro-MD"/>
        </w:rPr>
        <w:t>plafonarea părții pensiei indexate</w:t>
      </w:r>
      <w:r w:rsidR="002E733A" w:rsidRPr="000C1DE0">
        <w:rPr>
          <w:rFonts w:ascii="Times New Roman" w:hAnsi="Times New Roman" w:cs="Times New Roman"/>
          <w:color w:val="000000" w:themeColor="text1"/>
          <w:sz w:val="24"/>
          <w:szCs w:val="24"/>
          <w:shd w:val="clear" w:color="auto" w:fill="FFFFFF"/>
          <w:lang w:val="ro-MD"/>
        </w:rPr>
        <w:t xml:space="preserve"> a fost influențată și de lipsa veniturilor BASS</w:t>
      </w:r>
      <w:r w:rsidRPr="000C1DE0">
        <w:rPr>
          <w:rFonts w:ascii="Times New Roman" w:hAnsi="Times New Roman" w:cs="Times New Roman"/>
          <w:color w:val="000000" w:themeColor="text1"/>
          <w:sz w:val="24"/>
          <w:szCs w:val="24"/>
          <w:shd w:val="clear" w:color="auto" w:fill="FFFFFF"/>
          <w:lang w:val="ro-MD"/>
        </w:rPr>
        <w:t>,</w:t>
      </w:r>
      <w:r w:rsidRPr="00B7777D">
        <w:rPr>
          <w:rFonts w:ascii="Times New Roman" w:hAnsi="Times New Roman" w:cs="Times New Roman"/>
          <w:color w:val="000000" w:themeColor="text1"/>
          <w:sz w:val="24"/>
          <w:szCs w:val="24"/>
          <w:shd w:val="clear" w:color="auto" w:fill="FFFFFF"/>
          <w:lang w:val="ro-MD"/>
        </w:rPr>
        <w:t xml:space="preserve"> care atât în anul 2022</w:t>
      </w:r>
      <w:r w:rsidR="00654916" w:rsidRPr="00B7777D">
        <w:rPr>
          <w:rFonts w:ascii="Times New Roman" w:hAnsi="Times New Roman" w:cs="Times New Roman"/>
          <w:color w:val="000000" w:themeColor="text1"/>
          <w:sz w:val="24"/>
          <w:szCs w:val="24"/>
          <w:shd w:val="clear" w:color="auto" w:fill="FFFFFF"/>
          <w:lang w:val="ro-MD"/>
        </w:rPr>
        <w:t>,</w:t>
      </w:r>
      <w:r w:rsidRPr="009A6E4D">
        <w:rPr>
          <w:rFonts w:ascii="Times New Roman" w:hAnsi="Times New Roman" w:cs="Times New Roman"/>
          <w:color w:val="000000" w:themeColor="text1"/>
          <w:sz w:val="24"/>
          <w:szCs w:val="24"/>
          <w:shd w:val="clear" w:color="auto" w:fill="FFFFFF"/>
          <w:lang w:val="ro-MD"/>
        </w:rPr>
        <w:t xml:space="preserve"> cât și în anul 2023 nu depășește salariul mediu lunar pe economie prognozat</w:t>
      </w:r>
      <w:r w:rsidRPr="00DD5F1D">
        <w:rPr>
          <w:rFonts w:ascii="Times New Roman" w:hAnsi="Times New Roman" w:cs="Times New Roman"/>
          <w:color w:val="000000" w:themeColor="text1"/>
          <w:sz w:val="24"/>
          <w:szCs w:val="24"/>
          <w:shd w:val="clear" w:color="auto" w:fill="FFFFFF"/>
          <w:lang w:val="ro-MD"/>
        </w:rPr>
        <w:t xml:space="preserve"> pentru anul respectiv, fiind indexate partea pensiilor ce nu depășesc 9</w:t>
      </w:r>
      <w:r w:rsidR="00114777" w:rsidRPr="00DD5F1D">
        <w:rPr>
          <w:rFonts w:ascii="Times New Roman" w:hAnsi="Times New Roman" w:cs="Times New Roman"/>
          <w:color w:val="000000" w:themeColor="text1"/>
          <w:sz w:val="24"/>
          <w:szCs w:val="24"/>
          <w:shd w:val="clear" w:color="auto" w:fill="FFFFFF"/>
          <w:lang w:val="ro-MD"/>
        </w:rPr>
        <w:t xml:space="preserve"> </w:t>
      </w:r>
      <w:r w:rsidRPr="00DD5F1D">
        <w:rPr>
          <w:rFonts w:ascii="Times New Roman" w:hAnsi="Times New Roman" w:cs="Times New Roman"/>
          <w:color w:val="000000" w:themeColor="text1"/>
          <w:sz w:val="24"/>
          <w:szCs w:val="24"/>
          <w:shd w:val="clear" w:color="auto" w:fill="FFFFFF"/>
          <w:lang w:val="ro-MD"/>
        </w:rPr>
        <w:t>900 lei și</w:t>
      </w:r>
      <w:r w:rsidR="00654916" w:rsidRPr="00DD5F1D">
        <w:rPr>
          <w:rFonts w:ascii="Times New Roman" w:hAnsi="Times New Roman" w:cs="Times New Roman"/>
          <w:color w:val="000000" w:themeColor="text1"/>
          <w:sz w:val="24"/>
          <w:szCs w:val="24"/>
          <w:shd w:val="clear" w:color="auto" w:fill="FFFFFF"/>
          <w:lang w:val="ro-MD"/>
        </w:rPr>
        <w:t>,</w:t>
      </w:r>
      <w:r w:rsidRPr="00DD5F1D">
        <w:rPr>
          <w:rFonts w:ascii="Times New Roman" w:hAnsi="Times New Roman" w:cs="Times New Roman"/>
          <w:color w:val="000000" w:themeColor="text1"/>
          <w:sz w:val="24"/>
          <w:szCs w:val="24"/>
          <w:shd w:val="clear" w:color="auto" w:fill="FFFFFF"/>
          <w:lang w:val="ro-MD"/>
        </w:rPr>
        <w:t xml:space="preserve"> respectiv</w:t>
      </w:r>
      <w:r w:rsidR="00654916" w:rsidRPr="00DD5F1D">
        <w:rPr>
          <w:rFonts w:ascii="Times New Roman" w:hAnsi="Times New Roman" w:cs="Times New Roman"/>
          <w:color w:val="000000" w:themeColor="text1"/>
          <w:sz w:val="24"/>
          <w:szCs w:val="24"/>
          <w:shd w:val="clear" w:color="auto" w:fill="FFFFFF"/>
          <w:lang w:val="ro-MD"/>
        </w:rPr>
        <w:t>,</w:t>
      </w:r>
      <w:r w:rsidRPr="00DD5F1D">
        <w:rPr>
          <w:rFonts w:ascii="Times New Roman" w:hAnsi="Times New Roman" w:cs="Times New Roman"/>
          <w:color w:val="000000" w:themeColor="text1"/>
          <w:sz w:val="24"/>
          <w:szCs w:val="24"/>
          <w:shd w:val="clear" w:color="auto" w:fill="FFFFFF"/>
          <w:lang w:val="ro-MD"/>
        </w:rPr>
        <w:t xml:space="preserve"> 11</w:t>
      </w:r>
      <w:r w:rsidR="00114777" w:rsidRPr="00DD5F1D">
        <w:rPr>
          <w:rFonts w:ascii="Times New Roman" w:hAnsi="Times New Roman" w:cs="Times New Roman"/>
          <w:color w:val="000000" w:themeColor="text1"/>
          <w:sz w:val="24"/>
          <w:szCs w:val="24"/>
          <w:shd w:val="clear" w:color="auto" w:fill="FFFFFF"/>
          <w:lang w:val="ro-MD"/>
        </w:rPr>
        <w:t xml:space="preserve"> </w:t>
      </w:r>
      <w:r w:rsidR="00252C53" w:rsidRPr="00DD5F1D">
        <w:rPr>
          <w:rFonts w:ascii="Times New Roman" w:hAnsi="Times New Roman" w:cs="Times New Roman"/>
          <w:color w:val="000000" w:themeColor="text1"/>
          <w:sz w:val="24"/>
          <w:szCs w:val="24"/>
          <w:shd w:val="clear" w:color="auto" w:fill="FFFFFF"/>
          <w:lang w:val="ro-MD"/>
        </w:rPr>
        <w:t>700 lei</w:t>
      </w:r>
      <w:r w:rsidRPr="00DD5F1D">
        <w:rPr>
          <w:rFonts w:ascii="Times New Roman" w:hAnsi="Times New Roman" w:cs="Times New Roman"/>
          <w:color w:val="000000" w:themeColor="text1"/>
          <w:sz w:val="24"/>
          <w:szCs w:val="24"/>
          <w:shd w:val="clear" w:color="auto" w:fill="FFFFFF"/>
          <w:lang w:val="ro-MD"/>
        </w:rPr>
        <w:t xml:space="preserve">. </w:t>
      </w:r>
    </w:p>
    <w:p w14:paraId="2F867478" w14:textId="513769B9" w:rsidR="00E578FA" w:rsidRPr="00DD5F1D" w:rsidRDefault="00E578FA" w:rsidP="00E578FA">
      <w:pPr>
        <w:spacing w:line="276" w:lineRule="auto"/>
        <w:jc w:val="both"/>
        <w:rPr>
          <w:rFonts w:ascii="Times New Roman" w:eastAsia="Times New Roman" w:hAnsi="Times New Roman" w:cs="Times New Roman"/>
          <w:color w:val="000000" w:themeColor="text1"/>
          <w:sz w:val="24"/>
          <w:szCs w:val="24"/>
          <w:lang w:val="ro-MD"/>
        </w:rPr>
      </w:pPr>
      <w:r w:rsidRPr="00DD5F1D">
        <w:rPr>
          <w:rFonts w:ascii="Times New Roman" w:eastAsia="Times New Roman" w:hAnsi="Times New Roman" w:cs="Times New Roman"/>
          <w:color w:val="000000" w:themeColor="text1"/>
          <w:sz w:val="24"/>
          <w:szCs w:val="24"/>
          <w:lang w:val="ro-MD"/>
        </w:rPr>
        <w:t>Prin urmare, se denotă că susținerea economică a anumitor sectoare nu oferă acoperire pentru implementarea politicilor noi în domeniul prestațiilor de asigurări sociale cauz</w:t>
      </w:r>
      <w:r w:rsidR="00654916" w:rsidRPr="00DD5F1D">
        <w:rPr>
          <w:rFonts w:ascii="Times New Roman" w:eastAsia="Times New Roman" w:hAnsi="Times New Roman" w:cs="Times New Roman"/>
          <w:color w:val="000000" w:themeColor="text1"/>
          <w:sz w:val="24"/>
          <w:szCs w:val="24"/>
          <w:lang w:val="ro-MD"/>
        </w:rPr>
        <w:t>ând</w:t>
      </w:r>
      <w:r w:rsidRPr="00DD5F1D">
        <w:rPr>
          <w:rFonts w:ascii="Times New Roman" w:eastAsia="Times New Roman" w:hAnsi="Times New Roman" w:cs="Times New Roman"/>
          <w:color w:val="000000" w:themeColor="text1"/>
          <w:sz w:val="24"/>
          <w:szCs w:val="24"/>
          <w:lang w:val="ro-MD"/>
        </w:rPr>
        <w:t xml:space="preserve"> menținerea insuficienței mijloacelor proprii ale sistemului public de asigurări sociale și creșterea dependenței de transferurile bugetului de stat pentru acoperirea deficitului BASS.</w:t>
      </w:r>
    </w:p>
    <w:p w14:paraId="542EDB16" w14:textId="0D31D0F0" w:rsidR="003B16EE" w:rsidRPr="00DD5F1D" w:rsidRDefault="003B16EE" w:rsidP="003B16EE">
      <w:pPr>
        <w:pStyle w:val="aa"/>
        <w:numPr>
          <w:ilvl w:val="1"/>
          <w:numId w:val="2"/>
        </w:numPr>
        <w:spacing w:line="276" w:lineRule="auto"/>
        <w:ind w:left="0" w:firstLine="0"/>
        <w:jc w:val="both"/>
        <w:outlineLvl w:val="1"/>
        <w:rPr>
          <w:rFonts w:ascii="Times New Roman" w:hAnsi="Times New Roman" w:cs="Times New Roman"/>
          <w:b/>
          <w:sz w:val="24"/>
          <w:szCs w:val="24"/>
          <w:lang w:val="ro-MD"/>
        </w:rPr>
      </w:pPr>
      <w:r w:rsidRPr="00DD5F1D">
        <w:rPr>
          <w:rFonts w:ascii="Times New Roman" w:hAnsi="Times New Roman" w:cs="Times New Roman"/>
          <w:b/>
          <w:sz w:val="24"/>
          <w:szCs w:val="24"/>
          <w:lang w:val="ro-MD"/>
        </w:rPr>
        <w:t>Activitățile ce vizează evidența și colectarea contribuțiilor de asigurări sociale nu asigură acumularea integrală a veniturilor bugetului asigurărilor sociale, înregistrând restanțe la 31.12.2023 în sumă de 451,0 mil.</w:t>
      </w:r>
      <w:r w:rsidR="004A48DA" w:rsidRPr="00DD5F1D">
        <w:rPr>
          <w:rFonts w:ascii="Times New Roman" w:hAnsi="Times New Roman" w:cs="Times New Roman"/>
          <w:b/>
          <w:sz w:val="24"/>
          <w:szCs w:val="24"/>
          <w:lang w:val="ro-MD"/>
        </w:rPr>
        <w:t xml:space="preserve"> </w:t>
      </w:r>
      <w:r w:rsidRPr="00DD5F1D">
        <w:rPr>
          <w:rFonts w:ascii="Times New Roman" w:hAnsi="Times New Roman" w:cs="Times New Roman"/>
          <w:b/>
          <w:sz w:val="24"/>
          <w:szCs w:val="24"/>
          <w:lang w:val="ro-MD"/>
        </w:rPr>
        <w:t>lei (conform informații</w:t>
      </w:r>
      <w:r w:rsidR="00A732E9" w:rsidRPr="00DD5F1D">
        <w:rPr>
          <w:rFonts w:ascii="Times New Roman" w:hAnsi="Times New Roman" w:cs="Times New Roman"/>
          <w:b/>
          <w:sz w:val="24"/>
          <w:szCs w:val="24"/>
          <w:lang w:val="ro-MD"/>
        </w:rPr>
        <w:t>lor</w:t>
      </w:r>
      <w:r w:rsidRPr="00DD5F1D">
        <w:rPr>
          <w:rFonts w:ascii="Times New Roman" w:hAnsi="Times New Roman" w:cs="Times New Roman"/>
          <w:b/>
          <w:sz w:val="24"/>
          <w:szCs w:val="24"/>
          <w:lang w:val="ro-MD"/>
        </w:rPr>
        <w:t xml:space="preserve"> prezentate de SFS).</w:t>
      </w:r>
    </w:p>
    <w:p w14:paraId="2497BD60" w14:textId="009BB408" w:rsidR="003B16EE" w:rsidRPr="00DD5F1D" w:rsidRDefault="003B16EE" w:rsidP="003B16EE">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Încasarea integrală a contribuțiilor de asigurări sociale de stat obligatorii determină sporirea capacității de acoperire financiară din bugetul de asigurări sociale a cheltuielilor aferente sistemului public, și anume plata prestațiilor sociale. Totodată, achitarea </w:t>
      </w:r>
      <w:r w:rsidR="00B46068" w:rsidRPr="00DD5F1D">
        <w:rPr>
          <w:rFonts w:ascii="Times New Roman" w:hAnsi="Times New Roman" w:cs="Times New Roman"/>
          <w:sz w:val="24"/>
          <w:szCs w:val="24"/>
          <w:lang w:val="ro-MD"/>
        </w:rPr>
        <w:t>deplină</w:t>
      </w:r>
      <w:r w:rsidRPr="00DD5F1D">
        <w:rPr>
          <w:rFonts w:ascii="Times New Roman" w:hAnsi="Times New Roman" w:cs="Times New Roman"/>
          <w:sz w:val="24"/>
          <w:szCs w:val="24"/>
          <w:lang w:val="ro-MD"/>
        </w:rPr>
        <w:t xml:space="preserve"> a obligațiilor față de BASS, reduce necesarul de completare a veniturilor cu sumele transferate din bugetul de stat pentru acoperirea deficitului bugetar. De menționat că </w:t>
      </w:r>
      <w:r w:rsidR="00B46068" w:rsidRPr="00DD5F1D">
        <w:rPr>
          <w:rFonts w:ascii="Times New Roman" w:hAnsi="Times New Roman" w:cs="Times New Roman"/>
          <w:sz w:val="24"/>
          <w:szCs w:val="24"/>
          <w:lang w:val="ro-MD"/>
        </w:rPr>
        <w:t>neachitarea contribuțiilor</w:t>
      </w:r>
      <w:r w:rsidRPr="00DD5F1D">
        <w:rPr>
          <w:rFonts w:ascii="Times New Roman" w:hAnsi="Times New Roman" w:cs="Times New Roman"/>
          <w:sz w:val="24"/>
          <w:szCs w:val="24"/>
          <w:lang w:val="ro-MD"/>
        </w:rPr>
        <w:t xml:space="preserve"> în BASS a</w:t>
      </w:r>
      <w:r w:rsidR="00B03E57" w:rsidRPr="00DD5F1D">
        <w:rPr>
          <w:rFonts w:ascii="Times New Roman" w:hAnsi="Times New Roman" w:cs="Times New Roman"/>
          <w:sz w:val="24"/>
          <w:szCs w:val="24"/>
          <w:lang w:val="ro-MD"/>
        </w:rPr>
        <w:t>re</w:t>
      </w:r>
      <w:r w:rsidRPr="00DD5F1D">
        <w:rPr>
          <w:rFonts w:ascii="Times New Roman" w:hAnsi="Times New Roman" w:cs="Times New Roman"/>
          <w:sz w:val="24"/>
          <w:szCs w:val="24"/>
          <w:lang w:val="ro-MD"/>
        </w:rPr>
        <w:t xml:space="preserve"> impact direct asupra drepturilor sociale acordate ulterior persoanelor beneficiare, acestea fiind stabilite corelativ venitului din care au fost calculate și plătite contribuții de asigurări sociale. </w:t>
      </w:r>
    </w:p>
    <w:p w14:paraId="6C48D24E" w14:textId="423AB5C7" w:rsidR="003B16EE" w:rsidRPr="00DD5F1D" w:rsidRDefault="003B16EE" w:rsidP="003B16EE">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Pentru realizarea obiectivelor orientate spre obținerea rezultatelor în aspectul </w:t>
      </w:r>
      <w:r w:rsidRPr="00DD5F1D">
        <w:rPr>
          <w:rFonts w:ascii="Times New Roman" w:hAnsi="Times New Roman" w:cs="Times New Roman"/>
          <w:b/>
          <w:sz w:val="24"/>
          <w:szCs w:val="24"/>
          <w:lang w:val="ro-MD"/>
        </w:rPr>
        <w:t>executării obligațiilor</w:t>
      </w:r>
      <w:r w:rsidRPr="00DD5F1D">
        <w:rPr>
          <w:rFonts w:ascii="Times New Roman" w:hAnsi="Times New Roman" w:cs="Times New Roman"/>
          <w:sz w:val="24"/>
          <w:szCs w:val="24"/>
          <w:lang w:val="ro-MD"/>
        </w:rPr>
        <w:t xml:space="preserve"> contribuabililor înregistrați în sistemul public de asigurări sociale, reieșind din cadrul juridic și</w:t>
      </w:r>
      <w:r w:rsidR="00B03E57" w:rsidRPr="00DD5F1D">
        <w:rPr>
          <w:rFonts w:ascii="Times New Roman" w:hAnsi="Times New Roman" w:cs="Times New Roman"/>
          <w:sz w:val="24"/>
          <w:szCs w:val="24"/>
          <w:lang w:val="ro-MD"/>
        </w:rPr>
        <w:t xml:space="preserve"> cel </w:t>
      </w:r>
      <w:r w:rsidRPr="00DD5F1D">
        <w:rPr>
          <w:rFonts w:ascii="Times New Roman" w:hAnsi="Times New Roman" w:cs="Times New Roman"/>
          <w:sz w:val="24"/>
          <w:szCs w:val="24"/>
          <w:lang w:val="ro-MD"/>
        </w:rPr>
        <w:t xml:space="preserve"> instituțional, CNAS și SFS sunt responsabile pentru înregistrarea, evidența, încasarea și urmărirea obligațiilor la bugetul asigurărilor sociale de stat</w:t>
      </w:r>
      <w:r w:rsidRPr="00DD5F1D">
        <w:rPr>
          <w:rStyle w:val="a5"/>
          <w:rFonts w:ascii="Times New Roman" w:hAnsi="Times New Roman" w:cs="Times New Roman"/>
          <w:sz w:val="24"/>
          <w:szCs w:val="24"/>
          <w:lang w:val="ro-MD"/>
        </w:rPr>
        <w:footnoteReference w:id="71"/>
      </w:r>
      <w:r w:rsidRPr="00DD5F1D">
        <w:rPr>
          <w:rFonts w:ascii="Times New Roman" w:hAnsi="Times New Roman" w:cs="Times New Roman"/>
          <w:sz w:val="24"/>
          <w:szCs w:val="24"/>
          <w:lang w:val="ro-MD"/>
        </w:rPr>
        <w:t>.</w:t>
      </w:r>
    </w:p>
    <w:p w14:paraId="40B8F0A6" w14:textId="645F7955" w:rsidR="003B16EE" w:rsidRPr="00DD5F1D" w:rsidRDefault="003B16EE" w:rsidP="003B16EE">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Totodată, analiza efectuată de audit în baza informații</w:t>
      </w:r>
      <w:r w:rsidR="00B03E57" w:rsidRPr="00DD5F1D">
        <w:rPr>
          <w:rFonts w:ascii="Times New Roman" w:hAnsi="Times New Roman" w:cs="Times New Roman"/>
          <w:sz w:val="24"/>
          <w:szCs w:val="24"/>
          <w:lang w:val="ro-MD"/>
        </w:rPr>
        <w:t>lor</w:t>
      </w:r>
      <w:r w:rsidRPr="00DD5F1D">
        <w:rPr>
          <w:rFonts w:ascii="Times New Roman" w:hAnsi="Times New Roman" w:cs="Times New Roman"/>
          <w:sz w:val="24"/>
          <w:szCs w:val="24"/>
          <w:lang w:val="ro-MD"/>
        </w:rPr>
        <w:t xml:space="preserve"> obținute de la SFS, pe tipuri de plăți la BASS</w:t>
      </w:r>
      <w:r w:rsidR="00B03E57"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este redată în </w:t>
      </w:r>
      <w:r w:rsidR="00114777" w:rsidRPr="00DD5F1D">
        <w:rPr>
          <w:rFonts w:ascii="Times New Roman" w:hAnsi="Times New Roman" w:cs="Times New Roman"/>
          <w:sz w:val="24"/>
          <w:szCs w:val="24"/>
          <w:lang w:val="ro-MD"/>
        </w:rPr>
        <w:t>A</w:t>
      </w:r>
      <w:r w:rsidRPr="00DD5F1D">
        <w:rPr>
          <w:rFonts w:ascii="Times New Roman" w:hAnsi="Times New Roman" w:cs="Times New Roman"/>
          <w:sz w:val="24"/>
          <w:szCs w:val="24"/>
          <w:lang w:val="ro-MD"/>
        </w:rPr>
        <w:t xml:space="preserve">nexa nr. </w:t>
      </w:r>
      <w:r w:rsidR="000E2AC7" w:rsidRPr="00DD5F1D">
        <w:rPr>
          <w:rFonts w:ascii="Times New Roman" w:hAnsi="Times New Roman" w:cs="Times New Roman"/>
          <w:sz w:val="24"/>
          <w:szCs w:val="24"/>
          <w:lang w:val="ro-MD"/>
        </w:rPr>
        <w:t>12</w:t>
      </w:r>
      <w:r w:rsidR="00B03E57" w:rsidRPr="00DD5F1D">
        <w:rPr>
          <w:rFonts w:ascii="Times New Roman" w:hAnsi="Times New Roman" w:cs="Times New Roman"/>
          <w:sz w:val="24"/>
          <w:szCs w:val="24"/>
          <w:lang w:val="ro-MD"/>
        </w:rPr>
        <w:t xml:space="preserve"> </w:t>
      </w:r>
      <w:r w:rsidR="00B03E57" w:rsidRPr="00DD5F1D">
        <w:rPr>
          <w:rFonts w:ascii="Times New Roman" w:hAnsi="Times New Roman" w:cs="Times New Roman"/>
          <w:color w:val="000000" w:themeColor="text1"/>
          <w:sz w:val="24"/>
          <w:szCs w:val="24"/>
          <w:lang w:val="ro-MD"/>
        </w:rPr>
        <w:t>la prezentul Raport de audit</w:t>
      </w:r>
      <w:r w:rsidR="000E2AC7" w:rsidRPr="00DD5F1D">
        <w:rPr>
          <w:rFonts w:ascii="Times New Roman" w:hAnsi="Times New Roman" w:cs="Times New Roman"/>
          <w:sz w:val="24"/>
          <w:szCs w:val="24"/>
          <w:lang w:val="ro-MD"/>
        </w:rPr>
        <w:t>.</w:t>
      </w:r>
    </w:p>
    <w:p w14:paraId="11F4E2F4" w14:textId="743B6530" w:rsidR="003B16EE" w:rsidRPr="00DD5F1D" w:rsidRDefault="0029775A" w:rsidP="003B16EE">
      <w:pPr>
        <w:spacing w:line="276" w:lineRule="auto"/>
        <w:jc w:val="both"/>
        <w:rPr>
          <w:rFonts w:ascii="Times New Roman" w:hAnsi="Times New Roman" w:cs="Times New Roman"/>
          <w:sz w:val="24"/>
          <w:szCs w:val="24"/>
          <w:lang w:val="ro-MD"/>
        </w:rPr>
      </w:pPr>
      <w:r w:rsidRPr="00A93D77">
        <w:rPr>
          <w:rFonts w:ascii="Times New Roman" w:hAnsi="Times New Roman" w:cs="Times New Roman"/>
          <w:sz w:val="24"/>
          <w:szCs w:val="24"/>
          <w:lang w:val="ro-MD"/>
        </w:rPr>
        <w:t>S</w:t>
      </w:r>
      <w:r w:rsidR="003B16EE" w:rsidRPr="00A93D77">
        <w:rPr>
          <w:rFonts w:ascii="Times New Roman" w:hAnsi="Times New Roman" w:cs="Times New Roman"/>
          <w:sz w:val="24"/>
          <w:szCs w:val="24"/>
          <w:lang w:val="ro-MD"/>
        </w:rPr>
        <w:t>umele transferate în BASS în anul 2023 au fost mai mici</w:t>
      </w:r>
      <w:r w:rsidR="00B46068" w:rsidRPr="00A93D77">
        <w:rPr>
          <w:rFonts w:ascii="Times New Roman" w:hAnsi="Times New Roman" w:cs="Times New Roman"/>
          <w:sz w:val="24"/>
          <w:szCs w:val="24"/>
          <w:lang w:val="ro-MD"/>
        </w:rPr>
        <w:t xml:space="preserve"> </w:t>
      </w:r>
      <w:r w:rsidR="00B46068" w:rsidRPr="000C1DE0">
        <w:rPr>
          <w:rFonts w:ascii="Times New Roman" w:hAnsi="Times New Roman" w:cs="Times New Roman"/>
          <w:sz w:val="24"/>
          <w:szCs w:val="24"/>
          <w:lang w:val="ro-MD"/>
        </w:rPr>
        <w:t>cu 83,0 mil.</w:t>
      </w:r>
      <w:r w:rsidR="00B03E57" w:rsidRPr="000C1DE0">
        <w:rPr>
          <w:rFonts w:ascii="Times New Roman" w:hAnsi="Times New Roman" w:cs="Times New Roman"/>
          <w:sz w:val="24"/>
          <w:szCs w:val="24"/>
          <w:lang w:val="ro-MD"/>
        </w:rPr>
        <w:t xml:space="preserve"> lei</w:t>
      </w:r>
      <w:r w:rsidR="00B03E57" w:rsidRPr="00A93D77">
        <w:rPr>
          <w:rFonts w:ascii="Times New Roman" w:hAnsi="Times New Roman" w:cs="Times New Roman"/>
          <w:sz w:val="24"/>
          <w:szCs w:val="24"/>
          <w:lang w:val="ro-MD"/>
        </w:rPr>
        <w:t>,</w:t>
      </w:r>
      <w:r w:rsidR="003B16EE" w:rsidRPr="00A93D77">
        <w:rPr>
          <w:rFonts w:ascii="Times New Roman" w:hAnsi="Times New Roman" w:cs="Times New Roman"/>
          <w:sz w:val="24"/>
          <w:szCs w:val="24"/>
          <w:lang w:val="ro-MD"/>
        </w:rPr>
        <w:t xml:space="preserve"> în comparație cu sumele calculate, ceea ce determină majorarea cu aceeași sumă a restanțelor la BASS.</w:t>
      </w:r>
    </w:p>
    <w:p w14:paraId="7AB36B86" w14:textId="22D4E65F" w:rsidR="003B16EE" w:rsidRPr="00DD5F1D" w:rsidRDefault="003B16EE" w:rsidP="003B16EE">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Potrivit </w:t>
      </w:r>
      <w:r w:rsidR="00B46068" w:rsidRPr="00DD5F1D">
        <w:rPr>
          <w:rFonts w:ascii="Times New Roman" w:hAnsi="Times New Roman" w:cs="Times New Roman"/>
          <w:sz w:val="24"/>
          <w:szCs w:val="24"/>
          <w:lang w:val="ro-MD"/>
        </w:rPr>
        <w:t>actelor normative</w:t>
      </w:r>
      <w:r w:rsidRPr="00DD5F1D">
        <w:rPr>
          <w:rStyle w:val="a5"/>
          <w:rFonts w:ascii="Times New Roman" w:hAnsi="Times New Roman" w:cs="Times New Roman"/>
          <w:sz w:val="24"/>
          <w:szCs w:val="24"/>
          <w:lang w:val="ro-MD"/>
        </w:rPr>
        <w:footnoteReference w:id="72"/>
      </w:r>
      <w:r w:rsidRPr="00DD5F1D">
        <w:rPr>
          <w:rFonts w:ascii="Times New Roman" w:hAnsi="Times New Roman" w:cs="Times New Roman"/>
          <w:sz w:val="24"/>
          <w:szCs w:val="24"/>
          <w:lang w:val="ro-MD"/>
        </w:rPr>
        <w:t xml:space="preserve">, CNAS asigură evidența la nivel național a tuturor plătitorilor de contribuții la BASS. </w:t>
      </w:r>
    </w:p>
    <w:p w14:paraId="5030FF6C" w14:textId="05039A1E" w:rsidR="003B16EE" w:rsidRPr="00DD5F1D" w:rsidRDefault="003B16EE" w:rsidP="003B16EE">
      <w:pPr>
        <w:pStyle w:val="Default"/>
        <w:spacing w:line="276" w:lineRule="auto"/>
        <w:jc w:val="both"/>
        <w:rPr>
          <w:color w:val="auto"/>
          <w:lang w:val="ro-MD"/>
        </w:rPr>
      </w:pPr>
      <w:r w:rsidRPr="00DD5F1D">
        <w:rPr>
          <w:color w:val="auto"/>
          <w:lang w:val="ro-MD"/>
        </w:rPr>
        <w:t xml:space="preserve">Totodată, Serviciul Fiscal de Stat, în conformitate cu drepturile </w:t>
      </w:r>
      <w:r w:rsidR="00B46068" w:rsidRPr="00DD5F1D">
        <w:rPr>
          <w:color w:val="auto"/>
          <w:lang w:val="ro-MD"/>
        </w:rPr>
        <w:t>sale</w:t>
      </w:r>
      <w:r w:rsidRPr="00DD5F1D">
        <w:rPr>
          <w:rStyle w:val="a5"/>
          <w:color w:val="auto"/>
          <w:lang w:val="ro-MD"/>
        </w:rPr>
        <w:footnoteReference w:id="73"/>
      </w:r>
      <w:r w:rsidRPr="00DD5F1D">
        <w:rPr>
          <w:color w:val="auto"/>
          <w:lang w:val="ro-MD"/>
        </w:rPr>
        <w:t>, a</w:t>
      </w:r>
      <w:r w:rsidR="00B03E57" w:rsidRPr="00DD5F1D">
        <w:rPr>
          <w:color w:val="auto"/>
          <w:lang w:val="ro-MD"/>
        </w:rPr>
        <w:t>re</w:t>
      </w:r>
      <w:r w:rsidRPr="00DD5F1D">
        <w:rPr>
          <w:color w:val="auto"/>
          <w:lang w:val="ro-MD"/>
        </w:rPr>
        <w:t xml:space="preserve"> atribuția de colectare a contribuțiilor de asigurări sociale, controlul corectitudinii, calculării și virării lor în termen la BASS.  Astfel, sarcina de bază a Serviciului Fiscal de Stat constă în organizarea şi efectuarea administrării fiscale, cu exercitarea </w:t>
      </w:r>
      <w:r w:rsidR="004A48DA" w:rsidRPr="00DD5F1D">
        <w:rPr>
          <w:color w:val="auto"/>
          <w:lang w:val="ro-MD"/>
        </w:rPr>
        <w:t>atribuțiilor</w:t>
      </w:r>
      <w:r w:rsidRPr="00DD5F1D">
        <w:rPr>
          <w:color w:val="auto"/>
          <w:lang w:val="ro-MD"/>
        </w:rPr>
        <w:t xml:space="preserve">, </w:t>
      </w:r>
      <w:r w:rsidR="004A48DA" w:rsidRPr="00DD5F1D">
        <w:rPr>
          <w:color w:val="auto"/>
          <w:lang w:val="ro-MD"/>
        </w:rPr>
        <w:t>obligațiilor</w:t>
      </w:r>
      <w:r w:rsidRPr="00DD5F1D">
        <w:rPr>
          <w:color w:val="auto"/>
          <w:lang w:val="ro-MD"/>
        </w:rPr>
        <w:t xml:space="preserve"> şi drepturilor în conformitate cu prevederile Codului </w:t>
      </w:r>
      <w:r w:rsidR="00B03E57" w:rsidRPr="00DD5F1D">
        <w:rPr>
          <w:color w:val="auto"/>
          <w:lang w:val="ro-MD"/>
        </w:rPr>
        <w:t>f</w:t>
      </w:r>
      <w:r w:rsidRPr="00DD5F1D">
        <w:rPr>
          <w:color w:val="auto"/>
          <w:lang w:val="ro-MD"/>
        </w:rPr>
        <w:t>iscal</w:t>
      </w:r>
      <w:r w:rsidRPr="00DD5F1D">
        <w:rPr>
          <w:rStyle w:val="a5"/>
          <w:color w:val="auto"/>
          <w:lang w:val="ro-MD"/>
        </w:rPr>
        <w:footnoteReference w:id="74"/>
      </w:r>
      <w:r w:rsidRPr="00DD5F1D">
        <w:rPr>
          <w:color w:val="auto"/>
          <w:lang w:val="ro-MD"/>
        </w:rPr>
        <w:t xml:space="preserve">. În acest sens, în scopul </w:t>
      </w:r>
      <w:r w:rsidRPr="000C1DE0">
        <w:rPr>
          <w:color w:val="auto"/>
          <w:lang w:val="ro-MD"/>
        </w:rPr>
        <w:t>diminuării restanțelor la BASS</w:t>
      </w:r>
      <w:r w:rsidRPr="00B7777D">
        <w:rPr>
          <w:color w:val="auto"/>
          <w:lang w:val="ro-MD"/>
        </w:rPr>
        <w:t>,</w:t>
      </w:r>
      <w:r w:rsidRPr="00DD5F1D">
        <w:rPr>
          <w:color w:val="auto"/>
          <w:lang w:val="ro-MD"/>
        </w:rPr>
        <w:t xml:space="preserve"> pe parcursul anului 2023, </w:t>
      </w:r>
      <w:r w:rsidR="00B46068" w:rsidRPr="00DD5F1D">
        <w:rPr>
          <w:color w:val="auto"/>
          <w:lang w:val="ro-MD"/>
        </w:rPr>
        <w:t>potrivit</w:t>
      </w:r>
      <w:r w:rsidRPr="00DD5F1D">
        <w:rPr>
          <w:color w:val="auto"/>
          <w:lang w:val="ro-MD"/>
        </w:rPr>
        <w:t xml:space="preserve"> informații</w:t>
      </w:r>
      <w:r w:rsidR="00B03E57" w:rsidRPr="00DD5F1D">
        <w:rPr>
          <w:color w:val="auto"/>
          <w:lang w:val="ro-MD"/>
        </w:rPr>
        <w:t>lor</w:t>
      </w:r>
      <w:r w:rsidRPr="00DD5F1D">
        <w:rPr>
          <w:color w:val="auto"/>
          <w:lang w:val="ro-MD"/>
        </w:rPr>
        <w:t xml:space="preserve"> prezentate de SFS, au fost întreprinse măsuri de conformare</w:t>
      </w:r>
      <w:r w:rsidR="00B03E57" w:rsidRPr="00DD5F1D">
        <w:rPr>
          <w:color w:val="auto"/>
          <w:lang w:val="ro-MD"/>
        </w:rPr>
        <w:t>, și anume</w:t>
      </w:r>
      <w:r w:rsidRPr="00DD5F1D">
        <w:rPr>
          <w:color w:val="auto"/>
          <w:lang w:val="ro-MD"/>
        </w:rPr>
        <w:t xml:space="preserve">:  </w:t>
      </w:r>
    </w:p>
    <w:p w14:paraId="02C3A2F0" w14:textId="2B9A8543" w:rsidR="003B16EE" w:rsidRPr="00DD5F1D" w:rsidRDefault="003B16EE" w:rsidP="003B16EE">
      <w:pPr>
        <w:pStyle w:val="Default"/>
        <w:spacing w:line="276" w:lineRule="auto"/>
        <w:jc w:val="both"/>
        <w:rPr>
          <w:i/>
          <w:color w:val="auto"/>
          <w:lang w:val="ro-MD"/>
        </w:rPr>
      </w:pPr>
      <w:r w:rsidRPr="00DD5F1D">
        <w:rPr>
          <w:color w:val="auto"/>
          <w:lang w:val="ro-MD"/>
        </w:rPr>
        <w:t xml:space="preserve">- </w:t>
      </w:r>
      <w:r w:rsidRPr="00DD5F1D">
        <w:rPr>
          <w:i/>
          <w:color w:val="auto"/>
          <w:lang w:val="ro-MD"/>
        </w:rPr>
        <w:t>au fost încasate mijloace bănești din conturile bancare ale contribuabililor restanțieri în sumă de 638</w:t>
      </w:r>
      <w:r w:rsidR="00B46068" w:rsidRPr="00DD5F1D">
        <w:rPr>
          <w:i/>
          <w:color w:val="auto"/>
          <w:lang w:val="ro-MD"/>
        </w:rPr>
        <w:t>,9 mil.</w:t>
      </w:r>
      <w:r w:rsidRPr="00DD5F1D">
        <w:rPr>
          <w:i/>
          <w:color w:val="auto"/>
          <w:lang w:val="ro-MD"/>
        </w:rPr>
        <w:t xml:space="preserve"> lei;</w:t>
      </w:r>
    </w:p>
    <w:p w14:paraId="264E765B" w14:textId="17E888F0" w:rsidR="003B16EE" w:rsidRPr="00DD5F1D" w:rsidRDefault="003B16EE" w:rsidP="003B16EE">
      <w:pPr>
        <w:pStyle w:val="Default"/>
        <w:spacing w:line="276" w:lineRule="auto"/>
        <w:jc w:val="both"/>
        <w:rPr>
          <w:i/>
          <w:color w:val="auto"/>
          <w:lang w:val="ro-MD"/>
        </w:rPr>
      </w:pPr>
      <w:r w:rsidRPr="00DD5F1D">
        <w:rPr>
          <w:i/>
          <w:color w:val="auto"/>
          <w:lang w:val="ro-MD"/>
        </w:rPr>
        <w:t>- au fost ridicate mijloace bănești din casieriile agenților econ</w:t>
      </w:r>
      <w:r w:rsidR="00B46068" w:rsidRPr="00DD5F1D">
        <w:rPr>
          <w:i/>
          <w:color w:val="auto"/>
          <w:lang w:val="ro-MD"/>
        </w:rPr>
        <w:t>omici restanțieri în sumă de 13,7 mil.</w:t>
      </w:r>
      <w:r w:rsidRPr="00DD5F1D">
        <w:rPr>
          <w:i/>
          <w:color w:val="auto"/>
          <w:lang w:val="ro-MD"/>
        </w:rPr>
        <w:t>lei;</w:t>
      </w:r>
    </w:p>
    <w:p w14:paraId="2B1F3823" w14:textId="3441111D" w:rsidR="003B16EE" w:rsidRPr="00DD5F1D" w:rsidRDefault="003B16EE" w:rsidP="003B16EE">
      <w:pPr>
        <w:pStyle w:val="Default"/>
        <w:spacing w:after="240" w:line="276" w:lineRule="auto"/>
        <w:jc w:val="both"/>
        <w:rPr>
          <w:i/>
          <w:color w:val="auto"/>
          <w:lang w:val="ro-MD"/>
        </w:rPr>
      </w:pPr>
      <w:r w:rsidRPr="00DD5F1D">
        <w:rPr>
          <w:i/>
          <w:color w:val="auto"/>
          <w:lang w:val="ro-MD"/>
        </w:rPr>
        <w:t>- în urma comercializării bunurilor sechestrate</w:t>
      </w:r>
      <w:r w:rsidR="00B03E57" w:rsidRPr="00DD5F1D">
        <w:rPr>
          <w:i/>
          <w:color w:val="auto"/>
          <w:lang w:val="ro-MD"/>
        </w:rPr>
        <w:t>,</w:t>
      </w:r>
      <w:r w:rsidRPr="00DD5F1D">
        <w:rPr>
          <w:i/>
          <w:color w:val="auto"/>
          <w:lang w:val="ro-MD"/>
        </w:rPr>
        <w:t xml:space="preserve"> au fost încasate mijloace bănești în contul stingerii restanțelor la BASS în sumă de</w:t>
      </w:r>
      <w:r w:rsidR="00B46068" w:rsidRPr="00DD5F1D">
        <w:rPr>
          <w:i/>
          <w:iCs/>
          <w:color w:val="auto"/>
          <w:lang w:val="ro-MD"/>
        </w:rPr>
        <w:t xml:space="preserve"> 4,0 mil.</w:t>
      </w:r>
      <w:r w:rsidRPr="00DD5F1D">
        <w:rPr>
          <w:i/>
          <w:iCs/>
          <w:color w:val="auto"/>
          <w:lang w:val="ro-MD"/>
        </w:rPr>
        <w:t xml:space="preserve"> lei.</w:t>
      </w:r>
    </w:p>
    <w:p w14:paraId="67B94E3C" w14:textId="1486D0CB" w:rsidR="003B16EE" w:rsidRPr="00DD5F1D" w:rsidRDefault="003B16EE" w:rsidP="003B16EE">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Deși SFS a întreprins acțiuni de conformare a contribuabililor, în scopul diminuării restanțelor la BASS, problematica privind neonorarea de către contribuabili a obligațiilor de achitare în termen a contribuțiilor </w:t>
      </w:r>
      <w:r w:rsidR="001C4E0A" w:rsidRPr="00DD5F1D">
        <w:rPr>
          <w:rFonts w:ascii="Times New Roman" w:hAnsi="Times New Roman" w:cs="Times New Roman"/>
          <w:sz w:val="24"/>
          <w:szCs w:val="24"/>
          <w:lang w:val="ro-MD"/>
        </w:rPr>
        <w:t>se menține</w:t>
      </w:r>
      <w:r w:rsidRPr="00DD5F1D">
        <w:rPr>
          <w:rFonts w:ascii="Times New Roman" w:hAnsi="Times New Roman" w:cs="Times New Roman"/>
          <w:sz w:val="24"/>
          <w:szCs w:val="24"/>
          <w:lang w:val="ro-MD"/>
        </w:rPr>
        <w:t>, informați</w:t>
      </w:r>
      <w:r w:rsidR="00B97B89" w:rsidRPr="00DD5F1D">
        <w:rPr>
          <w:rFonts w:ascii="Times New Roman" w:hAnsi="Times New Roman" w:cs="Times New Roman"/>
          <w:sz w:val="24"/>
          <w:szCs w:val="24"/>
          <w:lang w:val="ro-MD"/>
        </w:rPr>
        <w:t>i</w:t>
      </w:r>
      <w:r w:rsidRPr="00DD5F1D">
        <w:rPr>
          <w:rFonts w:ascii="Times New Roman" w:hAnsi="Times New Roman" w:cs="Times New Roman"/>
          <w:sz w:val="24"/>
          <w:szCs w:val="24"/>
          <w:lang w:val="ro-MD"/>
        </w:rPr>
        <w:t xml:space="preserve"> prezentat</w:t>
      </w:r>
      <w:r w:rsidR="00B97B89" w:rsidRPr="00DD5F1D">
        <w:rPr>
          <w:rFonts w:ascii="Times New Roman" w:hAnsi="Times New Roman" w:cs="Times New Roman"/>
          <w:sz w:val="24"/>
          <w:szCs w:val="24"/>
          <w:lang w:val="ro-MD"/>
        </w:rPr>
        <w:t>e</w:t>
      </w:r>
      <w:r w:rsidRPr="00DD5F1D">
        <w:rPr>
          <w:rFonts w:ascii="Times New Roman" w:hAnsi="Times New Roman" w:cs="Times New Roman"/>
          <w:sz w:val="24"/>
          <w:szCs w:val="24"/>
          <w:lang w:val="ro-MD"/>
        </w:rPr>
        <w:t xml:space="preserve"> în tabelul de mai jos: </w:t>
      </w:r>
    </w:p>
    <w:p w14:paraId="4AFB447D" w14:textId="11DA3817" w:rsidR="003B16EE" w:rsidRPr="00DD5F1D" w:rsidRDefault="004A48DA" w:rsidP="003B16EE">
      <w:pPr>
        <w:spacing w:after="0" w:line="276" w:lineRule="auto"/>
        <w:jc w:val="right"/>
        <w:rPr>
          <w:rFonts w:ascii="Times New Roman" w:hAnsi="Times New Roman" w:cs="Times New Roman"/>
          <w:b/>
          <w:szCs w:val="24"/>
          <w:lang w:val="ro-MD"/>
        </w:rPr>
      </w:pPr>
      <w:r w:rsidRPr="00DD5F1D">
        <w:rPr>
          <w:rFonts w:ascii="Times New Roman" w:hAnsi="Times New Roman" w:cs="Times New Roman"/>
          <w:b/>
          <w:szCs w:val="24"/>
          <w:lang w:val="ro-MD"/>
        </w:rPr>
        <w:t>Tabelul nr. 1</w:t>
      </w:r>
      <w:r w:rsidR="0021536C" w:rsidRPr="00DD5F1D">
        <w:rPr>
          <w:rFonts w:ascii="Times New Roman" w:hAnsi="Times New Roman" w:cs="Times New Roman"/>
          <w:b/>
          <w:szCs w:val="24"/>
          <w:lang w:val="ro-MD"/>
        </w:rPr>
        <w:t>2</w:t>
      </w:r>
      <w:r w:rsidR="003B16EE" w:rsidRPr="00DD5F1D">
        <w:rPr>
          <w:rFonts w:ascii="Times New Roman" w:hAnsi="Times New Roman" w:cs="Times New Roman"/>
          <w:b/>
          <w:szCs w:val="24"/>
          <w:lang w:val="ro-MD"/>
        </w:rPr>
        <w:t xml:space="preserve"> </w:t>
      </w:r>
    </w:p>
    <w:p w14:paraId="247F5072" w14:textId="77777777" w:rsidR="003B16EE" w:rsidRPr="00DD5F1D" w:rsidRDefault="003B16EE" w:rsidP="003B16EE">
      <w:pPr>
        <w:spacing w:after="0" w:line="276" w:lineRule="auto"/>
        <w:jc w:val="center"/>
        <w:rPr>
          <w:rFonts w:ascii="Times New Roman" w:hAnsi="Times New Roman" w:cs="Times New Roman"/>
          <w:b/>
          <w:szCs w:val="24"/>
          <w:lang w:val="ro-MD"/>
        </w:rPr>
      </w:pPr>
      <w:r w:rsidRPr="00DD5F1D">
        <w:rPr>
          <w:rFonts w:ascii="Times New Roman" w:hAnsi="Times New Roman" w:cs="Times New Roman"/>
          <w:b/>
          <w:szCs w:val="24"/>
          <w:lang w:val="ro-MD"/>
        </w:rPr>
        <w:t>Dinamica restanțelor la BASS</w:t>
      </w:r>
    </w:p>
    <w:p w14:paraId="433DE182" w14:textId="6A08F73E" w:rsidR="003B16EE" w:rsidRPr="00DD5F1D" w:rsidRDefault="003B16EE" w:rsidP="003B16EE">
      <w:pPr>
        <w:spacing w:after="0" w:line="276" w:lineRule="auto"/>
        <w:jc w:val="right"/>
        <w:rPr>
          <w:rFonts w:ascii="Times New Roman" w:hAnsi="Times New Roman" w:cs="Times New Roman"/>
          <w:i/>
          <w:sz w:val="24"/>
          <w:szCs w:val="24"/>
          <w:lang w:val="ro-MD"/>
        </w:rPr>
      </w:pPr>
      <w:r w:rsidRPr="00DD5F1D">
        <w:rPr>
          <w:rFonts w:ascii="Times New Roman" w:hAnsi="Times New Roman" w:cs="Times New Roman"/>
          <w:b/>
          <w:i/>
          <w:szCs w:val="24"/>
          <w:lang w:val="ro-MD"/>
        </w:rPr>
        <w:t>(mi</w:t>
      </w:r>
      <w:r w:rsidR="00B46068" w:rsidRPr="00DD5F1D">
        <w:rPr>
          <w:rFonts w:ascii="Times New Roman" w:hAnsi="Times New Roman" w:cs="Times New Roman"/>
          <w:b/>
          <w:i/>
          <w:szCs w:val="24"/>
          <w:lang w:val="ro-MD"/>
        </w:rPr>
        <w:t>l.</w:t>
      </w:r>
      <w:r w:rsidRPr="00DD5F1D">
        <w:rPr>
          <w:rFonts w:ascii="Times New Roman" w:hAnsi="Times New Roman" w:cs="Times New Roman"/>
          <w:b/>
          <w:i/>
          <w:szCs w:val="24"/>
          <w:lang w:val="ro-MD"/>
        </w:rPr>
        <w:t xml:space="preserve"> lei</w:t>
      </w:r>
      <w:r w:rsidRPr="00DD5F1D">
        <w:rPr>
          <w:rFonts w:ascii="Times New Roman" w:hAnsi="Times New Roman" w:cs="Times New Roman"/>
          <w:i/>
          <w:sz w:val="24"/>
          <w:szCs w:val="24"/>
          <w:lang w:val="ro-MD"/>
        </w:rPr>
        <w:t>)</w:t>
      </w:r>
    </w:p>
    <w:tbl>
      <w:tblPr>
        <w:tblStyle w:val="af1"/>
        <w:tblW w:w="5000" w:type="pct"/>
        <w:tblLook w:val="04A0" w:firstRow="1" w:lastRow="0" w:firstColumn="1" w:lastColumn="0" w:noHBand="0" w:noVBand="1"/>
      </w:tblPr>
      <w:tblGrid>
        <w:gridCol w:w="2617"/>
        <w:gridCol w:w="2616"/>
        <w:gridCol w:w="2576"/>
        <w:gridCol w:w="2215"/>
      </w:tblGrid>
      <w:tr w:rsidR="003B16EE" w:rsidRPr="00DD5F1D" w14:paraId="50D6DC46" w14:textId="77777777" w:rsidTr="00F61234">
        <w:tc>
          <w:tcPr>
            <w:tcW w:w="1305" w:type="pct"/>
          </w:tcPr>
          <w:p w14:paraId="380105A1" w14:textId="77777777" w:rsidR="003B16EE" w:rsidRPr="00DD5F1D" w:rsidRDefault="003B16EE" w:rsidP="00F61234">
            <w:pPr>
              <w:spacing w:line="276" w:lineRule="auto"/>
              <w:jc w:val="center"/>
              <w:rPr>
                <w:rFonts w:ascii="Times New Roman" w:hAnsi="Times New Roman" w:cs="Times New Roman"/>
                <w:b/>
                <w:szCs w:val="24"/>
                <w:lang w:val="ro-MD"/>
              </w:rPr>
            </w:pPr>
            <w:r w:rsidRPr="00DD5F1D">
              <w:rPr>
                <w:rFonts w:ascii="Times New Roman" w:hAnsi="Times New Roman" w:cs="Times New Roman"/>
                <w:b/>
                <w:szCs w:val="24"/>
                <w:lang w:val="ro-MD"/>
              </w:rPr>
              <w:t>Sold la 31.12.2022</w:t>
            </w:r>
          </w:p>
        </w:tc>
        <w:tc>
          <w:tcPr>
            <w:tcW w:w="1305" w:type="pct"/>
          </w:tcPr>
          <w:p w14:paraId="1A41BD51" w14:textId="77777777" w:rsidR="003B16EE" w:rsidRPr="00DD5F1D" w:rsidRDefault="003B16EE" w:rsidP="00F61234">
            <w:pPr>
              <w:spacing w:line="276" w:lineRule="auto"/>
              <w:jc w:val="center"/>
              <w:rPr>
                <w:rFonts w:ascii="Times New Roman" w:hAnsi="Times New Roman" w:cs="Times New Roman"/>
                <w:b/>
                <w:szCs w:val="24"/>
                <w:lang w:val="ro-MD"/>
              </w:rPr>
            </w:pPr>
            <w:r w:rsidRPr="00DD5F1D">
              <w:rPr>
                <w:rFonts w:ascii="Times New Roman" w:hAnsi="Times New Roman" w:cs="Times New Roman"/>
                <w:b/>
                <w:szCs w:val="24"/>
                <w:lang w:val="ro-MD"/>
              </w:rPr>
              <w:t>Sold la 31.12.2023</w:t>
            </w:r>
          </w:p>
        </w:tc>
        <w:tc>
          <w:tcPr>
            <w:tcW w:w="2390" w:type="pct"/>
            <w:gridSpan w:val="2"/>
          </w:tcPr>
          <w:p w14:paraId="67089F5F" w14:textId="77777777" w:rsidR="003B16EE" w:rsidRPr="00DD5F1D" w:rsidRDefault="003B16EE" w:rsidP="00F61234">
            <w:pPr>
              <w:spacing w:line="276" w:lineRule="auto"/>
              <w:jc w:val="center"/>
              <w:rPr>
                <w:rFonts w:ascii="Times New Roman" w:hAnsi="Times New Roman" w:cs="Times New Roman"/>
                <w:b/>
                <w:szCs w:val="24"/>
                <w:lang w:val="ro-MD"/>
              </w:rPr>
            </w:pPr>
            <w:r w:rsidRPr="00DD5F1D">
              <w:rPr>
                <w:rFonts w:ascii="Times New Roman" w:hAnsi="Times New Roman" w:cs="Times New Roman"/>
                <w:b/>
                <w:szCs w:val="24"/>
                <w:lang w:val="ro-MD"/>
              </w:rPr>
              <w:t xml:space="preserve">Diferența </w:t>
            </w:r>
          </w:p>
        </w:tc>
      </w:tr>
      <w:tr w:rsidR="003B16EE" w:rsidRPr="00DD5F1D" w14:paraId="18A176AE" w14:textId="77777777" w:rsidTr="00F61234">
        <w:tc>
          <w:tcPr>
            <w:tcW w:w="1305" w:type="pct"/>
          </w:tcPr>
          <w:p w14:paraId="5DCD3E52" w14:textId="39DAFC99" w:rsidR="003B16EE" w:rsidRPr="00B7777D" w:rsidRDefault="00B46068" w:rsidP="00B46068">
            <w:pPr>
              <w:spacing w:line="276" w:lineRule="auto"/>
              <w:jc w:val="center"/>
              <w:rPr>
                <w:rFonts w:ascii="Times New Roman" w:hAnsi="Times New Roman" w:cs="Times New Roman"/>
                <w:szCs w:val="24"/>
                <w:lang w:val="ro-MD"/>
              </w:rPr>
            </w:pPr>
            <w:r w:rsidRPr="00B7777D">
              <w:rPr>
                <w:rFonts w:ascii="Times New Roman" w:hAnsi="Times New Roman" w:cs="Times New Roman"/>
                <w:szCs w:val="24"/>
                <w:lang w:val="ro-MD"/>
              </w:rPr>
              <w:t>356 ,</w:t>
            </w:r>
            <w:r w:rsidR="003B16EE" w:rsidRPr="00B7777D">
              <w:rPr>
                <w:rFonts w:ascii="Times New Roman" w:hAnsi="Times New Roman" w:cs="Times New Roman"/>
                <w:szCs w:val="24"/>
                <w:lang w:val="ro-MD"/>
              </w:rPr>
              <w:t>4</w:t>
            </w:r>
          </w:p>
        </w:tc>
        <w:tc>
          <w:tcPr>
            <w:tcW w:w="1305" w:type="pct"/>
          </w:tcPr>
          <w:p w14:paraId="25DCC847" w14:textId="36355974" w:rsidR="003B16EE" w:rsidRPr="005152D5" w:rsidRDefault="003B16EE" w:rsidP="00B46068">
            <w:pPr>
              <w:spacing w:line="276" w:lineRule="auto"/>
              <w:jc w:val="center"/>
              <w:rPr>
                <w:rFonts w:ascii="Times New Roman" w:hAnsi="Times New Roman" w:cs="Times New Roman"/>
                <w:szCs w:val="24"/>
                <w:lang w:val="ro-MD"/>
              </w:rPr>
            </w:pPr>
            <w:r w:rsidRPr="009A6E4D">
              <w:rPr>
                <w:rFonts w:ascii="Times New Roman" w:hAnsi="Times New Roman" w:cs="Times New Roman"/>
                <w:szCs w:val="24"/>
                <w:lang w:val="ro-MD"/>
              </w:rPr>
              <w:t>4</w:t>
            </w:r>
            <w:r w:rsidR="00B46068" w:rsidRPr="00193E3C">
              <w:rPr>
                <w:rFonts w:ascii="Times New Roman" w:hAnsi="Times New Roman" w:cs="Times New Roman"/>
                <w:szCs w:val="24"/>
                <w:lang w:val="ro-MD"/>
              </w:rPr>
              <w:t>51,</w:t>
            </w:r>
            <w:r w:rsidRPr="005152D5">
              <w:rPr>
                <w:rFonts w:ascii="Times New Roman" w:hAnsi="Times New Roman" w:cs="Times New Roman"/>
                <w:szCs w:val="24"/>
                <w:lang w:val="ro-MD"/>
              </w:rPr>
              <w:t>0</w:t>
            </w:r>
          </w:p>
        </w:tc>
        <w:tc>
          <w:tcPr>
            <w:tcW w:w="1285" w:type="pct"/>
          </w:tcPr>
          <w:p w14:paraId="21FC0245" w14:textId="048BEA50" w:rsidR="003B16EE" w:rsidRPr="00B7777D" w:rsidRDefault="003B16EE" w:rsidP="00B46068">
            <w:pPr>
              <w:spacing w:line="276" w:lineRule="auto"/>
              <w:jc w:val="center"/>
              <w:rPr>
                <w:rFonts w:ascii="Times New Roman" w:hAnsi="Times New Roman" w:cs="Times New Roman"/>
                <w:szCs w:val="24"/>
                <w:lang w:val="ro-MD"/>
              </w:rPr>
            </w:pPr>
            <w:r w:rsidRPr="000C1DE0">
              <w:rPr>
                <w:rFonts w:ascii="Times New Roman" w:hAnsi="Times New Roman" w:cs="Times New Roman"/>
                <w:szCs w:val="24"/>
                <w:lang w:val="ro-MD"/>
              </w:rPr>
              <w:t>+</w:t>
            </w:r>
            <w:r w:rsidR="00B46068" w:rsidRPr="000C1DE0">
              <w:rPr>
                <w:rFonts w:ascii="Times New Roman" w:hAnsi="Times New Roman" w:cs="Times New Roman"/>
                <w:szCs w:val="24"/>
                <w:lang w:val="ro-MD"/>
              </w:rPr>
              <w:t xml:space="preserve"> 94,6</w:t>
            </w:r>
          </w:p>
        </w:tc>
        <w:tc>
          <w:tcPr>
            <w:tcW w:w="1104" w:type="pct"/>
          </w:tcPr>
          <w:p w14:paraId="5BEFC690" w14:textId="77777777" w:rsidR="003B16EE" w:rsidRPr="00DD5F1D" w:rsidRDefault="003B16EE" w:rsidP="00F61234">
            <w:pPr>
              <w:spacing w:line="276" w:lineRule="auto"/>
              <w:jc w:val="center"/>
              <w:rPr>
                <w:rFonts w:ascii="Times New Roman" w:hAnsi="Times New Roman" w:cs="Times New Roman"/>
                <w:szCs w:val="24"/>
                <w:lang w:val="ro-MD"/>
              </w:rPr>
            </w:pPr>
            <w:r w:rsidRPr="009A6E4D">
              <w:rPr>
                <w:rFonts w:ascii="Times New Roman" w:hAnsi="Times New Roman" w:cs="Times New Roman"/>
                <w:szCs w:val="24"/>
                <w:lang w:val="ro-MD"/>
              </w:rPr>
              <w:t>26,5 %</w:t>
            </w:r>
          </w:p>
        </w:tc>
      </w:tr>
    </w:tbl>
    <w:p w14:paraId="0552A810" w14:textId="6E3D2AD5" w:rsidR="003B16EE" w:rsidRPr="00DD5F1D" w:rsidRDefault="003B16EE" w:rsidP="003B16EE">
      <w:pPr>
        <w:spacing w:line="276" w:lineRule="auto"/>
        <w:rPr>
          <w:rFonts w:ascii="Times New Roman" w:hAnsi="Times New Roman" w:cs="Times New Roman"/>
          <w:i/>
          <w:sz w:val="20"/>
          <w:szCs w:val="24"/>
          <w:lang w:val="ro-MD"/>
        </w:rPr>
      </w:pPr>
      <w:r w:rsidRPr="00DD5F1D">
        <w:rPr>
          <w:rFonts w:ascii="Times New Roman" w:hAnsi="Times New Roman" w:cs="Times New Roman"/>
          <w:b/>
          <w:i/>
          <w:sz w:val="20"/>
          <w:szCs w:val="24"/>
          <w:lang w:val="ro-MD"/>
        </w:rPr>
        <w:t>Sursa</w:t>
      </w:r>
      <w:r w:rsidRPr="00DD5F1D">
        <w:rPr>
          <w:rFonts w:ascii="Times New Roman" w:hAnsi="Times New Roman" w:cs="Times New Roman"/>
          <w:i/>
          <w:sz w:val="20"/>
          <w:szCs w:val="24"/>
          <w:lang w:val="ro-MD"/>
        </w:rPr>
        <w:t>: Întocmit de audit în baza informații</w:t>
      </w:r>
      <w:r w:rsidR="00B97B89" w:rsidRPr="00DD5F1D">
        <w:rPr>
          <w:rFonts w:ascii="Times New Roman" w:hAnsi="Times New Roman" w:cs="Times New Roman"/>
          <w:i/>
          <w:sz w:val="20"/>
          <w:szCs w:val="24"/>
          <w:lang w:val="ro-MD"/>
        </w:rPr>
        <w:t>lor</w:t>
      </w:r>
      <w:r w:rsidRPr="00DD5F1D">
        <w:rPr>
          <w:rFonts w:ascii="Times New Roman" w:hAnsi="Times New Roman" w:cs="Times New Roman"/>
          <w:i/>
          <w:sz w:val="20"/>
          <w:szCs w:val="24"/>
          <w:lang w:val="ro-MD"/>
        </w:rPr>
        <w:t xml:space="preserve"> prezentate de SFS</w:t>
      </w:r>
      <w:r w:rsidR="00B97B89" w:rsidRPr="00DD5F1D">
        <w:rPr>
          <w:rFonts w:ascii="Times New Roman" w:hAnsi="Times New Roman" w:cs="Times New Roman"/>
          <w:i/>
          <w:sz w:val="20"/>
          <w:szCs w:val="24"/>
          <w:lang w:val="ro-MD"/>
        </w:rPr>
        <w:t>.</w:t>
      </w:r>
    </w:p>
    <w:p w14:paraId="4F061FCA" w14:textId="2EBF5AA5" w:rsidR="003B16EE" w:rsidRPr="00DD5F1D" w:rsidRDefault="003B16EE" w:rsidP="003B16EE">
      <w:pPr>
        <w:spacing w:line="276" w:lineRule="auto"/>
        <w:jc w:val="both"/>
        <w:rPr>
          <w:rFonts w:ascii="Times New Roman" w:hAnsi="Times New Roman" w:cs="Times New Roman"/>
          <w:sz w:val="24"/>
          <w:szCs w:val="24"/>
          <w:lang w:val="ro-MD"/>
        </w:rPr>
      </w:pPr>
      <w:r w:rsidRPr="000C1DE0">
        <w:rPr>
          <w:rFonts w:ascii="Times New Roman" w:hAnsi="Times New Roman" w:cs="Times New Roman"/>
          <w:sz w:val="24"/>
          <w:szCs w:val="24"/>
          <w:lang w:val="ro-MD"/>
        </w:rPr>
        <w:t>În același timp, analiza efectuată de audit denotă că ritmul</w:t>
      </w:r>
      <w:r w:rsidR="00DE60E5" w:rsidRPr="000C1DE0">
        <w:rPr>
          <w:rFonts w:ascii="Times New Roman" w:hAnsi="Times New Roman" w:cs="Times New Roman"/>
          <w:sz w:val="24"/>
          <w:szCs w:val="24"/>
          <w:lang w:val="ro-MD"/>
        </w:rPr>
        <w:t xml:space="preserve"> creșterii contribuțiilor </w:t>
      </w:r>
      <w:r w:rsidR="00202B98" w:rsidRPr="000C1DE0">
        <w:rPr>
          <w:rFonts w:ascii="Times New Roman" w:hAnsi="Times New Roman" w:cs="Times New Roman"/>
          <w:sz w:val="24"/>
          <w:szCs w:val="24"/>
          <w:lang w:val="ro-MD"/>
        </w:rPr>
        <w:t xml:space="preserve">calculate </w:t>
      </w:r>
      <w:r w:rsidR="00DE60E5" w:rsidRPr="000C1DE0">
        <w:rPr>
          <w:rFonts w:ascii="Times New Roman" w:hAnsi="Times New Roman" w:cs="Times New Roman"/>
          <w:sz w:val="24"/>
          <w:szCs w:val="24"/>
          <w:lang w:val="ro-MD"/>
        </w:rPr>
        <w:t>(17,1 puncte procentuale</w:t>
      </w:r>
      <w:r w:rsidRPr="000C1DE0">
        <w:rPr>
          <w:rFonts w:ascii="Times New Roman" w:hAnsi="Times New Roman" w:cs="Times New Roman"/>
          <w:sz w:val="24"/>
          <w:szCs w:val="24"/>
          <w:lang w:val="ro-MD"/>
        </w:rPr>
        <w:t>) este mai mic decât rit</w:t>
      </w:r>
      <w:r w:rsidR="00DE60E5" w:rsidRPr="000C1DE0">
        <w:rPr>
          <w:rFonts w:ascii="Times New Roman" w:hAnsi="Times New Roman" w:cs="Times New Roman"/>
          <w:sz w:val="24"/>
          <w:szCs w:val="24"/>
          <w:lang w:val="ro-MD"/>
        </w:rPr>
        <w:t>mul creșterii restanțelor (26,5 puncte procentuale</w:t>
      </w:r>
      <w:r w:rsidRPr="000C1DE0">
        <w:rPr>
          <w:rFonts w:ascii="Times New Roman" w:hAnsi="Times New Roman" w:cs="Times New Roman"/>
          <w:sz w:val="24"/>
          <w:szCs w:val="24"/>
          <w:lang w:val="ro-MD"/>
        </w:rPr>
        <w:t>)</w:t>
      </w:r>
      <w:r w:rsidR="00B97B89" w:rsidRPr="000C1DE0">
        <w:rPr>
          <w:rFonts w:ascii="Times New Roman" w:hAnsi="Times New Roman" w:cs="Times New Roman"/>
          <w:sz w:val="24"/>
          <w:szCs w:val="24"/>
          <w:lang w:val="ro-MD"/>
        </w:rPr>
        <w:t>.</w:t>
      </w:r>
      <w:r w:rsidR="00B97B89" w:rsidRPr="00B7777D">
        <w:rPr>
          <w:rFonts w:ascii="Times New Roman" w:hAnsi="Times New Roman" w:cs="Times New Roman"/>
          <w:sz w:val="24"/>
          <w:szCs w:val="24"/>
          <w:lang w:val="ro-MD"/>
        </w:rPr>
        <w:t xml:space="preserve"> </w:t>
      </w:r>
      <w:r w:rsidRPr="00B7777D">
        <w:rPr>
          <w:rFonts w:ascii="Times New Roman" w:hAnsi="Times New Roman" w:cs="Times New Roman"/>
          <w:sz w:val="24"/>
          <w:szCs w:val="24"/>
          <w:lang w:val="ro-MD"/>
        </w:rPr>
        <w:t>Cele mai</w:t>
      </w:r>
      <w:r w:rsidRPr="00DD5F1D">
        <w:rPr>
          <w:rFonts w:ascii="Times New Roman" w:hAnsi="Times New Roman" w:cs="Times New Roman"/>
          <w:sz w:val="24"/>
          <w:szCs w:val="24"/>
          <w:lang w:val="ro-MD"/>
        </w:rPr>
        <w:t xml:space="preserve"> semnificative sunt restanțele aferente contribuțiilor de asigurări sociale de stat obligatorii virate de persoanele fizice ce își desfășoară activitate</w:t>
      </w:r>
      <w:r w:rsidR="00B97B89" w:rsidRPr="00DD5F1D">
        <w:rPr>
          <w:rFonts w:ascii="Times New Roman" w:hAnsi="Times New Roman" w:cs="Times New Roman"/>
          <w:sz w:val="24"/>
          <w:szCs w:val="24"/>
          <w:lang w:val="ro-MD"/>
        </w:rPr>
        <w:t>a</w:t>
      </w:r>
      <w:r w:rsidRPr="00DD5F1D">
        <w:rPr>
          <w:rFonts w:ascii="Times New Roman" w:hAnsi="Times New Roman" w:cs="Times New Roman"/>
          <w:sz w:val="24"/>
          <w:szCs w:val="24"/>
          <w:lang w:val="ro-MD"/>
        </w:rPr>
        <w:t xml:space="preserve"> pe cont propriu (cod ECO 121310), </w:t>
      </w:r>
      <w:r w:rsidR="00B97B89" w:rsidRPr="00DD5F1D">
        <w:rPr>
          <w:rFonts w:ascii="Times New Roman" w:hAnsi="Times New Roman" w:cs="Times New Roman"/>
          <w:sz w:val="24"/>
          <w:szCs w:val="24"/>
          <w:lang w:val="ro-MD"/>
        </w:rPr>
        <w:t>acestea</w:t>
      </w:r>
      <w:r w:rsidRPr="00DD5F1D">
        <w:rPr>
          <w:rFonts w:ascii="Times New Roman" w:hAnsi="Times New Roman" w:cs="Times New Roman"/>
          <w:sz w:val="24"/>
          <w:szCs w:val="24"/>
          <w:lang w:val="ro-MD"/>
        </w:rPr>
        <w:t xml:space="preserve"> constitui</w:t>
      </w:r>
      <w:r w:rsidR="00B97B89" w:rsidRPr="00DD5F1D">
        <w:rPr>
          <w:rFonts w:ascii="Times New Roman" w:hAnsi="Times New Roman" w:cs="Times New Roman"/>
          <w:sz w:val="24"/>
          <w:szCs w:val="24"/>
          <w:lang w:val="ro-MD"/>
        </w:rPr>
        <w:t>nd</w:t>
      </w:r>
      <w:r w:rsidR="00DE60E5" w:rsidRPr="00DD5F1D">
        <w:rPr>
          <w:rFonts w:ascii="Times New Roman" w:hAnsi="Times New Roman" w:cs="Times New Roman"/>
          <w:sz w:val="24"/>
          <w:szCs w:val="24"/>
          <w:lang w:val="ro-MD"/>
        </w:rPr>
        <w:t xml:space="preserve"> 79,2</w:t>
      </w:r>
      <w:r w:rsidRPr="00DD5F1D">
        <w:rPr>
          <w:rFonts w:ascii="Times New Roman" w:hAnsi="Times New Roman" w:cs="Times New Roman"/>
          <w:sz w:val="24"/>
          <w:szCs w:val="24"/>
          <w:lang w:val="ro-MD"/>
        </w:rPr>
        <w:t xml:space="preserve">%. </w:t>
      </w:r>
      <w:r w:rsidR="00202B98">
        <w:rPr>
          <w:rFonts w:ascii="Times New Roman" w:hAnsi="Times New Roman" w:cs="Times New Roman"/>
          <w:sz w:val="24"/>
          <w:szCs w:val="24"/>
          <w:lang w:val="ro-MD"/>
        </w:rPr>
        <w:t>De menționat că,</w:t>
      </w:r>
      <w:r w:rsidRPr="00DD5F1D">
        <w:rPr>
          <w:rFonts w:ascii="Times New Roman" w:hAnsi="Times New Roman" w:cs="Times New Roman"/>
          <w:sz w:val="24"/>
          <w:szCs w:val="24"/>
          <w:lang w:val="ro-MD"/>
        </w:rPr>
        <w:t xml:space="preserve"> restanțele aferente contribuțiilor de asigurări sociale virate de angajatori (cod ECO 121100) </w:t>
      </w:r>
      <w:r w:rsidR="00202B98" w:rsidRPr="00B7777D">
        <w:rPr>
          <w:rFonts w:ascii="Times New Roman" w:hAnsi="Times New Roman" w:cs="Times New Roman"/>
          <w:sz w:val="24"/>
          <w:szCs w:val="24"/>
          <w:lang w:val="ro-MD"/>
        </w:rPr>
        <w:t xml:space="preserve">au crescut </w:t>
      </w:r>
      <w:r w:rsidR="00B97B89" w:rsidRPr="000C1DE0">
        <w:rPr>
          <w:rFonts w:ascii="Times New Roman" w:hAnsi="Times New Roman" w:cs="Times New Roman"/>
          <w:sz w:val="24"/>
          <w:szCs w:val="24"/>
          <w:lang w:val="ro-MD"/>
        </w:rPr>
        <w:t xml:space="preserve">cu 33,5% </w:t>
      </w:r>
      <w:r w:rsidRPr="000C1DE0">
        <w:rPr>
          <w:rFonts w:ascii="Times New Roman" w:hAnsi="Times New Roman" w:cs="Times New Roman"/>
          <w:sz w:val="24"/>
          <w:szCs w:val="24"/>
          <w:lang w:val="ro-MD"/>
        </w:rPr>
        <w:t>față de anul precedent.</w:t>
      </w:r>
      <w:r w:rsidRPr="00B7777D">
        <w:rPr>
          <w:rFonts w:ascii="Times New Roman" w:hAnsi="Times New Roman" w:cs="Times New Roman"/>
          <w:sz w:val="24"/>
          <w:szCs w:val="24"/>
          <w:lang w:val="ro-MD"/>
        </w:rPr>
        <w:t xml:space="preserve"> Analiza</w:t>
      </w:r>
      <w:r w:rsidRPr="00DD5F1D">
        <w:rPr>
          <w:rFonts w:ascii="Times New Roman" w:hAnsi="Times New Roman" w:cs="Times New Roman"/>
          <w:sz w:val="24"/>
          <w:szCs w:val="24"/>
          <w:lang w:val="ro-MD"/>
        </w:rPr>
        <w:t xml:space="preserve"> restanțelor, amenzilor calculate</w:t>
      </w:r>
      <w:r w:rsidR="00B97B89"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precum și sumel</w:t>
      </w:r>
      <w:r w:rsidR="00B97B89" w:rsidRPr="00DD5F1D">
        <w:rPr>
          <w:rFonts w:ascii="Times New Roman" w:hAnsi="Times New Roman" w:cs="Times New Roman"/>
          <w:sz w:val="24"/>
          <w:szCs w:val="24"/>
          <w:lang w:val="ro-MD"/>
        </w:rPr>
        <w:t>or</w:t>
      </w:r>
      <w:r w:rsidRPr="00DD5F1D">
        <w:rPr>
          <w:rFonts w:ascii="Times New Roman" w:hAnsi="Times New Roman" w:cs="Times New Roman"/>
          <w:sz w:val="24"/>
          <w:szCs w:val="24"/>
          <w:lang w:val="ro-MD"/>
        </w:rPr>
        <w:t xml:space="preserve"> achitate la BASS, conform clasificației economice, precum și evoluția acestora se prezintă în </w:t>
      </w:r>
      <w:r w:rsidR="004A48DA" w:rsidRPr="00DD5F1D">
        <w:rPr>
          <w:rFonts w:ascii="Times New Roman" w:hAnsi="Times New Roman" w:cs="Times New Roman"/>
          <w:sz w:val="24"/>
          <w:szCs w:val="24"/>
          <w:lang w:val="ro-MD"/>
        </w:rPr>
        <w:t>Anexa nr. 1</w:t>
      </w:r>
      <w:r w:rsidR="000E2AC7" w:rsidRPr="00DD5F1D">
        <w:rPr>
          <w:rFonts w:ascii="Times New Roman" w:hAnsi="Times New Roman" w:cs="Times New Roman"/>
          <w:sz w:val="24"/>
          <w:szCs w:val="24"/>
          <w:lang w:val="ro-MD"/>
        </w:rPr>
        <w:t>2</w:t>
      </w:r>
      <w:r w:rsidR="00B97B89" w:rsidRPr="00DD5F1D">
        <w:rPr>
          <w:rFonts w:ascii="Times New Roman" w:hAnsi="Times New Roman" w:cs="Times New Roman"/>
          <w:sz w:val="24"/>
          <w:szCs w:val="24"/>
          <w:lang w:val="ro-MD"/>
        </w:rPr>
        <w:t xml:space="preserve"> la prezentul Raport de audit</w:t>
      </w:r>
      <w:r w:rsidR="004A48DA" w:rsidRPr="00DD5F1D">
        <w:rPr>
          <w:rFonts w:ascii="Times New Roman" w:hAnsi="Times New Roman" w:cs="Times New Roman"/>
          <w:sz w:val="24"/>
          <w:szCs w:val="24"/>
          <w:lang w:val="ro-MD"/>
        </w:rPr>
        <w:t>.</w:t>
      </w:r>
    </w:p>
    <w:p w14:paraId="38FE6824" w14:textId="0FD31095" w:rsidR="003B16EE" w:rsidRPr="00DD5F1D" w:rsidRDefault="003B16EE" w:rsidP="003B16EE">
      <w:pPr>
        <w:pStyle w:val="aa"/>
        <w:numPr>
          <w:ilvl w:val="0"/>
          <w:numId w:val="5"/>
        </w:numPr>
        <w:spacing w:line="276" w:lineRule="auto"/>
        <w:jc w:val="both"/>
        <w:rPr>
          <w:rFonts w:ascii="Times New Roman" w:hAnsi="Times New Roman" w:cs="Times New Roman"/>
          <w:b/>
          <w:sz w:val="24"/>
          <w:szCs w:val="24"/>
          <w:lang w:val="ro-MD"/>
        </w:rPr>
      </w:pPr>
      <w:r w:rsidRPr="00DD5F1D">
        <w:rPr>
          <w:rFonts w:ascii="Times New Roman" w:hAnsi="Times New Roman" w:cs="Times New Roman"/>
          <w:b/>
          <w:sz w:val="24"/>
          <w:szCs w:val="24"/>
          <w:lang w:val="ro-MD"/>
        </w:rPr>
        <w:t>Aplicarea penalităților și amenzilor ca acțiune de disciplinare, nu contribuie la acumulare</w:t>
      </w:r>
      <w:r w:rsidR="00B97B89" w:rsidRPr="00DD5F1D">
        <w:rPr>
          <w:rFonts w:ascii="Times New Roman" w:hAnsi="Times New Roman" w:cs="Times New Roman"/>
          <w:b/>
          <w:sz w:val="24"/>
          <w:szCs w:val="24"/>
          <w:lang w:val="ro-MD"/>
        </w:rPr>
        <w:t>a</w:t>
      </w:r>
      <w:r w:rsidRPr="00DD5F1D">
        <w:rPr>
          <w:rFonts w:ascii="Times New Roman" w:hAnsi="Times New Roman" w:cs="Times New Roman"/>
          <w:b/>
          <w:sz w:val="24"/>
          <w:szCs w:val="24"/>
          <w:lang w:val="ro-MD"/>
        </w:rPr>
        <w:t xml:space="preserve"> integrală a contribuțiilor.</w:t>
      </w:r>
    </w:p>
    <w:p w14:paraId="12EE0C2A" w14:textId="3372562D" w:rsidR="003B16EE" w:rsidRPr="00DD5F1D" w:rsidRDefault="00351017" w:rsidP="000C1DE0">
      <w:pPr>
        <w:spacing w:line="276" w:lineRule="auto"/>
        <w:jc w:val="both"/>
        <w:rPr>
          <w:rFonts w:ascii="Times New Roman" w:hAnsi="Times New Roman" w:cs="Times New Roman"/>
          <w:sz w:val="24"/>
          <w:szCs w:val="24"/>
          <w:lang w:val="ro-MD"/>
        </w:rPr>
      </w:pPr>
      <w:r w:rsidRPr="00B7777D">
        <w:rPr>
          <w:rFonts w:ascii="Times New Roman" w:hAnsi="Times New Roman" w:cs="Times New Roman"/>
          <w:sz w:val="24"/>
          <w:szCs w:val="24"/>
          <w:lang w:val="ro-MD"/>
        </w:rPr>
        <w:t xml:space="preserve">Deși </w:t>
      </w:r>
      <w:r w:rsidRPr="009A6E4D">
        <w:rPr>
          <w:rFonts w:ascii="Times New Roman" w:hAnsi="Times New Roman" w:cs="Times New Roman"/>
          <w:sz w:val="24"/>
          <w:szCs w:val="24"/>
          <w:lang w:val="ro-MD"/>
        </w:rPr>
        <w:t>CNAS</w:t>
      </w:r>
      <w:r w:rsidRPr="00193E3C">
        <w:rPr>
          <w:rFonts w:ascii="Times New Roman" w:hAnsi="Times New Roman" w:cs="Times New Roman"/>
          <w:sz w:val="24"/>
          <w:szCs w:val="24"/>
          <w:lang w:val="ro-MD"/>
        </w:rPr>
        <w:t xml:space="preserve"> asigură </w:t>
      </w:r>
      <w:r w:rsidRPr="00A93D77">
        <w:rPr>
          <w:rFonts w:ascii="Times New Roman" w:hAnsi="Times New Roman" w:cs="Times New Roman"/>
          <w:sz w:val="24"/>
          <w:szCs w:val="24"/>
          <w:lang w:val="ro-MD"/>
        </w:rPr>
        <w:t>c</w:t>
      </w:r>
      <w:r w:rsidR="003B16EE" w:rsidRPr="00A77936">
        <w:rPr>
          <w:rFonts w:ascii="Times New Roman" w:hAnsi="Times New Roman" w:cs="Times New Roman"/>
          <w:sz w:val="24"/>
          <w:szCs w:val="24"/>
          <w:lang w:val="ro-MD"/>
        </w:rPr>
        <w:t xml:space="preserve">alcularea automatizată a penalităților </w:t>
      </w:r>
      <w:r w:rsidRPr="00A77936">
        <w:rPr>
          <w:rFonts w:ascii="Times New Roman" w:hAnsi="Times New Roman" w:cs="Times New Roman"/>
          <w:sz w:val="24"/>
          <w:szCs w:val="24"/>
          <w:lang w:val="ro-MD"/>
        </w:rPr>
        <w:t xml:space="preserve">aceasta nu duce la </w:t>
      </w:r>
      <w:r w:rsidR="003B16EE" w:rsidRPr="000C1DE0">
        <w:rPr>
          <w:rFonts w:ascii="Times New Roman" w:hAnsi="Times New Roman" w:cs="Times New Roman"/>
          <w:sz w:val="24"/>
          <w:szCs w:val="24"/>
          <w:lang w:val="ro-MD"/>
        </w:rPr>
        <w:t>responsabiliza</w:t>
      </w:r>
      <w:r w:rsidRPr="000C1DE0">
        <w:rPr>
          <w:rFonts w:ascii="Times New Roman" w:hAnsi="Times New Roman" w:cs="Times New Roman"/>
          <w:sz w:val="24"/>
          <w:szCs w:val="24"/>
          <w:lang w:val="ro-MD"/>
        </w:rPr>
        <w:t xml:space="preserve">rea </w:t>
      </w:r>
      <w:r w:rsidR="003B16EE" w:rsidRPr="000C1DE0">
        <w:rPr>
          <w:rFonts w:ascii="Times New Roman" w:hAnsi="Times New Roman" w:cs="Times New Roman"/>
          <w:sz w:val="24"/>
          <w:szCs w:val="24"/>
          <w:lang w:val="ro-MD"/>
        </w:rPr>
        <w:t>plătitori</w:t>
      </w:r>
      <w:r w:rsidR="00A77936" w:rsidRPr="000C1DE0">
        <w:rPr>
          <w:rFonts w:ascii="Times New Roman" w:hAnsi="Times New Roman" w:cs="Times New Roman"/>
          <w:sz w:val="24"/>
          <w:szCs w:val="24"/>
          <w:lang w:val="ro-MD"/>
        </w:rPr>
        <w:t>lor</w:t>
      </w:r>
      <w:r w:rsidR="003B16EE" w:rsidRPr="000C1DE0">
        <w:rPr>
          <w:rFonts w:ascii="Times New Roman" w:hAnsi="Times New Roman" w:cs="Times New Roman"/>
          <w:sz w:val="24"/>
          <w:szCs w:val="24"/>
          <w:lang w:val="ro-MD"/>
        </w:rPr>
        <w:t xml:space="preserve"> în achitarea deplină a obligațiilor la BASS</w:t>
      </w:r>
      <w:r w:rsidR="003B16EE" w:rsidRPr="00B7777D">
        <w:rPr>
          <w:rFonts w:ascii="Times New Roman" w:hAnsi="Times New Roman" w:cs="Times New Roman"/>
          <w:sz w:val="24"/>
          <w:szCs w:val="24"/>
          <w:lang w:val="ro-MD"/>
        </w:rPr>
        <w:t xml:space="preserve"> </w:t>
      </w:r>
      <w:r w:rsidR="000C0BA9" w:rsidRPr="00A93D77">
        <w:rPr>
          <w:rFonts w:ascii="Times New Roman" w:hAnsi="Times New Roman" w:cs="Times New Roman"/>
          <w:sz w:val="24"/>
          <w:szCs w:val="24"/>
          <w:lang w:val="ro-MD"/>
        </w:rPr>
        <w:t>(A</w:t>
      </w:r>
      <w:r w:rsidR="003B16EE" w:rsidRPr="00A77936">
        <w:rPr>
          <w:rFonts w:ascii="Times New Roman" w:hAnsi="Times New Roman" w:cs="Times New Roman"/>
          <w:sz w:val="24"/>
          <w:szCs w:val="24"/>
          <w:lang w:val="ro-MD"/>
        </w:rPr>
        <w:t>nexa nr.</w:t>
      </w:r>
      <w:r w:rsidR="000C0BA9" w:rsidRPr="00A77936">
        <w:rPr>
          <w:rFonts w:ascii="Times New Roman" w:hAnsi="Times New Roman" w:cs="Times New Roman"/>
          <w:sz w:val="24"/>
          <w:szCs w:val="24"/>
          <w:lang w:val="ro-MD"/>
        </w:rPr>
        <w:t xml:space="preserve"> 1</w:t>
      </w:r>
      <w:r w:rsidR="000E2AC7" w:rsidRPr="00A77936">
        <w:rPr>
          <w:rFonts w:ascii="Times New Roman" w:hAnsi="Times New Roman" w:cs="Times New Roman"/>
          <w:sz w:val="24"/>
          <w:szCs w:val="24"/>
          <w:lang w:val="ro-MD"/>
        </w:rPr>
        <w:t>3</w:t>
      </w:r>
      <w:r w:rsidR="00B97B89" w:rsidRPr="00A77936">
        <w:rPr>
          <w:rFonts w:ascii="Times New Roman" w:hAnsi="Times New Roman" w:cs="Times New Roman"/>
          <w:sz w:val="24"/>
          <w:szCs w:val="24"/>
          <w:lang w:val="ro-MD"/>
        </w:rPr>
        <w:t xml:space="preserve"> la prezentul Raport de audit</w:t>
      </w:r>
      <w:r w:rsidR="003B16EE" w:rsidRPr="00A77936">
        <w:rPr>
          <w:rFonts w:ascii="Times New Roman" w:hAnsi="Times New Roman" w:cs="Times New Roman"/>
          <w:sz w:val="24"/>
          <w:szCs w:val="24"/>
          <w:lang w:val="ro-MD"/>
        </w:rPr>
        <w:t>)</w:t>
      </w:r>
      <w:r w:rsidR="00B97B89" w:rsidRPr="00A77936">
        <w:rPr>
          <w:rFonts w:ascii="Times New Roman" w:hAnsi="Times New Roman" w:cs="Times New Roman"/>
          <w:sz w:val="24"/>
          <w:szCs w:val="24"/>
          <w:lang w:val="ro-MD"/>
        </w:rPr>
        <w:t>.</w:t>
      </w:r>
    </w:p>
    <w:p w14:paraId="7A628C4C" w14:textId="4FF56107" w:rsidR="00E268C4" w:rsidRPr="00DD5F1D" w:rsidRDefault="003B16EE" w:rsidP="004A48DA">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Conf</w:t>
      </w:r>
      <w:r w:rsidR="00DE60E5" w:rsidRPr="00DD5F1D">
        <w:rPr>
          <w:rFonts w:ascii="Times New Roman" w:hAnsi="Times New Roman" w:cs="Times New Roman"/>
          <w:sz w:val="24"/>
          <w:szCs w:val="24"/>
          <w:lang w:val="ro-MD"/>
        </w:rPr>
        <w:t>orm datelor prezentate de SFS,</w:t>
      </w:r>
      <w:r w:rsidR="00252C53" w:rsidRPr="00DD5F1D">
        <w:rPr>
          <w:rFonts w:ascii="Times New Roman" w:hAnsi="Times New Roman" w:cs="Times New Roman"/>
          <w:sz w:val="24"/>
          <w:szCs w:val="24"/>
          <w:lang w:val="ro-MD"/>
        </w:rPr>
        <w:t xml:space="preserve"> restanța aferentă m</w:t>
      </w:r>
      <w:r w:rsidRPr="00DD5F1D">
        <w:rPr>
          <w:rFonts w:ascii="Times New Roman" w:hAnsi="Times New Roman" w:cs="Times New Roman"/>
          <w:sz w:val="24"/>
          <w:szCs w:val="24"/>
          <w:lang w:val="ro-MD"/>
        </w:rPr>
        <w:t>ajorărilor de întârziere (penalitatea) calculată pentru neachitarea în termen a contribuțiilor de asigurări sociale de stat obli</w:t>
      </w:r>
      <w:r w:rsidR="00DE60E5" w:rsidRPr="00DD5F1D">
        <w:rPr>
          <w:rFonts w:ascii="Times New Roman" w:hAnsi="Times New Roman" w:cs="Times New Roman"/>
          <w:sz w:val="24"/>
          <w:szCs w:val="24"/>
          <w:lang w:val="ro-MD"/>
        </w:rPr>
        <w:t>gatorii s-a majorat până la 147,7 mil. lei, sau cu 23,1 mil.</w:t>
      </w:r>
      <w:r w:rsidRPr="00DD5F1D">
        <w:rPr>
          <w:rFonts w:ascii="Times New Roman" w:hAnsi="Times New Roman" w:cs="Times New Roman"/>
          <w:sz w:val="24"/>
          <w:szCs w:val="24"/>
          <w:lang w:val="ro-MD"/>
        </w:rPr>
        <w:t xml:space="preserve"> lei, avâ</w:t>
      </w:r>
      <w:r w:rsidR="00DE60E5" w:rsidRPr="00DD5F1D">
        <w:rPr>
          <w:rFonts w:ascii="Times New Roman" w:hAnsi="Times New Roman" w:cs="Times New Roman"/>
          <w:sz w:val="24"/>
          <w:szCs w:val="24"/>
          <w:lang w:val="ro-MD"/>
        </w:rPr>
        <w:t>nd un ritm de creștere de 18,6%</w:t>
      </w:r>
      <w:r w:rsidRPr="00DD5F1D">
        <w:rPr>
          <w:rFonts w:ascii="Times New Roman" w:hAnsi="Times New Roman" w:cs="Times New Roman"/>
          <w:sz w:val="24"/>
          <w:szCs w:val="24"/>
          <w:lang w:val="ro-MD"/>
        </w:rPr>
        <w:t>. Ponderea penalităților în total</w:t>
      </w:r>
      <w:r w:rsidR="00252C53" w:rsidRPr="00DD5F1D">
        <w:rPr>
          <w:rFonts w:ascii="Times New Roman" w:hAnsi="Times New Roman" w:cs="Times New Roman"/>
          <w:sz w:val="24"/>
          <w:szCs w:val="24"/>
          <w:lang w:val="ro-MD"/>
        </w:rPr>
        <w:t>ul</w:t>
      </w:r>
      <w:r w:rsidRPr="00DD5F1D">
        <w:rPr>
          <w:rFonts w:ascii="Times New Roman" w:hAnsi="Times New Roman" w:cs="Times New Roman"/>
          <w:sz w:val="24"/>
          <w:szCs w:val="24"/>
          <w:lang w:val="ro-MD"/>
        </w:rPr>
        <w:t xml:space="preserve"> restanțe</w:t>
      </w:r>
      <w:r w:rsidR="00252C53" w:rsidRPr="00DD5F1D">
        <w:rPr>
          <w:rFonts w:ascii="Times New Roman" w:hAnsi="Times New Roman" w:cs="Times New Roman"/>
          <w:sz w:val="24"/>
          <w:szCs w:val="24"/>
          <w:lang w:val="ro-MD"/>
        </w:rPr>
        <w:t>lor față de BASS</w:t>
      </w:r>
      <w:r w:rsidRPr="00DD5F1D">
        <w:rPr>
          <w:rFonts w:ascii="Times New Roman" w:hAnsi="Times New Roman" w:cs="Times New Roman"/>
          <w:sz w:val="24"/>
          <w:szCs w:val="24"/>
          <w:lang w:val="ro-MD"/>
        </w:rPr>
        <w:t xml:space="preserve"> constituie 32,8%</w:t>
      </w:r>
      <w:r w:rsidR="00B97B89"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w:t>
      </w:r>
      <w:r w:rsidR="00B97B89" w:rsidRPr="00DD5F1D">
        <w:rPr>
          <w:rFonts w:ascii="Times New Roman" w:hAnsi="Times New Roman" w:cs="Times New Roman"/>
          <w:sz w:val="24"/>
          <w:szCs w:val="24"/>
          <w:lang w:val="ro-MD"/>
        </w:rPr>
        <w:t>i</w:t>
      </w:r>
      <w:r w:rsidRPr="00DD5F1D">
        <w:rPr>
          <w:rFonts w:ascii="Times New Roman" w:hAnsi="Times New Roman" w:cs="Times New Roman"/>
          <w:sz w:val="24"/>
          <w:szCs w:val="24"/>
          <w:lang w:val="ro-MD"/>
        </w:rPr>
        <w:t>nformați</w:t>
      </w:r>
      <w:r w:rsidR="00B97B89" w:rsidRPr="00DD5F1D">
        <w:rPr>
          <w:rFonts w:ascii="Times New Roman" w:hAnsi="Times New Roman" w:cs="Times New Roman"/>
          <w:sz w:val="24"/>
          <w:szCs w:val="24"/>
          <w:lang w:val="ro-MD"/>
        </w:rPr>
        <w:t>i</w:t>
      </w:r>
      <w:r w:rsidR="00252C53" w:rsidRPr="00DD5F1D">
        <w:rPr>
          <w:rFonts w:ascii="Times New Roman" w:hAnsi="Times New Roman" w:cs="Times New Roman"/>
          <w:sz w:val="24"/>
          <w:szCs w:val="24"/>
          <w:lang w:val="ro-MD"/>
        </w:rPr>
        <w:t xml:space="preserve"> reflectat</w:t>
      </w:r>
      <w:r w:rsidR="00B97B89" w:rsidRPr="00DD5F1D">
        <w:rPr>
          <w:rFonts w:ascii="Times New Roman" w:hAnsi="Times New Roman" w:cs="Times New Roman"/>
          <w:sz w:val="24"/>
          <w:szCs w:val="24"/>
          <w:lang w:val="ro-MD"/>
        </w:rPr>
        <w:t>e</w:t>
      </w:r>
      <w:r w:rsidRPr="00DD5F1D">
        <w:rPr>
          <w:rFonts w:ascii="Times New Roman" w:hAnsi="Times New Roman" w:cs="Times New Roman"/>
          <w:sz w:val="24"/>
          <w:szCs w:val="24"/>
          <w:lang w:val="ro-MD"/>
        </w:rPr>
        <w:t xml:space="preserve"> în tabelul de mai jos:</w:t>
      </w:r>
    </w:p>
    <w:p w14:paraId="31AD3C37" w14:textId="26B4C841" w:rsidR="003B16EE" w:rsidRPr="00DD5F1D" w:rsidRDefault="003B16EE" w:rsidP="003B16EE">
      <w:pPr>
        <w:spacing w:after="0" w:line="276" w:lineRule="auto"/>
        <w:jc w:val="right"/>
        <w:rPr>
          <w:rFonts w:ascii="Times New Roman" w:hAnsi="Times New Roman" w:cs="Times New Roman"/>
          <w:sz w:val="24"/>
          <w:szCs w:val="24"/>
          <w:lang w:val="ro-MD"/>
        </w:rPr>
      </w:pPr>
      <w:r w:rsidRPr="00DD5F1D">
        <w:rPr>
          <w:rFonts w:ascii="Times New Roman" w:hAnsi="Times New Roman" w:cs="Times New Roman"/>
          <w:b/>
          <w:sz w:val="24"/>
          <w:szCs w:val="24"/>
          <w:lang w:val="ro-MD"/>
        </w:rPr>
        <w:t xml:space="preserve">Tabelul nr. </w:t>
      </w:r>
      <w:r w:rsidR="004A48DA" w:rsidRPr="00DD5F1D">
        <w:rPr>
          <w:rFonts w:ascii="Times New Roman" w:hAnsi="Times New Roman" w:cs="Times New Roman"/>
          <w:b/>
          <w:sz w:val="24"/>
          <w:szCs w:val="24"/>
          <w:lang w:val="ro-MD"/>
        </w:rPr>
        <w:t>1</w:t>
      </w:r>
      <w:r w:rsidR="0021536C" w:rsidRPr="00DD5F1D">
        <w:rPr>
          <w:rFonts w:ascii="Times New Roman" w:hAnsi="Times New Roman" w:cs="Times New Roman"/>
          <w:b/>
          <w:sz w:val="24"/>
          <w:szCs w:val="24"/>
          <w:lang w:val="ro-MD"/>
        </w:rPr>
        <w:t>3</w:t>
      </w:r>
    </w:p>
    <w:p w14:paraId="5DEBE684" w14:textId="77777777" w:rsidR="003B16EE" w:rsidRPr="00DD5F1D" w:rsidRDefault="003B16EE" w:rsidP="003B16EE">
      <w:pPr>
        <w:spacing w:after="0" w:line="276" w:lineRule="auto"/>
        <w:jc w:val="center"/>
        <w:rPr>
          <w:rFonts w:ascii="Times New Roman" w:hAnsi="Times New Roman" w:cs="Times New Roman"/>
          <w:b/>
          <w:sz w:val="24"/>
          <w:szCs w:val="24"/>
          <w:lang w:val="ro-MD"/>
        </w:rPr>
      </w:pPr>
      <w:r w:rsidRPr="00DD5F1D">
        <w:rPr>
          <w:rFonts w:ascii="Times New Roman" w:hAnsi="Times New Roman" w:cs="Times New Roman"/>
          <w:b/>
          <w:sz w:val="24"/>
          <w:szCs w:val="24"/>
          <w:lang w:val="ro-MD"/>
        </w:rPr>
        <w:t>Analiza structurii restanțelor la BASS</w:t>
      </w:r>
    </w:p>
    <w:p w14:paraId="3DF73C4E" w14:textId="525C5E9F" w:rsidR="003B16EE" w:rsidRPr="00DD5F1D" w:rsidRDefault="003B16EE" w:rsidP="003B16EE">
      <w:pPr>
        <w:spacing w:after="0" w:line="276" w:lineRule="auto"/>
        <w:jc w:val="right"/>
        <w:rPr>
          <w:rFonts w:ascii="Times New Roman" w:hAnsi="Times New Roman" w:cs="Times New Roman"/>
          <w:b/>
          <w:i/>
          <w:sz w:val="24"/>
          <w:szCs w:val="24"/>
          <w:lang w:val="ro-MD"/>
        </w:rPr>
      </w:pPr>
      <w:r w:rsidRPr="00DD5F1D">
        <w:rPr>
          <w:rFonts w:ascii="Times New Roman" w:hAnsi="Times New Roman" w:cs="Times New Roman"/>
          <w:b/>
          <w:i/>
          <w:sz w:val="24"/>
          <w:szCs w:val="24"/>
          <w:lang w:val="ro-MD"/>
        </w:rPr>
        <w:t>(mi</w:t>
      </w:r>
      <w:r w:rsidR="00DE60E5" w:rsidRPr="00DD5F1D">
        <w:rPr>
          <w:rFonts w:ascii="Times New Roman" w:hAnsi="Times New Roman" w:cs="Times New Roman"/>
          <w:b/>
          <w:i/>
          <w:sz w:val="24"/>
          <w:szCs w:val="24"/>
          <w:lang w:val="ro-MD"/>
        </w:rPr>
        <w:t>l.</w:t>
      </w:r>
      <w:r w:rsidRPr="00DD5F1D">
        <w:rPr>
          <w:rFonts w:ascii="Times New Roman" w:hAnsi="Times New Roman" w:cs="Times New Roman"/>
          <w:b/>
          <w:i/>
          <w:sz w:val="24"/>
          <w:szCs w:val="24"/>
          <w:lang w:val="ro-MD"/>
        </w:rPr>
        <w:t xml:space="preserve"> 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686"/>
        <w:gridCol w:w="782"/>
        <w:gridCol w:w="1778"/>
        <w:gridCol w:w="1129"/>
        <w:gridCol w:w="1409"/>
        <w:gridCol w:w="1129"/>
      </w:tblGrid>
      <w:tr w:rsidR="003B16EE" w:rsidRPr="00DD5F1D" w14:paraId="0A960601" w14:textId="77777777" w:rsidTr="00F61234">
        <w:trPr>
          <w:trHeight w:val="324"/>
        </w:trPr>
        <w:tc>
          <w:tcPr>
            <w:tcW w:w="5000" w:type="pct"/>
            <w:gridSpan w:val="7"/>
            <w:shd w:val="clear" w:color="auto" w:fill="auto"/>
            <w:vAlign w:val="center"/>
            <w:hideMark/>
          </w:tcPr>
          <w:p w14:paraId="50D15AD2" w14:textId="77777777" w:rsidR="003B16EE" w:rsidRPr="00DD5F1D" w:rsidRDefault="003B16EE"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Restanța la 31.12.2023</w:t>
            </w:r>
          </w:p>
        </w:tc>
      </w:tr>
      <w:tr w:rsidR="003B16EE" w:rsidRPr="00DD5F1D" w14:paraId="03FBED51" w14:textId="77777777" w:rsidTr="00F61234">
        <w:trPr>
          <w:trHeight w:val="324"/>
        </w:trPr>
        <w:tc>
          <w:tcPr>
            <w:tcW w:w="1053" w:type="pct"/>
            <w:vMerge w:val="restart"/>
            <w:shd w:val="clear" w:color="auto" w:fill="auto"/>
            <w:vAlign w:val="center"/>
            <w:hideMark/>
          </w:tcPr>
          <w:p w14:paraId="3871146E" w14:textId="77777777" w:rsidR="003B16EE" w:rsidRPr="00DD5F1D" w:rsidRDefault="003B16EE"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Total</w:t>
            </w:r>
          </w:p>
        </w:tc>
        <w:tc>
          <w:tcPr>
            <w:tcW w:w="3947" w:type="pct"/>
            <w:gridSpan w:val="6"/>
            <w:shd w:val="clear" w:color="auto" w:fill="auto"/>
            <w:vAlign w:val="center"/>
            <w:hideMark/>
          </w:tcPr>
          <w:p w14:paraId="65297F0C" w14:textId="77777777" w:rsidR="003B16EE" w:rsidRPr="00DD5F1D" w:rsidRDefault="003B16EE"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inclusiv</w:t>
            </w:r>
          </w:p>
        </w:tc>
      </w:tr>
      <w:tr w:rsidR="003B16EE" w:rsidRPr="00DD5F1D" w14:paraId="283142F6" w14:textId="77777777" w:rsidTr="00F61234">
        <w:trPr>
          <w:trHeight w:val="636"/>
        </w:trPr>
        <w:tc>
          <w:tcPr>
            <w:tcW w:w="1053" w:type="pct"/>
            <w:vMerge/>
            <w:vAlign w:val="center"/>
            <w:hideMark/>
          </w:tcPr>
          <w:p w14:paraId="72CBFCDD" w14:textId="77777777" w:rsidR="003B16EE" w:rsidRPr="00DD5F1D" w:rsidRDefault="003B16EE" w:rsidP="00F61234">
            <w:pPr>
              <w:spacing w:after="0" w:line="240" w:lineRule="auto"/>
              <w:rPr>
                <w:rFonts w:ascii="Times New Roman" w:eastAsia="Times New Roman" w:hAnsi="Times New Roman" w:cs="Times New Roman"/>
                <w:b/>
                <w:bCs/>
                <w:sz w:val="20"/>
                <w:szCs w:val="24"/>
                <w:lang w:val="ro-MD"/>
              </w:rPr>
            </w:pPr>
          </w:p>
        </w:tc>
        <w:tc>
          <w:tcPr>
            <w:tcW w:w="841" w:type="pct"/>
            <w:shd w:val="clear" w:color="auto" w:fill="auto"/>
            <w:vAlign w:val="center"/>
            <w:hideMark/>
          </w:tcPr>
          <w:p w14:paraId="16B08C38" w14:textId="77777777" w:rsidR="003B16EE" w:rsidRPr="00DD5F1D" w:rsidRDefault="003B16EE"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plăți de bază</w:t>
            </w:r>
          </w:p>
        </w:tc>
        <w:tc>
          <w:tcPr>
            <w:tcW w:w="390" w:type="pct"/>
            <w:shd w:val="clear" w:color="auto" w:fill="auto"/>
            <w:vAlign w:val="center"/>
            <w:hideMark/>
          </w:tcPr>
          <w:p w14:paraId="0E000368" w14:textId="77777777" w:rsidR="003B16EE" w:rsidRPr="00DD5F1D" w:rsidRDefault="003B16EE"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w:t>
            </w:r>
          </w:p>
        </w:tc>
        <w:tc>
          <w:tcPr>
            <w:tcW w:w="887" w:type="pct"/>
            <w:shd w:val="clear" w:color="auto" w:fill="auto"/>
            <w:vAlign w:val="center"/>
            <w:hideMark/>
          </w:tcPr>
          <w:p w14:paraId="318F7610" w14:textId="77777777" w:rsidR="003B16EE" w:rsidRPr="00DD5F1D" w:rsidRDefault="003B16EE"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majorare de întârziere</w:t>
            </w:r>
          </w:p>
        </w:tc>
        <w:tc>
          <w:tcPr>
            <w:tcW w:w="563" w:type="pct"/>
            <w:shd w:val="clear" w:color="auto" w:fill="auto"/>
            <w:vAlign w:val="center"/>
            <w:hideMark/>
          </w:tcPr>
          <w:p w14:paraId="67B11003" w14:textId="77777777" w:rsidR="003B16EE" w:rsidRPr="00DD5F1D" w:rsidRDefault="003B16EE"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w:t>
            </w:r>
          </w:p>
        </w:tc>
        <w:tc>
          <w:tcPr>
            <w:tcW w:w="703" w:type="pct"/>
            <w:shd w:val="clear" w:color="auto" w:fill="auto"/>
            <w:vAlign w:val="center"/>
            <w:hideMark/>
          </w:tcPr>
          <w:p w14:paraId="0EC038E1" w14:textId="77777777" w:rsidR="003B16EE" w:rsidRPr="00DD5F1D" w:rsidRDefault="003B16EE"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amenzi</w:t>
            </w:r>
          </w:p>
        </w:tc>
        <w:tc>
          <w:tcPr>
            <w:tcW w:w="563" w:type="pct"/>
            <w:shd w:val="clear" w:color="auto" w:fill="auto"/>
            <w:vAlign w:val="center"/>
            <w:hideMark/>
          </w:tcPr>
          <w:p w14:paraId="7F52D7E4" w14:textId="77777777" w:rsidR="003B16EE" w:rsidRPr="00DD5F1D" w:rsidRDefault="003B16EE" w:rsidP="00F61234">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w:t>
            </w:r>
          </w:p>
        </w:tc>
      </w:tr>
      <w:tr w:rsidR="003B16EE" w:rsidRPr="00DD5F1D" w14:paraId="48251B97" w14:textId="77777777" w:rsidTr="00F61234">
        <w:trPr>
          <w:trHeight w:val="324"/>
        </w:trPr>
        <w:tc>
          <w:tcPr>
            <w:tcW w:w="1053" w:type="pct"/>
            <w:shd w:val="clear" w:color="auto" w:fill="auto"/>
            <w:vAlign w:val="center"/>
            <w:hideMark/>
          </w:tcPr>
          <w:p w14:paraId="04E29809" w14:textId="04AF538A" w:rsidR="003B16EE" w:rsidRPr="00DD5F1D" w:rsidRDefault="00DE60E5" w:rsidP="00DE60E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451,</w:t>
            </w:r>
            <w:r w:rsidR="003B16EE" w:rsidRPr="00DD5F1D">
              <w:rPr>
                <w:rFonts w:ascii="Times New Roman" w:eastAsia="Times New Roman" w:hAnsi="Times New Roman" w:cs="Times New Roman"/>
                <w:sz w:val="20"/>
                <w:szCs w:val="24"/>
                <w:lang w:val="ro-MD"/>
              </w:rPr>
              <w:t>0</w:t>
            </w:r>
          </w:p>
        </w:tc>
        <w:tc>
          <w:tcPr>
            <w:tcW w:w="841" w:type="pct"/>
            <w:shd w:val="clear" w:color="auto" w:fill="auto"/>
            <w:vAlign w:val="center"/>
            <w:hideMark/>
          </w:tcPr>
          <w:p w14:paraId="03EF3B62" w14:textId="3644DF5C" w:rsidR="003B16EE" w:rsidRPr="00DD5F1D" w:rsidRDefault="003B16EE" w:rsidP="00DE60E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299</w:t>
            </w:r>
            <w:r w:rsidR="00DE60E5" w:rsidRPr="00DD5F1D">
              <w:rPr>
                <w:rFonts w:ascii="Times New Roman" w:eastAsia="Times New Roman" w:hAnsi="Times New Roman" w:cs="Times New Roman"/>
                <w:sz w:val="20"/>
                <w:szCs w:val="24"/>
                <w:lang w:val="ro-MD"/>
              </w:rPr>
              <w:t>,8</w:t>
            </w:r>
          </w:p>
        </w:tc>
        <w:tc>
          <w:tcPr>
            <w:tcW w:w="390" w:type="pct"/>
            <w:shd w:val="clear" w:color="auto" w:fill="auto"/>
            <w:vAlign w:val="center"/>
            <w:hideMark/>
          </w:tcPr>
          <w:p w14:paraId="0BC5D53A" w14:textId="77777777" w:rsidR="003B16EE" w:rsidRPr="00DD5F1D" w:rsidRDefault="003B16EE" w:rsidP="00F61234">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66,5%</w:t>
            </w:r>
          </w:p>
        </w:tc>
        <w:tc>
          <w:tcPr>
            <w:tcW w:w="887" w:type="pct"/>
            <w:shd w:val="clear" w:color="auto" w:fill="auto"/>
            <w:vAlign w:val="center"/>
            <w:hideMark/>
          </w:tcPr>
          <w:p w14:paraId="3F91D582" w14:textId="2584EEBB" w:rsidR="003B16EE" w:rsidRPr="00DD5F1D" w:rsidRDefault="00DE60E5" w:rsidP="00DE60E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147,</w:t>
            </w:r>
            <w:r w:rsidR="003B16EE" w:rsidRPr="00DD5F1D">
              <w:rPr>
                <w:rFonts w:ascii="Times New Roman" w:eastAsia="Times New Roman" w:hAnsi="Times New Roman" w:cs="Times New Roman"/>
                <w:sz w:val="20"/>
                <w:szCs w:val="24"/>
                <w:lang w:val="ro-MD"/>
              </w:rPr>
              <w:t>7</w:t>
            </w:r>
          </w:p>
        </w:tc>
        <w:tc>
          <w:tcPr>
            <w:tcW w:w="563" w:type="pct"/>
            <w:shd w:val="clear" w:color="auto" w:fill="auto"/>
            <w:vAlign w:val="center"/>
            <w:hideMark/>
          </w:tcPr>
          <w:p w14:paraId="58B8A1FC" w14:textId="77777777" w:rsidR="003B16EE" w:rsidRPr="00DD5F1D" w:rsidRDefault="003B16EE" w:rsidP="00F61234">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32,8%</w:t>
            </w:r>
          </w:p>
        </w:tc>
        <w:tc>
          <w:tcPr>
            <w:tcW w:w="703" w:type="pct"/>
            <w:shd w:val="clear" w:color="auto" w:fill="auto"/>
            <w:vAlign w:val="center"/>
            <w:hideMark/>
          </w:tcPr>
          <w:p w14:paraId="3E2B1E82" w14:textId="053B23DA" w:rsidR="003B16EE" w:rsidRPr="00DD5F1D" w:rsidRDefault="00DE60E5" w:rsidP="00DE60E5">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3,5</w:t>
            </w:r>
          </w:p>
        </w:tc>
        <w:tc>
          <w:tcPr>
            <w:tcW w:w="563" w:type="pct"/>
            <w:shd w:val="clear" w:color="auto" w:fill="auto"/>
            <w:vAlign w:val="center"/>
            <w:hideMark/>
          </w:tcPr>
          <w:p w14:paraId="173E3287" w14:textId="77777777" w:rsidR="003B16EE" w:rsidRPr="00DD5F1D" w:rsidRDefault="003B16EE" w:rsidP="00F61234">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0,7%</w:t>
            </w:r>
          </w:p>
        </w:tc>
      </w:tr>
    </w:tbl>
    <w:p w14:paraId="52A052AF" w14:textId="09756943" w:rsidR="003B16EE" w:rsidRPr="000C1DE0" w:rsidRDefault="003B16EE" w:rsidP="003B16EE">
      <w:pPr>
        <w:spacing w:line="276" w:lineRule="auto"/>
        <w:jc w:val="both"/>
        <w:rPr>
          <w:rFonts w:ascii="Times New Roman" w:hAnsi="Times New Roman" w:cs="Times New Roman"/>
          <w:sz w:val="20"/>
          <w:szCs w:val="24"/>
          <w:lang w:val="ro-MD"/>
        </w:rPr>
      </w:pPr>
      <w:r w:rsidRPr="00DD5F1D">
        <w:rPr>
          <w:rFonts w:ascii="Times New Roman" w:hAnsi="Times New Roman" w:cs="Times New Roman"/>
          <w:b/>
          <w:i/>
          <w:sz w:val="20"/>
          <w:szCs w:val="24"/>
          <w:lang w:val="ro-MD"/>
        </w:rPr>
        <w:t>Sursa</w:t>
      </w:r>
      <w:r w:rsidRPr="00DD5F1D">
        <w:rPr>
          <w:rFonts w:ascii="Times New Roman" w:hAnsi="Times New Roman" w:cs="Times New Roman"/>
          <w:i/>
          <w:sz w:val="20"/>
          <w:szCs w:val="24"/>
          <w:lang w:val="ro-MD"/>
        </w:rPr>
        <w:t xml:space="preserve">: Întocmit </w:t>
      </w:r>
      <w:r w:rsidRPr="000C1DE0">
        <w:rPr>
          <w:rFonts w:ascii="Times New Roman" w:hAnsi="Times New Roman" w:cs="Times New Roman"/>
          <w:sz w:val="20"/>
          <w:szCs w:val="24"/>
          <w:lang w:val="ro-MD"/>
        </w:rPr>
        <w:t>de audit în baza informații</w:t>
      </w:r>
      <w:r w:rsidR="00B97B89" w:rsidRPr="000C1DE0">
        <w:rPr>
          <w:rFonts w:ascii="Times New Roman" w:hAnsi="Times New Roman" w:cs="Times New Roman"/>
          <w:sz w:val="20"/>
          <w:szCs w:val="24"/>
          <w:lang w:val="ro-MD"/>
        </w:rPr>
        <w:t>lor</w:t>
      </w:r>
      <w:r w:rsidRPr="000C1DE0">
        <w:rPr>
          <w:rFonts w:ascii="Times New Roman" w:hAnsi="Times New Roman" w:cs="Times New Roman"/>
          <w:sz w:val="20"/>
          <w:szCs w:val="24"/>
          <w:lang w:val="ro-MD"/>
        </w:rPr>
        <w:t xml:space="preserve"> prezentate de SFS</w:t>
      </w:r>
      <w:r w:rsidR="00B97B89" w:rsidRPr="000C1DE0">
        <w:rPr>
          <w:rFonts w:ascii="Times New Roman" w:hAnsi="Times New Roman" w:cs="Times New Roman"/>
          <w:sz w:val="20"/>
          <w:szCs w:val="24"/>
          <w:lang w:val="ro-MD"/>
        </w:rPr>
        <w:t>.</w:t>
      </w:r>
    </w:p>
    <w:p w14:paraId="32E67683" w14:textId="7C548997" w:rsidR="003B16EE" w:rsidRPr="000C1DE0" w:rsidRDefault="003B16EE" w:rsidP="003B16EE">
      <w:pPr>
        <w:spacing w:after="0" w:line="276" w:lineRule="auto"/>
        <w:jc w:val="both"/>
        <w:rPr>
          <w:rFonts w:ascii="Times New Roman" w:hAnsi="Times New Roman" w:cs="Times New Roman"/>
          <w:sz w:val="24"/>
          <w:szCs w:val="24"/>
          <w:lang w:val="ro-MD"/>
        </w:rPr>
      </w:pPr>
      <w:r w:rsidRPr="000C1DE0">
        <w:rPr>
          <w:rFonts w:ascii="Times New Roman" w:hAnsi="Times New Roman" w:cs="Times New Roman"/>
          <w:sz w:val="24"/>
          <w:szCs w:val="24"/>
          <w:lang w:val="ro-MD"/>
        </w:rPr>
        <w:t>Analiza efectuată de audit, aferentă contribuabililor care înregistrează restanțe la 31.12.2023, denotă că 2 plătitori de contribuții la BASS aveau înregistrate restanțe în sume semnificative, de peste 10,0 mil.lei. În acest context, se mențione</w:t>
      </w:r>
      <w:r w:rsidR="00107B11" w:rsidRPr="000C1DE0">
        <w:rPr>
          <w:rFonts w:ascii="Times New Roman" w:hAnsi="Times New Roman" w:cs="Times New Roman"/>
          <w:sz w:val="24"/>
          <w:szCs w:val="24"/>
          <w:lang w:val="ro-MD"/>
        </w:rPr>
        <w:t>ază că datoriile acestora de 12,6 mil.</w:t>
      </w:r>
      <w:r w:rsidRPr="000C1DE0">
        <w:rPr>
          <w:rFonts w:ascii="Times New Roman" w:hAnsi="Times New Roman" w:cs="Times New Roman"/>
          <w:sz w:val="24"/>
          <w:szCs w:val="24"/>
          <w:lang w:val="ro-MD"/>
        </w:rPr>
        <w:t xml:space="preserve"> lei și, respectiv</w:t>
      </w:r>
      <w:r w:rsidR="008B1E05" w:rsidRPr="000C1DE0">
        <w:rPr>
          <w:rFonts w:ascii="Times New Roman" w:hAnsi="Times New Roman" w:cs="Times New Roman"/>
          <w:sz w:val="24"/>
          <w:szCs w:val="24"/>
          <w:lang w:val="ro-MD"/>
        </w:rPr>
        <w:t>,</w:t>
      </w:r>
      <w:r w:rsidR="00107B11" w:rsidRPr="000C1DE0">
        <w:rPr>
          <w:rFonts w:ascii="Times New Roman" w:hAnsi="Times New Roman" w:cs="Times New Roman"/>
          <w:sz w:val="24"/>
          <w:szCs w:val="24"/>
          <w:lang w:val="ro-MD"/>
        </w:rPr>
        <w:t xml:space="preserve"> de 12,</w:t>
      </w:r>
      <w:r w:rsidRPr="000C1DE0">
        <w:rPr>
          <w:rFonts w:ascii="Times New Roman" w:hAnsi="Times New Roman" w:cs="Times New Roman"/>
          <w:sz w:val="24"/>
          <w:szCs w:val="24"/>
          <w:lang w:val="ro-MD"/>
        </w:rPr>
        <w:t>5</w:t>
      </w:r>
      <w:r w:rsidR="00107B11" w:rsidRPr="000C1DE0">
        <w:rPr>
          <w:rFonts w:ascii="Times New Roman" w:hAnsi="Times New Roman" w:cs="Times New Roman"/>
          <w:sz w:val="24"/>
          <w:szCs w:val="24"/>
          <w:lang w:val="ro-MD"/>
        </w:rPr>
        <w:t xml:space="preserve"> mil</w:t>
      </w:r>
      <w:r w:rsidRPr="000C1DE0">
        <w:rPr>
          <w:rFonts w:ascii="Times New Roman" w:hAnsi="Times New Roman" w:cs="Times New Roman"/>
          <w:sz w:val="24"/>
          <w:szCs w:val="24"/>
          <w:lang w:val="ro-MD"/>
        </w:rPr>
        <w:t xml:space="preserve"> lei au fost în continuă creștere, dat fiind faptul că plățile transferate în BASS în anul 2023 au fost mai mici în comparație cu plățile </w:t>
      </w:r>
      <w:r w:rsidR="00A77936" w:rsidRPr="000C1DE0">
        <w:rPr>
          <w:rFonts w:ascii="Times New Roman" w:hAnsi="Times New Roman" w:cs="Times New Roman"/>
          <w:sz w:val="24"/>
          <w:szCs w:val="24"/>
          <w:lang w:val="ro-MD"/>
        </w:rPr>
        <w:t>calculate</w:t>
      </w:r>
      <w:r w:rsidRPr="000C1DE0">
        <w:rPr>
          <w:rFonts w:ascii="Times New Roman" w:hAnsi="Times New Roman" w:cs="Times New Roman"/>
          <w:sz w:val="24"/>
          <w:szCs w:val="24"/>
          <w:lang w:val="ro-MD"/>
        </w:rPr>
        <w:t>.</w:t>
      </w:r>
    </w:p>
    <w:p w14:paraId="4E5D547C" w14:textId="5FDD5026" w:rsidR="003B16EE" w:rsidRPr="00DD5F1D" w:rsidRDefault="003B16EE" w:rsidP="005B7F0E">
      <w:pPr>
        <w:spacing w:before="120" w:line="276" w:lineRule="auto"/>
        <w:jc w:val="both"/>
        <w:rPr>
          <w:rFonts w:ascii="Times New Roman" w:hAnsi="Times New Roman" w:cs="Times New Roman"/>
          <w:b/>
          <w:sz w:val="24"/>
          <w:lang w:val="ro-MD"/>
        </w:rPr>
      </w:pPr>
      <w:r w:rsidRPr="00DD5F1D">
        <w:rPr>
          <w:rFonts w:ascii="Times New Roman" w:hAnsi="Times New Roman" w:cs="Times New Roman"/>
          <w:sz w:val="24"/>
          <w:szCs w:val="24"/>
          <w:lang w:val="ro-MD"/>
        </w:rPr>
        <w:t>Calculele efectuate de audit pentru 5 contribuabili ce înregistrează cele mai mari restanțe la BASS sunt prezentate în Anexa nr.</w:t>
      </w:r>
      <w:r w:rsidR="00AD7EF6" w:rsidRPr="00DD5F1D">
        <w:rPr>
          <w:rFonts w:ascii="Times New Roman" w:hAnsi="Times New Roman" w:cs="Times New Roman"/>
          <w:sz w:val="24"/>
          <w:szCs w:val="24"/>
          <w:lang w:val="ro-MD"/>
        </w:rPr>
        <w:t xml:space="preserve"> </w:t>
      </w:r>
      <w:r w:rsidR="000E2AC7" w:rsidRPr="00DD5F1D">
        <w:rPr>
          <w:rFonts w:ascii="Times New Roman" w:hAnsi="Times New Roman" w:cs="Times New Roman"/>
          <w:sz w:val="24"/>
          <w:szCs w:val="24"/>
          <w:lang w:val="ro-MD"/>
        </w:rPr>
        <w:t>13</w:t>
      </w:r>
      <w:r w:rsidR="008B1E05" w:rsidRPr="00DD5F1D">
        <w:rPr>
          <w:rFonts w:ascii="Times New Roman" w:hAnsi="Times New Roman" w:cs="Times New Roman"/>
          <w:sz w:val="24"/>
          <w:szCs w:val="24"/>
          <w:lang w:val="ro-MD"/>
        </w:rPr>
        <w:t xml:space="preserve"> la prezentul Raport de audit</w:t>
      </w:r>
      <w:r w:rsidR="00AD7EF6" w:rsidRPr="00B7777D">
        <w:rPr>
          <w:rFonts w:ascii="Times New Roman" w:hAnsi="Times New Roman" w:cs="Times New Roman"/>
          <w:sz w:val="24"/>
          <w:szCs w:val="24"/>
          <w:lang w:val="ro-MD"/>
        </w:rPr>
        <w:t>,</w:t>
      </w:r>
      <w:r w:rsidRPr="00B7777D">
        <w:rPr>
          <w:rFonts w:ascii="Times New Roman" w:hAnsi="Times New Roman" w:cs="Times New Roman"/>
          <w:sz w:val="24"/>
          <w:szCs w:val="24"/>
          <w:lang w:val="ro-MD"/>
        </w:rPr>
        <w:t xml:space="preserve"> </w:t>
      </w:r>
      <w:r w:rsidRPr="002B4AC1">
        <w:rPr>
          <w:rFonts w:ascii="Times New Roman" w:hAnsi="Times New Roman" w:cs="Times New Roman"/>
          <w:sz w:val="24"/>
          <w:lang w:val="ro-MD"/>
        </w:rPr>
        <w:t>neachitarea contribuțiilor în termen influenț</w:t>
      </w:r>
      <w:r w:rsidR="008B1E05" w:rsidRPr="002B4AC1">
        <w:rPr>
          <w:rFonts w:ascii="Times New Roman" w:hAnsi="Times New Roman" w:cs="Times New Roman"/>
          <w:sz w:val="24"/>
          <w:lang w:val="ro-MD"/>
        </w:rPr>
        <w:t>ând</w:t>
      </w:r>
      <w:r w:rsidRPr="002B4AC1">
        <w:rPr>
          <w:rFonts w:ascii="Times New Roman" w:hAnsi="Times New Roman" w:cs="Times New Roman"/>
          <w:sz w:val="24"/>
          <w:lang w:val="ro-MD"/>
        </w:rPr>
        <w:t xml:space="preserve"> negativ asupra stabilirii prestațiilor</w:t>
      </w:r>
      <w:r w:rsidR="004D2869" w:rsidRPr="00B7777D">
        <w:rPr>
          <w:rFonts w:ascii="Times New Roman" w:hAnsi="Times New Roman" w:cs="Times New Roman"/>
          <w:sz w:val="24"/>
          <w:lang w:val="ro-MD"/>
        </w:rPr>
        <w:t xml:space="preserve"> pentru salariații acestora</w:t>
      </w:r>
      <w:r w:rsidRPr="009A6E4D">
        <w:rPr>
          <w:rFonts w:ascii="Times New Roman" w:hAnsi="Times New Roman" w:cs="Times New Roman"/>
          <w:sz w:val="24"/>
          <w:lang w:val="ro-MD"/>
        </w:rPr>
        <w:t>.</w:t>
      </w:r>
    </w:p>
    <w:p w14:paraId="75C6CFB3" w14:textId="77777777" w:rsidR="00810C23" w:rsidRPr="00DD5F1D" w:rsidRDefault="00810C23" w:rsidP="00810C23">
      <w:pPr>
        <w:numPr>
          <w:ilvl w:val="1"/>
          <w:numId w:val="2"/>
        </w:numPr>
        <w:shd w:val="clear" w:color="auto" w:fill="FFFFFF"/>
        <w:spacing w:before="240" w:after="120" w:line="276" w:lineRule="auto"/>
        <w:ind w:left="0" w:firstLine="0"/>
        <w:jc w:val="both"/>
        <w:outlineLvl w:val="1"/>
        <w:rPr>
          <w:rFonts w:ascii="Times New Roman" w:eastAsia="Calibri" w:hAnsi="Times New Roman" w:cs="Times New Roman"/>
          <w:b/>
          <w:sz w:val="24"/>
          <w:szCs w:val="24"/>
          <w:lang w:val="ro-MD"/>
        </w:rPr>
      </w:pPr>
      <w:r w:rsidRPr="00DD5F1D">
        <w:rPr>
          <w:rFonts w:ascii="Times New Roman" w:eastAsia="Calibri" w:hAnsi="Times New Roman" w:cs="Times New Roman"/>
          <w:b/>
          <w:sz w:val="24"/>
          <w:szCs w:val="24"/>
          <w:lang w:val="ro-MD"/>
        </w:rPr>
        <w:t>Declanșarea procedurii de insolvabilitate a agenților economici și formarea datoriilor la BASS afectează stabilirea prestațiilor sociale ale salariaților.</w:t>
      </w:r>
    </w:p>
    <w:p w14:paraId="671AFE36" w14:textId="4BE89E3D" w:rsidR="00810C23" w:rsidRPr="00DD5F1D" w:rsidRDefault="00810C23" w:rsidP="00810C23">
      <w:pPr>
        <w:widowControl w:val="0"/>
        <w:tabs>
          <w:tab w:val="left" w:pos="0"/>
          <w:tab w:val="left" w:pos="425"/>
        </w:tabs>
        <w:autoSpaceDE w:val="0"/>
        <w:autoSpaceDN w:val="0"/>
        <w:adjustRightInd w:val="0"/>
        <w:spacing w:after="120" w:line="276" w:lineRule="auto"/>
        <w:jc w:val="both"/>
        <w:rPr>
          <w:rFonts w:ascii="Times New Roman" w:eastAsiaTheme="minorEastAsia" w:hAnsi="Times New Roman" w:cs="Times New Roman"/>
          <w:sz w:val="24"/>
          <w:szCs w:val="24"/>
          <w:lang w:val="ro-MD"/>
        </w:rPr>
      </w:pPr>
      <w:r w:rsidRPr="00DD5F1D">
        <w:rPr>
          <w:rFonts w:ascii="Times New Roman" w:eastAsiaTheme="minorEastAsia" w:hAnsi="Times New Roman" w:cs="Times New Roman"/>
          <w:sz w:val="24"/>
          <w:szCs w:val="24"/>
          <w:lang w:val="ro-MD"/>
        </w:rPr>
        <w:t xml:space="preserve">Soldul creanțelor luate în evidență specială de către CNAS la situația din 31.12.2023, aferente agenților economici aflați în insolvență, constituia 483,7 mil. lei, fiind înregistrată o creștere cu 11,2 mil. lei, comparativ cu aceeași perioadă a anului 2022. La situația din 31.12.2023, în proces de insolvabilitate se aflau 1 778 de agenți economici. Totodată, pe parcursul anului, 210 agenți economici și-au declarat insolvabilitatea. Este de menționat că, în pofida </w:t>
      </w:r>
      <w:r w:rsidRPr="00B7777D">
        <w:rPr>
          <w:rFonts w:ascii="Times New Roman" w:eastAsiaTheme="minorEastAsia" w:hAnsi="Times New Roman" w:cs="Times New Roman"/>
          <w:sz w:val="24"/>
          <w:szCs w:val="24"/>
          <w:lang w:val="ro-MD"/>
        </w:rPr>
        <w:t xml:space="preserve">faptului că </w:t>
      </w:r>
      <w:r w:rsidRPr="002B4AC1">
        <w:rPr>
          <w:rFonts w:ascii="Times New Roman" w:eastAsiaTheme="minorEastAsia" w:hAnsi="Times New Roman" w:cs="Times New Roman"/>
          <w:sz w:val="24"/>
          <w:szCs w:val="24"/>
          <w:lang w:val="ro-MD"/>
        </w:rPr>
        <w:t>numărul de companii în proces de insolvabilitate s-a diminuat,</w:t>
      </w:r>
      <w:r w:rsidRPr="00B7777D">
        <w:rPr>
          <w:rFonts w:ascii="Times New Roman" w:eastAsiaTheme="minorEastAsia" w:hAnsi="Times New Roman" w:cs="Times New Roman"/>
          <w:sz w:val="24"/>
          <w:szCs w:val="24"/>
          <w:lang w:val="ro-MD"/>
        </w:rPr>
        <w:t xml:space="preserve"> datoria față de BASS a crescut</w:t>
      </w:r>
      <w:r w:rsidRPr="00DD5F1D">
        <w:rPr>
          <w:rFonts w:ascii="Times New Roman" w:eastAsia="Times New Roman" w:hAnsi="Times New Roman" w:cs="Times New Roman"/>
          <w:sz w:val="24"/>
          <w:szCs w:val="24"/>
          <w:lang w:val="ro-MD"/>
        </w:rPr>
        <w:t xml:space="preserve">, comparativ cu suma înregistrată la începutul anului 2023, ceea ce sporește riscul de </w:t>
      </w:r>
      <w:r w:rsidR="000A625F" w:rsidRPr="00DD5F1D">
        <w:rPr>
          <w:rFonts w:ascii="Times New Roman" w:eastAsia="Times New Roman" w:hAnsi="Times New Roman" w:cs="Times New Roman"/>
          <w:sz w:val="24"/>
          <w:szCs w:val="24"/>
          <w:lang w:val="ro-MD"/>
        </w:rPr>
        <w:t xml:space="preserve">neîncasare </w:t>
      </w:r>
      <w:r w:rsidRPr="00DD5F1D">
        <w:rPr>
          <w:rFonts w:ascii="Times New Roman" w:eastAsia="Times New Roman" w:hAnsi="Times New Roman" w:cs="Times New Roman"/>
          <w:sz w:val="24"/>
          <w:szCs w:val="24"/>
          <w:lang w:val="ro-MD"/>
        </w:rPr>
        <w:t>a creanțelor BASS. Agenții economici aflați în proces de insolvabilitate fie merg spre lichidare, fie spre reorganizare. În consecință, creanțele compromise ale entităților insolvente nu pot servi drept sursă de acoperire a datoriilor curente, deoarece acestea nu vor fi încasate în cei mai prompți termeni.</w:t>
      </w:r>
    </w:p>
    <w:p w14:paraId="119744F2" w14:textId="77777777" w:rsidR="00810C23" w:rsidRPr="00DD5F1D" w:rsidRDefault="00810C23" w:rsidP="00810C23">
      <w:pPr>
        <w:widowControl w:val="0"/>
        <w:tabs>
          <w:tab w:val="left" w:pos="0"/>
          <w:tab w:val="left" w:pos="425"/>
        </w:tabs>
        <w:autoSpaceDE w:val="0"/>
        <w:autoSpaceDN w:val="0"/>
        <w:adjustRightInd w:val="0"/>
        <w:spacing w:after="120" w:line="276" w:lineRule="auto"/>
        <w:jc w:val="both"/>
        <w:rPr>
          <w:rFonts w:ascii="Times New Roman" w:eastAsiaTheme="minorEastAsia" w:hAnsi="Times New Roman" w:cs="Times New Roman"/>
          <w:sz w:val="24"/>
          <w:szCs w:val="24"/>
          <w:lang w:val="ro-MD"/>
        </w:rPr>
      </w:pPr>
      <w:r w:rsidRPr="00DD5F1D">
        <w:rPr>
          <w:rFonts w:ascii="Times New Roman" w:eastAsiaTheme="minorEastAsia" w:hAnsi="Times New Roman" w:cs="Times New Roman"/>
          <w:sz w:val="24"/>
          <w:szCs w:val="24"/>
          <w:lang w:val="ro-MD"/>
        </w:rPr>
        <w:t>Totodată, auditul menționează că în anul 2023 au fost anulate creanțe în valoare de 42,1 mil. lei aferente a 290 de agenți economici insolvenți, în baza hotărârilor judecătorești.</w:t>
      </w:r>
    </w:p>
    <w:p w14:paraId="733CBDE5" w14:textId="02D92B7B" w:rsidR="00810C23" w:rsidRPr="00DD5F1D" w:rsidRDefault="00810C23" w:rsidP="00810C23">
      <w:pPr>
        <w:widowControl w:val="0"/>
        <w:tabs>
          <w:tab w:val="left" w:pos="0"/>
          <w:tab w:val="left" w:pos="425"/>
        </w:tabs>
        <w:autoSpaceDE w:val="0"/>
        <w:autoSpaceDN w:val="0"/>
        <w:adjustRightInd w:val="0"/>
        <w:spacing w:after="120" w:line="276" w:lineRule="auto"/>
        <w:jc w:val="both"/>
        <w:rPr>
          <w:rFonts w:ascii="Times New Roman" w:eastAsiaTheme="minorEastAsia" w:hAnsi="Times New Roman" w:cs="Times New Roman"/>
          <w:sz w:val="24"/>
          <w:szCs w:val="24"/>
          <w:lang w:val="ro-MD"/>
        </w:rPr>
      </w:pPr>
      <w:r w:rsidRPr="00DD5F1D">
        <w:rPr>
          <w:rFonts w:ascii="Times New Roman" w:eastAsiaTheme="minorEastAsia" w:hAnsi="Times New Roman" w:cs="Times New Roman"/>
          <w:sz w:val="24"/>
          <w:szCs w:val="24"/>
          <w:lang w:val="ro-MD"/>
        </w:rPr>
        <w:t xml:space="preserve">Anularea datoriilor prin hotărâre de judecată se realizează/efectuează în cazul în care agentul economic insolvent nu dispune de masă debitoare sau nu poate fi atras la răspundere subsidiară, în acest context are loc lichidarea întreprinderii prin stingerea creanțelor, inclusiv la BASS, iar salariile angajaților nu sunt asigurate prin contribuții. Analiza de audit a extraselor individuale ale angajaților/salariaților indică că perioadele pentru care nu au fost achitate </w:t>
      </w:r>
      <w:r w:rsidRPr="00B7777D">
        <w:rPr>
          <w:rFonts w:ascii="Times New Roman" w:eastAsiaTheme="minorEastAsia" w:hAnsi="Times New Roman" w:cs="Times New Roman"/>
          <w:sz w:val="24"/>
          <w:szCs w:val="24"/>
          <w:lang w:val="ro-MD"/>
        </w:rPr>
        <w:t xml:space="preserve">contribuții </w:t>
      </w:r>
      <w:r w:rsidRPr="002B4AC1">
        <w:rPr>
          <w:rFonts w:ascii="Times New Roman" w:eastAsiaTheme="minorEastAsia" w:hAnsi="Times New Roman" w:cs="Times New Roman"/>
          <w:sz w:val="24"/>
          <w:szCs w:val="24"/>
          <w:lang w:val="ro-MD"/>
        </w:rPr>
        <w:t>nu se reflectă în contul beneficiarului</w:t>
      </w:r>
      <w:r w:rsidRPr="00B7777D">
        <w:rPr>
          <w:rFonts w:ascii="Times New Roman" w:eastAsiaTheme="minorEastAsia" w:hAnsi="Times New Roman" w:cs="Times New Roman"/>
          <w:sz w:val="24"/>
          <w:szCs w:val="24"/>
          <w:lang w:val="ro-MD"/>
        </w:rPr>
        <w:t>.</w:t>
      </w:r>
      <w:r w:rsidRPr="00DD5F1D">
        <w:rPr>
          <w:rFonts w:ascii="Times New Roman" w:eastAsiaTheme="minorEastAsia" w:hAnsi="Times New Roman" w:cs="Times New Roman"/>
          <w:sz w:val="24"/>
          <w:szCs w:val="24"/>
          <w:lang w:val="ro-MD"/>
        </w:rPr>
        <w:t xml:space="preserve"> Dat fiind faptul că, în sistemul public de asigurări sociale, prestațiile se stabilesc persoanelor asigurate în baza venitului asigurat și perioadei de activitate, care sunt condiții obligatorii, perioadele de aflare a agentului economic în insolvabilitate și de neachitare a contribuțiilor au impact asupra stabilirii prestațiilor. Astfel, se micșorează nu doar venitul asigurat, dar nu se recunoaște nici perioada de activitate completă, diminuând stagiul de cotizare. </w:t>
      </w:r>
    </w:p>
    <w:p w14:paraId="7C4DED0E" w14:textId="3EFED7B8" w:rsidR="00810C23" w:rsidRPr="00DD5F1D" w:rsidRDefault="00810C23" w:rsidP="00810C23">
      <w:pPr>
        <w:spacing w:after="100" w:afterAutospacing="1"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Ca urmare a analizei </w:t>
      </w:r>
      <w:r w:rsidR="000A625F" w:rsidRPr="00DD5F1D">
        <w:rPr>
          <w:rFonts w:ascii="Times New Roman" w:eastAsia="Calibri" w:hAnsi="Times New Roman" w:cs="Times New Roman"/>
          <w:sz w:val="24"/>
          <w:szCs w:val="24"/>
          <w:lang w:val="ro-MD"/>
        </w:rPr>
        <w:t xml:space="preserve">efectuate </w:t>
      </w:r>
      <w:r w:rsidRPr="00DD5F1D">
        <w:rPr>
          <w:rFonts w:ascii="Times New Roman" w:eastAsia="Calibri" w:hAnsi="Times New Roman" w:cs="Times New Roman"/>
          <w:sz w:val="24"/>
          <w:szCs w:val="24"/>
          <w:lang w:val="ro-MD"/>
        </w:rPr>
        <w:t xml:space="preserve">de audit </w:t>
      </w:r>
      <w:r w:rsidR="000A625F" w:rsidRPr="00DD5F1D">
        <w:rPr>
          <w:rFonts w:ascii="Times New Roman" w:eastAsia="Calibri" w:hAnsi="Times New Roman" w:cs="Times New Roman"/>
          <w:sz w:val="24"/>
          <w:szCs w:val="24"/>
          <w:lang w:val="ro-MD"/>
        </w:rPr>
        <w:t xml:space="preserve">aferente </w:t>
      </w:r>
      <w:r w:rsidRPr="00DD5F1D">
        <w:rPr>
          <w:rFonts w:ascii="Times New Roman" w:eastAsia="Calibri" w:hAnsi="Times New Roman" w:cs="Times New Roman"/>
          <w:sz w:val="24"/>
          <w:szCs w:val="24"/>
          <w:lang w:val="ro-MD"/>
        </w:rPr>
        <w:t xml:space="preserve">la 27 de agenți economici ce se află în proces de insolvabilitate, au fost identificate 102 persoane care urmau să beneficieze de 118 indemnizații de incapacitate temporară de muncă, </w:t>
      </w:r>
      <w:r w:rsidR="000A625F" w:rsidRPr="00DD5F1D">
        <w:rPr>
          <w:rFonts w:ascii="Times New Roman" w:eastAsia="Calibri" w:hAnsi="Times New Roman" w:cs="Times New Roman"/>
          <w:sz w:val="24"/>
          <w:szCs w:val="24"/>
          <w:lang w:val="ro-MD"/>
        </w:rPr>
        <w:t xml:space="preserve">acestea </w:t>
      </w:r>
      <w:r w:rsidRPr="00DD5F1D">
        <w:rPr>
          <w:rFonts w:ascii="Times New Roman" w:eastAsia="Calibri" w:hAnsi="Times New Roman" w:cs="Times New Roman"/>
          <w:sz w:val="24"/>
          <w:szCs w:val="24"/>
          <w:lang w:val="ro-MD"/>
        </w:rPr>
        <w:t>fiind afectate spre diminuare sau chiar refuz în valoare de 230,1 mii lei. De exemplu,</w:t>
      </w:r>
    </w:p>
    <w:p w14:paraId="548C1D75" w14:textId="5A24A109" w:rsidR="00810C23" w:rsidRPr="00DD5F1D" w:rsidRDefault="00810C23" w:rsidP="00810C23">
      <w:pPr>
        <w:numPr>
          <w:ilvl w:val="0"/>
          <w:numId w:val="11"/>
        </w:numPr>
        <w:shd w:val="clear" w:color="auto" w:fill="FFFFFF"/>
        <w:spacing w:after="0" w:line="276" w:lineRule="auto"/>
        <w:ind w:left="567" w:firstLine="0"/>
        <w:contextualSpacing/>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pentru 31 de persoane CNAS a emis Decizii de refuz a plății concediului medical, deoarece angajatorii fiind în proces de insolvență nu au achitat contribuții de asigurări sociale pentru angajați. Valoarea totală a sumei neachitate beneficiarilor de prestație, calculată de către audit, constituie 120,3 mii lei. Este de remarcat la acest aspect faptul că, printre acestea există beneficiari cărora nu li s-au achitat 4 certificate de incapacitate temporară de muncă, cu o valoare cumulativă de 4,2 mii lei; 3 certificate de incapacitate temporară de muncă în valoare de 16,2 mii lei și, respectiv, 2 certificate în valoare de 14,6 mii lei;</w:t>
      </w:r>
    </w:p>
    <w:p w14:paraId="1E52F696" w14:textId="6CD38117" w:rsidR="00810C23" w:rsidRPr="00DD5F1D" w:rsidRDefault="00810C23" w:rsidP="00810C23">
      <w:pPr>
        <w:numPr>
          <w:ilvl w:val="0"/>
          <w:numId w:val="11"/>
        </w:numPr>
        <w:shd w:val="clear" w:color="auto" w:fill="FFFFFF"/>
        <w:spacing w:after="0" w:line="276" w:lineRule="auto"/>
        <w:ind w:left="567" w:firstLine="0"/>
        <w:contextualSpacing/>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87 de indemnizații au fost stabilite într-un cuantum mai mic, deoarece agentul economic insolvent nu a achitat sau a achitat parțial contribuțiile de asigurări sociale pentru toată perioada inclusă în </w:t>
      </w:r>
      <w:r w:rsidRPr="00B7777D">
        <w:rPr>
          <w:rFonts w:ascii="Times New Roman" w:eastAsia="Calibri" w:hAnsi="Times New Roman" w:cs="Times New Roman"/>
          <w:sz w:val="24"/>
          <w:szCs w:val="24"/>
          <w:lang w:val="ro-MD"/>
        </w:rPr>
        <w:t xml:space="preserve">calcul, </w:t>
      </w:r>
      <w:r w:rsidRPr="002B4AC1">
        <w:rPr>
          <w:rFonts w:ascii="Times New Roman" w:eastAsia="Calibri" w:hAnsi="Times New Roman" w:cs="Times New Roman"/>
          <w:sz w:val="24"/>
          <w:szCs w:val="24"/>
          <w:lang w:val="ro-MD"/>
        </w:rPr>
        <w:t>valoarea acestora constituind cu 103,7 mii lei mai puțin decât se cuvenea.</w:t>
      </w:r>
      <w:r w:rsidRPr="00B7777D">
        <w:rPr>
          <w:rFonts w:ascii="Times New Roman" w:eastAsia="Calibri" w:hAnsi="Times New Roman" w:cs="Times New Roman"/>
          <w:sz w:val="24"/>
          <w:szCs w:val="24"/>
          <w:lang w:val="ro-MD"/>
        </w:rPr>
        <w:t xml:space="preserve"> Deși în unele cazuri au fost achitate contribuții cu întârziere de câteva luni, acestea însă nu au dus la majorarea prestației sociale, deoarece indemnizația pentru incapacitate temporară de muncă</w:t>
      </w:r>
      <w:r w:rsidRPr="00DD5F1D">
        <w:rPr>
          <w:rFonts w:ascii="Times New Roman" w:eastAsia="Calibri" w:hAnsi="Times New Roman" w:cs="Times New Roman"/>
          <w:sz w:val="24"/>
          <w:szCs w:val="24"/>
          <w:lang w:val="ro-MD"/>
        </w:rPr>
        <w:t>, deja stabilită, conform legislației</w:t>
      </w:r>
      <w:r w:rsidRPr="00DD5F1D">
        <w:rPr>
          <w:rFonts w:ascii="Times New Roman" w:hAnsi="Times New Roman" w:cs="Times New Roman"/>
          <w:sz w:val="24"/>
          <w:szCs w:val="24"/>
          <w:vertAlign w:val="superscript"/>
          <w:lang w:val="ro-MD"/>
        </w:rPr>
        <w:footnoteReference w:id="75"/>
      </w:r>
      <w:r w:rsidRPr="00DD5F1D">
        <w:rPr>
          <w:rFonts w:ascii="Times New Roman" w:eastAsia="Calibri" w:hAnsi="Times New Roman" w:cs="Times New Roman"/>
          <w:sz w:val="24"/>
          <w:szCs w:val="24"/>
          <w:lang w:val="ro-MD"/>
        </w:rPr>
        <w:t xml:space="preserve"> nu se recalculează.</w:t>
      </w:r>
    </w:p>
    <w:p w14:paraId="6FCA8D3D" w14:textId="26FA7DD2" w:rsidR="00810C23" w:rsidRPr="00DD5F1D" w:rsidRDefault="00810C23" w:rsidP="00810C23">
      <w:pPr>
        <w:shd w:val="clear" w:color="auto" w:fill="FFFFFF"/>
        <w:spacing w:before="240" w:after="24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Auditul denotă că și la stabilirea pensiilor pentru limită de vârstă au fost identificate 3 cazuri de calculare a prestației diminuate. Astfel, în cazul pensiilor nu este afectat doar venitul asigurat, ci și stagiul de cotizare. Prin urmare, din cauza neachitării de către angajator a contribuțiilor de asigurări sociale, beneficiarilor nu li s-au inclus în stagiu perioade de la 3 până la 6 ani. Auditul a constatat că, în cazul unei persoane, din momentul stabilirii și până la situația din 31.12.2023, </w:t>
      </w:r>
      <w:r w:rsidR="00226A56" w:rsidRPr="00DD5F1D">
        <w:rPr>
          <w:rFonts w:ascii="Times New Roman" w:eastAsia="Calibri" w:hAnsi="Times New Roman" w:cs="Times New Roman"/>
          <w:sz w:val="24"/>
          <w:szCs w:val="24"/>
          <w:lang w:val="ro-MD"/>
        </w:rPr>
        <w:t>nu i s-a stabilit și achitat suma</w:t>
      </w:r>
      <w:r w:rsidRPr="00DD5F1D">
        <w:rPr>
          <w:rFonts w:ascii="Times New Roman" w:eastAsia="Calibri" w:hAnsi="Times New Roman" w:cs="Times New Roman"/>
          <w:sz w:val="24"/>
          <w:szCs w:val="24"/>
          <w:lang w:val="ro-MD"/>
        </w:rPr>
        <w:t xml:space="preserve"> de 9,2 mii lei, întrucât în stagiul de cotizare nu au</w:t>
      </w:r>
      <w:r w:rsidR="005930BC" w:rsidRPr="00DD5F1D">
        <w:rPr>
          <w:rFonts w:ascii="Times New Roman" w:eastAsia="Calibri" w:hAnsi="Times New Roman" w:cs="Times New Roman"/>
          <w:sz w:val="24"/>
          <w:szCs w:val="24"/>
          <w:lang w:val="ro-MD"/>
        </w:rPr>
        <w:t xml:space="preserve"> fost incluși 3,</w:t>
      </w:r>
      <w:r w:rsidRPr="00DD5F1D">
        <w:rPr>
          <w:rFonts w:ascii="Times New Roman" w:eastAsia="Calibri" w:hAnsi="Times New Roman" w:cs="Times New Roman"/>
          <w:sz w:val="24"/>
          <w:szCs w:val="24"/>
          <w:lang w:val="ro-MD"/>
        </w:rPr>
        <w:t>1 ani, iar pentru ceilalți 2 beneficiari nu li s-au achitat 6,4 mii lei și, respectiv, 5,4 mii lei.</w:t>
      </w:r>
    </w:p>
    <w:p w14:paraId="48995891" w14:textId="0979D3AB" w:rsidR="00810C23" w:rsidRPr="00DD5F1D" w:rsidRDefault="000A625F" w:rsidP="00810C23">
      <w:pPr>
        <w:shd w:val="clear" w:color="auto" w:fill="FFFFFF"/>
        <w:spacing w:after="24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Deși</w:t>
      </w:r>
      <w:r w:rsidR="00810C23" w:rsidRPr="00DD5F1D">
        <w:rPr>
          <w:rFonts w:ascii="Times New Roman" w:eastAsia="Calibri" w:hAnsi="Times New Roman" w:cs="Times New Roman"/>
          <w:sz w:val="24"/>
          <w:szCs w:val="24"/>
          <w:lang w:val="ro-MD"/>
        </w:rPr>
        <w:t xml:space="preserve">, angajații companiilor în proces de insolvabilitate beneficiază în mod prioritar de achitarea salariilor, aceștia concomitent </w:t>
      </w:r>
      <w:r w:rsidRPr="00DD5F1D">
        <w:rPr>
          <w:rFonts w:ascii="Times New Roman" w:eastAsia="Calibri" w:hAnsi="Times New Roman" w:cs="Times New Roman"/>
          <w:sz w:val="24"/>
          <w:szCs w:val="24"/>
          <w:lang w:val="ro-MD"/>
        </w:rPr>
        <w:t xml:space="preserve">sunt </w:t>
      </w:r>
      <w:r w:rsidR="00810C23" w:rsidRPr="00DD5F1D">
        <w:rPr>
          <w:rFonts w:ascii="Times New Roman" w:eastAsia="Calibri" w:hAnsi="Times New Roman" w:cs="Times New Roman"/>
          <w:sz w:val="24"/>
          <w:szCs w:val="24"/>
          <w:lang w:val="ro-MD"/>
        </w:rPr>
        <w:t>și defavorizați, întrucât distribuirea masei debitoare realizate prin executare stabilește un rang inferior pentru creanțele contribuțiilor de asigurări sociale. Ținând cont de interconexiunea raporturilor juridice în care se află angajații cu angajatorii și cu statul, concluzionăm că nerespectarea obligațiilor privind achitarea contribuțiilor de asigurări sociale generează consecințe asupra beneficiarilor de prestații sociale. Totodată, auditul menționează că, deși Codul muncii prevede că „plata salariilor este efectuată de angajator în mod prioritar față de alte plăți, inclusiv în caz de insolvabilitate a unității”, cadrul legal nu prevede și achitarea concomitentă a contribuțiilor, condiție necesară pentru asigurarea riscurilor.</w:t>
      </w:r>
      <w:r w:rsidR="00810C23" w:rsidRPr="00DD5F1D">
        <w:rPr>
          <w:rFonts w:ascii="Times New Roman" w:eastAsia="Times New Roman" w:hAnsi="Times New Roman" w:cs="Times New Roman"/>
          <w:sz w:val="24"/>
          <w:szCs w:val="24"/>
          <w:shd w:val="clear" w:color="auto" w:fill="FFFFFF"/>
          <w:lang w:val="ro-MD"/>
        </w:rPr>
        <w:t xml:space="preserve"> </w:t>
      </w:r>
      <w:r w:rsidR="00810C23" w:rsidRPr="00DD5F1D">
        <w:rPr>
          <w:rFonts w:ascii="Times New Roman" w:eastAsia="Calibri" w:hAnsi="Times New Roman" w:cs="Times New Roman"/>
          <w:sz w:val="24"/>
          <w:szCs w:val="24"/>
          <w:lang w:val="ro-MD"/>
        </w:rPr>
        <w:t xml:space="preserve"> </w:t>
      </w:r>
    </w:p>
    <w:p w14:paraId="3DE792CF" w14:textId="379C9014" w:rsidR="00810C23" w:rsidRPr="00DD5F1D" w:rsidRDefault="00810C23" w:rsidP="00810C23">
      <w:pPr>
        <w:shd w:val="clear" w:color="auto" w:fill="FFFFFF"/>
        <w:spacing w:after="24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Mai </w:t>
      </w:r>
      <w:r w:rsidRPr="00DD5F1D">
        <w:rPr>
          <w:rFonts w:ascii="Times New Roman" w:eastAsia="Times New Roman" w:hAnsi="Times New Roman" w:cs="Times New Roman"/>
          <w:sz w:val="24"/>
          <w:szCs w:val="24"/>
          <w:shd w:val="clear" w:color="auto" w:fill="FFFFFF"/>
          <w:lang w:val="ro-MD"/>
        </w:rPr>
        <w:t xml:space="preserve">mult decât atât, Constituția Republicii Moldova indică că </w:t>
      </w:r>
      <w:r w:rsidRPr="00DD5F1D">
        <w:rPr>
          <w:rFonts w:ascii="Times New Roman" w:eastAsia="Times New Roman" w:hAnsi="Times New Roman" w:cs="Times New Roman"/>
          <w:i/>
          <w:sz w:val="24"/>
          <w:szCs w:val="24"/>
          <w:shd w:val="clear" w:color="auto" w:fill="FFFFFF"/>
          <w:lang w:val="ro-MD"/>
        </w:rPr>
        <w:t>„c</w:t>
      </w:r>
      <w:r w:rsidRPr="00DD5F1D">
        <w:rPr>
          <w:rFonts w:ascii="Times New Roman" w:eastAsia="Times New Roman" w:hAnsi="Times New Roman" w:cs="Times New Roman"/>
          <w:i/>
          <w:sz w:val="24"/>
          <w:szCs w:val="24"/>
          <w:lang w:val="ro-MD"/>
        </w:rPr>
        <w:t>etățenii au dreptul la asigurare în caz de: șomaj, boală, invaliditate, văduvie, bătrânețe sau în celelalte cazuri de pierdere a mijloacelor de subzistență, în urma unor împrejurări independente de voința lor</w:t>
      </w:r>
      <w:r w:rsidRPr="00B7777D">
        <w:rPr>
          <w:rFonts w:ascii="Times New Roman" w:eastAsia="Times New Roman" w:hAnsi="Times New Roman" w:cs="Times New Roman"/>
          <w:sz w:val="24"/>
          <w:szCs w:val="24"/>
          <w:lang w:val="ro-MD"/>
        </w:rPr>
        <w:t xml:space="preserve">.” În </w:t>
      </w:r>
      <w:r w:rsidR="00340386" w:rsidRPr="00B7777D">
        <w:rPr>
          <w:rFonts w:ascii="Times New Roman" w:eastAsia="Times New Roman" w:hAnsi="Times New Roman" w:cs="Times New Roman"/>
          <w:sz w:val="24"/>
          <w:szCs w:val="24"/>
          <w:lang w:val="ro-MD"/>
        </w:rPr>
        <w:t xml:space="preserve">cazul neachitării contribuțiilor de asigurare </w:t>
      </w:r>
      <w:r w:rsidRPr="009A6E4D">
        <w:rPr>
          <w:rFonts w:ascii="Times New Roman" w:eastAsia="Times New Roman" w:hAnsi="Times New Roman" w:cs="Times New Roman"/>
          <w:sz w:val="24"/>
          <w:szCs w:val="24"/>
          <w:lang w:val="ro-MD"/>
        </w:rPr>
        <w:t xml:space="preserve">aceste </w:t>
      </w:r>
      <w:r w:rsidR="00340386" w:rsidRPr="009A6E4D">
        <w:rPr>
          <w:rFonts w:ascii="Times New Roman" w:eastAsia="Times New Roman" w:hAnsi="Times New Roman" w:cs="Times New Roman"/>
          <w:sz w:val="24"/>
          <w:szCs w:val="24"/>
          <w:lang w:val="ro-MD"/>
        </w:rPr>
        <w:t>prevederi constitu</w:t>
      </w:r>
      <w:r w:rsidR="00340386" w:rsidRPr="00193E3C">
        <w:rPr>
          <w:rFonts w:ascii="Times New Roman" w:eastAsia="Times New Roman" w:hAnsi="Times New Roman" w:cs="Times New Roman"/>
          <w:sz w:val="24"/>
          <w:szCs w:val="24"/>
          <w:lang w:val="ro-MD"/>
        </w:rPr>
        <w:t>ț</w:t>
      </w:r>
      <w:r w:rsidR="00340386" w:rsidRPr="005152D5">
        <w:rPr>
          <w:rFonts w:ascii="Times New Roman" w:eastAsia="Times New Roman" w:hAnsi="Times New Roman" w:cs="Times New Roman"/>
          <w:sz w:val="24"/>
          <w:szCs w:val="24"/>
          <w:lang w:val="ro-MD"/>
        </w:rPr>
        <w:t xml:space="preserve">ionale nu pot fi asigurate, ceea ce necesită </w:t>
      </w:r>
      <w:r w:rsidRPr="00A93D77">
        <w:rPr>
          <w:rFonts w:ascii="Times New Roman" w:eastAsia="Times New Roman" w:hAnsi="Times New Roman" w:cs="Times New Roman"/>
          <w:sz w:val="24"/>
          <w:szCs w:val="24"/>
          <w:lang w:val="ro-MD"/>
        </w:rPr>
        <w:t>ajust</w:t>
      </w:r>
      <w:r w:rsidR="00340386" w:rsidRPr="00340386">
        <w:rPr>
          <w:rFonts w:ascii="Times New Roman" w:eastAsia="Times New Roman" w:hAnsi="Times New Roman" w:cs="Times New Roman"/>
          <w:sz w:val="24"/>
          <w:szCs w:val="24"/>
          <w:lang w:val="ro-MD"/>
        </w:rPr>
        <w:t xml:space="preserve">area </w:t>
      </w:r>
      <w:r w:rsidRPr="00340386">
        <w:rPr>
          <w:rFonts w:ascii="Times New Roman" w:eastAsia="Times New Roman" w:hAnsi="Times New Roman" w:cs="Times New Roman"/>
          <w:sz w:val="24"/>
          <w:szCs w:val="24"/>
          <w:lang w:val="ro-MD"/>
        </w:rPr>
        <w:t xml:space="preserve">cadrului legal, </w:t>
      </w:r>
      <w:r w:rsidRPr="002B4AC1">
        <w:rPr>
          <w:rFonts w:ascii="Times New Roman" w:eastAsia="Times New Roman" w:hAnsi="Times New Roman" w:cs="Times New Roman"/>
          <w:sz w:val="24"/>
          <w:szCs w:val="24"/>
          <w:lang w:val="ro-MD"/>
        </w:rPr>
        <w:t xml:space="preserve">în scopul creării procedurilor efective </w:t>
      </w:r>
      <w:r w:rsidR="00340386" w:rsidRPr="002B4AC1">
        <w:rPr>
          <w:rFonts w:ascii="Times New Roman" w:eastAsia="Times New Roman" w:hAnsi="Times New Roman" w:cs="Times New Roman"/>
          <w:sz w:val="24"/>
          <w:szCs w:val="24"/>
          <w:lang w:val="ro-MD"/>
        </w:rPr>
        <w:t>de încasare a acestor plăți</w:t>
      </w:r>
      <w:r w:rsidR="00CC136F">
        <w:rPr>
          <w:rFonts w:ascii="Times New Roman" w:eastAsia="Times New Roman" w:hAnsi="Times New Roman" w:cs="Times New Roman"/>
          <w:sz w:val="24"/>
          <w:szCs w:val="24"/>
          <w:lang w:val="ro-MD"/>
        </w:rPr>
        <w:t>, pentru respectarea drepturilor cetățenilor</w:t>
      </w:r>
      <w:r w:rsidRPr="00B7777D">
        <w:rPr>
          <w:rFonts w:ascii="Times New Roman" w:eastAsia="Times New Roman" w:hAnsi="Times New Roman" w:cs="Times New Roman"/>
          <w:sz w:val="24"/>
          <w:szCs w:val="24"/>
          <w:lang w:val="ro-MD"/>
        </w:rPr>
        <w:t>.</w:t>
      </w:r>
      <w:r w:rsidRPr="00DD5F1D">
        <w:rPr>
          <w:rFonts w:ascii="Times New Roman" w:eastAsia="Times New Roman" w:hAnsi="Times New Roman" w:cs="Times New Roman"/>
          <w:sz w:val="24"/>
          <w:szCs w:val="24"/>
          <w:lang w:val="ro-MD"/>
        </w:rPr>
        <w:t xml:space="preserve"> </w:t>
      </w:r>
    </w:p>
    <w:p w14:paraId="77F7EAC2" w14:textId="393FB647" w:rsidR="00810C23" w:rsidRPr="00DD5F1D" w:rsidRDefault="00810C23" w:rsidP="00810C23">
      <w:pPr>
        <w:shd w:val="clear" w:color="auto" w:fill="FFFFFF" w:themeFill="background1"/>
        <w:tabs>
          <w:tab w:val="left" w:pos="851"/>
        </w:tabs>
        <w:spacing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De asemenea, auditul a constatat devieri între numărul agenților economici ce se află în evidența specială a CNAS și SFS și valoarea creanțelor lor, acestea fiind cauzate de faptul că, în procedura de insolvabilitate, creditor al creanțelor față de BASS este CNAS, iar creditor față de bugetul de stat este SFS, respectiv fiecare instituție își înaintează separat creanța în instanța de insolvabilitate. Debitorul insolvabil (agentul economic) poate avea creanță față de ambele bugete ori </w:t>
      </w:r>
      <w:r w:rsidR="00257367" w:rsidRPr="00DD5F1D">
        <w:rPr>
          <w:rFonts w:ascii="Times New Roman" w:eastAsia="Calibri" w:hAnsi="Times New Roman" w:cs="Times New Roman"/>
          <w:sz w:val="24"/>
          <w:szCs w:val="24"/>
          <w:lang w:val="ro-MD"/>
        </w:rPr>
        <w:t>față de unul din bugete</w:t>
      </w:r>
      <w:r w:rsidRPr="00DD5F1D">
        <w:rPr>
          <w:rFonts w:ascii="Times New Roman" w:eastAsia="Calibri" w:hAnsi="Times New Roman" w:cs="Times New Roman"/>
          <w:sz w:val="24"/>
          <w:szCs w:val="24"/>
          <w:lang w:val="ro-MD"/>
        </w:rPr>
        <w:t xml:space="preserve">. Astfel, agentul economic insolvabil care are datorii doar față de BASS nu figurează în registrul SFS și invers. </w:t>
      </w:r>
      <w:r w:rsidRPr="00DD5F1D">
        <w:rPr>
          <w:rFonts w:ascii="Times New Roman" w:hAnsi="Times New Roman" w:cs="Times New Roman"/>
          <w:sz w:val="24"/>
          <w:szCs w:val="24"/>
          <w:lang w:val="ro-MD"/>
        </w:rPr>
        <w:t>Totodată, cadrul legal stabilește că sumele datorate sub orice formă Casei Naționale se vor urmări, ca și veniturile statului, prin Serviciul Fiscal de Stat și prin intermediul judecătoriilor</w:t>
      </w:r>
      <w:r w:rsidRPr="00DD5F1D">
        <w:rPr>
          <w:rFonts w:ascii="Times New Roman" w:hAnsi="Times New Roman" w:cs="Times New Roman"/>
          <w:sz w:val="24"/>
          <w:szCs w:val="24"/>
          <w:vertAlign w:val="superscript"/>
          <w:lang w:val="ro-MD"/>
        </w:rPr>
        <w:footnoteReference w:id="76"/>
      </w:r>
      <w:r w:rsidRPr="00DD5F1D">
        <w:rPr>
          <w:rFonts w:ascii="Times New Roman" w:hAnsi="Times New Roman" w:cs="Times New Roman"/>
          <w:sz w:val="24"/>
          <w:szCs w:val="24"/>
          <w:lang w:val="ro-MD"/>
        </w:rPr>
        <w:t>.</w:t>
      </w:r>
    </w:p>
    <w:p w14:paraId="7CF61354" w14:textId="6879ED91" w:rsidR="00810C23" w:rsidRPr="00DD5F1D" w:rsidRDefault="00CC136F" w:rsidP="00810C23">
      <w:pPr>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C</w:t>
      </w:r>
      <w:r w:rsidR="00810C23" w:rsidRPr="00DD5F1D">
        <w:rPr>
          <w:rFonts w:ascii="Times New Roman" w:hAnsi="Times New Roman" w:cs="Times New Roman"/>
          <w:sz w:val="24"/>
          <w:szCs w:val="24"/>
          <w:lang w:val="ro-MD"/>
        </w:rPr>
        <w:t>a urmare a analizei maselor debitoare ale agenților economici aferente unui eșantion de 24 de agenți economici insolvenți, se constată că, deși unii nu dispun de masă debitoare (Anexa nr. 14 la prezentul Raport), procedura de recuperare a creanțelor către BASS și BS continuă.</w:t>
      </w:r>
    </w:p>
    <w:p w14:paraId="07506B4A" w14:textId="20BFA612" w:rsidR="00810C23" w:rsidRPr="00DD5F1D" w:rsidRDefault="00810C23" w:rsidP="00810C23">
      <w:pPr>
        <w:shd w:val="clear" w:color="auto" w:fill="FFFFFF" w:themeFill="background1"/>
        <w:tabs>
          <w:tab w:val="left" w:pos="5529"/>
        </w:tabs>
        <w:spacing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Astfel, analiza celor 24 de agenți economici în proces de insolvabilitate prin prisma creanțelor acestora față de BS, FAOAM și BASS, masei debitoare pe care o dețin, precum și creanțelor ce au fost aprobate de către instanța de judecatăa constatat:</w:t>
      </w:r>
    </w:p>
    <w:p w14:paraId="3330AD68" w14:textId="44D846DC" w:rsidR="00810C23" w:rsidRPr="00DD5F1D" w:rsidRDefault="00810C23" w:rsidP="00810C23">
      <w:pPr>
        <w:numPr>
          <w:ilvl w:val="0"/>
          <w:numId w:val="20"/>
        </w:numPr>
        <w:shd w:val="clear" w:color="auto" w:fill="FFFFFF" w:themeFill="background1"/>
        <w:spacing w:line="276" w:lineRule="auto"/>
        <w:contextualSpacing/>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în cazul a 9 agenți economici, nu a fost stabilită</w:t>
      </w:r>
      <w:r w:rsidR="00257367" w:rsidRPr="00DD5F1D">
        <w:rPr>
          <w:rFonts w:ascii="Times New Roman" w:eastAsia="Calibri" w:hAnsi="Times New Roman" w:cs="Times New Roman"/>
          <w:sz w:val="24"/>
          <w:szCs w:val="24"/>
          <w:lang w:val="ro-MD"/>
        </w:rPr>
        <w:t>/aprobată</w:t>
      </w:r>
      <w:r w:rsidRPr="00DD5F1D">
        <w:rPr>
          <w:rFonts w:ascii="Times New Roman" w:eastAsia="Calibri" w:hAnsi="Times New Roman" w:cs="Times New Roman"/>
          <w:sz w:val="24"/>
          <w:szCs w:val="24"/>
          <w:lang w:val="ro-MD"/>
        </w:rPr>
        <w:t xml:space="preserve"> până la momentul actual masa debitoare, valoarea creanțelor acestora față de BPN fiind de 110,4 mil. lei;</w:t>
      </w:r>
    </w:p>
    <w:p w14:paraId="6D79391C" w14:textId="77777777" w:rsidR="00810C23" w:rsidRPr="00DD5F1D" w:rsidRDefault="00810C23" w:rsidP="00810C23">
      <w:pPr>
        <w:numPr>
          <w:ilvl w:val="0"/>
          <w:numId w:val="20"/>
        </w:numPr>
        <w:shd w:val="clear" w:color="auto" w:fill="FFFFFF" w:themeFill="background1"/>
        <w:spacing w:line="276" w:lineRule="auto"/>
        <w:contextualSpacing/>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4 agenți economici nu dețin masă debitoare, valoarea creanțelor acestora față de BPN fiind de 35,3 mil. lei;</w:t>
      </w:r>
    </w:p>
    <w:p w14:paraId="5E90C834" w14:textId="77777777" w:rsidR="00810C23" w:rsidRPr="00DD5F1D" w:rsidRDefault="00810C23" w:rsidP="00810C23">
      <w:pPr>
        <w:numPr>
          <w:ilvl w:val="0"/>
          <w:numId w:val="20"/>
        </w:numPr>
        <w:shd w:val="clear" w:color="auto" w:fill="FFFFFF" w:themeFill="background1"/>
        <w:spacing w:line="276" w:lineRule="auto"/>
        <w:contextualSpacing/>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5 agenți economici dispun de masă debitoare care încă nu a fost evaluată sau a fost evaluată parțial, valoarea creanțelor acestora față de BPN constituie 155,9 mil. lei;</w:t>
      </w:r>
    </w:p>
    <w:p w14:paraId="735D556B" w14:textId="5FA7B35A" w:rsidR="00810C23" w:rsidRPr="00DD5F1D" w:rsidRDefault="00810C23" w:rsidP="00810C23">
      <w:pPr>
        <w:numPr>
          <w:ilvl w:val="0"/>
          <w:numId w:val="20"/>
        </w:numPr>
        <w:shd w:val="clear" w:color="auto" w:fill="FFFFFF" w:themeFill="background1"/>
        <w:spacing w:line="276" w:lineRule="auto"/>
        <w:contextualSpacing/>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4 agenți economici dispun de masă debitoare </w:t>
      </w:r>
      <w:r w:rsidR="002B4AC1">
        <w:rPr>
          <w:rFonts w:ascii="Times New Roman" w:eastAsia="Calibri" w:hAnsi="Times New Roman" w:cs="Times New Roman"/>
          <w:sz w:val="24"/>
          <w:szCs w:val="24"/>
          <w:lang w:val="ro-MD"/>
        </w:rPr>
        <w:t>în sumă de 23</w:t>
      </w:r>
      <w:r w:rsidR="00565140">
        <w:rPr>
          <w:rFonts w:ascii="Times New Roman" w:eastAsia="Calibri" w:hAnsi="Times New Roman" w:cs="Times New Roman"/>
          <w:sz w:val="24"/>
          <w:szCs w:val="24"/>
          <w:lang w:val="ro-MD"/>
        </w:rPr>
        <w:t>,4 mil</w:t>
      </w:r>
      <w:r w:rsidR="002B4AC1">
        <w:rPr>
          <w:rFonts w:ascii="Times New Roman" w:eastAsia="Calibri" w:hAnsi="Times New Roman" w:cs="Times New Roman"/>
          <w:sz w:val="24"/>
          <w:szCs w:val="24"/>
          <w:lang w:val="ro-MD"/>
        </w:rPr>
        <w:t xml:space="preserve">. lei, </w:t>
      </w:r>
      <w:r w:rsidRPr="00DD5F1D">
        <w:rPr>
          <w:rFonts w:ascii="Times New Roman" w:eastAsia="Calibri" w:hAnsi="Times New Roman" w:cs="Times New Roman"/>
          <w:sz w:val="24"/>
          <w:szCs w:val="24"/>
          <w:lang w:val="ro-MD"/>
        </w:rPr>
        <w:t>ce a fost identificată și evaluată de către administratorul insolvabilității, valoarea creanțelor acestora față de BPN constituie 52,8 mil. lei;</w:t>
      </w:r>
    </w:p>
    <w:p w14:paraId="5EA2E49A" w14:textId="77777777" w:rsidR="00810C23" w:rsidRPr="00DD5F1D" w:rsidRDefault="00810C23" w:rsidP="00810C23">
      <w:pPr>
        <w:numPr>
          <w:ilvl w:val="0"/>
          <w:numId w:val="20"/>
        </w:numPr>
        <w:shd w:val="clear" w:color="auto" w:fill="FFFFFF" w:themeFill="background1"/>
        <w:spacing w:line="276" w:lineRule="auto"/>
        <w:contextualSpacing/>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un agent economic deține masă debitoare, însă aceasta a fost gajată în folosul unei instituții financiare, valoarea creanțelor acestuia față de BPN constituie 45,7 mil. lei;</w:t>
      </w:r>
    </w:p>
    <w:p w14:paraId="2A28D62B" w14:textId="77777777" w:rsidR="00810C23" w:rsidRPr="00DD5F1D" w:rsidRDefault="00810C23" w:rsidP="00810C23">
      <w:pPr>
        <w:numPr>
          <w:ilvl w:val="0"/>
          <w:numId w:val="20"/>
        </w:numPr>
        <w:shd w:val="clear" w:color="auto" w:fill="FFFFFF" w:themeFill="background1"/>
        <w:spacing w:line="276" w:lineRule="auto"/>
        <w:contextualSpacing/>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în cazul unui agent economic, debitorul este în proces de recuperare a bunurilor, valoarea creanțelor acestuia față de BPN constituie 1,1 mil. lei.</w:t>
      </w:r>
    </w:p>
    <w:p w14:paraId="7BACEA83" w14:textId="61A28D02" w:rsidR="00810C23" w:rsidRPr="00DD5F1D" w:rsidRDefault="00810C23" w:rsidP="00810C23">
      <w:pPr>
        <w:spacing w:after="0" w:line="276" w:lineRule="auto"/>
        <w:jc w:val="both"/>
        <w:rPr>
          <w:rFonts w:ascii="Times New Roman" w:eastAsia="Calibri" w:hAnsi="Times New Roman" w:cs="Times New Roman"/>
          <w:sz w:val="24"/>
          <w:szCs w:val="24"/>
          <w:lang w:val="ro-MD"/>
        </w:rPr>
      </w:pPr>
      <w:r w:rsidRPr="00DD5F1D">
        <w:rPr>
          <w:rFonts w:ascii="Times New Roman" w:eastAsia="Calibri" w:hAnsi="Times New Roman" w:cs="Times New Roman"/>
          <w:sz w:val="24"/>
          <w:szCs w:val="24"/>
          <w:lang w:val="ro-MD"/>
        </w:rPr>
        <w:t xml:space="preserve">Un aspect relevant ce necesită a fi menționat la acest capitol este faptul că printre agenții economici insolvenți se </w:t>
      </w:r>
      <w:r w:rsidRPr="00B7777D">
        <w:rPr>
          <w:rFonts w:ascii="Times New Roman" w:eastAsia="Calibri" w:hAnsi="Times New Roman" w:cs="Times New Roman"/>
          <w:sz w:val="24"/>
          <w:szCs w:val="24"/>
          <w:lang w:val="ro-MD"/>
        </w:rPr>
        <w:t xml:space="preserve">regăsește </w:t>
      </w:r>
      <w:r w:rsidRPr="002B4AC1">
        <w:rPr>
          <w:rFonts w:ascii="Times New Roman" w:eastAsia="Calibri" w:hAnsi="Times New Roman" w:cs="Times New Roman"/>
          <w:sz w:val="24"/>
          <w:szCs w:val="24"/>
          <w:lang w:val="ro-MD"/>
        </w:rPr>
        <w:t xml:space="preserve">și </w:t>
      </w:r>
      <w:r w:rsidR="00CC136F" w:rsidRPr="00B7777D">
        <w:rPr>
          <w:rFonts w:ascii="Times New Roman" w:eastAsia="Calibri" w:hAnsi="Times New Roman" w:cs="Times New Roman"/>
          <w:sz w:val="24"/>
          <w:szCs w:val="24"/>
          <w:lang w:val="ro-MD"/>
        </w:rPr>
        <w:t xml:space="preserve">ÎS </w:t>
      </w:r>
      <w:r w:rsidR="00CC136F" w:rsidRPr="009A6E4D">
        <w:rPr>
          <w:rFonts w:ascii="Times New Roman" w:eastAsia="Calibri" w:hAnsi="Times New Roman" w:cs="Times New Roman"/>
          <w:sz w:val="24"/>
          <w:szCs w:val="24"/>
          <w:lang w:val="ro-MD"/>
        </w:rPr>
        <w:t>Sarmat</w:t>
      </w:r>
      <w:r w:rsidRPr="00193E3C">
        <w:rPr>
          <w:rFonts w:ascii="Times New Roman" w:eastAsia="Calibri" w:hAnsi="Times New Roman" w:cs="Times New Roman"/>
          <w:sz w:val="24"/>
          <w:szCs w:val="24"/>
          <w:lang w:val="ro-MD"/>
        </w:rPr>
        <w:t>, care</w:t>
      </w:r>
      <w:r w:rsidRPr="00DD5F1D">
        <w:rPr>
          <w:rFonts w:ascii="Times New Roman" w:eastAsia="Calibri" w:hAnsi="Times New Roman" w:cs="Times New Roman"/>
          <w:sz w:val="24"/>
          <w:szCs w:val="24"/>
          <w:lang w:val="ro-MD"/>
        </w:rPr>
        <w:t xml:space="preserve"> înregistrează o datorie față de BASS în sumă de 18,6 mil lei, iar potrivit informațiilor furnizate de către SFS și CNAS, aceasta nu dispune de masă debitoare pentru recuperarea/stingerea creanței admise.</w:t>
      </w:r>
    </w:p>
    <w:p w14:paraId="3B9D590E" w14:textId="567767E2" w:rsidR="00810C23" w:rsidRPr="00DD5F1D" w:rsidRDefault="00810C23" w:rsidP="00810C23">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Astfel, deși riscul de nerecuperare de către CNAS și SFS </w:t>
      </w:r>
      <w:r w:rsidR="007528C5" w:rsidRPr="00DD5F1D">
        <w:rPr>
          <w:rFonts w:ascii="Times New Roman" w:hAnsi="Times New Roman" w:cs="Times New Roman"/>
          <w:sz w:val="24"/>
          <w:szCs w:val="24"/>
          <w:lang w:val="ro-MD"/>
        </w:rPr>
        <w:t xml:space="preserve">a creanțelor </w:t>
      </w:r>
      <w:r w:rsidRPr="00DD5F1D">
        <w:rPr>
          <w:rFonts w:ascii="Times New Roman" w:hAnsi="Times New Roman" w:cs="Times New Roman"/>
          <w:sz w:val="24"/>
          <w:szCs w:val="24"/>
          <w:lang w:val="ro-MD"/>
        </w:rPr>
        <w:t xml:space="preserve">persistă, entitățile au drepturi/responsabilități limitate și nu </w:t>
      </w:r>
      <w:r w:rsidRPr="00B7777D">
        <w:rPr>
          <w:rFonts w:ascii="Times New Roman" w:hAnsi="Times New Roman" w:cs="Times New Roman"/>
          <w:sz w:val="24"/>
          <w:szCs w:val="24"/>
          <w:lang w:val="ro-MD"/>
        </w:rPr>
        <w:t xml:space="preserve">dispun de pârghii legale pentru a urgenta sau a simplifica procedura de recuperare/stingere a creanței. </w:t>
      </w:r>
      <w:r w:rsidRPr="00E90439">
        <w:rPr>
          <w:rFonts w:ascii="Times New Roman" w:hAnsi="Times New Roman" w:cs="Times New Roman"/>
          <w:sz w:val="24"/>
          <w:szCs w:val="24"/>
          <w:lang w:val="ro-MD"/>
        </w:rPr>
        <w:t xml:space="preserve">Totodată, </w:t>
      </w:r>
      <w:r w:rsidR="0002611D" w:rsidRPr="00E90439">
        <w:rPr>
          <w:rFonts w:ascii="Times New Roman" w:hAnsi="Times New Roman" w:cs="Times New Roman"/>
          <w:sz w:val="24"/>
          <w:szCs w:val="24"/>
          <w:lang w:val="ro-MD"/>
        </w:rPr>
        <w:t xml:space="preserve">masa debitoare se micșorează urmare a </w:t>
      </w:r>
      <w:r w:rsidRPr="00E90439">
        <w:rPr>
          <w:rFonts w:ascii="Times New Roman" w:hAnsi="Times New Roman" w:cs="Times New Roman"/>
          <w:sz w:val="24"/>
          <w:szCs w:val="24"/>
          <w:lang w:val="ro-MD"/>
        </w:rPr>
        <w:t>suportă</w:t>
      </w:r>
      <w:r w:rsidR="0002611D" w:rsidRPr="00E90439">
        <w:rPr>
          <w:rFonts w:ascii="Times New Roman" w:hAnsi="Times New Roman" w:cs="Times New Roman"/>
          <w:sz w:val="24"/>
          <w:szCs w:val="24"/>
          <w:lang w:val="ro-MD"/>
        </w:rPr>
        <w:t>ri</w:t>
      </w:r>
      <w:r w:rsidRPr="00E90439">
        <w:rPr>
          <w:rFonts w:ascii="Times New Roman" w:hAnsi="Times New Roman" w:cs="Times New Roman"/>
          <w:sz w:val="24"/>
          <w:szCs w:val="24"/>
          <w:lang w:val="ro-MD"/>
        </w:rPr>
        <w:t xml:space="preserve">  cheltuielil</w:t>
      </w:r>
      <w:r w:rsidR="0002611D" w:rsidRPr="00E90439">
        <w:rPr>
          <w:rFonts w:ascii="Times New Roman" w:hAnsi="Times New Roman" w:cs="Times New Roman"/>
          <w:sz w:val="24"/>
          <w:szCs w:val="24"/>
          <w:lang w:val="ro-MD"/>
        </w:rPr>
        <w:t>or</w:t>
      </w:r>
      <w:r w:rsidRPr="00E90439">
        <w:rPr>
          <w:rFonts w:ascii="Times New Roman" w:hAnsi="Times New Roman" w:cs="Times New Roman"/>
          <w:sz w:val="24"/>
          <w:szCs w:val="24"/>
          <w:lang w:val="ro-MD"/>
        </w:rPr>
        <w:t xml:space="preserve"> </w:t>
      </w:r>
      <w:r w:rsidR="0002611D" w:rsidRPr="00E90439">
        <w:rPr>
          <w:rFonts w:ascii="Times New Roman" w:hAnsi="Times New Roman" w:cs="Times New Roman"/>
          <w:sz w:val="24"/>
          <w:szCs w:val="24"/>
          <w:lang w:val="ro-MD"/>
        </w:rPr>
        <w:t xml:space="preserve">aferente procesului de insolvabilitate, inclusiv </w:t>
      </w:r>
      <w:r w:rsidR="0002611D" w:rsidRPr="00B7777D">
        <w:rPr>
          <w:rFonts w:ascii="Times New Roman" w:hAnsi="Times New Roman" w:cs="Times New Roman"/>
          <w:sz w:val="24"/>
          <w:szCs w:val="24"/>
          <w:lang w:val="ro-MD"/>
        </w:rPr>
        <w:t xml:space="preserve">aferente </w:t>
      </w:r>
      <w:r w:rsidRPr="009A6E4D">
        <w:rPr>
          <w:rFonts w:ascii="Times New Roman" w:hAnsi="Times New Roman" w:cs="Times New Roman"/>
          <w:sz w:val="24"/>
          <w:szCs w:val="24"/>
          <w:lang w:val="ro-MD"/>
        </w:rPr>
        <w:t>remuner</w:t>
      </w:r>
      <w:r w:rsidR="0002611D" w:rsidRPr="00193E3C">
        <w:rPr>
          <w:rFonts w:ascii="Times New Roman" w:hAnsi="Times New Roman" w:cs="Times New Roman"/>
          <w:sz w:val="24"/>
          <w:szCs w:val="24"/>
          <w:lang w:val="ro-MD"/>
        </w:rPr>
        <w:t xml:space="preserve">ării </w:t>
      </w:r>
      <w:r w:rsidRPr="00A93D77">
        <w:rPr>
          <w:rFonts w:ascii="Times New Roman" w:hAnsi="Times New Roman" w:cs="Times New Roman"/>
          <w:sz w:val="24"/>
          <w:szCs w:val="24"/>
          <w:lang w:val="ro-MD"/>
        </w:rPr>
        <w:t>administratorului</w:t>
      </w:r>
      <w:r w:rsidRPr="00D027C3">
        <w:rPr>
          <w:rFonts w:ascii="Times New Roman" w:hAnsi="Times New Roman" w:cs="Times New Roman"/>
          <w:sz w:val="24"/>
          <w:szCs w:val="24"/>
          <w:lang w:val="ro-MD"/>
        </w:rPr>
        <w:t>.</w:t>
      </w:r>
      <w:r w:rsidR="007528C5" w:rsidRPr="00DD5F1D">
        <w:rPr>
          <w:rFonts w:ascii="Times New Roman" w:hAnsi="Times New Roman" w:cs="Times New Roman"/>
          <w:sz w:val="24"/>
          <w:szCs w:val="24"/>
          <w:lang w:val="ro-MD"/>
        </w:rPr>
        <w:t xml:space="preserve"> </w:t>
      </w:r>
    </w:p>
    <w:p w14:paraId="68102C37" w14:textId="3C5C4A5B" w:rsidR="006B3D62" w:rsidRPr="00DD5F1D" w:rsidRDefault="006B3D62" w:rsidP="006B3D62">
      <w:pPr>
        <w:pStyle w:val="aa"/>
        <w:numPr>
          <w:ilvl w:val="1"/>
          <w:numId w:val="2"/>
        </w:numPr>
        <w:spacing w:line="276" w:lineRule="auto"/>
        <w:ind w:left="0" w:firstLine="0"/>
        <w:jc w:val="both"/>
        <w:outlineLvl w:val="1"/>
        <w:rPr>
          <w:rFonts w:ascii="Times New Roman" w:hAnsi="Times New Roman" w:cs="Times New Roman"/>
          <w:b/>
          <w:sz w:val="24"/>
          <w:szCs w:val="24"/>
          <w:lang w:val="ro-MD"/>
        </w:rPr>
      </w:pPr>
      <w:r w:rsidRPr="00DD5F1D">
        <w:rPr>
          <w:rFonts w:ascii="Times New Roman" w:hAnsi="Times New Roman" w:cs="Times New Roman"/>
          <w:b/>
          <w:sz w:val="24"/>
          <w:szCs w:val="24"/>
          <w:lang w:val="ro-MD"/>
        </w:rPr>
        <w:t>Neimplementarea recomandării privind evaluarea și instituirea registrului electronic de evidență a liber-profesioniștilor ce practică activitate în sectorul justiției, mențin</w:t>
      </w:r>
      <w:r w:rsidR="008B1E05" w:rsidRPr="00DD5F1D">
        <w:rPr>
          <w:rFonts w:ascii="Times New Roman" w:hAnsi="Times New Roman" w:cs="Times New Roman"/>
          <w:b/>
          <w:sz w:val="24"/>
          <w:szCs w:val="24"/>
          <w:lang w:val="ro-MD"/>
        </w:rPr>
        <w:t>e</w:t>
      </w:r>
      <w:r w:rsidRPr="00DD5F1D">
        <w:rPr>
          <w:rFonts w:ascii="Times New Roman" w:hAnsi="Times New Roman" w:cs="Times New Roman"/>
          <w:b/>
          <w:sz w:val="24"/>
          <w:szCs w:val="24"/>
          <w:lang w:val="ro-MD"/>
        </w:rPr>
        <w:t xml:space="preserve"> în continuare situațiile problematice aferente înregistrării în termen</w:t>
      </w:r>
      <w:r w:rsidR="003609C3" w:rsidRPr="00DD5F1D">
        <w:rPr>
          <w:rFonts w:ascii="Times New Roman" w:hAnsi="Times New Roman" w:cs="Times New Roman"/>
          <w:b/>
          <w:sz w:val="24"/>
          <w:szCs w:val="24"/>
          <w:lang w:val="ro-MD"/>
        </w:rPr>
        <w:t xml:space="preserve"> a</w:t>
      </w:r>
      <w:r w:rsidRPr="00DD5F1D">
        <w:rPr>
          <w:rFonts w:ascii="Times New Roman" w:hAnsi="Times New Roman" w:cs="Times New Roman"/>
          <w:b/>
          <w:sz w:val="24"/>
          <w:szCs w:val="24"/>
          <w:lang w:val="ro-MD"/>
        </w:rPr>
        <w:t xml:space="preserve"> acestei categorii de contribuabili, ceea ce nu asigură o evidență deplină a plătitorilor și determină venituri ratate la BASS.</w:t>
      </w:r>
    </w:p>
    <w:p w14:paraId="4F7D3649" w14:textId="385B6D54" w:rsidR="006B3D62" w:rsidRPr="00DD5F1D" w:rsidRDefault="006B3D62" w:rsidP="005B7F0E">
      <w:pPr>
        <w:spacing w:after="12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Conform reglementărilor</w:t>
      </w:r>
      <w:r w:rsidR="003609C3" w:rsidRPr="00DD5F1D">
        <w:rPr>
          <w:rFonts w:ascii="Times New Roman" w:hAnsi="Times New Roman" w:cs="Times New Roman"/>
          <w:sz w:val="24"/>
          <w:szCs w:val="24"/>
          <w:lang w:val="ro-MD"/>
        </w:rPr>
        <w:t xml:space="preserve"> în vigoare</w:t>
      </w:r>
      <w:r w:rsidRPr="00DD5F1D">
        <w:rPr>
          <w:rStyle w:val="a5"/>
          <w:rFonts w:ascii="Times New Roman" w:hAnsi="Times New Roman" w:cs="Times New Roman"/>
          <w:sz w:val="24"/>
          <w:szCs w:val="24"/>
          <w:lang w:val="ro-MD"/>
        </w:rPr>
        <w:footnoteReference w:id="77"/>
      </w:r>
      <w:r w:rsidRPr="00DD5F1D">
        <w:rPr>
          <w:rFonts w:ascii="Times New Roman" w:hAnsi="Times New Roman" w:cs="Times New Roman"/>
          <w:sz w:val="24"/>
          <w:szCs w:val="24"/>
          <w:lang w:val="ro-MD"/>
        </w:rPr>
        <w:t>, liber-profesionist ce practică activitate în sectorul justiției este persoana care are înregistrată una din formele de organizare a activității prevăzute de lege de avocat, notar, executor judecătoresc, administrator autorizat, mediator. Unitățile şi persoanele fizice</w:t>
      </w:r>
      <w:r w:rsidRPr="00DD5F1D">
        <w:rPr>
          <w:rStyle w:val="a5"/>
          <w:rFonts w:ascii="Times New Roman" w:hAnsi="Times New Roman" w:cs="Times New Roman"/>
          <w:sz w:val="24"/>
          <w:szCs w:val="24"/>
          <w:lang w:val="ro-MD"/>
        </w:rPr>
        <w:footnoteReference w:id="78"/>
      </w:r>
      <w:r w:rsidRPr="00DD5F1D">
        <w:rPr>
          <w:rFonts w:ascii="Times New Roman" w:hAnsi="Times New Roman" w:cs="Times New Roman"/>
          <w:sz w:val="24"/>
          <w:szCs w:val="24"/>
          <w:lang w:val="ro-MD"/>
        </w:rPr>
        <w:t xml:space="preserve"> care nu cad sub incidența </w:t>
      </w:r>
      <w:r w:rsidRPr="00DD5F1D">
        <w:rPr>
          <w:rStyle w:val="af2"/>
          <w:rFonts w:ascii="Times New Roman" w:hAnsi="Times New Roman" w:cs="Times New Roman"/>
          <w:color w:val="auto"/>
          <w:sz w:val="24"/>
          <w:szCs w:val="24"/>
          <w:u w:val="none"/>
          <w:lang w:val="ro-MD"/>
        </w:rPr>
        <w:t>Legii nr.220 din 19.10.2007</w:t>
      </w:r>
      <w:r w:rsidRPr="00DD5F1D">
        <w:rPr>
          <w:rStyle w:val="a5"/>
          <w:rFonts w:ascii="Times New Roman" w:hAnsi="Times New Roman" w:cs="Times New Roman"/>
          <w:sz w:val="24"/>
          <w:szCs w:val="24"/>
          <w:lang w:val="ro-MD"/>
        </w:rPr>
        <w:footnoteReference w:id="79"/>
      </w:r>
      <w:r w:rsidRPr="00DD5F1D">
        <w:rPr>
          <w:rStyle w:val="af2"/>
          <w:rFonts w:ascii="Times New Roman" w:hAnsi="Times New Roman" w:cs="Times New Roman"/>
          <w:color w:val="auto"/>
          <w:sz w:val="24"/>
          <w:szCs w:val="24"/>
          <w:u w:val="none"/>
          <w:lang w:val="ro-MD"/>
        </w:rPr>
        <w:t xml:space="preserve"> </w:t>
      </w:r>
      <w:r w:rsidRPr="00DD5F1D">
        <w:rPr>
          <w:rFonts w:ascii="Times New Roman" w:hAnsi="Times New Roman" w:cs="Times New Roman"/>
          <w:sz w:val="24"/>
          <w:szCs w:val="24"/>
          <w:lang w:val="ro-MD"/>
        </w:rPr>
        <w:t xml:space="preserve">sunt obligate să se înregistreze, în termen de 10 zile lucrătoare de la data obținerii dreptului de a desfășura o anumită activitate, ca plătitori de contribuții de asigurări sociale de stat, la subdiviziunea teritorială a </w:t>
      </w:r>
      <w:r w:rsidR="00DD5F1D">
        <w:rPr>
          <w:rFonts w:ascii="Times New Roman" w:hAnsi="Times New Roman" w:cs="Times New Roman"/>
          <w:sz w:val="24"/>
          <w:szCs w:val="24"/>
          <w:lang w:val="ro-MD"/>
        </w:rPr>
        <w:t>CNAS</w:t>
      </w:r>
      <w:r w:rsidRPr="00DD5F1D">
        <w:rPr>
          <w:rFonts w:ascii="Times New Roman" w:hAnsi="Times New Roman" w:cs="Times New Roman"/>
          <w:sz w:val="24"/>
          <w:szCs w:val="24"/>
          <w:lang w:val="ro-MD"/>
        </w:rPr>
        <w:t xml:space="preserve"> unde </w:t>
      </w:r>
      <w:r w:rsidR="003609C3" w:rsidRPr="00DD5F1D">
        <w:rPr>
          <w:rFonts w:ascii="Times New Roman" w:hAnsi="Times New Roman" w:cs="Times New Roman"/>
          <w:sz w:val="24"/>
          <w:szCs w:val="24"/>
          <w:lang w:val="ro-MD"/>
        </w:rPr>
        <w:t>își</w:t>
      </w:r>
      <w:r w:rsidRPr="00DD5F1D">
        <w:rPr>
          <w:rFonts w:ascii="Times New Roman" w:hAnsi="Times New Roman" w:cs="Times New Roman"/>
          <w:sz w:val="24"/>
          <w:szCs w:val="24"/>
          <w:lang w:val="ro-MD"/>
        </w:rPr>
        <w:t xml:space="preserve"> au adresa juridică.</w:t>
      </w:r>
      <w:r w:rsidRPr="00DD5F1D">
        <w:rPr>
          <w:rFonts w:ascii="Times New Roman" w:hAnsi="Times New Roman" w:cs="Times New Roman"/>
          <w:lang w:val="ro-MD"/>
        </w:rPr>
        <w:t xml:space="preserve"> </w:t>
      </w:r>
      <w:r w:rsidRPr="00DD5F1D">
        <w:rPr>
          <w:rFonts w:ascii="Times New Roman" w:hAnsi="Times New Roman" w:cs="Times New Roman"/>
          <w:sz w:val="24"/>
          <w:szCs w:val="24"/>
          <w:lang w:val="ro-MD"/>
        </w:rPr>
        <w:t>Pentru anul 2023</w:t>
      </w:r>
      <w:r w:rsidRPr="00DD5F1D">
        <w:rPr>
          <w:rStyle w:val="a5"/>
          <w:rFonts w:ascii="Times New Roman" w:hAnsi="Times New Roman" w:cs="Times New Roman"/>
          <w:sz w:val="24"/>
          <w:szCs w:val="24"/>
          <w:lang w:val="ro-MD"/>
        </w:rPr>
        <w:footnoteReference w:id="80"/>
      </w:r>
      <w:r w:rsidRPr="00DD5F1D">
        <w:rPr>
          <w:rFonts w:ascii="Times New Roman" w:hAnsi="Times New Roman" w:cs="Times New Roman"/>
          <w:sz w:val="24"/>
          <w:szCs w:val="24"/>
          <w:lang w:val="ro-MD"/>
        </w:rPr>
        <w:t xml:space="preserve"> contribuția de asigurări sociale de stat obligatorii în sumă fixă anuală este stabilită în mărime de 27 772 lei, respectiv suma taxei lunare constituie 2 314,33 lei.</w:t>
      </w:r>
    </w:p>
    <w:p w14:paraId="11987579" w14:textId="71CC85A5" w:rsidR="006B3D62" w:rsidRPr="00DD5F1D" w:rsidRDefault="006B3D62" w:rsidP="006B3D62">
      <w:pPr>
        <w:tabs>
          <w:tab w:val="left" w:pos="3408"/>
        </w:tabs>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Rezultatele auditului</w:t>
      </w:r>
      <w:r w:rsidRPr="00DD5F1D">
        <w:rPr>
          <w:rStyle w:val="a5"/>
          <w:rFonts w:ascii="Times New Roman" w:hAnsi="Times New Roman" w:cs="Times New Roman"/>
          <w:sz w:val="24"/>
          <w:szCs w:val="24"/>
          <w:lang w:val="ro-MD"/>
        </w:rPr>
        <w:footnoteReference w:id="81"/>
      </w:r>
      <w:r w:rsidRPr="00DD5F1D">
        <w:rPr>
          <w:rFonts w:ascii="Times New Roman" w:hAnsi="Times New Roman" w:cs="Times New Roman"/>
          <w:sz w:val="24"/>
          <w:szCs w:val="24"/>
          <w:lang w:val="ro-MD"/>
        </w:rPr>
        <w:t xml:space="preserve"> atestă că, din 64 </w:t>
      </w:r>
      <w:r w:rsidR="008B1E05"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cazuri privind înregistrarea Cabinetelor Avocaților, în 38 de cazuri (59,3%) a fost depășit termenul de înregistrare de la 1 zi până la 158 de zile întârziere, iar în 8 cazuri (12,5%), unitatea nu a fost înregistrată ca plătitor de contribuții la BASS. Situațiile respective sunt admise în continuare din cauza lipsei unui registru electronic de evidență a liber-profesioniștilor ce ar asigura transmiterea informațiilor cu privire la înregistrarea activității în mod automatizat prin intermediul platformei de interoperabilitate (MConnect), prin conexiunile intersistemice a</w:t>
      </w:r>
      <w:r w:rsidR="008B1E05" w:rsidRPr="00DD5F1D">
        <w:rPr>
          <w:rFonts w:ascii="Times New Roman" w:hAnsi="Times New Roman" w:cs="Times New Roman"/>
          <w:sz w:val="24"/>
          <w:szCs w:val="24"/>
          <w:lang w:val="ro-MD"/>
        </w:rPr>
        <w:t>le</w:t>
      </w:r>
      <w:r w:rsidRPr="00DD5F1D">
        <w:rPr>
          <w:rFonts w:ascii="Times New Roman" w:hAnsi="Times New Roman" w:cs="Times New Roman"/>
          <w:sz w:val="24"/>
          <w:szCs w:val="24"/>
          <w:lang w:val="ro-MD"/>
        </w:rPr>
        <w:t xml:space="preserve"> CNAS și Ministerul</w:t>
      </w:r>
      <w:r w:rsidR="008B1E05" w:rsidRPr="00DD5F1D">
        <w:rPr>
          <w:rFonts w:ascii="Times New Roman" w:hAnsi="Times New Roman" w:cs="Times New Roman"/>
          <w:sz w:val="24"/>
          <w:szCs w:val="24"/>
          <w:lang w:val="ro-MD"/>
        </w:rPr>
        <w:t>ui</w:t>
      </w:r>
      <w:r w:rsidRPr="00DD5F1D">
        <w:rPr>
          <w:rFonts w:ascii="Times New Roman" w:hAnsi="Times New Roman" w:cs="Times New Roman"/>
          <w:sz w:val="24"/>
          <w:szCs w:val="24"/>
          <w:lang w:val="ro-MD"/>
        </w:rPr>
        <w:t xml:space="preserve"> Justiției. Astfel, reprezentantul unității urmează să se prezinte fizic la CTAS unde are adresa juridică şi să depună cerere de luare în evidență</w:t>
      </w:r>
      <w:r w:rsidRPr="00DD5F1D">
        <w:rPr>
          <w:rStyle w:val="a5"/>
          <w:rFonts w:ascii="Times New Roman" w:hAnsi="Times New Roman" w:cs="Times New Roman"/>
          <w:sz w:val="24"/>
          <w:szCs w:val="24"/>
          <w:lang w:val="ro-MD"/>
        </w:rPr>
        <w:footnoteReference w:id="82"/>
      </w:r>
      <w:r w:rsidRPr="00DD5F1D">
        <w:rPr>
          <w:rFonts w:ascii="Times New Roman" w:hAnsi="Times New Roman" w:cs="Times New Roman"/>
          <w:sz w:val="24"/>
          <w:szCs w:val="24"/>
          <w:lang w:val="ro-MD"/>
        </w:rPr>
        <w:t xml:space="preserve">. </w:t>
      </w:r>
    </w:p>
    <w:p w14:paraId="20DF6C77" w14:textId="2433DED6" w:rsidR="006B3D62" w:rsidRPr="00DD5F1D" w:rsidRDefault="006B3D62" w:rsidP="006B3D62">
      <w:pPr>
        <w:tabs>
          <w:tab w:val="left" w:pos="3408"/>
        </w:tabs>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Deși CNAS a întreprins măsuri de informare a Uniunii Avocaților</w:t>
      </w:r>
      <w:r w:rsidRPr="00DD5F1D">
        <w:rPr>
          <w:rStyle w:val="a5"/>
          <w:rFonts w:ascii="Times New Roman" w:hAnsi="Times New Roman" w:cs="Times New Roman"/>
          <w:sz w:val="24"/>
          <w:szCs w:val="24"/>
          <w:lang w:val="ro-MD"/>
        </w:rPr>
        <w:footnoteReference w:id="83"/>
      </w:r>
      <w:r w:rsidRPr="00DD5F1D">
        <w:rPr>
          <w:rFonts w:ascii="Times New Roman" w:hAnsi="Times New Roman" w:cs="Times New Roman"/>
          <w:sz w:val="24"/>
          <w:szCs w:val="24"/>
          <w:lang w:val="ro-MD"/>
        </w:rPr>
        <w:t xml:space="preserve"> privind necesitatea înregistrării acestei categorii de plătitori, nu toate persoanele care au înregistrate forme de organizare a activității prevăzute și-au onorat obligațiunea de înregistrare în calitate de plătitori la BASS. </w:t>
      </w:r>
    </w:p>
    <w:p w14:paraId="3650CBFA" w14:textId="3F32BF88" w:rsidR="006B3D62" w:rsidRPr="00DD5F1D" w:rsidRDefault="006B3D62" w:rsidP="006B3D62">
      <w:pPr>
        <w:tabs>
          <w:tab w:val="left" w:pos="3408"/>
        </w:tabs>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Totodată, în scopul optimizării procesului de luare </w:t>
      </w:r>
      <w:r w:rsidR="008B1E05" w:rsidRPr="00DD5F1D">
        <w:rPr>
          <w:rFonts w:ascii="Times New Roman" w:hAnsi="Times New Roman" w:cs="Times New Roman"/>
          <w:sz w:val="24"/>
          <w:szCs w:val="24"/>
          <w:lang w:val="ro-MD"/>
        </w:rPr>
        <w:t>în</w:t>
      </w:r>
      <w:r w:rsidRPr="00DD5F1D">
        <w:rPr>
          <w:rFonts w:ascii="Times New Roman" w:hAnsi="Times New Roman" w:cs="Times New Roman"/>
          <w:sz w:val="24"/>
          <w:szCs w:val="24"/>
          <w:lang w:val="ro-MD"/>
        </w:rPr>
        <w:t xml:space="preserve"> evidență în calitate de plătitor, CNAS a expediat </w:t>
      </w:r>
      <w:r w:rsidR="008B1E05" w:rsidRPr="00DD5F1D">
        <w:rPr>
          <w:rFonts w:ascii="Times New Roman" w:hAnsi="Times New Roman" w:cs="Times New Roman"/>
          <w:sz w:val="24"/>
          <w:szCs w:val="24"/>
          <w:lang w:val="ro-MD"/>
        </w:rPr>
        <w:t xml:space="preserve">o </w:t>
      </w:r>
      <w:r w:rsidRPr="00DD5F1D">
        <w:rPr>
          <w:rFonts w:ascii="Times New Roman" w:hAnsi="Times New Roman" w:cs="Times New Roman"/>
          <w:sz w:val="24"/>
          <w:szCs w:val="24"/>
          <w:lang w:val="ro-MD"/>
        </w:rPr>
        <w:t>solicitare</w:t>
      </w:r>
      <w:r w:rsidRPr="00DD5F1D">
        <w:rPr>
          <w:rStyle w:val="a5"/>
          <w:rFonts w:ascii="Times New Roman" w:hAnsi="Times New Roman" w:cs="Times New Roman"/>
          <w:sz w:val="24"/>
          <w:szCs w:val="24"/>
          <w:lang w:val="ro-MD"/>
        </w:rPr>
        <w:footnoteReference w:id="84"/>
      </w:r>
      <w:r w:rsidRPr="00DD5F1D">
        <w:rPr>
          <w:rFonts w:ascii="Times New Roman" w:hAnsi="Times New Roman" w:cs="Times New Roman"/>
          <w:sz w:val="24"/>
          <w:szCs w:val="24"/>
          <w:lang w:val="ro-MD"/>
        </w:rPr>
        <w:t xml:space="preserve"> I.P. </w:t>
      </w:r>
      <w:r w:rsidR="008B1E05"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Agenția de Guvernare Electronică</w:t>
      </w:r>
      <w:r w:rsidR="008B1E05"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cu privire la examinarea furnizării informații</w:t>
      </w:r>
      <w:r w:rsidR="008B1E05" w:rsidRPr="00DD5F1D">
        <w:rPr>
          <w:rFonts w:ascii="Times New Roman" w:hAnsi="Times New Roman" w:cs="Times New Roman"/>
          <w:sz w:val="24"/>
          <w:szCs w:val="24"/>
          <w:lang w:val="ro-MD"/>
        </w:rPr>
        <w:t>lor</w:t>
      </w:r>
      <w:r w:rsidRPr="00DD5F1D">
        <w:rPr>
          <w:rFonts w:ascii="Times New Roman" w:hAnsi="Times New Roman" w:cs="Times New Roman"/>
          <w:sz w:val="24"/>
          <w:szCs w:val="24"/>
          <w:lang w:val="ro-MD"/>
        </w:rPr>
        <w:t xml:space="preserve"> din Registrele aferente, administrate de Ministerul Justiției, care este organul abilitat cu dreptul de înregistrare a liber</w:t>
      </w:r>
      <w:r w:rsidR="008B1E05"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profesioniștilor, în format electronic prin intermediul platformei de interoperabilitate MConnect. Astfel, AGE informează</w:t>
      </w:r>
      <w:r w:rsidRPr="00DD5F1D">
        <w:rPr>
          <w:rStyle w:val="a5"/>
          <w:rFonts w:ascii="Times New Roman" w:hAnsi="Times New Roman" w:cs="Times New Roman"/>
          <w:sz w:val="24"/>
          <w:szCs w:val="24"/>
          <w:lang w:val="ro-MD"/>
        </w:rPr>
        <w:footnoteReference w:id="85"/>
      </w:r>
      <w:r w:rsidRPr="00DD5F1D">
        <w:rPr>
          <w:rFonts w:ascii="Times New Roman" w:hAnsi="Times New Roman" w:cs="Times New Roman"/>
          <w:sz w:val="24"/>
          <w:szCs w:val="24"/>
          <w:lang w:val="ro-MD"/>
        </w:rPr>
        <w:t xml:space="preserve"> că Ministerul Justiției este în proces de dezvoltare a SI </w:t>
      </w:r>
      <w:r w:rsidR="008B1E05"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Platforma Integrată de Administrare a Datelor Profesiilor Juridice”, care eventual v</w:t>
      </w:r>
      <w:r w:rsidR="00FF7311" w:rsidRPr="00DD5F1D">
        <w:rPr>
          <w:rFonts w:ascii="Times New Roman" w:hAnsi="Times New Roman" w:cs="Times New Roman"/>
          <w:sz w:val="24"/>
          <w:szCs w:val="24"/>
          <w:lang w:val="ro-MD"/>
        </w:rPr>
        <w:t>a</w:t>
      </w:r>
      <w:r w:rsidRPr="00DD5F1D">
        <w:rPr>
          <w:rFonts w:ascii="Times New Roman" w:hAnsi="Times New Roman" w:cs="Times New Roman"/>
          <w:sz w:val="24"/>
          <w:szCs w:val="24"/>
          <w:lang w:val="ro-MD"/>
        </w:rPr>
        <w:t xml:space="preserve"> răspunde necesităților CNAS privind înregistrarea electronică a liber</w:t>
      </w:r>
      <w:r w:rsidR="008B1E05"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profesioniștilor.</w:t>
      </w:r>
    </w:p>
    <w:p w14:paraId="54ADF8E1" w14:textId="65CEE320" w:rsidR="006B3D62" w:rsidRPr="00DD5F1D" w:rsidRDefault="006B3D62" w:rsidP="006B3D62">
      <w:pPr>
        <w:tabs>
          <w:tab w:val="left" w:pos="3408"/>
        </w:tabs>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Concomitent, la recomandarea Curții de Conturi</w:t>
      </w:r>
      <w:r w:rsidRPr="00DD5F1D">
        <w:rPr>
          <w:rStyle w:val="a5"/>
          <w:rFonts w:ascii="Times New Roman" w:hAnsi="Times New Roman" w:cs="Times New Roman"/>
          <w:sz w:val="24"/>
          <w:szCs w:val="24"/>
          <w:lang w:val="ro-MD"/>
        </w:rPr>
        <w:footnoteReference w:id="86"/>
      </w:r>
      <w:r w:rsidRPr="00DD5F1D">
        <w:rPr>
          <w:rFonts w:ascii="Times New Roman" w:hAnsi="Times New Roman" w:cs="Times New Roman"/>
          <w:sz w:val="24"/>
          <w:szCs w:val="24"/>
          <w:lang w:val="ro-MD"/>
        </w:rPr>
        <w:t>, SFS a întreprins măsuri de conformare și disciplinare a liber-profesioniștilor în aspectul declarării și virării în termen a contribuțiilor de asigurări sociale în anul 2023. Astfel, din numărul total de 1</w:t>
      </w:r>
      <w:r w:rsidR="00FF7311"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827 </w:t>
      </w:r>
      <w:r w:rsidR="00FF7311"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contribuabili ce desfășoară activități profesionale în domeniul justiției, identificați de SFS</w:t>
      </w:r>
      <w:r w:rsidR="00FF7311"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se denotă că 1</w:t>
      </w:r>
      <w:r w:rsidR="00FF7311"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324 s-au conformat voluntar și au depus declarațiile în perioadele respective, 492 – nu au avut obligația de a calcula contribuții, iar 11 – nu s-au conformat. </w:t>
      </w:r>
      <w:r w:rsidR="00FF7311" w:rsidRPr="00DD5F1D">
        <w:rPr>
          <w:rFonts w:ascii="Times New Roman" w:hAnsi="Times New Roman" w:cs="Times New Roman"/>
          <w:sz w:val="24"/>
          <w:szCs w:val="24"/>
          <w:lang w:val="ro-MD"/>
        </w:rPr>
        <w:t>Ca</w:t>
      </w:r>
      <w:r w:rsidRPr="00DD5F1D">
        <w:rPr>
          <w:rFonts w:ascii="Times New Roman" w:hAnsi="Times New Roman" w:cs="Times New Roman"/>
          <w:sz w:val="24"/>
          <w:szCs w:val="24"/>
          <w:lang w:val="ro-MD"/>
        </w:rPr>
        <w:t xml:space="preserve"> rezultat</w:t>
      </w:r>
      <w:r w:rsidR="00FF7311"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suma contribuțiilor achitate suplimentar la BASS a constituit 917,0 mii lei. Deși SFS a realizat un șir de activități de conformare, auditul a identificat alți 3 contribuabili din categoria </w:t>
      </w:r>
      <w:r w:rsidR="00FF7311"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Cabinete de avocați” înregistrați în 2023, care nu și-au onorat obligația la BASS, în sumă de 41,6 mii lei. Totodată, restanța totală a acestei categorii de contribuabili conform evidenței CNAS (suma pe care plătitorul era obligat să o plătească la buget, dar pe care nu a plătit-o în termen) la 31.12.2023 a  constituit 2 589,1 mii lei și penalități aferente în sumă de 2 549,2 mii lei. </w:t>
      </w:r>
    </w:p>
    <w:p w14:paraId="3131BF62" w14:textId="564350DB" w:rsidR="006B3D62" w:rsidRPr="00DD5F1D" w:rsidRDefault="006B3D62" w:rsidP="006B3D62">
      <w:pPr>
        <w:tabs>
          <w:tab w:val="left" w:pos="3408"/>
        </w:tabs>
        <w:spacing w:line="276" w:lineRule="auto"/>
        <w:jc w:val="both"/>
        <w:rPr>
          <w:rFonts w:ascii="Times New Roman" w:hAnsi="Times New Roman" w:cs="Times New Roman"/>
          <w:i/>
          <w:sz w:val="24"/>
          <w:szCs w:val="24"/>
          <w:lang w:val="ro-MD"/>
        </w:rPr>
      </w:pPr>
      <w:r w:rsidRPr="00DD5F1D">
        <w:rPr>
          <w:rFonts w:ascii="Times New Roman" w:hAnsi="Times New Roman" w:cs="Times New Roman"/>
          <w:i/>
          <w:sz w:val="24"/>
          <w:szCs w:val="24"/>
          <w:lang w:val="ro-MD"/>
        </w:rPr>
        <w:t xml:space="preserve">Notă: Potrivit motivațiilor SFS, în anul 2024 au fost înaintate 256 </w:t>
      </w:r>
      <w:r w:rsidR="003454E6" w:rsidRPr="00DD5F1D">
        <w:rPr>
          <w:rFonts w:ascii="Times New Roman" w:hAnsi="Times New Roman" w:cs="Times New Roman"/>
          <w:i/>
          <w:sz w:val="24"/>
          <w:szCs w:val="24"/>
          <w:lang w:val="ro-MD"/>
        </w:rPr>
        <w:t xml:space="preserve">de </w:t>
      </w:r>
      <w:r w:rsidRPr="00DD5F1D">
        <w:rPr>
          <w:rFonts w:ascii="Times New Roman" w:hAnsi="Times New Roman" w:cs="Times New Roman"/>
          <w:i/>
          <w:sz w:val="24"/>
          <w:szCs w:val="24"/>
          <w:lang w:val="ro-MD"/>
        </w:rPr>
        <w:t>ordine incaso la 62</w:t>
      </w:r>
      <w:r w:rsidR="003454E6" w:rsidRPr="00DD5F1D">
        <w:rPr>
          <w:rFonts w:ascii="Times New Roman" w:hAnsi="Times New Roman" w:cs="Times New Roman"/>
          <w:i/>
          <w:sz w:val="24"/>
          <w:szCs w:val="24"/>
          <w:lang w:val="ro-MD"/>
        </w:rPr>
        <w:t xml:space="preserve"> de</w:t>
      </w:r>
      <w:r w:rsidRPr="00DD5F1D">
        <w:rPr>
          <w:rFonts w:ascii="Times New Roman" w:hAnsi="Times New Roman" w:cs="Times New Roman"/>
          <w:i/>
          <w:sz w:val="24"/>
          <w:szCs w:val="24"/>
          <w:lang w:val="ro-MD"/>
        </w:rPr>
        <w:t xml:space="preserve"> contribuabili, încasându-se la BASS 308,81 mii lei, iar prin măsuri preliminare benevole au fost stinse restanțe în sumă de 602,53 mii lei, de către 52 </w:t>
      </w:r>
      <w:r w:rsidR="003454E6" w:rsidRPr="00DD5F1D">
        <w:rPr>
          <w:rFonts w:ascii="Times New Roman" w:hAnsi="Times New Roman" w:cs="Times New Roman"/>
          <w:i/>
          <w:sz w:val="24"/>
          <w:szCs w:val="24"/>
          <w:lang w:val="ro-MD"/>
        </w:rPr>
        <w:t xml:space="preserve">de </w:t>
      </w:r>
      <w:r w:rsidRPr="00DD5F1D">
        <w:rPr>
          <w:rFonts w:ascii="Times New Roman" w:hAnsi="Times New Roman" w:cs="Times New Roman"/>
          <w:i/>
          <w:sz w:val="24"/>
          <w:szCs w:val="24"/>
          <w:lang w:val="ro-MD"/>
        </w:rPr>
        <w:t>contribuabili.</w:t>
      </w:r>
    </w:p>
    <w:p w14:paraId="5C87DECD" w14:textId="519BC2A6" w:rsidR="006B3D62" w:rsidRPr="00DD5F1D" w:rsidRDefault="006B3D62" w:rsidP="006B3D62">
      <w:pPr>
        <w:pStyle w:val="aa"/>
        <w:numPr>
          <w:ilvl w:val="0"/>
          <w:numId w:val="3"/>
        </w:numPr>
        <w:spacing w:line="276" w:lineRule="auto"/>
        <w:ind w:left="0" w:firstLine="360"/>
        <w:jc w:val="both"/>
        <w:rPr>
          <w:rFonts w:ascii="Times New Roman" w:hAnsi="Times New Roman" w:cs="Times New Roman"/>
          <w:b/>
          <w:bCs/>
          <w:i/>
          <w:iCs/>
          <w:sz w:val="24"/>
          <w:szCs w:val="24"/>
          <w:lang w:val="ro-MD"/>
        </w:rPr>
      </w:pPr>
      <w:r w:rsidRPr="00DD5F1D">
        <w:rPr>
          <w:rFonts w:ascii="Times New Roman" w:hAnsi="Times New Roman" w:cs="Times New Roman"/>
          <w:b/>
          <w:bCs/>
          <w:i/>
          <w:iCs/>
          <w:sz w:val="24"/>
          <w:szCs w:val="24"/>
          <w:lang w:val="ro-MD"/>
        </w:rPr>
        <w:t>Înregistrarea liber-profesioniștilor ca plătitori de contribuții la BASS s-a efectuat și în anul 2023</w:t>
      </w:r>
      <w:r w:rsidR="00836557" w:rsidRPr="00DD5F1D">
        <w:rPr>
          <w:rFonts w:ascii="Times New Roman" w:hAnsi="Times New Roman" w:cs="Times New Roman"/>
          <w:b/>
          <w:bCs/>
          <w:i/>
          <w:iCs/>
          <w:sz w:val="24"/>
          <w:szCs w:val="24"/>
          <w:lang w:val="ro-MD"/>
        </w:rPr>
        <w:t xml:space="preserve"> cu întârziere</w:t>
      </w:r>
      <w:r w:rsidR="003454E6" w:rsidRPr="00DD5F1D">
        <w:rPr>
          <w:rFonts w:ascii="Times New Roman" w:hAnsi="Times New Roman" w:cs="Times New Roman"/>
          <w:b/>
          <w:bCs/>
          <w:i/>
          <w:iCs/>
          <w:sz w:val="24"/>
          <w:szCs w:val="24"/>
          <w:lang w:val="ro-MD"/>
        </w:rPr>
        <w:t>,</w:t>
      </w:r>
      <w:r w:rsidRPr="00DD5F1D">
        <w:rPr>
          <w:rFonts w:ascii="Times New Roman" w:hAnsi="Times New Roman" w:cs="Times New Roman"/>
          <w:b/>
          <w:bCs/>
          <w:i/>
          <w:iCs/>
          <w:sz w:val="24"/>
          <w:szCs w:val="24"/>
          <w:lang w:val="ro-MD"/>
        </w:rPr>
        <w:t xml:space="preserve"> </w:t>
      </w:r>
      <w:r w:rsidR="00836557" w:rsidRPr="00DD5F1D">
        <w:rPr>
          <w:rFonts w:ascii="Times New Roman" w:hAnsi="Times New Roman" w:cs="Times New Roman"/>
          <w:b/>
          <w:bCs/>
          <w:i/>
          <w:iCs/>
          <w:sz w:val="24"/>
          <w:szCs w:val="24"/>
          <w:lang w:val="ro-MD"/>
        </w:rPr>
        <w:t xml:space="preserve">însă </w:t>
      </w:r>
      <w:r w:rsidRPr="00DD5F1D">
        <w:rPr>
          <w:rFonts w:ascii="Times New Roman" w:hAnsi="Times New Roman" w:cs="Times New Roman"/>
          <w:b/>
          <w:bCs/>
          <w:i/>
          <w:iCs/>
          <w:sz w:val="24"/>
          <w:szCs w:val="24"/>
          <w:lang w:val="ro-MD"/>
        </w:rPr>
        <w:t>fără aplicarea măsurilor</w:t>
      </w:r>
      <w:r w:rsidR="003609C3" w:rsidRPr="00DD5F1D">
        <w:rPr>
          <w:rFonts w:ascii="Times New Roman" w:hAnsi="Times New Roman" w:cs="Times New Roman"/>
          <w:b/>
          <w:bCs/>
          <w:i/>
          <w:iCs/>
          <w:sz w:val="24"/>
          <w:szCs w:val="24"/>
          <w:lang w:val="ro-MD"/>
        </w:rPr>
        <w:t xml:space="preserve"> de</w:t>
      </w:r>
      <w:r w:rsidRPr="00DD5F1D">
        <w:rPr>
          <w:rFonts w:ascii="Times New Roman" w:hAnsi="Times New Roman" w:cs="Times New Roman"/>
          <w:b/>
          <w:bCs/>
          <w:i/>
          <w:iCs/>
          <w:sz w:val="24"/>
          <w:szCs w:val="24"/>
          <w:lang w:val="ro-MD"/>
        </w:rPr>
        <w:t xml:space="preserve"> disciplinare, </w:t>
      </w:r>
      <w:r w:rsidR="00836557" w:rsidRPr="00DD5F1D">
        <w:rPr>
          <w:rFonts w:ascii="Times New Roman" w:hAnsi="Times New Roman" w:cs="Times New Roman"/>
          <w:b/>
          <w:bCs/>
          <w:i/>
          <w:iCs/>
          <w:sz w:val="24"/>
          <w:szCs w:val="24"/>
          <w:lang w:val="ro-MD"/>
        </w:rPr>
        <w:t xml:space="preserve">eventualele amenzi </w:t>
      </w:r>
      <w:r w:rsidRPr="00DD5F1D">
        <w:rPr>
          <w:rFonts w:ascii="Times New Roman" w:hAnsi="Times New Roman" w:cs="Times New Roman"/>
          <w:b/>
          <w:bCs/>
          <w:i/>
          <w:iCs/>
          <w:sz w:val="24"/>
          <w:szCs w:val="24"/>
          <w:lang w:val="ro-MD"/>
        </w:rPr>
        <w:t xml:space="preserve"> fiind o sursă suplimentară de venit la BASS.</w:t>
      </w:r>
    </w:p>
    <w:p w14:paraId="637B5442" w14:textId="1E4B4194" w:rsidR="006B3D62" w:rsidRPr="00DD5F1D" w:rsidRDefault="006B3D62" w:rsidP="006B3D62">
      <w:pPr>
        <w:tabs>
          <w:tab w:val="left" w:pos="3408"/>
        </w:tabs>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 Conform prevederilor</w:t>
      </w:r>
      <w:r w:rsidR="003609C3" w:rsidRPr="00DD5F1D">
        <w:rPr>
          <w:rFonts w:ascii="Times New Roman" w:hAnsi="Times New Roman" w:cs="Times New Roman"/>
          <w:sz w:val="24"/>
          <w:szCs w:val="24"/>
          <w:lang w:val="ro-MD"/>
        </w:rPr>
        <w:t xml:space="preserve"> actelor normative</w:t>
      </w:r>
      <w:r w:rsidRPr="00DD5F1D">
        <w:rPr>
          <w:rStyle w:val="a5"/>
          <w:rFonts w:ascii="Times New Roman" w:hAnsi="Times New Roman" w:cs="Times New Roman"/>
          <w:sz w:val="24"/>
          <w:szCs w:val="24"/>
          <w:lang w:val="ro-MD"/>
        </w:rPr>
        <w:footnoteReference w:id="87"/>
      </w:r>
      <w:r w:rsidRPr="00DD5F1D">
        <w:rPr>
          <w:rFonts w:ascii="Times New Roman" w:hAnsi="Times New Roman" w:cs="Times New Roman"/>
          <w:sz w:val="24"/>
          <w:szCs w:val="24"/>
          <w:lang w:val="ro-MD"/>
        </w:rPr>
        <w:t>, desfășurarea activității în baza atestatului de mediator, a licenței de notar, de executor judecătoresc, de avocat sau de expert judiciar care activează în cadrul unui birou de expertiză judiciară, a autorizației pentru activitatea de administrator autorizat, fără a fi înregistrat ca plătitor de contribuții de asigurări sociale de stat în termen de 10 zile lucrătoare din momentul obținerii dreptului de a desfășura activitatea, se sancționează cu amendă de la 15 la 30 de unități convenționale aplicată persoanei fizice, cu amendă de la 30 la 60 de unități convenționale aplicată persoanei cu funcție de răs</w:t>
      </w:r>
      <w:r w:rsidR="003609C3" w:rsidRPr="00DD5F1D">
        <w:rPr>
          <w:rFonts w:ascii="Times New Roman" w:hAnsi="Times New Roman" w:cs="Times New Roman"/>
          <w:sz w:val="24"/>
          <w:szCs w:val="24"/>
          <w:lang w:val="ro-MD"/>
        </w:rPr>
        <w:t>pundere. Instituția</w:t>
      </w:r>
      <w:r w:rsidRPr="00DD5F1D">
        <w:rPr>
          <w:rFonts w:ascii="Times New Roman" w:hAnsi="Times New Roman" w:cs="Times New Roman"/>
          <w:sz w:val="24"/>
          <w:szCs w:val="24"/>
          <w:lang w:val="ro-MD"/>
        </w:rPr>
        <w:t xml:space="preserve"> responsabil</w:t>
      </w:r>
      <w:r w:rsidR="003609C3" w:rsidRPr="00DD5F1D">
        <w:rPr>
          <w:rFonts w:ascii="Times New Roman" w:hAnsi="Times New Roman" w:cs="Times New Roman"/>
          <w:sz w:val="24"/>
          <w:szCs w:val="24"/>
          <w:lang w:val="ro-MD"/>
        </w:rPr>
        <w:t>ă</w:t>
      </w:r>
      <w:r w:rsidRPr="00DD5F1D">
        <w:rPr>
          <w:rFonts w:ascii="Times New Roman" w:hAnsi="Times New Roman" w:cs="Times New Roman"/>
          <w:sz w:val="24"/>
          <w:szCs w:val="24"/>
          <w:lang w:val="ro-MD"/>
        </w:rPr>
        <w:t xml:space="preserve"> de aplicarea măsurilor disciplinare este Serviciul Fiscal de Stat.</w:t>
      </w:r>
    </w:p>
    <w:p w14:paraId="0D5C5680" w14:textId="203BF460" w:rsidR="006B3D62" w:rsidRPr="00DD5F1D" w:rsidRDefault="006B3D62" w:rsidP="006B3D62">
      <w:pPr>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În acest context, deși auditul a constatat 46 de cazuri în care liber-profesioniștii ce practică activitate în domeniul justiției au desfășurat activitate fără înregistrare ca plătitor de contribuții la BASS, se atestă că SFS pe parcursul anilor 2021-2023 nu a întocmit niciun proces-verbal de constatare a contravenției în acest sens. </w:t>
      </w:r>
    </w:p>
    <w:p w14:paraId="314047C8" w14:textId="25175B9A" w:rsidR="006B3D62" w:rsidRPr="00DD5F1D" w:rsidRDefault="006B3D62" w:rsidP="006B3D62">
      <w:pPr>
        <w:pStyle w:val="aa"/>
        <w:spacing w:line="276" w:lineRule="auto"/>
        <w:ind w:left="0"/>
        <w:jc w:val="both"/>
        <w:rPr>
          <w:rFonts w:ascii="Times New Roman" w:hAnsi="Times New Roman" w:cs="Times New Roman"/>
          <w:sz w:val="24"/>
          <w:szCs w:val="24"/>
          <w:shd w:val="clear" w:color="auto" w:fill="FFFFFF"/>
          <w:lang w:val="ro-MD"/>
        </w:rPr>
      </w:pPr>
      <w:r w:rsidRPr="00DD5F1D">
        <w:rPr>
          <w:rFonts w:ascii="Times New Roman" w:hAnsi="Times New Roman" w:cs="Times New Roman"/>
          <w:sz w:val="24"/>
          <w:szCs w:val="24"/>
          <w:lang w:val="ro-MD"/>
        </w:rPr>
        <w:t>Totodată, de menționat că a</w:t>
      </w:r>
      <w:r w:rsidRPr="00DD5F1D">
        <w:rPr>
          <w:rFonts w:ascii="Times New Roman" w:hAnsi="Times New Roman" w:cs="Times New Roman"/>
          <w:sz w:val="24"/>
          <w:szCs w:val="24"/>
          <w:shd w:val="clear" w:color="auto" w:fill="FFFFFF"/>
          <w:lang w:val="ro-MD"/>
        </w:rPr>
        <w:t>menzile aplicate d</w:t>
      </w:r>
      <w:r w:rsidR="003609C3" w:rsidRPr="00DD5F1D">
        <w:rPr>
          <w:rFonts w:ascii="Times New Roman" w:hAnsi="Times New Roman" w:cs="Times New Roman"/>
          <w:sz w:val="24"/>
          <w:szCs w:val="24"/>
          <w:shd w:val="clear" w:color="auto" w:fill="FFFFFF"/>
          <w:lang w:val="ro-MD"/>
        </w:rPr>
        <w:t>e organele SFS</w:t>
      </w:r>
      <w:r w:rsidRPr="00DD5F1D">
        <w:rPr>
          <w:rFonts w:ascii="Times New Roman" w:hAnsi="Times New Roman" w:cs="Times New Roman"/>
          <w:sz w:val="24"/>
          <w:szCs w:val="24"/>
          <w:shd w:val="clear" w:color="auto" w:fill="FFFFFF"/>
          <w:lang w:val="ro-MD"/>
        </w:rPr>
        <w:t xml:space="preserve"> pentru contravențiile prevăzute la art. 263 alin.(2) se virează în bugetul asigurărilor sociale de stat</w:t>
      </w:r>
      <w:r w:rsidRPr="00DD5F1D">
        <w:rPr>
          <w:rStyle w:val="a5"/>
          <w:rFonts w:ascii="Times New Roman" w:hAnsi="Times New Roman" w:cs="Times New Roman"/>
          <w:sz w:val="24"/>
          <w:szCs w:val="24"/>
          <w:shd w:val="clear" w:color="auto" w:fill="FFFFFF"/>
          <w:lang w:val="ro-MD"/>
        </w:rPr>
        <w:footnoteReference w:id="88"/>
      </w:r>
      <w:r w:rsidRPr="00DD5F1D">
        <w:rPr>
          <w:rFonts w:ascii="Times New Roman" w:hAnsi="Times New Roman" w:cs="Times New Roman"/>
          <w:sz w:val="24"/>
          <w:szCs w:val="24"/>
          <w:shd w:val="clear" w:color="auto" w:fill="FFFFFF"/>
          <w:lang w:val="ro-MD"/>
        </w:rPr>
        <w:t>. Veniturile ratate estimative sunt evaluate de audit de la 34,5 mii lei până la 138,0 mii lei.</w:t>
      </w:r>
    </w:p>
    <w:p w14:paraId="2EFF649F" w14:textId="77777777" w:rsidR="006B3D62" w:rsidRPr="00DD5F1D" w:rsidRDefault="006B3D62" w:rsidP="006B3D62">
      <w:pPr>
        <w:pStyle w:val="aa"/>
        <w:spacing w:line="276" w:lineRule="auto"/>
        <w:ind w:left="0"/>
        <w:jc w:val="both"/>
        <w:rPr>
          <w:rFonts w:ascii="Times New Roman" w:hAnsi="Times New Roman" w:cs="Times New Roman"/>
          <w:b/>
          <w:sz w:val="24"/>
          <w:szCs w:val="24"/>
          <w:lang w:val="ro-MD"/>
        </w:rPr>
      </w:pPr>
    </w:p>
    <w:p w14:paraId="4C468851" w14:textId="25240748" w:rsidR="00067178" w:rsidRPr="00DD5F1D" w:rsidRDefault="00067178" w:rsidP="00067178">
      <w:pPr>
        <w:pStyle w:val="aa"/>
        <w:numPr>
          <w:ilvl w:val="1"/>
          <w:numId w:val="2"/>
        </w:numPr>
        <w:tabs>
          <w:tab w:val="left" w:pos="270"/>
        </w:tabs>
        <w:spacing w:line="276" w:lineRule="auto"/>
        <w:ind w:left="0" w:firstLine="0"/>
        <w:jc w:val="both"/>
        <w:outlineLvl w:val="1"/>
        <w:rPr>
          <w:rFonts w:ascii="Times New Roman" w:hAnsi="Times New Roman" w:cs="Times New Roman"/>
          <w:b/>
          <w:sz w:val="24"/>
          <w:szCs w:val="24"/>
          <w:lang w:val="ro-MD"/>
        </w:rPr>
      </w:pPr>
      <w:r w:rsidRPr="00DD5F1D">
        <w:rPr>
          <w:rFonts w:ascii="Times New Roman" w:hAnsi="Times New Roman" w:cs="Times New Roman"/>
          <w:b/>
          <w:sz w:val="24"/>
          <w:szCs w:val="24"/>
          <w:lang w:val="ro-MD"/>
        </w:rPr>
        <w:t>Acordarea neregulamentară (13</w:t>
      </w:r>
      <w:r w:rsidR="00F8342C" w:rsidRPr="00DD5F1D">
        <w:rPr>
          <w:rFonts w:ascii="Times New Roman" w:hAnsi="Times New Roman" w:cs="Times New Roman"/>
          <w:b/>
          <w:sz w:val="24"/>
          <w:szCs w:val="24"/>
          <w:lang w:val="ro-MD"/>
        </w:rPr>
        <w:t xml:space="preserve"> </w:t>
      </w:r>
      <w:r w:rsidRPr="00DD5F1D">
        <w:rPr>
          <w:rFonts w:ascii="Times New Roman" w:hAnsi="Times New Roman" w:cs="Times New Roman"/>
          <w:b/>
          <w:sz w:val="24"/>
          <w:szCs w:val="24"/>
          <w:lang w:val="ro-MD"/>
        </w:rPr>
        <w:t>349,6 mii lei) și restituirea parțială (2,5%) a sumelor pentru ajutorul social și ajutorul pentru perioada rece a anului influențează direct indicatorul „Ajutoare bănești” finanțate din BS prin BASS în anul 2023</w:t>
      </w:r>
      <w:r w:rsidR="00836557" w:rsidRPr="00DD5F1D">
        <w:rPr>
          <w:rFonts w:ascii="Times New Roman" w:hAnsi="Times New Roman" w:cs="Times New Roman"/>
          <w:b/>
          <w:sz w:val="24"/>
          <w:szCs w:val="24"/>
          <w:lang w:val="ro-MD"/>
        </w:rPr>
        <w:t>.</w:t>
      </w:r>
    </w:p>
    <w:p w14:paraId="48E86EB5" w14:textId="0298BA8C" w:rsidR="00067178" w:rsidRPr="00DD5F1D" w:rsidRDefault="00067178" w:rsidP="00067178">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Ajutorul social </w:t>
      </w:r>
      <w:r w:rsidRPr="00DD5F1D">
        <w:rPr>
          <w:rFonts w:ascii="Times New Roman" w:hAnsi="Times New Roman" w:cs="Times New Roman"/>
          <w:iCs/>
          <w:sz w:val="24"/>
          <w:szCs w:val="24"/>
          <w:lang w:val="ro-MD"/>
        </w:rPr>
        <w:t xml:space="preserve">este o plată </w:t>
      </w:r>
      <w:r w:rsidRPr="00DD5F1D">
        <w:rPr>
          <w:rFonts w:ascii="Times New Roman" w:hAnsi="Times New Roman" w:cs="Times New Roman"/>
          <w:sz w:val="24"/>
          <w:szCs w:val="24"/>
          <w:lang w:val="ro-MD"/>
        </w:rPr>
        <w:t xml:space="preserve">lunară în bani acordată familiilor defavorizate, pentru care în anul 2023 au fost utilizate </w:t>
      </w:r>
      <w:r w:rsidRPr="00DD5F1D">
        <w:rPr>
          <w:rFonts w:ascii="Times New Roman" w:eastAsia="Times New Roman" w:hAnsi="Times New Roman" w:cs="Times New Roman"/>
          <w:sz w:val="24"/>
          <w:szCs w:val="24"/>
          <w:lang w:val="ro-MD"/>
        </w:rPr>
        <w:t xml:space="preserve">699 963,3 mii lei, </w:t>
      </w:r>
      <w:r w:rsidRPr="00DD5F1D">
        <w:rPr>
          <w:rFonts w:ascii="Times New Roman" w:hAnsi="Times New Roman" w:cs="Times New Roman"/>
          <w:sz w:val="24"/>
          <w:szCs w:val="24"/>
          <w:lang w:val="ro-MD"/>
        </w:rPr>
        <w:t xml:space="preserve">iar ajutorul pentru perioada rece a anului s-a acordat acestui contingent pentru lunile ianuarie-martie 2023 în valoare totală de </w:t>
      </w:r>
      <w:r w:rsidRPr="00DD5F1D">
        <w:rPr>
          <w:rFonts w:ascii="Times New Roman" w:eastAsia="Times New Roman" w:hAnsi="Times New Roman" w:cs="Times New Roman"/>
          <w:sz w:val="24"/>
          <w:szCs w:val="24"/>
          <w:lang w:val="ro-MD"/>
        </w:rPr>
        <w:t>641 320,0 mii lei</w:t>
      </w:r>
      <w:r w:rsidRPr="00DD5F1D">
        <w:rPr>
          <w:rFonts w:ascii="Times New Roman" w:hAnsi="Times New Roman" w:cs="Times New Roman"/>
          <w:sz w:val="24"/>
          <w:szCs w:val="24"/>
          <w:lang w:val="ro-MD"/>
        </w:rPr>
        <w:t xml:space="preserve">. </w:t>
      </w:r>
      <w:r w:rsidR="00291DD1">
        <w:rPr>
          <w:rFonts w:ascii="Times New Roman" w:hAnsi="Times New Roman" w:cs="Times New Roman"/>
          <w:sz w:val="24"/>
          <w:szCs w:val="24"/>
          <w:lang w:val="ro-MD"/>
        </w:rPr>
        <w:t>D</w:t>
      </w:r>
      <w:r w:rsidRPr="00DD5F1D">
        <w:rPr>
          <w:rFonts w:ascii="Times New Roman" w:hAnsi="Times New Roman" w:cs="Times New Roman"/>
          <w:sz w:val="24"/>
          <w:szCs w:val="24"/>
          <w:lang w:val="ro-MD"/>
        </w:rPr>
        <w:t>reptul la ajutor social și/sau ajutor pentru perioada rece a anului se acordă de către structurile teritoriale de asistență socială, iar evidenț</w:t>
      </w:r>
      <w:r w:rsidR="00291DD1">
        <w:rPr>
          <w:rFonts w:ascii="Times New Roman" w:hAnsi="Times New Roman" w:cs="Times New Roman"/>
          <w:sz w:val="24"/>
          <w:szCs w:val="24"/>
          <w:lang w:val="ro-MD"/>
        </w:rPr>
        <w:t>a</w:t>
      </w:r>
      <w:r w:rsidRPr="00DD5F1D">
        <w:rPr>
          <w:rFonts w:ascii="Times New Roman" w:hAnsi="Times New Roman" w:cs="Times New Roman"/>
          <w:sz w:val="24"/>
          <w:szCs w:val="24"/>
          <w:lang w:val="ro-MD"/>
        </w:rPr>
        <w:t xml:space="preserve"> plății</w:t>
      </w:r>
      <w:r w:rsidR="00291DD1" w:rsidRPr="00291DD1">
        <w:rPr>
          <w:rFonts w:ascii="Times New Roman" w:hAnsi="Times New Roman" w:cs="Times New Roman"/>
          <w:sz w:val="24"/>
          <w:szCs w:val="24"/>
          <w:lang w:val="ro-MD"/>
        </w:rPr>
        <w:t xml:space="preserve"> </w:t>
      </w:r>
      <w:r w:rsidR="00291DD1">
        <w:rPr>
          <w:rFonts w:ascii="Times New Roman" w:hAnsi="Times New Roman" w:cs="Times New Roman"/>
          <w:sz w:val="24"/>
          <w:szCs w:val="24"/>
          <w:lang w:val="ro-MD"/>
        </w:rPr>
        <w:t xml:space="preserve">este </w:t>
      </w:r>
      <w:r w:rsidR="00291DD1" w:rsidRPr="00DD5F1D">
        <w:rPr>
          <w:rFonts w:ascii="Times New Roman" w:hAnsi="Times New Roman" w:cs="Times New Roman"/>
          <w:sz w:val="24"/>
          <w:szCs w:val="24"/>
          <w:lang w:val="ro-MD"/>
        </w:rPr>
        <w:t>asigura</w:t>
      </w:r>
      <w:r w:rsidR="00291DD1">
        <w:rPr>
          <w:rFonts w:ascii="Times New Roman" w:hAnsi="Times New Roman" w:cs="Times New Roman"/>
          <w:sz w:val="24"/>
          <w:szCs w:val="24"/>
          <w:lang w:val="ro-MD"/>
        </w:rPr>
        <w:t xml:space="preserve">tă </w:t>
      </w:r>
      <w:r w:rsidRPr="00DD5F1D">
        <w:rPr>
          <w:rFonts w:ascii="Times New Roman" w:hAnsi="Times New Roman" w:cs="Times New Roman"/>
          <w:sz w:val="24"/>
          <w:szCs w:val="24"/>
          <w:lang w:val="ro-MD"/>
        </w:rPr>
        <w:t xml:space="preserve">de către </w:t>
      </w:r>
      <w:r w:rsidR="00291DD1">
        <w:rPr>
          <w:rFonts w:ascii="Times New Roman" w:hAnsi="Times New Roman" w:cs="Times New Roman"/>
          <w:sz w:val="24"/>
          <w:szCs w:val="24"/>
          <w:lang w:val="ro-MD"/>
        </w:rPr>
        <w:t>CNAS</w:t>
      </w:r>
      <w:r w:rsidRPr="00DD5F1D">
        <w:rPr>
          <w:rFonts w:ascii="Times New Roman" w:hAnsi="Times New Roman" w:cs="Times New Roman"/>
          <w:sz w:val="24"/>
          <w:szCs w:val="24"/>
          <w:lang w:val="ro-MD"/>
        </w:rPr>
        <w:t xml:space="preserve"> prin intermediul MPay, verificarea modului de aplicare corectă şi unitară a cadrului regulamentar </w:t>
      </w:r>
      <w:r w:rsidR="00C865B1" w:rsidRPr="00DD5F1D">
        <w:rPr>
          <w:rFonts w:ascii="Times New Roman" w:hAnsi="Times New Roman" w:cs="Times New Roman"/>
          <w:sz w:val="24"/>
          <w:szCs w:val="24"/>
          <w:lang w:val="ro-MD"/>
        </w:rPr>
        <w:t>sunt</w:t>
      </w:r>
      <w:r w:rsidRPr="00DD5F1D">
        <w:rPr>
          <w:rFonts w:ascii="Times New Roman" w:hAnsi="Times New Roman" w:cs="Times New Roman"/>
          <w:sz w:val="24"/>
          <w:szCs w:val="24"/>
          <w:lang w:val="ro-MD"/>
        </w:rPr>
        <w:t xml:space="preserve"> efectuat</w:t>
      </w:r>
      <w:r w:rsidR="00C865B1" w:rsidRPr="00DD5F1D">
        <w:rPr>
          <w:rFonts w:ascii="Times New Roman" w:hAnsi="Times New Roman" w:cs="Times New Roman"/>
          <w:sz w:val="24"/>
          <w:szCs w:val="24"/>
          <w:lang w:val="ro-MD"/>
        </w:rPr>
        <w:t>e</w:t>
      </w:r>
      <w:r w:rsidRPr="00DD5F1D">
        <w:rPr>
          <w:rFonts w:ascii="Times New Roman" w:hAnsi="Times New Roman" w:cs="Times New Roman"/>
          <w:sz w:val="24"/>
          <w:szCs w:val="24"/>
          <w:lang w:val="ro-MD"/>
        </w:rPr>
        <w:t xml:space="preserve"> de Inspectoratul Social de Stat</w:t>
      </w:r>
      <w:r w:rsidRPr="00DD5F1D">
        <w:rPr>
          <w:rStyle w:val="a5"/>
          <w:rFonts w:ascii="Times New Roman" w:eastAsiaTheme="majorEastAsia" w:hAnsi="Times New Roman" w:cs="Times New Roman"/>
          <w:sz w:val="24"/>
          <w:szCs w:val="24"/>
          <w:lang w:val="ro-MD"/>
        </w:rPr>
        <w:footnoteReference w:id="89"/>
      </w:r>
      <w:r w:rsidRPr="00DD5F1D">
        <w:rPr>
          <w:rFonts w:ascii="Times New Roman" w:hAnsi="Times New Roman" w:cs="Times New Roman"/>
          <w:sz w:val="24"/>
          <w:szCs w:val="24"/>
          <w:lang w:val="ro-MD"/>
        </w:rPr>
        <w:t>.</w:t>
      </w:r>
    </w:p>
    <w:p w14:paraId="571B2BC7" w14:textId="4FE46860" w:rsidR="00507C70" w:rsidRPr="00DD5F1D" w:rsidRDefault="00067178" w:rsidP="00BB6D30">
      <w:pPr>
        <w:spacing w:before="24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Pe parcursul anilor 2018-2023 se menține o tendință a ponderii majore a mijloacelor calculate și achitate neregulamentar, aceasta variind de la 16,2% până la 57,9%, situație reflectată în tabelul următor.</w:t>
      </w:r>
    </w:p>
    <w:p w14:paraId="4F73617D" w14:textId="1ABCC696" w:rsidR="00067178" w:rsidRPr="00DD5F1D" w:rsidRDefault="00067178" w:rsidP="00067178">
      <w:pPr>
        <w:spacing w:after="0" w:line="276" w:lineRule="auto"/>
        <w:ind w:firstLine="720"/>
        <w:jc w:val="right"/>
        <w:rPr>
          <w:rFonts w:ascii="Times New Roman" w:hAnsi="Times New Roman" w:cs="Times New Roman"/>
          <w:b/>
          <w:szCs w:val="24"/>
          <w:lang w:val="ro-MD"/>
        </w:rPr>
      </w:pPr>
      <w:r w:rsidRPr="00DD5F1D">
        <w:rPr>
          <w:rFonts w:ascii="Times New Roman" w:hAnsi="Times New Roman" w:cs="Times New Roman"/>
          <w:b/>
          <w:szCs w:val="24"/>
          <w:lang w:val="ro-MD"/>
        </w:rPr>
        <w:t>Tabelul nr. 1</w:t>
      </w:r>
      <w:r w:rsidR="0021536C" w:rsidRPr="00DD5F1D">
        <w:rPr>
          <w:rFonts w:ascii="Times New Roman" w:hAnsi="Times New Roman" w:cs="Times New Roman"/>
          <w:b/>
          <w:szCs w:val="24"/>
          <w:lang w:val="ro-MD"/>
        </w:rPr>
        <w:t>4</w:t>
      </w:r>
    </w:p>
    <w:p w14:paraId="186FCF7B" w14:textId="77777777" w:rsidR="00067178" w:rsidRPr="00DD5F1D" w:rsidRDefault="00067178" w:rsidP="00067178">
      <w:pPr>
        <w:spacing w:after="0" w:line="276" w:lineRule="auto"/>
        <w:ind w:firstLine="720"/>
        <w:jc w:val="center"/>
        <w:rPr>
          <w:rFonts w:ascii="Times New Roman" w:hAnsi="Times New Roman" w:cs="Times New Roman"/>
          <w:b/>
          <w:szCs w:val="24"/>
          <w:lang w:val="ro-MD"/>
        </w:rPr>
      </w:pPr>
      <w:r w:rsidRPr="00DD5F1D">
        <w:rPr>
          <w:rFonts w:ascii="Times New Roman" w:hAnsi="Times New Roman" w:cs="Times New Roman"/>
          <w:b/>
          <w:szCs w:val="24"/>
          <w:lang w:val="ro-MD"/>
        </w:rPr>
        <w:t xml:space="preserve">Analiza iregularităților identificate de Inspecția Socială la acordarea AS și APRA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466"/>
        <w:gridCol w:w="3154"/>
        <w:gridCol w:w="2464"/>
      </w:tblGrid>
      <w:tr w:rsidR="00067178" w:rsidRPr="00DD5F1D" w14:paraId="5AD88A85" w14:textId="77777777" w:rsidTr="00C52FE0">
        <w:trPr>
          <w:trHeight w:val="20"/>
        </w:trPr>
        <w:tc>
          <w:tcPr>
            <w:tcW w:w="968" w:type="pct"/>
            <w:shd w:val="clear" w:color="auto" w:fill="auto"/>
            <w:vAlign w:val="center"/>
            <w:hideMark/>
          </w:tcPr>
          <w:p w14:paraId="147757B6" w14:textId="77777777" w:rsidR="00067178" w:rsidRPr="00DD5F1D" w:rsidRDefault="00067178" w:rsidP="00C52FE0">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Anul</w:t>
            </w:r>
          </w:p>
        </w:tc>
        <w:tc>
          <w:tcPr>
            <w:tcW w:w="1230" w:type="pct"/>
            <w:shd w:val="clear" w:color="auto" w:fill="auto"/>
            <w:vAlign w:val="center"/>
            <w:hideMark/>
          </w:tcPr>
          <w:p w14:paraId="416C932B" w14:textId="77777777" w:rsidR="00067178" w:rsidRPr="00DD5F1D" w:rsidRDefault="00067178" w:rsidP="00C52FE0">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 xml:space="preserve">Suma verificată, </w:t>
            </w:r>
          </w:p>
          <w:p w14:paraId="7D56BF58" w14:textId="77777777" w:rsidR="00067178" w:rsidRPr="00DD5F1D" w:rsidRDefault="00067178" w:rsidP="00C52FE0">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mii lei</w:t>
            </w:r>
          </w:p>
        </w:tc>
        <w:tc>
          <w:tcPr>
            <w:tcW w:w="1573" w:type="pct"/>
            <w:shd w:val="clear" w:color="auto" w:fill="auto"/>
            <w:vAlign w:val="center"/>
            <w:hideMark/>
          </w:tcPr>
          <w:p w14:paraId="03F7944D" w14:textId="77777777" w:rsidR="00067178" w:rsidRPr="00DD5F1D" w:rsidRDefault="00067178" w:rsidP="00C52FE0">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Suma depistată cu iregularități, mii lei</w:t>
            </w:r>
          </w:p>
        </w:tc>
        <w:tc>
          <w:tcPr>
            <w:tcW w:w="1230" w:type="pct"/>
            <w:shd w:val="clear" w:color="auto" w:fill="auto"/>
            <w:vAlign w:val="center"/>
            <w:hideMark/>
          </w:tcPr>
          <w:p w14:paraId="4C00EEDE" w14:textId="77777777" w:rsidR="00067178" w:rsidRPr="00DD5F1D" w:rsidRDefault="00067178" w:rsidP="00C52FE0">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Ponderea, %</w:t>
            </w:r>
          </w:p>
        </w:tc>
      </w:tr>
      <w:tr w:rsidR="00067178" w:rsidRPr="00DD5F1D" w14:paraId="11C1560B" w14:textId="77777777" w:rsidTr="00C52FE0">
        <w:trPr>
          <w:trHeight w:val="20"/>
        </w:trPr>
        <w:tc>
          <w:tcPr>
            <w:tcW w:w="968" w:type="pct"/>
            <w:shd w:val="clear" w:color="auto" w:fill="auto"/>
            <w:vAlign w:val="center"/>
            <w:hideMark/>
          </w:tcPr>
          <w:p w14:paraId="40470248" w14:textId="77777777" w:rsidR="00067178" w:rsidRPr="00DD5F1D" w:rsidRDefault="00067178" w:rsidP="00C52FE0">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2018</w:t>
            </w:r>
          </w:p>
        </w:tc>
        <w:tc>
          <w:tcPr>
            <w:tcW w:w="1230" w:type="pct"/>
            <w:shd w:val="clear" w:color="auto" w:fill="auto"/>
            <w:vAlign w:val="center"/>
            <w:hideMark/>
          </w:tcPr>
          <w:p w14:paraId="7F2F688E"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8 803,1</w:t>
            </w:r>
          </w:p>
        </w:tc>
        <w:tc>
          <w:tcPr>
            <w:tcW w:w="1573" w:type="pct"/>
            <w:shd w:val="clear" w:color="auto" w:fill="auto"/>
            <w:vAlign w:val="center"/>
            <w:hideMark/>
          </w:tcPr>
          <w:p w14:paraId="58CB1F13"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1 426,1</w:t>
            </w:r>
          </w:p>
        </w:tc>
        <w:tc>
          <w:tcPr>
            <w:tcW w:w="1230" w:type="pct"/>
            <w:shd w:val="clear" w:color="auto" w:fill="auto"/>
            <w:vAlign w:val="center"/>
            <w:hideMark/>
          </w:tcPr>
          <w:p w14:paraId="0373EFC0"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16,2%</w:t>
            </w:r>
          </w:p>
        </w:tc>
      </w:tr>
      <w:tr w:rsidR="00067178" w:rsidRPr="00DD5F1D" w14:paraId="570D3B63" w14:textId="77777777" w:rsidTr="00C52FE0">
        <w:trPr>
          <w:trHeight w:val="20"/>
        </w:trPr>
        <w:tc>
          <w:tcPr>
            <w:tcW w:w="968" w:type="pct"/>
            <w:shd w:val="clear" w:color="auto" w:fill="auto"/>
            <w:vAlign w:val="center"/>
            <w:hideMark/>
          </w:tcPr>
          <w:p w14:paraId="410EADCD" w14:textId="77777777" w:rsidR="00067178" w:rsidRPr="00DD5F1D" w:rsidRDefault="00067178" w:rsidP="00C52FE0">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2019</w:t>
            </w:r>
          </w:p>
        </w:tc>
        <w:tc>
          <w:tcPr>
            <w:tcW w:w="1230" w:type="pct"/>
            <w:shd w:val="clear" w:color="auto" w:fill="auto"/>
            <w:vAlign w:val="center"/>
            <w:hideMark/>
          </w:tcPr>
          <w:p w14:paraId="6B2E6816"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6 934,1</w:t>
            </w:r>
          </w:p>
        </w:tc>
        <w:tc>
          <w:tcPr>
            <w:tcW w:w="1573" w:type="pct"/>
            <w:shd w:val="clear" w:color="auto" w:fill="auto"/>
            <w:vAlign w:val="center"/>
            <w:hideMark/>
          </w:tcPr>
          <w:p w14:paraId="6E5C134B"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2 198,9</w:t>
            </w:r>
          </w:p>
        </w:tc>
        <w:tc>
          <w:tcPr>
            <w:tcW w:w="1230" w:type="pct"/>
            <w:shd w:val="clear" w:color="auto" w:fill="auto"/>
            <w:vAlign w:val="center"/>
            <w:hideMark/>
          </w:tcPr>
          <w:p w14:paraId="5D5D1576"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31,7%</w:t>
            </w:r>
          </w:p>
        </w:tc>
      </w:tr>
      <w:tr w:rsidR="00067178" w:rsidRPr="00DD5F1D" w14:paraId="2B782B7E" w14:textId="77777777" w:rsidTr="00C52FE0">
        <w:trPr>
          <w:trHeight w:val="20"/>
        </w:trPr>
        <w:tc>
          <w:tcPr>
            <w:tcW w:w="968" w:type="pct"/>
            <w:shd w:val="clear" w:color="auto" w:fill="auto"/>
            <w:vAlign w:val="center"/>
            <w:hideMark/>
          </w:tcPr>
          <w:p w14:paraId="31AC37E8" w14:textId="77777777" w:rsidR="00067178" w:rsidRPr="00DD5F1D" w:rsidRDefault="00067178" w:rsidP="00C52FE0">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2020</w:t>
            </w:r>
          </w:p>
        </w:tc>
        <w:tc>
          <w:tcPr>
            <w:tcW w:w="1230" w:type="pct"/>
            <w:shd w:val="clear" w:color="auto" w:fill="auto"/>
            <w:vAlign w:val="center"/>
            <w:hideMark/>
          </w:tcPr>
          <w:p w14:paraId="36E98B2F"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8 304,7</w:t>
            </w:r>
          </w:p>
        </w:tc>
        <w:tc>
          <w:tcPr>
            <w:tcW w:w="1573" w:type="pct"/>
            <w:shd w:val="clear" w:color="auto" w:fill="auto"/>
            <w:vAlign w:val="center"/>
            <w:hideMark/>
          </w:tcPr>
          <w:p w14:paraId="388D63FD"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2 437,4</w:t>
            </w:r>
          </w:p>
        </w:tc>
        <w:tc>
          <w:tcPr>
            <w:tcW w:w="1230" w:type="pct"/>
            <w:shd w:val="clear" w:color="auto" w:fill="auto"/>
            <w:vAlign w:val="center"/>
            <w:hideMark/>
          </w:tcPr>
          <w:p w14:paraId="2341B98D"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29,3%</w:t>
            </w:r>
          </w:p>
        </w:tc>
      </w:tr>
      <w:tr w:rsidR="00067178" w:rsidRPr="00DD5F1D" w14:paraId="596E4286" w14:textId="77777777" w:rsidTr="00C52FE0">
        <w:trPr>
          <w:trHeight w:val="20"/>
        </w:trPr>
        <w:tc>
          <w:tcPr>
            <w:tcW w:w="968" w:type="pct"/>
            <w:shd w:val="clear" w:color="auto" w:fill="auto"/>
            <w:vAlign w:val="center"/>
            <w:hideMark/>
          </w:tcPr>
          <w:p w14:paraId="3C294F60" w14:textId="77777777" w:rsidR="00067178" w:rsidRPr="00DD5F1D" w:rsidRDefault="00067178" w:rsidP="00C52FE0">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2021</w:t>
            </w:r>
          </w:p>
        </w:tc>
        <w:tc>
          <w:tcPr>
            <w:tcW w:w="1230" w:type="pct"/>
            <w:shd w:val="clear" w:color="000000" w:fill="FFFFFF"/>
            <w:vAlign w:val="center"/>
            <w:hideMark/>
          </w:tcPr>
          <w:p w14:paraId="17D6DE1C"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10 173,2</w:t>
            </w:r>
          </w:p>
        </w:tc>
        <w:tc>
          <w:tcPr>
            <w:tcW w:w="1573" w:type="pct"/>
            <w:shd w:val="clear" w:color="000000" w:fill="FFFFFF"/>
            <w:vAlign w:val="center"/>
            <w:hideMark/>
          </w:tcPr>
          <w:p w14:paraId="29138F8C"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2 826,5</w:t>
            </w:r>
          </w:p>
        </w:tc>
        <w:tc>
          <w:tcPr>
            <w:tcW w:w="1230" w:type="pct"/>
            <w:shd w:val="clear" w:color="auto" w:fill="auto"/>
            <w:vAlign w:val="center"/>
            <w:hideMark/>
          </w:tcPr>
          <w:p w14:paraId="6E76AA40"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27,8%</w:t>
            </w:r>
          </w:p>
        </w:tc>
      </w:tr>
      <w:tr w:rsidR="00067178" w:rsidRPr="00DD5F1D" w14:paraId="6F72D38A" w14:textId="77777777" w:rsidTr="00C52FE0">
        <w:trPr>
          <w:trHeight w:val="20"/>
        </w:trPr>
        <w:tc>
          <w:tcPr>
            <w:tcW w:w="968" w:type="pct"/>
            <w:shd w:val="clear" w:color="auto" w:fill="auto"/>
            <w:vAlign w:val="center"/>
            <w:hideMark/>
          </w:tcPr>
          <w:p w14:paraId="75FAF075" w14:textId="77777777" w:rsidR="00067178" w:rsidRPr="00DD5F1D" w:rsidRDefault="00067178" w:rsidP="00C52FE0">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2022</w:t>
            </w:r>
          </w:p>
        </w:tc>
        <w:tc>
          <w:tcPr>
            <w:tcW w:w="1230" w:type="pct"/>
            <w:shd w:val="clear" w:color="auto" w:fill="auto"/>
            <w:noWrap/>
            <w:vAlign w:val="bottom"/>
            <w:hideMark/>
          </w:tcPr>
          <w:p w14:paraId="36E7BA48"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10 133,9</w:t>
            </w:r>
          </w:p>
        </w:tc>
        <w:tc>
          <w:tcPr>
            <w:tcW w:w="1573" w:type="pct"/>
            <w:shd w:val="clear" w:color="auto" w:fill="auto"/>
            <w:noWrap/>
            <w:vAlign w:val="bottom"/>
            <w:hideMark/>
          </w:tcPr>
          <w:p w14:paraId="72E226B5"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2 625,8</w:t>
            </w:r>
          </w:p>
        </w:tc>
        <w:tc>
          <w:tcPr>
            <w:tcW w:w="1230" w:type="pct"/>
            <w:shd w:val="clear" w:color="auto" w:fill="auto"/>
            <w:vAlign w:val="center"/>
            <w:hideMark/>
          </w:tcPr>
          <w:p w14:paraId="68F3E3B0"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25,9%</w:t>
            </w:r>
          </w:p>
        </w:tc>
      </w:tr>
      <w:tr w:rsidR="00067178" w:rsidRPr="00DD5F1D" w14:paraId="328FA63B" w14:textId="77777777" w:rsidTr="00C52FE0">
        <w:trPr>
          <w:trHeight w:val="20"/>
        </w:trPr>
        <w:tc>
          <w:tcPr>
            <w:tcW w:w="968" w:type="pct"/>
            <w:shd w:val="clear" w:color="auto" w:fill="auto"/>
            <w:vAlign w:val="center"/>
          </w:tcPr>
          <w:p w14:paraId="232A57F6" w14:textId="77777777" w:rsidR="00067178" w:rsidRPr="00DD5F1D" w:rsidRDefault="00067178" w:rsidP="00C52FE0">
            <w:pPr>
              <w:spacing w:after="0" w:line="240" w:lineRule="auto"/>
              <w:jc w:val="center"/>
              <w:rPr>
                <w:rFonts w:ascii="Times New Roman" w:eastAsia="Times New Roman" w:hAnsi="Times New Roman" w:cs="Times New Roman"/>
                <w:b/>
                <w:bCs/>
                <w:sz w:val="20"/>
                <w:szCs w:val="24"/>
                <w:lang w:val="ro-MD"/>
              </w:rPr>
            </w:pPr>
            <w:r w:rsidRPr="00DD5F1D">
              <w:rPr>
                <w:rFonts w:ascii="Times New Roman" w:eastAsia="Times New Roman" w:hAnsi="Times New Roman" w:cs="Times New Roman"/>
                <w:b/>
                <w:bCs/>
                <w:sz w:val="20"/>
                <w:szCs w:val="24"/>
                <w:lang w:val="ro-MD"/>
              </w:rPr>
              <w:t>2023</w:t>
            </w:r>
          </w:p>
        </w:tc>
        <w:tc>
          <w:tcPr>
            <w:tcW w:w="1230" w:type="pct"/>
            <w:shd w:val="clear" w:color="auto" w:fill="auto"/>
            <w:noWrap/>
            <w:vAlign w:val="bottom"/>
          </w:tcPr>
          <w:p w14:paraId="2A7D318A"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hAnsi="Times New Roman" w:cs="Times New Roman"/>
                <w:sz w:val="20"/>
                <w:szCs w:val="24"/>
                <w:lang w:val="ro-MD"/>
              </w:rPr>
              <w:t>24 071,9</w:t>
            </w:r>
          </w:p>
        </w:tc>
        <w:tc>
          <w:tcPr>
            <w:tcW w:w="1573" w:type="pct"/>
            <w:shd w:val="clear" w:color="auto" w:fill="auto"/>
            <w:noWrap/>
            <w:vAlign w:val="bottom"/>
          </w:tcPr>
          <w:p w14:paraId="1FE24550"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hAnsi="Times New Roman" w:cs="Times New Roman"/>
                <w:sz w:val="20"/>
                <w:szCs w:val="24"/>
                <w:lang w:val="ro-MD"/>
              </w:rPr>
              <w:t>13 948,8</w:t>
            </w:r>
          </w:p>
        </w:tc>
        <w:tc>
          <w:tcPr>
            <w:tcW w:w="1230" w:type="pct"/>
            <w:shd w:val="clear" w:color="auto" w:fill="auto"/>
            <w:vAlign w:val="center"/>
          </w:tcPr>
          <w:p w14:paraId="4689E128" w14:textId="77777777" w:rsidR="00067178" w:rsidRPr="00DD5F1D" w:rsidRDefault="00067178" w:rsidP="00C52FE0">
            <w:pPr>
              <w:spacing w:after="0" w:line="240"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57,9%</w:t>
            </w:r>
          </w:p>
        </w:tc>
      </w:tr>
    </w:tbl>
    <w:p w14:paraId="4BE8F216" w14:textId="767DC023" w:rsidR="00067178" w:rsidRPr="00DD5F1D" w:rsidRDefault="00067178" w:rsidP="00067178">
      <w:pPr>
        <w:spacing w:line="276" w:lineRule="auto"/>
        <w:jc w:val="both"/>
        <w:rPr>
          <w:rFonts w:ascii="Times New Roman" w:hAnsi="Times New Roman" w:cs="Times New Roman"/>
          <w:i/>
          <w:sz w:val="20"/>
          <w:szCs w:val="20"/>
          <w:lang w:val="ro-MD"/>
        </w:rPr>
      </w:pPr>
      <w:r w:rsidRPr="00DD5F1D">
        <w:rPr>
          <w:rFonts w:ascii="Times New Roman" w:hAnsi="Times New Roman" w:cs="Times New Roman"/>
          <w:b/>
          <w:i/>
          <w:sz w:val="20"/>
          <w:szCs w:val="20"/>
          <w:lang w:val="ro-MD"/>
        </w:rPr>
        <w:t>Sursă</w:t>
      </w:r>
      <w:r w:rsidRPr="00DD5F1D">
        <w:rPr>
          <w:rFonts w:ascii="Times New Roman" w:hAnsi="Times New Roman" w:cs="Times New Roman"/>
          <w:i/>
          <w:sz w:val="20"/>
          <w:szCs w:val="20"/>
          <w:lang w:val="ro-MD"/>
        </w:rPr>
        <w:t xml:space="preserve">: </w:t>
      </w:r>
      <w:r w:rsidR="00C52FE0" w:rsidRPr="00DD5F1D">
        <w:rPr>
          <w:rFonts w:ascii="Times New Roman" w:hAnsi="Times New Roman" w:cs="Times New Roman"/>
          <w:i/>
          <w:sz w:val="20"/>
          <w:szCs w:val="20"/>
          <w:lang w:val="ro-MD"/>
        </w:rPr>
        <w:t>Elaborat de audit în baza informațiilor</w:t>
      </w:r>
      <w:r w:rsidRPr="00DD5F1D">
        <w:rPr>
          <w:rFonts w:ascii="Times New Roman" w:hAnsi="Times New Roman" w:cs="Times New Roman"/>
          <w:i/>
          <w:sz w:val="20"/>
          <w:szCs w:val="20"/>
          <w:lang w:val="ro-MD"/>
        </w:rPr>
        <w:t xml:space="preserve"> Inspecț</w:t>
      </w:r>
      <w:r w:rsidR="00C52FE0" w:rsidRPr="00DD5F1D">
        <w:rPr>
          <w:rFonts w:ascii="Times New Roman" w:hAnsi="Times New Roman" w:cs="Times New Roman"/>
          <w:i/>
          <w:sz w:val="20"/>
          <w:szCs w:val="20"/>
          <w:lang w:val="ro-MD"/>
        </w:rPr>
        <w:t>iei Sociale privind rezultatele</w:t>
      </w:r>
      <w:r w:rsidRPr="00DD5F1D">
        <w:rPr>
          <w:rFonts w:ascii="Times New Roman" w:hAnsi="Times New Roman" w:cs="Times New Roman"/>
          <w:i/>
          <w:sz w:val="20"/>
          <w:szCs w:val="20"/>
          <w:lang w:val="ro-MD"/>
        </w:rPr>
        <w:t xml:space="preserve"> inspectări</w:t>
      </w:r>
      <w:r w:rsidR="00C52FE0" w:rsidRPr="00DD5F1D">
        <w:rPr>
          <w:rFonts w:ascii="Times New Roman" w:hAnsi="Times New Roman" w:cs="Times New Roman"/>
          <w:i/>
          <w:sz w:val="20"/>
          <w:szCs w:val="20"/>
          <w:lang w:val="ro-MD"/>
        </w:rPr>
        <w:t>lor</w:t>
      </w:r>
      <w:r w:rsidRPr="00DD5F1D">
        <w:rPr>
          <w:rFonts w:ascii="Times New Roman" w:hAnsi="Times New Roman" w:cs="Times New Roman"/>
          <w:i/>
          <w:sz w:val="20"/>
          <w:szCs w:val="20"/>
          <w:lang w:val="ro-MD"/>
        </w:rPr>
        <w:t xml:space="preserve"> pentru anii 2018-2023.</w:t>
      </w:r>
    </w:p>
    <w:p w14:paraId="429C08DD" w14:textId="3F486D7D" w:rsidR="00067178" w:rsidRPr="00DD5F1D" w:rsidRDefault="00067178" w:rsidP="00067178">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Comparativ cu anii precedenți, în anul 2023 suma verificată (24 071,0 mii lei)</w:t>
      </w:r>
      <w:r w:rsidR="00C865B1"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precum și suma înaintată spre restituire (13 948,8 mii lei) s-a majorat esențial, fapt care se datorează modificării procedurii de selectare a eșantionului de control efectuate de Inspectoratul Social de Stat, fiind incluse noi criterii de risc. Totodată, a fost majorată perioada supusă controlului pentru cazurile constatate cu iregularități, fiind analizat istoricul familiilor pentru care s-a stabilit ilegal dreptul la ajutor social, inclusiv pentru perioadele precedente. </w:t>
      </w:r>
    </w:p>
    <w:p w14:paraId="770CDC13" w14:textId="62A6EB15" w:rsidR="00067178" w:rsidRPr="00DD5F1D" w:rsidRDefault="00067178" w:rsidP="00067178">
      <w:pPr>
        <w:shd w:val="clear" w:color="auto" w:fill="FFFFFF"/>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Pentru restituirea sumelor primite necuvenit, structura teritorială de asistență socială întocmește și prezintă </w:t>
      </w:r>
      <w:r w:rsidR="00F8342C" w:rsidRPr="00DD5F1D">
        <w:rPr>
          <w:rFonts w:ascii="Times New Roman" w:hAnsi="Times New Roman" w:cs="Times New Roman"/>
          <w:sz w:val="24"/>
          <w:szCs w:val="24"/>
          <w:lang w:val="ro-MD"/>
        </w:rPr>
        <w:t>CNAS,</w:t>
      </w:r>
      <w:r w:rsidRPr="00DD5F1D">
        <w:rPr>
          <w:rFonts w:ascii="Times New Roman" w:hAnsi="Times New Roman" w:cs="Times New Roman"/>
          <w:sz w:val="24"/>
          <w:szCs w:val="24"/>
          <w:lang w:val="ro-MD"/>
        </w:rPr>
        <w:t xml:space="preserve"> un demers privind restituirea sumelor, iar </w:t>
      </w:r>
      <w:r w:rsidR="00F8342C" w:rsidRPr="00DD5F1D">
        <w:rPr>
          <w:rFonts w:ascii="Times New Roman" w:hAnsi="Times New Roman" w:cs="Times New Roman"/>
          <w:sz w:val="24"/>
          <w:szCs w:val="24"/>
          <w:lang w:val="ro-MD"/>
        </w:rPr>
        <w:t>ultima</w:t>
      </w:r>
      <w:r w:rsidRPr="00DD5F1D">
        <w:rPr>
          <w:rFonts w:ascii="Times New Roman" w:hAnsi="Times New Roman" w:cs="Times New Roman"/>
          <w:sz w:val="24"/>
          <w:szCs w:val="24"/>
          <w:lang w:val="ro-MD"/>
        </w:rPr>
        <w:t xml:space="preserve"> întocmește și transmite prestatorului de servicii de plată prin intermediul serviciului guvernamental de plăți electronice (MPay) decizia privind restituirea sumelor. În cazul în care sumele plăților necuvenite nu pot fi restituite de către prestatorul de servicii de plată, CNAS notifică despre aceasta structura teritorială de asistență socială, care întreprinde măsurile ce se impun conform legislației, pentru recuperarea sumei de la persoana care le-a primit. </w:t>
      </w:r>
    </w:p>
    <w:p w14:paraId="4363C448" w14:textId="69312E7F" w:rsidR="00067178" w:rsidRPr="00DD5F1D" w:rsidRDefault="00291DD1" w:rsidP="00067178">
      <w:pPr>
        <w:spacing w:after="0"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S</w:t>
      </w:r>
      <w:r w:rsidR="00067178" w:rsidRPr="00DD5F1D">
        <w:rPr>
          <w:rFonts w:ascii="Times New Roman" w:hAnsi="Times New Roman" w:cs="Times New Roman"/>
          <w:sz w:val="24"/>
          <w:szCs w:val="24"/>
          <w:lang w:val="ro-MD"/>
        </w:rPr>
        <w:t>umel</w:t>
      </w:r>
      <w:r>
        <w:rPr>
          <w:rFonts w:ascii="Times New Roman" w:hAnsi="Times New Roman" w:cs="Times New Roman"/>
          <w:sz w:val="24"/>
          <w:szCs w:val="24"/>
          <w:lang w:val="ro-MD"/>
        </w:rPr>
        <w:t>e</w:t>
      </w:r>
      <w:r w:rsidR="00067178" w:rsidRPr="00DD5F1D">
        <w:rPr>
          <w:rFonts w:ascii="Times New Roman" w:hAnsi="Times New Roman" w:cs="Times New Roman"/>
          <w:sz w:val="24"/>
          <w:szCs w:val="24"/>
          <w:lang w:val="ro-MD"/>
        </w:rPr>
        <w:t xml:space="preserve"> încasate necuvenit pentru aceste prestații înregistrează un nivel redus de rambursare, </w:t>
      </w:r>
      <w:r w:rsidR="00444895" w:rsidRPr="00DD5F1D">
        <w:rPr>
          <w:rFonts w:ascii="Times New Roman" w:hAnsi="Times New Roman" w:cs="Times New Roman"/>
          <w:sz w:val="24"/>
          <w:szCs w:val="24"/>
          <w:lang w:val="ro-MD"/>
        </w:rPr>
        <w:t>acesta</w:t>
      </w:r>
      <w:r w:rsidR="00067178" w:rsidRPr="00DD5F1D">
        <w:rPr>
          <w:rFonts w:ascii="Times New Roman" w:hAnsi="Times New Roman" w:cs="Times New Roman"/>
          <w:sz w:val="24"/>
          <w:szCs w:val="24"/>
          <w:lang w:val="ro-MD"/>
        </w:rPr>
        <w:t xml:space="preserve"> fiind influențat inclusiv de categoria vulnerabilă de beneficiari. Astfel, din suma totală înaintată spre restituire în anul 2023, au fost restituite 339,3 mii lei, ceea ce constituie 2,5%. De asemenea, pe parcursul anului 2023 au fost restituite mijloace financiare în sumă de 1 032,1 mii lei, în temeiul recomandărilor înaintate în anii precedenți (2018-2022). Totodată, din totalul iregularităților identificate în anii 2018-2023 în valoare de 23 630,6 mii lei, au fost rambursate doar 6 560,8 mii lei, ceea ce constituie o rată de 27,8%, situație redată în tabelul de mai jos.</w:t>
      </w:r>
      <w:r w:rsidR="00067178" w:rsidRPr="00DD5F1D">
        <w:rPr>
          <w:rFonts w:ascii="Times New Roman" w:hAnsi="Times New Roman" w:cs="Times New Roman"/>
          <w:sz w:val="24"/>
          <w:szCs w:val="24"/>
          <w:lang w:val="ro-MD"/>
        </w:rPr>
        <w:tab/>
      </w:r>
      <w:r w:rsidR="00067178" w:rsidRPr="00DD5F1D">
        <w:rPr>
          <w:rFonts w:ascii="Times New Roman" w:hAnsi="Times New Roman" w:cs="Times New Roman"/>
          <w:sz w:val="24"/>
          <w:szCs w:val="24"/>
          <w:lang w:val="ro-MD"/>
        </w:rPr>
        <w:tab/>
      </w:r>
    </w:p>
    <w:p w14:paraId="656DCFE7" w14:textId="520C013E" w:rsidR="00067178" w:rsidRPr="00DD5F1D" w:rsidRDefault="00067178" w:rsidP="00067178">
      <w:pPr>
        <w:spacing w:after="0" w:line="276" w:lineRule="auto"/>
        <w:jc w:val="right"/>
        <w:rPr>
          <w:rFonts w:ascii="Times New Roman" w:hAnsi="Times New Roman" w:cs="Times New Roman"/>
          <w:b/>
          <w:szCs w:val="24"/>
          <w:lang w:val="ro-MD"/>
        </w:rPr>
      </w:pPr>
      <w:r w:rsidRPr="00DD5F1D">
        <w:rPr>
          <w:rFonts w:ascii="Times New Roman" w:hAnsi="Times New Roman" w:cs="Times New Roman"/>
          <w:b/>
          <w:szCs w:val="24"/>
          <w:lang w:val="ro-MD"/>
        </w:rPr>
        <w:t>Tabelul nr. 1</w:t>
      </w:r>
      <w:r w:rsidR="0021536C" w:rsidRPr="00DD5F1D">
        <w:rPr>
          <w:rFonts w:ascii="Times New Roman" w:hAnsi="Times New Roman" w:cs="Times New Roman"/>
          <w:b/>
          <w:szCs w:val="24"/>
          <w:lang w:val="ro-MD"/>
        </w:rPr>
        <w:t>5</w:t>
      </w:r>
    </w:p>
    <w:p w14:paraId="40CDB147" w14:textId="77777777" w:rsidR="00067178" w:rsidRPr="00DD5F1D" w:rsidRDefault="00067178" w:rsidP="00067178">
      <w:pPr>
        <w:spacing w:after="0" w:line="276" w:lineRule="auto"/>
        <w:jc w:val="center"/>
        <w:rPr>
          <w:rFonts w:ascii="Times New Roman" w:hAnsi="Times New Roman" w:cs="Times New Roman"/>
          <w:b/>
          <w:sz w:val="24"/>
          <w:szCs w:val="24"/>
          <w:lang w:val="ro-MD"/>
        </w:rPr>
      </w:pPr>
      <w:r w:rsidRPr="00DD5F1D">
        <w:rPr>
          <w:rFonts w:ascii="Times New Roman" w:hAnsi="Times New Roman" w:cs="Times New Roman"/>
          <w:b/>
          <w:szCs w:val="24"/>
          <w:lang w:val="ro-MD"/>
        </w:rPr>
        <w:t xml:space="preserve">Analiza sumelor aferente ajutoarelor sociale și ajutoarelor pentru perioada rece a anului, restituite în anul 2022, care au fost achitate necuvenit în anii 2018-2023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2189"/>
        <w:gridCol w:w="1482"/>
        <w:gridCol w:w="1482"/>
        <w:gridCol w:w="1602"/>
        <w:gridCol w:w="1788"/>
      </w:tblGrid>
      <w:tr w:rsidR="00067178" w:rsidRPr="00DD5F1D" w14:paraId="48C15ABC" w14:textId="77777777" w:rsidTr="00C52FE0">
        <w:trPr>
          <w:trHeight w:val="611"/>
        </w:trPr>
        <w:tc>
          <w:tcPr>
            <w:tcW w:w="739" w:type="pct"/>
            <w:shd w:val="clear" w:color="auto" w:fill="auto"/>
            <w:noWrap/>
            <w:vAlign w:val="center"/>
            <w:hideMark/>
          </w:tcPr>
          <w:p w14:paraId="2E16BAE6" w14:textId="77777777" w:rsidR="00067178" w:rsidRPr="00DD5F1D" w:rsidRDefault="00067178" w:rsidP="00C52FE0">
            <w:pPr>
              <w:spacing w:after="0" w:line="276"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Anul</w:t>
            </w:r>
          </w:p>
        </w:tc>
        <w:tc>
          <w:tcPr>
            <w:tcW w:w="1092" w:type="pct"/>
            <w:shd w:val="clear" w:color="auto" w:fill="auto"/>
            <w:vAlign w:val="center"/>
            <w:hideMark/>
          </w:tcPr>
          <w:p w14:paraId="390CD5AF" w14:textId="77777777" w:rsidR="00067178" w:rsidRPr="00DD5F1D" w:rsidRDefault="00067178" w:rsidP="00C52FE0">
            <w:pPr>
              <w:spacing w:after="0" w:line="276"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Suma propusă spre restituire aferentă iregularităților financiare (mii lei)</w:t>
            </w:r>
          </w:p>
        </w:tc>
        <w:tc>
          <w:tcPr>
            <w:tcW w:w="739" w:type="pct"/>
            <w:shd w:val="clear" w:color="auto" w:fill="auto"/>
            <w:vAlign w:val="center"/>
            <w:hideMark/>
          </w:tcPr>
          <w:p w14:paraId="3C6E6308" w14:textId="77777777" w:rsidR="00067178" w:rsidRPr="00DD5F1D" w:rsidRDefault="00067178" w:rsidP="00C52FE0">
            <w:pPr>
              <w:spacing w:after="0" w:line="276"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Total restituit (mii lei)</w:t>
            </w:r>
          </w:p>
        </w:tc>
        <w:tc>
          <w:tcPr>
            <w:tcW w:w="739" w:type="pct"/>
            <w:shd w:val="clear" w:color="auto" w:fill="auto"/>
            <w:vAlign w:val="center"/>
            <w:hideMark/>
          </w:tcPr>
          <w:p w14:paraId="71D9F62E" w14:textId="77777777" w:rsidR="00067178" w:rsidRPr="00DD5F1D" w:rsidRDefault="00067178" w:rsidP="00C52FE0">
            <w:pPr>
              <w:spacing w:after="0" w:line="276"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Sold nerestituit</w:t>
            </w:r>
          </w:p>
          <w:p w14:paraId="51C63F77" w14:textId="77777777" w:rsidR="00067178" w:rsidRPr="00DD5F1D" w:rsidRDefault="00067178" w:rsidP="00C52FE0">
            <w:pPr>
              <w:spacing w:after="0" w:line="276"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(mii lei)</w:t>
            </w:r>
          </w:p>
        </w:tc>
        <w:tc>
          <w:tcPr>
            <w:tcW w:w="799" w:type="pct"/>
            <w:shd w:val="clear" w:color="auto" w:fill="auto"/>
            <w:vAlign w:val="center"/>
            <w:hideMark/>
          </w:tcPr>
          <w:p w14:paraId="3D7DA2B4" w14:textId="77777777" w:rsidR="00067178" w:rsidRPr="00DD5F1D" w:rsidRDefault="00067178" w:rsidP="00C52FE0">
            <w:pPr>
              <w:spacing w:after="0" w:line="276"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Rata de restituire, %</w:t>
            </w:r>
          </w:p>
        </w:tc>
        <w:tc>
          <w:tcPr>
            <w:tcW w:w="892" w:type="pct"/>
            <w:shd w:val="clear" w:color="auto" w:fill="auto"/>
            <w:vAlign w:val="center"/>
            <w:hideMark/>
          </w:tcPr>
          <w:p w14:paraId="17D7B181" w14:textId="77777777" w:rsidR="00067178" w:rsidRPr="00DD5F1D" w:rsidRDefault="00067178" w:rsidP="00C52FE0">
            <w:pPr>
              <w:spacing w:after="0" w:line="276"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Suma restituită în anul 2023 ( mii lei)</w:t>
            </w:r>
          </w:p>
        </w:tc>
      </w:tr>
      <w:tr w:rsidR="00067178" w:rsidRPr="00DD5F1D" w14:paraId="320AA902" w14:textId="77777777" w:rsidTr="00C52FE0">
        <w:trPr>
          <w:trHeight w:val="288"/>
        </w:trPr>
        <w:tc>
          <w:tcPr>
            <w:tcW w:w="739" w:type="pct"/>
            <w:shd w:val="clear" w:color="auto" w:fill="auto"/>
            <w:noWrap/>
            <w:vAlign w:val="bottom"/>
            <w:hideMark/>
          </w:tcPr>
          <w:p w14:paraId="3CC2B2F7" w14:textId="77777777" w:rsidR="00067178" w:rsidRPr="00DD5F1D" w:rsidRDefault="00067178" w:rsidP="00C52FE0">
            <w:pPr>
              <w:spacing w:after="0" w:line="276"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2018</w:t>
            </w:r>
          </w:p>
        </w:tc>
        <w:tc>
          <w:tcPr>
            <w:tcW w:w="1092" w:type="pct"/>
            <w:shd w:val="clear" w:color="auto" w:fill="auto"/>
            <w:noWrap/>
            <w:vAlign w:val="bottom"/>
            <w:hideMark/>
          </w:tcPr>
          <w:p w14:paraId="14589150"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1 239,8</w:t>
            </w:r>
          </w:p>
        </w:tc>
        <w:tc>
          <w:tcPr>
            <w:tcW w:w="739" w:type="pct"/>
            <w:shd w:val="clear" w:color="auto" w:fill="auto"/>
            <w:noWrap/>
            <w:vAlign w:val="bottom"/>
            <w:hideMark/>
          </w:tcPr>
          <w:p w14:paraId="24CB6CE7"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857,4</w:t>
            </w:r>
          </w:p>
        </w:tc>
        <w:tc>
          <w:tcPr>
            <w:tcW w:w="739" w:type="pct"/>
            <w:shd w:val="clear" w:color="auto" w:fill="auto"/>
            <w:noWrap/>
            <w:vAlign w:val="bottom"/>
            <w:hideMark/>
          </w:tcPr>
          <w:p w14:paraId="2B1D8E4B"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382,4</w:t>
            </w:r>
          </w:p>
        </w:tc>
        <w:tc>
          <w:tcPr>
            <w:tcW w:w="799" w:type="pct"/>
            <w:shd w:val="clear" w:color="auto" w:fill="auto"/>
            <w:noWrap/>
            <w:vAlign w:val="bottom"/>
            <w:hideMark/>
          </w:tcPr>
          <w:p w14:paraId="27E8ABD0"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69,2</w:t>
            </w:r>
          </w:p>
        </w:tc>
        <w:tc>
          <w:tcPr>
            <w:tcW w:w="892" w:type="pct"/>
            <w:shd w:val="clear" w:color="auto" w:fill="auto"/>
            <w:noWrap/>
            <w:vAlign w:val="bottom"/>
            <w:hideMark/>
          </w:tcPr>
          <w:p w14:paraId="241418DD"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20,3</w:t>
            </w:r>
          </w:p>
        </w:tc>
      </w:tr>
      <w:tr w:rsidR="00067178" w:rsidRPr="00DD5F1D" w14:paraId="16595457" w14:textId="77777777" w:rsidTr="00C52FE0">
        <w:trPr>
          <w:trHeight w:val="288"/>
        </w:trPr>
        <w:tc>
          <w:tcPr>
            <w:tcW w:w="739" w:type="pct"/>
            <w:shd w:val="clear" w:color="auto" w:fill="auto"/>
            <w:noWrap/>
            <w:vAlign w:val="bottom"/>
            <w:hideMark/>
          </w:tcPr>
          <w:p w14:paraId="5E027995" w14:textId="77777777" w:rsidR="00067178" w:rsidRPr="00DD5F1D" w:rsidRDefault="00067178" w:rsidP="00C52FE0">
            <w:pPr>
              <w:spacing w:after="0" w:line="276"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2019</w:t>
            </w:r>
          </w:p>
        </w:tc>
        <w:tc>
          <w:tcPr>
            <w:tcW w:w="1092" w:type="pct"/>
            <w:shd w:val="clear" w:color="auto" w:fill="auto"/>
            <w:noWrap/>
            <w:vAlign w:val="bottom"/>
            <w:hideMark/>
          </w:tcPr>
          <w:p w14:paraId="1FFF2A63"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1 986,0</w:t>
            </w:r>
          </w:p>
        </w:tc>
        <w:tc>
          <w:tcPr>
            <w:tcW w:w="739" w:type="pct"/>
            <w:shd w:val="clear" w:color="auto" w:fill="auto"/>
            <w:noWrap/>
            <w:vAlign w:val="bottom"/>
            <w:hideMark/>
          </w:tcPr>
          <w:p w14:paraId="1B09E8F7"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1 288,0</w:t>
            </w:r>
          </w:p>
        </w:tc>
        <w:tc>
          <w:tcPr>
            <w:tcW w:w="739" w:type="pct"/>
            <w:shd w:val="clear" w:color="auto" w:fill="auto"/>
            <w:noWrap/>
            <w:vAlign w:val="bottom"/>
            <w:hideMark/>
          </w:tcPr>
          <w:p w14:paraId="663B0CC4"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698,0</w:t>
            </w:r>
          </w:p>
        </w:tc>
        <w:tc>
          <w:tcPr>
            <w:tcW w:w="799" w:type="pct"/>
            <w:shd w:val="clear" w:color="auto" w:fill="auto"/>
            <w:noWrap/>
            <w:vAlign w:val="bottom"/>
            <w:hideMark/>
          </w:tcPr>
          <w:p w14:paraId="0265AE86"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64,9</w:t>
            </w:r>
          </w:p>
        </w:tc>
        <w:tc>
          <w:tcPr>
            <w:tcW w:w="892" w:type="pct"/>
            <w:shd w:val="clear" w:color="auto" w:fill="auto"/>
            <w:noWrap/>
            <w:vAlign w:val="bottom"/>
            <w:hideMark/>
          </w:tcPr>
          <w:p w14:paraId="11E4ECB3"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18,1</w:t>
            </w:r>
          </w:p>
        </w:tc>
      </w:tr>
      <w:tr w:rsidR="00067178" w:rsidRPr="00DD5F1D" w14:paraId="174BA30C" w14:textId="77777777" w:rsidTr="00C52FE0">
        <w:trPr>
          <w:trHeight w:val="288"/>
        </w:trPr>
        <w:tc>
          <w:tcPr>
            <w:tcW w:w="739" w:type="pct"/>
            <w:shd w:val="clear" w:color="auto" w:fill="auto"/>
            <w:noWrap/>
            <w:vAlign w:val="bottom"/>
            <w:hideMark/>
          </w:tcPr>
          <w:p w14:paraId="7C0558C1" w14:textId="77777777" w:rsidR="00067178" w:rsidRPr="00DD5F1D" w:rsidRDefault="00067178" w:rsidP="00C52FE0">
            <w:pPr>
              <w:spacing w:after="0" w:line="276"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2020</w:t>
            </w:r>
          </w:p>
        </w:tc>
        <w:tc>
          <w:tcPr>
            <w:tcW w:w="1092" w:type="pct"/>
            <w:shd w:val="clear" w:color="auto" w:fill="auto"/>
            <w:noWrap/>
            <w:vAlign w:val="bottom"/>
            <w:hideMark/>
          </w:tcPr>
          <w:p w14:paraId="742AEB6E"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2 199,6</w:t>
            </w:r>
          </w:p>
        </w:tc>
        <w:tc>
          <w:tcPr>
            <w:tcW w:w="739" w:type="pct"/>
            <w:shd w:val="clear" w:color="auto" w:fill="auto"/>
            <w:noWrap/>
            <w:vAlign w:val="bottom"/>
            <w:hideMark/>
          </w:tcPr>
          <w:p w14:paraId="2D96DCF7"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1 448,7</w:t>
            </w:r>
          </w:p>
        </w:tc>
        <w:tc>
          <w:tcPr>
            <w:tcW w:w="739" w:type="pct"/>
            <w:shd w:val="clear" w:color="auto" w:fill="auto"/>
            <w:noWrap/>
            <w:vAlign w:val="bottom"/>
            <w:hideMark/>
          </w:tcPr>
          <w:p w14:paraId="0FA7A8E7"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750,9</w:t>
            </w:r>
          </w:p>
        </w:tc>
        <w:tc>
          <w:tcPr>
            <w:tcW w:w="799" w:type="pct"/>
            <w:shd w:val="clear" w:color="auto" w:fill="auto"/>
            <w:noWrap/>
            <w:vAlign w:val="bottom"/>
            <w:hideMark/>
          </w:tcPr>
          <w:p w14:paraId="2E077019"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65,9</w:t>
            </w:r>
          </w:p>
        </w:tc>
        <w:tc>
          <w:tcPr>
            <w:tcW w:w="892" w:type="pct"/>
            <w:shd w:val="clear" w:color="auto" w:fill="auto"/>
            <w:noWrap/>
            <w:vAlign w:val="bottom"/>
            <w:hideMark/>
          </w:tcPr>
          <w:p w14:paraId="6E64422D"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38,8</w:t>
            </w:r>
          </w:p>
        </w:tc>
      </w:tr>
      <w:tr w:rsidR="00067178" w:rsidRPr="00DD5F1D" w14:paraId="5606F70A" w14:textId="77777777" w:rsidTr="00C52FE0">
        <w:trPr>
          <w:trHeight w:val="288"/>
        </w:trPr>
        <w:tc>
          <w:tcPr>
            <w:tcW w:w="739" w:type="pct"/>
            <w:shd w:val="clear" w:color="auto" w:fill="auto"/>
            <w:noWrap/>
            <w:vAlign w:val="bottom"/>
            <w:hideMark/>
          </w:tcPr>
          <w:p w14:paraId="4BBAD003" w14:textId="77777777" w:rsidR="00067178" w:rsidRPr="00DD5F1D" w:rsidRDefault="00067178" w:rsidP="00C52FE0">
            <w:pPr>
              <w:spacing w:after="0" w:line="276"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2021</w:t>
            </w:r>
          </w:p>
        </w:tc>
        <w:tc>
          <w:tcPr>
            <w:tcW w:w="1092" w:type="pct"/>
            <w:shd w:val="clear" w:color="auto" w:fill="auto"/>
            <w:noWrap/>
            <w:vAlign w:val="bottom"/>
            <w:hideMark/>
          </w:tcPr>
          <w:p w14:paraId="58CAD5F6"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2 387,6</w:t>
            </w:r>
          </w:p>
        </w:tc>
        <w:tc>
          <w:tcPr>
            <w:tcW w:w="739" w:type="pct"/>
            <w:shd w:val="clear" w:color="auto" w:fill="auto"/>
            <w:noWrap/>
            <w:vAlign w:val="bottom"/>
            <w:hideMark/>
          </w:tcPr>
          <w:p w14:paraId="787F1428"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1 425,4</w:t>
            </w:r>
          </w:p>
        </w:tc>
        <w:tc>
          <w:tcPr>
            <w:tcW w:w="739" w:type="pct"/>
            <w:shd w:val="clear" w:color="auto" w:fill="auto"/>
            <w:noWrap/>
            <w:vAlign w:val="bottom"/>
            <w:hideMark/>
          </w:tcPr>
          <w:p w14:paraId="3E3541E9"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962,2</w:t>
            </w:r>
          </w:p>
        </w:tc>
        <w:tc>
          <w:tcPr>
            <w:tcW w:w="799" w:type="pct"/>
            <w:shd w:val="clear" w:color="auto" w:fill="auto"/>
            <w:noWrap/>
            <w:vAlign w:val="bottom"/>
            <w:hideMark/>
          </w:tcPr>
          <w:p w14:paraId="1C2E5965"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59,7</w:t>
            </w:r>
          </w:p>
        </w:tc>
        <w:tc>
          <w:tcPr>
            <w:tcW w:w="892" w:type="pct"/>
            <w:shd w:val="clear" w:color="auto" w:fill="auto"/>
            <w:noWrap/>
            <w:vAlign w:val="bottom"/>
            <w:hideMark/>
          </w:tcPr>
          <w:p w14:paraId="392831B0"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341,1</w:t>
            </w:r>
          </w:p>
        </w:tc>
      </w:tr>
      <w:tr w:rsidR="00067178" w:rsidRPr="00DD5F1D" w14:paraId="433F4AE1" w14:textId="77777777" w:rsidTr="00C52FE0">
        <w:trPr>
          <w:trHeight w:val="288"/>
        </w:trPr>
        <w:tc>
          <w:tcPr>
            <w:tcW w:w="739" w:type="pct"/>
            <w:shd w:val="clear" w:color="auto" w:fill="auto"/>
            <w:noWrap/>
            <w:vAlign w:val="bottom"/>
            <w:hideMark/>
          </w:tcPr>
          <w:p w14:paraId="64402D1F" w14:textId="77777777" w:rsidR="00067178" w:rsidRPr="00DD5F1D" w:rsidRDefault="00067178" w:rsidP="00C52FE0">
            <w:pPr>
              <w:spacing w:after="0" w:line="276"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2022</w:t>
            </w:r>
          </w:p>
        </w:tc>
        <w:tc>
          <w:tcPr>
            <w:tcW w:w="1092" w:type="pct"/>
            <w:shd w:val="clear" w:color="auto" w:fill="auto"/>
            <w:noWrap/>
            <w:vAlign w:val="bottom"/>
            <w:hideMark/>
          </w:tcPr>
          <w:p w14:paraId="0D0FED16"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2 468,0</w:t>
            </w:r>
          </w:p>
        </w:tc>
        <w:tc>
          <w:tcPr>
            <w:tcW w:w="739" w:type="pct"/>
            <w:shd w:val="clear" w:color="auto" w:fill="auto"/>
            <w:noWrap/>
            <w:vAlign w:val="bottom"/>
            <w:hideMark/>
          </w:tcPr>
          <w:p w14:paraId="37070AE8"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1 202,0</w:t>
            </w:r>
          </w:p>
        </w:tc>
        <w:tc>
          <w:tcPr>
            <w:tcW w:w="739" w:type="pct"/>
            <w:shd w:val="clear" w:color="auto" w:fill="auto"/>
            <w:noWrap/>
            <w:vAlign w:val="bottom"/>
            <w:hideMark/>
          </w:tcPr>
          <w:p w14:paraId="243A3CAD"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1 266,0</w:t>
            </w:r>
          </w:p>
        </w:tc>
        <w:tc>
          <w:tcPr>
            <w:tcW w:w="799" w:type="pct"/>
            <w:shd w:val="clear" w:color="auto" w:fill="auto"/>
            <w:noWrap/>
            <w:vAlign w:val="bottom"/>
            <w:hideMark/>
          </w:tcPr>
          <w:p w14:paraId="69367CE1"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48,7</w:t>
            </w:r>
          </w:p>
        </w:tc>
        <w:tc>
          <w:tcPr>
            <w:tcW w:w="892" w:type="pct"/>
            <w:shd w:val="clear" w:color="auto" w:fill="auto"/>
            <w:noWrap/>
            <w:vAlign w:val="bottom"/>
            <w:hideMark/>
          </w:tcPr>
          <w:p w14:paraId="6A61C13E"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613,8</w:t>
            </w:r>
          </w:p>
        </w:tc>
      </w:tr>
      <w:tr w:rsidR="00067178" w:rsidRPr="00DD5F1D" w14:paraId="101FDA0E" w14:textId="77777777" w:rsidTr="00C52FE0">
        <w:trPr>
          <w:trHeight w:val="288"/>
        </w:trPr>
        <w:tc>
          <w:tcPr>
            <w:tcW w:w="739" w:type="pct"/>
            <w:shd w:val="clear" w:color="auto" w:fill="auto"/>
            <w:noWrap/>
            <w:vAlign w:val="bottom"/>
            <w:hideMark/>
          </w:tcPr>
          <w:p w14:paraId="6E286E08" w14:textId="77777777" w:rsidR="00067178" w:rsidRPr="00DD5F1D" w:rsidRDefault="00067178" w:rsidP="00C52FE0">
            <w:pPr>
              <w:spacing w:after="0" w:line="276"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2023</w:t>
            </w:r>
          </w:p>
        </w:tc>
        <w:tc>
          <w:tcPr>
            <w:tcW w:w="1092" w:type="pct"/>
            <w:shd w:val="clear" w:color="auto" w:fill="auto"/>
            <w:noWrap/>
            <w:vAlign w:val="bottom"/>
            <w:hideMark/>
          </w:tcPr>
          <w:p w14:paraId="20121003"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13 349,6</w:t>
            </w:r>
          </w:p>
        </w:tc>
        <w:tc>
          <w:tcPr>
            <w:tcW w:w="739" w:type="pct"/>
            <w:shd w:val="clear" w:color="auto" w:fill="auto"/>
            <w:noWrap/>
            <w:vAlign w:val="bottom"/>
            <w:hideMark/>
          </w:tcPr>
          <w:p w14:paraId="6FFCF42A"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339,3</w:t>
            </w:r>
          </w:p>
        </w:tc>
        <w:tc>
          <w:tcPr>
            <w:tcW w:w="739" w:type="pct"/>
            <w:shd w:val="clear" w:color="auto" w:fill="auto"/>
            <w:noWrap/>
            <w:vAlign w:val="bottom"/>
            <w:hideMark/>
          </w:tcPr>
          <w:p w14:paraId="562FEE7C"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13 010,3</w:t>
            </w:r>
          </w:p>
        </w:tc>
        <w:tc>
          <w:tcPr>
            <w:tcW w:w="799" w:type="pct"/>
            <w:shd w:val="clear" w:color="auto" w:fill="auto"/>
            <w:noWrap/>
            <w:vAlign w:val="bottom"/>
            <w:hideMark/>
          </w:tcPr>
          <w:p w14:paraId="07DCF560" w14:textId="77777777" w:rsidR="00067178" w:rsidRPr="00DD5F1D" w:rsidRDefault="00067178" w:rsidP="00C52FE0">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2,5</w:t>
            </w:r>
          </w:p>
        </w:tc>
        <w:tc>
          <w:tcPr>
            <w:tcW w:w="892" w:type="pct"/>
            <w:shd w:val="clear" w:color="auto" w:fill="auto"/>
            <w:noWrap/>
            <w:vAlign w:val="bottom"/>
            <w:hideMark/>
          </w:tcPr>
          <w:p w14:paraId="42BE0DAF" w14:textId="07858817" w:rsidR="00067178" w:rsidRPr="00DD5F1D" w:rsidRDefault="00067178" w:rsidP="006A5298">
            <w:pPr>
              <w:spacing w:after="0" w:line="276"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339,</w:t>
            </w:r>
            <w:r w:rsidR="006A5298" w:rsidRPr="00DD5F1D">
              <w:rPr>
                <w:rFonts w:ascii="Times New Roman" w:eastAsia="Times New Roman" w:hAnsi="Times New Roman" w:cs="Times New Roman"/>
                <w:sz w:val="20"/>
                <w:szCs w:val="20"/>
                <w:lang w:val="ro-MD"/>
              </w:rPr>
              <w:t>3</w:t>
            </w:r>
          </w:p>
        </w:tc>
      </w:tr>
      <w:tr w:rsidR="00067178" w:rsidRPr="00DD5F1D" w14:paraId="0F63F855" w14:textId="77777777" w:rsidTr="00C52FE0">
        <w:trPr>
          <w:trHeight w:val="288"/>
        </w:trPr>
        <w:tc>
          <w:tcPr>
            <w:tcW w:w="739" w:type="pct"/>
            <w:shd w:val="clear" w:color="auto" w:fill="auto"/>
            <w:noWrap/>
            <w:vAlign w:val="bottom"/>
            <w:hideMark/>
          </w:tcPr>
          <w:p w14:paraId="30FCF8A5" w14:textId="77777777" w:rsidR="00067178" w:rsidRPr="00DD5F1D" w:rsidRDefault="00067178" w:rsidP="00C52FE0">
            <w:pPr>
              <w:spacing w:after="0" w:line="276"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Total</w:t>
            </w:r>
          </w:p>
        </w:tc>
        <w:tc>
          <w:tcPr>
            <w:tcW w:w="1092" w:type="pct"/>
            <w:shd w:val="clear" w:color="auto" w:fill="auto"/>
            <w:noWrap/>
            <w:vAlign w:val="bottom"/>
            <w:hideMark/>
          </w:tcPr>
          <w:p w14:paraId="73DB9633" w14:textId="77777777" w:rsidR="00067178" w:rsidRPr="00DD5F1D" w:rsidRDefault="00067178" w:rsidP="00C52FE0">
            <w:pPr>
              <w:spacing w:after="0" w:line="276" w:lineRule="auto"/>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23 630,6</w:t>
            </w:r>
          </w:p>
        </w:tc>
        <w:tc>
          <w:tcPr>
            <w:tcW w:w="739" w:type="pct"/>
            <w:shd w:val="clear" w:color="auto" w:fill="auto"/>
            <w:noWrap/>
            <w:vAlign w:val="bottom"/>
            <w:hideMark/>
          </w:tcPr>
          <w:p w14:paraId="4A1E0E93" w14:textId="77777777" w:rsidR="00067178" w:rsidRPr="00DD5F1D" w:rsidRDefault="00067178" w:rsidP="00C52FE0">
            <w:pPr>
              <w:spacing w:after="0" w:line="276" w:lineRule="auto"/>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6 560,8</w:t>
            </w:r>
          </w:p>
        </w:tc>
        <w:tc>
          <w:tcPr>
            <w:tcW w:w="739" w:type="pct"/>
            <w:shd w:val="clear" w:color="auto" w:fill="auto"/>
            <w:noWrap/>
            <w:vAlign w:val="bottom"/>
            <w:hideMark/>
          </w:tcPr>
          <w:p w14:paraId="7E21F48A" w14:textId="77777777" w:rsidR="00067178" w:rsidRPr="00DD5F1D" w:rsidRDefault="00067178" w:rsidP="00C52FE0">
            <w:pPr>
              <w:spacing w:after="0" w:line="276" w:lineRule="auto"/>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17 069,8</w:t>
            </w:r>
          </w:p>
        </w:tc>
        <w:tc>
          <w:tcPr>
            <w:tcW w:w="799" w:type="pct"/>
            <w:shd w:val="clear" w:color="auto" w:fill="auto"/>
            <w:noWrap/>
            <w:vAlign w:val="bottom"/>
            <w:hideMark/>
          </w:tcPr>
          <w:p w14:paraId="77AF5BD9" w14:textId="77777777" w:rsidR="00067178" w:rsidRPr="00DD5F1D" w:rsidRDefault="00067178" w:rsidP="00C52FE0">
            <w:pPr>
              <w:spacing w:after="0" w:line="276" w:lineRule="auto"/>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27,8</w:t>
            </w:r>
          </w:p>
        </w:tc>
        <w:tc>
          <w:tcPr>
            <w:tcW w:w="892" w:type="pct"/>
            <w:shd w:val="clear" w:color="auto" w:fill="auto"/>
            <w:noWrap/>
            <w:vAlign w:val="bottom"/>
            <w:hideMark/>
          </w:tcPr>
          <w:p w14:paraId="1D638EA4" w14:textId="77777777" w:rsidR="00067178" w:rsidRPr="00DD5F1D" w:rsidRDefault="00067178" w:rsidP="00C52FE0">
            <w:pPr>
              <w:spacing w:after="0" w:line="276" w:lineRule="auto"/>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1 371,5</w:t>
            </w:r>
          </w:p>
        </w:tc>
      </w:tr>
    </w:tbl>
    <w:p w14:paraId="093A84B0" w14:textId="77777777" w:rsidR="00067178" w:rsidRPr="00DD5F1D" w:rsidRDefault="00067178" w:rsidP="00067178">
      <w:pPr>
        <w:shd w:val="clear" w:color="auto" w:fill="FFFFFF"/>
        <w:spacing w:after="0" w:line="276" w:lineRule="auto"/>
        <w:jc w:val="both"/>
        <w:rPr>
          <w:rFonts w:ascii="Times New Roman" w:hAnsi="Times New Roman" w:cs="Times New Roman"/>
          <w:i/>
          <w:sz w:val="20"/>
          <w:szCs w:val="20"/>
          <w:lang w:val="ro-MD"/>
        </w:rPr>
      </w:pPr>
      <w:r w:rsidRPr="00DD5F1D">
        <w:rPr>
          <w:rFonts w:ascii="Times New Roman" w:hAnsi="Times New Roman" w:cs="Times New Roman"/>
          <w:b/>
          <w:i/>
          <w:sz w:val="20"/>
          <w:szCs w:val="20"/>
          <w:lang w:val="ro-MD"/>
        </w:rPr>
        <w:t>Sursa</w:t>
      </w:r>
      <w:r w:rsidRPr="00DD5F1D">
        <w:rPr>
          <w:rFonts w:ascii="Times New Roman" w:hAnsi="Times New Roman" w:cs="Times New Roman"/>
          <w:i/>
          <w:sz w:val="20"/>
          <w:szCs w:val="20"/>
          <w:lang w:val="ro-MD"/>
        </w:rPr>
        <w:t>: Elaborat în baza informațiilor furnizate de Inspecția Socială.</w:t>
      </w:r>
    </w:p>
    <w:p w14:paraId="25010312" w14:textId="59DAE60A" w:rsidR="00067178" w:rsidRPr="00DD5F1D" w:rsidRDefault="00067178" w:rsidP="00067178">
      <w:pPr>
        <w:shd w:val="clear" w:color="auto" w:fill="FFFFFF"/>
        <w:spacing w:before="24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În aceste condiții auditul denotă că procesul fragmentat de acordare, verificare și plată a prestațiilor </w:t>
      </w:r>
      <w:r w:rsidR="00291DD1" w:rsidRPr="00DD5F1D">
        <w:rPr>
          <w:rFonts w:ascii="Times New Roman" w:hAnsi="Times New Roman" w:cs="Times New Roman"/>
          <w:sz w:val="24"/>
          <w:szCs w:val="24"/>
          <w:lang w:val="ro-MD"/>
        </w:rPr>
        <w:t xml:space="preserve">pentru AS și ASPRA </w:t>
      </w:r>
      <w:r w:rsidRPr="00DD5F1D">
        <w:rPr>
          <w:rFonts w:ascii="Times New Roman" w:hAnsi="Times New Roman" w:cs="Times New Roman"/>
          <w:sz w:val="24"/>
          <w:szCs w:val="24"/>
          <w:lang w:val="ro-MD"/>
        </w:rPr>
        <w:t xml:space="preserve">determină un nivel </w:t>
      </w:r>
      <w:r w:rsidR="006A5298" w:rsidRPr="00DD5F1D">
        <w:rPr>
          <w:rFonts w:ascii="Times New Roman" w:hAnsi="Times New Roman" w:cs="Times New Roman"/>
          <w:sz w:val="24"/>
          <w:szCs w:val="24"/>
          <w:lang w:val="ro-MD"/>
        </w:rPr>
        <w:t>redus</w:t>
      </w:r>
      <w:r w:rsidRPr="00DD5F1D">
        <w:rPr>
          <w:rFonts w:ascii="Times New Roman" w:hAnsi="Times New Roman" w:cs="Times New Roman"/>
          <w:sz w:val="24"/>
          <w:szCs w:val="24"/>
          <w:lang w:val="ro-MD"/>
        </w:rPr>
        <w:t xml:space="preserve"> de restituire a plăților achitate necuvenit.</w:t>
      </w:r>
    </w:p>
    <w:p w14:paraId="32DF86AF" w14:textId="20261ADF" w:rsidR="00067178" w:rsidRPr="00DD5F1D" w:rsidRDefault="00067178" w:rsidP="00067178">
      <w:pPr>
        <w:shd w:val="clear" w:color="auto" w:fill="FFFFFF"/>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Este de menționat că în anul 2023, în scopul eficientizării mecanismului de inspecție și control de stat în domeniul asistenței sociale, precum și consolidării statutului Inspecției Sociale, au fost operate modificări ale unor acte normative</w:t>
      </w:r>
      <w:r w:rsidRPr="00DD5F1D">
        <w:rPr>
          <w:rStyle w:val="a5"/>
          <w:rFonts w:ascii="Times New Roman" w:hAnsi="Times New Roman" w:cs="Times New Roman"/>
          <w:sz w:val="24"/>
          <w:szCs w:val="24"/>
          <w:lang w:val="ro-MD"/>
        </w:rPr>
        <w:footnoteReference w:id="90"/>
      </w:r>
      <w:r w:rsidRPr="00DD5F1D">
        <w:rPr>
          <w:rFonts w:ascii="Times New Roman" w:hAnsi="Times New Roman" w:cs="Times New Roman"/>
          <w:lang w:val="ro-MD"/>
        </w:rPr>
        <w:t xml:space="preserve"> </w:t>
      </w:r>
      <w:r w:rsidRPr="00DD5F1D">
        <w:rPr>
          <w:rFonts w:ascii="Times New Roman" w:hAnsi="Times New Roman" w:cs="Times New Roman"/>
          <w:sz w:val="24"/>
          <w:szCs w:val="24"/>
          <w:lang w:val="ro-MD"/>
        </w:rPr>
        <w:t>ce se referă la: introducerea competenței de a constata contravențiile în partea ce ține de implementarea prevederilor legale ce reglementează stabilirea dreptului și acordarea prestațiilor de asistență socială și a serviciilor sociale, întocmirea proceselor-verbale cu privire la contravenție și trimiterea, după caz, a dosarului</w:t>
      </w:r>
      <w:r w:rsidR="00C52FE0" w:rsidRPr="00DD5F1D">
        <w:rPr>
          <w:rFonts w:ascii="Times New Roman" w:hAnsi="Times New Roman" w:cs="Times New Roman"/>
          <w:sz w:val="24"/>
          <w:szCs w:val="24"/>
          <w:lang w:val="ro-MD"/>
        </w:rPr>
        <w:t xml:space="preserve"> în instanța</w:t>
      </w:r>
      <w:r w:rsidRPr="00DD5F1D">
        <w:rPr>
          <w:rFonts w:ascii="Times New Roman" w:hAnsi="Times New Roman" w:cs="Times New Roman"/>
          <w:sz w:val="24"/>
          <w:szCs w:val="24"/>
          <w:lang w:val="ro-MD"/>
        </w:rPr>
        <w:t xml:space="preserve"> de judecată sau altui organ spre examinare; dispunerea de măsuri autorităților administrației publice în situația în care există suspiciuni de fraudă, abuz și neglijență, sesizarea organelor de ocrotire a normelor de drept competente; luarea măsurilor legale pentru remedierea deficiențelor constatate, identificarea răspunderii juridice a persoanelor vinovate și sesizarea organelor de ocrotire a normelor de drept competente etc.</w:t>
      </w:r>
    </w:p>
    <w:p w14:paraId="443EA371" w14:textId="2B7D053F" w:rsidR="00067178" w:rsidRPr="00DD5F1D" w:rsidRDefault="00067178" w:rsidP="00067178">
      <w:pPr>
        <w:shd w:val="clear" w:color="auto" w:fill="FFFFFF"/>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Astfel, în temeiul modificărilor operate, pe parcursul anului 2023 ISS a întocmit 4 rapoarte de control privind modul de stabilire și acordare a ajutorului social și ajutorului pentru perioada rece a anului. Acestea conțin 30 de recomandări care au fost înaintate factorilor responsabili din cadrul structurilor teritoriale de asistență socială și autorităților locale. Potrivit informații</w:t>
      </w:r>
      <w:r w:rsidR="004D7A4A" w:rsidRPr="00DD5F1D">
        <w:rPr>
          <w:rFonts w:ascii="Times New Roman" w:hAnsi="Times New Roman" w:cs="Times New Roman"/>
          <w:sz w:val="24"/>
          <w:szCs w:val="24"/>
          <w:lang w:val="ro-MD"/>
        </w:rPr>
        <w:t>lor</w:t>
      </w:r>
      <w:r w:rsidRPr="00DD5F1D">
        <w:rPr>
          <w:rFonts w:ascii="Times New Roman" w:hAnsi="Times New Roman" w:cs="Times New Roman"/>
          <w:sz w:val="24"/>
          <w:szCs w:val="24"/>
          <w:lang w:val="ro-MD"/>
        </w:rPr>
        <w:t xml:space="preserve"> furnizate de ISS, din cele 30 </w:t>
      </w:r>
      <w:r w:rsidR="004D7A4A"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recomandări înaintate, 13 au fost implementate, 10 – parțial implementate</w:t>
      </w:r>
      <w:r w:rsidR="004D7A4A"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și 7 – neimplementate. Concomitent, Rapoartele de control privind modul de stabilire și acordare a ajutorului social și ajutorului pentru perioada rece a anului au fost expediate Procuraturii Generale a Republicii Moldova, pentru examinarea cazurilor în care există suspiciuni de fraudă, abuz și neglijență.</w:t>
      </w:r>
    </w:p>
    <w:p w14:paraId="321104E9" w14:textId="38EF5514" w:rsidR="00067178" w:rsidRPr="00DD5F1D" w:rsidRDefault="00067178" w:rsidP="00067178">
      <w:pPr>
        <w:shd w:val="clear" w:color="auto" w:fill="FFFFFF"/>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Totodată, au fost efectuate 13 misiuni de control aferente serviciilor sociale, prin care s-au înaintat recomandări prestatorilor privind revizuirea cazurilor de admitere în serviciu a persoanelor neeligibile. De asemenea, au fost efectuate alte 6 misiuni de control a</w:t>
      </w:r>
      <w:r w:rsidR="004D7A4A" w:rsidRPr="00DD5F1D">
        <w:rPr>
          <w:rFonts w:ascii="Times New Roman" w:hAnsi="Times New Roman" w:cs="Times New Roman"/>
          <w:sz w:val="24"/>
          <w:szCs w:val="24"/>
          <w:lang w:val="ro-MD"/>
        </w:rPr>
        <w:t>l</w:t>
      </w:r>
      <w:r w:rsidRPr="00DD5F1D">
        <w:rPr>
          <w:rFonts w:ascii="Times New Roman" w:hAnsi="Times New Roman" w:cs="Times New Roman"/>
          <w:sz w:val="24"/>
          <w:szCs w:val="24"/>
          <w:lang w:val="ro-MD"/>
        </w:rPr>
        <w:t xml:space="preserve"> eligibilității statutului de șomer pentru beneficiarii de AS și ASPRA, </w:t>
      </w:r>
      <w:r w:rsidR="004D7A4A" w:rsidRPr="00DD5F1D">
        <w:rPr>
          <w:rFonts w:ascii="Times New Roman" w:hAnsi="Times New Roman" w:cs="Times New Roman"/>
          <w:sz w:val="24"/>
          <w:szCs w:val="24"/>
          <w:lang w:val="ro-MD"/>
        </w:rPr>
        <w:t>ca</w:t>
      </w:r>
      <w:r w:rsidRPr="00DD5F1D">
        <w:rPr>
          <w:rFonts w:ascii="Times New Roman" w:hAnsi="Times New Roman" w:cs="Times New Roman"/>
          <w:sz w:val="24"/>
          <w:szCs w:val="24"/>
          <w:lang w:val="ro-MD"/>
        </w:rPr>
        <w:t xml:space="preserve"> rezultat fiind înaintate ANOFM și MMPS recomandări ce se referă la revizuirea cadrului normativ și elaborarea modificărilor în vederea reducerii interesului și dependenței de prestațiile de ajutor social ale persoanelor apte de muncă. Prin urmare, activitățile realizate de ISS </w:t>
      </w:r>
      <w:r w:rsidR="004D7A4A" w:rsidRPr="00DD5F1D">
        <w:rPr>
          <w:rFonts w:ascii="Times New Roman" w:hAnsi="Times New Roman" w:cs="Times New Roman"/>
          <w:sz w:val="24"/>
          <w:szCs w:val="24"/>
          <w:lang w:val="ro-MD"/>
        </w:rPr>
        <w:t xml:space="preserve">ca </w:t>
      </w:r>
      <w:r w:rsidRPr="00DD5F1D">
        <w:rPr>
          <w:rFonts w:ascii="Times New Roman" w:hAnsi="Times New Roman" w:cs="Times New Roman"/>
          <w:sz w:val="24"/>
          <w:szCs w:val="24"/>
          <w:lang w:val="ro-MD"/>
        </w:rPr>
        <w:t xml:space="preserve">urmare a atribuțiilor delegate suplimentar în anul 2023 constituie un pas spre îmbunătățirea proceselor de beneficiere </w:t>
      </w:r>
      <w:r w:rsidR="004D7A4A" w:rsidRPr="00DD5F1D">
        <w:rPr>
          <w:rFonts w:ascii="Times New Roman" w:hAnsi="Times New Roman" w:cs="Times New Roman"/>
          <w:sz w:val="24"/>
          <w:szCs w:val="24"/>
          <w:lang w:val="ro-MD"/>
        </w:rPr>
        <w:t>de</w:t>
      </w:r>
      <w:r w:rsidRPr="00DD5F1D">
        <w:rPr>
          <w:rFonts w:ascii="Times New Roman" w:hAnsi="Times New Roman" w:cs="Times New Roman"/>
          <w:sz w:val="24"/>
          <w:szCs w:val="24"/>
          <w:lang w:val="ro-MD"/>
        </w:rPr>
        <w:t xml:space="preserve"> ajutoarel</w:t>
      </w:r>
      <w:r w:rsidR="004D7A4A" w:rsidRPr="00DD5F1D">
        <w:rPr>
          <w:rFonts w:ascii="Times New Roman" w:hAnsi="Times New Roman" w:cs="Times New Roman"/>
          <w:sz w:val="24"/>
          <w:szCs w:val="24"/>
          <w:lang w:val="ro-MD"/>
        </w:rPr>
        <w:t>e</w:t>
      </w:r>
      <w:r w:rsidRPr="00DD5F1D">
        <w:rPr>
          <w:rFonts w:ascii="Times New Roman" w:hAnsi="Times New Roman" w:cs="Times New Roman"/>
          <w:sz w:val="24"/>
          <w:szCs w:val="24"/>
          <w:lang w:val="ro-MD"/>
        </w:rPr>
        <w:t xml:space="preserve"> sociale.</w:t>
      </w:r>
    </w:p>
    <w:p w14:paraId="51F636D6" w14:textId="235BBE64" w:rsidR="00067178" w:rsidRPr="00AF03D8" w:rsidRDefault="00067178" w:rsidP="00AF03D8">
      <w:pPr>
        <w:jc w:val="both"/>
        <w:rPr>
          <w:rFonts w:ascii="Times New Roman" w:eastAsia="Times New Roman" w:hAnsi="Times New Roman" w:cs="Times New Roman"/>
          <w:sz w:val="28"/>
          <w:szCs w:val="28"/>
        </w:rPr>
      </w:pPr>
      <w:r w:rsidRPr="00DD5F1D">
        <w:rPr>
          <w:rFonts w:ascii="Times New Roman" w:hAnsi="Times New Roman" w:cs="Times New Roman"/>
          <w:sz w:val="24"/>
          <w:szCs w:val="24"/>
          <w:lang w:val="ro-MD"/>
        </w:rPr>
        <w:t xml:space="preserve">În </w:t>
      </w:r>
      <w:r w:rsidR="0039272B" w:rsidRPr="00DD5F1D">
        <w:rPr>
          <w:rFonts w:ascii="Times New Roman" w:hAnsi="Times New Roman" w:cs="Times New Roman"/>
          <w:sz w:val="24"/>
          <w:szCs w:val="24"/>
          <w:lang w:val="ro-MD"/>
        </w:rPr>
        <w:t>perioada auditată</w:t>
      </w:r>
      <w:r w:rsidRPr="00DD5F1D">
        <w:rPr>
          <w:rFonts w:ascii="Times New Roman" w:hAnsi="Times New Roman" w:cs="Times New Roman"/>
          <w:sz w:val="24"/>
          <w:szCs w:val="24"/>
          <w:lang w:val="ro-MD"/>
        </w:rPr>
        <w:t xml:space="preserve">, ajutorul pentru perioada rece a anului a fost substituit cu acordarea compensației la energie sub formă de </w:t>
      </w:r>
      <w:r w:rsidRPr="00AF03D8">
        <w:rPr>
          <w:rFonts w:ascii="Times New Roman" w:hAnsi="Times New Roman" w:cs="Times New Roman"/>
          <w:sz w:val="24"/>
          <w:szCs w:val="24"/>
          <w:lang w:val="ro-MD"/>
        </w:rPr>
        <w:t>plată monetară</w:t>
      </w:r>
      <w:r w:rsidRPr="00AF03D8">
        <w:rPr>
          <w:rStyle w:val="a5"/>
          <w:rFonts w:ascii="Times New Roman" w:hAnsi="Times New Roman" w:cs="Times New Roman"/>
          <w:sz w:val="24"/>
          <w:szCs w:val="24"/>
          <w:lang w:val="ro-MD"/>
        </w:rPr>
        <w:footnoteReference w:id="91"/>
      </w:r>
      <w:r w:rsidRPr="00AF03D8">
        <w:rPr>
          <w:rFonts w:ascii="Times New Roman" w:hAnsi="Times New Roman" w:cs="Times New Roman"/>
          <w:sz w:val="24"/>
          <w:szCs w:val="24"/>
          <w:lang w:val="ro-MD"/>
        </w:rPr>
        <w:t>,</w:t>
      </w:r>
      <w:r w:rsidRPr="00AF03D8">
        <w:rPr>
          <w:rFonts w:ascii="Times New Roman" w:hAnsi="Times New Roman" w:cs="Times New Roman"/>
          <w:b/>
          <w:sz w:val="24"/>
          <w:szCs w:val="24"/>
          <w:lang w:val="ro-MD"/>
        </w:rPr>
        <w:t xml:space="preserve"> </w:t>
      </w:r>
      <w:r w:rsidRPr="00AF03D8">
        <w:rPr>
          <w:rFonts w:ascii="Times New Roman" w:hAnsi="Times New Roman" w:cs="Times New Roman"/>
          <w:sz w:val="24"/>
          <w:szCs w:val="24"/>
          <w:lang w:val="ro-MD"/>
        </w:rPr>
        <w:t xml:space="preserve">care au fost integrate în cadrul Sistemului informațional „Vulnerabilitate Energetică” (SIVE), gestionat de MMPS. Astfel, pentru lunile noiembrie-decembrie 2023 au beneficiat de compensație 258 879 </w:t>
      </w:r>
      <w:r w:rsidR="004D7A4A" w:rsidRPr="00AF03D8">
        <w:rPr>
          <w:rFonts w:ascii="Times New Roman" w:hAnsi="Times New Roman" w:cs="Times New Roman"/>
          <w:sz w:val="24"/>
          <w:szCs w:val="24"/>
          <w:lang w:val="ro-MD"/>
        </w:rPr>
        <w:t xml:space="preserve">de </w:t>
      </w:r>
      <w:r w:rsidRPr="00AF03D8">
        <w:rPr>
          <w:rFonts w:ascii="Times New Roman" w:hAnsi="Times New Roman" w:cs="Times New Roman"/>
          <w:sz w:val="24"/>
          <w:szCs w:val="24"/>
          <w:lang w:val="ro-MD"/>
        </w:rPr>
        <w:t>persoane</w:t>
      </w:r>
      <w:r w:rsidR="00AF03D8" w:rsidRPr="00AF03D8">
        <w:rPr>
          <w:rFonts w:ascii="Times New Roman" w:hAnsi="Times New Roman" w:cs="Times New Roman"/>
          <w:sz w:val="24"/>
          <w:szCs w:val="24"/>
          <w:lang w:val="ro-MD"/>
        </w:rPr>
        <w:t>, în sumă de 183</w:t>
      </w:r>
      <w:r w:rsidR="00AF03D8">
        <w:rPr>
          <w:rFonts w:ascii="Times New Roman" w:hAnsi="Times New Roman" w:cs="Times New Roman"/>
          <w:sz w:val="24"/>
          <w:szCs w:val="24"/>
          <w:lang w:val="ro-MD"/>
        </w:rPr>
        <w:t>,</w:t>
      </w:r>
      <w:r w:rsidR="00AF03D8" w:rsidRPr="00AF03D8">
        <w:rPr>
          <w:rFonts w:ascii="Times New Roman" w:hAnsi="Times New Roman" w:cs="Times New Roman"/>
          <w:sz w:val="24"/>
          <w:szCs w:val="24"/>
          <w:lang w:val="ro-MD"/>
        </w:rPr>
        <w:t>4 mil.lei</w:t>
      </w:r>
      <w:r w:rsidRPr="00AF03D8">
        <w:rPr>
          <w:rFonts w:ascii="Times New Roman" w:hAnsi="Times New Roman" w:cs="Times New Roman"/>
          <w:sz w:val="24"/>
          <w:szCs w:val="24"/>
          <w:lang w:val="ro-MD"/>
        </w:rPr>
        <w:t>, iar mărimea com</w:t>
      </w:r>
      <w:r w:rsidR="00AF03D8" w:rsidRPr="00AF03D8">
        <w:rPr>
          <w:rFonts w:ascii="Times New Roman" w:hAnsi="Times New Roman" w:cs="Times New Roman"/>
          <w:sz w:val="24"/>
          <w:szCs w:val="24"/>
          <w:lang w:val="ro-MD"/>
        </w:rPr>
        <w:t>pensației este de 800,0 lei/lunar</w:t>
      </w:r>
      <w:r w:rsidRPr="00AF03D8">
        <w:rPr>
          <w:rFonts w:ascii="Times New Roman" w:hAnsi="Times New Roman" w:cs="Times New Roman"/>
          <w:sz w:val="24"/>
          <w:szCs w:val="24"/>
          <w:lang w:val="ro-MD"/>
        </w:rPr>
        <w:t>.</w:t>
      </w:r>
    </w:p>
    <w:p w14:paraId="6DA28190" w14:textId="77777777" w:rsidR="00067178" w:rsidRPr="00DD5F1D" w:rsidRDefault="00067178" w:rsidP="00067178">
      <w:pPr>
        <w:widowControl w:val="0"/>
        <w:spacing w:line="276" w:lineRule="auto"/>
        <w:jc w:val="both"/>
        <w:rPr>
          <w:rFonts w:ascii="Times New Roman" w:eastAsia="Times New Roman" w:hAnsi="Times New Roman" w:cs="Times New Roman"/>
          <w:lang w:val="ro-MD"/>
        </w:rPr>
      </w:pPr>
      <w:r w:rsidRPr="00DD5F1D">
        <w:rPr>
          <w:rFonts w:ascii="Times New Roman" w:eastAsia="Times New Roman" w:hAnsi="Times New Roman" w:cs="Times New Roman"/>
          <w:sz w:val="24"/>
          <w:szCs w:val="24"/>
          <w:lang w:val="ro-MD" w:bidi="en-US"/>
        </w:rPr>
        <w:t>Deși această compensație înlocuiește APRA, care are un nivel ridicat de achitare a plăților necuvenite, se constată că până în prezent nu au fost planificate/efectuate controale privind corectitudinea stabilirii și plății acestei prestații, precum și nu a fost elaborată o procedură scrisă privind modul de efectuare a controlului respectiv</w:t>
      </w:r>
      <w:r w:rsidRPr="00DD5F1D">
        <w:rPr>
          <w:rStyle w:val="a5"/>
          <w:rFonts w:ascii="Times New Roman" w:eastAsia="Times New Roman" w:hAnsi="Times New Roman" w:cs="Times New Roman"/>
          <w:sz w:val="24"/>
          <w:szCs w:val="24"/>
          <w:lang w:val="ro-MD" w:bidi="en-US"/>
        </w:rPr>
        <w:footnoteReference w:id="92"/>
      </w:r>
      <w:r w:rsidRPr="00DD5F1D">
        <w:rPr>
          <w:rFonts w:ascii="Times New Roman" w:eastAsia="Times New Roman" w:hAnsi="Times New Roman" w:cs="Times New Roman"/>
          <w:sz w:val="24"/>
          <w:szCs w:val="24"/>
          <w:lang w:val="ro-MD" w:bidi="en-US"/>
        </w:rPr>
        <w:t>.</w:t>
      </w:r>
    </w:p>
    <w:p w14:paraId="0E5158A4" w14:textId="47049FB1" w:rsidR="00067178" w:rsidRPr="00DD5F1D" w:rsidRDefault="0039272B" w:rsidP="00067178">
      <w:pPr>
        <w:pStyle w:val="a6"/>
        <w:shd w:val="clear" w:color="auto" w:fill="FFFFFF"/>
        <w:spacing w:line="276" w:lineRule="auto"/>
        <w:ind w:firstLine="0"/>
        <w:rPr>
          <w:rFonts w:eastAsiaTheme="minorHAnsi"/>
          <w:shd w:val="clear" w:color="auto" w:fill="FFFFFF"/>
          <w:lang w:val="ro-MD"/>
        </w:rPr>
      </w:pPr>
      <w:r w:rsidRPr="00DD5F1D">
        <w:rPr>
          <w:rFonts w:eastAsiaTheme="minorHAnsi"/>
          <w:shd w:val="clear" w:color="auto" w:fill="FFFFFF"/>
          <w:lang w:val="ro-MD"/>
        </w:rPr>
        <w:t>Menționăm că, potrivit cadrului normativ</w:t>
      </w:r>
      <w:r w:rsidR="00067178" w:rsidRPr="00DD5F1D">
        <w:rPr>
          <w:rFonts w:eastAsiaTheme="minorHAnsi"/>
          <w:shd w:val="clear" w:color="auto" w:fill="FFFFFF"/>
          <w:lang w:val="ro-MD"/>
        </w:rPr>
        <w:t>, ISS analizează criteriile de risc și efectuează controale cu privire la corectitudinea stabilirii compensațiilor, iar pentru identificarea cazurilor cu risc de încălcare</w:t>
      </w:r>
      <w:r w:rsidR="004D7A4A" w:rsidRPr="00DD5F1D">
        <w:rPr>
          <w:rFonts w:eastAsiaTheme="minorHAnsi"/>
          <w:shd w:val="clear" w:color="auto" w:fill="FFFFFF"/>
          <w:lang w:val="ro-MD"/>
        </w:rPr>
        <w:t>,</w:t>
      </w:r>
      <w:r w:rsidR="00067178" w:rsidRPr="00DD5F1D">
        <w:rPr>
          <w:rFonts w:eastAsiaTheme="minorHAnsi"/>
          <w:shd w:val="clear" w:color="auto" w:fill="FFFFFF"/>
          <w:lang w:val="ro-MD"/>
        </w:rPr>
        <w:t xml:space="preserve"> entitatea utilizează datele înregistrate în  SIVE și alte resurse informaționale</w:t>
      </w:r>
      <w:r w:rsidR="00067178" w:rsidRPr="00DD5F1D">
        <w:rPr>
          <w:rStyle w:val="a5"/>
          <w:rFonts w:eastAsiaTheme="minorHAnsi"/>
          <w:shd w:val="clear" w:color="auto" w:fill="FFFFFF"/>
          <w:lang w:val="ro-MD"/>
        </w:rPr>
        <w:footnoteReference w:id="93"/>
      </w:r>
      <w:r w:rsidR="00067178" w:rsidRPr="00DD5F1D">
        <w:rPr>
          <w:rFonts w:eastAsiaTheme="minorHAnsi"/>
          <w:shd w:val="clear" w:color="auto" w:fill="FFFFFF"/>
          <w:lang w:val="ro-MD"/>
        </w:rPr>
        <w:t xml:space="preserve">.  Se denotă că ISS nu </w:t>
      </w:r>
      <w:r w:rsidR="00533573" w:rsidRPr="00DD5F1D">
        <w:rPr>
          <w:rFonts w:eastAsiaTheme="minorHAnsi"/>
          <w:shd w:val="clear" w:color="auto" w:fill="FFFFFF"/>
          <w:lang w:val="ro-MD"/>
        </w:rPr>
        <w:t>a</w:t>
      </w:r>
      <w:r w:rsidR="00533573">
        <w:rPr>
          <w:rFonts w:eastAsiaTheme="minorHAnsi"/>
          <w:shd w:val="clear" w:color="auto" w:fill="FFFFFF"/>
          <w:lang w:val="ro-MD"/>
        </w:rPr>
        <w:t>vea</w:t>
      </w:r>
      <w:r w:rsidR="00533573" w:rsidRPr="00DD5F1D">
        <w:rPr>
          <w:rFonts w:eastAsiaTheme="minorHAnsi"/>
          <w:shd w:val="clear" w:color="auto" w:fill="FFFFFF"/>
          <w:lang w:val="ro-MD"/>
        </w:rPr>
        <w:t xml:space="preserve"> </w:t>
      </w:r>
      <w:r w:rsidR="00067178" w:rsidRPr="00DD5F1D">
        <w:rPr>
          <w:rFonts w:eastAsiaTheme="minorHAnsi"/>
          <w:shd w:val="clear" w:color="auto" w:fill="FFFFFF"/>
          <w:lang w:val="ro-MD"/>
        </w:rPr>
        <w:t xml:space="preserve">asigurat acces la Sistemul informațional „SIVE” care i-ar </w:t>
      </w:r>
      <w:r w:rsidR="00533573">
        <w:rPr>
          <w:rFonts w:eastAsiaTheme="minorHAnsi"/>
          <w:shd w:val="clear" w:color="auto" w:fill="FFFFFF"/>
          <w:lang w:val="ro-MD"/>
        </w:rPr>
        <w:t xml:space="preserve">fi </w:t>
      </w:r>
      <w:r w:rsidR="00067178" w:rsidRPr="00DD5F1D">
        <w:rPr>
          <w:rFonts w:eastAsiaTheme="minorHAnsi"/>
          <w:shd w:val="clear" w:color="auto" w:fill="FFFFFF"/>
          <w:lang w:val="ro-MD"/>
        </w:rPr>
        <w:t>permi</w:t>
      </w:r>
      <w:r w:rsidR="00533573">
        <w:rPr>
          <w:rFonts w:eastAsiaTheme="minorHAnsi"/>
          <w:shd w:val="clear" w:color="auto" w:fill="FFFFFF"/>
          <w:lang w:val="ro-MD"/>
        </w:rPr>
        <w:t>s</w:t>
      </w:r>
      <w:r w:rsidR="00067178" w:rsidRPr="00DD5F1D">
        <w:rPr>
          <w:rFonts w:eastAsiaTheme="minorHAnsi"/>
          <w:shd w:val="clear" w:color="auto" w:fill="FFFFFF"/>
          <w:lang w:val="ro-MD"/>
        </w:rPr>
        <w:t xml:space="preserve"> identificarea cazurilor cu risc sporit de încălcare pentru includerea acestora în eșantionul de control și efectuarea nemijlocită a controlului asupra corectitudinii stabilirii acestor compensații. Subsecvent, menționăm că pe parcursul misiunii de audit a fost oferit acces la sistem angajaților cu atribuții de control</w:t>
      </w:r>
      <w:r w:rsidR="004D7A4A" w:rsidRPr="00DD5F1D">
        <w:rPr>
          <w:rFonts w:eastAsiaTheme="minorHAnsi"/>
          <w:shd w:val="clear" w:color="auto" w:fill="FFFFFF"/>
          <w:lang w:val="ro-MD"/>
        </w:rPr>
        <w:t xml:space="preserve"> din cadrul ISS</w:t>
      </w:r>
      <w:r w:rsidR="00067178" w:rsidRPr="00DD5F1D">
        <w:rPr>
          <w:rFonts w:eastAsiaTheme="minorHAnsi"/>
          <w:shd w:val="clear" w:color="auto" w:fill="FFFFFF"/>
          <w:lang w:val="ro-MD"/>
        </w:rPr>
        <w:t xml:space="preserve">, totuși acesta este limitat, având doar posibilitatea de vizualizare a cererii individuale. </w:t>
      </w:r>
    </w:p>
    <w:p w14:paraId="76C2ADAF" w14:textId="0F31B962" w:rsidR="00067178" w:rsidRPr="00DD5F1D" w:rsidRDefault="00533573" w:rsidP="00067178">
      <w:pPr>
        <w:shd w:val="clear" w:color="auto" w:fill="FFFFFF"/>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De menționat că</w:t>
      </w:r>
      <w:r w:rsidR="004D7A4A" w:rsidRPr="00DD5F1D">
        <w:rPr>
          <w:rFonts w:ascii="Times New Roman" w:hAnsi="Times New Roman" w:cs="Times New Roman"/>
          <w:sz w:val="24"/>
          <w:szCs w:val="24"/>
          <w:lang w:val="ro-MD"/>
        </w:rPr>
        <w:t>,</w:t>
      </w:r>
      <w:r w:rsidR="00067178" w:rsidRPr="00DD5F1D">
        <w:rPr>
          <w:rFonts w:ascii="Times New Roman" w:hAnsi="Times New Roman" w:cs="Times New Roman"/>
          <w:sz w:val="24"/>
          <w:szCs w:val="24"/>
          <w:lang w:val="ro-MD"/>
        </w:rPr>
        <w:t xml:space="preserve"> Curtea de Conturi a constat</w:t>
      </w:r>
      <w:r w:rsidR="004D7A4A" w:rsidRPr="00DD5F1D">
        <w:rPr>
          <w:rFonts w:ascii="Times New Roman" w:hAnsi="Times New Roman" w:cs="Times New Roman"/>
          <w:sz w:val="24"/>
          <w:szCs w:val="24"/>
          <w:lang w:val="ro-MD"/>
        </w:rPr>
        <w:t>at</w:t>
      </w:r>
      <w:r w:rsidR="00067178" w:rsidRPr="00DD5F1D">
        <w:rPr>
          <w:rFonts w:ascii="Times New Roman" w:hAnsi="Times New Roman" w:cs="Times New Roman"/>
          <w:sz w:val="24"/>
          <w:szCs w:val="24"/>
          <w:lang w:val="ro-MD"/>
        </w:rPr>
        <w:t xml:space="preserve"> mai multe deficiențe aferente SIVE</w:t>
      </w:r>
      <w:r w:rsidR="00B127A4" w:rsidRPr="00DD5F1D">
        <w:rPr>
          <w:rStyle w:val="a5"/>
          <w:rFonts w:ascii="Times New Roman" w:hAnsi="Times New Roman" w:cs="Times New Roman"/>
          <w:sz w:val="24"/>
          <w:szCs w:val="24"/>
          <w:lang w:val="ro-MD"/>
        </w:rPr>
        <w:footnoteReference w:id="94"/>
      </w:r>
      <w:r w:rsidR="00067178" w:rsidRPr="00DD5F1D">
        <w:rPr>
          <w:rFonts w:ascii="Times New Roman" w:hAnsi="Times New Roman" w:cs="Times New Roman"/>
          <w:sz w:val="24"/>
          <w:szCs w:val="24"/>
          <w:lang w:val="ro-MD"/>
        </w:rPr>
        <w:t>.</w:t>
      </w:r>
      <w:r>
        <w:rPr>
          <w:rFonts w:ascii="Times New Roman" w:hAnsi="Times New Roman" w:cs="Times New Roman"/>
          <w:sz w:val="24"/>
          <w:szCs w:val="24"/>
          <w:lang w:val="ro-MD"/>
        </w:rPr>
        <w:t xml:space="preserve"> </w:t>
      </w:r>
      <w:r w:rsidR="00067178" w:rsidRPr="00DD5F1D">
        <w:rPr>
          <w:rFonts w:ascii="Times New Roman" w:hAnsi="Times New Roman" w:cs="Times New Roman"/>
          <w:sz w:val="24"/>
          <w:szCs w:val="24"/>
          <w:lang w:val="ro-MD"/>
        </w:rPr>
        <w:t>În aceste condiții</w:t>
      </w:r>
      <w:r w:rsidR="004D7A4A" w:rsidRPr="00DD5F1D">
        <w:rPr>
          <w:rFonts w:ascii="Times New Roman" w:hAnsi="Times New Roman" w:cs="Times New Roman"/>
          <w:sz w:val="24"/>
          <w:szCs w:val="24"/>
          <w:lang w:val="ro-MD"/>
        </w:rPr>
        <w:t>,</w:t>
      </w:r>
      <w:r w:rsidR="00067178" w:rsidRPr="00DD5F1D">
        <w:rPr>
          <w:rFonts w:ascii="Times New Roman" w:hAnsi="Times New Roman" w:cs="Times New Roman"/>
          <w:sz w:val="24"/>
          <w:szCs w:val="24"/>
          <w:lang w:val="ro-MD"/>
        </w:rPr>
        <w:t xml:space="preserve"> riscul de achitare neregulamentară a compensației sub formă monetară la energie se menține în continuare.</w:t>
      </w:r>
    </w:p>
    <w:p w14:paraId="258DF9C1" w14:textId="55D3CCDE" w:rsidR="00067178" w:rsidRPr="00DD5F1D" w:rsidRDefault="00067178" w:rsidP="00067178">
      <w:pPr>
        <w:shd w:val="clear" w:color="auto" w:fill="FFFFFF"/>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Subsecvent, menționăm că începând cu anul 2024, MMPS a inițiat procesul reformării sistemului de asistență socială prin programul RESTART</w:t>
      </w:r>
      <w:r w:rsidRPr="00DD5F1D">
        <w:rPr>
          <w:rStyle w:val="a5"/>
          <w:rFonts w:ascii="Times New Roman" w:hAnsi="Times New Roman" w:cs="Times New Roman"/>
          <w:sz w:val="24"/>
          <w:szCs w:val="24"/>
          <w:lang w:val="ro-MD"/>
        </w:rPr>
        <w:footnoteReference w:id="95"/>
      </w:r>
      <w:r w:rsidRPr="00DD5F1D">
        <w:rPr>
          <w:rFonts w:ascii="Times New Roman" w:hAnsi="Times New Roman" w:cs="Times New Roman"/>
          <w:sz w:val="24"/>
          <w:szCs w:val="24"/>
          <w:lang w:val="ro-MD"/>
        </w:rPr>
        <w:t>, prin care</w:t>
      </w:r>
      <w:r w:rsidRPr="00DD5F1D">
        <w:rPr>
          <w:rFonts w:ascii="Times New Roman" w:hAnsi="Times New Roman" w:cs="Times New Roman"/>
          <w:sz w:val="24"/>
          <w:szCs w:val="24"/>
          <w:shd w:val="clear" w:color="auto" w:fill="FFFFFF"/>
          <w:lang w:val="ro-MD"/>
        </w:rPr>
        <w:t xml:space="preserve"> responsabilitățile în domeniul asistenței sociale vor fi atribuite agențiilor teritoriale de asistență socială (ATAS) formate din 9 unități cu </w:t>
      </w:r>
      <w:r w:rsidRPr="00DD5F1D">
        <w:rPr>
          <w:rStyle w:val="afd"/>
          <w:rFonts w:ascii="Times New Roman" w:hAnsi="Times New Roman" w:cs="Times New Roman"/>
          <w:i w:val="0"/>
          <w:sz w:val="24"/>
          <w:szCs w:val="24"/>
          <w:lang w:val="ro-MD"/>
        </w:rPr>
        <w:t>structuri teritoriale de asistență</w:t>
      </w:r>
      <w:r w:rsidRPr="00DD5F1D">
        <w:rPr>
          <w:rStyle w:val="afd"/>
          <w:rFonts w:ascii="Times New Roman" w:hAnsi="Times New Roman" w:cs="Times New Roman"/>
          <w:sz w:val="24"/>
          <w:szCs w:val="24"/>
          <w:lang w:val="ro-MD"/>
        </w:rPr>
        <w:t xml:space="preserve"> </w:t>
      </w:r>
      <w:r w:rsidRPr="00DD5F1D">
        <w:rPr>
          <w:rStyle w:val="afd"/>
          <w:rFonts w:ascii="Times New Roman" w:hAnsi="Times New Roman" w:cs="Times New Roman"/>
          <w:i w:val="0"/>
          <w:sz w:val="24"/>
          <w:szCs w:val="24"/>
          <w:lang w:val="ro-MD"/>
        </w:rPr>
        <w:t>socială</w:t>
      </w:r>
      <w:r w:rsidRPr="00DD5F1D">
        <w:rPr>
          <w:rStyle w:val="afd"/>
          <w:rFonts w:ascii="Times New Roman" w:hAnsi="Times New Roman" w:cs="Times New Roman"/>
          <w:sz w:val="24"/>
          <w:szCs w:val="24"/>
          <w:lang w:val="ro-MD"/>
        </w:rPr>
        <w:t xml:space="preserve">, </w:t>
      </w:r>
      <w:r w:rsidRPr="00DD5F1D">
        <w:rPr>
          <w:rFonts w:ascii="Times New Roman" w:hAnsi="Times New Roman" w:cs="Times New Roman"/>
          <w:sz w:val="24"/>
          <w:szCs w:val="24"/>
          <w:shd w:val="clear" w:color="auto" w:fill="FFFFFF"/>
          <w:lang w:val="ro-MD"/>
        </w:rPr>
        <w:t xml:space="preserve">responsabile de implementarea serviciilor sociale. </w:t>
      </w:r>
      <w:r w:rsidRPr="00DD5F1D">
        <w:rPr>
          <w:rFonts w:ascii="Times New Roman" w:hAnsi="Times New Roman" w:cs="Times New Roman"/>
          <w:sz w:val="24"/>
          <w:szCs w:val="24"/>
          <w:lang w:val="ro-MD"/>
        </w:rPr>
        <w:t xml:space="preserve">Totodată, plățile pentru ajutor social, precum și compensațiile la energie sub formă de plată monetară </w:t>
      </w:r>
      <w:r w:rsidR="00661161" w:rsidRPr="00DD5F1D">
        <w:rPr>
          <w:rFonts w:ascii="Times New Roman" w:hAnsi="Times New Roman" w:cs="Times New Roman"/>
          <w:sz w:val="24"/>
          <w:szCs w:val="24"/>
          <w:lang w:val="ro-MD"/>
        </w:rPr>
        <w:t>sunt</w:t>
      </w:r>
      <w:r w:rsidRPr="00DD5F1D">
        <w:rPr>
          <w:rFonts w:ascii="Times New Roman" w:hAnsi="Times New Roman" w:cs="Times New Roman"/>
          <w:sz w:val="24"/>
          <w:szCs w:val="24"/>
          <w:lang w:val="ro-MD"/>
        </w:rPr>
        <w:t xml:space="preserve"> efectuate prin intermediul CNAS. Astfel, procesul de acordare, verificare și plată a acestor prestații rămâne</w:t>
      </w:r>
      <w:r w:rsidR="00C52FE0" w:rsidRPr="00DD5F1D">
        <w:rPr>
          <w:rFonts w:ascii="Times New Roman" w:hAnsi="Times New Roman" w:cs="Times New Roman"/>
          <w:sz w:val="24"/>
          <w:szCs w:val="24"/>
          <w:lang w:val="ro-MD"/>
        </w:rPr>
        <w:t xml:space="preserve"> în continuare fragmentat și se va</w:t>
      </w:r>
      <w:r w:rsidRPr="00DD5F1D">
        <w:rPr>
          <w:rFonts w:ascii="Times New Roman" w:hAnsi="Times New Roman" w:cs="Times New Roman"/>
          <w:sz w:val="24"/>
          <w:szCs w:val="24"/>
          <w:lang w:val="ro-MD"/>
        </w:rPr>
        <w:t xml:space="preserve"> menține </w:t>
      </w:r>
      <w:r w:rsidR="00533573">
        <w:rPr>
          <w:rFonts w:ascii="Times New Roman" w:hAnsi="Times New Roman" w:cs="Times New Roman"/>
          <w:sz w:val="24"/>
          <w:szCs w:val="24"/>
          <w:lang w:val="ro-MD"/>
        </w:rPr>
        <w:t xml:space="preserve">riscul </w:t>
      </w:r>
      <w:r w:rsidR="004E44B6" w:rsidRPr="009A6E4D">
        <w:rPr>
          <w:rFonts w:ascii="Times New Roman" w:hAnsi="Times New Roman" w:cs="Times New Roman"/>
          <w:sz w:val="24"/>
          <w:szCs w:val="24"/>
          <w:lang w:val="ro-MD"/>
        </w:rPr>
        <w:t xml:space="preserve">de </w:t>
      </w:r>
      <w:r w:rsidR="004E44B6" w:rsidRPr="00AF03D8">
        <w:rPr>
          <w:rFonts w:ascii="Times New Roman" w:hAnsi="Times New Roman" w:cs="Times New Roman"/>
          <w:sz w:val="24"/>
          <w:szCs w:val="24"/>
          <w:lang w:val="ro-MD"/>
        </w:rPr>
        <w:t>neîncasare a plăților necuvenite</w:t>
      </w:r>
      <w:r w:rsidRPr="00193E3C">
        <w:rPr>
          <w:rFonts w:ascii="Times New Roman" w:hAnsi="Times New Roman" w:cs="Times New Roman"/>
          <w:sz w:val="24"/>
          <w:szCs w:val="24"/>
          <w:lang w:val="ro-MD"/>
        </w:rPr>
        <w:t>.</w:t>
      </w:r>
    </w:p>
    <w:p w14:paraId="52B3193C" w14:textId="602713E2" w:rsidR="00067178" w:rsidRPr="00DD5F1D" w:rsidRDefault="00067178" w:rsidP="00067178">
      <w:pPr>
        <w:pStyle w:val="aa"/>
        <w:numPr>
          <w:ilvl w:val="1"/>
          <w:numId w:val="2"/>
        </w:numPr>
        <w:shd w:val="clear" w:color="auto" w:fill="FFFFFF"/>
        <w:spacing w:line="276" w:lineRule="auto"/>
        <w:ind w:left="0" w:firstLine="0"/>
        <w:jc w:val="both"/>
        <w:outlineLvl w:val="1"/>
        <w:rPr>
          <w:rFonts w:ascii="Times New Roman" w:hAnsi="Times New Roman" w:cs="Times New Roman"/>
          <w:b/>
          <w:bCs/>
          <w:sz w:val="24"/>
          <w:szCs w:val="24"/>
          <w:lang w:val="ro-MD" w:eastAsia="ru-RU"/>
        </w:rPr>
      </w:pPr>
      <w:r w:rsidRPr="00DD5F1D">
        <w:rPr>
          <w:rFonts w:ascii="Times New Roman" w:hAnsi="Times New Roman" w:cs="Times New Roman"/>
          <w:b/>
          <w:bCs/>
          <w:sz w:val="24"/>
          <w:szCs w:val="24"/>
          <w:lang w:val="ro-MD" w:eastAsia="ru-RU"/>
        </w:rPr>
        <w:t>Controalele interne aferent</w:t>
      </w:r>
      <w:r w:rsidR="00C52FE0" w:rsidRPr="00DD5F1D">
        <w:rPr>
          <w:rFonts w:ascii="Times New Roman" w:hAnsi="Times New Roman" w:cs="Times New Roman"/>
          <w:b/>
          <w:bCs/>
          <w:sz w:val="24"/>
          <w:szCs w:val="24"/>
          <w:lang w:val="ro-MD" w:eastAsia="ru-RU"/>
        </w:rPr>
        <w:t>e</w:t>
      </w:r>
      <w:r w:rsidRPr="00DD5F1D">
        <w:rPr>
          <w:rFonts w:ascii="Times New Roman" w:hAnsi="Times New Roman" w:cs="Times New Roman"/>
          <w:b/>
          <w:bCs/>
          <w:sz w:val="24"/>
          <w:szCs w:val="24"/>
          <w:lang w:val="ro-MD" w:eastAsia="ru-RU"/>
        </w:rPr>
        <w:t xml:space="preserve"> evidenței și distribuirii biletelor de tratament balneo-sanatorial acordate veteranilor necesită a fi îmbunătățite</w:t>
      </w:r>
      <w:r w:rsidR="00E10959" w:rsidRPr="00DD5F1D">
        <w:rPr>
          <w:rFonts w:ascii="Times New Roman" w:hAnsi="Times New Roman" w:cs="Times New Roman"/>
          <w:b/>
          <w:bCs/>
          <w:sz w:val="24"/>
          <w:szCs w:val="24"/>
          <w:lang w:val="ro-MD" w:eastAsia="ru-RU"/>
        </w:rPr>
        <w:t>.</w:t>
      </w:r>
    </w:p>
    <w:p w14:paraId="3BDBEE82" w14:textId="78DA8BB1" w:rsidR="00067178" w:rsidRPr="00DD5F1D" w:rsidRDefault="00067178" w:rsidP="00067178">
      <w:pPr>
        <w:spacing w:after="0" w:line="276" w:lineRule="auto"/>
        <w:contextualSpacing/>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În anul 2023 pentru tratamentul balneo-sanatorial </w:t>
      </w:r>
      <w:r w:rsidR="00FF4CD4" w:rsidRPr="00DD5F1D">
        <w:rPr>
          <w:rFonts w:ascii="Times New Roman" w:hAnsi="Times New Roman" w:cs="Times New Roman"/>
          <w:sz w:val="24"/>
          <w:szCs w:val="24"/>
          <w:lang w:val="ro-MD"/>
        </w:rPr>
        <w:t xml:space="preserve">al </w:t>
      </w:r>
      <w:r w:rsidRPr="00DD5F1D">
        <w:rPr>
          <w:rFonts w:ascii="Times New Roman" w:hAnsi="Times New Roman" w:cs="Times New Roman"/>
          <w:sz w:val="24"/>
          <w:szCs w:val="24"/>
          <w:lang w:val="ro-MD"/>
        </w:rPr>
        <w:t>v</w:t>
      </w:r>
      <w:r w:rsidR="0039272B" w:rsidRPr="00DD5F1D">
        <w:rPr>
          <w:rFonts w:ascii="Times New Roman" w:hAnsi="Times New Roman" w:cs="Times New Roman"/>
          <w:sz w:val="24"/>
          <w:szCs w:val="24"/>
          <w:lang w:val="ro-MD"/>
        </w:rPr>
        <w:t>eteranilor au fost utilizate 70,5</w:t>
      </w:r>
      <w:r w:rsidRPr="00DD5F1D">
        <w:rPr>
          <w:rFonts w:ascii="Times New Roman" w:hAnsi="Times New Roman" w:cs="Times New Roman"/>
          <w:sz w:val="24"/>
          <w:szCs w:val="24"/>
          <w:lang w:val="ro-MD"/>
        </w:rPr>
        <w:t xml:space="preserve"> mi</w:t>
      </w:r>
      <w:r w:rsidR="0039272B" w:rsidRPr="00DD5F1D">
        <w:rPr>
          <w:rFonts w:ascii="Times New Roman" w:hAnsi="Times New Roman" w:cs="Times New Roman"/>
          <w:sz w:val="24"/>
          <w:szCs w:val="24"/>
          <w:lang w:val="ro-MD"/>
        </w:rPr>
        <w:t>l.</w:t>
      </w:r>
      <w:r w:rsidRPr="00DD5F1D">
        <w:rPr>
          <w:rFonts w:ascii="Times New Roman" w:hAnsi="Times New Roman" w:cs="Times New Roman"/>
          <w:sz w:val="24"/>
          <w:szCs w:val="24"/>
          <w:lang w:val="ro-MD"/>
        </w:rPr>
        <w:t xml:space="preserve"> lei</w:t>
      </w:r>
      <w:r w:rsidR="00523997" w:rsidRPr="00DD5F1D">
        <w:rPr>
          <w:rFonts w:ascii="Times New Roman" w:hAnsi="Times New Roman" w:cs="Times New Roman"/>
          <w:sz w:val="24"/>
          <w:szCs w:val="24"/>
          <w:lang w:val="ro-MD"/>
        </w:rPr>
        <w:t xml:space="preserve">, inclusiv </w:t>
      </w:r>
      <w:r w:rsidRPr="00DD5F1D">
        <w:rPr>
          <w:rFonts w:ascii="Times New Roman" w:hAnsi="Times New Roman" w:cs="Times New Roman"/>
          <w:sz w:val="24"/>
          <w:szCs w:val="24"/>
          <w:lang w:val="ro-MD"/>
        </w:rPr>
        <w:t xml:space="preserve"> au fost procurate și repartizate 6 503 bil</w:t>
      </w:r>
      <w:r w:rsidR="0039272B" w:rsidRPr="00DD5F1D">
        <w:rPr>
          <w:rFonts w:ascii="Times New Roman" w:hAnsi="Times New Roman" w:cs="Times New Roman"/>
          <w:sz w:val="24"/>
          <w:szCs w:val="24"/>
          <w:lang w:val="ro-MD"/>
        </w:rPr>
        <w:t>ete de tratament, în sumă de 68,</w:t>
      </w:r>
      <w:r w:rsidRPr="00DD5F1D">
        <w:rPr>
          <w:rFonts w:ascii="Times New Roman" w:hAnsi="Times New Roman" w:cs="Times New Roman"/>
          <w:sz w:val="24"/>
          <w:szCs w:val="24"/>
          <w:lang w:val="ro-MD"/>
        </w:rPr>
        <w:t>6</w:t>
      </w:r>
      <w:r w:rsidR="0039272B"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mi</w:t>
      </w:r>
      <w:r w:rsidR="0039272B" w:rsidRPr="00DD5F1D">
        <w:rPr>
          <w:rFonts w:ascii="Times New Roman" w:hAnsi="Times New Roman" w:cs="Times New Roman"/>
          <w:sz w:val="24"/>
          <w:szCs w:val="24"/>
          <w:lang w:val="ro-MD"/>
        </w:rPr>
        <w:t>l.</w:t>
      </w:r>
      <w:r w:rsidRPr="00DD5F1D">
        <w:rPr>
          <w:rFonts w:ascii="Times New Roman" w:hAnsi="Times New Roman" w:cs="Times New Roman"/>
          <w:sz w:val="24"/>
          <w:szCs w:val="24"/>
          <w:lang w:val="ro-MD"/>
        </w:rPr>
        <w:t xml:space="preserve"> lei, iar de compensații bănești în locul biletelor de tratament sanatorial gratuit au beneficiat 231 </w:t>
      </w:r>
      <w:r w:rsidR="00FF4CD4"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persoane în sumă de 1</w:t>
      </w:r>
      <w:r w:rsidR="0039272B" w:rsidRPr="00DD5F1D">
        <w:rPr>
          <w:rFonts w:ascii="Times New Roman" w:hAnsi="Times New Roman" w:cs="Times New Roman"/>
          <w:sz w:val="24"/>
          <w:szCs w:val="24"/>
          <w:lang w:val="ro-MD"/>
        </w:rPr>
        <w:t>,8 mil.</w:t>
      </w:r>
      <w:r w:rsidRPr="00DD5F1D">
        <w:rPr>
          <w:rFonts w:ascii="Times New Roman" w:hAnsi="Times New Roman" w:cs="Times New Roman"/>
          <w:sz w:val="24"/>
          <w:szCs w:val="24"/>
          <w:lang w:val="ro-MD"/>
        </w:rPr>
        <w:t xml:space="preserve"> lei. Costul mediu al unui bilet pentru tratament balneo-sanatorial/compensație a fost de 10 495,6 lei.</w:t>
      </w:r>
      <w:r w:rsidR="00523997" w:rsidRPr="00DD5F1D">
        <w:rPr>
          <w:rFonts w:ascii="Times New Roman" w:hAnsi="Times New Roman" w:cs="Times New Roman"/>
          <w:sz w:val="24"/>
          <w:szCs w:val="24"/>
          <w:lang w:val="ro-MD"/>
        </w:rPr>
        <w:t xml:space="preserve"> Astfel, doar 6</w:t>
      </w:r>
      <w:r w:rsidR="00FF4CD4" w:rsidRPr="00DD5F1D">
        <w:rPr>
          <w:rFonts w:ascii="Times New Roman" w:hAnsi="Times New Roman" w:cs="Times New Roman"/>
          <w:sz w:val="24"/>
          <w:szCs w:val="24"/>
          <w:lang w:val="ro-MD"/>
        </w:rPr>
        <w:t xml:space="preserve"> </w:t>
      </w:r>
      <w:r w:rsidR="00523997" w:rsidRPr="00DD5F1D">
        <w:rPr>
          <w:rFonts w:ascii="Times New Roman" w:hAnsi="Times New Roman" w:cs="Times New Roman"/>
          <w:sz w:val="24"/>
          <w:szCs w:val="24"/>
          <w:lang w:val="ro-MD"/>
        </w:rPr>
        <w:t>734 de pensionari</w:t>
      </w:r>
      <w:r w:rsidR="00FF4CD4" w:rsidRPr="00DD5F1D">
        <w:rPr>
          <w:rFonts w:ascii="Times New Roman" w:hAnsi="Times New Roman" w:cs="Times New Roman"/>
          <w:sz w:val="24"/>
          <w:szCs w:val="24"/>
          <w:lang w:val="ro-MD"/>
        </w:rPr>
        <w:t>,</w:t>
      </w:r>
      <w:r w:rsidR="00523997" w:rsidRPr="00DD5F1D">
        <w:rPr>
          <w:rFonts w:ascii="Times New Roman" w:hAnsi="Times New Roman" w:cs="Times New Roman"/>
          <w:sz w:val="24"/>
          <w:szCs w:val="24"/>
          <w:lang w:val="ro-MD"/>
        </w:rPr>
        <w:t xml:space="preserve"> sau </w:t>
      </w:r>
      <w:r w:rsidR="00AF6A7C">
        <w:rPr>
          <w:rFonts w:ascii="Times New Roman" w:hAnsi="Times New Roman" w:cs="Times New Roman"/>
          <w:sz w:val="24"/>
          <w:szCs w:val="24"/>
          <w:lang w:val="ro-MD"/>
        </w:rPr>
        <w:t xml:space="preserve">circa </w:t>
      </w:r>
      <w:r w:rsidR="00523997" w:rsidRPr="00DD5F1D">
        <w:rPr>
          <w:rFonts w:ascii="Times New Roman" w:hAnsi="Times New Roman" w:cs="Times New Roman"/>
          <w:sz w:val="24"/>
          <w:szCs w:val="24"/>
          <w:lang w:val="ro-MD"/>
        </w:rPr>
        <w:t>1% din totalul pensionarilor au beneficiat de tratament balneo-sanatorial.</w:t>
      </w:r>
    </w:p>
    <w:p w14:paraId="7F59D7A6" w14:textId="64C54CA6" w:rsidR="00067178" w:rsidRPr="00DD5F1D" w:rsidRDefault="00067178" w:rsidP="00067178">
      <w:pPr>
        <w:pStyle w:val="aa"/>
        <w:numPr>
          <w:ilvl w:val="0"/>
          <w:numId w:val="15"/>
        </w:numPr>
        <w:shd w:val="clear" w:color="auto" w:fill="FFFFFF"/>
        <w:spacing w:before="240" w:line="276" w:lineRule="auto"/>
        <w:jc w:val="both"/>
        <w:rPr>
          <w:rFonts w:ascii="Times New Roman" w:eastAsia="Calibri" w:hAnsi="Times New Roman" w:cs="Times New Roman"/>
          <w:b/>
          <w:i/>
          <w:noProof/>
          <w:sz w:val="24"/>
          <w:szCs w:val="24"/>
          <w:lang w:val="ro-MD"/>
        </w:rPr>
      </w:pPr>
      <w:r w:rsidRPr="00DD5F1D">
        <w:rPr>
          <w:rFonts w:ascii="Times New Roman" w:eastAsia="Calibri" w:hAnsi="Times New Roman" w:cs="Times New Roman"/>
          <w:b/>
          <w:i/>
          <w:noProof/>
          <w:sz w:val="24"/>
          <w:szCs w:val="24"/>
          <w:lang w:val="ro-MD"/>
        </w:rPr>
        <w:t>În timp ce există persoane care se află în lista de așteptare (</w:t>
      </w:r>
      <w:r w:rsidR="00B127A4" w:rsidRPr="00DD5F1D">
        <w:rPr>
          <w:rFonts w:ascii="Times New Roman" w:eastAsia="Calibri" w:hAnsi="Times New Roman" w:cs="Times New Roman"/>
          <w:b/>
          <w:i/>
          <w:noProof/>
          <w:sz w:val="24"/>
          <w:szCs w:val="24"/>
          <w:lang w:val="ro-MD"/>
        </w:rPr>
        <w:t>8 663</w:t>
      </w:r>
      <w:r w:rsidRPr="00DD5F1D">
        <w:rPr>
          <w:rFonts w:ascii="Times New Roman" w:eastAsia="Calibri" w:hAnsi="Times New Roman" w:cs="Times New Roman"/>
          <w:b/>
          <w:i/>
          <w:noProof/>
          <w:sz w:val="24"/>
          <w:szCs w:val="24"/>
          <w:lang w:val="ro-MD"/>
        </w:rPr>
        <w:t xml:space="preserve"> </w:t>
      </w:r>
      <w:r w:rsidR="00FF4CD4" w:rsidRPr="00DD5F1D">
        <w:rPr>
          <w:rFonts w:ascii="Times New Roman" w:eastAsia="Calibri" w:hAnsi="Times New Roman" w:cs="Times New Roman"/>
          <w:b/>
          <w:i/>
          <w:noProof/>
          <w:sz w:val="24"/>
          <w:szCs w:val="24"/>
          <w:lang w:val="ro-MD"/>
        </w:rPr>
        <w:t xml:space="preserve">de </w:t>
      </w:r>
      <w:r w:rsidRPr="00DD5F1D">
        <w:rPr>
          <w:rFonts w:ascii="Times New Roman" w:eastAsia="Calibri" w:hAnsi="Times New Roman" w:cs="Times New Roman"/>
          <w:b/>
          <w:i/>
          <w:noProof/>
          <w:sz w:val="24"/>
          <w:szCs w:val="24"/>
          <w:lang w:val="ro-MD"/>
        </w:rPr>
        <w:t>persoane) din anii 2017-202</w:t>
      </w:r>
      <w:r w:rsidR="00B127A4" w:rsidRPr="00DD5F1D">
        <w:rPr>
          <w:rFonts w:ascii="Times New Roman" w:eastAsia="Calibri" w:hAnsi="Times New Roman" w:cs="Times New Roman"/>
          <w:b/>
          <w:i/>
          <w:noProof/>
          <w:sz w:val="24"/>
          <w:szCs w:val="24"/>
          <w:lang w:val="ro-MD"/>
        </w:rPr>
        <w:t>2</w:t>
      </w:r>
      <w:r w:rsidRPr="00DD5F1D">
        <w:rPr>
          <w:rFonts w:ascii="Times New Roman" w:eastAsia="Calibri" w:hAnsi="Times New Roman" w:cs="Times New Roman"/>
          <w:b/>
          <w:i/>
          <w:noProof/>
          <w:sz w:val="24"/>
          <w:szCs w:val="24"/>
          <w:lang w:val="ro-MD"/>
        </w:rPr>
        <w:t xml:space="preserve">, </w:t>
      </w:r>
      <w:r w:rsidR="00FF4CD4" w:rsidRPr="00DD5F1D">
        <w:rPr>
          <w:rFonts w:ascii="Times New Roman" w:eastAsia="Calibri" w:hAnsi="Times New Roman" w:cs="Times New Roman"/>
          <w:b/>
          <w:i/>
          <w:noProof/>
          <w:sz w:val="24"/>
          <w:szCs w:val="24"/>
          <w:lang w:val="ro-MD"/>
        </w:rPr>
        <w:t>unii</w:t>
      </w:r>
      <w:r w:rsidRPr="00DD5F1D">
        <w:rPr>
          <w:rFonts w:ascii="Times New Roman" w:eastAsia="Calibri" w:hAnsi="Times New Roman" w:cs="Times New Roman"/>
          <w:b/>
          <w:i/>
          <w:noProof/>
          <w:sz w:val="24"/>
          <w:szCs w:val="24"/>
          <w:lang w:val="ro-MD"/>
        </w:rPr>
        <w:t xml:space="preserve"> beneficiari (641) au utilizat bilet</w:t>
      </w:r>
      <w:r w:rsidR="00FF4CD4" w:rsidRPr="00DD5F1D">
        <w:rPr>
          <w:rFonts w:ascii="Times New Roman" w:eastAsia="Calibri" w:hAnsi="Times New Roman" w:cs="Times New Roman"/>
          <w:b/>
          <w:i/>
          <w:noProof/>
          <w:sz w:val="24"/>
          <w:szCs w:val="24"/>
          <w:lang w:val="ro-MD"/>
        </w:rPr>
        <w:t>e</w:t>
      </w:r>
      <w:r w:rsidRPr="00DD5F1D">
        <w:rPr>
          <w:rFonts w:ascii="Times New Roman" w:eastAsia="Calibri" w:hAnsi="Times New Roman" w:cs="Times New Roman"/>
          <w:b/>
          <w:i/>
          <w:noProof/>
          <w:sz w:val="24"/>
          <w:szCs w:val="24"/>
          <w:lang w:val="ro-MD"/>
        </w:rPr>
        <w:t xml:space="preserve"> de tratament de mai multe ori sau pentru perioade ulterioare</w:t>
      </w:r>
      <w:r w:rsidR="00FF4CD4" w:rsidRPr="00DD5F1D">
        <w:rPr>
          <w:rFonts w:ascii="Times New Roman" w:eastAsia="Calibri" w:hAnsi="Times New Roman" w:cs="Times New Roman"/>
          <w:b/>
          <w:i/>
          <w:noProof/>
          <w:sz w:val="24"/>
          <w:szCs w:val="24"/>
          <w:lang w:val="ro-MD"/>
        </w:rPr>
        <w:t>,</w:t>
      </w:r>
      <w:r w:rsidRPr="00DD5F1D">
        <w:rPr>
          <w:rFonts w:ascii="Times New Roman" w:eastAsia="Calibri" w:hAnsi="Times New Roman" w:cs="Times New Roman"/>
          <w:b/>
          <w:i/>
          <w:noProof/>
          <w:sz w:val="24"/>
          <w:szCs w:val="24"/>
          <w:lang w:val="ro-MD"/>
        </w:rPr>
        <w:t xml:space="preserve"> reieșind din numărul biletelor de tratament achiziționate în perioada respectivă</w:t>
      </w:r>
      <w:r w:rsidR="00FF4CD4" w:rsidRPr="00DD5F1D">
        <w:rPr>
          <w:rFonts w:ascii="Times New Roman" w:eastAsia="Calibri" w:hAnsi="Times New Roman" w:cs="Times New Roman"/>
          <w:b/>
          <w:i/>
          <w:noProof/>
          <w:sz w:val="24"/>
          <w:szCs w:val="24"/>
          <w:lang w:val="ro-MD"/>
        </w:rPr>
        <w:t>.</w:t>
      </w:r>
    </w:p>
    <w:p w14:paraId="5C333011" w14:textId="30ECF47C" w:rsidR="00B127A4" w:rsidRDefault="00067178" w:rsidP="00067178">
      <w:pPr>
        <w:shd w:val="clear" w:color="auto" w:fill="FFFFFF"/>
        <w:spacing w:after="0" w:line="276" w:lineRule="auto"/>
        <w:jc w:val="both"/>
        <w:rPr>
          <w:rFonts w:ascii="Times New Roman" w:eastAsia="Times New Roman" w:hAnsi="Times New Roman" w:cs="Times New Roman"/>
          <w:sz w:val="24"/>
          <w:szCs w:val="24"/>
          <w:lang w:val="ro-MD"/>
        </w:rPr>
      </w:pPr>
      <w:r w:rsidRPr="00DD5F1D">
        <w:rPr>
          <w:rFonts w:ascii="Times New Roman" w:eastAsia="Calibri" w:hAnsi="Times New Roman" w:cs="Times New Roman"/>
          <w:noProof/>
          <w:sz w:val="24"/>
          <w:szCs w:val="24"/>
          <w:lang w:val="ro-MD"/>
        </w:rPr>
        <w:t>Conform legislației</w:t>
      </w:r>
      <w:r w:rsidRPr="00DD5F1D">
        <w:rPr>
          <w:rStyle w:val="a5"/>
          <w:rFonts w:ascii="Times New Roman" w:eastAsia="Calibri" w:hAnsi="Times New Roman" w:cs="Times New Roman"/>
          <w:noProof/>
          <w:sz w:val="24"/>
          <w:szCs w:val="24"/>
          <w:lang w:val="ro-MD"/>
        </w:rPr>
        <w:footnoteReference w:id="96"/>
      </w:r>
      <w:r w:rsidR="00FF4CD4" w:rsidRPr="00DD5F1D">
        <w:rPr>
          <w:rFonts w:ascii="Times New Roman" w:eastAsia="Calibri" w:hAnsi="Times New Roman" w:cs="Times New Roman"/>
          <w:noProof/>
          <w:sz w:val="24"/>
          <w:szCs w:val="24"/>
          <w:lang w:val="ro-MD"/>
        </w:rPr>
        <w:t>,</w:t>
      </w:r>
      <w:r w:rsidRPr="00DD5F1D">
        <w:rPr>
          <w:rFonts w:ascii="Times New Roman" w:eastAsia="Calibri" w:hAnsi="Times New Roman" w:cs="Times New Roman"/>
          <w:noProof/>
          <w:sz w:val="24"/>
          <w:szCs w:val="24"/>
          <w:lang w:val="ro-MD"/>
        </w:rPr>
        <w:t xml:space="preserve"> </w:t>
      </w:r>
      <w:r w:rsidRPr="00DD5F1D">
        <w:rPr>
          <w:rFonts w:ascii="Times New Roman" w:eastAsia="Times New Roman" w:hAnsi="Times New Roman" w:cs="Times New Roman"/>
          <w:sz w:val="24"/>
          <w:szCs w:val="24"/>
          <w:lang w:val="ro-MD"/>
        </w:rPr>
        <w:t xml:space="preserve">veteranii muncii, cu excepția persoanelor angajate și a celor care desfășoară activitate de antreprenoriat, pot beneficia de bilet balneo-sanatorial o dată la trei ani. Auditul a analizat 26 213 decizii de acordare a biletelor pentru anii 2017-2023. Astfel, s-a constatat că 10 641 </w:t>
      </w:r>
      <w:r w:rsidR="00FF4CD4" w:rsidRPr="00DD5F1D">
        <w:rPr>
          <w:rFonts w:ascii="Times New Roman" w:eastAsia="Times New Roman" w:hAnsi="Times New Roman" w:cs="Times New Roman"/>
          <w:sz w:val="24"/>
          <w:szCs w:val="24"/>
          <w:lang w:val="ro-MD"/>
        </w:rPr>
        <w:t xml:space="preserve">de </w:t>
      </w:r>
      <w:r w:rsidRPr="00DD5F1D">
        <w:rPr>
          <w:rFonts w:ascii="Times New Roman" w:eastAsia="Times New Roman" w:hAnsi="Times New Roman" w:cs="Times New Roman"/>
          <w:sz w:val="24"/>
          <w:szCs w:val="24"/>
          <w:lang w:val="ro-MD"/>
        </w:rPr>
        <w:t>persoane (40,6% din totalul deciziilor) au beneficiat de bilet</w:t>
      </w:r>
      <w:r w:rsidR="00FF4CD4" w:rsidRPr="00DD5F1D">
        <w:rPr>
          <w:rFonts w:ascii="Times New Roman" w:eastAsia="Times New Roman" w:hAnsi="Times New Roman" w:cs="Times New Roman"/>
          <w:sz w:val="24"/>
          <w:szCs w:val="24"/>
          <w:lang w:val="ro-MD"/>
        </w:rPr>
        <w:t>e</w:t>
      </w:r>
      <w:r w:rsidRPr="00DD5F1D">
        <w:rPr>
          <w:rFonts w:ascii="Times New Roman" w:eastAsia="Times New Roman" w:hAnsi="Times New Roman" w:cs="Times New Roman"/>
          <w:sz w:val="24"/>
          <w:szCs w:val="24"/>
          <w:lang w:val="ro-MD"/>
        </w:rPr>
        <w:t xml:space="preserve"> de tratament sanatorial în același an cu depunerea cererii de obținere a acestuia. De asemenea, 641 de veterani ai muncii au obținut bilet</w:t>
      </w:r>
      <w:r w:rsidR="00FF4CD4" w:rsidRPr="00DD5F1D">
        <w:rPr>
          <w:rFonts w:ascii="Times New Roman" w:eastAsia="Times New Roman" w:hAnsi="Times New Roman" w:cs="Times New Roman"/>
          <w:sz w:val="24"/>
          <w:szCs w:val="24"/>
          <w:lang w:val="ro-MD"/>
        </w:rPr>
        <w:t>e</w:t>
      </w:r>
      <w:r w:rsidRPr="00DD5F1D">
        <w:rPr>
          <w:rFonts w:ascii="Times New Roman" w:eastAsia="Times New Roman" w:hAnsi="Times New Roman" w:cs="Times New Roman"/>
          <w:sz w:val="24"/>
          <w:szCs w:val="24"/>
          <w:lang w:val="ro-MD"/>
        </w:rPr>
        <w:t xml:space="preserve"> de tratament de mai multe ori. În același timp menționăm că, în lista de așteptare </w:t>
      </w:r>
      <w:r w:rsidR="001D20F0">
        <w:rPr>
          <w:rFonts w:ascii="Times New Roman" w:eastAsia="Times New Roman" w:hAnsi="Times New Roman" w:cs="Times New Roman"/>
          <w:sz w:val="24"/>
          <w:szCs w:val="24"/>
          <w:lang w:val="ro-MD"/>
        </w:rPr>
        <w:t>pentru perioada 2017-</w:t>
      </w:r>
      <w:r w:rsidR="001D20F0" w:rsidRPr="009A6E4D">
        <w:rPr>
          <w:rFonts w:ascii="Times New Roman" w:eastAsia="Times New Roman" w:hAnsi="Times New Roman" w:cs="Times New Roman"/>
          <w:sz w:val="24"/>
          <w:szCs w:val="24"/>
          <w:lang w:val="ro-MD"/>
        </w:rPr>
        <w:t xml:space="preserve">2021 </w:t>
      </w:r>
      <w:r w:rsidRPr="009A6E4D">
        <w:rPr>
          <w:rFonts w:ascii="Times New Roman" w:eastAsia="Times New Roman" w:hAnsi="Times New Roman" w:cs="Times New Roman"/>
          <w:sz w:val="24"/>
          <w:szCs w:val="24"/>
          <w:lang w:val="ro-MD"/>
        </w:rPr>
        <w:t xml:space="preserve">există 4 </w:t>
      </w:r>
      <w:r w:rsidR="001D20F0" w:rsidRPr="005152D5">
        <w:rPr>
          <w:rFonts w:ascii="Times New Roman" w:eastAsia="Times New Roman" w:hAnsi="Times New Roman" w:cs="Times New Roman"/>
          <w:sz w:val="24"/>
          <w:szCs w:val="24"/>
          <w:lang w:val="ro-MD"/>
        </w:rPr>
        <w:t>4</w:t>
      </w:r>
      <w:r w:rsidR="001D20F0">
        <w:rPr>
          <w:rFonts w:ascii="Times New Roman" w:eastAsia="Times New Roman" w:hAnsi="Times New Roman" w:cs="Times New Roman"/>
          <w:sz w:val="24"/>
          <w:szCs w:val="24"/>
          <w:lang w:val="ro-MD"/>
        </w:rPr>
        <w:t>15</w:t>
      </w:r>
      <w:r w:rsidR="001D20F0" w:rsidRPr="009A6E4D">
        <w:rPr>
          <w:rFonts w:ascii="Times New Roman" w:eastAsia="Times New Roman" w:hAnsi="Times New Roman" w:cs="Times New Roman"/>
          <w:sz w:val="24"/>
          <w:szCs w:val="24"/>
          <w:lang w:val="ro-MD"/>
        </w:rPr>
        <w:t xml:space="preserve"> </w:t>
      </w:r>
      <w:r w:rsidRPr="009A6E4D">
        <w:rPr>
          <w:rFonts w:ascii="Times New Roman" w:eastAsia="Times New Roman" w:hAnsi="Times New Roman" w:cs="Times New Roman"/>
          <w:sz w:val="24"/>
          <w:szCs w:val="24"/>
          <w:lang w:val="ro-MD"/>
        </w:rPr>
        <w:t>persoane</w:t>
      </w:r>
      <w:r w:rsidRPr="00193E3C">
        <w:rPr>
          <w:rFonts w:ascii="Times New Roman" w:eastAsia="Times New Roman" w:hAnsi="Times New Roman" w:cs="Times New Roman"/>
          <w:sz w:val="24"/>
          <w:szCs w:val="24"/>
          <w:lang w:val="ro-MD"/>
        </w:rPr>
        <w:t xml:space="preserve">, </w:t>
      </w:r>
      <w:r w:rsidRPr="001D20F0">
        <w:rPr>
          <w:rFonts w:ascii="Times New Roman" w:eastAsia="Times New Roman" w:hAnsi="Times New Roman" w:cs="Times New Roman"/>
          <w:sz w:val="24"/>
          <w:szCs w:val="24"/>
          <w:lang w:val="ro-MD"/>
        </w:rPr>
        <w:t>informații redate în tabelul de mai jos.</w:t>
      </w:r>
    </w:p>
    <w:p w14:paraId="0D6C0DDE" w14:textId="70226C60" w:rsidR="00C92EC2" w:rsidRDefault="00C92EC2" w:rsidP="00067178">
      <w:pPr>
        <w:shd w:val="clear" w:color="auto" w:fill="FFFFFF"/>
        <w:spacing w:after="0" w:line="276" w:lineRule="auto"/>
        <w:jc w:val="both"/>
        <w:rPr>
          <w:rFonts w:ascii="Times New Roman" w:eastAsia="Times New Roman" w:hAnsi="Times New Roman" w:cs="Times New Roman"/>
          <w:sz w:val="24"/>
          <w:szCs w:val="24"/>
          <w:lang w:val="ro-MD"/>
        </w:rPr>
      </w:pPr>
    </w:p>
    <w:p w14:paraId="73A4847A" w14:textId="0DF9B55C" w:rsidR="00C92EC2" w:rsidRDefault="00C92EC2" w:rsidP="00067178">
      <w:pPr>
        <w:shd w:val="clear" w:color="auto" w:fill="FFFFFF"/>
        <w:spacing w:after="0" w:line="276" w:lineRule="auto"/>
        <w:jc w:val="both"/>
        <w:rPr>
          <w:rFonts w:ascii="Times New Roman" w:eastAsia="Times New Roman" w:hAnsi="Times New Roman" w:cs="Times New Roman"/>
          <w:sz w:val="24"/>
          <w:szCs w:val="24"/>
          <w:lang w:val="ro-MD"/>
        </w:rPr>
      </w:pPr>
    </w:p>
    <w:p w14:paraId="3FAF3D13" w14:textId="17A48DCC" w:rsidR="00C92EC2" w:rsidRDefault="00C92EC2" w:rsidP="00067178">
      <w:pPr>
        <w:shd w:val="clear" w:color="auto" w:fill="FFFFFF"/>
        <w:spacing w:after="0" w:line="276" w:lineRule="auto"/>
        <w:jc w:val="both"/>
        <w:rPr>
          <w:rFonts w:ascii="Times New Roman" w:eastAsia="Times New Roman" w:hAnsi="Times New Roman" w:cs="Times New Roman"/>
          <w:sz w:val="24"/>
          <w:szCs w:val="24"/>
          <w:lang w:val="ro-MD"/>
        </w:rPr>
      </w:pPr>
    </w:p>
    <w:p w14:paraId="1EE08C73" w14:textId="0D32B4FE" w:rsidR="00C92EC2" w:rsidRDefault="00C92EC2" w:rsidP="00067178">
      <w:pPr>
        <w:shd w:val="clear" w:color="auto" w:fill="FFFFFF"/>
        <w:spacing w:after="0" w:line="276" w:lineRule="auto"/>
        <w:jc w:val="both"/>
        <w:rPr>
          <w:rFonts w:ascii="Times New Roman" w:eastAsia="Times New Roman" w:hAnsi="Times New Roman" w:cs="Times New Roman"/>
          <w:sz w:val="24"/>
          <w:szCs w:val="24"/>
          <w:lang w:val="ro-MD"/>
        </w:rPr>
      </w:pPr>
    </w:p>
    <w:p w14:paraId="6D563ADA" w14:textId="7945A069" w:rsidR="00C92EC2" w:rsidRDefault="00C92EC2" w:rsidP="00067178">
      <w:pPr>
        <w:shd w:val="clear" w:color="auto" w:fill="FFFFFF"/>
        <w:spacing w:after="0" w:line="276" w:lineRule="auto"/>
        <w:jc w:val="both"/>
        <w:rPr>
          <w:rFonts w:ascii="Times New Roman" w:eastAsia="Times New Roman" w:hAnsi="Times New Roman" w:cs="Times New Roman"/>
          <w:sz w:val="24"/>
          <w:szCs w:val="24"/>
          <w:lang w:val="ro-MD"/>
        </w:rPr>
      </w:pPr>
    </w:p>
    <w:p w14:paraId="7F27D5D3" w14:textId="41399AFC" w:rsidR="00C92EC2" w:rsidRDefault="00C92EC2" w:rsidP="00067178">
      <w:pPr>
        <w:shd w:val="clear" w:color="auto" w:fill="FFFFFF"/>
        <w:spacing w:after="0" w:line="276" w:lineRule="auto"/>
        <w:jc w:val="both"/>
        <w:rPr>
          <w:rFonts w:ascii="Times New Roman" w:eastAsia="Times New Roman" w:hAnsi="Times New Roman" w:cs="Times New Roman"/>
          <w:sz w:val="24"/>
          <w:szCs w:val="24"/>
          <w:lang w:val="ro-MD"/>
        </w:rPr>
      </w:pPr>
    </w:p>
    <w:p w14:paraId="59FB7BFA" w14:textId="739A3791" w:rsidR="00C92EC2" w:rsidRDefault="00C92EC2" w:rsidP="00067178">
      <w:pPr>
        <w:shd w:val="clear" w:color="auto" w:fill="FFFFFF"/>
        <w:spacing w:after="0" w:line="276" w:lineRule="auto"/>
        <w:jc w:val="both"/>
        <w:rPr>
          <w:rFonts w:ascii="Times New Roman" w:eastAsia="Times New Roman" w:hAnsi="Times New Roman" w:cs="Times New Roman"/>
          <w:sz w:val="24"/>
          <w:szCs w:val="24"/>
          <w:lang w:val="ro-MD"/>
        </w:rPr>
      </w:pPr>
    </w:p>
    <w:p w14:paraId="7E52B1AE" w14:textId="77777777" w:rsidR="00C92EC2" w:rsidRPr="00DD5F1D" w:rsidRDefault="00C92EC2" w:rsidP="00067178">
      <w:pPr>
        <w:shd w:val="clear" w:color="auto" w:fill="FFFFFF"/>
        <w:spacing w:after="0" w:line="276" w:lineRule="auto"/>
        <w:jc w:val="both"/>
        <w:rPr>
          <w:rFonts w:ascii="Times New Roman" w:eastAsia="Times New Roman" w:hAnsi="Times New Roman" w:cs="Times New Roman"/>
          <w:sz w:val="24"/>
          <w:szCs w:val="24"/>
          <w:lang w:val="ro-MD"/>
        </w:rPr>
      </w:pPr>
    </w:p>
    <w:p w14:paraId="4EB0DCBD" w14:textId="6D756FD1" w:rsidR="00067178" w:rsidRPr="00DD5F1D" w:rsidRDefault="00067178" w:rsidP="00100079">
      <w:pPr>
        <w:spacing w:after="0"/>
        <w:jc w:val="right"/>
        <w:rPr>
          <w:rFonts w:ascii="Times New Roman" w:hAnsi="Times New Roman" w:cs="Times New Roman"/>
          <w:b/>
          <w:szCs w:val="24"/>
          <w:lang w:val="ro-MD"/>
        </w:rPr>
      </w:pPr>
      <w:r w:rsidRPr="00DD5F1D">
        <w:rPr>
          <w:rFonts w:ascii="Times New Roman" w:hAnsi="Times New Roman" w:cs="Times New Roman"/>
          <w:b/>
          <w:szCs w:val="24"/>
          <w:lang w:val="ro-MD"/>
        </w:rPr>
        <w:t>Tabelul nr. 1</w:t>
      </w:r>
      <w:r w:rsidR="0021536C" w:rsidRPr="00DD5F1D">
        <w:rPr>
          <w:rFonts w:ascii="Times New Roman" w:hAnsi="Times New Roman" w:cs="Times New Roman"/>
          <w:b/>
          <w:szCs w:val="24"/>
          <w:lang w:val="ro-MD"/>
        </w:rPr>
        <w:t>6</w:t>
      </w:r>
    </w:p>
    <w:p w14:paraId="323BE53A" w14:textId="4AC434C2" w:rsidR="00507C70" w:rsidRPr="00DD5F1D" w:rsidRDefault="00067178" w:rsidP="00067178">
      <w:pPr>
        <w:spacing w:after="0"/>
        <w:jc w:val="center"/>
        <w:rPr>
          <w:rFonts w:ascii="Times New Roman" w:hAnsi="Times New Roman" w:cs="Times New Roman"/>
          <w:b/>
          <w:szCs w:val="24"/>
          <w:lang w:val="ro-MD"/>
        </w:rPr>
      </w:pPr>
      <w:r w:rsidRPr="00DD5F1D">
        <w:rPr>
          <w:rFonts w:ascii="Times New Roman" w:hAnsi="Times New Roman" w:cs="Times New Roman"/>
          <w:b/>
          <w:szCs w:val="24"/>
          <w:lang w:val="ro-MD"/>
        </w:rPr>
        <w:t xml:space="preserve">Numărul de persoane </w:t>
      </w:r>
      <w:r w:rsidR="00FF4CD4" w:rsidRPr="00DD5F1D">
        <w:rPr>
          <w:rFonts w:ascii="Times New Roman" w:hAnsi="Times New Roman" w:cs="Times New Roman"/>
          <w:b/>
          <w:szCs w:val="24"/>
          <w:lang w:val="ro-MD"/>
        </w:rPr>
        <w:t>incluse</w:t>
      </w:r>
      <w:r w:rsidRPr="00DD5F1D">
        <w:rPr>
          <w:rFonts w:ascii="Times New Roman" w:hAnsi="Times New Roman" w:cs="Times New Roman"/>
          <w:b/>
          <w:szCs w:val="24"/>
          <w:lang w:val="ro-MD"/>
        </w:rPr>
        <w:t xml:space="preserve"> </w:t>
      </w:r>
      <w:r w:rsidR="00FF4CD4" w:rsidRPr="00DD5F1D">
        <w:rPr>
          <w:rFonts w:ascii="Times New Roman" w:hAnsi="Times New Roman" w:cs="Times New Roman"/>
          <w:b/>
          <w:szCs w:val="24"/>
          <w:lang w:val="ro-MD"/>
        </w:rPr>
        <w:t xml:space="preserve">din anii 2017-2022 </w:t>
      </w:r>
      <w:r w:rsidRPr="00DD5F1D">
        <w:rPr>
          <w:rFonts w:ascii="Times New Roman" w:hAnsi="Times New Roman" w:cs="Times New Roman"/>
          <w:b/>
          <w:szCs w:val="24"/>
          <w:lang w:val="ro-MD"/>
        </w:rPr>
        <w:t xml:space="preserve">în lista de așteptare </w:t>
      </w:r>
    </w:p>
    <w:p w14:paraId="72111859" w14:textId="234E0EA2" w:rsidR="00067178" w:rsidRPr="00DD5F1D" w:rsidRDefault="00067178" w:rsidP="00067178">
      <w:pPr>
        <w:spacing w:after="0"/>
        <w:jc w:val="center"/>
        <w:rPr>
          <w:rFonts w:ascii="Times New Roman" w:hAnsi="Times New Roman" w:cs="Times New Roman"/>
          <w:b/>
          <w:szCs w:val="24"/>
          <w:lang w:val="ro-MD"/>
        </w:rPr>
      </w:pPr>
      <w:r w:rsidRPr="00DD5F1D">
        <w:rPr>
          <w:rFonts w:ascii="Times New Roman" w:hAnsi="Times New Roman" w:cs="Times New Roman"/>
          <w:b/>
          <w:szCs w:val="24"/>
          <w:lang w:val="ro-MD"/>
        </w:rPr>
        <w:t xml:space="preserve">pentru </w:t>
      </w:r>
      <w:r w:rsidR="00FF4CD4" w:rsidRPr="00DD5F1D">
        <w:rPr>
          <w:rFonts w:ascii="Times New Roman" w:hAnsi="Times New Roman" w:cs="Times New Roman"/>
          <w:b/>
          <w:szCs w:val="24"/>
          <w:lang w:val="ro-MD"/>
        </w:rPr>
        <w:t xml:space="preserve">acordarea </w:t>
      </w:r>
      <w:r w:rsidRPr="00DD5F1D">
        <w:rPr>
          <w:rFonts w:ascii="Times New Roman" w:hAnsi="Times New Roman" w:cs="Times New Roman"/>
          <w:b/>
          <w:szCs w:val="24"/>
          <w:lang w:val="ro-MD"/>
        </w:rPr>
        <w:t>bilet</w:t>
      </w:r>
      <w:r w:rsidR="00FF4CD4" w:rsidRPr="00DD5F1D">
        <w:rPr>
          <w:rFonts w:ascii="Times New Roman" w:hAnsi="Times New Roman" w:cs="Times New Roman"/>
          <w:b/>
          <w:szCs w:val="24"/>
          <w:lang w:val="ro-MD"/>
        </w:rPr>
        <w:t>ului</w:t>
      </w:r>
      <w:r w:rsidRPr="00DD5F1D">
        <w:rPr>
          <w:rFonts w:ascii="Times New Roman" w:hAnsi="Times New Roman" w:cs="Times New Roman"/>
          <w:b/>
          <w:szCs w:val="24"/>
          <w:lang w:val="ro-MD"/>
        </w:rPr>
        <w:t xml:space="preserve"> balneo-sanatorial </w:t>
      </w:r>
    </w:p>
    <w:tbl>
      <w:tblPr>
        <w:tblStyle w:val="af1"/>
        <w:tblW w:w="5000" w:type="pct"/>
        <w:jc w:val="center"/>
        <w:tblLook w:val="04A0" w:firstRow="1" w:lastRow="0" w:firstColumn="1" w:lastColumn="0" w:noHBand="0" w:noVBand="1"/>
      </w:tblPr>
      <w:tblGrid>
        <w:gridCol w:w="5012"/>
        <w:gridCol w:w="5012"/>
      </w:tblGrid>
      <w:tr w:rsidR="00067178" w:rsidRPr="00DD5F1D" w14:paraId="168E15B3" w14:textId="77777777" w:rsidTr="00C52FE0">
        <w:trPr>
          <w:jc w:val="center"/>
        </w:trPr>
        <w:tc>
          <w:tcPr>
            <w:tcW w:w="2500" w:type="pct"/>
            <w:vAlign w:val="center"/>
          </w:tcPr>
          <w:p w14:paraId="14DFF86F" w14:textId="77777777" w:rsidR="00067178" w:rsidRPr="00DD5F1D" w:rsidRDefault="00067178" w:rsidP="00C52FE0">
            <w:pPr>
              <w:jc w:val="center"/>
              <w:rPr>
                <w:rFonts w:ascii="Times New Roman" w:hAnsi="Times New Roman" w:cs="Times New Roman"/>
                <w:b/>
                <w:sz w:val="20"/>
                <w:szCs w:val="24"/>
                <w:lang w:val="ro-MD"/>
              </w:rPr>
            </w:pPr>
            <w:r w:rsidRPr="00DD5F1D">
              <w:rPr>
                <w:rFonts w:ascii="Times New Roman" w:hAnsi="Times New Roman" w:cs="Times New Roman"/>
                <w:b/>
                <w:sz w:val="20"/>
                <w:szCs w:val="24"/>
                <w:lang w:val="ro-MD"/>
              </w:rPr>
              <w:t>Perioada</w:t>
            </w:r>
          </w:p>
        </w:tc>
        <w:tc>
          <w:tcPr>
            <w:tcW w:w="2500" w:type="pct"/>
            <w:vAlign w:val="center"/>
          </w:tcPr>
          <w:p w14:paraId="6F4A7597" w14:textId="0DBAB865" w:rsidR="00067178" w:rsidRPr="00DD5F1D" w:rsidRDefault="00067178" w:rsidP="00C52FE0">
            <w:pPr>
              <w:jc w:val="center"/>
              <w:rPr>
                <w:rFonts w:ascii="Times New Roman" w:hAnsi="Times New Roman" w:cs="Times New Roman"/>
                <w:b/>
                <w:sz w:val="20"/>
                <w:szCs w:val="24"/>
                <w:lang w:val="ro-MD"/>
              </w:rPr>
            </w:pPr>
            <w:r w:rsidRPr="00DD5F1D">
              <w:rPr>
                <w:rFonts w:ascii="Times New Roman" w:hAnsi="Times New Roman" w:cs="Times New Roman"/>
                <w:b/>
                <w:sz w:val="20"/>
                <w:szCs w:val="24"/>
                <w:lang w:val="ro-MD"/>
              </w:rPr>
              <w:t>Numărul de persoane care se află în lista de așteptare pentru bilete balneo-sanatorial</w:t>
            </w:r>
            <w:r w:rsidR="00FF4CD4" w:rsidRPr="00DD5F1D">
              <w:rPr>
                <w:rFonts w:ascii="Times New Roman" w:hAnsi="Times New Roman" w:cs="Times New Roman"/>
                <w:b/>
                <w:sz w:val="20"/>
                <w:szCs w:val="24"/>
                <w:lang w:val="ro-MD"/>
              </w:rPr>
              <w:t>e</w:t>
            </w:r>
            <w:r w:rsidRPr="00DD5F1D">
              <w:rPr>
                <w:rFonts w:ascii="Times New Roman" w:hAnsi="Times New Roman" w:cs="Times New Roman"/>
                <w:b/>
                <w:sz w:val="20"/>
                <w:szCs w:val="24"/>
                <w:lang w:val="ro-MD"/>
              </w:rPr>
              <w:t>, persoane</w:t>
            </w:r>
          </w:p>
        </w:tc>
      </w:tr>
      <w:tr w:rsidR="00067178" w:rsidRPr="00DD5F1D" w14:paraId="5449C038" w14:textId="77777777" w:rsidTr="00C52FE0">
        <w:trPr>
          <w:jc w:val="center"/>
        </w:trPr>
        <w:tc>
          <w:tcPr>
            <w:tcW w:w="2500" w:type="pct"/>
            <w:vAlign w:val="center"/>
          </w:tcPr>
          <w:p w14:paraId="63E3209C" w14:textId="77777777" w:rsidR="00067178" w:rsidRPr="00DD5F1D" w:rsidRDefault="00067178" w:rsidP="00C52FE0">
            <w:pPr>
              <w:rPr>
                <w:rFonts w:ascii="Times New Roman" w:hAnsi="Times New Roman" w:cs="Times New Roman"/>
                <w:b/>
                <w:sz w:val="20"/>
                <w:szCs w:val="24"/>
                <w:lang w:val="ro-MD"/>
              </w:rPr>
            </w:pPr>
            <w:r w:rsidRPr="00DD5F1D">
              <w:rPr>
                <w:rFonts w:ascii="Times New Roman" w:hAnsi="Times New Roman" w:cs="Times New Roman"/>
                <w:b/>
                <w:sz w:val="20"/>
                <w:szCs w:val="24"/>
                <w:lang w:val="ro-MD"/>
              </w:rPr>
              <w:t>Anul 2017</w:t>
            </w:r>
          </w:p>
        </w:tc>
        <w:tc>
          <w:tcPr>
            <w:tcW w:w="2500" w:type="pct"/>
            <w:vAlign w:val="center"/>
          </w:tcPr>
          <w:p w14:paraId="1B66DD70" w14:textId="77777777" w:rsidR="00067178" w:rsidRPr="00DD5F1D" w:rsidRDefault="00067178" w:rsidP="00C52FE0">
            <w:pPr>
              <w:jc w:val="right"/>
              <w:rPr>
                <w:rFonts w:ascii="Times New Roman" w:hAnsi="Times New Roman" w:cs="Times New Roman"/>
                <w:b/>
                <w:sz w:val="20"/>
                <w:szCs w:val="24"/>
                <w:lang w:val="ro-MD"/>
              </w:rPr>
            </w:pPr>
            <w:r w:rsidRPr="00DD5F1D">
              <w:rPr>
                <w:rFonts w:ascii="Times New Roman" w:hAnsi="Times New Roman" w:cs="Times New Roman"/>
                <w:sz w:val="20"/>
                <w:szCs w:val="24"/>
                <w:lang w:val="ro-MD"/>
              </w:rPr>
              <w:t>435</w:t>
            </w:r>
          </w:p>
        </w:tc>
      </w:tr>
      <w:tr w:rsidR="00067178" w:rsidRPr="00DD5F1D" w14:paraId="3D98380A" w14:textId="77777777" w:rsidTr="00C52FE0">
        <w:trPr>
          <w:jc w:val="center"/>
        </w:trPr>
        <w:tc>
          <w:tcPr>
            <w:tcW w:w="2500" w:type="pct"/>
            <w:vAlign w:val="center"/>
          </w:tcPr>
          <w:p w14:paraId="2C5FF677" w14:textId="77777777" w:rsidR="00067178" w:rsidRPr="00DD5F1D" w:rsidRDefault="00067178" w:rsidP="00C52FE0">
            <w:pPr>
              <w:rPr>
                <w:rFonts w:ascii="Times New Roman" w:hAnsi="Times New Roman" w:cs="Times New Roman"/>
                <w:b/>
                <w:sz w:val="20"/>
                <w:szCs w:val="24"/>
                <w:lang w:val="ro-MD"/>
              </w:rPr>
            </w:pPr>
            <w:r w:rsidRPr="00DD5F1D">
              <w:rPr>
                <w:rFonts w:ascii="Times New Roman" w:hAnsi="Times New Roman" w:cs="Times New Roman"/>
                <w:b/>
                <w:sz w:val="20"/>
                <w:szCs w:val="24"/>
                <w:lang w:val="ro-MD"/>
              </w:rPr>
              <w:t>Anul 2018</w:t>
            </w:r>
          </w:p>
        </w:tc>
        <w:tc>
          <w:tcPr>
            <w:tcW w:w="2500" w:type="pct"/>
            <w:vAlign w:val="center"/>
          </w:tcPr>
          <w:p w14:paraId="787F1010" w14:textId="77777777" w:rsidR="00067178" w:rsidRPr="00DD5F1D" w:rsidRDefault="00067178" w:rsidP="00C52FE0">
            <w:pPr>
              <w:jc w:val="right"/>
              <w:rPr>
                <w:rFonts w:ascii="Times New Roman" w:hAnsi="Times New Roman" w:cs="Times New Roman"/>
                <w:b/>
                <w:sz w:val="20"/>
                <w:szCs w:val="24"/>
                <w:lang w:val="ro-MD"/>
              </w:rPr>
            </w:pPr>
            <w:r w:rsidRPr="00DD5F1D">
              <w:rPr>
                <w:rFonts w:ascii="Times New Roman" w:hAnsi="Times New Roman" w:cs="Times New Roman"/>
                <w:sz w:val="20"/>
                <w:szCs w:val="24"/>
                <w:lang w:val="ro-MD"/>
              </w:rPr>
              <w:t>729</w:t>
            </w:r>
          </w:p>
        </w:tc>
      </w:tr>
      <w:tr w:rsidR="00067178" w:rsidRPr="00DD5F1D" w14:paraId="5F3EB2EF" w14:textId="77777777" w:rsidTr="00C52FE0">
        <w:trPr>
          <w:jc w:val="center"/>
        </w:trPr>
        <w:tc>
          <w:tcPr>
            <w:tcW w:w="2500" w:type="pct"/>
            <w:vAlign w:val="center"/>
          </w:tcPr>
          <w:p w14:paraId="13AAA5C9" w14:textId="77777777" w:rsidR="00067178" w:rsidRPr="00DD5F1D" w:rsidRDefault="00067178" w:rsidP="00C52FE0">
            <w:pPr>
              <w:rPr>
                <w:rFonts w:ascii="Times New Roman" w:hAnsi="Times New Roman" w:cs="Times New Roman"/>
                <w:b/>
                <w:sz w:val="20"/>
                <w:szCs w:val="24"/>
                <w:lang w:val="ro-MD"/>
              </w:rPr>
            </w:pPr>
            <w:r w:rsidRPr="00DD5F1D">
              <w:rPr>
                <w:rFonts w:ascii="Times New Roman" w:hAnsi="Times New Roman" w:cs="Times New Roman"/>
                <w:b/>
                <w:sz w:val="20"/>
                <w:szCs w:val="24"/>
                <w:lang w:val="ro-MD"/>
              </w:rPr>
              <w:t>Anul 2019</w:t>
            </w:r>
          </w:p>
        </w:tc>
        <w:tc>
          <w:tcPr>
            <w:tcW w:w="2500" w:type="pct"/>
            <w:vAlign w:val="center"/>
          </w:tcPr>
          <w:p w14:paraId="14A6D4CF" w14:textId="77777777" w:rsidR="00067178" w:rsidRPr="00DD5F1D" w:rsidRDefault="00067178" w:rsidP="00C52FE0">
            <w:pPr>
              <w:jc w:val="right"/>
              <w:rPr>
                <w:rFonts w:ascii="Times New Roman" w:hAnsi="Times New Roman" w:cs="Times New Roman"/>
                <w:b/>
                <w:sz w:val="20"/>
                <w:szCs w:val="24"/>
                <w:lang w:val="ro-MD"/>
              </w:rPr>
            </w:pPr>
            <w:r w:rsidRPr="00DD5F1D">
              <w:rPr>
                <w:rFonts w:ascii="Times New Roman" w:hAnsi="Times New Roman" w:cs="Times New Roman"/>
                <w:sz w:val="20"/>
                <w:szCs w:val="24"/>
                <w:lang w:val="ro-MD"/>
              </w:rPr>
              <w:t>1 203</w:t>
            </w:r>
          </w:p>
        </w:tc>
      </w:tr>
      <w:tr w:rsidR="00067178" w:rsidRPr="00DD5F1D" w14:paraId="27A4589F" w14:textId="77777777" w:rsidTr="00C52FE0">
        <w:trPr>
          <w:jc w:val="center"/>
        </w:trPr>
        <w:tc>
          <w:tcPr>
            <w:tcW w:w="2500" w:type="pct"/>
            <w:vAlign w:val="center"/>
          </w:tcPr>
          <w:p w14:paraId="03635B56" w14:textId="77777777" w:rsidR="00067178" w:rsidRPr="00DD5F1D" w:rsidRDefault="00067178" w:rsidP="00C52FE0">
            <w:pPr>
              <w:rPr>
                <w:rFonts w:ascii="Times New Roman" w:hAnsi="Times New Roman" w:cs="Times New Roman"/>
                <w:b/>
                <w:sz w:val="20"/>
                <w:szCs w:val="24"/>
                <w:lang w:val="ro-MD"/>
              </w:rPr>
            </w:pPr>
            <w:r w:rsidRPr="00DD5F1D">
              <w:rPr>
                <w:rFonts w:ascii="Times New Roman" w:hAnsi="Times New Roman" w:cs="Times New Roman"/>
                <w:b/>
                <w:sz w:val="20"/>
                <w:szCs w:val="24"/>
                <w:lang w:val="ro-MD"/>
              </w:rPr>
              <w:t>Anul 2020</w:t>
            </w:r>
          </w:p>
        </w:tc>
        <w:tc>
          <w:tcPr>
            <w:tcW w:w="2500" w:type="pct"/>
            <w:vAlign w:val="center"/>
          </w:tcPr>
          <w:p w14:paraId="15B3A3EC" w14:textId="77777777" w:rsidR="00067178" w:rsidRPr="00DD5F1D" w:rsidRDefault="00067178" w:rsidP="00C52FE0">
            <w:pPr>
              <w:jc w:val="right"/>
              <w:rPr>
                <w:rFonts w:ascii="Times New Roman" w:hAnsi="Times New Roman" w:cs="Times New Roman"/>
                <w:b/>
                <w:sz w:val="20"/>
                <w:szCs w:val="24"/>
                <w:lang w:val="ro-MD"/>
              </w:rPr>
            </w:pPr>
            <w:r w:rsidRPr="00DD5F1D">
              <w:rPr>
                <w:rFonts w:ascii="Times New Roman" w:hAnsi="Times New Roman" w:cs="Times New Roman"/>
                <w:sz w:val="20"/>
                <w:szCs w:val="24"/>
                <w:lang w:val="ro-MD"/>
              </w:rPr>
              <w:t>703</w:t>
            </w:r>
          </w:p>
        </w:tc>
      </w:tr>
      <w:tr w:rsidR="00067178" w:rsidRPr="00DD5F1D" w14:paraId="5397710F" w14:textId="77777777" w:rsidTr="00C52FE0">
        <w:trPr>
          <w:jc w:val="center"/>
        </w:trPr>
        <w:tc>
          <w:tcPr>
            <w:tcW w:w="2500" w:type="pct"/>
            <w:vAlign w:val="center"/>
          </w:tcPr>
          <w:p w14:paraId="66E894F7" w14:textId="77777777" w:rsidR="00067178" w:rsidRPr="00DD5F1D" w:rsidRDefault="00067178" w:rsidP="00C52FE0">
            <w:pPr>
              <w:rPr>
                <w:rFonts w:ascii="Times New Roman" w:hAnsi="Times New Roman" w:cs="Times New Roman"/>
                <w:b/>
                <w:sz w:val="20"/>
                <w:szCs w:val="24"/>
                <w:lang w:val="ro-MD"/>
              </w:rPr>
            </w:pPr>
            <w:r w:rsidRPr="00DD5F1D">
              <w:rPr>
                <w:rFonts w:ascii="Times New Roman" w:hAnsi="Times New Roman" w:cs="Times New Roman"/>
                <w:b/>
                <w:sz w:val="20"/>
                <w:szCs w:val="24"/>
                <w:lang w:val="ro-MD"/>
              </w:rPr>
              <w:t>Anul 2021</w:t>
            </w:r>
          </w:p>
        </w:tc>
        <w:tc>
          <w:tcPr>
            <w:tcW w:w="2500" w:type="pct"/>
            <w:vAlign w:val="center"/>
          </w:tcPr>
          <w:p w14:paraId="03A7B355" w14:textId="77777777" w:rsidR="00067178" w:rsidRPr="00DD5F1D" w:rsidRDefault="00067178" w:rsidP="00C52FE0">
            <w:pPr>
              <w:jc w:val="right"/>
              <w:rPr>
                <w:rFonts w:ascii="Times New Roman" w:hAnsi="Times New Roman" w:cs="Times New Roman"/>
                <w:b/>
                <w:sz w:val="20"/>
                <w:szCs w:val="24"/>
                <w:lang w:val="ro-MD"/>
              </w:rPr>
            </w:pPr>
            <w:r w:rsidRPr="00DD5F1D">
              <w:rPr>
                <w:rFonts w:ascii="Times New Roman" w:hAnsi="Times New Roman" w:cs="Times New Roman"/>
                <w:sz w:val="20"/>
                <w:szCs w:val="24"/>
                <w:lang w:val="ro-MD"/>
              </w:rPr>
              <w:t>1 345</w:t>
            </w:r>
          </w:p>
        </w:tc>
      </w:tr>
      <w:tr w:rsidR="00067178" w:rsidRPr="00DD5F1D" w14:paraId="5C58576B" w14:textId="77777777" w:rsidTr="00C52FE0">
        <w:trPr>
          <w:jc w:val="center"/>
        </w:trPr>
        <w:tc>
          <w:tcPr>
            <w:tcW w:w="2500" w:type="pct"/>
            <w:vAlign w:val="center"/>
          </w:tcPr>
          <w:p w14:paraId="73D93A97" w14:textId="77777777" w:rsidR="00067178" w:rsidRPr="00DD5F1D" w:rsidRDefault="00067178" w:rsidP="00C52FE0">
            <w:pPr>
              <w:rPr>
                <w:rFonts w:ascii="Times New Roman" w:hAnsi="Times New Roman" w:cs="Times New Roman"/>
                <w:b/>
                <w:sz w:val="20"/>
                <w:szCs w:val="24"/>
                <w:lang w:val="ro-MD"/>
              </w:rPr>
            </w:pPr>
            <w:r w:rsidRPr="00DD5F1D">
              <w:rPr>
                <w:rFonts w:ascii="Times New Roman" w:hAnsi="Times New Roman" w:cs="Times New Roman"/>
                <w:b/>
                <w:sz w:val="20"/>
                <w:szCs w:val="24"/>
                <w:lang w:val="ro-MD"/>
              </w:rPr>
              <w:t>Anul 2022</w:t>
            </w:r>
          </w:p>
        </w:tc>
        <w:tc>
          <w:tcPr>
            <w:tcW w:w="2500" w:type="pct"/>
            <w:vAlign w:val="center"/>
          </w:tcPr>
          <w:p w14:paraId="6FA9B381" w14:textId="77777777" w:rsidR="00067178" w:rsidRPr="00DD5F1D" w:rsidRDefault="00067178" w:rsidP="00C52FE0">
            <w:pPr>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4248</w:t>
            </w:r>
          </w:p>
        </w:tc>
      </w:tr>
      <w:tr w:rsidR="00067178" w:rsidRPr="00AF03D8" w14:paraId="7BA24D3F" w14:textId="77777777" w:rsidTr="00C52FE0">
        <w:trPr>
          <w:jc w:val="center"/>
        </w:trPr>
        <w:tc>
          <w:tcPr>
            <w:tcW w:w="2500" w:type="pct"/>
          </w:tcPr>
          <w:p w14:paraId="441E91F1" w14:textId="77777777" w:rsidR="00067178" w:rsidRPr="00DD5F1D" w:rsidRDefault="00067178" w:rsidP="00C52FE0">
            <w:pPr>
              <w:rPr>
                <w:rFonts w:ascii="Times New Roman" w:hAnsi="Times New Roman" w:cs="Times New Roman"/>
                <w:b/>
                <w:sz w:val="20"/>
                <w:szCs w:val="24"/>
                <w:lang w:val="ro-MD"/>
              </w:rPr>
            </w:pPr>
            <w:r w:rsidRPr="00DD5F1D">
              <w:rPr>
                <w:rFonts w:ascii="Times New Roman" w:hAnsi="Times New Roman" w:cs="Times New Roman"/>
                <w:b/>
                <w:sz w:val="20"/>
                <w:szCs w:val="24"/>
                <w:lang w:val="ro-MD"/>
              </w:rPr>
              <w:t>Total</w:t>
            </w:r>
          </w:p>
        </w:tc>
        <w:tc>
          <w:tcPr>
            <w:tcW w:w="2500" w:type="pct"/>
          </w:tcPr>
          <w:p w14:paraId="63D19DDF" w14:textId="77777777" w:rsidR="00067178" w:rsidRPr="00AF03D8" w:rsidRDefault="00067178" w:rsidP="00C52FE0">
            <w:pPr>
              <w:jc w:val="right"/>
              <w:rPr>
                <w:rFonts w:ascii="Times New Roman" w:hAnsi="Times New Roman" w:cs="Times New Roman"/>
                <w:b/>
                <w:sz w:val="20"/>
                <w:szCs w:val="24"/>
                <w:lang w:val="ro-MD"/>
              </w:rPr>
            </w:pPr>
            <w:r w:rsidRPr="00AF03D8">
              <w:rPr>
                <w:rFonts w:ascii="Times New Roman" w:hAnsi="Times New Roman" w:cs="Times New Roman"/>
                <w:b/>
                <w:sz w:val="20"/>
                <w:szCs w:val="24"/>
                <w:lang w:val="ro-MD"/>
              </w:rPr>
              <w:t>8663</w:t>
            </w:r>
          </w:p>
        </w:tc>
      </w:tr>
    </w:tbl>
    <w:p w14:paraId="1C7A76E7" w14:textId="55B0822B" w:rsidR="00067178" w:rsidRPr="00DD5F1D" w:rsidRDefault="00067178" w:rsidP="00067178">
      <w:pPr>
        <w:rPr>
          <w:rFonts w:ascii="Times New Roman" w:hAnsi="Times New Roman" w:cs="Times New Roman"/>
          <w:i/>
          <w:sz w:val="20"/>
          <w:lang w:val="ro-MD"/>
        </w:rPr>
      </w:pPr>
      <w:r w:rsidRPr="00DD5F1D">
        <w:rPr>
          <w:rFonts w:ascii="Times New Roman" w:hAnsi="Times New Roman" w:cs="Times New Roman"/>
          <w:b/>
          <w:i/>
          <w:sz w:val="20"/>
          <w:lang w:val="ro-MD"/>
        </w:rPr>
        <w:t>Sursa:</w:t>
      </w:r>
      <w:r w:rsidRPr="00DD5F1D">
        <w:rPr>
          <w:rFonts w:ascii="Times New Roman" w:hAnsi="Times New Roman" w:cs="Times New Roman"/>
          <w:i/>
          <w:sz w:val="20"/>
          <w:lang w:val="ro-MD"/>
        </w:rPr>
        <w:t xml:space="preserve"> Elaborat de audit în baza informațiilor prezentate de către CNAS</w:t>
      </w:r>
      <w:r w:rsidR="00103554" w:rsidRPr="00DD5F1D">
        <w:rPr>
          <w:rFonts w:ascii="Times New Roman" w:hAnsi="Times New Roman" w:cs="Times New Roman"/>
          <w:i/>
          <w:sz w:val="20"/>
          <w:lang w:val="ro-MD"/>
        </w:rPr>
        <w:t>.</w:t>
      </w:r>
    </w:p>
    <w:p w14:paraId="21305011" w14:textId="3DCEFD69" w:rsidR="00067178" w:rsidRPr="00DD5F1D" w:rsidRDefault="00067178" w:rsidP="00067178">
      <w:pPr>
        <w:shd w:val="clear" w:color="auto" w:fill="FFFFFF"/>
        <w:spacing w:after="0" w:line="276" w:lineRule="auto"/>
        <w:jc w:val="both"/>
        <w:rPr>
          <w:rFonts w:ascii="Times New Roman" w:eastAsia="Times New Roman" w:hAnsi="Times New Roman" w:cs="Times New Roman"/>
          <w:color w:val="000000" w:themeColor="text1"/>
          <w:sz w:val="24"/>
          <w:szCs w:val="24"/>
          <w:lang w:val="ro-MD"/>
        </w:rPr>
      </w:pPr>
      <w:r w:rsidRPr="00DD5F1D">
        <w:rPr>
          <w:rFonts w:ascii="Times New Roman" w:eastAsia="Times New Roman" w:hAnsi="Times New Roman" w:cs="Times New Roman"/>
          <w:color w:val="000000" w:themeColor="text1"/>
          <w:sz w:val="24"/>
          <w:szCs w:val="24"/>
          <w:lang w:val="ro-MD"/>
        </w:rPr>
        <w:t xml:space="preserve">Potrivit motivațiilor CNAS </w:t>
      </w:r>
      <w:r w:rsidRPr="00DD5F1D">
        <w:rPr>
          <w:rFonts w:ascii="Times New Roman" w:hAnsi="Times New Roman" w:cs="Times New Roman"/>
          <w:color w:val="000000" w:themeColor="text1"/>
          <w:sz w:val="24"/>
          <w:szCs w:val="24"/>
          <w:lang w:val="ro-MD"/>
        </w:rPr>
        <w:t>privind periodicitatea eliberării biletului de tratament</w:t>
      </w:r>
      <w:r w:rsidR="00103554" w:rsidRPr="00DD5F1D">
        <w:rPr>
          <w:rFonts w:ascii="Times New Roman" w:hAnsi="Times New Roman" w:cs="Times New Roman"/>
          <w:color w:val="000000" w:themeColor="text1"/>
          <w:sz w:val="24"/>
          <w:szCs w:val="24"/>
          <w:lang w:val="ro-MD"/>
        </w:rPr>
        <w:t>,</w:t>
      </w:r>
      <w:r w:rsidRPr="00DD5F1D">
        <w:rPr>
          <w:rFonts w:ascii="Times New Roman" w:hAnsi="Times New Roman" w:cs="Times New Roman"/>
          <w:color w:val="000000" w:themeColor="text1"/>
          <w:sz w:val="24"/>
          <w:szCs w:val="24"/>
          <w:lang w:val="ro-MD"/>
        </w:rPr>
        <w:t xml:space="preserve"> se </w:t>
      </w:r>
      <w:r w:rsidR="00874668" w:rsidRPr="00DD5F1D">
        <w:rPr>
          <w:rFonts w:ascii="Times New Roman" w:hAnsi="Times New Roman" w:cs="Times New Roman"/>
          <w:color w:val="000000" w:themeColor="text1"/>
          <w:sz w:val="24"/>
          <w:szCs w:val="24"/>
          <w:lang w:val="ro-MD"/>
        </w:rPr>
        <w:t>denotă</w:t>
      </w:r>
      <w:r w:rsidRPr="00DD5F1D">
        <w:rPr>
          <w:rFonts w:ascii="Times New Roman" w:hAnsi="Times New Roman" w:cs="Times New Roman"/>
          <w:color w:val="000000" w:themeColor="text1"/>
          <w:sz w:val="24"/>
          <w:szCs w:val="24"/>
          <w:lang w:val="ro-MD"/>
        </w:rPr>
        <w:t xml:space="preserve"> că persoanele respective au beneficiat de bilet o dată la 3 ani. Totodată, în condițiile în care există persoane care își așteaptă rândul din 2017, alți veterani au beneficiat de bilet și pentru anii </w:t>
      </w:r>
      <w:r w:rsidRPr="009A6E4D">
        <w:rPr>
          <w:rFonts w:ascii="Times New Roman" w:hAnsi="Times New Roman" w:cs="Times New Roman"/>
          <w:color w:val="000000" w:themeColor="text1"/>
          <w:sz w:val="24"/>
          <w:szCs w:val="24"/>
          <w:lang w:val="ro-MD"/>
        </w:rPr>
        <w:t>ulteriori</w:t>
      </w:r>
      <w:r w:rsidRPr="00AF03D8">
        <w:rPr>
          <w:rFonts w:ascii="Times New Roman" w:eastAsia="Calibri" w:hAnsi="Times New Roman" w:cs="Times New Roman"/>
          <w:i/>
          <w:noProof/>
          <w:sz w:val="24"/>
          <w:szCs w:val="24"/>
          <w:lang w:val="ro-MD"/>
        </w:rPr>
        <w:t>.</w:t>
      </w:r>
      <w:r w:rsidRPr="009A6E4D">
        <w:rPr>
          <w:rFonts w:ascii="Times New Roman" w:hAnsi="Times New Roman" w:cs="Times New Roman"/>
          <w:color w:val="000000" w:themeColor="text1"/>
          <w:sz w:val="24"/>
          <w:szCs w:val="24"/>
          <w:lang w:val="ro-MD"/>
        </w:rPr>
        <w:t xml:space="preserve"> De exemplu, pentru perioada 2022</w:t>
      </w:r>
      <w:r w:rsidR="00F06628" w:rsidRPr="00AF03D8">
        <w:rPr>
          <w:rFonts w:ascii="Times New Roman" w:hAnsi="Times New Roman" w:cs="Times New Roman"/>
          <w:color w:val="000000" w:themeColor="text1"/>
          <w:sz w:val="24"/>
          <w:szCs w:val="24"/>
          <w:lang w:val="ro-MD"/>
        </w:rPr>
        <w:t>-</w:t>
      </w:r>
      <w:r w:rsidRPr="009A6E4D">
        <w:rPr>
          <w:rFonts w:ascii="Times New Roman" w:hAnsi="Times New Roman" w:cs="Times New Roman"/>
          <w:color w:val="000000" w:themeColor="text1"/>
          <w:sz w:val="24"/>
          <w:szCs w:val="24"/>
          <w:lang w:val="ro-MD"/>
        </w:rPr>
        <w:t xml:space="preserve">2024 </w:t>
      </w:r>
      <w:r w:rsidR="00103554" w:rsidRPr="009A6E4D">
        <w:rPr>
          <w:rFonts w:ascii="Times New Roman" w:hAnsi="Times New Roman" w:cs="Times New Roman"/>
          <w:color w:val="000000" w:themeColor="text1"/>
          <w:sz w:val="24"/>
          <w:szCs w:val="24"/>
          <w:lang w:val="ro-MD"/>
        </w:rPr>
        <w:t>au beneficiat</w:t>
      </w:r>
      <w:r w:rsidRPr="009A6E4D">
        <w:rPr>
          <w:rFonts w:ascii="Times New Roman" w:hAnsi="Times New Roman" w:cs="Times New Roman"/>
          <w:color w:val="000000" w:themeColor="text1"/>
          <w:sz w:val="24"/>
          <w:szCs w:val="24"/>
          <w:lang w:val="ro-MD"/>
        </w:rPr>
        <w:t xml:space="preserve"> 268 de beneficiari,</w:t>
      </w:r>
      <w:r w:rsidR="00F06628" w:rsidRPr="00AF03D8">
        <w:rPr>
          <w:rFonts w:ascii="Times New Roman" w:hAnsi="Times New Roman" w:cs="Times New Roman"/>
          <w:color w:val="000000" w:themeColor="text1"/>
          <w:sz w:val="24"/>
          <w:szCs w:val="24"/>
          <w:lang w:val="ro-MD"/>
        </w:rPr>
        <w:t xml:space="preserve"> iar pentru</w:t>
      </w:r>
      <w:r w:rsidRPr="009A6E4D">
        <w:rPr>
          <w:rFonts w:ascii="Times New Roman" w:hAnsi="Times New Roman" w:cs="Times New Roman"/>
          <w:color w:val="000000" w:themeColor="text1"/>
          <w:sz w:val="24"/>
          <w:szCs w:val="24"/>
          <w:lang w:val="ro-MD"/>
        </w:rPr>
        <w:t xml:space="preserve"> perioada 2023</w:t>
      </w:r>
      <w:r w:rsidR="00F06628" w:rsidRPr="00AF03D8">
        <w:rPr>
          <w:rFonts w:ascii="Times New Roman" w:hAnsi="Times New Roman" w:cs="Times New Roman"/>
          <w:color w:val="000000" w:themeColor="text1"/>
          <w:sz w:val="24"/>
          <w:szCs w:val="24"/>
          <w:lang w:val="ro-MD"/>
        </w:rPr>
        <w:t>-</w:t>
      </w:r>
      <w:r w:rsidRPr="009A6E4D">
        <w:rPr>
          <w:rFonts w:ascii="Times New Roman" w:hAnsi="Times New Roman" w:cs="Times New Roman"/>
          <w:color w:val="000000" w:themeColor="text1"/>
          <w:sz w:val="24"/>
          <w:szCs w:val="24"/>
          <w:lang w:val="ro-MD"/>
        </w:rPr>
        <w:t xml:space="preserve">2025 </w:t>
      </w:r>
      <w:r w:rsidR="00103554" w:rsidRPr="009A6E4D">
        <w:rPr>
          <w:rFonts w:ascii="Times New Roman" w:hAnsi="Times New Roman" w:cs="Times New Roman"/>
          <w:color w:val="000000" w:themeColor="text1"/>
          <w:sz w:val="24"/>
          <w:szCs w:val="24"/>
          <w:lang w:val="ro-MD"/>
        </w:rPr>
        <w:t>–</w:t>
      </w:r>
      <w:r w:rsidRPr="009A6E4D">
        <w:rPr>
          <w:rFonts w:ascii="Times New Roman" w:hAnsi="Times New Roman" w:cs="Times New Roman"/>
          <w:color w:val="000000" w:themeColor="text1"/>
          <w:sz w:val="24"/>
          <w:szCs w:val="24"/>
          <w:lang w:val="ro-MD"/>
        </w:rPr>
        <w:t xml:space="preserve"> 2 beneficiari.</w:t>
      </w:r>
      <w:r w:rsidRPr="00DD5F1D">
        <w:rPr>
          <w:rFonts w:ascii="Times New Roman" w:eastAsia="Times New Roman" w:hAnsi="Times New Roman" w:cs="Times New Roman"/>
          <w:color w:val="000000" w:themeColor="text1"/>
          <w:sz w:val="24"/>
          <w:szCs w:val="24"/>
          <w:lang w:val="ro-MD"/>
        </w:rPr>
        <w:t xml:space="preserve"> </w:t>
      </w:r>
    </w:p>
    <w:p w14:paraId="1CEEAC82" w14:textId="06C8A781" w:rsidR="00067178" w:rsidRPr="00DD5F1D" w:rsidRDefault="00067178" w:rsidP="005B7F0E">
      <w:pPr>
        <w:shd w:val="clear" w:color="auto" w:fill="FFFFFF"/>
        <w:spacing w:before="120" w:after="120" w:line="276" w:lineRule="auto"/>
        <w:jc w:val="both"/>
        <w:rPr>
          <w:rFonts w:ascii="Times New Roman" w:eastAsia="Times New Roman" w:hAnsi="Times New Roman" w:cs="Times New Roman"/>
          <w:color w:val="000000" w:themeColor="text1"/>
          <w:sz w:val="24"/>
          <w:szCs w:val="24"/>
          <w:lang w:val="ro-MD"/>
        </w:rPr>
      </w:pPr>
      <w:r w:rsidRPr="00DD5F1D">
        <w:rPr>
          <w:rFonts w:ascii="Times New Roman" w:eastAsia="Times New Roman" w:hAnsi="Times New Roman" w:cs="Times New Roman"/>
          <w:color w:val="000000" w:themeColor="text1"/>
          <w:sz w:val="24"/>
          <w:szCs w:val="24"/>
          <w:lang w:val="ro-MD"/>
        </w:rPr>
        <w:t>Potrivit reglementărilor</w:t>
      </w:r>
      <w:r w:rsidRPr="00DD5F1D">
        <w:rPr>
          <w:rStyle w:val="a5"/>
          <w:rFonts w:ascii="Times New Roman" w:eastAsia="Times New Roman" w:hAnsi="Times New Roman" w:cs="Times New Roman"/>
          <w:color w:val="000000" w:themeColor="text1"/>
          <w:sz w:val="24"/>
          <w:szCs w:val="24"/>
          <w:lang w:val="ro-MD"/>
        </w:rPr>
        <w:footnoteReference w:id="97"/>
      </w:r>
      <w:r w:rsidRPr="00DD5F1D">
        <w:rPr>
          <w:rFonts w:ascii="Times New Roman" w:eastAsia="Times New Roman" w:hAnsi="Times New Roman" w:cs="Times New Roman"/>
          <w:color w:val="000000" w:themeColor="text1"/>
          <w:sz w:val="24"/>
          <w:szCs w:val="24"/>
          <w:lang w:val="ro-MD"/>
        </w:rPr>
        <w:t>, se denotă că doar î</w:t>
      </w:r>
      <w:r w:rsidRPr="00DD5F1D">
        <w:rPr>
          <w:rFonts w:ascii="Times New Roman" w:hAnsi="Times New Roman" w:cs="Times New Roman"/>
          <w:color w:val="000000" w:themeColor="text1"/>
          <w:sz w:val="24"/>
          <w:szCs w:val="24"/>
          <w:lang w:val="ro-MD"/>
        </w:rPr>
        <w:t>n cazul în care persoanele care stau în rând refuză primirea biletului din motive</w:t>
      </w:r>
      <w:r w:rsidR="009A6E4D">
        <w:rPr>
          <w:rFonts w:ascii="Times New Roman" w:hAnsi="Times New Roman" w:cs="Times New Roman"/>
          <w:color w:val="000000" w:themeColor="text1"/>
          <w:sz w:val="24"/>
          <w:szCs w:val="24"/>
          <w:lang w:val="ro-MD"/>
        </w:rPr>
        <w:t>:</w:t>
      </w:r>
      <w:r w:rsidRPr="00DD5F1D">
        <w:rPr>
          <w:rFonts w:ascii="Times New Roman" w:hAnsi="Times New Roman" w:cs="Times New Roman"/>
          <w:color w:val="000000" w:themeColor="text1"/>
          <w:sz w:val="24"/>
          <w:szCs w:val="24"/>
          <w:lang w:val="ro-MD"/>
        </w:rPr>
        <w:t xml:space="preserve"> de </w:t>
      </w:r>
      <w:r w:rsidR="00103554" w:rsidRPr="00DD5F1D">
        <w:rPr>
          <w:rFonts w:ascii="Times New Roman" w:hAnsi="Times New Roman" w:cs="Times New Roman"/>
          <w:color w:val="000000" w:themeColor="text1"/>
          <w:sz w:val="24"/>
          <w:szCs w:val="24"/>
          <w:lang w:val="ro-MD"/>
        </w:rPr>
        <w:t>boală</w:t>
      </w:r>
      <w:r w:rsidRPr="00DD5F1D">
        <w:rPr>
          <w:rFonts w:ascii="Times New Roman" w:hAnsi="Times New Roman" w:cs="Times New Roman"/>
          <w:color w:val="000000" w:themeColor="text1"/>
          <w:sz w:val="24"/>
          <w:szCs w:val="24"/>
          <w:lang w:val="ro-MD"/>
        </w:rPr>
        <w:t>, contraindicaţii medicale</w:t>
      </w:r>
      <w:r w:rsidR="009A6E4D" w:rsidRPr="009A6E4D">
        <w:rPr>
          <w:rFonts w:ascii="Times New Roman" w:hAnsi="Times New Roman" w:cs="Times New Roman"/>
          <w:color w:val="000000" w:themeColor="text1"/>
          <w:sz w:val="24"/>
          <w:szCs w:val="24"/>
          <w:lang w:val="ro-MD"/>
        </w:rPr>
        <w:t xml:space="preserve">, </w:t>
      </w:r>
      <w:r w:rsidRPr="005152D5">
        <w:rPr>
          <w:rFonts w:ascii="Times New Roman" w:hAnsi="Times New Roman" w:cs="Times New Roman"/>
          <w:color w:val="000000" w:themeColor="text1"/>
          <w:sz w:val="24"/>
          <w:szCs w:val="24"/>
          <w:lang w:val="ro-MD"/>
        </w:rPr>
        <w:t>deces</w:t>
      </w:r>
      <w:r w:rsidR="00103554" w:rsidRPr="00A93D77">
        <w:rPr>
          <w:rFonts w:ascii="Times New Roman" w:hAnsi="Times New Roman" w:cs="Times New Roman"/>
          <w:color w:val="000000" w:themeColor="text1"/>
          <w:sz w:val="24"/>
          <w:szCs w:val="24"/>
          <w:lang w:val="ro-MD"/>
        </w:rPr>
        <w:t xml:space="preserve"> al</w:t>
      </w:r>
      <w:r w:rsidRPr="009A6E4D">
        <w:rPr>
          <w:rFonts w:ascii="Times New Roman" w:hAnsi="Times New Roman" w:cs="Times New Roman"/>
          <w:color w:val="000000" w:themeColor="text1"/>
          <w:sz w:val="24"/>
          <w:szCs w:val="24"/>
          <w:lang w:val="ro-MD"/>
        </w:rPr>
        <w:t xml:space="preserve"> rudelor</w:t>
      </w:r>
      <w:r w:rsidR="009A6E4D" w:rsidRPr="00AF03D8">
        <w:rPr>
          <w:rFonts w:ascii="Times New Roman" w:hAnsi="Times New Roman" w:cs="Times New Roman"/>
          <w:color w:val="000000" w:themeColor="text1"/>
          <w:sz w:val="24"/>
          <w:szCs w:val="24"/>
          <w:lang w:val="ro-MD"/>
        </w:rPr>
        <w:t>, iar</w:t>
      </w:r>
      <w:r w:rsidRPr="009A6E4D">
        <w:rPr>
          <w:rFonts w:ascii="Times New Roman" w:hAnsi="Times New Roman" w:cs="Times New Roman"/>
          <w:color w:val="000000" w:themeColor="text1"/>
          <w:sz w:val="24"/>
          <w:szCs w:val="24"/>
          <w:lang w:val="ro-MD"/>
        </w:rPr>
        <w:t xml:space="preserve"> refuzul este documentat de persoana responsabilă și adus la cunoștință, în scris, conducătorului subdiviziunii împuternicite pentru repartizarea biletelor,</w:t>
      </w:r>
      <w:r w:rsidRPr="00193E3C">
        <w:rPr>
          <w:rFonts w:ascii="Times New Roman" w:hAnsi="Times New Roman" w:cs="Times New Roman"/>
          <w:color w:val="000000" w:themeColor="text1"/>
          <w:sz w:val="24"/>
          <w:szCs w:val="24"/>
          <w:lang w:val="ro-MD"/>
        </w:rPr>
        <w:t xml:space="preserve"> solicitantul poate beneficia de bilet la o nouă adresare, în caz contrar, rândul nu i se păstrează.</w:t>
      </w:r>
    </w:p>
    <w:p w14:paraId="0B5CA8FC" w14:textId="64558711" w:rsidR="00067178" w:rsidRPr="00DD5F1D" w:rsidRDefault="00067178" w:rsidP="00067178">
      <w:pPr>
        <w:shd w:val="clear" w:color="auto" w:fill="FFFFFF"/>
        <w:spacing w:after="0" w:line="276"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color w:val="000000" w:themeColor="text1"/>
          <w:sz w:val="24"/>
          <w:szCs w:val="24"/>
          <w:lang w:val="ro-MD"/>
        </w:rPr>
        <w:t>Concomitent, se denotă că în cazul a 1</w:t>
      </w:r>
      <w:r w:rsidR="00103554" w:rsidRPr="00DD5F1D">
        <w:rPr>
          <w:rFonts w:ascii="Times New Roman" w:eastAsia="Times New Roman" w:hAnsi="Times New Roman" w:cs="Times New Roman"/>
          <w:color w:val="000000" w:themeColor="text1"/>
          <w:sz w:val="24"/>
          <w:szCs w:val="24"/>
          <w:lang w:val="ro-MD"/>
        </w:rPr>
        <w:t xml:space="preserve"> </w:t>
      </w:r>
      <w:r w:rsidRPr="00DD5F1D">
        <w:rPr>
          <w:rFonts w:ascii="Times New Roman" w:eastAsia="Times New Roman" w:hAnsi="Times New Roman" w:cs="Times New Roman"/>
          <w:color w:val="000000" w:themeColor="text1"/>
          <w:sz w:val="24"/>
          <w:szCs w:val="24"/>
          <w:lang w:val="ro-MD"/>
        </w:rPr>
        <w:t xml:space="preserve">635 decizii, biletele </w:t>
      </w:r>
      <w:r w:rsidR="00874668" w:rsidRPr="00DD5F1D">
        <w:rPr>
          <w:rFonts w:ascii="Times New Roman" w:eastAsia="Times New Roman" w:hAnsi="Times New Roman" w:cs="Times New Roman"/>
          <w:color w:val="000000" w:themeColor="text1"/>
          <w:sz w:val="24"/>
          <w:szCs w:val="24"/>
          <w:lang w:val="ro-MD"/>
        </w:rPr>
        <w:t xml:space="preserve">balneo-sanatoriale </w:t>
      </w:r>
      <w:r w:rsidRPr="00DD5F1D">
        <w:rPr>
          <w:rFonts w:ascii="Times New Roman" w:eastAsia="Times New Roman" w:hAnsi="Times New Roman" w:cs="Times New Roman"/>
          <w:color w:val="000000" w:themeColor="text1"/>
          <w:sz w:val="24"/>
          <w:szCs w:val="24"/>
          <w:lang w:val="ro-MD"/>
        </w:rPr>
        <w:t xml:space="preserve">au fost eliberate </w:t>
      </w:r>
      <w:r w:rsidRPr="00DD5F1D">
        <w:rPr>
          <w:rFonts w:ascii="Times New Roman" w:eastAsia="Times New Roman" w:hAnsi="Times New Roman" w:cs="Times New Roman"/>
          <w:sz w:val="24"/>
          <w:szCs w:val="24"/>
          <w:lang w:val="ro-MD"/>
        </w:rPr>
        <w:t>cu diferența de până la 10 zile de la data depunerii cererii, iar 804 din aceștia au beneficiat de bilet</w:t>
      </w:r>
      <w:r w:rsidR="00C52FE0" w:rsidRPr="00DD5F1D">
        <w:rPr>
          <w:rFonts w:ascii="Times New Roman" w:eastAsia="Times New Roman" w:hAnsi="Times New Roman" w:cs="Times New Roman"/>
          <w:sz w:val="24"/>
          <w:szCs w:val="24"/>
          <w:lang w:val="ro-MD"/>
        </w:rPr>
        <w:t>e</w:t>
      </w:r>
      <w:r w:rsidRPr="00DD5F1D">
        <w:rPr>
          <w:rFonts w:ascii="Times New Roman" w:eastAsia="Times New Roman" w:hAnsi="Times New Roman" w:cs="Times New Roman"/>
          <w:sz w:val="24"/>
          <w:szCs w:val="24"/>
          <w:lang w:val="ro-MD"/>
        </w:rPr>
        <w:t xml:space="preserve"> balneo-sanatorial</w:t>
      </w:r>
      <w:r w:rsidR="00C52FE0" w:rsidRPr="00DD5F1D">
        <w:rPr>
          <w:rFonts w:ascii="Times New Roman" w:eastAsia="Times New Roman" w:hAnsi="Times New Roman" w:cs="Times New Roman"/>
          <w:sz w:val="24"/>
          <w:szCs w:val="24"/>
          <w:lang w:val="ro-MD"/>
        </w:rPr>
        <w:t>e</w:t>
      </w:r>
      <w:r w:rsidRPr="00DD5F1D">
        <w:rPr>
          <w:rFonts w:ascii="Times New Roman" w:eastAsia="Times New Roman" w:hAnsi="Times New Roman" w:cs="Times New Roman"/>
          <w:sz w:val="24"/>
          <w:szCs w:val="24"/>
          <w:lang w:val="ro-MD"/>
        </w:rPr>
        <w:t xml:space="preserve"> chiar în aceeași zi cu depunerea cererii, informații redate</w:t>
      </w:r>
      <w:r w:rsidR="00C52FE0" w:rsidRPr="00DD5F1D">
        <w:rPr>
          <w:rFonts w:ascii="Times New Roman" w:eastAsia="Times New Roman" w:hAnsi="Times New Roman" w:cs="Times New Roman"/>
          <w:sz w:val="24"/>
          <w:szCs w:val="24"/>
          <w:lang w:val="ro-MD"/>
        </w:rPr>
        <w:t xml:space="preserve"> în tabelul ce urmează</w:t>
      </w:r>
      <w:r w:rsidRPr="00DD5F1D">
        <w:rPr>
          <w:rFonts w:ascii="Times New Roman" w:eastAsia="Times New Roman" w:hAnsi="Times New Roman" w:cs="Times New Roman"/>
          <w:sz w:val="24"/>
          <w:szCs w:val="24"/>
          <w:lang w:val="ro-MD"/>
        </w:rPr>
        <w:t>:</w:t>
      </w:r>
    </w:p>
    <w:p w14:paraId="7CCB7009" w14:textId="7565203E" w:rsidR="00067178" w:rsidRPr="00DD5F1D" w:rsidRDefault="00067178" w:rsidP="00067178">
      <w:pPr>
        <w:jc w:val="right"/>
        <w:rPr>
          <w:rFonts w:ascii="Times New Roman" w:hAnsi="Times New Roman" w:cs="Times New Roman"/>
          <w:b/>
          <w:szCs w:val="24"/>
          <w:lang w:val="ro-MD"/>
        </w:rPr>
      </w:pPr>
      <w:r w:rsidRPr="00DD5F1D">
        <w:rPr>
          <w:rFonts w:ascii="Times New Roman" w:hAnsi="Times New Roman" w:cs="Times New Roman"/>
          <w:b/>
          <w:szCs w:val="24"/>
          <w:lang w:val="ro-MD"/>
        </w:rPr>
        <w:t xml:space="preserve">Tabelul nr. </w:t>
      </w:r>
      <w:r w:rsidR="0021536C" w:rsidRPr="00DD5F1D">
        <w:rPr>
          <w:rFonts w:ascii="Times New Roman" w:hAnsi="Times New Roman" w:cs="Times New Roman"/>
          <w:b/>
          <w:szCs w:val="24"/>
          <w:lang w:val="ro-MD"/>
        </w:rPr>
        <w:t>17</w:t>
      </w:r>
    </w:p>
    <w:p w14:paraId="2395F4B8" w14:textId="77777777" w:rsidR="00067178" w:rsidRPr="00DD5F1D" w:rsidRDefault="00067178" w:rsidP="00067178">
      <w:pPr>
        <w:spacing w:after="0"/>
        <w:jc w:val="center"/>
        <w:rPr>
          <w:rFonts w:ascii="Times New Roman" w:hAnsi="Times New Roman" w:cs="Times New Roman"/>
          <w:b/>
          <w:szCs w:val="24"/>
          <w:lang w:val="ro-MD"/>
        </w:rPr>
      </w:pPr>
      <w:r w:rsidRPr="00DD5F1D">
        <w:rPr>
          <w:rFonts w:ascii="Times New Roman" w:hAnsi="Times New Roman" w:cs="Times New Roman"/>
          <w:b/>
          <w:szCs w:val="24"/>
          <w:lang w:val="ro-MD"/>
        </w:rPr>
        <w:t>Informații privind diferența de zile dintre data depunerii cererii</w:t>
      </w:r>
    </w:p>
    <w:p w14:paraId="4AD9FC9A" w14:textId="54F04179" w:rsidR="00067178" w:rsidRPr="00DD5F1D" w:rsidRDefault="00067178" w:rsidP="00067178">
      <w:pPr>
        <w:spacing w:after="0"/>
        <w:jc w:val="center"/>
        <w:rPr>
          <w:rFonts w:ascii="Times New Roman" w:hAnsi="Times New Roman" w:cs="Times New Roman"/>
          <w:b/>
          <w:szCs w:val="24"/>
          <w:lang w:val="ro-MD"/>
        </w:rPr>
      </w:pPr>
      <w:r w:rsidRPr="00DD5F1D">
        <w:rPr>
          <w:rFonts w:ascii="Times New Roman" w:hAnsi="Times New Roman" w:cs="Times New Roman"/>
          <w:b/>
          <w:szCs w:val="24"/>
          <w:lang w:val="ro-MD"/>
        </w:rPr>
        <w:t xml:space="preserve"> și data deciziei de eliberare a biletelor balneo-sanatoriale pentru perioada 2017</w:t>
      </w:r>
      <w:r w:rsidR="00103554" w:rsidRPr="00DD5F1D">
        <w:rPr>
          <w:rFonts w:ascii="Times New Roman" w:hAnsi="Times New Roman" w:cs="Times New Roman"/>
          <w:b/>
          <w:szCs w:val="24"/>
          <w:lang w:val="ro-MD"/>
        </w:rPr>
        <w:t xml:space="preserve"> – </w:t>
      </w:r>
      <w:r w:rsidRPr="00DD5F1D">
        <w:rPr>
          <w:rFonts w:ascii="Times New Roman" w:hAnsi="Times New Roman" w:cs="Times New Roman"/>
          <w:b/>
          <w:szCs w:val="24"/>
          <w:lang w:val="ro-MD"/>
        </w:rPr>
        <w:t>martie 2024</w:t>
      </w:r>
    </w:p>
    <w:tbl>
      <w:tblPr>
        <w:tblStyle w:val="af1"/>
        <w:tblW w:w="0" w:type="auto"/>
        <w:jc w:val="center"/>
        <w:tblLook w:val="04A0" w:firstRow="1" w:lastRow="0" w:firstColumn="1" w:lastColumn="0" w:noHBand="0" w:noVBand="1"/>
      </w:tblPr>
      <w:tblGrid>
        <w:gridCol w:w="4839"/>
        <w:gridCol w:w="4840"/>
      </w:tblGrid>
      <w:tr w:rsidR="00067178" w:rsidRPr="00DD5F1D" w14:paraId="29D150AE" w14:textId="77777777" w:rsidTr="00070E13">
        <w:trPr>
          <w:trHeight w:val="436"/>
          <w:jc w:val="center"/>
        </w:trPr>
        <w:tc>
          <w:tcPr>
            <w:tcW w:w="4839" w:type="dxa"/>
            <w:vAlign w:val="center"/>
          </w:tcPr>
          <w:p w14:paraId="27BC7DE8" w14:textId="77777777" w:rsidR="00067178" w:rsidRPr="00DD5F1D" w:rsidRDefault="00067178" w:rsidP="00C52FE0">
            <w:pPr>
              <w:jc w:val="center"/>
              <w:rPr>
                <w:rFonts w:ascii="Times New Roman" w:hAnsi="Times New Roman" w:cs="Times New Roman"/>
                <w:b/>
                <w:sz w:val="20"/>
                <w:lang w:val="ro-MD"/>
              </w:rPr>
            </w:pPr>
            <w:r w:rsidRPr="00DD5F1D">
              <w:rPr>
                <w:rFonts w:ascii="Times New Roman" w:hAnsi="Times New Roman" w:cs="Times New Roman"/>
                <w:b/>
                <w:sz w:val="20"/>
                <w:lang w:val="ro-MD"/>
              </w:rPr>
              <w:t>Numărul de zile în așteptare</w:t>
            </w:r>
          </w:p>
        </w:tc>
        <w:tc>
          <w:tcPr>
            <w:tcW w:w="4840" w:type="dxa"/>
            <w:vAlign w:val="center"/>
          </w:tcPr>
          <w:p w14:paraId="0536FE95" w14:textId="77777777" w:rsidR="00067178" w:rsidRPr="00DD5F1D" w:rsidRDefault="00067178" w:rsidP="00C52FE0">
            <w:pPr>
              <w:jc w:val="center"/>
              <w:rPr>
                <w:rFonts w:ascii="Times New Roman" w:hAnsi="Times New Roman" w:cs="Times New Roman"/>
                <w:b/>
                <w:sz w:val="20"/>
                <w:lang w:val="ro-MD"/>
              </w:rPr>
            </w:pPr>
            <w:r w:rsidRPr="00DD5F1D">
              <w:rPr>
                <w:rFonts w:ascii="Times New Roman" w:hAnsi="Times New Roman" w:cs="Times New Roman"/>
                <w:b/>
                <w:sz w:val="20"/>
                <w:lang w:val="ro-MD"/>
              </w:rPr>
              <w:t>Numărul de cereri</w:t>
            </w:r>
          </w:p>
        </w:tc>
      </w:tr>
      <w:tr w:rsidR="00067178" w:rsidRPr="00DD5F1D" w14:paraId="6DDEAFF0" w14:textId="77777777" w:rsidTr="00070E13">
        <w:trPr>
          <w:jc w:val="center"/>
        </w:trPr>
        <w:tc>
          <w:tcPr>
            <w:tcW w:w="4839" w:type="dxa"/>
            <w:vAlign w:val="center"/>
          </w:tcPr>
          <w:p w14:paraId="5E10DFAD" w14:textId="77777777" w:rsidR="00067178" w:rsidRPr="00DD5F1D" w:rsidRDefault="00067178" w:rsidP="00C52FE0">
            <w:pPr>
              <w:rPr>
                <w:rFonts w:ascii="Times New Roman" w:hAnsi="Times New Roman" w:cs="Times New Roman"/>
                <w:i/>
                <w:sz w:val="20"/>
                <w:lang w:val="ro-MD"/>
              </w:rPr>
            </w:pPr>
            <w:r w:rsidRPr="00DD5F1D">
              <w:rPr>
                <w:rFonts w:ascii="Times New Roman" w:hAnsi="Times New Roman" w:cs="Times New Roman"/>
                <w:i/>
                <w:sz w:val="20"/>
                <w:lang w:val="ro-MD"/>
              </w:rPr>
              <w:t>de la 0 – 10 zile</w:t>
            </w:r>
          </w:p>
        </w:tc>
        <w:tc>
          <w:tcPr>
            <w:tcW w:w="4840" w:type="dxa"/>
            <w:vAlign w:val="center"/>
          </w:tcPr>
          <w:p w14:paraId="4861E017" w14:textId="77777777" w:rsidR="00067178" w:rsidRPr="00DD5F1D" w:rsidRDefault="00067178" w:rsidP="00C52FE0">
            <w:pPr>
              <w:jc w:val="right"/>
              <w:rPr>
                <w:rFonts w:ascii="Times New Roman" w:hAnsi="Times New Roman" w:cs="Times New Roman"/>
                <w:i/>
                <w:sz w:val="20"/>
                <w:lang w:val="ro-MD"/>
              </w:rPr>
            </w:pPr>
            <w:r w:rsidRPr="00DD5F1D">
              <w:rPr>
                <w:rFonts w:ascii="Times New Roman" w:hAnsi="Times New Roman" w:cs="Times New Roman"/>
                <w:i/>
                <w:sz w:val="20"/>
                <w:lang w:val="ro-MD"/>
              </w:rPr>
              <w:t>1 635</w:t>
            </w:r>
          </w:p>
        </w:tc>
      </w:tr>
      <w:tr w:rsidR="00067178" w:rsidRPr="00DD5F1D" w14:paraId="5C2B52B7" w14:textId="77777777" w:rsidTr="00070E13">
        <w:trPr>
          <w:jc w:val="center"/>
        </w:trPr>
        <w:tc>
          <w:tcPr>
            <w:tcW w:w="4839" w:type="dxa"/>
            <w:vAlign w:val="center"/>
          </w:tcPr>
          <w:p w14:paraId="1310855F" w14:textId="77777777" w:rsidR="00067178" w:rsidRPr="00DD5F1D" w:rsidRDefault="00067178" w:rsidP="00C52FE0">
            <w:pPr>
              <w:rPr>
                <w:sz w:val="20"/>
                <w:lang w:val="ro-MD"/>
              </w:rPr>
            </w:pPr>
            <w:r w:rsidRPr="00DD5F1D">
              <w:rPr>
                <w:rFonts w:ascii="Times New Roman" w:hAnsi="Times New Roman" w:cs="Times New Roman"/>
                <w:i/>
                <w:sz w:val="20"/>
                <w:lang w:val="ro-MD"/>
              </w:rPr>
              <w:t>de la 11 – 30 zile</w:t>
            </w:r>
          </w:p>
        </w:tc>
        <w:tc>
          <w:tcPr>
            <w:tcW w:w="4840" w:type="dxa"/>
            <w:vAlign w:val="center"/>
          </w:tcPr>
          <w:p w14:paraId="7BD958A9" w14:textId="77777777" w:rsidR="00067178" w:rsidRPr="00DD5F1D" w:rsidRDefault="00067178" w:rsidP="00C52FE0">
            <w:pPr>
              <w:jc w:val="right"/>
              <w:rPr>
                <w:rFonts w:ascii="Times New Roman" w:hAnsi="Times New Roman" w:cs="Times New Roman"/>
                <w:sz w:val="20"/>
                <w:lang w:val="ro-MD"/>
              </w:rPr>
            </w:pPr>
            <w:r w:rsidRPr="00DD5F1D">
              <w:rPr>
                <w:rFonts w:ascii="Times New Roman" w:hAnsi="Times New Roman" w:cs="Times New Roman"/>
                <w:sz w:val="20"/>
                <w:lang w:val="ro-MD"/>
              </w:rPr>
              <w:t>1 010</w:t>
            </w:r>
          </w:p>
        </w:tc>
      </w:tr>
      <w:tr w:rsidR="00067178" w:rsidRPr="00DD5F1D" w14:paraId="070ED4A3" w14:textId="77777777" w:rsidTr="00070E13">
        <w:trPr>
          <w:jc w:val="center"/>
        </w:trPr>
        <w:tc>
          <w:tcPr>
            <w:tcW w:w="4839" w:type="dxa"/>
            <w:vAlign w:val="center"/>
          </w:tcPr>
          <w:p w14:paraId="0511121F" w14:textId="77777777" w:rsidR="00067178" w:rsidRPr="00DD5F1D" w:rsidRDefault="00067178" w:rsidP="00C52FE0">
            <w:pPr>
              <w:rPr>
                <w:sz w:val="20"/>
                <w:lang w:val="ro-MD"/>
              </w:rPr>
            </w:pPr>
            <w:r w:rsidRPr="00DD5F1D">
              <w:rPr>
                <w:rFonts w:ascii="Times New Roman" w:hAnsi="Times New Roman" w:cs="Times New Roman"/>
                <w:i/>
                <w:sz w:val="20"/>
                <w:lang w:val="ro-MD"/>
              </w:rPr>
              <w:t>de la 31 – 90 zile</w:t>
            </w:r>
          </w:p>
        </w:tc>
        <w:tc>
          <w:tcPr>
            <w:tcW w:w="4840" w:type="dxa"/>
            <w:vAlign w:val="center"/>
          </w:tcPr>
          <w:p w14:paraId="7AF0E85B" w14:textId="77777777" w:rsidR="00067178" w:rsidRPr="00DD5F1D" w:rsidRDefault="00067178" w:rsidP="00C52FE0">
            <w:pPr>
              <w:jc w:val="right"/>
              <w:rPr>
                <w:rFonts w:ascii="Times New Roman" w:hAnsi="Times New Roman" w:cs="Times New Roman"/>
                <w:sz w:val="20"/>
                <w:lang w:val="ro-MD"/>
              </w:rPr>
            </w:pPr>
            <w:r w:rsidRPr="00DD5F1D">
              <w:rPr>
                <w:rFonts w:ascii="Times New Roman" w:hAnsi="Times New Roman" w:cs="Times New Roman"/>
                <w:sz w:val="20"/>
                <w:lang w:val="ro-MD"/>
              </w:rPr>
              <w:t>1 957</w:t>
            </w:r>
          </w:p>
        </w:tc>
      </w:tr>
      <w:tr w:rsidR="00067178" w:rsidRPr="00DD5F1D" w14:paraId="37BCF891" w14:textId="77777777" w:rsidTr="00070E13">
        <w:trPr>
          <w:jc w:val="center"/>
        </w:trPr>
        <w:tc>
          <w:tcPr>
            <w:tcW w:w="4839" w:type="dxa"/>
            <w:vAlign w:val="center"/>
          </w:tcPr>
          <w:p w14:paraId="5F002224" w14:textId="77777777" w:rsidR="00067178" w:rsidRPr="00DD5F1D" w:rsidRDefault="00067178" w:rsidP="00C52FE0">
            <w:pPr>
              <w:rPr>
                <w:sz w:val="20"/>
                <w:lang w:val="ro-MD"/>
              </w:rPr>
            </w:pPr>
            <w:r w:rsidRPr="00DD5F1D">
              <w:rPr>
                <w:rFonts w:ascii="Times New Roman" w:hAnsi="Times New Roman" w:cs="Times New Roman"/>
                <w:i/>
                <w:sz w:val="20"/>
                <w:lang w:val="ro-MD"/>
              </w:rPr>
              <w:t>de la 91 – 120 zile</w:t>
            </w:r>
          </w:p>
        </w:tc>
        <w:tc>
          <w:tcPr>
            <w:tcW w:w="4840" w:type="dxa"/>
            <w:vAlign w:val="center"/>
          </w:tcPr>
          <w:p w14:paraId="232AB05F" w14:textId="77777777" w:rsidR="00067178" w:rsidRPr="00DD5F1D" w:rsidRDefault="00067178" w:rsidP="00C52FE0">
            <w:pPr>
              <w:jc w:val="right"/>
              <w:rPr>
                <w:rFonts w:ascii="Times New Roman" w:hAnsi="Times New Roman" w:cs="Times New Roman"/>
                <w:i/>
                <w:sz w:val="20"/>
                <w:lang w:val="ro-MD"/>
              </w:rPr>
            </w:pPr>
            <w:r w:rsidRPr="00DD5F1D">
              <w:rPr>
                <w:rFonts w:ascii="Times New Roman" w:hAnsi="Times New Roman" w:cs="Times New Roman"/>
                <w:i/>
                <w:sz w:val="20"/>
                <w:lang w:val="ro-MD"/>
              </w:rPr>
              <w:t>765</w:t>
            </w:r>
          </w:p>
        </w:tc>
      </w:tr>
      <w:tr w:rsidR="00067178" w:rsidRPr="00DD5F1D" w14:paraId="2F29060D" w14:textId="77777777" w:rsidTr="00070E13">
        <w:trPr>
          <w:jc w:val="center"/>
        </w:trPr>
        <w:tc>
          <w:tcPr>
            <w:tcW w:w="4839" w:type="dxa"/>
            <w:vAlign w:val="center"/>
          </w:tcPr>
          <w:p w14:paraId="67989429" w14:textId="77777777" w:rsidR="00067178" w:rsidRPr="00DD5F1D" w:rsidRDefault="00067178" w:rsidP="00C52FE0">
            <w:pPr>
              <w:rPr>
                <w:sz w:val="20"/>
                <w:lang w:val="ro-MD"/>
              </w:rPr>
            </w:pPr>
            <w:r w:rsidRPr="00DD5F1D">
              <w:rPr>
                <w:rFonts w:ascii="Times New Roman" w:hAnsi="Times New Roman" w:cs="Times New Roman"/>
                <w:i/>
                <w:sz w:val="20"/>
                <w:lang w:val="ro-MD"/>
              </w:rPr>
              <w:t>de la 121 – 364 zile</w:t>
            </w:r>
          </w:p>
        </w:tc>
        <w:tc>
          <w:tcPr>
            <w:tcW w:w="4840" w:type="dxa"/>
            <w:vAlign w:val="center"/>
          </w:tcPr>
          <w:p w14:paraId="6378DFA7" w14:textId="77777777" w:rsidR="00067178" w:rsidRPr="00DD5F1D" w:rsidRDefault="00067178" w:rsidP="00C52FE0">
            <w:pPr>
              <w:jc w:val="right"/>
              <w:rPr>
                <w:rFonts w:ascii="Times New Roman" w:hAnsi="Times New Roman" w:cs="Times New Roman"/>
                <w:i/>
                <w:sz w:val="20"/>
                <w:lang w:val="ro-MD"/>
              </w:rPr>
            </w:pPr>
            <w:r w:rsidRPr="00DD5F1D">
              <w:rPr>
                <w:rFonts w:ascii="Times New Roman" w:hAnsi="Times New Roman" w:cs="Times New Roman"/>
                <w:i/>
                <w:sz w:val="20"/>
                <w:lang w:val="ro-MD"/>
              </w:rPr>
              <w:t>5 262</w:t>
            </w:r>
          </w:p>
        </w:tc>
      </w:tr>
      <w:tr w:rsidR="00067178" w:rsidRPr="00DD5F1D" w14:paraId="4049AA9D" w14:textId="77777777" w:rsidTr="00070E13">
        <w:trPr>
          <w:jc w:val="center"/>
        </w:trPr>
        <w:tc>
          <w:tcPr>
            <w:tcW w:w="4839" w:type="dxa"/>
            <w:vAlign w:val="center"/>
          </w:tcPr>
          <w:p w14:paraId="53D9E847" w14:textId="77777777" w:rsidR="00067178" w:rsidRPr="00DD5F1D" w:rsidRDefault="00067178" w:rsidP="00C52FE0">
            <w:pPr>
              <w:rPr>
                <w:sz w:val="20"/>
                <w:lang w:val="ro-MD"/>
              </w:rPr>
            </w:pPr>
            <w:r w:rsidRPr="00DD5F1D">
              <w:rPr>
                <w:rFonts w:ascii="Times New Roman" w:hAnsi="Times New Roman" w:cs="Times New Roman"/>
                <w:i/>
                <w:sz w:val="20"/>
                <w:lang w:val="ro-MD"/>
              </w:rPr>
              <w:t>de la 365 – 728 zile</w:t>
            </w:r>
          </w:p>
        </w:tc>
        <w:tc>
          <w:tcPr>
            <w:tcW w:w="4840" w:type="dxa"/>
            <w:vAlign w:val="center"/>
          </w:tcPr>
          <w:p w14:paraId="69B0D78A" w14:textId="77777777" w:rsidR="00067178" w:rsidRPr="00DD5F1D" w:rsidRDefault="00067178" w:rsidP="00C52FE0">
            <w:pPr>
              <w:jc w:val="right"/>
              <w:rPr>
                <w:rFonts w:ascii="Times New Roman" w:hAnsi="Times New Roman" w:cs="Times New Roman"/>
                <w:i/>
                <w:sz w:val="20"/>
                <w:lang w:val="ro-MD"/>
              </w:rPr>
            </w:pPr>
            <w:r w:rsidRPr="00DD5F1D">
              <w:rPr>
                <w:rFonts w:ascii="Times New Roman" w:hAnsi="Times New Roman" w:cs="Times New Roman"/>
                <w:i/>
                <w:sz w:val="20"/>
                <w:lang w:val="ro-MD"/>
              </w:rPr>
              <w:t>5 266</w:t>
            </w:r>
          </w:p>
        </w:tc>
      </w:tr>
      <w:tr w:rsidR="00067178" w:rsidRPr="00DD5F1D" w14:paraId="6E92E725" w14:textId="77777777" w:rsidTr="00070E13">
        <w:trPr>
          <w:jc w:val="center"/>
        </w:trPr>
        <w:tc>
          <w:tcPr>
            <w:tcW w:w="4839" w:type="dxa"/>
            <w:vAlign w:val="center"/>
          </w:tcPr>
          <w:p w14:paraId="65232EF0" w14:textId="77777777" w:rsidR="00067178" w:rsidRPr="00DD5F1D" w:rsidRDefault="00067178" w:rsidP="00C52FE0">
            <w:pPr>
              <w:rPr>
                <w:sz w:val="20"/>
                <w:lang w:val="ro-MD"/>
              </w:rPr>
            </w:pPr>
            <w:r w:rsidRPr="00DD5F1D">
              <w:rPr>
                <w:rFonts w:ascii="Times New Roman" w:hAnsi="Times New Roman" w:cs="Times New Roman"/>
                <w:i/>
                <w:sz w:val="20"/>
                <w:lang w:val="ro-MD"/>
              </w:rPr>
              <w:t>de la 729 – 1 092 zile</w:t>
            </w:r>
          </w:p>
        </w:tc>
        <w:tc>
          <w:tcPr>
            <w:tcW w:w="4840" w:type="dxa"/>
            <w:vAlign w:val="center"/>
          </w:tcPr>
          <w:p w14:paraId="11CC883B" w14:textId="77777777" w:rsidR="00067178" w:rsidRPr="00DD5F1D" w:rsidRDefault="00067178" w:rsidP="00C52FE0">
            <w:pPr>
              <w:jc w:val="right"/>
              <w:rPr>
                <w:rFonts w:ascii="Times New Roman" w:hAnsi="Times New Roman" w:cs="Times New Roman"/>
                <w:i/>
                <w:sz w:val="20"/>
                <w:lang w:val="ro-MD"/>
              </w:rPr>
            </w:pPr>
            <w:r w:rsidRPr="00DD5F1D">
              <w:rPr>
                <w:rFonts w:ascii="Times New Roman" w:hAnsi="Times New Roman" w:cs="Times New Roman"/>
                <w:i/>
                <w:sz w:val="20"/>
                <w:lang w:val="ro-MD"/>
              </w:rPr>
              <w:t>4 313</w:t>
            </w:r>
          </w:p>
        </w:tc>
      </w:tr>
      <w:tr w:rsidR="00067178" w:rsidRPr="00DD5F1D" w14:paraId="6912B22F" w14:textId="77777777" w:rsidTr="00070E13">
        <w:trPr>
          <w:jc w:val="center"/>
        </w:trPr>
        <w:tc>
          <w:tcPr>
            <w:tcW w:w="4839" w:type="dxa"/>
            <w:vAlign w:val="center"/>
          </w:tcPr>
          <w:p w14:paraId="14BA5AA0" w14:textId="77777777" w:rsidR="00067178" w:rsidRPr="00DD5F1D" w:rsidRDefault="00067178" w:rsidP="00C52FE0">
            <w:pPr>
              <w:rPr>
                <w:sz w:val="20"/>
                <w:lang w:val="ro-MD"/>
              </w:rPr>
            </w:pPr>
            <w:r w:rsidRPr="00DD5F1D">
              <w:rPr>
                <w:rFonts w:ascii="Times New Roman" w:hAnsi="Times New Roman" w:cs="Times New Roman"/>
                <w:i/>
                <w:sz w:val="20"/>
                <w:lang w:val="ro-MD"/>
              </w:rPr>
              <w:t>peste 1 093 zile</w:t>
            </w:r>
          </w:p>
        </w:tc>
        <w:tc>
          <w:tcPr>
            <w:tcW w:w="4840" w:type="dxa"/>
            <w:vAlign w:val="center"/>
          </w:tcPr>
          <w:p w14:paraId="4C335A0E" w14:textId="77777777" w:rsidR="00067178" w:rsidRPr="00DD5F1D" w:rsidRDefault="00067178" w:rsidP="00C52FE0">
            <w:pPr>
              <w:jc w:val="right"/>
              <w:rPr>
                <w:rFonts w:ascii="Times New Roman" w:hAnsi="Times New Roman" w:cs="Times New Roman"/>
                <w:i/>
                <w:sz w:val="20"/>
                <w:lang w:val="ro-MD"/>
              </w:rPr>
            </w:pPr>
            <w:r w:rsidRPr="00DD5F1D">
              <w:rPr>
                <w:rFonts w:ascii="Times New Roman" w:hAnsi="Times New Roman" w:cs="Times New Roman"/>
                <w:i/>
                <w:sz w:val="20"/>
                <w:lang w:val="ro-MD"/>
              </w:rPr>
              <w:t>6 039</w:t>
            </w:r>
          </w:p>
        </w:tc>
      </w:tr>
    </w:tbl>
    <w:p w14:paraId="0D4AB2E2" w14:textId="3B6C6E09" w:rsidR="00067178" w:rsidRPr="00DD5F1D" w:rsidRDefault="00067178" w:rsidP="00067178">
      <w:pPr>
        <w:rPr>
          <w:rFonts w:ascii="Times New Roman" w:hAnsi="Times New Roman" w:cs="Times New Roman"/>
          <w:i/>
          <w:sz w:val="20"/>
          <w:lang w:val="ro-MD"/>
        </w:rPr>
      </w:pPr>
      <w:r w:rsidRPr="00DD5F1D">
        <w:rPr>
          <w:rFonts w:ascii="Times New Roman" w:hAnsi="Times New Roman" w:cs="Times New Roman"/>
          <w:b/>
          <w:i/>
          <w:sz w:val="20"/>
          <w:lang w:val="ro-MD"/>
        </w:rPr>
        <w:t>Sursa:</w:t>
      </w:r>
      <w:r w:rsidRPr="00DD5F1D">
        <w:rPr>
          <w:rFonts w:ascii="Times New Roman" w:hAnsi="Times New Roman" w:cs="Times New Roman"/>
          <w:i/>
          <w:sz w:val="20"/>
          <w:lang w:val="ro-MD"/>
        </w:rPr>
        <w:t xml:space="preserve"> Elaborat de audit în baza informațiilor prezentate de către CNAS</w:t>
      </w:r>
      <w:r w:rsidR="00103554" w:rsidRPr="00DD5F1D">
        <w:rPr>
          <w:rFonts w:ascii="Times New Roman" w:hAnsi="Times New Roman" w:cs="Times New Roman"/>
          <w:i/>
          <w:sz w:val="20"/>
          <w:lang w:val="ro-MD"/>
        </w:rPr>
        <w:t>.</w:t>
      </w:r>
    </w:p>
    <w:p w14:paraId="05BD3A9B" w14:textId="03E7F45F" w:rsidR="00067178" w:rsidRDefault="00067178" w:rsidP="00067178">
      <w:pPr>
        <w:shd w:val="clear" w:color="auto" w:fill="FFFFFF"/>
        <w:spacing w:after="0" w:line="276" w:lineRule="auto"/>
        <w:jc w:val="both"/>
        <w:rPr>
          <w:rFonts w:ascii="Times New Roman" w:eastAsia="Times New Roman" w:hAnsi="Times New Roman" w:cs="Times New Roman"/>
          <w:color w:val="000000" w:themeColor="text1"/>
          <w:sz w:val="24"/>
          <w:szCs w:val="24"/>
          <w:lang w:val="ro-MD"/>
        </w:rPr>
      </w:pPr>
      <w:r w:rsidRPr="00DD5F1D">
        <w:rPr>
          <w:rFonts w:ascii="Times New Roman" w:eastAsia="Times New Roman" w:hAnsi="Times New Roman" w:cs="Times New Roman"/>
          <w:color w:val="000000" w:themeColor="text1"/>
          <w:sz w:val="24"/>
          <w:szCs w:val="24"/>
          <w:lang w:val="ro-MD"/>
        </w:rPr>
        <w:t xml:space="preserve">Astfel, se atestă o abordare neunivocă </w:t>
      </w:r>
      <w:r w:rsidR="00874668" w:rsidRPr="00DD5F1D">
        <w:rPr>
          <w:rFonts w:ascii="Times New Roman" w:eastAsia="Times New Roman" w:hAnsi="Times New Roman" w:cs="Times New Roman"/>
          <w:color w:val="000000" w:themeColor="text1"/>
          <w:sz w:val="24"/>
          <w:szCs w:val="24"/>
          <w:lang w:val="ro-MD"/>
        </w:rPr>
        <w:t>la</w:t>
      </w:r>
      <w:r w:rsidRPr="00DD5F1D">
        <w:rPr>
          <w:rFonts w:ascii="Times New Roman" w:eastAsia="Times New Roman" w:hAnsi="Times New Roman" w:cs="Times New Roman"/>
          <w:color w:val="000000" w:themeColor="text1"/>
          <w:sz w:val="24"/>
          <w:szCs w:val="24"/>
          <w:lang w:val="ro-MD"/>
        </w:rPr>
        <w:t xml:space="preserve"> distribuirea biletelor de tratament. Totodată, reglementările existente nu oferă criter</w:t>
      </w:r>
      <w:r w:rsidR="00874668" w:rsidRPr="00DD5F1D">
        <w:rPr>
          <w:rFonts w:ascii="Times New Roman" w:eastAsia="Times New Roman" w:hAnsi="Times New Roman" w:cs="Times New Roman"/>
          <w:color w:val="000000" w:themeColor="text1"/>
          <w:sz w:val="24"/>
          <w:szCs w:val="24"/>
          <w:lang w:val="ro-MD"/>
        </w:rPr>
        <w:t>ii clare de repartizare a acestora, fiind axat</w:t>
      </w:r>
      <w:r w:rsidRPr="00DD5F1D">
        <w:rPr>
          <w:rFonts w:ascii="Times New Roman" w:eastAsia="Times New Roman" w:hAnsi="Times New Roman" w:cs="Times New Roman"/>
          <w:color w:val="000000" w:themeColor="text1"/>
          <w:sz w:val="24"/>
          <w:szCs w:val="24"/>
          <w:lang w:val="ro-MD"/>
        </w:rPr>
        <w:t>e în special pe intervalul de acordare o dată la 3 ani.</w:t>
      </w:r>
    </w:p>
    <w:p w14:paraId="7496885F" w14:textId="77777777" w:rsidR="00C92EC2" w:rsidRPr="00DD5F1D" w:rsidRDefault="00C92EC2" w:rsidP="00067178">
      <w:pPr>
        <w:shd w:val="clear" w:color="auto" w:fill="FFFFFF"/>
        <w:spacing w:after="0" w:line="276" w:lineRule="auto"/>
        <w:jc w:val="both"/>
        <w:rPr>
          <w:rFonts w:ascii="Times New Roman" w:eastAsia="Times New Roman" w:hAnsi="Times New Roman" w:cs="Times New Roman"/>
          <w:color w:val="000000" w:themeColor="text1"/>
          <w:sz w:val="24"/>
          <w:szCs w:val="24"/>
          <w:lang w:val="ro-MD"/>
        </w:rPr>
      </w:pPr>
    </w:p>
    <w:p w14:paraId="477E101E" w14:textId="22176220" w:rsidR="00067178" w:rsidRPr="00DD5F1D" w:rsidRDefault="00067178" w:rsidP="00067178">
      <w:pPr>
        <w:pStyle w:val="aa"/>
        <w:numPr>
          <w:ilvl w:val="0"/>
          <w:numId w:val="14"/>
        </w:numPr>
        <w:tabs>
          <w:tab w:val="left" w:pos="851"/>
        </w:tabs>
        <w:spacing w:after="0" w:line="276" w:lineRule="auto"/>
        <w:jc w:val="both"/>
        <w:rPr>
          <w:rFonts w:ascii="Times New Roman" w:hAnsi="Times New Roman" w:cs="Times New Roman"/>
          <w:b/>
          <w:bCs/>
          <w:i/>
          <w:sz w:val="24"/>
          <w:szCs w:val="24"/>
          <w:lang w:val="ro-MD" w:eastAsia="ru-RU"/>
        </w:rPr>
      </w:pPr>
      <w:r w:rsidRPr="00DD5F1D">
        <w:rPr>
          <w:rFonts w:ascii="Times New Roman" w:hAnsi="Times New Roman" w:cs="Times New Roman"/>
          <w:b/>
          <w:bCs/>
          <w:i/>
          <w:sz w:val="24"/>
          <w:szCs w:val="24"/>
          <w:lang w:val="ro-MD" w:eastAsia="ru-RU"/>
        </w:rPr>
        <w:t>CNAS nu deține pârghii de verificare a conformității utilizării biletelor de tratament balneo-sanatorial pentru persoanele asigurate</w:t>
      </w:r>
      <w:r w:rsidR="00103554" w:rsidRPr="00DD5F1D">
        <w:rPr>
          <w:rFonts w:ascii="Times New Roman" w:hAnsi="Times New Roman" w:cs="Times New Roman"/>
          <w:b/>
          <w:bCs/>
          <w:i/>
          <w:sz w:val="24"/>
          <w:szCs w:val="24"/>
          <w:lang w:val="ro-MD" w:eastAsia="ru-RU"/>
        </w:rPr>
        <w:t>.</w:t>
      </w:r>
    </w:p>
    <w:p w14:paraId="4A3D377F" w14:textId="3B3505C5" w:rsidR="00067178" w:rsidRPr="00DD5F1D" w:rsidRDefault="00067178" w:rsidP="005B7F0E">
      <w:pPr>
        <w:spacing w:after="120" w:line="276" w:lineRule="auto"/>
        <w:jc w:val="both"/>
        <w:rPr>
          <w:rFonts w:ascii="Times New Roman" w:hAnsi="Times New Roman" w:cs="Times New Roman"/>
          <w:sz w:val="24"/>
          <w:szCs w:val="24"/>
          <w:lang w:val="ro-MD"/>
        </w:rPr>
      </w:pPr>
      <w:r w:rsidRPr="00DD5F1D">
        <w:rPr>
          <w:rFonts w:ascii="Times New Roman" w:eastAsia="Calibri" w:hAnsi="Times New Roman" w:cs="Times New Roman"/>
          <w:sz w:val="24"/>
          <w:szCs w:val="24"/>
          <w:lang w:val="ro-MD"/>
        </w:rPr>
        <w:t>Biletele pentru tratament balneo-sanatorial pentru persoanele asigurate se achiziționează de CNAS în limita mijloacelor prevăzute</w:t>
      </w:r>
      <w:r w:rsidRPr="00DD5F1D">
        <w:rPr>
          <w:rStyle w:val="a5"/>
          <w:rFonts w:ascii="Times New Roman" w:eastAsia="Calibri" w:hAnsi="Times New Roman" w:cs="Times New Roman"/>
          <w:sz w:val="24"/>
          <w:szCs w:val="24"/>
          <w:lang w:val="ro-MD"/>
        </w:rPr>
        <w:footnoteReference w:id="98"/>
      </w:r>
      <w:r w:rsidRPr="00DD5F1D">
        <w:rPr>
          <w:rFonts w:ascii="Times New Roman" w:hAnsi="Times New Roman" w:cs="Times New Roman"/>
          <w:sz w:val="24"/>
          <w:szCs w:val="24"/>
          <w:lang w:val="ro-MD"/>
        </w:rPr>
        <w:t>. În anul 2023</w:t>
      </w:r>
      <w:r w:rsidR="00103554"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pentru organizarea tratamentului persoanelor asigurate, în conformitate cu legislația în vigoare</w:t>
      </w:r>
      <w:r w:rsidRPr="00DD5F1D">
        <w:rPr>
          <w:rStyle w:val="a5"/>
          <w:rFonts w:ascii="Times New Roman" w:hAnsi="Times New Roman" w:cs="Times New Roman"/>
          <w:sz w:val="24"/>
          <w:szCs w:val="24"/>
          <w:lang w:val="ro-MD"/>
        </w:rPr>
        <w:footnoteReference w:id="99"/>
      </w:r>
      <w:r w:rsidRPr="00DD5F1D">
        <w:rPr>
          <w:rFonts w:ascii="Times New Roman" w:hAnsi="Times New Roman" w:cs="Times New Roman"/>
          <w:sz w:val="24"/>
          <w:szCs w:val="24"/>
          <w:lang w:val="ro-MD"/>
        </w:rPr>
        <w:t xml:space="preserve">, au fost achiziționate 3 596 </w:t>
      </w:r>
      <w:r w:rsidR="00103554"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 xml:space="preserve">bilete în sumă de </w:t>
      </w:r>
      <w:r w:rsidR="00874668" w:rsidRPr="00DD5F1D">
        <w:rPr>
          <w:rFonts w:ascii="Times New Roman" w:hAnsi="Times New Roman" w:cs="Times New Roman"/>
          <w:sz w:val="24"/>
          <w:szCs w:val="24"/>
          <w:lang w:val="ro-MD"/>
        </w:rPr>
        <w:t>30,0 mil.</w:t>
      </w:r>
      <w:r w:rsidRPr="00DD5F1D">
        <w:rPr>
          <w:rFonts w:ascii="Times New Roman" w:hAnsi="Times New Roman" w:cs="Times New Roman"/>
          <w:sz w:val="24"/>
          <w:szCs w:val="24"/>
          <w:lang w:val="ro-MD"/>
        </w:rPr>
        <w:t xml:space="preserve"> lei, prețul mediu al unui bilet de tratament </w:t>
      </w:r>
      <w:r w:rsidR="00103554" w:rsidRPr="00DD5F1D">
        <w:rPr>
          <w:rFonts w:ascii="Times New Roman" w:hAnsi="Times New Roman" w:cs="Times New Roman"/>
          <w:sz w:val="24"/>
          <w:szCs w:val="24"/>
          <w:lang w:val="ro-MD"/>
        </w:rPr>
        <w:t>fiind</w:t>
      </w:r>
      <w:r w:rsidRPr="00DD5F1D">
        <w:rPr>
          <w:rFonts w:ascii="Times New Roman" w:hAnsi="Times New Roman" w:cs="Times New Roman"/>
          <w:sz w:val="24"/>
          <w:szCs w:val="24"/>
          <w:lang w:val="ro-MD"/>
        </w:rPr>
        <w:t xml:space="preserve"> de 8 342,47 lei. Biletele achiziționate se eliberează asiguraților cu perceperea a 20% din prețul lor, iar acesta se eliberează din contul BASS cel mult o dat</w:t>
      </w:r>
      <w:r w:rsidR="00103554" w:rsidRPr="00DD5F1D">
        <w:rPr>
          <w:rFonts w:ascii="Times New Roman" w:hAnsi="Times New Roman" w:cs="Times New Roman"/>
          <w:sz w:val="24"/>
          <w:szCs w:val="24"/>
          <w:lang w:val="ro-MD"/>
        </w:rPr>
        <w:t>ă</w:t>
      </w:r>
      <w:r w:rsidRPr="00DD5F1D">
        <w:rPr>
          <w:rFonts w:ascii="Times New Roman" w:hAnsi="Times New Roman" w:cs="Times New Roman"/>
          <w:sz w:val="24"/>
          <w:szCs w:val="24"/>
          <w:lang w:val="ro-MD"/>
        </w:rPr>
        <w:t xml:space="preserve"> la 3 ani consecutivi.</w:t>
      </w:r>
      <w:r w:rsidR="002F2A4D" w:rsidRPr="00DD5F1D">
        <w:rPr>
          <w:rFonts w:ascii="Times New Roman" w:hAnsi="Times New Roman" w:cs="Times New Roman"/>
          <w:sz w:val="24"/>
          <w:szCs w:val="24"/>
          <w:lang w:val="ro-MD"/>
        </w:rPr>
        <w:t xml:space="preserve"> Astfel doar circa 0,5% din totalul salariaților au beneficiat de tratament balneo-sanatorial. </w:t>
      </w:r>
    </w:p>
    <w:p w14:paraId="2986F2DB" w14:textId="6D41ED48" w:rsidR="00067178" w:rsidRPr="00DD5F1D" w:rsidRDefault="00067178" w:rsidP="005B7F0E">
      <w:pPr>
        <w:tabs>
          <w:tab w:val="left" w:pos="851"/>
        </w:tabs>
        <w:spacing w:after="12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Conform condițiilor stipulate în contractele încheiate între CNAS și stațiunile balneo-sanatoriale, în perioada raportată au fost transferate către instituțiile balneo-sanatoriale mi</w:t>
      </w:r>
      <w:r w:rsidR="0000193C" w:rsidRPr="00DD5F1D">
        <w:rPr>
          <w:rFonts w:ascii="Times New Roman" w:hAnsi="Times New Roman" w:cs="Times New Roman"/>
          <w:sz w:val="24"/>
          <w:szCs w:val="24"/>
          <w:lang w:val="ro-MD"/>
        </w:rPr>
        <w:t>jloace financiare în sumă de 28,9 mil.</w:t>
      </w:r>
      <w:r w:rsidRPr="00DD5F1D">
        <w:rPr>
          <w:rFonts w:ascii="Times New Roman" w:hAnsi="Times New Roman" w:cs="Times New Roman"/>
          <w:sz w:val="24"/>
          <w:szCs w:val="24"/>
          <w:lang w:val="ro-MD"/>
        </w:rPr>
        <w:t xml:space="preserve"> lei. Totodată, biletele se trec la cheltuieli doar după prezentarea de către beneficiari a bonului retur (cuponul detașabil) al biletului. Astfel, în anul 2023 au </w:t>
      </w:r>
      <w:r w:rsidRPr="00193E3C">
        <w:rPr>
          <w:rFonts w:ascii="Times New Roman" w:hAnsi="Times New Roman" w:cs="Times New Roman"/>
          <w:sz w:val="24"/>
          <w:szCs w:val="24"/>
          <w:lang w:val="ro-MD"/>
        </w:rPr>
        <w:t>fost acceptate spre casare 3 427</w:t>
      </w:r>
      <w:r w:rsidR="00A65049" w:rsidRPr="005152D5">
        <w:rPr>
          <w:rFonts w:ascii="Times New Roman" w:hAnsi="Times New Roman" w:cs="Times New Roman"/>
          <w:sz w:val="24"/>
          <w:szCs w:val="24"/>
          <w:lang w:val="ro-MD"/>
        </w:rPr>
        <w:t xml:space="preserve"> de</w:t>
      </w:r>
      <w:r w:rsidRPr="00A93D77">
        <w:rPr>
          <w:rFonts w:ascii="Times New Roman" w:hAnsi="Times New Roman" w:cs="Times New Roman"/>
          <w:sz w:val="24"/>
          <w:szCs w:val="24"/>
          <w:lang w:val="ro-MD"/>
        </w:rPr>
        <w:t xml:space="preserve"> bilete</w:t>
      </w:r>
      <w:r w:rsidR="0000193C" w:rsidRPr="00A93D77">
        <w:rPr>
          <w:rFonts w:ascii="Times New Roman" w:hAnsi="Times New Roman" w:cs="Times New Roman"/>
          <w:sz w:val="24"/>
          <w:szCs w:val="24"/>
          <w:lang w:val="ro-MD"/>
        </w:rPr>
        <w:t xml:space="preserve"> de tratament</w:t>
      </w:r>
      <w:r w:rsidRPr="009A6E4D">
        <w:rPr>
          <w:rFonts w:ascii="Times New Roman" w:hAnsi="Times New Roman" w:cs="Times New Roman"/>
          <w:sz w:val="24"/>
          <w:szCs w:val="24"/>
          <w:lang w:val="ro-MD"/>
        </w:rPr>
        <w:t xml:space="preserve">, cheltuielile </w:t>
      </w:r>
      <w:r w:rsidR="00874668" w:rsidRPr="009A6E4D">
        <w:rPr>
          <w:rFonts w:ascii="Times New Roman" w:hAnsi="Times New Roman" w:cs="Times New Roman"/>
          <w:sz w:val="24"/>
          <w:szCs w:val="24"/>
          <w:lang w:val="ro-MD"/>
        </w:rPr>
        <w:t>efective constituind 28,5 mil.</w:t>
      </w:r>
      <w:r w:rsidRPr="009A6E4D">
        <w:rPr>
          <w:rFonts w:ascii="Times New Roman" w:hAnsi="Times New Roman" w:cs="Times New Roman"/>
          <w:sz w:val="24"/>
          <w:szCs w:val="24"/>
          <w:lang w:val="ro-MD"/>
        </w:rPr>
        <w:t xml:space="preserve"> lei, </w:t>
      </w:r>
      <w:r w:rsidR="0000193C" w:rsidRPr="009A6E4D">
        <w:rPr>
          <w:rFonts w:ascii="Times New Roman" w:hAnsi="Times New Roman" w:cs="Times New Roman"/>
          <w:sz w:val="24"/>
          <w:szCs w:val="24"/>
          <w:lang w:val="ro-MD"/>
        </w:rPr>
        <w:t>soldul</w:t>
      </w:r>
      <w:r w:rsidRPr="009A6E4D">
        <w:rPr>
          <w:rFonts w:ascii="Times New Roman" w:hAnsi="Times New Roman" w:cs="Times New Roman"/>
          <w:sz w:val="24"/>
          <w:szCs w:val="24"/>
          <w:lang w:val="ro-MD"/>
        </w:rPr>
        <w:t xml:space="preserve"> mijloacel</w:t>
      </w:r>
      <w:r w:rsidR="00AF03D8">
        <w:rPr>
          <w:rFonts w:ascii="Times New Roman" w:hAnsi="Times New Roman" w:cs="Times New Roman"/>
          <w:sz w:val="24"/>
          <w:szCs w:val="24"/>
          <w:lang w:val="ro-MD"/>
        </w:rPr>
        <w:t xml:space="preserve">or </w:t>
      </w:r>
      <w:r w:rsidR="00AF6A7C" w:rsidRPr="00AF03D8">
        <w:rPr>
          <w:rFonts w:ascii="Times New Roman" w:hAnsi="Times New Roman" w:cs="Times New Roman"/>
          <w:sz w:val="24"/>
          <w:szCs w:val="24"/>
          <w:lang w:val="ro-MD"/>
        </w:rPr>
        <w:t xml:space="preserve">neutilizate </w:t>
      </w:r>
      <w:r w:rsidRPr="00193E3C">
        <w:rPr>
          <w:rFonts w:ascii="Times New Roman" w:hAnsi="Times New Roman" w:cs="Times New Roman"/>
          <w:sz w:val="24"/>
          <w:szCs w:val="24"/>
          <w:lang w:val="ro-MD"/>
        </w:rPr>
        <w:t>fiind transferate/utilizate în anul următor.</w:t>
      </w:r>
    </w:p>
    <w:p w14:paraId="391F8EBB" w14:textId="4A19B381" w:rsidR="00067178" w:rsidRPr="00DD5F1D" w:rsidRDefault="00067178" w:rsidP="005B7F0E">
      <w:pPr>
        <w:spacing w:after="12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Auditul atestă că mijloacele bănești pentru prevenirea îmbolnăvirilor și recuperarea capacității de muncă prin tratament balneo-sanatorial se repartizează entităților proporțional în funcție de suma contribuțiilor de asigurări sociale de stat obligatorii virate de către angajator în bugetul asigurărilor sociale de stat.</w:t>
      </w:r>
      <w:r w:rsidRPr="00DD5F1D">
        <w:rPr>
          <w:rFonts w:ascii="Times New Roman" w:eastAsia="Calibri" w:hAnsi="Times New Roman" w:cs="Times New Roman"/>
          <w:sz w:val="24"/>
          <w:szCs w:val="24"/>
          <w:lang w:val="ro-MD"/>
        </w:rPr>
        <w:t xml:space="preserve"> Totodată, auditul a identificat n</w:t>
      </w:r>
      <w:r w:rsidRPr="00DD5F1D">
        <w:rPr>
          <w:rFonts w:ascii="Times New Roman" w:hAnsi="Times New Roman" w:cs="Times New Roman"/>
          <w:sz w:val="24"/>
          <w:szCs w:val="24"/>
          <w:lang w:val="ro-MD"/>
        </w:rPr>
        <w:t xml:space="preserve">erespectarea </w:t>
      </w:r>
      <w:r w:rsidR="00A65049" w:rsidRPr="00DD5F1D">
        <w:rPr>
          <w:rFonts w:ascii="Times New Roman" w:eastAsia="Calibri" w:hAnsi="Times New Roman" w:cs="Times New Roman"/>
          <w:sz w:val="24"/>
          <w:szCs w:val="24"/>
          <w:lang w:val="ro-MD"/>
        </w:rPr>
        <w:t xml:space="preserve">în unele cazuri a </w:t>
      </w:r>
      <w:r w:rsidRPr="00DD5F1D">
        <w:rPr>
          <w:rFonts w:ascii="Times New Roman" w:hAnsi="Times New Roman" w:cs="Times New Roman"/>
          <w:sz w:val="24"/>
          <w:szCs w:val="24"/>
          <w:lang w:val="ro-MD"/>
        </w:rPr>
        <w:t>intervalului de 3 ani de la ultima acordare a biletului de tratament balneo-sanatorial.</w:t>
      </w:r>
    </w:p>
    <w:p w14:paraId="0AB3673D" w14:textId="796B4FA4" w:rsidR="00067178" w:rsidRPr="00DD5F1D" w:rsidRDefault="00067178" w:rsidP="005B7F0E">
      <w:pPr>
        <w:spacing w:after="12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Astfel, în </w:t>
      </w:r>
      <w:r w:rsidR="00A65049" w:rsidRPr="00DD5F1D">
        <w:rPr>
          <w:rFonts w:ascii="Times New Roman" w:hAnsi="Times New Roman" w:cs="Times New Roman"/>
          <w:sz w:val="24"/>
          <w:szCs w:val="24"/>
          <w:lang w:val="ro-MD"/>
        </w:rPr>
        <w:t xml:space="preserve">urma </w:t>
      </w:r>
      <w:r w:rsidRPr="00DD5F1D">
        <w:rPr>
          <w:rFonts w:ascii="Times New Roman" w:hAnsi="Times New Roman" w:cs="Times New Roman"/>
          <w:sz w:val="24"/>
          <w:szCs w:val="24"/>
          <w:lang w:val="ro-MD"/>
        </w:rPr>
        <w:t xml:space="preserve">analizei a 311 persoane asigurate care au beneficiat de bilet de tratament balneo-sanatorial, s-a constatat că în cazul a 7 persoane nu a fost respectat termenul de 3 ani. Potrivit motivațiilor entității, 5 dintre persoanele respective au restituit banii pentru biletele folosite incorect, în valoare de 42,5 mii lei, iar 2 persoane nu a restituit suma de 17,0 mii lei. În același timp, din anul 2015 </w:t>
      </w:r>
      <w:r w:rsidR="00A65049" w:rsidRPr="00DD5F1D">
        <w:rPr>
          <w:rFonts w:ascii="Times New Roman" w:hAnsi="Times New Roman" w:cs="Times New Roman"/>
          <w:sz w:val="24"/>
          <w:szCs w:val="24"/>
          <w:lang w:val="ro-MD"/>
        </w:rPr>
        <w:t xml:space="preserve">și </w:t>
      </w:r>
      <w:r w:rsidRPr="00DD5F1D">
        <w:rPr>
          <w:rFonts w:ascii="Times New Roman" w:hAnsi="Times New Roman" w:cs="Times New Roman"/>
          <w:sz w:val="24"/>
          <w:szCs w:val="24"/>
          <w:lang w:val="ro-MD"/>
        </w:rPr>
        <w:t xml:space="preserve">până în prezent, 38 de beneficiari au utilizat nejustificat bilete de tratament în valoare de 232,4 mii lei, dintre aceștia 11 beneficiari au restituit integral și/sau parțial </w:t>
      </w:r>
      <w:r w:rsidR="00F472C8">
        <w:rPr>
          <w:rFonts w:ascii="Times New Roman" w:hAnsi="Times New Roman" w:cs="Times New Roman"/>
          <w:sz w:val="24"/>
          <w:szCs w:val="24"/>
          <w:lang w:val="ro-MD"/>
        </w:rPr>
        <w:t xml:space="preserve">costul </w:t>
      </w:r>
      <w:r w:rsidRPr="00DD5F1D">
        <w:rPr>
          <w:rFonts w:ascii="Times New Roman" w:hAnsi="Times New Roman" w:cs="Times New Roman"/>
          <w:sz w:val="24"/>
          <w:szCs w:val="24"/>
          <w:lang w:val="ro-MD"/>
        </w:rPr>
        <w:t>foil</w:t>
      </w:r>
      <w:r w:rsidR="00F472C8">
        <w:rPr>
          <w:rFonts w:ascii="Times New Roman" w:hAnsi="Times New Roman" w:cs="Times New Roman"/>
          <w:sz w:val="24"/>
          <w:szCs w:val="24"/>
          <w:lang w:val="ro-MD"/>
        </w:rPr>
        <w:t>or</w:t>
      </w:r>
      <w:r w:rsidRPr="00DD5F1D">
        <w:rPr>
          <w:rFonts w:ascii="Times New Roman" w:hAnsi="Times New Roman" w:cs="Times New Roman"/>
          <w:sz w:val="24"/>
          <w:szCs w:val="24"/>
          <w:lang w:val="ro-MD"/>
        </w:rPr>
        <w:t xml:space="preserve"> de tratament, iar alte 27 </w:t>
      </w:r>
      <w:r w:rsidR="00A65049"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 xml:space="preserve">foi </w:t>
      </w:r>
      <w:r w:rsidR="008548D3" w:rsidRPr="00DD5F1D">
        <w:rPr>
          <w:rFonts w:ascii="Times New Roman" w:hAnsi="Times New Roman" w:cs="Times New Roman"/>
          <w:sz w:val="24"/>
          <w:szCs w:val="24"/>
          <w:lang w:val="ro-MD"/>
        </w:rPr>
        <w:t xml:space="preserve"> de tratament </w:t>
      </w:r>
      <w:r w:rsidRPr="00DD5F1D">
        <w:rPr>
          <w:rFonts w:ascii="Times New Roman" w:hAnsi="Times New Roman" w:cs="Times New Roman"/>
          <w:sz w:val="24"/>
          <w:szCs w:val="24"/>
          <w:lang w:val="ro-MD"/>
        </w:rPr>
        <w:t>în valoare de 140,1 mii lei rămân în continuare nerecuperate.</w:t>
      </w:r>
    </w:p>
    <w:p w14:paraId="1F8C57B1" w14:textId="76C4EFE7" w:rsidR="00067178" w:rsidRPr="00DD5F1D" w:rsidRDefault="00067178" w:rsidP="00067178">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Totodată, din eșantionul verificat s-a constat</w:t>
      </w:r>
      <w:r w:rsidR="00A65049" w:rsidRPr="00DD5F1D">
        <w:rPr>
          <w:rFonts w:ascii="Times New Roman" w:hAnsi="Times New Roman" w:cs="Times New Roman"/>
          <w:sz w:val="24"/>
          <w:szCs w:val="24"/>
          <w:lang w:val="ro-MD"/>
        </w:rPr>
        <w:t>at</w:t>
      </w:r>
      <w:r w:rsidRPr="00DD5F1D">
        <w:rPr>
          <w:rFonts w:ascii="Times New Roman" w:hAnsi="Times New Roman" w:cs="Times New Roman"/>
          <w:sz w:val="24"/>
          <w:szCs w:val="24"/>
          <w:lang w:val="ro-MD"/>
        </w:rPr>
        <w:t xml:space="preserve"> că</w:t>
      </w:r>
      <w:r w:rsidR="00A65049"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în cazul a 63 </w:t>
      </w:r>
      <w:r w:rsidR="00A65049" w:rsidRPr="00DD5F1D">
        <w:rPr>
          <w:rFonts w:ascii="Times New Roman" w:hAnsi="Times New Roman" w:cs="Times New Roman"/>
          <w:sz w:val="24"/>
          <w:szCs w:val="24"/>
          <w:lang w:val="ro-MD"/>
        </w:rPr>
        <w:t xml:space="preserve">de </w:t>
      </w:r>
      <w:r w:rsidR="008548D3" w:rsidRPr="00DD5F1D">
        <w:rPr>
          <w:rFonts w:ascii="Times New Roman" w:hAnsi="Times New Roman" w:cs="Times New Roman"/>
          <w:sz w:val="24"/>
          <w:szCs w:val="24"/>
          <w:lang w:val="ro-MD"/>
        </w:rPr>
        <w:t>persoane, sau 20,3</w:t>
      </w:r>
      <w:r w:rsidRPr="00DD5F1D">
        <w:rPr>
          <w:rFonts w:ascii="Times New Roman" w:hAnsi="Times New Roman" w:cs="Times New Roman"/>
          <w:sz w:val="24"/>
          <w:szCs w:val="24"/>
          <w:lang w:val="ro-MD"/>
        </w:rPr>
        <w:t xml:space="preserve">%, potrivit extrasului individual, în timp ce se aflau la sanatoriu, erau </w:t>
      </w:r>
      <w:r w:rsidR="00AE311C" w:rsidRPr="00DD5F1D">
        <w:rPr>
          <w:rFonts w:ascii="Times New Roman" w:hAnsi="Times New Roman" w:cs="Times New Roman"/>
          <w:sz w:val="24"/>
          <w:szCs w:val="24"/>
          <w:lang w:val="ro-MD"/>
        </w:rPr>
        <w:t xml:space="preserve">înregistrate în tabelul de pontaj ca și prezente </w:t>
      </w:r>
      <w:r w:rsidRPr="00DD5F1D">
        <w:rPr>
          <w:rFonts w:ascii="Times New Roman" w:hAnsi="Times New Roman" w:cs="Times New Roman"/>
          <w:sz w:val="24"/>
          <w:szCs w:val="24"/>
          <w:lang w:val="ro-MD"/>
        </w:rPr>
        <w:t>la locul de muncă. În aceste condiții se conturează riscul neutilizării biletului de tratament sanatorial de către persoana căreia i-a fost eliberat efectiv biletul, cu suportarea cheltuielilor din BASS în valoare estimată de audit la 420,2 mii lei.</w:t>
      </w:r>
      <w:bookmarkStart w:id="4" w:name="_Toc152942026"/>
      <w:r w:rsidRPr="00DD5F1D">
        <w:rPr>
          <w:rFonts w:ascii="Times New Roman" w:eastAsia="Times New Roman" w:hAnsi="Times New Roman" w:cs="Times New Roman"/>
          <w:b/>
          <w:i/>
          <w:color w:val="000000"/>
          <w:sz w:val="24"/>
          <w:szCs w:val="24"/>
          <w:shd w:val="clear" w:color="auto" w:fill="FFFFFF"/>
          <w:lang w:val="ro-MD"/>
        </w:rPr>
        <w:t xml:space="preserve"> </w:t>
      </w:r>
      <w:r w:rsidR="00AE311C" w:rsidRPr="00DD5F1D">
        <w:rPr>
          <w:rFonts w:ascii="Times New Roman" w:hAnsi="Times New Roman" w:cs="Times New Roman"/>
          <w:sz w:val="24"/>
          <w:szCs w:val="24"/>
          <w:lang w:val="ro-MD"/>
        </w:rPr>
        <w:t>În context</w:t>
      </w:r>
      <w:r w:rsidRPr="00DD5F1D">
        <w:rPr>
          <w:rFonts w:ascii="Times New Roman" w:hAnsi="Times New Roman" w:cs="Times New Roman"/>
          <w:sz w:val="24"/>
          <w:szCs w:val="24"/>
          <w:lang w:val="ro-MD"/>
        </w:rPr>
        <w:t>,</w:t>
      </w:r>
      <w:r w:rsidR="00AE311C" w:rsidRPr="00DD5F1D">
        <w:rPr>
          <w:rFonts w:ascii="Times New Roman" w:hAnsi="Times New Roman" w:cs="Times New Roman"/>
          <w:sz w:val="24"/>
          <w:szCs w:val="24"/>
          <w:lang w:val="ro-MD"/>
        </w:rPr>
        <w:t xml:space="preserve"> se denotă că</w:t>
      </w:r>
      <w:r w:rsidRPr="00DD5F1D">
        <w:rPr>
          <w:rFonts w:ascii="Times New Roman" w:hAnsi="Times New Roman" w:cs="Times New Roman"/>
          <w:sz w:val="24"/>
          <w:szCs w:val="24"/>
          <w:lang w:val="ro-MD"/>
        </w:rPr>
        <w:t xml:space="preserve"> CNAS nu deține pârghii de verificare a conformității utilizării biletelor</w:t>
      </w:r>
      <w:bookmarkEnd w:id="4"/>
      <w:r w:rsidRPr="00DD5F1D">
        <w:rPr>
          <w:rFonts w:ascii="Times New Roman" w:hAnsi="Times New Roman" w:cs="Times New Roman"/>
          <w:sz w:val="24"/>
          <w:szCs w:val="24"/>
          <w:lang w:val="ro-MD"/>
        </w:rPr>
        <w:t>.</w:t>
      </w:r>
    </w:p>
    <w:p w14:paraId="660CF48B" w14:textId="2E962DAA" w:rsidR="00067178" w:rsidRPr="00DD5F1D" w:rsidRDefault="00067178" w:rsidP="00067178">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Concomitent, potrivit motivațiilor CNAS, aceasta întâmpină dificultăți la distribuirea biletelor balneo-sanatoriale pentru persoanele asigurate, din cauza lipsei interesului potențialilor beneficiari de a pleca la sanatoriu</w:t>
      </w:r>
      <w:r w:rsidR="00F472C8">
        <w:rPr>
          <w:rFonts w:ascii="Times New Roman" w:hAnsi="Times New Roman" w:cs="Times New Roman"/>
          <w:sz w:val="24"/>
          <w:szCs w:val="24"/>
          <w:lang w:val="ro-MD"/>
        </w:rPr>
        <w:t xml:space="preserve"> amplasat în RM</w:t>
      </w:r>
      <w:r w:rsidRPr="00DD5F1D">
        <w:rPr>
          <w:rFonts w:ascii="Times New Roman" w:hAnsi="Times New Roman" w:cs="Times New Roman"/>
          <w:sz w:val="24"/>
          <w:szCs w:val="24"/>
          <w:lang w:val="ro-MD"/>
        </w:rPr>
        <w:t>.</w:t>
      </w:r>
    </w:p>
    <w:p w14:paraId="3A7B12EB" w14:textId="01419069" w:rsidR="006B3D62" w:rsidRPr="00DD5F1D" w:rsidRDefault="006B3D62" w:rsidP="006B3D62">
      <w:pPr>
        <w:pStyle w:val="aa"/>
        <w:numPr>
          <w:ilvl w:val="1"/>
          <w:numId w:val="2"/>
        </w:numPr>
        <w:spacing w:line="276" w:lineRule="auto"/>
        <w:ind w:left="0" w:firstLine="0"/>
        <w:jc w:val="both"/>
        <w:outlineLvl w:val="1"/>
        <w:rPr>
          <w:rFonts w:ascii="Times New Roman" w:hAnsi="Times New Roman" w:cs="Times New Roman"/>
          <w:b/>
          <w:sz w:val="24"/>
          <w:szCs w:val="24"/>
          <w:lang w:val="ro-MD"/>
        </w:rPr>
      </w:pPr>
      <w:r w:rsidRPr="00DD5F1D">
        <w:rPr>
          <w:rFonts w:ascii="Times New Roman" w:hAnsi="Times New Roman" w:cs="Times New Roman"/>
          <w:b/>
          <w:sz w:val="24"/>
          <w:szCs w:val="24"/>
          <w:lang w:val="ro-MD"/>
        </w:rPr>
        <w:t>Insuficiența activităților de control inter</w:t>
      </w:r>
      <w:r w:rsidR="00623324" w:rsidRPr="00DD5F1D">
        <w:rPr>
          <w:rFonts w:ascii="Times New Roman" w:hAnsi="Times New Roman" w:cs="Times New Roman"/>
          <w:b/>
          <w:sz w:val="24"/>
          <w:szCs w:val="24"/>
          <w:lang w:val="ro-MD"/>
        </w:rPr>
        <w:t xml:space="preserve">n la introducerea și </w:t>
      </w:r>
      <w:r w:rsidRPr="00DD5F1D">
        <w:rPr>
          <w:rFonts w:ascii="Times New Roman" w:hAnsi="Times New Roman" w:cs="Times New Roman"/>
          <w:b/>
          <w:sz w:val="24"/>
          <w:szCs w:val="24"/>
          <w:lang w:val="ro-MD"/>
        </w:rPr>
        <w:t>furnizarea informațiilor</w:t>
      </w:r>
      <w:r w:rsidR="00623324" w:rsidRPr="00DD5F1D">
        <w:rPr>
          <w:rFonts w:ascii="Times New Roman" w:hAnsi="Times New Roman" w:cs="Times New Roman"/>
          <w:b/>
          <w:sz w:val="24"/>
          <w:szCs w:val="24"/>
          <w:lang w:val="ro-MD"/>
        </w:rPr>
        <w:t xml:space="preserve"> aferente</w:t>
      </w:r>
      <w:r w:rsidRPr="00DD5F1D">
        <w:rPr>
          <w:rFonts w:ascii="Times New Roman" w:hAnsi="Times New Roman" w:cs="Times New Roman"/>
          <w:b/>
          <w:sz w:val="24"/>
          <w:szCs w:val="24"/>
          <w:lang w:val="ro-MD"/>
        </w:rPr>
        <w:t xml:space="preserve"> indemnizațiilor pentru incapaci</w:t>
      </w:r>
      <w:r w:rsidR="00623324" w:rsidRPr="00DD5F1D">
        <w:rPr>
          <w:rFonts w:ascii="Times New Roman" w:hAnsi="Times New Roman" w:cs="Times New Roman"/>
          <w:b/>
          <w:sz w:val="24"/>
          <w:szCs w:val="24"/>
          <w:lang w:val="ro-MD"/>
        </w:rPr>
        <w:t>tate temporară de muncă atât în cadrul CNAS, cât și la instituțiile</w:t>
      </w:r>
      <w:r w:rsidRPr="00DD5F1D">
        <w:rPr>
          <w:rFonts w:ascii="Times New Roman" w:hAnsi="Times New Roman" w:cs="Times New Roman"/>
          <w:b/>
          <w:sz w:val="24"/>
          <w:szCs w:val="24"/>
          <w:lang w:val="ro-MD"/>
        </w:rPr>
        <w:t xml:space="preserve"> medicale, a determinat î</w:t>
      </w:r>
      <w:r w:rsidR="003609C3" w:rsidRPr="00DD5F1D">
        <w:rPr>
          <w:rFonts w:ascii="Times New Roman" w:hAnsi="Times New Roman" w:cs="Times New Roman"/>
          <w:b/>
          <w:sz w:val="24"/>
          <w:szCs w:val="24"/>
          <w:lang w:val="ro-MD"/>
        </w:rPr>
        <w:t>ntârzierea calculării şi neachitarea</w:t>
      </w:r>
      <w:r w:rsidRPr="00DD5F1D">
        <w:rPr>
          <w:rFonts w:ascii="Times New Roman" w:hAnsi="Times New Roman" w:cs="Times New Roman"/>
          <w:b/>
          <w:sz w:val="24"/>
          <w:szCs w:val="24"/>
          <w:lang w:val="ro-MD"/>
        </w:rPr>
        <w:t xml:space="preserve"> în termen a prestației sociale în sumă de 298</w:t>
      </w:r>
      <w:r w:rsidR="003609C3" w:rsidRPr="00DD5F1D">
        <w:rPr>
          <w:rFonts w:ascii="Times New Roman" w:hAnsi="Times New Roman" w:cs="Times New Roman"/>
          <w:b/>
          <w:sz w:val="24"/>
          <w:szCs w:val="24"/>
          <w:lang w:val="ro-MD"/>
        </w:rPr>
        <w:t>,</w:t>
      </w:r>
      <w:r w:rsidRPr="00DD5F1D">
        <w:rPr>
          <w:rFonts w:ascii="Times New Roman" w:hAnsi="Times New Roman" w:cs="Times New Roman"/>
          <w:b/>
          <w:sz w:val="24"/>
          <w:szCs w:val="24"/>
          <w:lang w:val="ro-MD"/>
        </w:rPr>
        <w:t xml:space="preserve"> 5</w:t>
      </w:r>
      <w:r w:rsidR="003609C3" w:rsidRPr="00DD5F1D">
        <w:rPr>
          <w:rFonts w:ascii="Times New Roman" w:hAnsi="Times New Roman" w:cs="Times New Roman"/>
          <w:b/>
          <w:sz w:val="24"/>
          <w:szCs w:val="24"/>
          <w:lang w:val="ro-MD"/>
        </w:rPr>
        <w:t xml:space="preserve"> mil. lei</w:t>
      </w:r>
      <w:r w:rsidR="00A65049" w:rsidRPr="00DD5F1D">
        <w:rPr>
          <w:rFonts w:ascii="Times New Roman" w:hAnsi="Times New Roman" w:cs="Times New Roman"/>
          <w:b/>
          <w:sz w:val="24"/>
          <w:szCs w:val="24"/>
          <w:lang w:val="ro-MD"/>
        </w:rPr>
        <w:t>,</w:t>
      </w:r>
      <w:r w:rsidR="003609C3" w:rsidRPr="00DD5F1D">
        <w:rPr>
          <w:rFonts w:ascii="Times New Roman" w:hAnsi="Times New Roman" w:cs="Times New Roman"/>
          <w:b/>
          <w:sz w:val="24"/>
          <w:szCs w:val="24"/>
          <w:lang w:val="ro-MD"/>
        </w:rPr>
        <w:t xml:space="preserve"> </w:t>
      </w:r>
      <w:r w:rsidR="00A65049" w:rsidRPr="00DD5F1D">
        <w:rPr>
          <w:rFonts w:ascii="Times New Roman" w:hAnsi="Times New Roman" w:cs="Times New Roman"/>
          <w:b/>
          <w:sz w:val="24"/>
          <w:szCs w:val="24"/>
          <w:lang w:val="ro-MD"/>
        </w:rPr>
        <w:t xml:space="preserve">dar </w:t>
      </w:r>
      <w:r w:rsidRPr="00DD5F1D">
        <w:rPr>
          <w:rFonts w:ascii="Times New Roman" w:hAnsi="Times New Roman" w:cs="Times New Roman"/>
          <w:b/>
          <w:sz w:val="24"/>
          <w:szCs w:val="24"/>
          <w:lang w:val="ro-MD"/>
        </w:rPr>
        <w:t>și afect</w:t>
      </w:r>
      <w:r w:rsidR="00A65049" w:rsidRPr="00DD5F1D">
        <w:rPr>
          <w:rFonts w:ascii="Times New Roman" w:hAnsi="Times New Roman" w:cs="Times New Roman"/>
          <w:b/>
          <w:sz w:val="24"/>
          <w:szCs w:val="24"/>
          <w:lang w:val="ro-MD"/>
        </w:rPr>
        <w:t>area</w:t>
      </w:r>
      <w:r w:rsidRPr="00DD5F1D">
        <w:rPr>
          <w:rFonts w:ascii="Times New Roman" w:hAnsi="Times New Roman" w:cs="Times New Roman"/>
          <w:b/>
          <w:sz w:val="24"/>
          <w:szCs w:val="24"/>
          <w:lang w:val="ro-MD"/>
        </w:rPr>
        <w:t xml:space="preserve"> calit</w:t>
      </w:r>
      <w:r w:rsidR="00A65049" w:rsidRPr="00DD5F1D">
        <w:rPr>
          <w:rFonts w:ascii="Times New Roman" w:hAnsi="Times New Roman" w:cs="Times New Roman"/>
          <w:b/>
          <w:sz w:val="24"/>
          <w:szCs w:val="24"/>
          <w:lang w:val="ro-MD"/>
        </w:rPr>
        <w:t>ății</w:t>
      </w:r>
      <w:r w:rsidRPr="00DD5F1D">
        <w:rPr>
          <w:rFonts w:ascii="Times New Roman" w:hAnsi="Times New Roman" w:cs="Times New Roman"/>
          <w:b/>
          <w:sz w:val="24"/>
          <w:szCs w:val="24"/>
          <w:lang w:val="ro-MD"/>
        </w:rPr>
        <w:t xml:space="preserve"> serviciilor acordate beneficiarilor.</w:t>
      </w:r>
    </w:p>
    <w:p w14:paraId="1E919C43" w14:textId="6CE62813" w:rsidR="006B3D62" w:rsidRPr="00DD5F1D" w:rsidRDefault="006B3D62" w:rsidP="005B7F0E">
      <w:pPr>
        <w:pStyle w:val="a6"/>
        <w:shd w:val="clear" w:color="auto" w:fill="FFFFFF"/>
        <w:spacing w:after="120" w:line="276" w:lineRule="auto"/>
        <w:ind w:firstLine="0"/>
        <w:rPr>
          <w:lang w:val="ro-MD"/>
        </w:rPr>
      </w:pPr>
      <w:r w:rsidRPr="00DD5F1D">
        <w:rPr>
          <w:lang w:val="ro-MD"/>
        </w:rPr>
        <w:t>Deși Ministerul Sănătății</w:t>
      </w:r>
      <w:r w:rsidR="003609C3" w:rsidRPr="00DD5F1D">
        <w:rPr>
          <w:lang w:val="ro-MD"/>
        </w:rPr>
        <w:t xml:space="preserve">, în baza recomandărilor Curții de Conturi </w:t>
      </w:r>
      <w:r w:rsidR="00377B99" w:rsidRPr="00DD5F1D">
        <w:rPr>
          <w:lang w:val="ro-MD"/>
        </w:rPr>
        <w:t>di</w:t>
      </w:r>
      <w:r w:rsidR="003609C3" w:rsidRPr="00DD5F1D">
        <w:rPr>
          <w:lang w:val="ro-MD"/>
        </w:rPr>
        <w:t>n anii precedenți</w:t>
      </w:r>
      <w:r w:rsidR="00377B99" w:rsidRPr="00DD5F1D">
        <w:rPr>
          <w:lang w:val="ro-MD"/>
        </w:rPr>
        <w:t>,</w:t>
      </w:r>
      <w:r w:rsidR="003609C3" w:rsidRPr="00DD5F1D">
        <w:rPr>
          <w:lang w:val="ro-MD"/>
        </w:rPr>
        <w:t xml:space="preserve"> a</w:t>
      </w:r>
      <w:r w:rsidRPr="00DD5F1D">
        <w:rPr>
          <w:lang w:val="ro-MD"/>
        </w:rPr>
        <w:t xml:space="preserve"> întrep</w:t>
      </w:r>
      <w:r w:rsidR="003609C3" w:rsidRPr="00DD5F1D">
        <w:rPr>
          <w:lang w:val="ro-MD"/>
        </w:rPr>
        <w:t>rins măsuri de informare a IMSP</w:t>
      </w:r>
      <w:r w:rsidRPr="00DD5F1D">
        <w:rPr>
          <w:lang w:val="ro-MD"/>
        </w:rPr>
        <w:t xml:space="preserve"> privind respectarea termenului de introducere a certificatelor de concediu medical în Portalul certificatelor de concediu medical, situația privind transmiterea </w:t>
      </w:r>
      <w:r w:rsidR="00377B99" w:rsidRPr="00DD5F1D">
        <w:rPr>
          <w:lang w:val="ro-MD"/>
        </w:rPr>
        <w:t xml:space="preserve">cu întârziere a </w:t>
      </w:r>
      <w:r w:rsidRPr="00DD5F1D">
        <w:rPr>
          <w:lang w:val="ro-MD"/>
        </w:rPr>
        <w:t>informații</w:t>
      </w:r>
      <w:r w:rsidR="00377B99" w:rsidRPr="00DD5F1D">
        <w:rPr>
          <w:lang w:val="ro-MD"/>
        </w:rPr>
        <w:t>lor</w:t>
      </w:r>
      <w:r w:rsidRPr="00DD5F1D">
        <w:rPr>
          <w:lang w:val="ro-MD"/>
        </w:rPr>
        <w:t xml:space="preserve"> din certificatele </w:t>
      </w:r>
      <w:r w:rsidR="00377B99" w:rsidRPr="00DD5F1D">
        <w:rPr>
          <w:lang w:val="ro-MD"/>
        </w:rPr>
        <w:t xml:space="preserve">medicale </w:t>
      </w:r>
      <w:r w:rsidRPr="00DD5F1D">
        <w:rPr>
          <w:lang w:val="ro-MD"/>
        </w:rPr>
        <w:t xml:space="preserve">către CNAS se menține în continuare. În acest context auditul relevă că măsurile nu sunt eficiente și nu se axează pe activitatea de responsabilizare a persoanelor implicate </w:t>
      </w:r>
      <w:r w:rsidR="00377B99" w:rsidRPr="00DD5F1D">
        <w:rPr>
          <w:lang w:val="ro-MD"/>
        </w:rPr>
        <w:t xml:space="preserve">direct </w:t>
      </w:r>
      <w:r w:rsidRPr="00DD5F1D">
        <w:rPr>
          <w:lang w:val="ro-MD"/>
        </w:rPr>
        <w:t>în introducerea datelor.</w:t>
      </w:r>
    </w:p>
    <w:p w14:paraId="79271F10" w14:textId="77777777" w:rsidR="00070E13" w:rsidRPr="00DD5F1D" w:rsidRDefault="006B3D62" w:rsidP="00070E13">
      <w:pPr>
        <w:pStyle w:val="a6"/>
        <w:shd w:val="clear" w:color="auto" w:fill="FFFFFF"/>
        <w:spacing w:after="240" w:line="276" w:lineRule="auto"/>
        <w:ind w:firstLine="0"/>
        <w:rPr>
          <w:lang w:val="ro-MD"/>
        </w:rPr>
      </w:pPr>
      <w:r w:rsidRPr="00DD5F1D">
        <w:rPr>
          <w:bCs/>
          <w:iCs/>
          <w:lang w:val="ro-MD"/>
        </w:rPr>
        <w:t xml:space="preserve">Astfel, din 333 854 </w:t>
      </w:r>
      <w:r w:rsidR="00377B99" w:rsidRPr="00DD5F1D">
        <w:rPr>
          <w:bCs/>
          <w:iCs/>
          <w:lang w:val="ro-MD"/>
        </w:rPr>
        <w:t xml:space="preserve">de </w:t>
      </w:r>
      <w:r w:rsidRPr="00DD5F1D">
        <w:rPr>
          <w:bCs/>
          <w:iCs/>
          <w:lang w:val="ro-MD"/>
        </w:rPr>
        <w:t xml:space="preserve">indemnizații pentru incapacitate temporară de muncă, s-a stabilit că în cazul a </w:t>
      </w:r>
      <w:r w:rsidRPr="00DD5F1D">
        <w:rPr>
          <w:bCs/>
          <w:lang w:val="ro-MD"/>
        </w:rPr>
        <w:t xml:space="preserve">105 723 (sau 31,7%) </w:t>
      </w:r>
      <w:r w:rsidR="00377B99" w:rsidRPr="00DD5F1D">
        <w:rPr>
          <w:bCs/>
          <w:lang w:val="ro-MD"/>
        </w:rPr>
        <w:t>de</w:t>
      </w:r>
      <w:r w:rsidRPr="00DD5F1D">
        <w:rPr>
          <w:bCs/>
          <w:lang w:val="ro-MD"/>
        </w:rPr>
        <w:t xml:space="preserve"> informații din certificatele de concediu medical au fost introduse</w:t>
      </w:r>
      <w:r w:rsidRPr="00DD5F1D">
        <w:rPr>
          <w:bCs/>
          <w:iCs/>
          <w:lang w:val="ro-MD"/>
        </w:rPr>
        <w:t xml:space="preserve"> în Portal</w:t>
      </w:r>
      <w:r w:rsidRPr="00DD5F1D">
        <w:rPr>
          <w:lang w:val="ro-MD"/>
        </w:rPr>
        <w:t xml:space="preserve"> într-un termen depășit de la 1 zi până la </w:t>
      </w:r>
      <w:r w:rsidRPr="00DD5F1D">
        <w:rPr>
          <w:bCs/>
          <w:iCs/>
          <w:lang w:val="ro-MD"/>
        </w:rPr>
        <w:t xml:space="preserve">569 </w:t>
      </w:r>
      <w:r w:rsidR="00377B99" w:rsidRPr="00DD5F1D">
        <w:rPr>
          <w:bCs/>
          <w:iCs/>
          <w:lang w:val="ro-MD"/>
        </w:rPr>
        <w:t xml:space="preserve">de </w:t>
      </w:r>
      <w:r w:rsidRPr="00DD5F1D">
        <w:rPr>
          <w:bCs/>
          <w:iCs/>
          <w:lang w:val="ro-MD"/>
        </w:rPr>
        <w:t xml:space="preserve">zile, </w:t>
      </w:r>
      <w:r w:rsidRPr="00DD5F1D">
        <w:rPr>
          <w:lang w:val="ro-MD"/>
        </w:rPr>
        <w:t>deși actele normative</w:t>
      </w:r>
      <w:r w:rsidRPr="00DD5F1D">
        <w:rPr>
          <w:rStyle w:val="a5"/>
          <w:rFonts w:eastAsiaTheme="majorEastAsia"/>
          <w:lang w:val="ro-MD"/>
        </w:rPr>
        <w:footnoteReference w:id="100"/>
      </w:r>
      <w:r w:rsidR="003609C3" w:rsidRPr="00DD5F1D">
        <w:rPr>
          <w:lang w:val="ro-MD"/>
        </w:rPr>
        <w:t xml:space="preserve"> stabilesc</w:t>
      </w:r>
      <w:r w:rsidRPr="00DD5F1D">
        <w:rPr>
          <w:lang w:val="ro-MD"/>
        </w:rPr>
        <w:t xml:space="preserve"> înregistrarea datelor în termen de cel mult 5 zile de la data închiderii certificatului medical, informație prezentată în tabelul de mai jos.</w:t>
      </w:r>
    </w:p>
    <w:p w14:paraId="38E212BE" w14:textId="060B4372" w:rsidR="006B3D62" w:rsidRPr="00DD5F1D" w:rsidRDefault="006B3D62" w:rsidP="00070E13">
      <w:pPr>
        <w:pStyle w:val="a6"/>
        <w:shd w:val="clear" w:color="auto" w:fill="FFFFFF"/>
        <w:spacing w:line="276" w:lineRule="auto"/>
        <w:ind w:firstLine="0"/>
        <w:jc w:val="right"/>
        <w:rPr>
          <w:b/>
          <w:sz w:val="22"/>
          <w:lang w:val="ro-MD"/>
        </w:rPr>
      </w:pPr>
      <w:r w:rsidRPr="00DD5F1D">
        <w:rPr>
          <w:b/>
          <w:sz w:val="22"/>
          <w:lang w:val="ro-MD"/>
        </w:rPr>
        <w:t>Tabelul nr. 1</w:t>
      </w:r>
      <w:r w:rsidR="0021536C" w:rsidRPr="00DD5F1D">
        <w:rPr>
          <w:b/>
          <w:sz w:val="22"/>
          <w:lang w:val="ro-MD"/>
        </w:rPr>
        <w:t>8</w:t>
      </w:r>
    </w:p>
    <w:p w14:paraId="53F5D67E" w14:textId="77777777" w:rsidR="006B3D62" w:rsidRPr="00DD5F1D" w:rsidRDefault="006B3D62" w:rsidP="00070E13">
      <w:pPr>
        <w:pStyle w:val="a6"/>
        <w:shd w:val="clear" w:color="auto" w:fill="FFFFFF"/>
        <w:spacing w:line="276" w:lineRule="auto"/>
        <w:ind w:firstLine="0"/>
        <w:jc w:val="center"/>
        <w:rPr>
          <w:b/>
          <w:sz w:val="22"/>
          <w:lang w:val="ro-MD"/>
        </w:rPr>
      </w:pPr>
      <w:r w:rsidRPr="00DD5F1D">
        <w:rPr>
          <w:b/>
          <w:sz w:val="22"/>
          <w:lang w:val="ro-MD"/>
        </w:rPr>
        <w:t>Informații aferente numărului certificatelor de concediu medical introduse cu întârziere</w:t>
      </w:r>
    </w:p>
    <w:tbl>
      <w:tblPr>
        <w:tblW w:w="5000" w:type="pct"/>
        <w:jc w:val="center"/>
        <w:tblLook w:val="04A0" w:firstRow="1" w:lastRow="0" w:firstColumn="1" w:lastColumn="0" w:noHBand="0" w:noVBand="1"/>
      </w:tblPr>
      <w:tblGrid>
        <w:gridCol w:w="4940"/>
        <w:gridCol w:w="5084"/>
      </w:tblGrid>
      <w:tr w:rsidR="006B3D62" w:rsidRPr="00DD5F1D" w14:paraId="5C5792AE" w14:textId="77777777" w:rsidTr="00070E13">
        <w:trPr>
          <w:trHeight w:val="480"/>
          <w:jc w:val="center"/>
        </w:trPr>
        <w:tc>
          <w:tcPr>
            <w:tcW w:w="24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3286F4" w14:textId="64D7755A" w:rsidR="006B3D62" w:rsidRPr="00DD5F1D" w:rsidRDefault="006B3D62" w:rsidP="00377B99">
            <w:pPr>
              <w:spacing w:after="0"/>
              <w:jc w:val="center"/>
              <w:rPr>
                <w:rFonts w:ascii="Times New Roman" w:eastAsia="Times New Roman" w:hAnsi="Times New Roman" w:cs="Times New Roman"/>
                <w:b/>
                <w:bCs/>
                <w:sz w:val="20"/>
                <w:szCs w:val="18"/>
                <w:lang w:val="ro-MD"/>
              </w:rPr>
            </w:pPr>
            <w:r w:rsidRPr="00DD5F1D">
              <w:rPr>
                <w:rFonts w:ascii="Times New Roman" w:eastAsia="Times New Roman" w:hAnsi="Times New Roman" w:cs="Times New Roman"/>
                <w:b/>
                <w:bCs/>
                <w:sz w:val="20"/>
                <w:szCs w:val="18"/>
                <w:lang w:val="ro-MD"/>
              </w:rPr>
              <w:t xml:space="preserve">Zile întârziere de transmitere </w:t>
            </w:r>
            <w:r w:rsidR="00377B99" w:rsidRPr="00DD5F1D">
              <w:rPr>
                <w:rFonts w:ascii="Times New Roman" w:eastAsia="Times New Roman" w:hAnsi="Times New Roman" w:cs="Times New Roman"/>
                <w:b/>
                <w:bCs/>
                <w:sz w:val="20"/>
                <w:szCs w:val="18"/>
                <w:lang w:val="ro-MD"/>
              </w:rPr>
              <w:t xml:space="preserve">a </w:t>
            </w:r>
            <w:r w:rsidRPr="00DD5F1D">
              <w:rPr>
                <w:rFonts w:ascii="Times New Roman" w:eastAsia="Times New Roman" w:hAnsi="Times New Roman" w:cs="Times New Roman"/>
                <w:b/>
                <w:bCs/>
                <w:sz w:val="20"/>
                <w:szCs w:val="18"/>
                <w:lang w:val="ro-MD"/>
              </w:rPr>
              <w:t>certificat</w:t>
            </w:r>
            <w:r w:rsidR="00377B99" w:rsidRPr="00DD5F1D">
              <w:rPr>
                <w:rFonts w:ascii="Times New Roman" w:eastAsia="Times New Roman" w:hAnsi="Times New Roman" w:cs="Times New Roman"/>
                <w:b/>
                <w:bCs/>
                <w:sz w:val="20"/>
                <w:szCs w:val="18"/>
                <w:lang w:val="ro-MD"/>
              </w:rPr>
              <w:t>ului</w:t>
            </w:r>
            <w:r w:rsidRPr="00DD5F1D">
              <w:rPr>
                <w:rFonts w:ascii="Times New Roman" w:eastAsia="Times New Roman" w:hAnsi="Times New Roman" w:cs="Times New Roman"/>
                <w:b/>
                <w:bCs/>
                <w:sz w:val="20"/>
                <w:szCs w:val="18"/>
                <w:lang w:val="ro-MD"/>
              </w:rPr>
              <w:t xml:space="preserve"> medical</w:t>
            </w:r>
          </w:p>
        </w:tc>
        <w:tc>
          <w:tcPr>
            <w:tcW w:w="2536" w:type="pct"/>
            <w:tcBorders>
              <w:top w:val="single" w:sz="4" w:space="0" w:color="auto"/>
              <w:left w:val="nil"/>
              <w:bottom w:val="single" w:sz="4" w:space="0" w:color="auto"/>
              <w:right w:val="single" w:sz="4" w:space="0" w:color="auto"/>
            </w:tcBorders>
            <w:shd w:val="clear" w:color="auto" w:fill="auto"/>
            <w:vAlign w:val="bottom"/>
            <w:hideMark/>
          </w:tcPr>
          <w:p w14:paraId="426FF6B0" w14:textId="77777777" w:rsidR="006B3D62" w:rsidRPr="00DD5F1D" w:rsidRDefault="006B3D62" w:rsidP="00DB7415">
            <w:pPr>
              <w:spacing w:after="0"/>
              <w:jc w:val="center"/>
              <w:rPr>
                <w:rFonts w:ascii="Times New Roman" w:eastAsia="Times New Roman" w:hAnsi="Times New Roman" w:cs="Times New Roman"/>
                <w:b/>
                <w:bCs/>
                <w:sz w:val="20"/>
                <w:szCs w:val="18"/>
                <w:lang w:val="ro-MD"/>
              </w:rPr>
            </w:pPr>
            <w:r w:rsidRPr="00DD5F1D">
              <w:rPr>
                <w:rFonts w:ascii="Times New Roman" w:eastAsia="Times New Roman" w:hAnsi="Times New Roman" w:cs="Times New Roman"/>
                <w:b/>
                <w:bCs/>
                <w:sz w:val="20"/>
                <w:szCs w:val="18"/>
                <w:lang w:val="ro-MD"/>
              </w:rPr>
              <w:t>Numărul de certificate medicale introduse cu întârziere</w:t>
            </w:r>
          </w:p>
        </w:tc>
      </w:tr>
      <w:tr w:rsidR="006B3D62" w:rsidRPr="00DD5F1D" w14:paraId="1F365CB3" w14:textId="77777777" w:rsidTr="00070E13">
        <w:trPr>
          <w:trHeight w:val="264"/>
          <w:jc w:val="center"/>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14:paraId="26A307C3" w14:textId="77777777" w:rsidR="006B3D62" w:rsidRPr="00DD5F1D" w:rsidRDefault="006B3D62" w:rsidP="00DB7415">
            <w:pPr>
              <w:spacing w:after="0"/>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de la 1-10 zile</w:t>
            </w:r>
          </w:p>
        </w:tc>
        <w:tc>
          <w:tcPr>
            <w:tcW w:w="2536" w:type="pct"/>
            <w:tcBorders>
              <w:top w:val="nil"/>
              <w:left w:val="nil"/>
              <w:bottom w:val="single" w:sz="4" w:space="0" w:color="auto"/>
              <w:right w:val="single" w:sz="4" w:space="0" w:color="auto"/>
            </w:tcBorders>
            <w:shd w:val="clear" w:color="auto" w:fill="auto"/>
            <w:noWrap/>
            <w:vAlign w:val="bottom"/>
            <w:hideMark/>
          </w:tcPr>
          <w:p w14:paraId="576D828E" w14:textId="77777777" w:rsidR="006B3D62" w:rsidRPr="00DD5F1D" w:rsidRDefault="006B3D62" w:rsidP="008B60FF">
            <w:pPr>
              <w:spacing w:after="0"/>
              <w:jc w:val="right"/>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54 484</w:t>
            </w:r>
          </w:p>
        </w:tc>
      </w:tr>
      <w:tr w:rsidR="006B3D62" w:rsidRPr="00DD5F1D" w14:paraId="1892802E" w14:textId="77777777" w:rsidTr="00070E13">
        <w:trPr>
          <w:trHeight w:val="264"/>
          <w:jc w:val="center"/>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14:paraId="038F1413" w14:textId="77777777" w:rsidR="006B3D62" w:rsidRPr="00DD5F1D" w:rsidRDefault="006B3D62" w:rsidP="00DB7415">
            <w:pPr>
              <w:spacing w:after="0"/>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de la 11-30 zile</w:t>
            </w:r>
          </w:p>
        </w:tc>
        <w:tc>
          <w:tcPr>
            <w:tcW w:w="2536" w:type="pct"/>
            <w:tcBorders>
              <w:top w:val="nil"/>
              <w:left w:val="nil"/>
              <w:bottom w:val="single" w:sz="4" w:space="0" w:color="auto"/>
              <w:right w:val="single" w:sz="4" w:space="0" w:color="auto"/>
            </w:tcBorders>
            <w:shd w:val="clear" w:color="auto" w:fill="auto"/>
            <w:noWrap/>
            <w:vAlign w:val="bottom"/>
            <w:hideMark/>
          </w:tcPr>
          <w:p w14:paraId="2301D699" w14:textId="77777777" w:rsidR="006B3D62" w:rsidRPr="00DD5F1D" w:rsidRDefault="006B3D62" w:rsidP="008B60FF">
            <w:pPr>
              <w:spacing w:after="0"/>
              <w:jc w:val="right"/>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38 881</w:t>
            </w:r>
          </w:p>
        </w:tc>
      </w:tr>
      <w:tr w:rsidR="006B3D62" w:rsidRPr="00DD5F1D" w14:paraId="6A6C4883" w14:textId="77777777" w:rsidTr="00070E13">
        <w:trPr>
          <w:trHeight w:val="264"/>
          <w:jc w:val="center"/>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14:paraId="474C1AF5" w14:textId="77777777" w:rsidR="006B3D62" w:rsidRPr="00DD5F1D" w:rsidRDefault="006B3D62" w:rsidP="00DB7415">
            <w:pPr>
              <w:spacing w:after="0"/>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de la 31-90 zile</w:t>
            </w:r>
          </w:p>
        </w:tc>
        <w:tc>
          <w:tcPr>
            <w:tcW w:w="2536" w:type="pct"/>
            <w:tcBorders>
              <w:top w:val="nil"/>
              <w:left w:val="nil"/>
              <w:bottom w:val="single" w:sz="4" w:space="0" w:color="auto"/>
              <w:right w:val="single" w:sz="4" w:space="0" w:color="auto"/>
            </w:tcBorders>
            <w:shd w:val="clear" w:color="auto" w:fill="auto"/>
            <w:noWrap/>
            <w:vAlign w:val="bottom"/>
            <w:hideMark/>
          </w:tcPr>
          <w:p w14:paraId="4DB31653" w14:textId="77777777" w:rsidR="006B3D62" w:rsidRPr="00DD5F1D" w:rsidRDefault="006B3D62" w:rsidP="008B60FF">
            <w:pPr>
              <w:spacing w:after="0"/>
              <w:jc w:val="right"/>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10 416</w:t>
            </w:r>
          </w:p>
        </w:tc>
      </w:tr>
      <w:tr w:rsidR="006B3D62" w:rsidRPr="00DD5F1D" w14:paraId="57F944FB" w14:textId="77777777" w:rsidTr="00070E13">
        <w:trPr>
          <w:trHeight w:val="264"/>
          <w:jc w:val="center"/>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14:paraId="5726CC0A" w14:textId="77777777" w:rsidR="006B3D62" w:rsidRPr="00DD5F1D" w:rsidRDefault="006B3D62" w:rsidP="00DB7415">
            <w:pPr>
              <w:spacing w:after="0"/>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de la 91-119 zile</w:t>
            </w:r>
          </w:p>
        </w:tc>
        <w:tc>
          <w:tcPr>
            <w:tcW w:w="2536" w:type="pct"/>
            <w:tcBorders>
              <w:top w:val="nil"/>
              <w:left w:val="nil"/>
              <w:bottom w:val="single" w:sz="4" w:space="0" w:color="auto"/>
              <w:right w:val="single" w:sz="4" w:space="0" w:color="auto"/>
            </w:tcBorders>
            <w:shd w:val="clear" w:color="auto" w:fill="auto"/>
            <w:noWrap/>
            <w:vAlign w:val="bottom"/>
            <w:hideMark/>
          </w:tcPr>
          <w:p w14:paraId="066E7E8B" w14:textId="77777777" w:rsidR="006B3D62" w:rsidRPr="00DD5F1D" w:rsidRDefault="006B3D62" w:rsidP="008B60FF">
            <w:pPr>
              <w:spacing w:after="0"/>
              <w:jc w:val="right"/>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849</w:t>
            </w:r>
          </w:p>
        </w:tc>
      </w:tr>
      <w:tr w:rsidR="006B3D62" w:rsidRPr="00DD5F1D" w14:paraId="376BB122" w14:textId="77777777" w:rsidTr="00070E13">
        <w:trPr>
          <w:trHeight w:val="264"/>
          <w:jc w:val="center"/>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14:paraId="10D82AA7" w14:textId="77777777" w:rsidR="006B3D62" w:rsidRPr="00DD5F1D" w:rsidRDefault="006B3D62" w:rsidP="00DB7415">
            <w:pPr>
              <w:spacing w:after="0"/>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De la 120-364 zile</w:t>
            </w:r>
          </w:p>
        </w:tc>
        <w:tc>
          <w:tcPr>
            <w:tcW w:w="2536" w:type="pct"/>
            <w:tcBorders>
              <w:top w:val="nil"/>
              <w:left w:val="nil"/>
              <w:bottom w:val="single" w:sz="4" w:space="0" w:color="auto"/>
              <w:right w:val="single" w:sz="4" w:space="0" w:color="auto"/>
            </w:tcBorders>
            <w:shd w:val="clear" w:color="auto" w:fill="auto"/>
            <w:noWrap/>
            <w:vAlign w:val="bottom"/>
            <w:hideMark/>
          </w:tcPr>
          <w:p w14:paraId="4FE8F77F" w14:textId="77777777" w:rsidR="006B3D62" w:rsidRPr="00DD5F1D" w:rsidRDefault="006B3D62" w:rsidP="008B60FF">
            <w:pPr>
              <w:spacing w:after="0"/>
              <w:jc w:val="right"/>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1 083</w:t>
            </w:r>
          </w:p>
        </w:tc>
      </w:tr>
      <w:tr w:rsidR="006B3D62" w:rsidRPr="00DD5F1D" w14:paraId="0F28E308" w14:textId="77777777" w:rsidTr="00070E13">
        <w:trPr>
          <w:trHeight w:val="264"/>
          <w:jc w:val="center"/>
        </w:trPr>
        <w:tc>
          <w:tcPr>
            <w:tcW w:w="2464" w:type="pct"/>
            <w:tcBorders>
              <w:top w:val="nil"/>
              <w:left w:val="single" w:sz="4" w:space="0" w:color="auto"/>
              <w:bottom w:val="single" w:sz="4" w:space="0" w:color="auto"/>
              <w:right w:val="single" w:sz="4" w:space="0" w:color="auto"/>
            </w:tcBorders>
            <w:shd w:val="clear" w:color="auto" w:fill="auto"/>
            <w:noWrap/>
            <w:vAlign w:val="bottom"/>
          </w:tcPr>
          <w:p w14:paraId="397731B4" w14:textId="77777777" w:rsidR="006B3D62" w:rsidRPr="00DD5F1D" w:rsidRDefault="006B3D62" w:rsidP="00DB7415">
            <w:pPr>
              <w:spacing w:after="0"/>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Peste 365 zile</w:t>
            </w:r>
          </w:p>
        </w:tc>
        <w:tc>
          <w:tcPr>
            <w:tcW w:w="2536" w:type="pct"/>
            <w:tcBorders>
              <w:top w:val="nil"/>
              <w:left w:val="nil"/>
              <w:bottom w:val="single" w:sz="4" w:space="0" w:color="auto"/>
              <w:right w:val="single" w:sz="4" w:space="0" w:color="auto"/>
            </w:tcBorders>
            <w:shd w:val="clear" w:color="auto" w:fill="auto"/>
            <w:noWrap/>
            <w:vAlign w:val="bottom"/>
          </w:tcPr>
          <w:p w14:paraId="2CBAA3C1" w14:textId="77777777" w:rsidR="006B3D62" w:rsidRPr="00DD5F1D" w:rsidRDefault="006B3D62" w:rsidP="008B60FF">
            <w:pPr>
              <w:spacing w:after="0"/>
              <w:jc w:val="right"/>
              <w:rPr>
                <w:rFonts w:ascii="Times New Roman" w:eastAsia="Times New Roman" w:hAnsi="Times New Roman" w:cs="Times New Roman"/>
                <w:sz w:val="20"/>
                <w:szCs w:val="18"/>
                <w:lang w:val="ro-MD"/>
              </w:rPr>
            </w:pPr>
            <w:r w:rsidRPr="00DD5F1D">
              <w:rPr>
                <w:rFonts w:ascii="Times New Roman" w:eastAsia="Times New Roman" w:hAnsi="Times New Roman" w:cs="Times New Roman"/>
                <w:sz w:val="20"/>
                <w:szCs w:val="18"/>
                <w:lang w:val="ro-MD"/>
              </w:rPr>
              <w:t>10</w:t>
            </w:r>
          </w:p>
        </w:tc>
      </w:tr>
      <w:tr w:rsidR="006B3D62" w:rsidRPr="00DD5F1D" w14:paraId="1F906636" w14:textId="77777777" w:rsidTr="00070E13">
        <w:trPr>
          <w:trHeight w:val="264"/>
          <w:jc w:val="center"/>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14:paraId="2E9A5B10" w14:textId="77777777" w:rsidR="006B3D62" w:rsidRPr="00DD5F1D" w:rsidRDefault="006B3D62" w:rsidP="00DB7415">
            <w:pPr>
              <w:spacing w:after="0"/>
              <w:rPr>
                <w:rFonts w:ascii="Times New Roman" w:eastAsia="Times New Roman" w:hAnsi="Times New Roman" w:cs="Times New Roman"/>
                <w:b/>
                <w:bCs/>
                <w:sz w:val="20"/>
                <w:szCs w:val="18"/>
                <w:lang w:val="ro-MD"/>
              </w:rPr>
            </w:pPr>
            <w:r w:rsidRPr="00DD5F1D">
              <w:rPr>
                <w:rFonts w:ascii="Times New Roman" w:eastAsia="Times New Roman" w:hAnsi="Times New Roman" w:cs="Times New Roman"/>
                <w:b/>
                <w:bCs/>
                <w:sz w:val="20"/>
                <w:szCs w:val="18"/>
                <w:lang w:val="ro-MD"/>
              </w:rPr>
              <w:t>Total</w:t>
            </w:r>
          </w:p>
        </w:tc>
        <w:tc>
          <w:tcPr>
            <w:tcW w:w="2536" w:type="pct"/>
            <w:tcBorders>
              <w:top w:val="nil"/>
              <w:left w:val="nil"/>
              <w:bottom w:val="single" w:sz="4" w:space="0" w:color="auto"/>
              <w:right w:val="single" w:sz="4" w:space="0" w:color="auto"/>
            </w:tcBorders>
            <w:shd w:val="clear" w:color="auto" w:fill="auto"/>
            <w:noWrap/>
            <w:vAlign w:val="bottom"/>
            <w:hideMark/>
          </w:tcPr>
          <w:p w14:paraId="72A42E48" w14:textId="77777777" w:rsidR="006B3D62" w:rsidRPr="00DD5F1D" w:rsidRDefault="006B3D62" w:rsidP="008B60FF">
            <w:pPr>
              <w:spacing w:after="0"/>
              <w:jc w:val="right"/>
              <w:rPr>
                <w:rFonts w:ascii="Times New Roman" w:eastAsia="Times New Roman" w:hAnsi="Times New Roman" w:cs="Times New Roman"/>
                <w:b/>
                <w:bCs/>
                <w:sz w:val="20"/>
                <w:szCs w:val="18"/>
                <w:lang w:val="ro-MD"/>
              </w:rPr>
            </w:pPr>
            <w:r w:rsidRPr="00DD5F1D">
              <w:rPr>
                <w:rFonts w:ascii="Times New Roman" w:eastAsia="Times New Roman" w:hAnsi="Times New Roman" w:cs="Times New Roman"/>
                <w:b/>
                <w:bCs/>
                <w:sz w:val="20"/>
                <w:szCs w:val="18"/>
                <w:lang w:val="ro-MD"/>
              </w:rPr>
              <w:t>105 723</w:t>
            </w:r>
          </w:p>
        </w:tc>
      </w:tr>
    </w:tbl>
    <w:p w14:paraId="01ADE862" w14:textId="1B5F5FEF" w:rsidR="006B3D62" w:rsidRPr="00DD5F1D" w:rsidRDefault="006B3D62" w:rsidP="006B3D62">
      <w:pPr>
        <w:pStyle w:val="a6"/>
        <w:shd w:val="clear" w:color="auto" w:fill="FFFFFF"/>
        <w:spacing w:after="240" w:line="276" w:lineRule="auto"/>
        <w:ind w:firstLine="0"/>
        <w:rPr>
          <w:i/>
          <w:sz w:val="20"/>
          <w:lang w:val="ro-MD"/>
        </w:rPr>
      </w:pPr>
      <w:r w:rsidRPr="00DD5F1D">
        <w:rPr>
          <w:b/>
          <w:i/>
          <w:sz w:val="20"/>
          <w:lang w:val="ro-MD"/>
        </w:rPr>
        <w:t>Sursa</w:t>
      </w:r>
      <w:r w:rsidRPr="00DD5F1D">
        <w:rPr>
          <w:i/>
          <w:sz w:val="20"/>
          <w:lang w:val="ro-MD"/>
        </w:rPr>
        <w:t>: Întocmit de audit în baza listelor beneficiarilor de indemnizații pentru incapacitate temporară de muncă prezentat</w:t>
      </w:r>
      <w:r w:rsidR="00377B99" w:rsidRPr="00DD5F1D">
        <w:rPr>
          <w:i/>
          <w:sz w:val="20"/>
          <w:lang w:val="ro-MD"/>
        </w:rPr>
        <w:t>e</w:t>
      </w:r>
      <w:r w:rsidRPr="00DD5F1D">
        <w:rPr>
          <w:i/>
          <w:sz w:val="20"/>
          <w:lang w:val="ro-MD"/>
        </w:rPr>
        <w:t xml:space="preserve"> de CNAS</w:t>
      </w:r>
      <w:r w:rsidR="00377B99" w:rsidRPr="00DD5F1D">
        <w:rPr>
          <w:i/>
          <w:sz w:val="20"/>
          <w:lang w:val="ro-MD"/>
        </w:rPr>
        <w:t>.</w:t>
      </w:r>
    </w:p>
    <w:p w14:paraId="07B8A503" w14:textId="0828E8BC" w:rsidR="006B3D62" w:rsidRPr="00DD5F1D" w:rsidRDefault="006B3D62" w:rsidP="005B7F0E">
      <w:pPr>
        <w:pStyle w:val="a6"/>
        <w:shd w:val="clear" w:color="auto" w:fill="FFFFFF"/>
        <w:spacing w:after="120" w:line="276" w:lineRule="auto"/>
        <w:ind w:firstLine="0"/>
        <w:rPr>
          <w:lang w:val="ro-MD"/>
        </w:rPr>
      </w:pPr>
      <w:r w:rsidRPr="00DD5F1D">
        <w:rPr>
          <w:lang w:val="ro-MD"/>
        </w:rPr>
        <w:t>Prin urmare</w:t>
      </w:r>
      <w:r w:rsidR="00040F36" w:rsidRPr="00DD5F1D">
        <w:rPr>
          <w:lang w:val="ro-MD"/>
        </w:rPr>
        <w:t>,</w:t>
      </w:r>
      <w:r w:rsidRPr="00DD5F1D">
        <w:rPr>
          <w:lang w:val="ro-MD"/>
        </w:rPr>
        <w:t xml:space="preserve"> introducerea cu întârziere a datelor în Portalul certificatelor medicale influențează direct stabilirea/calcularea/plata indemnizației pentru incapacitate temporară de muncă, inclusiv cu impact asupra executării indicatorilor BASS. Totodată, neplata în termen influențează calitatea serviciilor acord</w:t>
      </w:r>
      <w:r w:rsidR="003609C3" w:rsidRPr="00DD5F1D">
        <w:rPr>
          <w:lang w:val="ro-MD"/>
        </w:rPr>
        <w:t>ate beneficiarilor în timp util, deoarece aceștia sunt lipsiți de alte surse de venit.</w:t>
      </w:r>
    </w:p>
    <w:p w14:paraId="519F1A6A" w14:textId="765FDCFC" w:rsidR="006B3D62" w:rsidRPr="00DD5F1D" w:rsidRDefault="006B3D62" w:rsidP="006B3D62">
      <w:pPr>
        <w:pStyle w:val="aa"/>
        <w:spacing w:line="276" w:lineRule="auto"/>
        <w:ind w:left="0"/>
        <w:jc w:val="both"/>
        <w:rPr>
          <w:rFonts w:ascii="Times New Roman" w:eastAsia="Calibri" w:hAnsi="Times New Roman" w:cs="Times New Roman"/>
          <w:noProof/>
          <w:sz w:val="24"/>
          <w:szCs w:val="24"/>
          <w:lang w:val="ro-MD"/>
        </w:rPr>
      </w:pPr>
      <w:r w:rsidRPr="00DD5F1D">
        <w:rPr>
          <w:rFonts w:ascii="Times New Roman" w:eastAsia="Calibri" w:hAnsi="Times New Roman" w:cs="Times New Roman"/>
          <w:noProof/>
          <w:sz w:val="24"/>
          <w:szCs w:val="24"/>
          <w:lang w:val="ro-MD"/>
        </w:rPr>
        <w:t>De asemenea, conform prevederilor</w:t>
      </w:r>
      <w:r w:rsidR="00AE311C" w:rsidRPr="00DD5F1D">
        <w:rPr>
          <w:rFonts w:ascii="Times New Roman" w:eastAsia="Calibri" w:hAnsi="Times New Roman" w:cs="Times New Roman"/>
          <w:noProof/>
          <w:sz w:val="24"/>
          <w:szCs w:val="24"/>
          <w:lang w:val="ro-MD"/>
        </w:rPr>
        <w:t xml:space="preserve"> regulamentare</w:t>
      </w:r>
      <w:r w:rsidRPr="00DD5F1D">
        <w:rPr>
          <w:rStyle w:val="a5"/>
          <w:rFonts w:ascii="Times New Roman" w:eastAsia="Calibri" w:hAnsi="Times New Roman" w:cs="Times New Roman"/>
          <w:noProof/>
          <w:sz w:val="24"/>
          <w:szCs w:val="24"/>
          <w:lang w:val="ro-MD"/>
        </w:rPr>
        <w:footnoteReference w:id="101"/>
      </w:r>
      <w:r w:rsidRPr="00DD5F1D">
        <w:rPr>
          <w:rFonts w:ascii="Times New Roman" w:eastAsia="Calibri" w:hAnsi="Times New Roman" w:cs="Times New Roman"/>
          <w:noProof/>
          <w:sz w:val="24"/>
          <w:szCs w:val="24"/>
          <w:lang w:val="ro-MD"/>
        </w:rPr>
        <w:t xml:space="preserve">, termenul de examinare a </w:t>
      </w:r>
      <w:r w:rsidRPr="00DD5F1D">
        <w:rPr>
          <w:rFonts w:ascii="Times New Roman" w:hAnsi="Times New Roman" w:cs="Times New Roman"/>
          <w:sz w:val="24"/>
          <w:szCs w:val="24"/>
          <w:shd w:val="clear" w:color="auto" w:fill="FFFFFF"/>
          <w:lang w:val="ro-MD"/>
        </w:rPr>
        <w:t>datelor din certificatul medica</w:t>
      </w:r>
      <w:r w:rsidR="003609C3" w:rsidRPr="00DD5F1D">
        <w:rPr>
          <w:rFonts w:ascii="Times New Roman" w:hAnsi="Times New Roman" w:cs="Times New Roman"/>
          <w:sz w:val="24"/>
          <w:szCs w:val="24"/>
          <w:shd w:val="clear" w:color="auto" w:fill="FFFFFF"/>
          <w:lang w:val="ro-MD"/>
        </w:rPr>
        <w:t>l transmise CNAS</w:t>
      </w:r>
      <w:r w:rsidRPr="00DD5F1D">
        <w:rPr>
          <w:rFonts w:ascii="Times New Roman" w:hAnsi="Times New Roman" w:cs="Times New Roman"/>
          <w:sz w:val="24"/>
          <w:szCs w:val="24"/>
          <w:shd w:val="clear" w:color="auto" w:fill="FFFFFF"/>
          <w:lang w:val="ro-MD"/>
        </w:rPr>
        <w:t xml:space="preserve"> pentru stabilirea indemnizațiilor poate fi extins până la maxim</w:t>
      </w:r>
      <w:r w:rsidR="00040F36" w:rsidRPr="00DD5F1D">
        <w:rPr>
          <w:rFonts w:ascii="Times New Roman" w:hAnsi="Times New Roman" w:cs="Times New Roman"/>
          <w:sz w:val="24"/>
          <w:szCs w:val="24"/>
          <w:shd w:val="clear" w:color="auto" w:fill="FFFFFF"/>
          <w:lang w:val="ro-MD"/>
        </w:rPr>
        <w:t>um</w:t>
      </w:r>
      <w:r w:rsidRPr="00DD5F1D">
        <w:rPr>
          <w:rFonts w:ascii="Times New Roman" w:hAnsi="Times New Roman" w:cs="Times New Roman"/>
          <w:sz w:val="24"/>
          <w:szCs w:val="24"/>
          <w:shd w:val="clear" w:color="auto" w:fill="FFFFFF"/>
          <w:lang w:val="ro-MD"/>
        </w:rPr>
        <w:t xml:space="preserve"> 30 de zile. S</w:t>
      </w:r>
      <w:r w:rsidRPr="00DD5F1D">
        <w:rPr>
          <w:rFonts w:ascii="Times New Roman" w:eastAsia="Calibri" w:hAnsi="Times New Roman" w:cs="Times New Roman"/>
          <w:noProof/>
          <w:sz w:val="24"/>
          <w:szCs w:val="24"/>
          <w:lang w:val="ro-MD"/>
        </w:rPr>
        <w:t>-a constatat că</w:t>
      </w:r>
      <w:r w:rsidR="00040F36" w:rsidRPr="00DD5F1D">
        <w:rPr>
          <w:rFonts w:ascii="Times New Roman" w:eastAsia="Calibri" w:hAnsi="Times New Roman" w:cs="Times New Roman"/>
          <w:noProof/>
          <w:sz w:val="24"/>
          <w:szCs w:val="24"/>
          <w:lang w:val="ro-MD"/>
        </w:rPr>
        <w:t>,</w:t>
      </w:r>
      <w:r w:rsidRPr="00DD5F1D">
        <w:rPr>
          <w:rFonts w:ascii="Times New Roman" w:eastAsia="Calibri" w:hAnsi="Times New Roman" w:cs="Times New Roman"/>
          <w:noProof/>
          <w:sz w:val="24"/>
          <w:szCs w:val="24"/>
          <w:lang w:val="ro-MD"/>
        </w:rPr>
        <w:t xml:space="preserve"> în cazul a 426 de indemnizații, au fost emise decizii de refuz în stabilire, ca urmare a lipsei informațiilor complete/corecte în extrasul de cont</w:t>
      </w:r>
      <w:r w:rsidRPr="00DD5F1D">
        <w:rPr>
          <w:rStyle w:val="a5"/>
          <w:rFonts w:ascii="Times New Roman" w:eastAsia="Calibri" w:hAnsi="Times New Roman" w:cs="Times New Roman"/>
          <w:noProof/>
          <w:sz w:val="24"/>
          <w:szCs w:val="24"/>
          <w:lang w:val="ro-MD"/>
        </w:rPr>
        <w:footnoteReference w:id="102"/>
      </w:r>
      <w:r w:rsidRPr="00DD5F1D">
        <w:rPr>
          <w:rFonts w:ascii="Times New Roman" w:eastAsia="Calibri" w:hAnsi="Times New Roman" w:cs="Times New Roman"/>
          <w:noProof/>
          <w:sz w:val="24"/>
          <w:szCs w:val="24"/>
          <w:lang w:val="ro-MD"/>
        </w:rPr>
        <w:t>. Ulterior, după prezentarea de către angajatori a informații</w:t>
      </w:r>
      <w:r w:rsidR="00040F36" w:rsidRPr="00DD5F1D">
        <w:rPr>
          <w:rFonts w:ascii="Times New Roman" w:eastAsia="Calibri" w:hAnsi="Times New Roman" w:cs="Times New Roman"/>
          <w:noProof/>
          <w:sz w:val="24"/>
          <w:szCs w:val="24"/>
          <w:lang w:val="ro-MD"/>
        </w:rPr>
        <w:t>lor</w:t>
      </w:r>
      <w:r w:rsidRPr="00DD5F1D">
        <w:rPr>
          <w:rFonts w:ascii="Times New Roman" w:eastAsia="Calibri" w:hAnsi="Times New Roman" w:cs="Times New Roman"/>
          <w:noProof/>
          <w:sz w:val="24"/>
          <w:szCs w:val="24"/>
          <w:lang w:val="ro-MD"/>
        </w:rPr>
        <w:t xml:space="preserve"> suplimentare/corectate în termen de la 30 p</w:t>
      </w:r>
      <w:r w:rsidR="00040F36" w:rsidRPr="00DD5F1D">
        <w:rPr>
          <w:rFonts w:ascii="Times New Roman" w:eastAsia="Calibri" w:hAnsi="Times New Roman" w:cs="Times New Roman"/>
          <w:noProof/>
          <w:sz w:val="24"/>
          <w:szCs w:val="24"/>
          <w:lang w:val="ro-MD"/>
        </w:rPr>
        <w:t>â</w:t>
      </w:r>
      <w:r w:rsidRPr="00DD5F1D">
        <w:rPr>
          <w:rFonts w:ascii="Times New Roman" w:eastAsia="Calibri" w:hAnsi="Times New Roman" w:cs="Times New Roman"/>
          <w:noProof/>
          <w:sz w:val="24"/>
          <w:szCs w:val="24"/>
          <w:lang w:val="ro-MD"/>
        </w:rPr>
        <w:t xml:space="preserve">nă la 411 zile, dreptul persoanei la indemnizație a fost revizuit și </w:t>
      </w:r>
      <w:r w:rsidR="00040F36" w:rsidRPr="00DD5F1D">
        <w:rPr>
          <w:rFonts w:ascii="Times New Roman" w:eastAsia="Calibri" w:hAnsi="Times New Roman" w:cs="Times New Roman"/>
          <w:noProof/>
          <w:sz w:val="24"/>
          <w:szCs w:val="24"/>
          <w:lang w:val="ro-MD"/>
        </w:rPr>
        <w:t xml:space="preserve">a fost </w:t>
      </w:r>
      <w:r w:rsidRPr="00DD5F1D">
        <w:rPr>
          <w:rFonts w:ascii="Times New Roman" w:eastAsia="Calibri" w:hAnsi="Times New Roman" w:cs="Times New Roman"/>
          <w:noProof/>
          <w:sz w:val="24"/>
          <w:szCs w:val="24"/>
          <w:lang w:val="ro-MD"/>
        </w:rPr>
        <w:t>stabilită prestația. Astfel, termenul de stabilire este condiționat de corectitudinea prezentării informații</w:t>
      </w:r>
      <w:r w:rsidR="00040F36" w:rsidRPr="00DD5F1D">
        <w:rPr>
          <w:rFonts w:ascii="Times New Roman" w:eastAsia="Calibri" w:hAnsi="Times New Roman" w:cs="Times New Roman"/>
          <w:noProof/>
          <w:sz w:val="24"/>
          <w:szCs w:val="24"/>
          <w:lang w:val="ro-MD"/>
        </w:rPr>
        <w:t>lor</w:t>
      </w:r>
      <w:r w:rsidRPr="00DD5F1D">
        <w:rPr>
          <w:rFonts w:ascii="Times New Roman" w:eastAsia="Calibri" w:hAnsi="Times New Roman" w:cs="Times New Roman"/>
          <w:noProof/>
          <w:sz w:val="24"/>
          <w:szCs w:val="24"/>
          <w:lang w:val="ro-MD"/>
        </w:rPr>
        <w:t xml:space="preserve"> în Registrul de stat al evidenței individuale în sistemul public de asigurări sociale de către angajatori.</w:t>
      </w:r>
    </w:p>
    <w:p w14:paraId="20FAEC7B" w14:textId="22388C83" w:rsidR="006B3D62" w:rsidRPr="00DD5F1D" w:rsidRDefault="003609C3" w:rsidP="006B3D62">
      <w:pPr>
        <w:spacing w:line="276" w:lineRule="auto"/>
        <w:jc w:val="both"/>
        <w:rPr>
          <w:rFonts w:ascii="Times New Roman" w:eastAsia="Calibri" w:hAnsi="Times New Roman" w:cs="Times New Roman"/>
          <w:noProof/>
          <w:sz w:val="24"/>
          <w:szCs w:val="24"/>
          <w:lang w:val="ro-MD"/>
        </w:rPr>
      </w:pPr>
      <w:r w:rsidRPr="00DD5F1D">
        <w:rPr>
          <w:rFonts w:ascii="Times New Roman" w:eastAsia="Calibri" w:hAnsi="Times New Roman" w:cs="Times New Roman"/>
          <w:noProof/>
          <w:sz w:val="24"/>
          <w:szCs w:val="24"/>
          <w:lang w:val="ro-MD"/>
        </w:rPr>
        <w:t>În același timp</w:t>
      </w:r>
      <w:r w:rsidR="006B3D62" w:rsidRPr="00DD5F1D">
        <w:rPr>
          <w:rFonts w:ascii="Times New Roman" w:eastAsia="Calibri" w:hAnsi="Times New Roman" w:cs="Times New Roman"/>
          <w:noProof/>
          <w:sz w:val="24"/>
          <w:szCs w:val="24"/>
          <w:lang w:val="ro-MD"/>
        </w:rPr>
        <w:t xml:space="preserve">, în 33 </w:t>
      </w:r>
      <w:r w:rsidR="0008018E" w:rsidRPr="00DD5F1D">
        <w:rPr>
          <w:rFonts w:ascii="Times New Roman" w:eastAsia="Calibri" w:hAnsi="Times New Roman" w:cs="Times New Roman"/>
          <w:noProof/>
          <w:sz w:val="24"/>
          <w:szCs w:val="24"/>
          <w:lang w:val="ro-MD"/>
        </w:rPr>
        <w:t xml:space="preserve">de </w:t>
      </w:r>
      <w:r w:rsidR="006B3D62" w:rsidRPr="00DD5F1D">
        <w:rPr>
          <w:rFonts w:ascii="Times New Roman" w:eastAsia="Calibri" w:hAnsi="Times New Roman" w:cs="Times New Roman"/>
          <w:noProof/>
          <w:sz w:val="24"/>
          <w:szCs w:val="24"/>
          <w:lang w:val="ro-MD"/>
        </w:rPr>
        <w:t xml:space="preserve">cazuri termenul de examinare a fost depășit de către CNAS din </w:t>
      </w:r>
      <w:r w:rsidR="0008018E" w:rsidRPr="00DD5F1D">
        <w:rPr>
          <w:rFonts w:ascii="Times New Roman" w:eastAsia="Calibri" w:hAnsi="Times New Roman" w:cs="Times New Roman"/>
          <w:noProof/>
          <w:sz w:val="24"/>
          <w:szCs w:val="24"/>
          <w:lang w:val="ro-MD"/>
        </w:rPr>
        <w:t>cauza</w:t>
      </w:r>
      <w:r w:rsidR="006B3D62" w:rsidRPr="00DD5F1D">
        <w:rPr>
          <w:rFonts w:ascii="Times New Roman" w:eastAsia="Calibri" w:hAnsi="Times New Roman" w:cs="Times New Roman"/>
          <w:noProof/>
          <w:sz w:val="24"/>
          <w:szCs w:val="24"/>
          <w:lang w:val="ro-MD"/>
        </w:rPr>
        <w:t xml:space="preserve"> apariției deficiențelor tehnice în SI „Protecția Socială”, iar indemnizația a fost stabilită după examinarea și rezolvarea problemei de </w:t>
      </w:r>
      <w:r w:rsidRPr="00DD5F1D">
        <w:rPr>
          <w:rFonts w:ascii="Times New Roman" w:eastAsia="Calibri" w:hAnsi="Times New Roman" w:cs="Times New Roman"/>
          <w:noProof/>
          <w:sz w:val="24"/>
          <w:szCs w:val="24"/>
          <w:lang w:val="ro-MD"/>
        </w:rPr>
        <w:t xml:space="preserve">către </w:t>
      </w:r>
      <w:r w:rsidR="006B3D62" w:rsidRPr="00DD5F1D">
        <w:rPr>
          <w:rFonts w:ascii="Times New Roman" w:eastAsia="Calibri" w:hAnsi="Times New Roman" w:cs="Times New Roman"/>
          <w:noProof/>
          <w:sz w:val="24"/>
          <w:szCs w:val="24"/>
          <w:lang w:val="ro-MD"/>
        </w:rPr>
        <w:t>elaboratori.</w:t>
      </w:r>
      <w:r w:rsidR="006B3D62" w:rsidRPr="00DD5F1D">
        <w:rPr>
          <w:rFonts w:ascii="Times New Roman" w:hAnsi="Times New Roman" w:cs="Times New Roman"/>
          <w:sz w:val="24"/>
          <w:szCs w:val="24"/>
          <w:shd w:val="clear" w:color="auto" w:fill="FFFFFF"/>
          <w:lang w:val="ro-MD"/>
        </w:rPr>
        <w:t xml:space="preserve"> </w:t>
      </w:r>
    </w:p>
    <w:p w14:paraId="6D7EEB2A" w14:textId="0380DC17" w:rsidR="00F55707" w:rsidRPr="00DD5F1D" w:rsidRDefault="00F55707" w:rsidP="00251419">
      <w:pPr>
        <w:pStyle w:val="aa"/>
        <w:numPr>
          <w:ilvl w:val="1"/>
          <w:numId w:val="2"/>
        </w:numPr>
        <w:spacing w:after="0" w:line="276" w:lineRule="auto"/>
        <w:ind w:left="0" w:firstLine="0"/>
        <w:jc w:val="both"/>
        <w:outlineLvl w:val="1"/>
        <w:rPr>
          <w:rFonts w:ascii="Times New Roman" w:hAnsi="Times New Roman" w:cs="Times New Roman"/>
          <w:b/>
          <w:sz w:val="24"/>
          <w:szCs w:val="24"/>
          <w:lang w:val="ro-MD"/>
        </w:rPr>
      </w:pPr>
      <w:r w:rsidRPr="00DD5F1D">
        <w:rPr>
          <w:rFonts w:ascii="Times New Roman" w:hAnsi="Times New Roman" w:cs="Times New Roman"/>
          <w:b/>
          <w:sz w:val="24"/>
          <w:szCs w:val="24"/>
          <w:lang w:val="ro-MD"/>
        </w:rPr>
        <w:t>Rezultatele verificării cheltuielilor BASS aferente asigurării dreptului la ind</w:t>
      </w:r>
      <w:r w:rsidR="00AE311C" w:rsidRPr="00DD5F1D">
        <w:rPr>
          <w:rFonts w:ascii="Times New Roman" w:hAnsi="Times New Roman" w:cs="Times New Roman"/>
          <w:b/>
          <w:sz w:val="24"/>
          <w:szCs w:val="24"/>
          <w:lang w:val="ro-MD"/>
        </w:rPr>
        <w:t xml:space="preserve">emnizații de maternitate nu au stabilit </w:t>
      </w:r>
      <w:r w:rsidRPr="00DD5F1D">
        <w:rPr>
          <w:rFonts w:ascii="Times New Roman" w:hAnsi="Times New Roman" w:cs="Times New Roman"/>
          <w:b/>
          <w:sz w:val="24"/>
          <w:szCs w:val="24"/>
          <w:lang w:val="ro-MD"/>
        </w:rPr>
        <w:t xml:space="preserve">devieri în aspectul evaluării, înregistrării şi raportării datelor. Totodată, depășirea termenului de stabilire a indemnizației în unele cazuri a determinat achitarea prestației în termen depășit de la 1 zi până la 70 </w:t>
      </w:r>
      <w:r w:rsidR="00C87903" w:rsidRPr="00DD5F1D">
        <w:rPr>
          <w:rFonts w:ascii="Times New Roman" w:hAnsi="Times New Roman" w:cs="Times New Roman"/>
          <w:b/>
          <w:sz w:val="24"/>
          <w:szCs w:val="24"/>
          <w:lang w:val="ro-MD"/>
        </w:rPr>
        <w:t xml:space="preserve">de </w:t>
      </w:r>
      <w:r w:rsidRPr="00DD5F1D">
        <w:rPr>
          <w:rFonts w:ascii="Times New Roman" w:hAnsi="Times New Roman" w:cs="Times New Roman"/>
          <w:b/>
          <w:sz w:val="24"/>
          <w:szCs w:val="24"/>
          <w:lang w:val="ro-MD"/>
        </w:rPr>
        <w:t>zile</w:t>
      </w:r>
      <w:r w:rsidR="00C87903" w:rsidRPr="00DD5F1D">
        <w:rPr>
          <w:rFonts w:ascii="Times New Roman" w:hAnsi="Times New Roman" w:cs="Times New Roman"/>
          <w:b/>
          <w:sz w:val="24"/>
          <w:szCs w:val="24"/>
          <w:lang w:val="ro-MD"/>
        </w:rPr>
        <w:t>.</w:t>
      </w:r>
    </w:p>
    <w:p w14:paraId="3910AD75" w14:textId="433EA831" w:rsidR="00F55707" w:rsidRPr="00DD5F1D" w:rsidRDefault="00F55707" w:rsidP="005B7F0E">
      <w:pPr>
        <w:spacing w:before="120"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În </w:t>
      </w:r>
      <w:r w:rsidR="0067433A" w:rsidRPr="00DD5F1D">
        <w:rPr>
          <w:rFonts w:ascii="Times New Roman" w:hAnsi="Times New Roman" w:cs="Times New Roman"/>
          <w:sz w:val="24"/>
          <w:szCs w:val="24"/>
          <w:lang w:val="ro-MD"/>
        </w:rPr>
        <w:t xml:space="preserve">urma efectuării </w:t>
      </w:r>
      <w:r w:rsidR="00B37B70">
        <w:rPr>
          <w:rFonts w:ascii="Times New Roman" w:hAnsi="Times New Roman" w:cs="Times New Roman"/>
          <w:sz w:val="24"/>
          <w:szCs w:val="24"/>
          <w:lang w:val="ro-MD"/>
        </w:rPr>
        <w:t xml:space="preserve">procedurilor de </w:t>
      </w:r>
      <w:r w:rsidRPr="00DD5F1D">
        <w:rPr>
          <w:rFonts w:ascii="Times New Roman" w:hAnsi="Times New Roman" w:cs="Times New Roman"/>
          <w:sz w:val="24"/>
          <w:szCs w:val="24"/>
          <w:lang w:val="ro-MD"/>
        </w:rPr>
        <w:t>audit</w:t>
      </w:r>
      <w:r w:rsidRPr="00DD5F1D">
        <w:rPr>
          <w:rStyle w:val="a5"/>
          <w:rFonts w:ascii="Times New Roman" w:hAnsi="Times New Roman" w:cs="Times New Roman"/>
          <w:sz w:val="24"/>
          <w:szCs w:val="24"/>
          <w:lang w:val="ro-MD"/>
        </w:rPr>
        <w:footnoteReference w:id="103"/>
      </w:r>
      <w:r w:rsidRPr="00DD5F1D">
        <w:rPr>
          <w:rFonts w:ascii="Times New Roman" w:hAnsi="Times New Roman" w:cs="Times New Roman"/>
          <w:sz w:val="24"/>
          <w:szCs w:val="24"/>
          <w:lang w:val="ro-MD"/>
        </w:rPr>
        <w:t xml:space="preserve">, au fost identificate 102 decizii de stabilire </w:t>
      </w:r>
      <w:r w:rsidR="00B37B70">
        <w:rPr>
          <w:rFonts w:ascii="Times New Roman" w:hAnsi="Times New Roman" w:cs="Times New Roman"/>
          <w:sz w:val="24"/>
          <w:szCs w:val="24"/>
          <w:lang w:val="ro-MD"/>
        </w:rPr>
        <w:t xml:space="preserve">a indemnizației </w:t>
      </w:r>
      <w:r w:rsidRPr="00DD5F1D">
        <w:rPr>
          <w:rFonts w:ascii="Times New Roman" w:hAnsi="Times New Roman" w:cs="Times New Roman"/>
          <w:sz w:val="24"/>
          <w:szCs w:val="24"/>
          <w:lang w:val="ro-MD"/>
        </w:rPr>
        <w:t xml:space="preserve">cu depășirea termenului regulamentar, de la 1 zi </w:t>
      </w:r>
      <w:r w:rsidR="00B52AE1" w:rsidRPr="00DD5F1D">
        <w:rPr>
          <w:rFonts w:ascii="Times New Roman" w:hAnsi="Times New Roman" w:cs="Times New Roman"/>
          <w:sz w:val="24"/>
          <w:szCs w:val="24"/>
          <w:lang w:val="ro-MD"/>
        </w:rPr>
        <w:t>până</w:t>
      </w:r>
      <w:r w:rsidRPr="00DD5F1D">
        <w:rPr>
          <w:rFonts w:ascii="Times New Roman" w:hAnsi="Times New Roman" w:cs="Times New Roman"/>
          <w:sz w:val="24"/>
          <w:szCs w:val="24"/>
          <w:lang w:val="ro-MD"/>
        </w:rPr>
        <w:t xml:space="preserve"> la 70 de zile, ceea ce a afectat achitarea prestației în sumă de 4</w:t>
      </w:r>
      <w:r w:rsidR="00371338"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706,4 mii lei. </w:t>
      </w:r>
      <w:r w:rsidR="00AE311C" w:rsidRPr="00DD5F1D">
        <w:rPr>
          <w:rFonts w:ascii="Times New Roman" w:hAnsi="Times New Roman" w:cs="Times New Roman"/>
          <w:sz w:val="24"/>
          <w:szCs w:val="24"/>
          <w:lang w:val="ro-MD"/>
        </w:rPr>
        <w:t>Potrivit</w:t>
      </w:r>
      <w:r w:rsidRPr="00DD5F1D">
        <w:rPr>
          <w:rFonts w:ascii="Times New Roman" w:hAnsi="Times New Roman" w:cs="Times New Roman"/>
          <w:sz w:val="24"/>
          <w:szCs w:val="24"/>
          <w:lang w:val="ro-MD"/>
        </w:rPr>
        <w:t xml:space="preserve"> motivațiilor CNAS, în 34</w:t>
      </w:r>
      <w:r w:rsidR="00A813FD" w:rsidRPr="00DD5F1D">
        <w:rPr>
          <w:rFonts w:ascii="Times New Roman" w:hAnsi="Times New Roman" w:cs="Times New Roman"/>
          <w:sz w:val="24"/>
          <w:szCs w:val="24"/>
          <w:lang w:val="ro-MD"/>
        </w:rPr>
        <w:t xml:space="preserve"> de</w:t>
      </w:r>
      <w:r w:rsidRPr="00DD5F1D">
        <w:rPr>
          <w:rFonts w:ascii="Times New Roman" w:hAnsi="Times New Roman" w:cs="Times New Roman"/>
          <w:sz w:val="24"/>
          <w:szCs w:val="24"/>
          <w:lang w:val="ro-MD"/>
        </w:rPr>
        <w:t xml:space="preserve"> cazuri, inițial la recepționarea datelor din certificatele medicale au fost emise și aprobate în termen decizii de refuz în stabilire. Ulterior, după prezentarea de către angajator a informației IPC21, dreptul persoanei la indemnizație a fost revizuit și indemnizația a fost stabilită în </w:t>
      </w:r>
      <w:r w:rsidR="00580148" w:rsidRPr="00DD5F1D">
        <w:rPr>
          <w:rFonts w:ascii="Times New Roman" w:hAnsi="Times New Roman" w:cs="Times New Roman"/>
          <w:sz w:val="24"/>
          <w:szCs w:val="24"/>
          <w:lang w:val="ro-MD"/>
        </w:rPr>
        <w:t>termen regulamentar</w:t>
      </w:r>
      <w:r w:rsidR="00580148" w:rsidRPr="00DD5F1D">
        <w:rPr>
          <w:rStyle w:val="a5"/>
          <w:rFonts w:ascii="Times New Roman" w:hAnsi="Times New Roman" w:cs="Times New Roman"/>
          <w:sz w:val="24"/>
          <w:szCs w:val="24"/>
          <w:lang w:val="ro-MD"/>
        </w:rPr>
        <w:footnoteReference w:id="104"/>
      </w:r>
      <w:r w:rsidR="00580148" w:rsidRPr="00DD5F1D">
        <w:rPr>
          <w:rFonts w:ascii="Times New Roman" w:hAnsi="Times New Roman" w:cs="Times New Roman"/>
          <w:sz w:val="24"/>
          <w:szCs w:val="24"/>
          <w:lang w:val="ro-MD"/>
        </w:rPr>
        <w:t xml:space="preserve"> în </w:t>
      </w:r>
      <w:r w:rsidRPr="00DD5F1D">
        <w:rPr>
          <w:rFonts w:ascii="Times New Roman" w:hAnsi="Times New Roman" w:cs="Times New Roman"/>
          <w:sz w:val="24"/>
          <w:szCs w:val="24"/>
          <w:lang w:val="ro-MD"/>
        </w:rPr>
        <w:t>baza informații</w:t>
      </w:r>
      <w:r w:rsidR="00A813FD" w:rsidRPr="00DD5F1D">
        <w:rPr>
          <w:rFonts w:ascii="Times New Roman" w:hAnsi="Times New Roman" w:cs="Times New Roman"/>
          <w:sz w:val="24"/>
          <w:szCs w:val="24"/>
          <w:lang w:val="ro-MD"/>
        </w:rPr>
        <w:t>lor</w:t>
      </w:r>
      <w:r w:rsidRPr="00DD5F1D">
        <w:rPr>
          <w:rFonts w:ascii="Times New Roman" w:hAnsi="Times New Roman" w:cs="Times New Roman"/>
          <w:sz w:val="24"/>
          <w:szCs w:val="24"/>
          <w:lang w:val="ro-MD"/>
        </w:rPr>
        <w:t xml:space="preserve"> din certificatele medicale transmise de instituția medicală inițial. Totodată, în 49 </w:t>
      </w:r>
      <w:r w:rsidR="00A813FD"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cazuri</w:t>
      </w:r>
      <w:r w:rsidR="00A813FD"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termenul de examinare a fost depășit din </w:t>
      </w:r>
      <w:r w:rsidR="00A813FD" w:rsidRPr="00DD5F1D">
        <w:rPr>
          <w:rFonts w:ascii="Times New Roman" w:hAnsi="Times New Roman" w:cs="Times New Roman"/>
          <w:sz w:val="24"/>
          <w:szCs w:val="24"/>
          <w:lang w:val="ro-MD"/>
        </w:rPr>
        <w:t>cauza</w:t>
      </w:r>
      <w:r w:rsidRPr="00DD5F1D">
        <w:rPr>
          <w:rFonts w:ascii="Times New Roman" w:hAnsi="Times New Roman" w:cs="Times New Roman"/>
          <w:sz w:val="24"/>
          <w:szCs w:val="24"/>
          <w:lang w:val="ro-MD"/>
        </w:rPr>
        <w:t xml:space="preserve"> apariției deficiențelor tehnice în SI al CNAS și indemnizația a fost stabilită după </w:t>
      </w:r>
      <w:r w:rsidR="00A813FD" w:rsidRPr="00DD5F1D">
        <w:rPr>
          <w:rFonts w:ascii="Times New Roman" w:hAnsi="Times New Roman" w:cs="Times New Roman"/>
          <w:sz w:val="24"/>
          <w:szCs w:val="24"/>
          <w:lang w:val="ro-MD"/>
        </w:rPr>
        <w:t xml:space="preserve">soluționarea </w:t>
      </w:r>
      <w:r w:rsidRPr="00DD5F1D">
        <w:rPr>
          <w:rFonts w:ascii="Times New Roman" w:hAnsi="Times New Roman" w:cs="Times New Roman"/>
          <w:sz w:val="24"/>
          <w:szCs w:val="24"/>
          <w:lang w:val="ro-MD"/>
        </w:rPr>
        <w:t xml:space="preserve">problemei de către elaboratori. La fel, în 19 cazuri, termenul a fost depășit din </w:t>
      </w:r>
      <w:r w:rsidR="00A813FD" w:rsidRPr="00DD5F1D">
        <w:rPr>
          <w:rFonts w:ascii="Times New Roman" w:hAnsi="Times New Roman" w:cs="Times New Roman"/>
          <w:sz w:val="24"/>
          <w:szCs w:val="24"/>
          <w:lang w:val="ro-MD"/>
        </w:rPr>
        <w:t xml:space="preserve">cauza </w:t>
      </w:r>
      <w:r w:rsidRPr="00DD5F1D">
        <w:rPr>
          <w:rFonts w:ascii="Times New Roman" w:hAnsi="Times New Roman" w:cs="Times New Roman"/>
          <w:sz w:val="24"/>
          <w:szCs w:val="24"/>
          <w:lang w:val="ro-MD"/>
        </w:rPr>
        <w:t xml:space="preserve">prezentării </w:t>
      </w:r>
      <w:r w:rsidR="00A813FD" w:rsidRPr="00DD5F1D">
        <w:rPr>
          <w:rFonts w:ascii="Times New Roman" w:hAnsi="Times New Roman" w:cs="Times New Roman"/>
          <w:sz w:val="24"/>
          <w:szCs w:val="24"/>
          <w:lang w:val="ro-MD"/>
        </w:rPr>
        <w:t xml:space="preserve">cu întârziere </w:t>
      </w:r>
      <w:r w:rsidRPr="00DD5F1D">
        <w:rPr>
          <w:rFonts w:ascii="Times New Roman" w:hAnsi="Times New Roman" w:cs="Times New Roman"/>
          <w:sz w:val="24"/>
          <w:szCs w:val="24"/>
          <w:lang w:val="ro-MD"/>
        </w:rPr>
        <w:t>de către angajatori a informații</w:t>
      </w:r>
      <w:r w:rsidR="00A813FD" w:rsidRPr="00DD5F1D">
        <w:rPr>
          <w:rFonts w:ascii="Times New Roman" w:hAnsi="Times New Roman" w:cs="Times New Roman"/>
          <w:sz w:val="24"/>
          <w:szCs w:val="24"/>
          <w:lang w:val="ro-MD"/>
        </w:rPr>
        <w:t>lor</w:t>
      </w:r>
      <w:r w:rsidRPr="00DD5F1D">
        <w:rPr>
          <w:rFonts w:ascii="Times New Roman" w:hAnsi="Times New Roman" w:cs="Times New Roman"/>
          <w:sz w:val="24"/>
          <w:szCs w:val="24"/>
          <w:lang w:val="ro-MD"/>
        </w:rPr>
        <w:t xml:space="preserve"> necesare pentru stabilirea indemnizației.</w:t>
      </w:r>
    </w:p>
    <w:p w14:paraId="4FDB3D71" w14:textId="77777777" w:rsidR="00F55707" w:rsidRPr="00DD5F1D" w:rsidRDefault="00F55707" w:rsidP="005B7F0E">
      <w:pPr>
        <w:spacing w:before="120" w:after="12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Ca urmare a examinării deciziilor de stabilire, în aspectul îndeplinirii de către beneficiar a condițiilor de stabilire a indemnizației de maternitate, corectitudinii stabilirii cuantumului indemnizației și justificării perioadei luate în calcul, auditul </w:t>
      </w:r>
      <w:r w:rsidRPr="00DD5F1D">
        <w:rPr>
          <w:rFonts w:ascii="Times New Roman" w:hAnsi="Times New Roman" w:cs="Times New Roman"/>
          <w:iCs/>
          <w:sz w:val="24"/>
          <w:szCs w:val="24"/>
          <w:lang w:val="ro-MD"/>
        </w:rPr>
        <w:t>nu a depistat neconformități</w:t>
      </w:r>
      <w:r w:rsidRPr="00DD5F1D">
        <w:rPr>
          <w:rFonts w:ascii="Times New Roman" w:hAnsi="Times New Roman" w:cs="Times New Roman"/>
          <w:sz w:val="24"/>
          <w:szCs w:val="24"/>
          <w:lang w:val="ro-MD"/>
        </w:rPr>
        <w:t>.</w:t>
      </w:r>
    </w:p>
    <w:p w14:paraId="28D0ED05" w14:textId="550CA813" w:rsidR="00F55707" w:rsidRPr="00DD5F1D" w:rsidRDefault="00F55707" w:rsidP="00A035C9">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Analiza în dinamică a </w:t>
      </w:r>
      <w:r w:rsidR="00A813FD" w:rsidRPr="00DD5F1D">
        <w:rPr>
          <w:rFonts w:ascii="Times New Roman" w:hAnsi="Times New Roman" w:cs="Times New Roman"/>
          <w:sz w:val="24"/>
          <w:szCs w:val="24"/>
          <w:lang w:val="ro-MD"/>
        </w:rPr>
        <w:t>n</w:t>
      </w:r>
      <w:r w:rsidRPr="00DD5F1D">
        <w:rPr>
          <w:rFonts w:ascii="Times New Roman" w:hAnsi="Times New Roman" w:cs="Times New Roman"/>
          <w:sz w:val="24"/>
          <w:szCs w:val="24"/>
          <w:lang w:val="ro-MD"/>
        </w:rPr>
        <w:t xml:space="preserve">umărului de beneficiari de indemnizații de maternitate și </w:t>
      </w:r>
      <w:r w:rsidR="00A813FD" w:rsidRPr="00DD5F1D">
        <w:rPr>
          <w:rFonts w:ascii="Times New Roman" w:hAnsi="Times New Roman" w:cs="Times New Roman"/>
          <w:sz w:val="24"/>
          <w:szCs w:val="24"/>
          <w:lang w:val="ro-MD"/>
        </w:rPr>
        <w:t xml:space="preserve">a </w:t>
      </w:r>
      <w:r w:rsidRPr="00DD5F1D">
        <w:rPr>
          <w:rFonts w:ascii="Times New Roman" w:hAnsi="Times New Roman" w:cs="Times New Roman"/>
          <w:sz w:val="24"/>
          <w:szCs w:val="24"/>
          <w:lang w:val="ro-MD"/>
        </w:rPr>
        <w:t>cheltuielil</w:t>
      </w:r>
      <w:r w:rsidR="00A813FD" w:rsidRPr="00DD5F1D">
        <w:rPr>
          <w:rFonts w:ascii="Times New Roman" w:hAnsi="Times New Roman" w:cs="Times New Roman"/>
          <w:sz w:val="24"/>
          <w:szCs w:val="24"/>
          <w:lang w:val="ro-MD"/>
        </w:rPr>
        <w:t>or</w:t>
      </w:r>
      <w:r w:rsidRPr="00DD5F1D">
        <w:rPr>
          <w:rFonts w:ascii="Times New Roman" w:hAnsi="Times New Roman" w:cs="Times New Roman"/>
          <w:sz w:val="24"/>
          <w:szCs w:val="24"/>
          <w:lang w:val="ro-MD"/>
        </w:rPr>
        <w:t xml:space="preserve"> efective din BASS pentru asigurarea dreptului la indemnizație de maternitate pe parcursul anilor 2021-2023 este redat</w:t>
      </w:r>
      <w:r w:rsidR="00A813FD" w:rsidRPr="00DD5F1D">
        <w:rPr>
          <w:rFonts w:ascii="Times New Roman" w:hAnsi="Times New Roman" w:cs="Times New Roman"/>
          <w:sz w:val="24"/>
          <w:szCs w:val="24"/>
          <w:lang w:val="ro-MD"/>
        </w:rPr>
        <w:t>ă</w:t>
      </w:r>
      <w:r w:rsidRPr="00DD5F1D">
        <w:rPr>
          <w:rFonts w:ascii="Times New Roman" w:hAnsi="Times New Roman" w:cs="Times New Roman"/>
          <w:sz w:val="24"/>
          <w:szCs w:val="24"/>
          <w:lang w:val="ro-MD"/>
        </w:rPr>
        <w:t xml:space="preserve"> în tabelul de mai jos: </w:t>
      </w:r>
    </w:p>
    <w:p w14:paraId="7221B1E7" w14:textId="45FFADBF" w:rsidR="00371338" w:rsidRPr="00DD5F1D" w:rsidRDefault="00371338" w:rsidP="008B60FF">
      <w:pPr>
        <w:spacing w:after="0"/>
        <w:jc w:val="right"/>
        <w:rPr>
          <w:rFonts w:ascii="Times New Roman" w:hAnsi="Times New Roman" w:cs="Times New Roman"/>
          <w:b/>
          <w:lang w:val="ro-MD"/>
        </w:rPr>
      </w:pPr>
      <w:r w:rsidRPr="00DD5F1D">
        <w:rPr>
          <w:rFonts w:ascii="Times New Roman" w:hAnsi="Times New Roman" w:cs="Times New Roman"/>
          <w:b/>
          <w:lang w:val="ro-MD"/>
        </w:rPr>
        <w:t>Tabel</w:t>
      </w:r>
      <w:r w:rsidR="00B52AE1" w:rsidRPr="00DD5F1D">
        <w:rPr>
          <w:rFonts w:ascii="Times New Roman" w:hAnsi="Times New Roman" w:cs="Times New Roman"/>
          <w:b/>
          <w:lang w:val="ro-MD"/>
        </w:rPr>
        <w:t>ul</w:t>
      </w:r>
      <w:r w:rsidRPr="00DD5F1D">
        <w:rPr>
          <w:rFonts w:ascii="Times New Roman" w:hAnsi="Times New Roman" w:cs="Times New Roman"/>
          <w:b/>
          <w:lang w:val="ro-MD"/>
        </w:rPr>
        <w:t xml:space="preserve"> nr.</w:t>
      </w:r>
      <w:r w:rsidR="00BA23EA" w:rsidRPr="00DD5F1D">
        <w:rPr>
          <w:rFonts w:ascii="Times New Roman" w:hAnsi="Times New Roman" w:cs="Times New Roman"/>
          <w:b/>
          <w:lang w:val="ro-MD"/>
        </w:rPr>
        <w:t xml:space="preserve"> 1</w:t>
      </w:r>
      <w:r w:rsidR="0021536C" w:rsidRPr="00DD5F1D">
        <w:rPr>
          <w:rFonts w:ascii="Times New Roman" w:hAnsi="Times New Roman" w:cs="Times New Roman"/>
          <w:b/>
          <w:lang w:val="ro-MD"/>
        </w:rPr>
        <w:t>9</w:t>
      </w:r>
    </w:p>
    <w:p w14:paraId="11B2EA00" w14:textId="77777777" w:rsidR="00371338" w:rsidRPr="00DD5F1D" w:rsidRDefault="00371338" w:rsidP="00371338">
      <w:pPr>
        <w:jc w:val="center"/>
        <w:rPr>
          <w:rFonts w:ascii="Times New Roman" w:hAnsi="Times New Roman" w:cs="Times New Roman"/>
          <w:b/>
          <w:lang w:val="ro-MD"/>
        </w:rPr>
      </w:pPr>
      <w:r w:rsidRPr="00DD5F1D">
        <w:rPr>
          <w:rFonts w:ascii="Times New Roman" w:hAnsi="Times New Roman" w:cs="Times New Roman"/>
          <w:b/>
          <w:lang w:val="ro-MD"/>
        </w:rPr>
        <w:t>Dinamica numărului de beneficiari de indemnizații de maternitate și a cheltuielilor efective</w:t>
      </w:r>
    </w:p>
    <w:tbl>
      <w:tblPr>
        <w:tblStyle w:val="af1"/>
        <w:tblW w:w="5000" w:type="pct"/>
        <w:jc w:val="center"/>
        <w:tblLook w:val="04A0" w:firstRow="1" w:lastRow="0" w:firstColumn="1" w:lastColumn="0" w:noHBand="0" w:noVBand="1"/>
      </w:tblPr>
      <w:tblGrid>
        <w:gridCol w:w="3341"/>
        <w:gridCol w:w="3341"/>
        <w:gridCol w:w="3342"/>
      </w:tblGrid>
      <w:tr w:rsidR="00371338" w:rsidRPr="00DD5F1D" w14:paraId="07F31D7A" w14:textId="77777777" w:rsidTr="008B60FF">
        <w:trPr>
          <w:trHeight w:val="555"/>
          <w:jc w:val="center"/>
        </w:trPr>
        <w:tc>
          <w:tcPr>
            <w:tcW w:w="1666" w:type="pct"/>
            <w:vAlign w:val="center"/>
          </w:tcPr>
          <w:p w14:paraId="17C7B7E0" w14:textId="77777777" w:rsidR="00371338" w:rsidRPr="00DD5F1D" w:rsidRDefault="00371338" w:rsidP="008B60FF">
            <w:pPr>
              <w:jc w:val="center"/>
              <w:rPr>
                <w:rFonts w:ascii="Times New Roman" w:hAnsi="Times New Roman" w:cs="Times New Roman"/>
                <w:b/>
                <w:sz w:val="20"/>
                <w:szCs w:val="24"/>
                <w:lang w:val="ro-MD"/>
              </w:rPr>
            </w:pPr>
            <w:r w:rsidRPr="00DD5F1D">
              <w:rPr>
                <w:rFonts w:ascii="Times New Roman" w:hAnsi="Times New Roman" w:cs="Times New Roman"/>
                <w:b/>
                <w:sz w:val="20"/>
                <w:szCs w:val="24"/>
                <w:lang w:val="ro-MD"/>
              </w:rPr>
              <w:t>Anul</w:t>
            </w:r>
          </w:p>
        </w:tc>
        <w:tc>
          <w:tcPr>
            <w:tcW w:w="1666" w:type="pct"/>
            <w:vAlign w:val="center"/>
          </w:tcPr>
          <w:p w14:paraId="63E5D6DA" w14:textId="77777777" w:rsidR="00371338" w:rsidRPr="00DD5F1D" w:rsidRDefault="00371338" w:rsidP="008B60FF">
            <w:pPr>
              <w:jc w:val="center"/>
              <w:rPr>
                <w:rFonts w:ascii="Times New Roman" w:hAnsi="Times New Roman" w:cs="Times New Roman"/>
                <w:b/>
                <w:sz w:val="20"/>
                <w:szCs w:val="24"/>
                <w:lang w:val="ro-MD"/>
              </w:rPr>
            </w:pPr>
            <w:r w:rsidRPr="00DD5F1D">
              <w:rPr>
                <w:rFonts w:ascii="Times New Roman" w:hAnsi="Times New Roman" w:cs="Times New Roman"/>
                <w:b/>
                <w:sz w:val="20"/>
                <w:szCs w:val="24"/>
                <w:lang w:val="ro-MD"/>
              </w:rPr>
              <w:t>Număr de beneficiari</w:t>
            </w:r>
          </w:p>
        </w:tc>
        <w:tc>
          <w:tcPr>
            <w:tcW w:w="1667" w:type="pct"/>
            <w:vAlign w:val="center"/>
          </w:tcPr>
          <w:p w14:paraId="0370582B" w14:textId="77777777" w:rsidR="00371338" w:rsidRPr="00DD5F1D" w:rsidRDefault="00371338" w:rsidP="008B60FF">
            <w:pPr>
              <w:jc w:val="center"/>
              <w:rPr>
                <w:rFonts w:ascii="Times New Roman" w:hAnsi="Times New Roman" w:cs="Times New Roman"/>
                <w:b/>
                <w:sz w:val="20"/>
                <w:szCs w:val="24"/>
                <w:lang w:val="ro-MD"/>
              </w:rPr>
            </w:pPr>
            <w:r w:rsidRPr="00DD5F1D">
              <w:rPr>
                <w:rFonts w:ascii="Times New Roman" w:hAnsi="Times New Roman" w:cs="Times New Roman"/>
                <w:b/>
                <w:sz w:val="20"/>
                <w:szCs w:val="24"/>
                <w:lang w:val="ro-MD"/>
              </w:rPr>
              <w:t xml:space="preserve">Cheltuieli efective </w:t>
            </w:r>
            <w:r w:rsidRPr="00DD5F1D">
              <w:rPr>
                <w:rFonts w:ascii="Times New Roman" w:hAnsi="Times New Roman" w:cs="Times New Roman"/>
                <w:b/>
                <w:i/>
                <w:sz w:val="20"/>
                <w:szCs w:val="24"/>
                <w:lang w:val="ro-MD"/>
              </w:rPr>
              <w:t>(mil. lei)</w:t>
            </w:r>
          </w:p>
        </w:tc>
      </w:tr>
      <w:tr w:rsidR="000D40B3" w:rsidRPr="00DD5F1D" w14:paraId="174853F5" w14:textId="77777777" w:rsidTr="00B52AE1">
        <w:trPr>
          <w:jc w:val="center"/>
        </w:trPr>
        <w:tc>
          <w:tcPr>
            <w:tcW w:w="1666" w:type="pct"/>
          </w:tcPr>
          <w:p w14:paraId="14BE791C" w14:textId="77777777" w:rsidR="00371338" w:rsidRPr="00DD5F1D" w:rsidRDefault="00371338" w:rsidP="00B52AE1">
            <w:pPr>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2021</w:t>
            </w:r>
          </w:p>
        </w:tc>
        <w:tc>
          <w:tcPr>
            <w:tcW w:w="1666" w:type="pct"/>
          </w:tcPr>
          <w:p w14:paraId="6A38EBF4" w14:textId="77777777" w:rsidR="00371338" w:rsidRPr="00DD5F1D" w:rsidRDefault="00371338" w:rsidP="008B60FF">
            <w:pPr>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18 949</w:t>
            </w:r>
          </w:p>
        </w:tc>
        <w:tc>
          <w:tcPr>
            <w:tcW w:w="1667" w:type="pct"/>
          </w:tcPr>
          <w:p w14:paraId="24C0E61B" w14:textId="77777777" w:rsidR="00371338" w:rsidRPr="00DD5F1D" w:rsidRDefault="00371338" w:rsidP="008B60FF">
            <w:pPr>
              <w:jc w:val="right"/>
              <w:rPr>
                <w:rFonts w:ascii="Times New Roman" w:hAnsi="Times New Roman" w:cs="Times New Roman"/>
                <w:sz w:val="20"/>
                <w:szCs w:val="24"/>
                <w:lang w:val="ro-MD"/>
              </w:rPr>
            </w:pPr>
            <w:r w:rsidRPr="00DD5F1D">
              <w:rPr>
                <w:rFonts w:ascii="Times New Roman" w:eastAsia="Times New Roman" w:hAnsi="Times New Roman" w:cs="Times New Roman"/>
                <w:sz w:val="20"/>
                <w:szCs w:val="24"/>
                <w:lang w:val="ro-MD"/>
              </w:rPr>
              <w:t>626,1</w:t>
            </w:r>
          </w:p>
        </w:tc>
      </w:tr>
      <w:tr w:rsidR="000D40B3" w:rsidRPr="00DD5F1D" w14:paraId="2CFEA636" w14:textId="77777777" w:rsidTr="00B52AE1">
        <w:trPr>
          <w:jc w:val="center"/>
        </w:trPr>
        <w:tc>
          <w:tcPr>
            <w:tcW w:w="1666" w:type="pct"/>
          </w:tcPr>
          <w:p w14:paraId="4CC98FAE" w14:textId="77777777" w:rsidR="00371338" w:rsidRPr="00DD5F1D" w:rsidRDefault="00371338" w:rsidP="00B52AE1">
            <w:pPr>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2022</w:t>
            </w:r>
          </w:p>
        </w:tc>
        <w:tc>
          <w:tcPr>
            <w:tcW w:w="1666" w:type="pct"/>
          </w:tcPr>
          <w:p w14:paraId="6B99F075" w14:textId="77777777" w:rsidR="00371338" w:rsidRPr="00DD5F1D" w:rsidRDefault="00371338" w:rsidP="008B60FF">
            <w:pPr>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17 517</w:t>
            </w:r>
          </w:p>
        </w:tc>
        <w:tc>
          <w:tcPr>
            <w:tcW w:w="1667" w:type="pct"/>
          </w:tcPr>
          <w:p w14:paraId="0BAAA813" w14:textId="77777777" w:rsidR="00371338" w:rsidRPr="00DD5F1D" w:rsidRDefault="00371338" w:rsidP="008B60FF">
            <w:pPr>
              <w:jc w:val="right"/>
              <w:rPr>
                <w:rFonts w:ascii="Times New Roman" w:hAnsi="Times New Roman" w:cs="Times New Roman"/>
                <w:sz w:val="20"/>
                <w:szCs w:val="24"/>
                <w:lang w:val="ro-MD"/>
              </w:rPr>
            </w:pPr>
            <w:r w:rsidRPr="00DD5F1D">
              <w:rPr>
                <w:rFonts w:ascii="Times New Roman" w:eastAsia="Times New Roman" w:hAnsi="Times New Roman" w:cs="Times New Roman"/>
                <w:sz w:val="20"/>
                <w:szCs w:val="24"/>
                <w:lang w:val="ro-MD"/>
              </w:rPr>
              <w:t>663,7</w:t>
            </w:r>
          </w:p>
        </w:tc>
      </w:tr>
      <w:tr w:rsidR="000D40B3" w:rsidRPr="00DD5F1D" w14:paraId="4806B2B6" w14:textId="77777777" w:rsidTr="00B52AE1">
        <w:trPr>
          <w:jc w:val="center"/>
        </w:trPr>
        <w:tc>
          <w:tcPr>
            <w:tcW w:w="1666" w:type="pct"/>
          </w:tcPr>
          <w:p w14:paraId="403B4022" w14:textId="77777777" w:rsidR="00371338" w:rsidRPr="00DD5F1D" w:rsidRDefault="00371338" w:rsidP="00B52AE1">
            <w:pPr>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2023</w:t>
            </w:r>
          </w:p>
        </w:tc>
        <w:tc>
          <w:tcPr>
            <w:tcW w:w="1666" w:type="pct"/>
          </w:tcPr>
          <w:p w14:paraId="3C181C03" w14:textId="77777777" w:rsidR="00371338" w:rsidRPr="00DD5F1D" w:rsidRDefault="00371338" w:rsidP="008B60FF">
            <w:pPr>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16 242</w:t>
            </w:r>
          </w:p>
        </w:tc>
        <w:tc>
          <w:tcPr>
            <w:tcW w:w="1667" w:type="pct"/>
          </w:tcPr>
          <w:p w14:paraId="03F779C2" w14:textId="77777777" w:rsidR="00371338" w:rsidRPr="00DD5F1D" w:rsidRDefault="00371338" w:rsidP="008B60FF">
            <w:pPr>
              <w:jc w:val="right"/>
              <w:rPr>
                <w:rFonts w:ascii="Times New Roman" w:hAnsi="Times New Roman" w:cs="Times New Roman"/>
                <w:sz w:val="20"/>
                <w:szCs w:val="24"/>
                <w:lang w:val="ro-MD"/>
              </w:rPr>
            </w:pPr>
            <w:r w:rsidRPr="00DD5F1D">
              <w:rPr>
                <w:rFonts w:ascii="Times New Roman" w:eastAsia="Times New Roman" w:hAnsi="Times New Roman" w:cs="Times New Roman"/>
                <w:sz w:val="20"/>
                <w:szCs w:val="24"/>
                <w:lang w:val="ro-MD"/>
              </w:rPr>
              <w:t>742,8</w:t>
            </w:r>
          </w:p>
        </w:tc>
      </w:tr>
      <w:tr w:rsidR="000D40B3" w:rsidRPr="00DD5F1D" w14:paraId="026E9151" w14:textId="77777777" w:rsidTr="00B52AE1">
        <w:trPr>
          <w:jc w:val="center"/>
        </w:trPr>
        <w:tc>
          <w:tcPr>
            <w:tcW w:w="1666" w:type="pct"/>
          </w:tcPr>
          <w:p w14:paraId="4402C28A" w14:textId="77777777" w:rsidR="00371338" w:rsidRPr="00DD5F1D" w:rsidRDefault="00371338" w:rsidP="00B52AE1">
            <w:pPr>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Diferența 2022/2021</w:t>
            </w:r>
          </w:p>
        </w:tc>
        <w:tc>
          <w:tcPr>
            <w:tcW w:w="1666" w:type="pct"/>
          </w:tcPr>
          <w:p w14:paraId="38EDFA7B" w14:textId="77777777" w:rsidR="00371338" w:rsidRPr="00DD5F1D" w:rsidRDefault="00371338" w:rsidP="008B60FF">
            <w:pPr>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-1 432</w:t>
            </w:r>
          </w:p>
        </w:tc>
        <w:tc>
          <w:tcPr>
            <w:tcW w:w="1667" w:type="pct"/>
          </w:tcPr>
          <w:p w14:paraId="1CAF0C10" w14:textId="77777777" w:rsidR="00371338" w:rsidRPr="00DD5F1D" w:rsidRDefault="00371338" w:rsidP="008B60FF">
            <w:pPr>
              <w:jc w:val="right"/>
              <w:rPr>
                <w:rFonts w:ascii="Times New Roman" w:hAnsi="Times New Roman" w:cs="Times New Roman"/>
                <w:sz w:val="20"/>
                <w:szCs w:val="24"/>
                <w:lang w:val="ro-MD"/>
              </w:rPr>
            </w:pPr>
            <w:r w:rsidRPr="00DD5F1D">
              <w:rPr>
                <w:rFonts w:ascii="Times New Roman" w:eastAsia="Times New Roman" w:hAnsi="Times New Roman" w:cs="Times New Roman"/>
                <w:sz w:val="20"/>
                <w:szCs w:val="24"/>
                <w:lang w:val="ro-MD"/>
              </w:rPr>
              <w:t>+37,6</w:t>
            </w:r>
          </w:p>
        </w:tc>
      </w:tr>
      <w:tr w:rsidR="00371338" w:rsidRPr="00DD5F1D" w14:paraId="7E5FF269" w14:textId="77777777" w:rsidTr="00B52AE1">
        <w:trPr>
          <w:jc w:val="center"/>
        </w:trPr>
        <w:tc>
          <w:tcPr>
            <w:tcW w:w="1666" w:type="pct"/>
          </w:tcPr>
          <w:p w14:paraId="66C9792F" w14:textId="77777777" w:rsidR="00371338" w:rsidRPr="00DD5F1D" w:rsidRDefault="00371338" w:rsidP="00B52AE1">
            <w:pPr>
              <w:jc w:val="center"/>
              <w:rPr>
                <w:rFonts w:ascii="Times New Roman" w:hAnsi="Times New Roman" w:cs="Times New Roman"/>
                <w:sz w:val="20"/>
                <w:szCs w:val="24"/>
                <w:lang w:val="ro-MD"/>
              </w:rPr>
            </w:pPr>
            <w:r w:rsidRPr="00DD5F1D">
              <w:rPr>
                <w:rFonts w:ascii="Times New Roman" w:hAnsi="Times New Roman" w:cs="Times New Roman"/>
                <w:sz w:val="20"/>
                <w:szCs w:val="24"/>
                <w:lang w:val="ro-MD"/>
              </w:rPr>
              <w:t>Diferența 2023/2022</w:t>
            </w:r>
          </w:p>
        </w:tc>
        <w:tc>
          <w:tcPr>
            <w:tcW w:w="1666" w:type="pct"/>
          </w:tcPr>
          <w:p w14:paraId="5A3AF916" w14:textId="77777777" w:rsidR="00371338" w:rsidRPr="00DD5F1D" w:rsidRDefault="00371338" w:rsidP="008B60FF">
            <w:pPr>
              <w:jc w:val="right"/>
              <w:rPr>
                <w:rFonts w:ascii="Times New Roman" w:hAnsi="Times New Roman" w:cs="Times New Roman"/>
                <w:sz w:val="20"/>
                <w:szCs w:val="24"/>
                <w:lang w:val="ro-MD"/>
              </w:rPr>
            </w:pPr>
            <w:r w:rsidRPr="00DD5F1D">
              <w:rPr>
                <w:rFonts w:ascii="Times New Roman" w:hAnsi="Times New Roman" w:cs="Times New Roman"/>
                <w:sz w:val="20"/>
                <w:szCs w:val="24"/>
                <w:lang w:val="ro-MD"/>
              </w:rPr>
              <w:t>-1 275</w:t>
            </w:r>
          </w:p>
        </w:tc>
        <w:tc>
          <w:tcPr>
            <w:tcW w:w="1667" w:type="pct"/>
          </w:tcPr>
          <w:p w14:paraId="237298E3" w14:textId="77777777" w:rsidR="00371338" w:rsidRPr="00DD5F1D" w:rsidRDefault="00371338" w:rsidP="008B60FF">
            <w:pPr>
              <w:jc w:val="right"/>
              <w:rPr>
                <w:rFonts w:ascii="Times New Roman" w:hAnsi="Times New Roman" w:cs="Times New Roman"/>
                <w:sz w:val="20"/>
                <w:szCs w:val="24"/>
                <w:lang w:val="ro-MD"/>
              </w:rPr>
            </w:pPr>
            <w:r w:rsidRPr="00DD5F1D">
              <w:rPr>
                <w:rFonts w:ascii="Times New Roman" w:eastAsia="Times New Roman" w:hAnsi="Times New Roman" w:cs="Times New Roman"/>
                <w:sz w:val="20"/>
                <w:szCs w:val="24"/>
                <w:lang w:val="ro-MD"/>
              </w:rPr>
              <w:t>+79,1</w:t>
            </w:r>
          </w:p>
        </w:tc>
      </w:tr>
    </w:tbl>
    <w:p w14:paraId="41E39DF5" w14:textId="589BD0BC" w:rsidR="00F55707" w:rsidRPr="00DD5F1D" w:rsidRDefault="00371338" w:rsidP="00F55707">
      <w:pPr>
        <w:rPr>
          <w:rFonts w:ascii="Times New Roman" w:hAnsi="Times New Roman" w:cs="Times New Roman"/>
          <w:sz w:val="24"/>
          <w:lang w:val="ro-MD"/>
        </w:rPr>
      </w:pPr>
      <w:r w:rsidRPr="00DD5F1D">
        <w:rPr>
          <w:rFonts w:ascii="Times New Roman" w:hAnsi="Times New Roman" w:cs="Times New Roman"/>
          <w:b/>
          <w:i/>
          <w:szCs w:val="24"/>
          <w:lang w:val="ro-MD"/>
        </w:rPr>
        <w:t>Sursa</w:t>
      </w:r>
      <w:r w:rsidRPr="00DD5F1D">
        <w:rPr>
          <w:rFonts w:ascii="Times New Roman" w:hAnsi="Times New Roman" w:cs="Times New Roman"/>
          <w:i/>
          <w:szCs w:val="24"/>
          <w:lang w:val="ro-MD"/>
        </w:rPr>
        <w:t>: Întocmit de audit în baza informațiilor din Formularul nr.5 CNAS, Formularul nr. 7 CNAS</w:t>
      </w:r>
      <w:r w:rsidR="00A813FD" w:rsidRPr="00DD5F1D">
        <w:rPr>
          <w:rFonts w:ascii="Times New Roman" w:hAnsi="Times New Roman" w:cs="Times New Roman"/>
          <w:i/>
          <w:szCs w:val="24"/>
          <w:lang w:val="ro-MD"/>
        </w:rPr>
        <w:t>.</w:t>
      </w:r>
    </w:p>
    <w:p w14:paraId="542F8490" w14:textId="2D792882" w:rsidR="00F55707" w:rsidRPr="00DD5F1D" w:rsidRDefault="00F55707" w:rsidP="00F55707">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Informați</w:t>
      </w:r>
      <w:r w:rsidR="00A813FD" w:rsidRPr="00DD5F1D">
        <w:rPr>
          <w:rFonts w:ascii="Times New Roman" w:hAnsi="Times New Roman" w:cs="Times New Roman"/>
          <w:sz w:val="24"/>
          <w:szCs w:val="24"/>
          <w:lang w:val="ro-MD"/>
        </w:rPr>
        <w:t>ile</w:t>
      </w:r>
      <w:r w:rsidRPr="00DD5F1D">
        <w:rPr>
          <w:rFonts w:ascii="Times New Roman" w:hAnsi="Times New Roman" w:cs="Times New Roman"/>
          <w:sz w:val="24"/>
          <w:szCs w:val="24"/>
          <w:lang w:val="ro-MD"/>
        </w:rPr>
        <w:t xml:space="preserve"> din tabel relevă că, </w:t>
      </w:r>
      <w:r w:rsidR="00B37B70" w:rsidRPr="00DD5F1D">
        <w:rPr>
          <w:rFonts w:ascii="Times New Roman" w:hAnsi="Times New Roman" w:cs="Times New Roman"/>
          <w:sz w:val="24"/>
          <w:szCs w:val="24"/>
          <w:lang w:val="ro-MD"/>
        </w:rPr>
        <w:t xml:space="preserve">deși în ultimii 3 ani </w:t>
      </w:r>
      <w:r w:rsidRPr="00DD5F1D">
        <w:rPr>
          <w:rFonts w:ascii="Times New Roman" w:hAnsi="Times New Roman" w:cs="Times New Roman"/>
          <w:sz w:val="24"/>
          <w:szCs w:val="24"/>
          <w:lang w:val="ro-MD"/>
        </w:rPr>
        <w:t>numărul beneficiarilor de indemnizații este în descreștere, cheltuielile efective a</w:t>
      </w:r>
      <w:r w:rsidR="00A813FD" w:rsidRPr="00DD5F1D">
        <w:rPr>
          <w:rFonts w:ascii="Times New Roman" w:hAnsi="Times New Roman" w:cs="Times New Roman"/>
          <w:sz w:val="24"/>
          <w:szCs w:val="24"/>
          <w:lang w:val="ro-MD"/>
        </w:rPr>
        <w:t>le</w:t>
      </w:r>
      <w:r w:rsidRPr="00DD5F1D">
        <w:rPr>
          <w:rFonts w:ascii="Times New Roman" w:hAnsi="Times New Roman" w:cs="Times New Roman"/>
          <w:sz w:val="24"/>
          <w:szCs w:val="24"/>
          <w:lang w:val="ro-MD"/>
        </w:rPr>
        <w:t xml:space="preserve"> acestui tip de prestație este în </w:t>
      </w:r>
      <w:r w:rsidR="00371338" w:rsidRPr="00DD5F1D">
        <w:rPr>
          <w:rFonts w:ascii="Times New Roman" w:hAnsi="Times New Roman" w:cs="Times New Roman"/>
          <w:sz w:val="24"/>
          <w:szCs w:val="24"/>
          <w:lang w:val="ro-MD"/>
        </w:rPr>
        <w:t xml:space="preserve">creștere. Creșterea de 79,1 mil. lei </w:t>
      </w:r>
      <w:r w:rsidRPr="00DD5F1D">
        <w:rPr>
          <w:rFonts w:ascii="Times New Roman" w:hAnsi="Times New Roman" w:cs="Times New Roman"/>
          <w:sz w:val="24"/>
          <w:szCs w:val="24"/>
          <w:lang w:val="ro-MD"/>
        </w:rPr>
        <w:t xml:space="preserve">(5,66%) a cheltuielilor efective din BASS este generată de creșterea fondului de remunerare a muncii, cât și </w:t>
      </w:r>
      <w:r w:rsidR="00A813FD"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intrarea în vigoare de la 01.03.2023 a noilor prevederi</w:t>
      </w:r>
      <w:r w:rsidRPr="00DD5F1D">
        <w:rPr>
          <w:rStyle w:val="a5"/>
          <w:rFonts w:ascii="Times New Roman" w:hAnsi="Times New Roman" w:cs="Times New Roman"/>
          <w:sz w:val="24"/>
          <w:szCs w:val="24"/>
          <w:lang w:val="ro-MD"/>
        </w:rPr>
        <w:footnoteReference w:id="105"/>
      </w:r>
      <w:r w:rsidRPr="00DD5F1D">
        <w:rPr>
          <w:rFonts w:ascii="Times New Roman" w:hAnsi="Times New Roman" w:cs="Times New Roman"/>
          <w:sz w:val="24"/>
          <w:szCs w:val="24"/>
          <w:lang w:val="ro-MD"/>
        </w:rPr>
        <w:t xml:space="preserve"> de calculare a indemnizației, conform cărora: - </w:t>
      </w:r>
      <w:r w:rsidR="00A813FD" w:rsidRPr="00DD5F1D">
        <w:rPr>
          <w:rFonts w:ascii="Times New Roman" w:hAnsi="Times New Roman" w:cs="Times New Roman"/>
          <w:sz w:val="24"/>
          <w:szCs w:val="24"/>
          <w:lang w:val="ro-MD"/>
        </w:rPr>
        <w:t>i</w:t>
      </w:r>
      <w:r w:rsidRPr="00DD5F1D">
        <w:rPr>
          <w:rFonts w:ascii="Times New Roman" w:hAnsi="Times New Roman" w:cs="Times New Roman"/>
          <w:sz w:val="24"/>
          <w:szCs w:val="24"/>
          <w:lang w:val="ro-MD"/>
        </w:rPr>
        <w:t>ndemnizația de maternitate se calculează din venitul asigurat al unuia dintre soți, care va determina un cuantum mai mare al indemnizației de maternitate; - femeia asigurată are dreptul la indemnizația de maternitate și în cazul în care activează în perioada concediului de maternitate și realizează venit asigurat.</w:t>
      </w:r>
    </w:p>
    <w:p w14:paraId="3DFD69DF" w14:textId="570F3C97" w:rsidR="00F55707" w:rsidRPr="00DD5F1D" w:rsidRDefault="00F55707" w:rsidP="005B7F0E">
      <w:pPr>
        <w:spacing w:after="12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Auditul menționează că</w:t>
      </w:r>
      <w:r w:rsidR="00A813FD"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deși noile prevederi au fost implementate în scopul susținerii familiilor cu copii, se denotă că MMPS nu deține date privind evaluarea impactului implementării noilor </w:t>
      </w:r>
      <w:r w:rsidR="009C14CF" w:rsidRPr="00DD5F1D">
        <w:rPr>
          <w:rFonts w:ascii="Times New Roman" w:hAnsi="Times New Roman" w:cs="Times New Roman"/>
          <w:sz w:val="24"/>
          <w:szCs w:val="24"/>
          <w:lang w:val="ro-MD"/>
        </w:rPr>
        <w:t>modificări</w:t>
      </w:r>
      <w:r w:rsidRPr="00DD5F1D">
        <w:rPr>
          <w:rFonts w:ascii="Times New Roman" w:hAnsi="Times New Roman" w:cs="Times New Roman"/>
          <w:sz w:val="24"/>
          <w:szCs w:val="24"/>
          <w:lang w:val="ro-MD"/>
        </w:rPr>
        <w:t>.</w:t>
      </w:r>
    </w:p>
    <w:p w14:paraId="3DD35685" w14:textId="64F97C2B" w:rsidR="00F55707" w:rsidRPr="00DD5F1D" w:rsidRDefault="00F55707" w:rsidP="00F55707">
      <w:pPr>
        <w:pStyle w:val="a6"/>
        <w:spacing w:line="276" w:lineRule="auto"/>
        <w:ind w:firstLine="0"/>
        <w:rPr>
          <w:shd w:val="clear" w:color="auto" w:fill="FFFFFF"/>
          <w:lang w:val="ro-MD"/>
        </w:rPr>
      </w:pPr>
      <w:r w:rsidRPr="00DD5F1D">
        <w:rPr>
          <w:lang w:val="ro-MD"/>
        </w:rPr>
        <w:t xml:space="preserve">În acest context, auditul </w:t>
      </w:r>
      <w:r w:rsidR="009C14CF" w:rsidRPr="00DD5F1D">
        <w:rPr>
          <w:lang w:val="ro-MD"/>
        </w:rPr>
        <w:t>relevă</w:t>
      </w:r>
      <w:r w:rsidRPr="00DD5F1D">
        <w:rPr>
          <w:lang w:val="ro-MD"/>
        </w:rPr>
        <w:t xml:space="preserve"> că una din funcțiile de bază ale MMPS </w:t>
      </w:r>
      <w:r w:rsidR="009C14CF" w:rsidRPr="00DD5F1D">
        <w:rPr>
          <w:lang w:val="ro-MD"/>
        </w:rPr>
        <w:t>este</w:t>
      </w:r>
      <w:r w:rsidRPr="00DD5F1D">
        <w:rPr>
          <w:shd w:val="clear" w:color="auto" w:fill="FFFFFF"/>
          <w:lang w:val="ro-MD"/>
        </w:rPr>
        <w:t xml:space="preserve"> monitorizarea </w:t>
      </w:r>
      <w:r w:rsidR="00896742" w:rsidRPr="00DD5F1D">
        <w:rPr>
          <w:shd w:val="clear" w:color="auto" w:fill="FFFFFF"/>
          <w:lang w:val="ro-MD"/>
        </w:rPr>
        <w:t>calității</w:t>
      </w:r>
      <w:r w:rsidRPr="00DD5F1D">
        <w:rPr>
          <w:shd w:val="clear" w:color="auto" w:fill="FFFFFF"/>
          <w:lang w:val="ro-MD"/>
        </w:rPr>
        <w:t xml:space="preserve"> politicilor publice </w:t>
      </w:r>
      <w:r w:rsidR="00896742" w:rsidRPr="00DD5F1D">
        <w:rPr>
          <w:shd w:val="clear" w:color="auto" w:fill="FFFFFF"/>
          <w:lang w:val="ro-MD"/>
        </w:rPr>
        <w:t>și</w:t>
      </w:r>
      <w:r w:rsidRPr="00DD5F1D">
        <w:rPr>
          <w:shd w:val="clear" w:color="auto" w:fill="FFFFFF"/>
          <w:lang w:val="ro-MD"/>
        </w:rPr>
        <w:t xml:space="preserve"> actelor normative în domeniile de a</w:t>
      </w:r>
      <w:r w:rsidR="00ED0D98" w:rsidRPr="00DD5F1D">
        <w:rPr>
          <w:shd w:val="clear" w:color="auto" w:fill="FFFFFF"/>
          <w:lang w:val="ro-MD"/>
        </w:rPr>
        <w:t>ctivitate specifice Ministerului</w:t>
      </w:r>
      <w:r w:rsidR="009C14CF" w:rsidRPr="00DD5F1D">
        <w:rPr>
          <w:shd w:val="clear" w:color="auto" w:fill="FFFFFF"/>
          <w:lang w:val="ro-MD"/>
        </w:rPr>
        <w:t>,</w:t>
      </w:r>
      <w:r w:rsidRPr="00DD5F1D">
        <w:rPr>
          <w:shd w:val="clear" w:color="auto" w:fill="FFFFFF"/>
          <w:lang w:val="ro-MD"/>
        </w:rPr>
        <w:t xml:space="preserve"> precum și elaborarea analizelor ex</w:t>
      </w:r>
      <w:r w:rsidR="009C14CF" w:rsidRPr="00DD5F1D">
        <w:rPr>
          <w:shd w:val="clear" w:color="auto" w:fill="FFFFFF"/>
          <w:lang w:val="ro-MD"/>
        </w:rPr>
        <w:t>-</w:t>
      </w:r>
      <w:r w:rsidRPr="00DD5F1D">
        <w:rPr>
          <w:shd w:val="clear" w:color="auto" w:fill="FFFFFF"/>
          <w:lang w:val="ro-MD"/>
        </w:rPr>
        <w:t>ante, documentelor de politici, proiectelor de acte normative în domeniile asigurărilor sociale, după publicarea acestora în Monitorul Oficial al Republicii Moldova</w:t>
      </w:r>
      <w:r w:rsidRPr="00DD5F1D">
        <w:rPr>
          <w:rStyle w:val="a5"/>
          <w:shd w:val="clear" w:color="auto" w:fill="FFFFFF"/>
          <w:lang w:val="ro-MD"/>
        </w:rPr>
        <w:footnoteReference w:id="106"/>
      </w:r>
      <w:r w:rsidR="00896742">
        <w:rPr>
          <w:shd w:val="clear" w:color="auto" w:fill="FFFFFF"/>
          <w:lang w:val="ro-MD"/>
        </w:rPr>
        <w:t>. Ministerul</w:t>
      </w:r>
      <w:r w:rsidRPr="00DD5F1D">
        <w:rPr>
          <w:shd w:val="clear" w:color="auto" w:fill="FFFFFF"/>
          <w:lang w:val="ro-MD"/>
        </w:rPr>
        <w:t xml:space="preserve"> nu a oferit informații auditului</w:t>
      </w:r>
      <w:r w:rsidR="00896742">
        <w:rPr>
          <w:shd w:val="clear" w:color="auto" w:fill="FFFFFF"/>
          <w:lang w:val="ro-MD"/>
        </w:rPr>
        <w:t xml:space="preserve"> privind activitățile respective</w:t>
      </w:r>
      <w:r w:rsidRPr="00DD5F1D">
        <w:rPr>
          <w:shd w:val="clear" w:color="auto" w:fill="FFFFFF"/>
          <w:lang w:val="ro-MD"/>
        </w:rPr>
        <w:t xml:space="preserve">, menționând că: </w:t>
      </w:r>
      <w:r w:rsidRPr="00DD5F1D">
        <w:rPr>
          <w:i/>
          <w:shd w:val="clear" w:color="auto" w:fill="FFFFFF"/>
          <w:lang w:val="ro-MD"/>
        </w:rPr>
        <w:t>„ ...funcția de control parlamentar este o prerogativă constituțională a Parlamentului, care presupune inclusiv evaluarea ex-post a actelor normative adoptate. În acest sens, rolul Parlamentului este să evalueze măsura în care actele pe care le-a adoptat ating rezultatele scontate.”</w:t>
      </w:r>
      <w:r w:rsidRPr="00DD5F1D">
        <w:rPr>
          <w:rStyle w:val="a5"/>
          <w:i/>
          <w:lang w:val="ro-MD"/>
        </w:rPr>
        <w:t xml:space="preserve"> </w:t>
      </w:r>
      <w:r w:rsidRPr="00DD5F1D">
        <w:rPr>
          <w:rStyle w:val="a5"/>
          <w:i/>
          <w:lang w:val="ro-MD"/>
        </w:rPr>
        <w:footnoteReference w:id="107"/>
      </w:r>
    </w:p>
    <w:p w14:paraId="4AF2C717" w14:textId="0F701246" w:rsidR="00B127A4" w:rsidRPr="00DD5F1D" w:rsidRDefault="00825F83" w:rsidP="000C0E15">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Calculele efectuate</w:t>
      </w:r>
      <w:r w:rsidR="00F55707" w:rsidRPr="00DD5F1D">
        <w:rPr>
          <w:rFonts w:ascii="Times New Roman" w:hAnsi="Times New Roman" w:cs="Times New Roman"/>
          <w:sz w:val="24"/>
          <w:szCs w:val="24"/>
          <w:lang w:val="ro-MD"/>
        </w:rPr>
        <w:t xml:space="preserve"> de audit, în baza listelor prezentate de C</w:t>
      </w:r>
      <w:r w:rsidRPr="00DD5F1D">
        <w:rPr>
          <w:rFonts w:ascii="Times New Roman" w:hAnsi="Times New Roman" w:cs="Times New Roman"/>
          <w:sz w:val="24"/>
          <w:szCs w:val="24"/>
          <w:lang w:val="ro-MD"/>
        </w:rPr>
        <w:t>NA</w:t>
      </w:r>
      <w:r w:rsidR="00252C53" w:rsidRPr="00DD5F1D">
        <w:rPr>
          <w:rFonts w:ascii="Times New Roman" w:hAnsi="Times New Roman" w:cs="Times New Roman"/>
          <w:sz w:val="24"/>
          <w:szCs w:val="24"/>
          <w:lang w:val="ro-MD"/>
        </w:rPr>
        <w:t xml:space="preserve">S pe parcursul anului 2023, </w:t>
      </w:r>
      <w:r w:rsidRPr="00DD5F1D">
        <w:rPr>
          <w:rFonts w:ascii="Times New Roman" w:hAnsi="Times New Roman" w:cs="Times New Roman"/>
          <w:sz w:val="24"/>
          <w:szCs w:val="24"/>
          <w:lang w:val="ro-MD"/>
        </w:rPr>
        <w:t xml:space="preserve">denotă că </w:t>
      </w:r>
      <w:r w:rsidR="009C14CF" w:rsidRPr="00DD5F1D">
        <w:rPr>
          <w:rFonts w:ascii="Times New Roman" w:hAnsi="Times New Roman" w:cs="Times New Roman"/>
          <w:sz w:val="24"/>
          <w:szCs w:val="24"/>
          <w:lang w:val="ro-MD"/>
        </w:rPr>
        <w:t>potrivit</w:t>
      </w:r>
      <w:r w:rsidR="00F55707" w:rsidRPr="00DD5F1D">
        <w:rPr>
          <w:rFonts w:ascii="Times New Roman" w:hAnsi="Times New Roman" w:cs="Times New Roman"/>
          <w:sz w:val="24"/>
          <w:szCs w:val="24"/>
          <w:lang w:val="ro-MD"/>
        </w:rPr>
        <w:t xml:space="preserve"> noil</w:t>
      </w:r>
      <w:r w:rsidRPr="00DD5F1D">
        <w:rPr>
          <w:rFonts w:ascii="Times New Roman" w:hAnsi="Times New Roman" w:cs="Times New Roman"/>
          <w:sz w:val="24"/>
          <w:szCs w:val="24"/>
          <w:lang w:val="ro-MD"/>
        </w:rPr>
        <w:t>or</w:t>
      </w:r>
      <w:r w:rsidR="00F55707" w:rsidRPr="00DD5F1D">
        <w:rPr>
          <w:rFonts w:ascii="Times New Roman" w:hAnsi="Times New Roman" w:cs="Times New Roman"/>
          <w:sz w:val="24"/>
          <w:szCs w:val="24"/>
          <w:lang w:val="ro-MD"/>
        </w:rPr>
        <w:t xml:space="preserve"> preveder</w:t>
      </w:r>
      <w:r w:rsidR="00616B1D" w:rsidRPr="00DD5F1D">
        <w:rPr>
          <w:rFonts w:ascii="Times New Roman" w:hAnsi="Times New Roman" w:cs="Times New Roman"/>
          <w:sz w:val="24"/>
          <w:szCs w:val="24"/>
          <w:lang w:val="ro-MD"/>
        </w:rPr>
        <w:t>i</w:t>
      </w:r>
      <w:r w:rsidRPr="00DD5F1D">
        <w:rPr>
          <w:rFonts w:ascii="Times New Roman" w:hAnsi="Times New Roman" w:cs="Times New Roman"/>
          <w:sz w:val="24"/>
          <w:szCs w:val="24"/>
          <w:lang w:val="ro-MD"/>
        </w:rPr>
        <w:t xml:space="preserve"> </w:t>
      </w:r>
      <w:r w:rsidR="00616B1D" w:rsidRPr="00DD5F1D">
        <w:rPr>
          <w:rFonts w:ascii="Times New Roman" w:hAnsi="Times New Roman" w:cs="Times New Roman"/>
          <w:sz w:val="24"/>
          <w:szCs w:val="24"/>
          <w:lang w:val="ro-MD"/>
        </w:rPr>
        <w:t>în vigoare de la 01 martie,</w:t>
      </w:r>
      <w:r w:rsidR="00F55707" w:rsidRPr="00DD5F1D">
        <w:rPr>
          <w:rFonts w:ascii="Times New Roman" w:hAnsi="Times New Roman" w:cs="Times New Roman"/>
          <w:sz w:val="24"/>
          <w:szCs w:val="24"/>
          <w:lang w:val="ro-MD"/>
        </w:rPr>
        <w:t xml:space="preserve"> au fost stabilite 2</w:t>
      </w:r>
      <w:r w:rsidR="00B52AE1" w:rsidRPr="00DD5F1D">
        <w:rPr>
          <w:rFonts w:ascii="Times New Roman" w:hAnsi="Times New Roman" w:cs="Times New Roman"/>
          <w:sz w:val="24"/>
          <w:szCs w:val="24"/>
          <w:lang w:val="ro-MD"/>
        </w:rPr>
        <w:t xml:space="preserve"> </w:t>
      </w:r>
      <w:r w:rsidR="00F55707" w:rsidRPr="00DD5F1D">
        <w:rPr>
          <w:rFonts w:ascii="Times New Roman" w:hAnsi="Times New Roman" w:cs="Times New Roman"/>
          <w:sz w:val="24"/>
          <w:szCs w:val="24"/>
          <w:lang w:val="ro-MD"/>
        </w:rPr>
        <w:t>246 de indemnizații acordate pentru 1</w:t>
      </w:r>
      <w:r w:rsidR="00B52AE1" w:rsidRPr="00DD5F1D">
        <w:rPr>
          <w:rFonts w:ascii="Times New Roman" w:hAnsi="Times New Roman" w:cs="Times New Roman"/>
          <w:sz w:val="24"/>
          <w:szCs w:val="24"/>
          <w:lang w:val="ro-MD"/>
        </w:rPr>
        <w:t xml:space="preserve"> </w:t>
      </w:r>
      <w:r w:rsidR="00F55707" w:rsidRPr="00DD5F1D">
        <w:rPr>
          <w:rFonts w:ascii="Times New Roman" w:hAnsi="Times New Roman" w:cs="Times New Roman"/>
          <w:sz w:val="24"/>
          <w:szCs w:val="24"/>
          <w:lang w:val="ro-MD"/>
        </w:rPr>
        <w:t>845 femei asigurate, care au beneficiat de calcule în baza salariului mai mare al soțului. Informațiile privind baza de calcul și suma indemnizației sun</w:t>
      </w:r>
      <w:r w:rsidR="000C0E15" w:rsidRPr="00DD5F1D">
        <w:rPr>
          <w:rFonts w:ascii="Times New Roman" w:hAnsi="Times New Roman" w:cs="Times New Roman"/>
          <w:sz w:val="24"/>
          <w:szCs w:val="24"/>
          <w:lang w:val="ro-MD"/>
        </w:rPr>
        <w:t>t redate în tabelul de mai jos:</w:t>
      </w:r>
    </w:p>
    <w:p w14:paraId="1F3407DB" w14:textId="1708E2D5" w:rsidR="00371338" w:rsidRPr="00DD5F1D" w:rsidRDefault="00371338" w:rsidP="008B60FF">
      <w:pPr>
        <w:spacing w:after="0" w:line="276" w:lineRule="auto"/>
        <w:jc w:val="right"/>
        <w:rPr>
          <w:rFonts w:ascii="Times New Roman" w:hAnsi="Times New Roman" w:cs="Times New Roman"/>
          <w:b/>
          <w:lang w:val="ro-MD"/>
        </w:rPr>
      </w:pPr>
      <w:r w:rsidRPr="00DD5F1D">
        <w:rPr>
          <w:rFonts w:ascii="Times New Roman" w:hAnsi="Times New Roman" w:cs="Times New Roman"/>
          <w:b/>
          <w:lang w:val="ro-MD"/>
        </w:rPr>
        <w:t>Tabel</w:t>
      </w:r>
      <w:r w:rsidR="00B52AE1" w:rsidRPr="00DD5F1D">
        <w:rPr>
          <w:rFonts w:ascii="Times New Roman" w:hAnsi="Times New Roman" w:cs="Times New Roman"/>
          <w:b/>
          <w:lang w:val="ro-MD"/>
        </w:rPr>
        <w:t>ul</w:t>
      </w:r>
      <w:r w:rsidRPr="00DD5F1D">
        <w:rPr>
          <w:rFonts w:ascii="Times New Roman" w:hAnsi="Times New Roman" w:cs="Times New Roman"/>
          <w:b/>
          <w:lang w:val="ro-MD"/>
        </w:rPr>
        <w:t xml:space="preserve"> nr.</w:t>
      </w:r>
      <w:r w:rsidR="00BA23EA" w:rsidRPr="00DD5F1D">
        <w:rPr>
          <w:rFonts w:ascii="Times New Roman" w:hAnsi="Times New Roman" w:cs="Times New Roman"/>
          <w:b/>
          <w:lang w:val="ro-MD"/>
        </w:rPr>
        <w:t xml:space="preserve"> </w:t>
      </w:r>
      <w:r w:rsidR="0021536C" w:rsidRPr="00DD5F1D">
        <w:rPr>
          <w:rFonts w:ascii="Times New Roman" w:hAnsi="Times New Roman" w:cs="Times New Roman"/>
          <w:b/>
          <w:lang w:val="ro-MD"/>
        </w:rPr>
        <w:t>20</w:t>
      </w:r>
    </w:p>
    <w:p w14:paraId="2A1E26E4" w14:textId="77777777" w:rsidR="00371338" w:rsidRPr="00DD5F1D" w:rsidRDefault="00371338" w:rsidP="00371338">
      <w:pPr>
        <w:jc w:val="center"/>
        <w:rPr>
          <w:rFonts w:ascii="Times New Roman" w:hAnsi="Times New Roman" w:cs="Times New Roman"/>
          <w:sz w:val="20"/>
          <w:lang w:val="ro-MD"/>
        </w:rPr>
      </w:pPr>
      <w:r w:rsidRPr="00DD5F1D">
        <w:rPr>
          <w:rFonts w:ascii="Times New Roman" w:hAnsi="Times New Roman" w:cs="Times New Roman"/>
          <w:b/>
          <w:lang w:val="ro-MD"/>
        </w:rPr>
        <w:t>Estimări privind numărul și suma indemnizațiilor de maternitate calculate conform noilor prevederi</w:t>
      </w:r>
    </w:p>
    <w:tbl>
      <w:tblPr>
        <w:tblStyle w:val="af1"/>
        <w:tblW w:w="5000" w:type="pct"/>
        <w:jc w:val="center"/>
        <w:tblLook w:val="04A0" w:firstRow="1" w:lastRow="0" w:firstColumn="1" w:lastColumn="0" w:noHBand="0" w:noVBand="1"/>
      </w:tblPr>
      <w:tblGrid>
        <w:gridCol w:w="7137"/>
        <w:gridCol w:w="2887"/>
      </w:tblGrid>
      <w:tr w:rsidR="00371338" w:rsidRPr="00DD5F1D" w14:paraId="36A1219F" w14:textId="77777777" w:rsidTr="00C92EC2">
        <w:trPr>
          <w:jc w:val="center"/>
        </w:trPr>
        <w:tc>
          <w:tcPr>
            <w:tcW w:w="3560" w:type="pct"/>
          </w:tcPr>
          <w:p w14:paraId="61C6B37F" w14:textId="77777777" w:rsidR="00371338" w:rsidRPr="00DD5F1D" w:rsidRDefault="00371338" w:rsidP="000C0E15">
            <w:pPr>
              <w:spacing w:line="276" w:lineRule="auto"/>
              <w:rPr>
                <w:rFonts w:ascii="Times New Roman" w:hAnsi="Times New Roman" w:cs="Times New Roman"/>
                <w:b/>
                <w:sz w:val="20"/>
                <w:lang w:val="ro-MD"/>
              </w:rPr>
            </w:pPr>
            <w:r w:rsidRPr="00DD5F1D">
              <w:rPr>
                <w:rFonts w:ascii="Times New Roman" w:hAnsi="Times New Roman" w:cs="Times New Roman"/>
                <w:b/>
                <w:sz w:val="20"/>
                <w:lang w:val="ro-MD"/>
              </w:rPr>
              <w:t>Indicator</w:t>
            </w:r>
          </w:p>
        </w:tc>
        <w:tc>
          <w:tcPr>
            <w:tcW w:w="1440" w:type="pct"/>
          </w:tcPr>
          <w:p w14:paraId="1EE0F198" w14:textId="77777777" w:rsidR="00371338" w:rsidRPr="00DD5F1D" w:rsidRDefault="00371338" w:rsidP="000C0E15">
            <w:pPr>
              <w:spacing w:line="276" w:lineRule="auto"/>
              <w:jc w:val="center"/>
              <w:rPr>
                <w:rFonts w:ascii="Times New Roman" w:hAnsi="Times New Roman" w:cs="Times New Roman"/>
                <w:b/>
                <w:sz w:val="20"/>
                <w:lang w:val="ro-MD"/>
              </w:rPr>
            </w:pPr>
            <w:r w:rsidRPr="00DD5F1D">
              <w:rPr>
                <w:rFonts w:ascii="Times New Roman" w:hAnsi="Times New Roman" w:cs="Times New Roman"/>
                <w:b/>
                <w:sz w:val="20"/>
                <w:lang w:val="ro-MD"/>
              </w:rPr>
              <w:t>la 31.12.2023</w:t>
            </w:r>
          </w:p>
        </w:tc>
      </w:tr>
      <w:tr w:rsidR="000D40B3" w:rsidRPr="00DD5F1D" w14:paraId="5A2FD83C" w14:textId="77777777" w:rsidTr="00C92EC2">
        <w:trPr>
          <w:jc w:val="center"/>
        </w:trPr>
        <w:tc>
          <w:tcPr>
            <w:tcW w:w="3560" w:type="pct"/>
          </w:tcPr>
          <w:p w14:paraId="5E939C96" w14:textId="77777777" w:rsidR="00371338" w:rsidRPr="00DD5F1D" w:rsidRDefault="00371338" w:rsidP="000C0E15">
            <w:pPr>
              <w:spacing w:line="276" w:lineRule="auto"/>
              <w:rPr>
                <w:rFonts w:ascii="Times New Roman" w:hAnsi="Times New Roman" w:cs="Times New Roman"/>
                <w:sz w:val="20"/>
                <w:lang w:val="ro-MD"/>
              </w:rPr>
            </w:pPr>
            <w:r w:rsidRPr="00DD5F1D">
              <w:rPr>
                <w:rFonts w:ascii="Times New Roman" w:hAnsi="Times New Roman" w:cs="Times New Roman"/>
                <w:sz w:val="20"/>
                <w:lang w:val="ro-MD"/>
              </w:rPr>
              <w:t xml:space="preserve">Numărul de beneficiari, </w:t>
            </w:r>
            <w:r w:rsidRPr="00DD5F1D">
              <w:rPr>
                <w:rFonts w:ascii="Times New Roman" w:hAnsi="Times New Roman" w:cs="Times New Roman"/>
                <w:i/>
                <w:sz w:val="20"/>
                <w:lang w:val="ro-MD"/>
              </w:rPr>
              <w:t>persoane</w:t>
            </w:r>
          </w:p>
        </w:tc>
        <w:tc>
          <w:tcPr>
            <w:tcW w:w="1440" w:type="pct"/>
          </w:tcPr>
          <w:p w14:paraId="5FEB1FCD" w14:textId="77777777" w:rsidR="00371338" w:rsidRPr="00DD5F1D" w:rsidRDefault="00371338" w:rsidP="008B60FF">
            <w:pPr>
              <w:spacing w:line="276" w:lineRule="auto"/>
              <w:jc w:val="right"/>
              <w:rPr>
                <w:rFonts w:ascii="Times New Roman" w:hAnsi="Times New Roman" w:cs="Times New Roman"/>
                <w:sz w:val="20"/>
                <w:lang w:val="ro-MD"/>
              </w:rPr>
            </w:pPr>
            <w:r w:rsidRPr="00DD5F1D">
              <w:rPr>
                <w:rFonts w:ascii="Times New Roman" w:hAnsi="Times New Roman" w:cs="Times New Roman"/>
                <w:sz w:val="20"/>
                <w:lang w:val="ro-MD"/>
              </w:rPr>
              <w:t>1 845</w:t>
            </w:r>
          </w:p>
        </w:tc>
      </w:tr>
      <w:tr w:rsidR="000D40B3" w:rsidRPr="00DD5F1D" w14:paraId="09531E13" w14:textId="77777777" w:rsidTr="00C92EC2">
        <w:trPr>
          <w:jc w:val="center"/>
        </w:trPr>
        <w:tc>
          <w:tcPr>
            <w:tcW w:w="3560" w:type="pct"/>
          </w:tcPr>
          <w:p w14:paraId="78874AB0" w14:textId="77777777" w:rsidR="00371338" w:rsidRPr="00DD5F1D" w:rsidRDefault="00371338" w:rsidP="000C0E15">
            <w:pPr>
              <w:spacing w:line="276" w:lineRule="auto"/>
              <w:rPr>
                <w:rFonts w:ascii="Times New Roman" w:hAnsi="Times New Roman" w:cs="Times New Roman"/>
                <w:sz w:val="20"/>
                <w:lang w:val="ro-MD"/>
              </w:rPr>
            </w:pPr>
            <w:r w:rsidRPr="00DD5F1D">
              <w:rPr>
                <w:rFonts w:ascii="Times New Roman" w:hAnsi="Times New Roman" w:cs="Times New Roman"/>
                <w:sz w:val="20"/>
                <w:lang w:val="ro-MD"/>
              </w:rPr>
              <w:t xml:space="preserve">Numărul de indemnizații stabilite, </w:t>
            </w:r>
            <w:r w:rsidRPr="00DD5F1D">
              <w:rPr>
                <w:rFonts w:ascii="Times New Roman" w:hAnsi="Times New Roman" w:cs="Times New Roman"/>
                <w:i/>
                <w:sz w:val="20"/>
                <w:lang w:val="ro-MD"/>
              </w:rPr>
              <w:t>indemnizații</w:t>
            </w:r>
          </w:p>
        </w:tc>
        <w:tc>
          <w:tcPr>
            <w:tcW w:w="1440" w:type="pct"/>
          </w:tcPr>
          <w:p w14:paraId="79493A6B" w14:textId="77777777" w:rsidR="00371338" w:rsidRPr="00DD5F1D" w:rsidRDefault="00371338" w:rsidP="008B60FF">
            <w:pPr>
              <w:spacing w:line="276" w:lineRule="auto"/>
              <w:jc w:val="right"/>
              <w:rPr>
                <w:rFonts w:ascii="Times New Roman" w:hAnsi="Times New Roman" w:cs="Times New Roman"/>
                <w:sz w:val="20"/>
                <w:lang w:val="ro-MD"/>
              </w:rPr>
            </w:pPr>
            <w:r w:rsidRPr="00DD5F1D">
              <w:rPr>
                <w:rFonts w:ascii="Times New Roman" w:hAnsi="Times New Roman" w:cs="Times New Roman"/>
                <w:sz w:val="20"/>
                <w:lang w:val="ro-MD"/>
              </w:rPr>
              <w:t>2 246</w:t>
            </w:r>
            <w:r w:rsidR="001A0138" w:rsidRPr="00DD5F1D">
              <w:rPr>
                <w:rStyle w:val="a5"/>
                <w:rFonts w:ascii="Times New Roman" w:hAnsi="Times New Roman" w:cs="Times New Roman"/>
                <w:sz w:val="20"/>
                <w:lang w:val="ro-MD"/>
              </w:rPr>
              <w:footnoteReference w:id="108"/>
            </w:r>
          </w:p>
        </w:tc>
      </w:tr>
      <w:tr w:rsidR="000D40B3" w:rsidRPr="00EE53EC" w14:paraId="18CF8CFA" w14:textId="77777777" w:rsidTr="00C92EC2">
        <w:trPr>
          <w:jc w:val="center"/>
        </w:trPr>
        <w:tc>
          <w:tcPr>
            <w:tcW w:w="3560" w:type="pct"/>
          </w:tcPr>
          <w:p w14:paraId="54B5747A" w14:textId="37C6F09E" w:rsidR="00371338" w:rsidRPr="00193E3C" w:rsidRDefault="00371338" w:rsidP="00193E3C">
            <w:pPr>
              <w:spacing w:line="276" w:lineRule="auto"/>
              <w:rPr>
                <w:rFonts w:ascii="Times New Roman" w:hAnsi="Times New Roman" w:cs="Times New Roman"/>
                <w:sz w:val="20"/>
                <w:lang w:val="ro-MD"/>
              </w:rPr>
            </w:pPr>
            <w:r w:rsidRPr="00193E3C">
              <w:rPr>
                <w:rFonts w:ascii="Times New Roman" w:hAnsi="Times New Roman" w:cs="Times New Roman"/>
                <w:sz w:val="20"/>
                <w:lang w:val="ro-MD"/>
              </w:rPr>
              <w:t>Baza de calcul</w:t>
            </w:r>
            <w:r w:rsidR="00EE53EC">
              <w:rPr>
                <w:rFonts w:ascii="Times New Roman" w:hAnsi="Times New Roman" w:cs="Times New Roman"/>
                <w:sz w:val="20"/>
                <w:lang w:val="ro-MD"/>
              </w:rPr>
              <w:t>-v</w:t>
            </w:r>
            <w:r w:rsidR="00EE53EC" w:rsidRPr="00193E3C">
              <w:rPr>
                <w:rFonts w:ascii="Times New Roman" w:hAnsi="Times New Roman" w:cs="Times New Roman"/>
                <w:sz w:val="20"/>
                <w:lang w:val="ro-MD"/>
              </w:rPr>
              <w:t xml:space="preserve">enitul </w:t>
            </w:r>
            <w:r w:rsidR="00EE53EC" w:rsidRPr="00AF03D8">
              <w:rPr>
                <w:rFonts w:ascii="Times New Roman" w:hAnsi="Times New Roman" w:cs="Times New Roman"/>
                <w:sz w:val="20"/>
                <w:lang w:val="ro-MD"/>
              </w:rPr>
              <w:t xml:space="preserve">mediu </w:t>
            </w:r>
            <w:r w:rsidRPr="00193E3C">
              <w:rPr>
                <w:rFonts w:ascii="Times New Roman" w:hAnsi="Times New Roman" w:cs="Times New Roman"/>
                <w:sz w:val="20"/>
                <w:lang w:val="ro-MD"/>
              </w:rPr>
              <w:t xml:space="preserve">asigurat </w:t>
            </w:r>
            <w:r w:rsidR="00EE53EC" w:rsidRPr="00AF03D8">
              <w:rPr>
                <w:rFonts w:ascii="Times New Roman" w:hAnsi="Times New Roman" w:cs="Times New Roman"/>
                <w:sz w:val="20"/>
                <w:lang w:val="ro-MD"/>
              </w:rPr>
              <w:t xml:space="preserve">pe lună </w:t>
            </w:r>
            <w:r w:rsidRPr="00193E3C">
              <w:rPr>
                <w:rFonts w:ascii="Times New Roman" w:hAnsi="Times New Roman" w:cs="Times New Roman"/>
                <w:sz w:val="20"/>
                <w:lang w:val="ro-MD"/>
              </w:rPr>
              <w:t xml:space="preserve">al soției, </w:t>
            </w:r>
            <w:r w:rsidRPr="00193E3C">
              <w:rPr>
                <w:rFonts w:ascii="Times New Roman" w:hAnsi="Times New Roman" w:cs="Times New Roman"/>
                <w:i/>
                <w:sz w:val="20"/>
                <w:lang w:val="ro-MD"/>
              </w:rPr>
              <w:t>mil.lei</w:t>
            </w:r>
          </w:p>
        </w:tc>
        <w:tc>
          <w:tcPr>
            <w:tcW w:w="1440" w:type="pct"/>
          </w:tcPr>
          <w:p w14:paraId="5042414A" w14:textId="77777777" w:rsidR="00371338" w:rsidRPr="00A93D77" w:rsidRDefault="00371338" w:rsidP="008B60FF">
            <w:pPr>
              <w:spacing w:line="276" w:lineRule="auto"/>
              <w:jc w:val="right"/>
              <w:rPr>
                <w:rFonts w:ascii="Times New Roman" w:hAnsi="Times New Roman" w:cs="Times New Roman"/>
                <w:sz w:val="20"/>
                <w:lang w:val="ro-MD"/>
              </w:rPr>
            </w:pPr>
            <w:r w:rsidRPr="005152D5">
              <w:rPr>
                <w:rFonts w:ascii="Times New Roman" w:eastAsia="Times New Roman" w:hAnsi="Times New Roman" w:cs="Times New Roman"/>
                <w:bCs/>
                <w:sz w:val="20"/>
                <w:lang w:val="ro-MD"/>
              </w:rPr>
              <w:t>19,8</w:t>
            </w:r>
          </w:p>
        </w:tc>
      </w:tr>
      <w:tr w:rsidR="000D40B3" w:rsidRPr="00DD5F1D" w14:paraId="53736643" w14:textId="77777777" w:rsidTr="00C92EC2">
        <w:trPr>
          <w:jc w:val="center"/>
        </w:trPr>
        <w:tc>
          <w:tcPr>
            <w:tcW w:w="3560" w:type="pct"/>
          </w:tcPr>
          <w:p w14:paraId="6D60052B" w14:textId="3C4E19FD" w:rsidR="00371338" w:rsidRPr="005152D5" w:rsidRDefault="00371338" w:rsidP="00193E3C">
            <w:pPr>
              <w:spacing w:line="276" w:lineRule="auto"/>
              <w:rPr>
                <w:rFonts w:ascii="Times New Roman" w:hAnsi="Times New Roman" w:cs="Times New Roman"/>
                <w:sz w:val="20"/>
                <w:lang w:val="ro-MD"/>
              </w:rPr>
            </w:pPr>
            <w:r w:rsidRPr="00EE53EC">
              <w:rPr>
                <w:rFonts w:ascii="Times New Roman" w:hAnsi="Times New Roman" w:cs="Times New Roman"/>
                <w:sz w:val="20"/>
                <w:lang w:val="ro-MD"/>
              </w:rPr>
              <w:t>Baza de calcul</w:t>
            </w:r>
            <w:r w:rsidR="00EE53EC">
              <w:rPr>
                <w:rFonts w:ascii="Times New Roman" w:hAnsi="Times New Roman" w:cs="Times New Roman"/>
                <w:sz w:val="20"/>
                <w:lang w:val="ro-MD"/>
              </w:rPr>
              <w:t>-v</w:t>
            </w:r>
            <w:r w:rsidR="00EE53EC" w:rsidRPr="00193E3C">
              <w:rPr>
                <w:rFonts w:ascii="Times New Roman" w:hAnsi="Times New Roman" w:cs="Times New Roman"/>
                <w:sz w:val="20"/>
                <w:lang w:val="ro-MD"/>
              </w:rPr>
              <w:t xml:space="preserve">enitul </w:t>
            </w:r>
            <w:r w:rsidR="00EE53EC" w:rsidRPr="00AF03D8">
              <w:rPr>
                <w:rFonts w:ascii="Times New Roman" w:hAnsi="Times New Roman" w:cs="Times New Roman"/>
                <w:sz w:val="20"/>
                <w:lang w:val="ro-MD"/>
              </w:rPr>
              <w:t>mediu asigurat pe lună</w:t>
            </w:r>
            <w:r w:rsidRPr="00193E3C">
              <w:rPr>
                <w:rFonts w:ascii="Times New Roman" w:hAnsi="Times New Roman" w:cs="Times New Roman"/>
                <w:sz w:val="20"/>
                <w:lang w:val="ro-MD"/>
              </w:rPr>
              <w:t xml:space="preserve"> al soțului, </w:t>
            </w:r>
            <w:r w:rsidRPr="00193E3C">
              <w:rPr>
                <w:rFonts w:ascii="Times New Roman" w:hAnsi="Times New Roman" w:cs="Times New Roman"/>
                <w:i/>
                <w:sz w:val="20"/>
                <w:lang w:val="ro-MD"/>
              </w:rPr>
              <w:t>mil.lei</w:t>
            </w:r>
          </w:p>
        </w:tc>
        <w:tc>
          <w:tcPr>
            <w:tcW w:w="1440" w:type="pct"/>
          </w:tcPr>
          <w:p w14:paraId="17B34539" w14:textId="77777777" w:rsidR="00371338" w:rsidRPr="00DD5F1D" w:rsidRDefault="00371338" w:rsidP="008B60FF">
            <w:pPr>
              <w:spacing w:line="276" w:lineRule="auto"/>
              <w:jc w:val="right"/>
              <w:rPr>
                <w:rFonts w:ascii="Times New Roman" w:hAnsi="Times New Roman" w:cs="Times New Roman"/>
                <w:sz w:val="20"/>
                <w:lang w:val="ro-MD"/>
              </w:rPr>
            </w:pPr>
            <w:r w:rsidRPr="005152D5">
              <w:rPr>
                <w:rFonts w:ascii="Times New Roman" w:eastAsia="Times New Roman" w:hAnsi="Times New Roman" w:cs="Times New Roman"/>
                <w:bCs/>
                <w:sz w:val="20"/>
                <w:lang w:val="ro-MD"/>
              </w:rPr>
              <w:t>35,6</w:t>
            </w:r>
          </w:p>
        </w:tc>
      </w:tr>
      <w:tr w:rsidR="000D40B3" w:rsidRPr="00DD5F1D" w14:paraId="7CD7FDF7" w14:textId="77777777" w:rsidTr="00C92EC2">
        <w:trPr>
          <w:jc w:val="center"/>
        </w:trPr>
        <w:tc>
          <w:tcPr>
            <w:tcW w:w="3560" w:type="pct"/>
          </w:tcPr>
          <w:p w14:paraId="0D26E7EB" w14:textId="77777777" w:rsidR="00371338" w:rsidRPr="00DD5F1D" w:rsidRDefault="00371338" w:rsidP="000C0E15">
            <w:pPr>
              <w:spacing w:line="276" w:lineRule="auto"/>
              <w:rPr>
                <w:rFonts w:ascii="Times New Roman" w:hAnsi="Times New Roman" w:cs="Times New Roman"/>
                <w:sz w:val="20"/>
                <w:lang w:val="ro-MD"/>
              </w:rPr>
            </w:pPr>
            <w:r w:rsidRPr="00DD5F1D">
              <w:rPr>
                <w:rFonts w:ascii="Times New Roman" w:hAnsi="Times New Roman" w:cs="Times New Roman"/>
                <w:sz w:val="20"/>
                <w:lang w:val="ro-MD"/>
              </w:rPr>
              <w:t xml:space="preserve">Baza de calcul efectivă, </w:t>
            </w:r>
            <w:r w:rsidRPr="00DD5F1D">
              <w:rPr>
                <w:rFonts w:ascii="Times New Roman" w:hAnsi="Times New Roman" w:cs="Times New Roman"/>
                <w:i/>
                <w:sz w:val="20"/>
                <w:lang w:val="ro-MD"/>
              </w:rPr>
              <w:t>mil.lei</w:t>
            </w:r>
          </w:p>
        </w:tc>
        <w:tc>
          <w:tcPr>
            <w:tcW w:w="1440" w:type="pct"/>
          </w:tcPr>
          <w:p w14:paraId="289BD21A" w14:textId="77777777" w:rsidR="00371338" w:rsidRPr="00DD5F1D" w:rsidRDefault="00371338" w:rsidP="008B60FF">
            <w:pPr>
              <w:spacing w:line="276" w:lineRule="auto"/>
              <w:jc w:val="right"/>
              <w:rPr>
                <w:rFonts w:ascii="Times New Roman" w:hAnsi="Times New Roman" w:cs="Times New Roman"/>
                <w:sz w:val="20"/>
                <w:lang w:val="ro-MD"/>
              </w:rPr>
            </w:pPr>
            <w:r w:rsidRPr="00DD5F1D">
              <w:rPr>
                <w:rFonts w:ascii="Times New Roman" w:eastAsia="Times New Roman" w:hAnsi="Times New Roman" w:cs="Times New Roman"/>
                <w:bCs/>
                <w:sz w:val="20"/>
                <w:lang w:val="ro-MD"/>
              </w:rPr>
              <w:t>35,6</w:t>
            </w:r>
          </w:p>
        </w:tc>
      </w:tr>
      <w:tr w:rsidR="000D40B3" w:rsidRPr="00DD5F1D" w14:paraId="2ED10348" w14:textId="77777777" w:rsidTr="00C92EC2">
        <w:trPr>
          <w:jc w:val="center"/>
        </w:trPr>
        <w:tc>
          <w:tcPr>
            <w:tcW w:w="3560" w:type="pct"/>
          </w:tcPr>
          <w:p w14:paraId="0536FAB9" w14:textId="77777777" w:rsidR="00371338" w:rsidRPr="00DD5F1D" w:rsidRDefault="00371338" w:rsidP="000C0E15">
            <w:pPr>
              <w:spacing w:line="276" w:lineRule="auto"/>
              <w:rPr>
                <w:rFonts w:ascii="Times New Roman" w:hAnsi="Times New Roman" w:cs="Times New Roman"/>
                <w:sz w:val="20"/>
                <w:lang w:val="ro-MD"/>
              </w:rPr>
            </w:pPr>
            <w:r w:rsidRPr="00DD5F1D">
              <w:rPr>
                <w:rFonts w:ascii="Times New Roman" w:hAnsi="Times New Roman" w:cs="Times New Roman"/>
                <w:sz w:val="20"/>
                <w:lang w:val="ro-MD"/>
              </w:rPr>
              <w:t xml:space="preserve">Suma indemnizației (conform venitului asigurat al soțului), </w:t>
            </w:r>
            <w:r w:rsidRPr="00DD5F1D">
              <w:rPr>
                <w:rFonts w:ascii="Times New Roman" w:hAnsi="Times New Roman" w:cs="Times New Roman"/>
                <w:i/>
                <w:sz w:val="20"/>
                <w:lang w:val="ro-MD"/>
              </w:rPr>
              <w:t>mil.lei</w:t>
            </w:r>
          </w:p>
        </w:tc>
        <w:tc>
          <w:tcPr>
            <w:tcW w:w="1440" w:type="pct"/>
          </w:tcPr>
          <w:p w14:paraId="293D46C7" w14:textId="77777777" w:rsidR="00371338" w:rsidRPr="00DD5F1D" w:rsidRDefault="00371338" w:rsidP="008B60FF">
            <w:pPr>
              <w:spacing w:line="276" w:lineRule="auto"/>
              <w:jc w:val="right"/>
              <w:rPr>
                <w:rFonts w:ascii="Times New Roman" w:hAnsi="Times New Roman" w:cs="Times New Roman"/>
                <w:sz w:val="20"/>
                <w:lang w:val="ro-MD"/>
              </w:rPr>
            </w:pPr>
            <w:r w:rsidRPr="00DD5F1D">
              <w:rPr>
                <w:rFonts w:ascii="Times New Roman" w:eastAsia="Times New Roman" w:hAnsi="Times New Roman" w:cs="Times New Roman"/>
                <w:bCs/>
                <w:sz w:val="20"/>
                <w:lang w:val="ro-MD"/>
              </w:rPr>
              <w:t>123,2</w:t>
            </w:r>
          </w:p>
        </w:tc>
      </w:tr>
      <w:tr w:rsidR="000D40B3" w:rsidRPr="00DD5F1D" w14:paraId="50C7C06B" w14:textId="77777777" w:rsidTr="00C92EC2">
        <w:trPr>
          <w:jc w:val="center"/>
        </w:trPr>
        <w:tc>
          <w:tcPr>
            <w:tcW w:w="3560" w:type="pct"/>
          </w:tcPr>
          <w:p w14:paraId="2377A378" w14:textId="77777777" w:rsidR="00371338" w:rsidRPr="00DD5F1D" w:rsidRDefault="00371338" w:rsidP="000C0E15">
            <w:pPr>
              <w:spacing w:line="276" w:lineRule="auto"/>
              <w:rPr>
                <w:rFonts w:ascii="Times New Roman" w:hAnsi="Times New Roman" w:cs="Times New Roman"/>
                <w:sz w:val="20"/>
                <w:lang w:val="ro-MD"/>
              </w:rPr>
            </w:pPr>
            <w:r w:rsidRPr="00DD5F1D">
              <w:rPr>
                <w:rFonts w:ascii="Times New Roman" w:hAnsi="Times New Roman" w:cs="Times New Roman"/>
                <w:sz w:val="20"/>
                <w:lang w:val="ro-MD"/>
              </w:rPr>
              <w:t xml:space="preserve">Suma indemnizației (conform venitului asigurat al soției), </w:t>
            </w:r>
            <w:r w:rsidRPr="00DD5F1D">
              <w:rPr>
                <w:rFonts w:ascii="Times New Roman" w:hAnsi="Times New Roman" w:cs="Times New Roman"/>
                <w:i/>
                <w:sz w:val="20"/>
                <w:lang w:val="ro-MD"/>
              </w:rPr>
              <w:t>mil.lei</w:t>
            </w:r>
          </w:p>
        </w:tc>
        <w:tc>
          <w:tcPr>
            <w:tcW w:w="1440" w:type="pct"/>
          </w:tcPr>
          <w:p w14:paraId="3FC702EB" w14:textId="77777777" w:rsidR="00371338" w:rsidRPr="00DD5F1D" w:rsidRDefault="00371338" w:rsidP="008B60FF">
            <w:pPr>
              <w:spacing w:line="276" w:lineRule="auto"/>
              <w:jc w:val="right"/>
              <w:rPr>
                <w:rFonts w:ascii="Times New Roman" w:hAnsi="Times New Roman" w:cs="Times New Roman"/>
                <w:sz w:val="20"/>
                <w:lang w:val="ro-MD"/>
              </w:rPr>
            </w:pPr>
            <w:r w:rsidRPr="00DD5F1D">
              <w:rPr>
                <w:rFonts w:ascii="Times New Roman" w:eastAsia="Times New Roman" w:hAnsi="Times New Roman" w:cs="Times New Roman"/>
                <w:bCs/>
                <w:sz w:val="20"/>
                <w:lang w:val="ro-MD"/>
              </w:rPr>
              <w:t>68,9</w:t>
            </w:r>
          </w:p>
        </w:tc>
      </w:tr>
      <w:tr w:rsidR="00371338" w:rsidRPr="00DD5F1D" w14:paraId="2B6B4675" w14:textId="77777777" w:rsidTr="00C92EC2">
        <w:trPr>
          <w:jc w:val="center"/>
        </w:trPr>
        <w:tc>
          <w:tcPr>
            <w:tcW w:w="3560" w:type="pct"/>
          </w:tcPr>
          <w:p w14:paraId="1A2DBAEA" w14:textId="77777777" w:rsidR="00371338" w:rsidRPr="00DD5F1D" w:rsidRDefault="00371338" w:rsidP="000C0E15">
            <w:pPr>
              <w:spacing w:line="276" w:lineRule="auto"/>
              <w:rPr>
                <w:rFonts w:ascii="Times New Roman" w:hAnsi="Times New Roman" w:cs="Times New Roman"/>
                <w:sz w:val="20"/>
                <w:lang w:val="ro-MD"/>
              </w:rPr>
            </w:pPr>
            <w:r w:rsidRPr="00DD5F1D">
              <w:rPr>
                <w:rFonts w:ascii="Times New Roman" w:hAnsi="Times New Roman" w:cs="Times New Roman"/>
                <w:sz w:val="20"/>
                <w:lang w:val="ro-MD"/>
              </w:rPr>
              <w:t xml:space="preserve">Diferența, </w:t>
            </w:r>
            <w:r w:rsidRPr="00DD5F1D">
              <w:rPr>
                <w:rFonts w:ascii="Times New Roman" w:hAnsi="Times New Roman" w:cs="Times New Roman"/>
                <w:i/>
                <w:sz w:val="20"/>
                <w:lang w:val="ro-MD"/>
              </w:rPr>
              <w:t>mil.lei</w:t>
            </w:r>
          </w:p>
        </w:tc>
        <w:tc>
          <w:tcPr>
            <w:tcW w:w="1440" w:type="pct"/>
          </w:tcPr>
          <w:p w14:paraId="67686804" w14:textId="77777777" w:rsidR="00371338" w:rsidRPr="00DD5F1D" w:rsidRDefault="00371338" w:rsidP="008B60FF">
            <w:pPr>
              <w:spacing w:line="276" w:lineRule="auto"/>
              <w:jc w:val="right"/>
              <w:rPr>
                <w:rFonts w:ascii="Times New Roman" w:hAnsi="Times New Roman" w:cs="Times New Roman"/>
                <w:sz w:val="20"/>
                <w:lang w:val="ro-MD"/>
              </w:rPr>
            </w:pPr>
            <w:r w:rsidRPr="00DD5F1D">
              <w:rPr>
                <w:rFonts w:ascii="Times New Roman" w:eastAsia="Times New Roman" w:hAnsi="Times New Roman" w:cs="Times New Roman"/>
                <w:bCs/>
                <w:sz w:val="20"/>
                <w:lang w:val="ro-MD"/>
              </w:rPr>
              <w:t>54,3</w:t>
            </w:r>
          </w:p>
        </w:tc>
      </w:tr>
    </w:tbl>
    <w:p w14:paraId="4D7ACAA6" w14:textId="77777777" w:rsidR="00371338" w:rsidRPr="00DD5F1D" w:rsidRDefault="00371338" w:rsidP="00371338">
      <w:pPr>
        <w:rPr>
          <w:rFonts w:ascii="Times New Roman" w:hAnsi="Times New Roman" w:cs="Times New Roman"/>
          <w:i/>
          <w:sz w:val="20"/>
          <w:lang w:val="ro-MD"/>
        </w:rPr>
      </w:pPr>
      <w:r w:rsidRPr="00DD5F1D">
        <w:rPr>
          <w:rFonts w:ascii="Times New Roman" w:hAnsi="Times New Roman" w:cs="Times New Roman"/>
          <w:b/>
          <w:i/>
          <w:sz w:val="20"/>
          <w:lang w:val="ro-MD"/>
        </w:rPr>
        <w:t>Sursa:</w:t>
      </w:r>
      <w:r w:rsidR="00B52AE1" w:rsidRPr="00DD5F1D">
        <w:rPr>
          <w:rFonts w:ascii="Times New Roman" w:hAnsi="Times New Roman" w:cs="Times New Roman"/>
          <w:i/>
          <w:sz w:val="20"/>
          <w:lang w:val="ro-MD"/>
        </w:rPr>
        <w:t xml:space="preserve"> L</w:t>
      </w:r>
      <w:r w:rsidRPr="00DD5F1D">
        <w:rPr>
          <w:rFonts w:ascii="Times New Roman" w:hAnsi="Times New Roman" w:cs="Times New Roman"/>
          <w:i/>
          <w:sz w:val="20"/>
          <w:lang w:val="ro-MD"/>
        </w:rPr>
        <w:t>istele beneficiarilor de indemnizații de maternitate pentru anul 2023 prezentate de CNAS</w:t>
      </w:r>
    </w:p>
    <w:p w14:paraId="7ABD1B77" w14:textId="1BD18CDB" w:rsidR="00F55707" w:rsidRPr="00DD5F1D" w:rsidRDefault="00F55707" w:rsidP="00F55707">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Potrivit estimărilor de audit, suma indemnizațiilor calculate conform noilor prevederi </w:t>
      </w:r>
      <w:r w:rsidR="00E92A5C" w:rsidRPr="00DD5F1D">
        <w:rPr>
          <w:rFonts w:ascii="Times New Roman" w:hAnsi="Times New Roman" w:cs="Times New Roman"/>
          <w:sz w:val="24"/>
          <w:szCs w:val="24"/>
          <w:lang w:val="ro-MD"/>
        </w:rPr>
        <w:t xml:space="preserve">regulamentare </w:t>
      </w:r>
      <w:r w:rsidRPr="00DD5F1D">
        <w:rPr>
          <w:rFonts w:ascii="Times New Roman" w:hAnsi="Times New Roman" w:cs="Times New Roman"/>
          <w:sz w:val="24"/>
          <w:szCs w:val="24"/>
          <w:lang w:val="ro-MD"/>
        </w:rPr>
        <w:t>a fost cu 54</w:t>
      </w:r>
      <w:r w:rsidR="00371338" w:rsidRPr="00DD5F1D">
        <w:rPr>
          <w:rFonts w:ascii="Times New Roman" w:hAnsi="Times New Roman" w:cs="Times New Roman"/>
          <w:sz w:val="24"/>
          <w:szCs w:val="24"/>
          <w:lang w:val="ro-MD"/>
        </w:rPr>
        <w:t xml:space="preserve">,3 mil. </w:t>
      </w:r>
      <w:r w:rsidRPr="00DD5F1D">
        <w:rPr>
          <w:rFonts w:ascii="Times New Roman" w:hAnsi="Times New Roman" w:cs="Times New Roman"/>
          <w:sz w:val="24"/>
          <w:szCs w:val="24"/>
          <w:lang w:val="ro-MD"/>
        </w:rPr>
        <w:t>lei m</w:t>
      </w:r>
      <w:r w:rsidR="00E92A5C" w:rsidRPr="00DD5F1D">
        <w:rPr>
          <w:rFonts w:ascii="Times New Roman" w:hAnsi="Times New Roman" w:cs="Times New Roman"/>
          <w:sz w:val="24"/>
          <w:szCs w:val="24"/>
          <w:lang w:val="ro-MD"/>
        </w:rPr>
        <w:t>ai mare</w:t>
      </w:r>
      <w:r w:rsidRPr="00DD5F1D">
        <w:rPr>
          <w:rFonts w:ascii="Times New Roman" w:hAnsi="Times New Roman" w:cs="Times New Roman"/>
          <w:sz w:val="24"/>
          <w:szCs w:val="24"/>
          <w:lang w:val="ro-MD"/>
        </w:rPr>
        <w:t>, acestea fiind stabilite în baza salariului asigurat al soțului.</w:t>
      </w:r>
    </w:p>
    <w:p w14:paraId="43D3AA47" w14:textId="3C0B6D9F" w:rsidR="00F55707" w:rsidRPr="00DD5F1D" w:rsidRDefault="00F55707" w:rsidP="00F55707">
      <w:pPr>
        <w:spacing w:line="276" w:lineRule="auto"/>
        <w:jc w:val="both"/>
        <w:rPr>
          <w:rFonts w:ascii="Times New Roman" w:hAnsi="Times New Roman" w:cs="Times New Roman"/>
          <w:sz w:val="24"/>
          <w:szCs w:val="24"/>
          <w:shd w:val="clear" w:color="auto" w:fill="FFFFFF"/>
          <w:lang w:val="ro-MD"/>
        </w:rPr>
      </w:pPr>
      <w:r w:rsidRPr="00DD5F1D">
        <w:rPr>
          <w:rFonts w:ascii="Times New Roman" w:hAnsi="Times New Roman" w:cs="Times New Roman"/>
          <w:sz w:val="24"/>
          <w:szCs w:val="24"/>
          <w:lang w:val="ro-MD"/>
        </w:rPr>
        <w:t>De menționat că</w:t>
      </w:r>
      <w:r w:rsidR="00F63990"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în cazul în care beneficiarul nu confirmă stagiul necesar sau </w:t>
      </w:r>
      <w:r w:rsidR="00F63990" w:rsidRPr="00DD5F1D">
        <w:rPr>
          <w:rFonts w:ascii="Times New Roman" w:hAnsi="Times New Roman" w:cs="Times New Roman"/>
          <w:sz w:val="24"/>
          <w:szCs w:val="24"/>
          <w:shd w:val="clear" w:color="auto" w:fill="FFFFFF"/>
          <w:lang w:val="ro-MD"/>
        </w:rPr>
        <w:t>pentru</w:t>
      </w:r>
      <w:r w:rsidRPr="00DD5F1D">
        <w:rPr>
          <w:rFonts w:ascii="Times New Roman" w:hAnsi="Times New Roman" w:cs="Times New Roman"/>
          <w:sz w:val="24"/>
          <w:szCs w:val="24"/>
          <w:shd w:val="clear" w:color="auto" w:fill="FFFFFF"/>
          <w:lang w:val="ro-MD"/>
        </w:rPr>
        <w:t xml:space="preserve"> care lipsește baza de calcul la stabilirea indemnizațiilor</w:t>
      </w:r>
      <w:r w:rsidRPr="00DD5F1D">
        <w:rPr>
          <w:rFonts w:ascii="Times New Roman" w:hAnsi="Times New Roman" w:cs="Times New Roman"/>
          <w:sz w:val="24"/>
          <w:szCs w:val="24"/>
          <w:lang w:val="ro-MD"/>
        </w:rPr>
        <w:t>, b</w:t>
      </w:r>
      <w:r w:rsidRPr="00DD5F1D">
        <w:rPr>
          <w:rFonts w:ascii="Times New Roman" w:hAnsi="Times New Roman" w:cs="Times New Roman"/>
          <w:sz w:val="24"/>
          <w:szCs w:val="24"/>
          <w:shd w:val="clear" w:color="auto" w:fill="FFFFFF"/>
          <w:lang w:val="ro-MD"/>
        </w:rPr>
        <w:t>aza de calcul al indemnizației de maternitate constituie 35% din salariul mediu lunar</w:t>
      </w:r>
      <w:r w:rsidR="002E0E6C" w:rsidRPr="00DD5F1D">
        <w:rPr>
          <w:rFonts w:ascii="Times New Roman" w:hAnsi="Times New Roman" w:cs="Times New Roman"/>
          <w:sz w:val="24"/>
          <w:szCs w:val="24"/>
          <w:shd w:val="clear" w:color="auto" w:fill="FFFFFF"/>
          <w:lang w:val="ro-MD"/>
        </w:rPr>
        <w:t xml:space="preserve"> pe economie</w:t>
      </w:r>
      <w:r w:rsidRPr="00DD5F1D">
        <w:rPr>
          <w:rStyle w:val="a5"/>
          <w:rFonts w:ascii="Times New Roman" w:hAnsi="Times New Roman" w:cs="Times New Roman"/>
          <w:sz w:val="24"/>
          <w:szCs w:val="24"/>
          <w:shd w:val="clear" w:color="auto" w:fill="FFFFFF"/>
          <w:lang w:val="ro-MD"/>
        </w:rPr>
        <w:footnoteReference w:id="109"/>
      </w:r>
      <w:r w:rsidRPr="00DD5F1D">
        <w:rPr>
          <w:rFonts w:ascii="Times New Roman" w:hAnsi="Times New Roman" w:cs="Times New Roman"/>
          <w:sz w:val="24"/>
          <w:szCs w:val="24"/>
          <w:shd w:val="clear" w:color="auto" w:fill="FFFFFF"/>
          <w:lang w:val="ro-MD"/>
        </w:rPr>
        <w:t>, pentru anul în care s-a produs riscul asigurat</w:t>
      </w:r>
      <w:r w:rsidR="00F63990" w:rsidRPr="00DD5F1D">
        <w:rPr>
          <w:rFonts w:ascii="Times New Roman" w:hAnsi="Times New Roman" w:cs="Times New Roman"/>
          <w:sz w:val="24"/>
          <w:szCs w:val="24"/>
          <w:shd w:val="clear" w:color="auto" w:fill="FFFFFF"/>
          <w:lang w:val="ro-MD"/>
        </w:rPr>
        <w:t>,</w:t>
      </w:r>
      <w:r w:rsidRPr="00DD5F1D">
        <w:rPr>
          <w:rFonts w:ascii="Times New Roman" w:hAnsi="Times New Roman" w:cs="Times New Roman"/>
          <w:sz w:val="24"/>
          <w:szCs w:val="24"/>
          <w:shd w:val="clear" w:color="auto" w:fill="FFFFFF"/>
          <w:lang w:val="ro-MD"/>
        </w:rPr>
        <w:t xml:space="preserve"> sau 4</w:t>
      </w:r>
      <w:r w:rsidR="00B52AE1" w:rsidRPr="00DD5F1D">
        <w:rPr>
          <w:rFonts w:ascii="Times New Roman" w:hAnsi="Times New Roman" w:cs="Times New Roman"/>
          <w:sz w:val="24"/>
          <w:szCs w:val="24"/>
          <w:shd w:val="clear" w:color="auto" w:fill="FFFFFF"/>
          <w:lang w:val="ro-MD"/>
        </w:rPr>
        <w:t xml:space="preserve"> </w:t>
      </w:r>
      <w:r w:rsidRPr="00DD5F1D">
        <w:rPr>
          <w:rFonts w:ascii="Times New Roman" w:hAnsi="Times New Roman" w:cs="Times New Roman"/>
          <w:sz w:val="24"/>
          <w:szCs w:val="24"/>
          <w:shd w:val="clear" w:color="auto" w:fill="FFFFFF"/>
          <w:lang w:val="ro-MD"/>
        </w:rPr>
        <w:t>095 lei</w:t>
      </w:r>
      <w:r w:rsidRPr="00DD5F1D">
        <w:rPr>
          <w:rStyle w:val="a5"/>
          <w:rFonts w:ascii="Times New Roman" w:hAnsi="Times New Roman" w:cs="Times New Roman"/>
          <w:sz w:val="24"/>
          <w:szCs w:val="24"/>
          <w:shd w:val="clear" w:color="auto" w:fill="FFFFFF"/>
          <w:lang w:val="ro-MD"/>
        </w:rPr>
        <w:footnoteReference w:id="110"/>
      </w:r>
      <w:r w:rsidRPr="00DD5F1D">
        <w:rPr>
          <w:rFonts w:ascii="Times New Roman" w:hAnsi="Times New Roman" w:cs="Times New Roman"/>
          <w:sz w:val="24"/>
          <w:szCs w:val="24"/>
          <w:shd w:val="clear" w:color="auto" w:fill="FFFFFF"/>
          <w:lang w:val="ro-MD"/>
        </w:rPr>
        <w:t xml:space="preserve">. Conform calculelor estimative de audit, pentru 264 </w:t>
      </w:r>
      <w:r w:rsidR="00F63990" w:rsidRPr="00DD5F1D">
        <w:rPr>
          <w:rFonts w:ascii="Times New Roman" w:hAnsi="Times New Roman" w:cs="Times New Roman"/>
          <w:sz w:val="24"/>
          <w:szCs w:val="24"/>
          <w:shd w:val="clear" w:color="auto" w:fill="FFFFFF"/>
          <w:lang w:val="ro-MD"/>
        </w:rPr>
        <w:t xml:space="preserve">de </w:t>
      </w:r>
      <w:r w:rsidRPr="00DD5F1D">
        <w:rPr>
          <w:rFonts w:ascii="Times New Roman" w:hAnsi="Times New Roman" w:cs="Times New Roman"/>
          <w:sz w:val="24"/>
          <w:szCs w:val="24"/>
          <w:shd w:val="clear" w:color="auto" w:fill="FFFFFF"/>
          <w:lang w:val="ro-MD"/>
        </w:rPr>
        <w:t>persoane au fost stabilite 316 indemnizaț</w:t>
      </w:r>
      <w:r w:rsidR="00B52AE1" w:rsidRPr="00DD5F1D">
        <w:rPr>
          <w:rFonts w:ascii="Times New Roman" w:hAnsi="Times New Roman" w:cs="Times New Roman"/>
          <w:sz w:val="24"/>
          <w:szCs w:val="24"/>
          <w:shd w:val="clear" w:color="auto" w:fill="FFFFFF"/>
          <w:lang w:val="ro-MD"/>
        </w:rPr>
        <w:t>ii de maternitate în sumă de 4</w:t>
      </w:r>
      <w:r w:rsidR="00F63990" w:rsidRPr="00DD5F1D">
        <w:rPr>
          <w:rFonts w:ascii="Times New Roman" w:hAnsi="Times New Roman" w:cs="Times New Roman"/>
          <w:sz w:val="24"/>
          <w:szCs w:val="24"/>
          <w:shd w:val="clear" w:color="auto" w:fill="FFFFFF"/>
          <w:lang w:val="ro-MD"/>
        </w:rPr>
        <w:t xml:space="preserve"> </w:t>
      </w:r>
      <w:r w:rsidRPr="00DD5F1D">
        <w:rPr>
          <w:rFonts w:ascii="Times New Roman" w:hAnsi="Times New Roman" w:cs="Times New Roman"/>
          <w:sz w:val="24"/>
          <w:szCs w:val="24"/>
          <w:shd w:val="clear" w:color="auto" w:fill="FFFFFF"/>
          <w:lang w:val="ro-MD"/>
        </w:rPr>
        <w:t>451,0 mii lei. Astfel, deși acești beneficiari nu întrunesc condițiile generale de stabilire a indemnizației și nu au plătit contribuții</w:t>
      </w:r>
      <w:r w:rsidR="00F63990" w:rsidRPr="00DD5F1D">
        <w:rPr>
          <w:rFonts w:ascii="Times New Roman" w:hAnsi="Times New Roman" w:cs="Times New Roman"/>
          <w:sz w:val="24"/>
          <w:szCs w:val="24"/>
          <w:shd w:val="clear" w:color="auto" w:fill="FFFFFF"/>
          <w:lang w:val="ro-MD"/>
        </w:rPr>
        <w:t>le</w:t>
      </w:r>
      <w:r w:rsidRPr="00DD5F1D">
        <w:rPr>
          <w:rFonts w:ascii="Times New Roman" w:hAnsi="Times New Roman" w:cs="Times New Roman"/>
          <w:sz w:val="24"/>
          <w:szCs w:val="24"/>
          <w:shd w:val="clear" w:color="auto" w:fill="FFFFFF"/>
          <w:lang w:val="ro-MD"/>
        </w:rPr>
        <w:t xml:space="preserve"> necesare, plata acestei prestații se efectuează din mijloacele BASS, iar cadrul legal nu prevede delimit</w:t>
      </w:r>
      <w:r w:rsidR="00F63990" w:rsidRPr="00DD5F1D">
        <w:rPr>
          <w:rFonts w:ascii="Times New Roman" w:hAnsi="Times New Roman" w:cs="Times New Roman"/>
          <w:sz w:val="24"/>
          <w:szCs w:val="24"/>
          <w:shd w:val="clear" w:color="auto" w:fill="FFFFFF"/>
          <w:lang w:val="ro-MD"/>
        </w:rPr>
        <w:t>ări</w:t>
      </w:r>
      <w:r w:rsidRPr="00DD5F1D">
        <w:rPr>
          <w:rFonts w:ascii="Times New Roman" w:hAnsi="Times New Roman" w:cs="Times New Roman"/>
          <w:sz w:val="24"/>
          <w:szCs w:val="24"/>
          <w:shd w:val="clear" w:color="auto" w:fill="FFFFFF"/>
          <w:lang w:val="ro-MD"/>
        </w:rPr>
        <w:t xml:space="preserve"> pe perioade contributive/necontributive cu acoperire din alte surse, de exemplu </w:t>
      </w:r>
      <w:r w:rsidR="00F63990" w:rsidRPr="00DD5F1D">
        <w:rPr>
          <w:rFonts w:ascii="Times New Roman" w:hAnsi="Times New Roman" w:cs="Times New Roman"/>
          <w:sz w:val="24"/>
          <w:szCs w:val="24"/>
          <w:shd w:val="clear" w:color="auto" w:fill="FFFFFF"/>
          <w:lang w:val="ro-MD"/>
        </w:rPr>
        <w:t xml:space="preserve">din </w:t>
      </w:r>
      <w:r w:rsidRPr="00DD5F1D">
        <w:rPr>
          <w:rFonts w:ascii="Times New Roman" w:hAnsi="Times New Roman" w:cs="Times New Roman"/>
          <w:sz w:val="24"/>
          <w:szCs w:val="24"/>
          <w:shd w:val="clear" w:color="auto" w:fill="FFFFFF"/>
          <w:lang w:val="ro-MD"/>
        </w:rPr>
        <w:t xml:space="preserve">BS. </w:t>
      </w:r>
    </w:p>
    <w:p w14:paraId="2A383DFC" w14:textId="01BDB3B4" w:rsidR="00F55707" w:rsidRPr="00DD5F1D" w:rsidRDefault="00F55707" w:rsidP="00F55707">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shd w:val="clear" w:color="auto" w:fill="FFFFFF"/>
          <w:lang w:val="ro-MD"/>
        </w:rPr>
        <w:t>Totodată, de menționat că auditul a identificat alte 1</w:t>
      </w:r>
      <w:r w:rsidR="00B52AE1" w:rsidRPr="00DD5F1D">
        <w:rPr>
          <w:rFonts w:ascii="Times New Roman" w:hAnsi="Times New Roman" w:cs="Times New Roman"/>
          <w:sz w:val="24"/>
          <w:szCs w:val="24"/>
          <w:shd w:val="clear" w:color="auto" w:fill="FFFFFF"/>
          <w:lang w:val="ro-MD"/>
        </w:rPr>
        <w:t xml:space="preserve"> </w:t>
      </w:r>
      <w:r w:rsidRPr="00DD5F1D">
        <w:rPr>
          <w:rFonts w:ascii="Times New Roman" w:hAnsi="Times New Roman" w:cs="Times New Roman"/>
          <w:sz w:val="24"/>
          <w:szCs w:val="24"/>
          <w:shd w:val="clear" w:color="auto" w:fill="FFFFFF"/>
          <w:lang w:val="ro-MD"/>
        </w:rPr>
        <w:t xml:space="preserve">735 de persoane </w:t>
      </w:r>
      <w:r w:rsidR="00F63990" w:rsidRPr="00DD5F1D">
        <w:rPr>
          <w:rFonts w:ascii="Times New Roman" w:hAnsi="Times New Roman" w:cs="Times New Roman"/>
          <w:sz w:val="24"/>
          <w:szCs w:val="24"/>
          <w:shd w:val="clear" w:color="auto" w:fill="FFFFFF"/>
          <w:lang w:val="ro-MD"/>
        </w:rPr>
        <w:t>care beneficiază de</w:t>
      </w:r>
      <w:r w:rsidRPr="00DD5F1D">
        <w:rPr>
          <w:rFonts w:ascii="Times New Roman" w:hAnsi="Times New Roman" w:cs="Times New Roman"/>
          <w:sz w:val="24"/>
          <w:szCs w:val="24"/>
          <w:shd w:val="clear" w:color="auto" w:fill="FFFFFF"/>
          <w:lang w:val="ro-MD"/>
        </w:rPr>
        <w:t xml:space="preserve"> 2</w:t>
      </w:r>
      <w:r w:rsidR="00B52AE1" w:rsidRPr="00DD5F1D">
        <w:rPr>
          <w:rFonts w:ascii="Times New Roman" w:hAnsi="Times New Roman" w:cs="Times New Roman"/>
          <w:sz w:val="24"/>
          <w:szCs w:val="24"/>
          <w:shd w:val="clear" w:color="auto" w:fill="FFFFFF"/>
          <w:lang w:val="ro-MD"/>
        </w:rPr>
        <w:t xml:space="preserve"> </w:t>
      </w:r>
      <w:r w:rsidRPr="00DD5F1D">
        <w:rPr>
          <w:rFonts w:ascii="Times New Roman" w:hAnsi="Times New Roman" w:cs="Times New Roman"/>
          <w:sz w:val="24"/>
          <w:szCs w:val="24"/>
          <w:shd w:val="clear" w:color="auto" w:fill="FFFFFF"/>
          <w:lang w:val="ro-MD"/>
        </w:rPr>
        <w:t xml:space="preserve">055 </w:t>
      </w:r>
      <w:r w:rsidR="00F63990" w:rsidRPr="00DD5F1D">
        <w:rPr>
          <w:rFonts w:ascii="Times New Roman" w:hAnsi="Times New Roman" w:cs="Times New Roman"/>
          <w:sz w:val="24"/>
          <w:szCs w:val="24"/>
          <w:shd w:val="clear" w:color="auto" w:fill="FFFFFF"/>
          <w:lang w:val="ro-MD"/>
        </w:rPr>
        <w:t xml:space="preserve">de </w:t>
      </w:r>
      <w:r w:rsidRPr="00DD5F1D">
        <w:rPr>
          <w:rFonts w:ascii="Times New Roman" w:hAnsi="Times New Roman" w:cs="Times New Roman"/>
          <w:sz w:val="24"/>
          <w:szCs w:val="24"/>
          <w:shd w:val="clear" w:color="auto" w:fill="FFFFFF"/>
          <w:lang w:val="ro-MD"/>
        </w:rPr>
        <w:t>indemnizații în sumă totală de 6 006,5 mii lei, care</w:t>
      </w:r>
      <w:r w:rsidR="00F63990" w:rsidRPr="00DD5F1D">
        <w:rPr>
          <w:rFonts w:ascii="Times New Roman" w:hAnsi="Times New Roman" w:cs="Times New Roman"/>
          <w:sz w:val="24"/>
          <w:szCs w:val="24"/>
          <w:shd w:val="clear" w:color="auto" w:fill="FFFFFF"/>
          <w:lang w:val="ro-MD"/>
        </w:rPr>
        <w:t>,</w:t>
      </w:r>
      <w:r w:rsidRPr="00DD5F1D">
        <w:rPr>
          <w:rFonts w:ascii="Times New Roman" w:hAnsi="Times New Roman" w:cs="Times New Roman"/>
          <w:sz w:val="24"/>
          <w:szCs w:val="24"/>
          <w:shd w:val="clear" w:color="auto" w:fill="FFFFFF"/>
          <w:lang w:val="ro-MD"/>
        </w:rPr>
        <w:t xml:space="preserve"> deși</w:t>
      </w:r>
      <w:r w:rsidR="00E92A5C" w:rsidRPr="00DD5F1D">
        <w:rPr>
          <w:rFonts w:ascii="Times New Roman" w:hAnsi="Times New Roman" w:cs="Times New Roman"/>
          <w:sz w:val="24"/>
          <w:szCs w:val="24"/>
          <w:shd w:val="clear" w:color="auto" w:fill="FFFFFF"/>
          <w:lang w:val="ro-MD"/>
        </w:rPr>
        <w:t xml:space="preserve"> au asigurat</w:t>
      </w:r>
      <w:r w:rsidRPr="00DD5F1D">
        <w:rPr>
          <w:rFonts w:ascii="Times New Roman" w:hAnsi="Times New Roman" w:cs="Times New Roman"/>
          <w:sz w:val="24"/>
          <w:szCs w:val="24"/>
          <w:shd w:val="clear" w:color="auto" w:fill="FFFFFF"/>
          <w:lang w:val="ro-MD"/>
        </w:rPr>
        <w:t xml:space="preserve"> un stagiu de cotizare de până la 16 ani,</w:t>
      </w:r>
      <w:r w:rsidR="00E92A5C" w:rsidRPr="00DD5F1D">
        <w:rPr>
          <w:rFonts w:ascii="Times New Roman" w:hAnsi="Times New Roman" w:cs="Times New Roman"/>
          <w:sz w:val="24"/>
          <w:szCs w:val="24"/>
          <w:shd w:val="clear" w:color="auto" w:fill="FFFFFF"/>
          <w:lang w:val="ro-MD"/>
        </w:rPr>
        <w:t xml:space="preserve"> au beneficiat</w:t>
      </w:r>
      <w:r w:rsidRPr="00DD5F1D">
        <w:rPr>
          <w:rFonts w:ascii="Times New Roman" w:hAnsi="Times New Roman" w:cs="Times New Roman"/>
          <w:sz w:val="24"/>
          <w:szCs w:val="24"/>
          <w:shd w:val="clear" w:color="auto" w:fill="FFFFFF"/>
          <w:lang w:val="ro-MD"/>
        </w:rPr>
        <w:t xml:space="preserve"> de o indemnizație de maternitate în cuantum mai </w:t>
      </w:r>
      <w:r w:rsidR="00E92A5C" w:rsidRPr="00DD5F1D">
        <w:rPr>
          <w:rFonts w:ascii="Times New Roman" w:hAnsi="Times New Roman" w:cs="Times New Roman"/>
          <w:sz w:val="24"/>
          <w:szCs w:val="24"/>
          <w:shd w:val="clear" w:color="auto" w:fill="FFFFFF"/>
          <w:lang w:val="ro-MD"/>
        </w:rPr>
        <w:t>mic</w:t>
      </w:r>
      <w:r w:rsidR="00F63990" w:rsidRPr="00DD5F1D">
        <w:rPr>
          <w:rFonts w:ascii="Times New Roman" w:hAnsi="Times New Roman" w:cs="Times New Roman"/>
          <w:sz w:val="24"/>
          <w:szCs w:val="24"/>
          <w:shd w:val="clear" w:color="auto" w:fill="FFFFFF"/>
          <w:lang w:val="ro-MD"/>
        </w:rPr>
        <w:t>,</w:t>
      </w:r>
      <w:r w:rsidR="00E92A5C" w:rsidRPr="00DD5F1D">
        <w:rPr>
          <w:rFonts w:ascii="Times New Roman" w:hAnsi="Times New Roman" w:cs="Times New Roman"/>
          <w:sz w:val="24"/>
          <w:szCs w:val="24"/>
          <w:shd w:val="clear" w:color="auto" w:fill="FFFFFF"/>
          <w:lang w:val="ro-MD"/>
        </w:rPr>
        <w:t xml:space="preserve"> comparativ cu cei care nu dispun de</w:t>
      </w:r>
      <w:r w:rsidRPr="00DD5F1D">
        <w:rPr>
          <w:rFonts w:ascii="Times New Roman" w:hAnsi="Times New Roman" w:cs="Times New Roman"/>
          <w:sz w:val="24"/>
          <w:szCs w:val="24"/>
          <w:shd w:val="clear" w:color="auto" w:fill="FFFFFF"/>
          <w:lang w:val="ro-MD"/>
        </w:rPr>
        <w:t xml:space="preserve"> stagiu. </w:t>
      </w:r>
    </w:p>
    <w:p w14:paraId="4AAEBE5E" w14:textId="7A563473" w:rsidR="00F55707" w:rsidRPr="00DD5F1D" w:rsidRDefault="00E92A5C" w:rsidP="00F55707">
      <w:pPr>
        <w:jc w:val="both"/>
        <w:rPr>
          <w:rFonts w:ascii="Times New Roman" w:hAnsi="Times New Roman" w:cs="Times New Roman"/>
          <w:sz w:val="24"/>
          <w:szCs w:val="24"/>
          <w:shd w:val="clear" w:color="auto" w:fill="FFFFFF"/>
          <w:lang w:val="ro-MD"/>
        </w:rPr>
      </w:pPr>
      <w:r w:rsidRPr="00DD5F1D">
        <w:rPr>
          <w:rFonts w:ascii="Times New Roman" w:hAnsi="Times New Roman" w:cs="Times New Roman"/>
          <w:sz w:val="24"/>
          <w:szCs w:val="24"/>
          <w:shd w:val="clear" w:color="auto" w:fill="FFFFFF"/>
          <w:lang w:val="ro-MD"/>
        </w:rPr>
        <w:t>Î</w:t>
      </w:r>
      <w:r w:rsidR="00F55707" w:rsidRPr="00DD5F1D">
        <w:rPr>
          <w:rFonts w:ascii="Times New Roman" w:hAnsi="Times New Roman" w:cs="Times New Roman"/>
          <w:sz w:val="24"/>
          <w:szCs w:val="24"/>
          <w:shd w:val="clear" w:color="auto" w:fill="FFFFFF"/>
          <w:lang w:val="ro-MD"/>
        </w:rPr>
        <w:t>n acest fel nu este asigurat principiul contributivității, conform căruia drepturile de asigu</w:t>
      </w:r>
      <w:r w:rsidRPr="00DD5F1D">
        <w:rPr>
          <w:rFonts w:ascii="Times New Roman" w:hAnsi="Times New Roman" w:cs="Times New Roman"/>
          <w:sz w:val="24"/>
          <w:szCs w:val="24"/>
          <w:shd w:val="clear" w:color="auto" w:fill="FFFFFF"/>
          <w:lang w:val="ro-MD"/>
        </w:rPr>
        <w:t>rări sociale se cuvin pe baza</w:t>
      </w:r>
      <w:r w:rsidR="00F55707" w:rsidRPr="00DD5F1D">
        <w:rPr>
          <w:rFonts w:ascii="Times New Roman" w:hAnsi="Times New Roman" w:cs="Times New Roman"/>
          <w:sz w:val="24"/>
          <w:szCs w:val="24"/>
          <w:shd w:val="clear" w:color="auto" w:fill="FFFFFF"/>
          <w:lang w:val="ro-MD"/>
        </w:rPr>
        <w:t xml:space="preserve"> contribuțiilor de asigurări sociale plătite în BASS.</w:t>
      </w:r>
    </w:p>
    <w:p w14:paraId="2CCA037A" w14:textId="74178DC5" w:rsidR="00790205" w:rsidRPr="00DD5F1D" w:rsidRDefault="00790205" w:rsidP="00E92A5C">
      <w:pPr>
        <w:pStyle w:val="2"/>
        <w:numPr>
          <w:ilvl w:val="1"/>
          <w:numId w:val="2"/>
        </w:numPr>
        <w:spacing w:after="240" w:line="276" w:lineRule="auto"/>
        <w:ind w:left="0" w:firstLine="0"/>
        <w:jc w:val="both"/>
        <w:rPr>
          <w:rFonts w:ascii="Times New Roman" w:hAnsi="Times New Roman" w:cs="Times New Roman"/>
          <w:b/>
          <w:color w:val="auto"/>
          <w:sz w:val="24"/>
          <w:szCs w:val="24"/>
          <w:lang w:val="ro-MD"/>
        </w:rPr>
      </w:pPr>
      <w:r w:rsidRPr="00DD5F1D">
        <w:rPr>
          <w:rFonts w:ascii="Times New Roman" w:hAnsi="Times New Roman" w:cs="Times New Roman"/>
          <w:b/>
          <w:color w:val="auto"/>
          <w:sz w:val="24"/>
          <w:szCs w:val="24"/>
          <w:lang w:val="ro-MD"/>
        </w:rPr>
        <w:t>Normele interpretative și ambiguitățile cadrului legislativ-normativ creează impedimente în descrier</w:t>
      </w:r>
      <w:r w:rsidR="00F63990" w:rsidRPr="00DD5F1D">
        <w:rPr>
          <w:rFonts w:ascii="Times New Roman" w:hAnsi="Times New Roman" w:cs="Times New Roman"/>
          <w:b/>
          <w:color w:val="auto"/>
          <w:sz w:val="24"/>
          <w:szCs w:val="24"/>
          <w:lang w:val="ro-MD"/>
        </w:rPr>
        <w:t>ea</w:t>
      </w:r>
      <w:r w:rsidRPr="00DD5F1D">
        <w:rPr>
          <w:rFonts w:ascii="Times New Roman" w:hAnsi="Times New Roman" w:cs="Times New Roman"/>
          <w:b/>
          <w:color w:val="auto"/>
          <w:sz w:val="24"/>
          <w:szCs w:val="24"/>
          <w:lang w:val="ro-MD"/>
        </w:rPr>
        <w:t xml:space="preserve"> clar</w:t>
      </w:r>
      <w:r w:rsidR="00F63990" w:rsidRPr="00DD5F1D">
        <w:rPr>
          <w:rFonts w:ascii="Times New Roman" w:hAnsi="Times New Roman" w:cs="Times New Roman"/>
          <w:b/>
          <w:color w:val="auto"/>
          <w:sz w:val="24"/>
          <w:szCs w:val="24"/>
          <w:lang w:val="ro-MD"/>
        </w:rPr>
        <w:t>ă</w:t>
      </w:r>
      <w:r w:rsidRPr="00DD5F1D">
        <w:rPr>
          <w:rFonts w:ascii="Times New Roman" w:hAnsi="Times New Roman" w:cs="Times New Roman"/>
          <w:b/>
          <w:color w:val="auto"/>
          <w:sz w:val="24"/>
          <w:szCs w:val="24"/>
          <w:lang w:val="ro-MD"/>
        </w:rPr>
        <w:t xml:space="preserve"> și exhaustiv</w:t>
      </w:r>
      <w:r w:rsidR="00F63990" w:rsidRPr="00DD5F1D">
        <w:rPr>
          <w:rFonts w:ascii="Times New Roman" w:hAnsi="Times New Roman" w:cs="Times New Roman"/>
          <w:b/>
          <w:color w:val="auto"/>
          <w:sz w:val="24"/>
          <w:szCs w:val="24"/>
          <w:lang w:val="ro-MD"/>
        </w:rPr>
        <w:t>ă</w:t>
      </w:r>
      <w:r w:rsidRPr="00DD5F1D">
        <w:rPr>
          <w:rFonts w:ascii="Times New Roman" w:hAnsi="Times New Roman" w:cs="Times New Roman"/>
          <w:b/>
          <w:color w:val="auto"/>
          <w:sz w:val="24"/>
          <w:szCs w:val="24"/>
          <w:lang w:val="ro-MD"/>
        </w:rPr>
        <w:t xml:space="preserve"> a instrumentelor, mecanismelor, tehnicilor și procedurilor de calculare a soldei bănești</w:t>
      </w:r>
      <w:r w:rsidR="00E8678A" w:rsidRPr="00DD5F1D">
        <w:rPr>
          <w:rFonts w:ascii="Times New Roman" w:hAnsi="Times New Roman" w:cs="Times New Roman"/>
          <w:b/>
          <w:color w:val="auto"/>
          <w:sz w:val="24"/>
          <w:szCs w:val="24"/>
          <w:lang w:val="ro-MD"/>
        </w:rPr>
        <w:t>, care la rândul</w:t>
      </w:r>
      <w:r w:rsidRPr="00DD5F1D">
        <w:rPr>
          <w:rFonts w:ascii="Times New Roman" w:hAnsi="Times New Roman" w:cs="Times New Roman"/>
          <w:b/>
          <w:color w:val="auto"/>
          <w:sz w:val="24"/>
          <w:szCs w:val="24"/>
          <w:lang w:val="ro-MD"/>
        </w:rPr>
        <w:t xml:space="preserve"> e</w:t>
      </w:r>
      <w:r w:rsidR="00E8678A" w:rsidRPr="00DD5F1D">
        <w:rPr>
          <w:rFonts w:ascii="Times New Roman" w:hAnsi="Times New Roman" w:cs="Times New Roman"/>
          <w:b/>
          <w:color w:val="auto"/>
          <w:sz w:val="24"/>
          <w:szCs w:val="24"/>
          <w:lang w:val="ro-MD"/>
        </w:rPr>
        <w:t>i</w:t>
      </w:r>
      <w:r w:rsidRPr="00DD5F1D">
        <w:rPr>
          <w:rFonts w:ascii="Times New Roman" w:hAnsi="Times New Roman" w:cs="Times New Roman"/>
          <w:b/>
          <w:color w:val="auto"/>
          <w:sz w:val="24"/>
          <w:szCs w:val="24"/>
          <w:lang w:val="ro-MD"/>
        </w:rPr>
        <w:t xml:space="preserve"> influențează stabilirea cuantumului  pensiilor pentru vechime în muncă militarilor şi persoanelor din corpul de comandă şi din trupele organelor afacerilor interne</w:t>
      </w:r>
      <w:r w:rsidR="00F63990" w:rsidRPr="00DD5F1D">
        <w:rPr>
          <w:rFonts w:ascii="Times New Roman" w:hAnsi="Times New Roman" w:cs="Times New Roman"/>
          <w:b/>
          <w:color w:val="auto"/>
          <w:sz w:val="24"/>
          <w:szCs w:val="24"/>
          <w:lang w:val="ro-MD"/>
        </w:rPr>
        <w:t>.</w:t>
      </w:r>
    </w:p>
    <w:p w14:paraId="5CF4254D" w14:textId="4E8005EE" w:rsidR="00790205" w:rsidRPr="00DD5F1D" w:rsidRDefault="00790205" w:rsidP="00180288">
      <w:pPr>
        <w:pStyle w:val="aa"/>
        <w:shd w:val="clear" w:color="auto" w:fill="FFFFFF" w:themeFill="background1"/>
        <w:spacing w:before="120" w:line="276" w:lineRule="auto"/>
        <w:ind w:left="0"/>
        <w:jc w:val="both"/>
        <w:rPr>
          <w:rFonts w:ascii="Times New Roman" w:hAnsi="Times New Roman" w:cs="Times New Roman"/>
          <w:sz w:val="24"/>
          <w:szCs w:val="24"/>
          <w:lang w:val="ro-MD"/>
        </w:rPr>
      </w:pPr>
      <w:r w:rsidRPr="00DD5F1D">
        <w:rPr>
          <w:rFonts w:ascii="Times New Roman" w:hAnsi="Times New Roman" w:cs="Times New Roman"/>
          <w:iCs/>
          <w:sz w:val="24"/>
          <w:szCs w:val="24"/>
          <w:lang w:val="ro-MD"/>
        </w:rPr>
        <w:t>În</w:t>
      </w:r>
      <w:r w:rsidR="00E8678A" w:rsidRPr="00DD5F1D">
        <w:rPr>
          <w:rFonts w:ascii="Times New Roman" w:hAnsi="Times New Roman" w:cs="Times New Roman"/>
          <w:iCs/>
          <w:sz w:val="24"/>
          <w:szCs w:val="24"/>
          <w:lang w:val="ro-MD"/>
        </w:rPr>
        <w:t xml:space="preserve"> acest</w:t>
      </w:r>
      <w:r w:rsidRPr="00DD5F1D">
        <w:rPr>
          <w:rFonts w:ascii="Times New Roman" w:hAnsi="Times New Roman" w:cs="Times New Roman"/>
          <w:iCs/>
          <w:sz w:val="24"/>
          <w:szCs w:val="24"/>
          <w:lang w:val="ro-MD"/>
        </w:rPr>
        <w:t xml:space="preserve"> context, potrivit cadrului legislativ</w:t>
      </w:r>
      <w:r w:rsidRPr="00DD5F1D">
        <w:rPr>
          <w:rFonts w:ascii="Times New Roman" w:hAnsi="Times New Roman" w:cs="Times New Roman"/>
          <w:sz w:val="24"/>
          <w:szCs w:val="24"/>
          <w:vertAlign w:val="superscript"/>
          <w:lang w:val="ro-MD"/>
        </w:rPr>
        <w:footnoteReference w:id="111"/>
      </w:r>
      <w:r w:rsidRPr="00DD5F1D">
        <w:rPr>
          <w:rFonts w:ascii="Times New Roman" w:hAnsi="Times New Roman" w:cs="Times New Roman"/>
          <w:iCs/>
          <w:sz w:val="24"/>
          <w:szCs w:val="24"/>
          <w:lang w:val="ro-MD"/>
        </w:rPr>
        <w:t xml:space="preserve">, pensia </w:t>
      </w:r>
      <w:r w:rsidRPr="00DD5F1D">
        <w:rPr>
          <w:rFonts w:ascii="Times New Roman" w:hAnsi="Times New Roman" w:cs="Times New Roman"/>
          <w:sz w:val="24"/>
          <w:szCs w:val="24"/>
          <w:lang w:val="ro-MD"/>
        </w:rPr>
        <w:t xml:space="preserve">militarilor şi a persoanelor din corpul de comandă şi din trupele organelor afacerilor interne se calculează din: salariul funcției, salariul pentru gradul militar sau special, sporul procentual pentru vechime în serviciu primite înainte de concediere, precum și din media lunară a altor recompense, plăți, sporuri și suplimente primite în ultimul an de serviciu, cu excepția plăților compensatorii și a </w:t>
      </w:r>
      <w:r w:rsidR="00E8678A" w:rsidRPr="00DD5F1D">
        <w:rPr>
          <w:rFonts w:ascii="Times New Roman" w:hAnsi="Times New Roman" w:cs="Times New Roman"/>
          <w:sz w:val="24"/>
          <w:szCs w:val="24"/>
          <w:lang w:val="ro-MD"/>
        </w:rPr>
        <w:t>i</w:t>
      </w:r>
      <w:r w:rsidRPr="00DD5F1D">
        <w:rPr>
          <w:rFonts w:ascii="Times New Roman" w:hAnsi="Times New Roman" w:cs="Times New Roman"/>
          <w:sz w:val="24"/>
          <w:szCs w:val="24"/>
          <w:lang w:val="ro-MD"/>
        </w:rPr>
        <w:t>ndemnizației bănești unice. Concomitent, Legea nr.270 prevede că salariul lunar al personalului din unitățile bugetare este constituit din: salariu de bază, spor pentru performanță și spor cu caracter specific. Odată cu intrarea în vigoare a Legii privind sistemul unic de salarizare</w:t>
      </w:r>
      <w:r w:rsidRPr="00DD5F1D">
        <w:rPr>
          <w:rStyle w:val="a5"/>
          <w:rFonts w:ascii="Times New Roman" w:hAnsi="Times New Roman" w:cs="Times New Roman"/>
          <w:sz w:val="24"/>
          <w:szCs w:val="24"/>
          <w:lang w:val="ro-MD"/>
        </w:rPr>
        <w:footnoteReference w:id="112"/>
      </w:r>
      <w:r w:rsidRPr="00DD5F1D">
        <w:rPr>
          <w:rFonts w:ascii="Times New Roman" w:hAnsi="Times New Roman" w:cs="Times New Roman"/>
          <w:sz w:val="24"/>
          <w:szCs w:val="24"/>
          <w:lang w:val="ro-MD"/>
        </w:rPr>
        <w:t xml:space="preserve">, se denotă lipsa concordanței între sporurile salariale și cele care se iau în calcul la stabilirea pensiei. </w:t>
      </w:r>
    </w:p>
    <w:p w14:paraId="1D47EDD7" w14:textId="21D67D3F" w:rsidR="00790205" w:rsidRPr="00DD5F1D" w:rsidRDefault="00790205" w:rsidP="00180288">
      <w:pPr>
        <w:pStyle w:val="aa"/>
        <w:shd w:val="clear" w:color="auto" w:fill="FFFFFF" w:themeFill="background1"/>
        <w:spacing w:before="120" w:line="276" w:lineRule="auto"/>
        <w:ind w:left="0"/>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Concomitent, se menționează că începând cu anul 2017, </w:t>
      </w:r>
      <w:r w:rsidRPr="00DD5F1D">
        <w:rPr>
          <w:rFonts w:ascii="Times New Roman" w:hAnsi="Times New Roman" w:cs="Times New Roman"/>
          <w:sz w:val="24"/>
          <w:szCs w:val="24"/>
          <w:shd w:val="clear" w:color="auto" w:fill="FFFFFF"/>
          <w:lang w:val="ro-MD"/>
        </w:rPr>
        <w:t>militarii care îndeplinesc serviciul prin contract, persoanele din corpul de comandă și din trupele organelor afacerilor interne și sistemului penitenciar, ofițerii de protecție și colaboratorii organelor securității statului și Centrului Național Anticorupție, au fost incluși în sistemul public de asigurări sociale</w:t>
      </w:r>
      <w:r w:rsidRPr="00DD5F1D">
        <w:rPr>
          <w:rStyle w:val="a5"/>
          <w:rFonts w:ascii="Times New Roman" w:hAnsi="Times New Roman" w:cs="Times New Roman"/>
          <w:sz w:val="24"/>
          <w:szCs w:val="24"/>
          <w:shd w:val="clear" w:color="auto" w:fill="FFFFFF"/>
          <w:lang w:val="ro-MD"/>
        </w:rPr>
        <w:footnoteReference w:id="113"/>
      </w:r>
      <w:r w:rsidR="00E92A5C" w:rsidRPr="00DD5F1D">
        <w:rPr>
          <w:rFonts w:ascii="Times New Roman" w:hAnsi="Times New Roman" w:cs="Times New Roman"/>
          <w:sz w:val="24"/>
          <w:szCs w:val="24"/>
          <w:shd w:val="clear" w:color="auto" w:fill="FFFFFF"/>
          <w:lang w:val="ro-MD"/>
        </w:rPr>
        <w:t xml:space="preserve">. </w:t>
      </w:r>
      <w:r w:rsidR="00E8678A" w:rsidRPr="00DD5F1D">
        <w:rPr>
          <w:rFonts w:ascii="Times New Roman" w:hAnsi="Times New Roman" w:cs="Times New Roman"/>
          <w:sz w:val="24"/>
          <w:szCs w:val="24"/>
          <w:shd w:val="clear" w:color="auto" w:fill="FFFFFF"/>
          <w:lang w:val="ro-MD"/>
        </w:rPr>
        <w:t>De menționat că</w:t>
      </w:r>
      <w:r w:rsidR="00E92A5C" w:rsidRPr="00DD5F1D">
        <w:rPr>
          <w:rFonts w:ascii="Times New Roman" w:hAnsi="Times New Roman" w:cs="Times New Roman"/>
          <w:sz w:val="24"/>
          <w:szCs w:val="24"/>
          <w:shd w:val="clear" w:color="auto" w:fill="FFFFFF"/>
          <w:lang w:val="ro-MD"/>
        </w:rPr>
        <w:t>, până la momentul actual</w:t>
      </w:r>
      <w:r w:rsidRPr="00DD5F1D">
        <w:rPr>
          <w:rFonts w:ascii="Times New Roman" w:hAnsi="Times New Roman" w:cs="Times New Roman"/>
          <w:sz w:val="24"/>
          <w:szCs w:val="24"/>
          <w:shd w:val="clear" w:color="auto" w:fill="FFFFFF"/>
          <w:lang w:val="ro-MD"/>
        </w:rPr>
        <w:t>, datele pentru stabilirea pensiei sunt fur</w:t>
      </w:r>
      <w:r w:rsidR="00E92A5C" w:rsidRPr="00DD5F1D">
        <w:rPr>
          <w:rFonts w:ascii="Times New Roman" w:hAnsi="Times New Roman" w:cs="Times New Roman"/>
          <w:sz w:val="24"/>
          <w:szCs w:val="24"/>
          <w:shd w:val="clear" w:color="auto" w:fill="FFFFFF"/>
          <w:lang w:val="ro-MD"/>
        </w:rPr>
        <w:t>nizate de instituțiile de forță</w:t>
      </w:r>
      <w:r w:rsidRPr="00DD5F1D">
        <w:rPr>
          <w:rFonts w:ascii="Times New Roman" w:hAnsi="Times New Roman" w:cs="Times New Roman"/>
          <w:sz w:val="24"/>
          <w:szCs w:val="24"/>
          <w:shd w:val="clear" w:color="auto" w:fill="FFFFFF"/>
          <w:lang w:val="ro-MD"/>
        </w:rPr>
        <w:t xml:space="preserve"> în baza certificatelor care confirmă solda</w:t>
      </w:r>
      <w:r w:rsidR="00B52AE1" w:rsidRPr="00DD5F1D">
        <w:rPr>
          <w:rStyle w:val="a5"/>
          <w:rFonts w:ascii="Times New Roman" w:hAnsi="Times New Roman" w:cs="Times New Roman"/>
          <w:sz w:val="24"/>
          <w:szCs w:val="24"/>
          <w:shd w:val="clear" w:color="auto" w:fill="FFFFFF"/>
          <w:lang w:val="ro-MD"/>
        </w:rPr>
        <w:footnoteReference w:id="114"/>
      </w:r>
      <w:r w:rsidRPr="00DD5F1D">
        <w:rPr>
          <w:rFonts w:ascii="Times New Roman" w:hAnsi="Times New Roman" w:cs="Times New Roman"/>
          <w:sz w:val="24"/>
          <w:szCs w:val="24"/>
          <w:shd w:val="clear" w:color="auto" w:fill="FFFFFF"/>
          <w:lang w:val="ro-MD"/>
        </w:rPr>
        <w:t>.</w:t>
      </w:r>
    </w:p>
    <w:p w14:paraId="6B7C160A" w14:textId="1EF2088C" w:rsidR="00C954F3" w:rsidRPr="00DD5F1D" w:rsidRDefault="00790205" w:rsidP="00790205">
      <w:pPr>
        <w:spacing w:before="240" w:after="0" w:line="276" w:lineRule="auto"/>
        <w:jc w:val="both"/>
        <w:rPr>
          <w:rFonts w:ascii="Times New Roman" w:hAnsi="Times New Roman" w:cs="Times New Roman"/>
          <w:iCs/>
          <w:sz w:val="24"/>
          <w:szCs w:val="24"/>
          <w:lang w:val="ro-MD"/>
        </w:rPr>
      </w:pPr>
      <w:r w:rsidRPr="00DD5F1D">
        <w:rPr>
          <w:rFonts w:ascii="Times New Roman" w:hAnsi="Times New Roman" w:cs="Times New Roman"/>
          <w:iCs/>
          <w:sz w:val="24"/>
          <w:szCs w:val="24"/>
          <w:lang w:val="ro-MD"/>
        </w:rPr>
        <w:t xml:space="preserve">Se remarcă </w:t>
      </w:r>
      <w:r w:rsidR="00E8678A" w:rsidRPr="00DD5F1D">
        <w:rPr>
          <w:rFonts w:ascii="Times New Roman" w:hAnsi="Times New Roman" w:cs="Times New Roman"/>
          <w:iCs/>
          <w:sz w:val="24"/>
          <w:szCs w:val="24"/>
          <w:lang w:val="ro-MD"/>
        </w:rPr>
        <w:t xml:space="preserve">faptul </w:t>
      </w:r>
      <w:r w:rsidRPr="00DD5F1D">
        <w:rPr>
          <w:rFonts w:ascii="Times New Roman" w:hAnsi="Times New Roman" w:cs="Times New Roman"/>
          <w:iCs/>
          <w:sz w:val="24"/>
          <w:szCs w:val="24"/>
          <w:lang w:val="ro-MD"/>
        </w:rPr>
        <w:t>că</w:t>
      </w:r>
      <w:r w:rsidR="00E8678A" w:rsidRPr="00DD5F1D">
        <w:rPr>
          <w:rFonts w:ascii="Times New Roman" w:hAnsi="Times New Roman" w:cs="Times New Roman"/>
          <w:iCs/>
          <w:sz w:val="24"/>
          <w:szCs w:val="24"/>
          <w:lang w:val="ro-MD"/>
        </w:rPr>
        <w:t>,</w:t>
      </w:r>
      <w:r w:rsidRPr="00DD5F1D">
        <w:rPr>
          <w:rFonts w:ascii="Times New Roman" w:hAnsi="Times New Roman" w:cs="Times New Roman"/>
          <w:iCs/>
          <w:sz w:val="24"/>
          <w:szCs w:val="24"/>
          <w:lang w:val="ro-MD"/>
        </w:rPr>
        <w:t xml:space="preserve"> începând cu anul 2018</w:t>
      </w:r>
      <w:r w:rsidRPr="00DD5F1D">
        <w:rPr>
          <w:rStyle w:val="a5"/>
          <w:rFonts w:ascii="Times New Roman" w:hAnsi="Times New Roman" w:cs="Times New Roman"/>
          <w:iCs/>
          <w:sz w:val="24"/>
          <w:szCs w:val="24"/>
          <w:lang w:val="ro-MD"/>
        </w:rPr>
        <w:footnoteReference w:id="115"/>
      </w:r>
      <w:r w:rsidR="001F6368" w:rsidRPr="00DD5F1D">
        <w:rPr>
          <w:rFonts w:ascii="Times New Roman" w:hAnsi="Times New Roman" w:cs="Times New Roman"/>
          <w:iCs/>
          <w:sz w:val="24"/>
          <w:szCs w:val="24"/>
          <w:lang w:val="ro-MD"/>
        </w:rPr>
        <w:t>,</w:t>
      </w:r>
      <w:r w:rsidRPr="00DD5F1D">
        <w:rPr>
          <w:rFonts w:ascii="Times New Roman" w:hAnsi="Times New Roman" w:cs="Times New Roman"/>
          <w:iCs/>
          <w:sz w:val="24"/>
          <w:szCs w:val="24"/>
          <w:lang w:val="ro-MD"/>
        </w:rPr>
        <w:t xml:space="preserve"> Curtea de Conturi a înaintat recomandări privind modificarea/completarea cadrului legislativ-normativ în vederea descrierii clare și exhaustive a instrumentelor, mecanismelor, tehnicilor și procedurilor de calculare a vechimii în muncă și a soldei. </w:t>
      </w:r>
      <w:r w:rsidR="008B4EB9" w:rsidRPr="00DD5F1D">
        <w:rPr>
          <w:rFonts w:ascii="Times New Roman" w:hAnsi="Times New Roman" w:cs="Times New Roman"/>
          <w:iCs/>
          <w:sz w:val="24"/>
          <w:szCs w:val="24"/>
          <w:lang w:val="ro-MD"/>
        </w:rPr>
        <w:t>D</w:t>
      </w:r>
      <w:r w:rsidRPr="00DD5F1D">
        <w:rPr>
          <w:rFonts w:ascii="Times New Roman" w:hAnsi="Times New Roman" w:cs="Times New Roman"/>
          <w:iCs/>
          <w:sz w:val="24"/>
          <w:szCs w:val="24"/>
          <w:lang w:val="ro-MD"/>
        </w:rPr>
        <w:t>eși au fost operate unele modificări</w:t>
      </w:r>
      <w:r w:rsidRPr="00DD5F1D">
        <w:rPr>
          <w:rFonts w:ascii="Times New Roman" w:eastAsia="Calibri" w:hAnsi="Times New Roman" w:cs="Times New Roman"/>
          <w:kern w:val="24"/>
          <w:sz w:val="24"/>
          <w:szCs w:val="24"/>
          <w:lang w:val="ro-MD"/>
        </w:rPr>
        <w:t xml:space="preserve"> </w:t>
      </w:r>
      <w:r w:rsidR="00E8678A" w:rsidRPr="00DD5F1D">
        <w:rPr>
          <w:rFonts w:ascii="Times New Roman" w:eastAsia="Calibri" w:hAnsi="Times New Roman" w:cs="Times New Roman"/>
          <w:kern w:val="24"/>
          <w:sz w:val="24"/>
          <w:szCs w:val="24"/>
          <w:lang w:val="ro-MD"/>
        </w:rPr>
        <w:t>la</w:t>
      </w:r>
      <w:r w:rsidRPr="00DD5F1D">
        <w:rPr>
          <w:rFonts w:ascii="Times New Roman" w:eastAsia="Calibri" w:hAnsi="Times New Roman" w:cs="Times New Roman"/>
          <w:kern w:val="24"/>
          <w:sz w:val="24"/>
          <w:szCs w:val="24"/>
          <w:lang w:val="ro-MD"/>
        </w:rPr>
        <w:t xml:space="preserve"> cadrul </w:t>
      </w:r>
      <w:r w:rsidR="00287D72">
        <w:rPr>
          <w:rFonts w:ascii="Times New Roman" w:eastAsia="Calibri" w:hAnsi="Times New Roman" w:cs="Times New Roman"/>
          <w:kern w:val="24"/>
          <w:sz w:val="24"/>
          <w:szCs w:val="24"/>
          <w:lang w:val="ro-MD"/>
        </w:rPr>
        <w:t>normativ</w:t>
      </w:r>
      <w:r w:rsidR="00287D72" w:rsidRPr="00DD5F1D">
        <w:rPr>
          <w:rFonts w:ascii="Times New Roman" w:eastAsia="Calibri" w:hAnsi="Times New Roman" w:cs="Times New Roman"/>
          <w:kern w:val="24"/>
          <w:sz w:val="24"/>
          <w:szCs w:val="24"/>
          <w:lang w:val="ro-MD"/>
        </w:rPr>
        <w:t xml:space="preserve"> </w:t>
      </w:r>
      <w:r w:rsidRPr="00DD5F1D">
        <w:rPr>
          <w:rFonts w:ascii="Times New Roman" w:eastAsia="Calibri" w:hAnsi="Times New Roman" w:cs="Times New Roman"/>
          <w:kern w:val="24"/>
          <w:sz w:val="24"/>
          <w:szCs w:val="24"/>
          <w:lang w:val="ro-MD"/>
        </w:rPr>
        <w:t>aferent stabilirii vechimii în muncă</w:t>
      </w:r>
      <w:r w:rsidR="00287D72" w:rsidRPr="00DD5F1D">
        <w:rPr>
          <w:rStyle w:val="a5"/>
          <w:rFonts w:ascii="Times New Roman" w:eastAsia="Calibri" w:hAnsi="Times New Roman" w:cs="Times New Roman"/>
          <w:kern w:val="24"/>
          <w:sz w:val="24"/>
          <w:szCs w:val="24"/>
          <w:lang w:val="ro-MD"/>
        </w:rPr>
        <w:footnoteReference w:id="116"/>
      </w:r>
      <w:r w:rsidR="00E8678A" w:rsidRPr="00DD5F1D">
        <w:rPr>
          <w:rFonts w:ascii="Times New Roman" w:eastAsia="Calibri" w:hAnsi="Times New Roman" w:cs="Times New Roman"/>
          <w:kern w:val="24"/>
          <w:sz w:val="24"/>
          <w:szCs w:val="24"/>
          <w:lang w:val="ro-MD"/>
        </w:rPr>
        <w:t>,</w:t>
      </w:r>
      <w:r w:rsidRPr="00DD5F1D">
        <w:rPr>
          <w:rFonts w:ascii="Times New Roman" w:eastAsia="Calibri" w:hAnsi="Times New Roman" w:cs="Times New Roman"/>
          <w:kern w:val="24"/>
          <w:sz w:val="24"/>
          <w:szCs w:val="24"/>
          <w:lang w:val="ro-MD"/>
        </w:rPr>
        <w:t xml:space="preserve"> </w:t>
      </w:r>
      <w:r w:rsidR="008B4EB9" w:rsidRPr="00DD5F1D">
        <w:rPr>
          <w:rFonts w:ascii="Times New Roman" w:eastAsia="Calibri" w:hAnsi="Times New Roman" w:cs="Times New Roman"/>
          <w:kern w:val="24"/>
          <w:sz w:val="24"/>
          <w:szCs w:val="24"/>
          <w:lang w:val="ro-MD"/>
        </w:rPr>
        <w:t>auditul</w:t>
      </w:r>
      <w:r w:rsidRPr="00DD5F1D">
        <w:rPr>
          <w:rFonts w:ascii="Times New Roman" w:eastAsia="Calibri" w:hAnsi="Times New Roman" w:cs="Times New Roman"/>
          <w:kern w:val="24"/>
          <w:sz w:val="24"/>
          <w:szCs w:val="24"/>
          <w:lang w:val="ro-MD"/>
        </w:rPr>
        <w:t xml:space="preserve"> denotă că recomandările aferent</w:t>
      </w:r>
      <w:r w:rsidR="00E8678A" w:rsidRPr="00DD5F1D">
        <w:rPr>
          <w:rFonts w:ascii="Times New Roman" w:eastAsia="Calibri" w:hAnsi="Times New Roman" w:cs="Times New Roman"/>
          <w:kern w:val="24"/>
          <w:sz w:val="24"/>
          <w:szCs w:val="24"/>
          <w:lang w:val="ro-MD"/>
        </w:rPr>
        <w:t>e</w:t>
      </w:r>
      <w:r w:rsidRPr="00DD5F1D">
        <w:rPr>
          <w:rFonts w:ascii="Times New Roman" w:eastAsia="Calibri" w:hAnsi="Times New Roman" w:cs="Times New Roman"/>
          <w:kern w:val="24"/>
          <w:sz w:val="24"/>
          <w:szCs w:val="24"/>
          <w:lang w:val="ro-MD"/>
        </w:rPr>
        <w:t xml:space="preserve"> calculării soldei bănești a</w:t>
      </w:r>
      <w:r w:rsidR="00E92A5C" w:rsidRPr="00DD5F1D">
        <w:rPr>
          <w:rFonts w:ascii="Times New Roman" w:eastAsia="Calibri" w:hAnsi="Times New Roman" w:cs="Times New Roman"/>
          <w:kern w:val="24"/>
          <w:sz w:val="24"/>
          <w:szCs w:val="24"/>
          <w:lang w:val="ro-MD"/>
        </w:rPr>
        <w:t>u</w:t>
      </w:r>
      <w:r w:rsidRPr="00DD5F1D">
        <w:rPr>
          <w:rFonts w:ascii="Times New Roman" w:eastAsia="Calibri" w:hAnsi="Times New Roman" w:cs="Times New Roman"/>
          <w:kern w:val="24"/>
          <w:sz w:val="24"/>
          <w:szCs w:val="24"/>
          <w:lang w:val="ro-MD"/>
        </w:rPr>
        <w:t xml:space="preserve"> rămas în continuare neimplementate</w:t>
      </w:r>
      <w:r w:rsidRPr="00DD5F1D">
        <w:rPr>
          <w:rFonts w:ascii="Times New Roman" w:hAnsi="Times New Roman" w:cs="Times New Roman"/>
          <w:iCs/>
          <w:sz w:val="24"/>
          <w:szCs w:val="24"/>
          <w:lang w:val="ro-MD"/>
        </w:rPr>
        <w:t>, ceea ce menține în continuare dificultăți</w:t>
      </w:r>
      <w:r w:rsidR="00965F32" w:rsidRPr="00DD5F1D">
        <w:rPr>
          <w:rFonts w:ascii="Times New Roman" w:hAnsi="Times New Roman" w:cs="Times New Roman"/>
          <w:iCs/>
          <w:sz w:val="24"/>
          <w:szCs w:val="24"/>
          <w:lang w:val="ro-MD"/>
        </w:rPr>
        <w:t>le</w:t>
      </w:r>
      <w:r w:rsidRPr="00DD5F1D">
        <w:rPr>
          <w:rFonts w:ascii="Times New Roman" w:hAnsi="Times New Roman" w:cs="Times New Roman"/>
          <w:iCs/>
          <w:sz w:val="24"/>
          <w:szCs w:val="24"/>
          <w:lang w:val="ro-MD"/>
        </w:rPr>
        <w:t xml:space="preserve"> și incertitudini</w:t>
      </w:r>
      <w:r w:rsidR="00965F32" w:rsidRPr="00DD5F1D">
        <w:rPr>
          <w:rFonts w:ascii="Times New Roman" w:hAnsi="Times New Roman" w:cs="Times New Roman"/>
          <w:iCs/>
          <w:sz w:val="24"/>
          <w:szCs w:val="24"/>
          <w:lang w:val="ro-MD"/>
        </w:rPr>
        <w:t>le</w:t>
      </w:r>
      <w:r w:rsidRPr="00DD5F1D">
        <w:rPr>
          <w:rFonts w:ascii="Times New Roman" w:hAnsi="Times New Roman" w:cs="Times New Roman"/>
          <w:iCs/>
          <w:sz w:val="24"/>
          <w:szCs w:val="24"/>
          <w:lang w:val="ro-MD"/>
        </w:rPr>
        <w:t xml:space="preserve"> la stabilirea corectă și echitabilă a pensiei pentru toți b</w:t>
      </w:r>
      <w:r w:rsidR="006E02FF" w:rsidRPr="00DD5F1D">
        <w:rPr>
          <w:rFonts w:ascii="Times New Roman" w:hAnsi="Times New Roman" w:cs="Times New Roman"/>
          <w:iCs/>
          <w:sz w:val="24"/>
          <w:szCs w:val="24"/>
          <w:lang w:val="ro-MD"/>
        </w:rPr>
        <w:t>eneficiarii acestui contingent.</w:t>
      </w:r>
    </w:p>
    <w:p w14:paraId="31B12F05" w14:textId="002C1B20" w:rsidR="00544CBF" w:rsidRPr="00DD5F1D" w:rsidRDefault="00544CBF" w:rsidP="00810580">
      <w:pPr>
        <w:pStyle w:val="aa"/>
        <w:numPr>
          <w:ilvl w:val="1"/>
          <w:numId w:val="2"/>
        </w:numPr>
        <w:spacing w:after="120" w:line="276" w:lineRule="auto"/>
        <w:ind w:left="0" w:firstLine="0"/>
        <w:jc w:val="both"/>
        <w:outlineLvl w:val="1"/>
        <w:rPr>
          <w:rFonts w:ascii="Times New Roman" w:hAnsi="Times New Roman" w:cs="Times New Roman"/>
          <w:b/>
          <w:sz w:val="24"/>
          <w:lang w:val="ro-MD"/>
        </w:rPr>
      </w:pPr>
      <w:r w:rsidRPr="00DD5F1D">
        <w:rPr>
          <w:rFonts w:ascii="Times New Roman" w:hAnsi="Times New Roman" w:cs="Times New Roman"/>
          <w:b/>
          <w:sz w:val="24"/>
          <w:lang w:val="ro-MD"/>
        </w:rPr>
        <w:t>Pe parcursul anului 2023, prestațiile stabilite nu au fost supuse recalculărilor la apariția modificărilor în conturile personale, fapt ce nu a asigurat acordarea în termen a plăților cuvenite beneficiarilor, precum și nu s-a realizat recuperarea sumelor achitate necuvenit</w:t>
      </w:r>
      <w:r w:rsidR="0032639E" w:rsidRPr="00DD5F1D">
        <w:rPr>
          <w:rFonts w:ascii="Times New Roman" w:hAnsi="Times New Roman" w:cs="Times New Roman"/>
          <w:b/>
          <w:sz w:val="24"/>
          <w:lang w:val="ro-MD"/>
        </w:rPr>
        <w:t>.</w:t>
      </w:r>
    </w:p>
    <w:p w14:paraId="7565ACE1" w14:textId="3036CEF6" w:rsidR="00544CBF" w:rsidRPr="00DD5F1D" w:rsidRDefault="009331F3" w:rsidP="00544CBF">
      <w:pPr>
        <w:spacing w:after="0" w:line="276" w:lineRule="auto"/>
        <w:jc w:val="both"/>
        <w:rPr>
          <w:rFonts w:ascii="Times New Roman" w:hAnsi="Times New Roman" w:cs="Times New Roman"/>
          <w:sz w:val="24"/>
          <w:lang w:val="ro-MD"/>
        </w:rPr>
      </w:pPr>
      <w:r w:rsidRPr="00DD5F1D">
        <w:rPr>
          <w:rFonts w:ascii="Times New Roman" w:hAnsi="Times New Roman" w:cs="Times New Roman"/>
          <w:sz w:val="24"/>
          <w:lang w:val="ro-MD"/>
        </w:rPr>
        <w:t>Conform cadrului normativ</w:t>
      </w:r>
      <w:r w:rsidR="00544CBF" w:rsidRPr="00DD5F1D">
        <w:rPr>
          <w:rFonts w:ascii="Times New Roman" w:hAnsi="Times New Roman" w:cs="Times New Roman"/>
          <w:sz w:val="24"/>
          <w:vertAlign w:val="superscript"/>
          <w:lang w:val="ro-MD"/>
        </w:rPr>
        <w:footnoteReference w:id="117"/>
      </w:r>
      <w:r w:rsidR="00544CBF" w:rsidRPr="00DD5F1D">
        <w:rPr>
          <w:rFonts w:ascii="Times New Roman" w:hAnsi="Times New Roman" w:cs="Times New Roman"/>
          <w:sz w:val="24"/>
          <w:lang w:val="ro-MD"/>
        </w:rPr>
        <w:t xml:space="preserve">, la apariția modificărilor în conturile personale ale asiguraților </w:t>
      </w:r>
      <w:r w:rsidR="004C38B7" w:rsidRPr="00DD5F1D">
        <w:rPr>
          <w:rFonts w:ascii="Times New Roman" w:hAnsi="Times New Roman" w:cs="Times New Roman"/>
          <w:sz w:val="24"/>
          <w:lang w:val="ro-MD"/>
        </w:rPr>
        <w:t xml:space="preserve">ca </w:t>
      </w:r>
      <w:r w:rsidR="00544CBF" w:rsidRPr="00DD5F1D">
        <w:rPr>
          <w:rFonts w:ascii="Times New Roman" w:hAnsi="Times New Roman" w:cs="Times New Roman"/>
          <w:sz w:val="24"/>
          <w:lang w:val="ro-MD"/>
        </w:rPr>
        <w:t>urmare a depunerii informații</w:t>
      </w:r>
      <w:r w:rsidR="004C38B7" w:rsidRPr="00DD5F1D">
        <w:rPr>
          <w:rFonts w:ascii="Times New Roman" w:hAnsi="Times New Roman" w:cs="Times New Roman"/>
          <w:sz w:val="24"/>
          <w:lang w:val="ro-MD"/>
        </w:rPr>
        <w:t>lor</w:t>
      </w:r>
      <w:r w:rsidR="00544CBF" w:rsidRPr="00DD5F1D">
        <w:rPr>
          <w:rFonts w:ascii="Times New Roman" w:hAnsi="Times New Roman" w:cs="Times New Roman"/>
          <w:sz w:val="24"/>
          <w:lang w:val="ro-MD"/>
        </w:rPr>
        <w:t xml:space="preserve"> suplimentare/de corectare de către angajator privind perioadele și venitul asigurat realizate pân</w:t>
      </w:r>
      <w:r w:rsidR="003038CE" w:rsidRPr="00DD5F1D">
        <w:rPr>
          <w:rFonts w:ascii="Times New Roman" w:hAnsi="Times New Roman" w:cs="Times New Roman"/>
          <w:sz w:val="24"/>
          <w:lang w:val="ro-MD"/>
        </w:rPr>
        <w:t>ă la stabilirea prestației, SI „</w:t>
      </w:r>
      <w:r w:rsidR="00544CBF" w:rsidRPr="00DD5F1D">
        <w:rPr>
          <w:rFonts w:ascii="Times New Roman" w:hAnsi="Times New Roman" w:cs="Times New Roman"/>
          <w:sz w:val="24"/>
          <w:lang w:val="ro-MD"/>
        </w:rPr>
        <w:t>Protecția Socială” realizează selectarea modificărilor efectuate în 2 rapoarte:</w:t>
      </w:r>
    </w:p>
    <w:p w14:paraId="58A61A50" w14:textId="5D46FE09" w:rsidR="00544CBF" w:rsidRPr="00DD5F1D" w:rsidRDefault="00544CBF" w:rsidP="00740B15">
      <w:pPr>
        <w:numPr>
          <w:ilvl w:val="0"/>
          <w:numId w:val="12"/>
        </w:numPr>
        <w:spacing w:after="0" w:line="276" w:lineRule="auto"/>
        <w:contextualSpacing/>
        <w:jc w:val="both"/>
        <w:rPr>
          <w:rFonts w:ascii="Times New Roman" w:hAnsi="Times New Roman" w:cs="Times New Roman"/>
          <w:sz w:val="24"/>
          <w:lang w:val="ro-MD"/>
        </w:rPr>
      </w:pPr>
      <w:r w:rsidRPr="00DD5F1D">
        <w:rPr>
          <w:rFonts w:ascii="Times New Roman" w:hAnsi="Times New Roman" w:cs="Times New Roman"/>
          <w:sz w:val="24"/>
          <w:lang w:val="ro-MD"/>
        </w:rPr>
        <w:t xml:space="preserve">Lista persoanelor asigurate cărora </w:t>
      </w:r>
      <w:r w:rsidR="004C38B7" w:rsidRPr="00DD5F1D">
        <w:rPr>
          <w:rFonts w:ascii="Times New Roman" w:hAnsi="Times New Roman" w:cs="Times New Roman"/>
          <w:sz w:val="24"/>
          <w:lang w:val="ro-MD"/>
        </w:rPr>
        <w:t>le-</w:t>
      </w:r>
      <w:r w:rsidRPr="00DD5F1D">
        <w:rPr>
          <w:rFonts w:ascii="Times New Roman" w:hAnsi="Times New Roman" w:cs="Times New Roman"/>
          <w:sz w:val="24"/>
          <w:lang w:val="ro-MD"/>
        </w:rPr>
        <w:t>a fost modificată istoria asigurării după stabilirea pensiei;</w:t>
      </w:r>
    </w:p>
    <w:p w14:paraId="774C6286" w14:textId="77777777" w:rsidR="00544CBF" w:rsidRPr="00DD5F1D" w:rsidRDefault="00544CBF" w:rsidP="00810580">
      <w:pPr>
        <w:numPr>
          <w:ilvl w:val="0"/>
          <w:numId w:val="12"/>
        </w:numPr>
        <w:spacing w:after="120" w:line="276" w:lineRule="auto"/>
        <w:ind w:left="714" w:hanging="357"/>
        <w:contextualSpacing/>
        <w:jc w:val="both"/>
        <w:rPr>
          <w:rFonts w:ascii="Times New Roman" w:hAnsi="Times New Roman" w:cs="Times New Roman"/>
          <w:sz w:val="24"/>
          <w:lang w:val="ro-MD"/>
        </w:rPr>
      </w:pPr>
      <w:r w:rsidRPr="00DD5F1D">
        <w:rPr>
          <w:rFonts w:ascii="Times New Roman" w:hAnsi="Times New Roman" w:cs="Times New Roman"/>
          <w:sz w:val="24"/>
          <w:lang w:val="ro-MD"/>
        </w:rPr>
        <w:t>Lista beneficiarilor de indemnizație pentru incapacitate temporară de muncă la care a fost modificat venitul pentru lunile luate în calcul la determinarea bazei de calcul.</w:t>
      </w:r>
    </w:p>
    <w:p w14:paraId="486CAB5C" w14:textId="190B1265" w:rsidR="00544CBF" w:rsidRPr="00DD5F1D" w:rsidRDefault="00544CBF" w:rsidP="00810580">
      <w:pPr>
        <w:spacing w:after="120" w:line="276" w:lineRule="auto"/>
        <w:jc w:val="both"/>
        <w:rPr>
          <w:rFonts w:ascii="Times New Roman" w:hAnsi="Times New Roman" w:cs="Times New Roman"/>
          <w:sz w:val="24"/>
          <w:lang w:val="ro-MD"/>
        </w:rPr>
      </w:pPr>
      <w:r w:rsidRPr="00DD5F1D">
        <w:rPr>
          <w:rFonts w:ascii="Times New Roman" w:hAnsi="Times New Roman" w:cs="Times New Roman"/>
          <w:sz w:val="24"/>
          <w:lang w:val="ro-MD"/>
        </w:rPr>
        <w:t xml:space="preserve">În </w:t>
      </w:r>
      <w:r w:rsidR="004C38B7" w:rsidRPr="00DD5F1D">
        <w:rPr>
          <w:rFonts w:ascii="Times New Roman" w:hAnsi="Times New Roman" w:cs="Times New Roman"/>
          <w:sz w:val="24"/>
          <w:lang w:val="ro-MD"/>
        </w:rPr>
        <w:t xml:space="preserve">urma </w:t>
      </w:r>
      <w:r w:rsidRPr="00DD5F1D">
        <w:rPr>
          <w:rFonts w:ascii="Times New Roman" w:hAnsi="Times New Roman" w:cs="Times New Roman"/>
          <w:sz w:val="24"/>
          <w:lang w:val="ro-MD"/>
        </w:rPr>
        <w:t>evaluării corectitudinii și plenitudinii prelucrării informații</w:t>
      </w:r>
      <w:r w:rsidR="004C38B7" w:rsidRPr="00DD5F1D">
        <w:rPr>
          <w:rFonts w:ascii="Times New Roman" w:hAnsi="Times New Roman" w:cs="Times New Roman"/>
          <w:sz w:val="24"/>
          <w:lang w:val="ro-MD"/>
        </w:rPr>
        <w:t>lor</w:t>
      </w:r>
      <w:r w:rsidRPr="00DD5F1D">
        <w:rPr>
          <w:rFonts w:ascii="Times New Roman" w:hAnsi="Times New Roman" w:cs="Times New Roman"/>
          <w:sz w:val="24"/>
          <w:vertAlign w:val="superscript"/>
          <w:lang w:val="ro-MD"/>
        </w:rPr>
        <w:footnoteReference w:id="118"/>
      </w:r>
      <w:r w:rsidR="00054FF4">
        <w:rPr>
          <w:rFonts w:ascii="Times New Roman" w:hAnsi="Times New Roman" w:cs="Times New Roman"/>
          <w:sz w:val="24"/>
          <w:lang w:val="ro-MD"/>
        </w:rPr>
        <w:t>,</w:t>
      </w:r>
      <w:r w:rsidR="009331F3" w:rsidRPr="00DD5F1D">
        <w:rPr>
          <w:rFonts w:ascii="Times New Roman" w:hAnsi="Times New Roman" w:cs="Times New Roman"/>
          <w:sz w:val="24"/>
          <w:lang w:val="ro-MD"/>
        </w:rPr>
        <w:t xml:space="preserve"> </w:t>
      </w:r>
      <w:r w:rsidRPr="00DD5F1D">
        <w:rPr>
          <w:rFonts w:ascii="Times New Roman" w:hAnsi="Times New Roman" w:cs="Times New Roman"/>
          <w:sz w:val="24"/>
          <w:lang w:val="ro-MD"/>
        </w:rPr>
        <w:t xml:space="preserve">de către audit </w:t>
      </w:r>
      <w:r w:rsidR="00A2125E" w:rsidRPr="00DD5F1D">
        <w:rPr>
          <w:rFonts w:ascii="Times New Roman" w:hAnsi="Times New Roman" w:cs="Times New Roman"/>
          <w:sz w:val="24"/>
          <w:lang w:val="ro-MD"/>
        </w:rPr>
        <w:t>s-a constatat că</w:t>
      </w:r>
      <w:r w:rsidRPr="00DD5F1D">
        <w:rPr>
          <w:rFonts w:ascii="Times New Roman" w:hAnsi="Times New Roman" w:cs="Times New Roman"/>
          <w:sz w:val="24"/>
          <w:lang w:val="ro-MD"/>
        </w:rPr>
        <w:t xml:space="preserve"> CTAS nu a</w:t>
      </w:r>
      <w:r w:rsidR="009331F3" w:rsidRPr="00DD5F1D">
        <w:rPr>
          <w:rFonts w:ascii="Times New Roman" w:hAnsi="Times New Roman" w:cs="Times New Roman"/>
          <w:sz w:val="24"/>
          <w:lang w:val="ro-MD"/>
        </w:rPr>
        <w:t>u</w:t>
      </w:r>
      <w:r w:rsidRPr="00DD5F1D">
        <w:rPr>
          <w:rFonts w:ascii="Times New Roman" w:hAnsi="Times New Roman" w:cs="Times New Roman"/>
          <w:sz w:val="24"/>
          <w:lang w:val="ro-MD"/>
        </w:rPr>
        <w:t xml:space="preserve"> asigurat prelucrarea rapoartelor pe parcursul anului.</w:t>
      </w:r>
    </w:p>
    <w:p w14:paraId="7DC0C4DA" w14:textId="687CA101" w:rsidR="00573B50" w:rsidRPr="00DD5F1D" w:rsidRDefault="00544CBF" w:rsidP="000C0E15">
      <w:pPr>
        <w:tabs>
          <w:tab w:val="left" w:pos="284"/>
        </w:tabs>
        <w:spacing w:after="120" w:line="276" w:lineRule="auto"/>
        <w:contextualSpacing/>
        <w:jc w:val="both"/>
        <w:rPr>
          <w:rFonts w:ascii="Times New Roman" w:hAnsi="Times New Roman" w:cs="Times New Roman"/>
          <w:sz w:val="24"/>
          <w:lang w:val="ro-MD"/>
        </w:rPr>
      </w:pPr>
      <w:r w:rsidRPr="00DD5F1D">
        <w:rPr>
          <w:rFonts w:ascii="Times New Roman" w:hAnsi="Times New Roman" w:cs="Times New Roman"/>
          <w:sz w:val="24"/>
          <w:lang w:val="ro-MD"/>
        </w:rPr>
        <w:t>Astfel, în cazul apariției informații</w:t>
      </w:r>
      <w:r w:rsidR="00AF16C0" w:rsidRPr="00DD5F1D">
        <w:rPr>
          <w:rFonts w:ascii="Times New Roman" w:hAnsi="Times New Roman" w:cs="Times New Roman"/>
          <w:sz w:val="24"/>
          <w:lang w:val="ro-MD"/>
        </w:rPr>
        <w:t>lor</w:t>
      </w:r>
      <w:r w:rsidRPr="00DD5F1D">
        <w:rPr>
          <w:rFonts w:ascii="Times New Roman" w:hAnsi="Times New Roman" w:cs="Times New Roman"/>
          <w:sz w:val="24"/>
          <w:lang w:val="ro-MD"/>
        </w:rPr>
        <w:t xml:space="preserve"> suplimentare în contul personal al beneficiarului</w:t>
      </w:r>
      <w:r w:rsidR="00573B50" w:rsidRPr="00DD5F1D">
        <w:rPr>
          <w:rFonts w:ascii="Times New Roman" w:hAnsi="Times New Roman" w:cs="Times New Roman"/>
          <w:sz w:val="24"/>
          <w:lang w:val="ro-MD"/>
        </w:rPr>
        <w:t>,</w:t>
      </w:r>
      <w:r w:rsidRPr="00DD5F1D">
        <w:rPr>
          <w:rFonts w:ascii="Times New Roman" w:hAnsi="Times New Roman" w:cs="Times New Roman"/>
          <w:sz w:val="24"/>
          <w:lang w:val="ro-MD"/>
        </w:rPr>
        <w:t xml:space="preserve"> cu declararea stagiului suplimentar de cotizare, au fost identificate cazuri </w:t>
      </w:r>
      <w:r w:rsidR="00573B50" w:rsidRPr="00DD5F1D">
        <w:rPr>
          <w:rFonts w:ascii="Times New Roman" w:hAnsi="Times New Roman" w:cs="Times New Roman"/>
          <w:sz w:val="24"/>
          <w:lang w:val="ro-MD"/>
        </w:rPr>
        <w:t xml:space="preserve">în care </w:t>
      </w:r>
      <w:r w:rsidRPr="00DD5F1D">
        <w:rPr>
          <w:rFonts w:ascii="Times New Roman" w:hAnsi="Times New Roman" w:cs="Times New Roman"/>
          <w:sz w:val="24"/>
          <w:lang w:val="ro-MD"/>
        </w:rPr>
        <w:t>nu au fost emise decizii de reexaminare a pensiei, respectiv cuantumul pensiei nu a fost reexaminat. Din eșantionul verificat la 5 CTAS,</w:t>
      </w:r>
      <w:r w:rsidR="00FF6973" w:rsidRPr="00DD5F1D">
        <w:rPr>
          <w:rFonts w:ascii="Times New Roman" w:hAnsi="Times New Roman" w:cs="Times New Roman"/>
          <w:sz w:val="24"/>
          <w:lang w:val="ro-MD"/>
        </w:rPr>
        <w:t xml:space="preserve"> se denotă că au avut loc mai multe modificări</w:t>
      </w:r>
      <w:r w:rsidR="00FF6973" w:rsidRPr="00DD5F1D">
        <w:rPr>
          <w:rStyle w:val="a5"/>
          <w:rFonts w:ascii="Times New Roman" w:hAnsi="Times New Roman" w:cs="Times New Roman"/>
          <w:sz w:val="24"/>
          <w:lang w:val="ro-MD"/>
        </w:rPr>
        <w:footnoteReference w:id="119"/>
      </w:r>
      <w:r w:rsidR="00FF6973" w:rsidRPr="00DD5F1D">
        <w:rPr>
          <w:rFonts w:ascii="Times New Roman" w:hAnsi="Times New Roman" w:cs="Times New Roman"/>
          <w:sz w:val="24"/>
          <w:lang w:val="ro-MD"/>
        </w:rPr>
        <w:t>, unele din acestea nu au impact asupra mărimii p</w:t>
      </w:r>
      <w:r w:rsidR="00C52FE0" w:rsidRPr="00DD5F1D">
        <w:rPr>
          <w:rFonts w:ascii="Times New Roman" w:hAnsi="Times New Roman" w:cs="Times New Roman"/>
          <w:sz w:val="24"/>
          <w:lang w:val="ro-MD"/>
        </w:rPr>
        <w:t xml:space="preserve">restației. Totodată, auditul a </w:t>
      </w:r>
      <w:r w:rsidR="00FF6973" w:rsidRPr="00DD5F1D">
        <w:rPr>
          <w:rFonts w:ascii="Times New Roman" w:hAnsi="Times New Roman" w:cs="Times New Roman"/>
          <w:sz w:val="24"/>
          <w:lang w:val="ro-MD"/>
        </w:rPr>
        <w:t xml:space="preserve">identificat </w:t>
      </w:r>
      <w:r w:rsidRPr="00DD5F1D">
        <w:rPr>
          <w:rFonts w:ascii="Times New Roman" w:hAnsi="Times New Roman" w:cs="Times New Roman"/>
          <w:sz w:val="24"/>
          <w:lang w:val="ro-MD"/>
        </w:rPr>
        <w:t>11 beneficiari</w:t>
      </w:r>
      <w:r w:rsidR="00FF6973" w:rsidRPr="00DD5F1D">
        <w:rPr>
          <w:rStyle w:val="a5"/>
          <w:rFonts w:ascii="Times New Roman" w:hAnsi="Times New Roman" w:cs="Times New Roman"/>
          <w:sz w:val="24"/>
          <w:lang w:val="ro-MD"/>
        </w:rPr>
        <w:footnoteReference w:id="120"/>
      </w:r>
      <w:r w:rsidRPr="00DD5F1D">
        <w:rPr>
          <w:rFonts w:ascii="Times New Roman" w:hAnsi="Times New Roman" w:cs="Times New Roman"/>
          <w:sz w:val="24"/>
          <w:lang w:val="ro-MD"/>
        </w:rPr>
        <w:t xml:space="preserve"> la care au fost efectuate modificări în extrasul de cont cu suplinirea stagiului de cotizare de la </w:t>
      </w:r>
      <w:r w:rsidR="000C0E15" w:rsidRPr="00DD5F1D">
        <w:rPr>
          <w:rFonts w:ascii="Times New Roman" w:hAnsi="Times New Roman" w:cs="Times New Roman"/>
          <w:sz w:val="24"/>
          <w:lang w:val="ro-MD"/>
        </w:rPr>
        <w:t>1 lună până la 3 ani și 4 luni.</w:t>
      </w:r>
    </w:p>
    <w:p w14:paraId="15F74576" w14:textId="6FF74FE4" w:rsidR="00544CBF" w:rsidRPr="00DD5F1D" w:rsidRDefault="00544CBF" w:rsidP="00810580">
      <w:pPr>
        <w:spacing w:before="120" w:after="120" w:line="276" w:lineRule="auto"/>
        <w:jc w:val="both"/>
        <w:rPr>
          <w:rFonts w:ascii="Times New Roman" w:hAnsi="Times New Roman" w:cs="Times New Roman"/>
          <w:i/>
          <w:sz w:val="24"/>
          <w:lang w:val="ro-MD"/>
        </w:rPr>
      </w:pPr>
      <w:r w:rsidRPr="00DD5F1D">
        <w:rPr>
          <w:rFonts w:ascii="Times New Roman" w:hAnsi="Times New Roman" w:cs="Times New Roman"/>
          <w:sz w:val="24"/>
          <w:lang w:val="ro-MD"/>
        </w:rPr>
        <w:t>În acest context, deși subdiviziunile teritoriale erau obligate să reia activitatea de emitere și prelucrare lunară a rapoartelor conform scrisorii CNAS</w:t>
      </w:r>
      <w:r w:rsidRPr="00DD5F1D">
        <w:rPr>
          <w:rFonts w:ascii="Times New Roman" w:hAnsi="Times New Roman" w:cs="Times New Roman"/>
          <w:sz w:val="24"/>
          <w:vertAlign w:val="superscript"/>
          <w:lang w:val="ro-MD"/>
        </w:rPr>
        <w:footnoteReference w:id="121"/>
      </w:r>
      <w:r w:rsidRPr="00DD5F1D">
        <w:rPr>
          <w:rFonts w:ascii="Times New Roman" w:hAnsi="Times New Roman" w:cs="Times New Roman"/>
          <w:sz w:val="24"/>
          <w:lang w:val="ro-MD"/>
        </w:rPr>
        <w:t xml:space="preserve">, acestea nu au efectuat procedurile stabilite. </w:t>
      </w:r>
    </w:p>
    <w:p w14:paraId="4A307C7C" w14:textId="3EFDD41D" w:rsidR="0048692F" w:rsidRPr="00DD5F1D" w:rsidRDefault="0072440B" w:rsidP="00DD7AF0">
      <w:pPr>
        <w:spacing w:line="276" w:lineRule="auto"/>
        <w:jc w:val="both"/>
        <w:rPr>
          <w:rFonts w:ascii="Times New Roman" w:hAnsi="Times New Roman" w:cs="Times New Roman"/>
          <w:sz w:val="24"/>
          <w:lang w:val="ro-MD"/>
        </w:rPr>
      </w:pPr>
      <w:r w:rsidRPr="00DD5F1D">
        <w:rPr>
          <w:rFonts w:ascii="Times New Roman" w:hAnsi="Times New Roman" w:cs="Times New Roman"/>
          <w:sz w:val="24"/>
          <w:lang w:val="ro-MD"/>
        </w:rPr>
        <w:t xml:space="preserve">Această situație are </w:t>
      </w:r>
      <w:r w:rsidR="00544CBF" w:rsidRPr="00DD5F1D">
        <w:rPr>
          <w:rFonts w:ascii="Times New Roman" w:hAnsi="Times New Roman" w:cs="Times New Roman"/>
          <w:sz w:val="24"/>
          <w:lang w:val="ro-MD"/>
        </w:rPr>
        <w:t>impact asupra prestației</w:t>
      </w:r>
      <w:r w:rsidR="00573B50" w:rsidRPr="00DD5F1D">
        <w:rPr>
          <w:rFonts w:ascii="Times New Roman" w:hAnsi="Times New Roman" w:cs="Times New Roman"/>
          <w:sz w:val="24"/>
          <w:lang w:val="ro-MD"/>
        </w:rPr>
        <w:t>,</w:t>
      </w:r>
      <w:r w:rsidR="00544CBF" w:rsidRPr="00DD5F1D">
        <w:rPr>
          <w:rFonts w:ascii="Times New Roman" w:hAnsi="Times New Roman" w:cs="Times New Roman"/>
          <w:sz w:val="24"/>
          <w:lang w:val="ro-MD"/>
        </w:rPr>
        <w:t xml:space="preserve"> beneficiarul fiind limitat în obținerea prestației în cuantum</w:t>
      </w:r>
      <w:r w:rsidR="0002749E" w:rsidRPr="00DD5F1D">
        <w:rPr>
          <w:rFonts w:ascii="Times New Roman" w:hAnsi="Times New Roman" w:cs="Times New Roman"/>
          <w:sz w:val="24"/>
          <w:lang w:val="ro-MD"/>
        </w:rPr>
        <w:t>ul</w:t>
      </w:r>
      <w:r w:rsidR="00544CBF" w:rsidRPr="00DD5F1D">
        <w:rPr>
          <w:rFonts w:ascii="Times New Roman" w:hAnsi="Times New Roman" w:cs="Times New Roman"/>
          <w:sz w:val="24"/>
          <w:lang w:val="ro-MD"/>
        </w:rPr>
        <w:t xml:space="preserve"> cuvenit, deoarece noile drepturi la pensie în cuantum mai mare se acordă începând cu luna următoare celei în care a fost efectuată modificarea în contul personal, inclusiv ținând cont de indexările efectuate până la data recalculării.</w:t>
      </w:r>
      <w:r w:rsidR="00353960" w:rsidRPr="00DD5F1D">
        <w:rPr>
          <w:rFonts w:ascii="Times New Roman" w:hAnsi="Times New Roman" w:cs="Times New Roman"/>
          <w:sz w:val="24"/>
          <w:lang w:val="ro-MD"/>
        </w:rPr>
        <w:t xml:space="preserve"> </w:t>
      </w:r>
    </w:p>
    <w:p w14:paraId="412478DD" w14:textId="751DCE70" w:rsidR="00544CBF" w:rsidRPr="00DD5F1D" w:rsidRDefault="00544CBF" w:rsidP="00544CBF">
      <w:pPr>
        <w:spacing w:after="0" w:line="276" w:lineRule="auto"/>
        <w:jc w:val="both"/>
        <w:rPr>
          <w:rFonts w:ascii="Times New Roman" w:hAnsi="Times New Roman" w:cs="Times New Roman"/>
          <w:sz w:val="24"/>
          <w:lang w:val="ro-MD"/>
        </w:rPr>
      </w:pPr>
      <w:r w:rsidRPr="00DD5F1D">
        <w:rPr>
          <w:rFonts w:ascii="Times New Roman" w:hAnsi="Times New Roman" w:cs="Times New Roman"/>
          <w:sz w:val="24"/>
          <w:lang w:val="ro-MD"/>
        </w:rPr>
        <w:t>De exemplu, unui beneficiar i-a fost majorată pensia cu 2</w:t>
      </w:r>
      <w:r w:rsidR="003038CE" w:rsidRPr="00DD5F1D">
        <w:rPr>
          <w:rFonts w:ascii="Times New Roman" w:hAnsi="Times New Roman" w:cs="Times New Roman"/>
          <w:sz w:val="24"/>
          <w:lang w:val="ro-MD"/>
        </w:rPr>
        <w:t xml:space="preserve"> </w:t>
      </w:r>
      <w:r w:rsidR="00771DCE" w:rsidRPr="00DD5F1D">
        <w:rPr>
          <w:rFonts w:ascii="Times New Roman" w:hAnsi="Times New Roman" w:cs="Times New Roman"/>
          <w:sz w:val="24"/>
          <w:lang w:val="ro-MD"/>
        </w:rPr>
        <w:t>799,1 lei/</w:t>
      </w:r>
      <w:r w:rsidRPr="00DD5F1D">
        <w:rPr>
          <w:rFonts w:ascii="Times New Roman" w:hAnsi="Times New Roman" w:cs="Times New Roman"/>
          <w:sz w:val="24"/>
          <w:lang w:val="ro-MD"/>
        </w:rPr>
        <w:t xml:space="preserve">lunar, </w:t>
      </w:r>
      <w:r w:rsidR="0002749E" w:rsidRPr="00DD5F1D">
        <w:rPr>
          <w:rFonts w:ascii="Times New Roman" w:hAnsi="Times New Roman" w:cs="Times New Roman"/>
          <w:sz w:val="24"/>
          <w:lang w:val="ro-MD"/>
        </w:rPr>
        <w:t>ca</w:t>
      </w:r>
      <w:r w:rsidRPr="00DD5F1D">
        <w:rPr>
          <w:rFonts w:ascii="Times New Roman" w:hAnsi="Times New Roman" w:cs="Times New Roman"/>
          <w:sz w:val="24"/>
          <w:lang w:val="ro-MD"/>
        </w:rPr>
        <w:t xml:space="preserve"> rezultat</w:t>
      </w:r>
      <w:r w:rsidR="0002749E" w:rsidRPr="00DD5F1D">
        <w:rPr>
          <w:rFonts w:ascii="Times New Roman" w:hAnsi="Times New Roman" w:cs="Times New Roman"/>
          <w:sz w:val="24"/>
          <w:lang w:val="ro-MD"/>
        </w:rPr>
        <w:t xml:space="preserve"> a</w:t>
      </w:r>
      <w:r w:rsidRPr="00DD5F1D">
        <w:rPr>
          <w:rFonts w:ascii="Times New Roman" w:hAnsi="Times New Roman" w:cs="Times New Roman"/>
          <w:sz w:val="24"/>
          <w:lang w:val="ro-MD"/>
        </w:rPr>
        <w:t>l suplimentării informații</w:t>
      </w:r>
      <w:r w:rsidR="0002749E" w:rsidRPr="00DD5F1D">
        <w:rPr>
          <w:rFonts w:ascii="Times New Roman" w:hAnsi="Times New Roman" w:cs="Times New Roman"/>
          <w:sz w:val="24"/>
          <w:lang w:val="ro-MD"/>
        </w:rPr>
        <w:t>lor</w:t>
      </w:r>
      <w:r w:rsidRPr="00DD5F1D">
        <w:rPr>
          <w:rFonts w:ascii="Times New Roman" w:hAnsi="Times New Roman" w:cs="Times New Roman"/>
          <w:sz w:val="24"/>
          <w:lang w:val="ro-MD"/>
        </w:rPr>
        <w:t xml:space="preserve"> din contul personal. </w:t>
      </w:r>
      <w:r w:rsidR="00730E42" w:rsidRPr="00DD5F1D">
        <w:rPr>
          <w:rFonts w:ascii="Times New Roman" w:hAnsi="Times New Roman" w:cs="Times New Roman"/>
          <w:sz w:val="24"/>
          <w:lang w:val="ro-MD"/>
        </w:rPr>
        <w:t>Însă, a</w:t>
      </w:r>
      <w:r w:rsidRPr="00DD5F1D">
        <w:rPr>
          <w:rFonts w:ascii="Times New Roman" w:hAnsi="Times New Roman" w:cs="Times New Roman"/>
          <w:sz w:val="24"/>
          <w:lang w:val="ro-MD"/>
        </w:rPr>
        <w:t>cesta a fost limitat în obținerea prestației majorate din luna următoare celei în care a fost efectuată modificarea în contul personal și urmează să beneficieze de o prestație în cuantum majorat cu 11 luni mai târziu.</w:t>
      </w:r>
    </w:p>
    <w:p w14:paraId="2F3D8BA1" w14:textId="5EF277CF" w:rsidR="00E836B2" w:rsidRPr="00DD5F1D" w:rsidRDefault="00E836B2" w:rsidP="00E836B2">
      <w:pPr>
        <w:autoSpaceDE w:val="0"/>
        <w:autoSpaceDN w:val="0"/>
        <w:adjustRightInd w:val="0"/>
        <w:spacing w:after="0" w:line="276" w:lineRule="auto"/>
        <w:jc w:val="both"/>
        <w:rPr>
          <w:rFonts w:ascii="Times New Roman" w:hAnsi="Times New Roman" w:cs="Times New Roman"/>
          <w:color w:val="000000"/>
          <w:sz w:val="24"/>
          <w:szCs w:val="24"/>
          <w:lang w:val="ro-MD"/>
        </w:rPr>
      </w:pPr>
      <w:r w:rsidRPr="00DD5F1D">
        <w:rPr>
          <w:rFonts w:ascii="Times New Roman" w:hAnsi="Times New Roman" w:cs="Times New Roman"/>
          <w:color w:val="000000"/>
          <w:sz w:val="24"/>
          <w:szCs w:val="24"/>
          <w:lang w:val="ro-MD"/>
        </w:rPr>
        <w:t xml:space="preserve">La fel, la recalcularea pensiilor din ianuarie 2024 nu s-a luat în calcul veniturile aferente achitării premiului anual în luna decembrie 2023 pentru personalul ce a activat în instituțiile publice, deși această informație devenea disponibilă </w:t>
      </w:r>
      <w:r w:rsidR="00C52FE0" w:rsidRPr="00DD5F1D">
        <w:rPr>
          <w:rFonts w:ascii="Times New Roman" w:hAnsi="Times New Roman" w:cs="Times New Roman"/>
          <w:color w:val="000000"/>
          <w:sz w:val="24"/>
          <w:szCs w:val="24"/>
          <w:lang w:val="ro-MD"/>
        </w:rPr>
        <w:t>începând</w:t>
      </w:r>
      <w:r w:rsidRPr="00DD5F1D">
        <w:rPr>
          <w:rFonts w:ascii="Times New Roman" w:hAnsi="Times New Roman" w:cs="Times New Roman"/>
          <w:color w:val="000000"/>
          <w:sz w:val="24"/>
          <w:szCs w:val="24"/>
          <w:lang w:val="ro-MD"/>
        </w:rPr>
        <w:t xml:space="preserve"> cu 25.01.2024. </w:t>
      </w:r>
    </w:p>
    <w:p w14:paraId="6722750E" w14:textId="77777777" w:rsidR="00E836B2" w:rsidRPr="00DD5F1D" w:rsidRDefault="00E836B2" w:rsidP="00544CBF">
      <w:pPr>
        <w:spacing w:after="0" w:line="276" w:lineRule="auto"/>
        <w:jc w:val="both"/>
        <w:rPr>
          <w:rFonts w:ascii="Times New Roman" w:hAnsi="Times New Roman" w:cs="Times New Roman"/>
          <w:sz w:val="24"/>
          <w:lang w:val="ro-MD"/>
        </w:rPr>
      </w:pPr>
    </w:p>
    <w:p w14:paraId="2BB03196" w14:textId="06537940" w:rsidR="00652E43" w:rsidRPr="00DD5F1D" w:rsidRDefault="00652E43" w:rsidP="003038CE">
      <w:pPr>
        <w:spacing w:line="276" w:lineRule="auto"/>
        <w:jc w:val="both"/>
        <w:rPr>
          <w:rFonts w:ascii="Times New Roman" w:hAnsi="Times New Roman" w:cs="Times New Roman"/>
          <w:i/>
          <w:sz w:val="24"/>
          <w:lang w:val="ro-MD"/>
        </w:rPr>
      </w:pPr>
      <w:r w:rsidRPr="00DD5F1D">
        <w:rPr>
          <w:rFonts w:ascii="Times New Roman" w:hAnsi="Times New Roman" w:cs="Times New Roman"/>
          <w:i/>
          <w:sz w:val="24"/>
          <w:lang w:val="ro-MD"/>
        </w:rPr>
        <w:t>Notă:</w:t>
      </w:r>
      <w:r w:rsidR="0072440B" w:rsidRPr="00DD5F1D">
        <w:rPr>
          <w:rFonts w:ascii="Times New Roman" w:hAnsi="Times New Roman" w:cs="Times New Roman"/>
          <w:i/>
          <w:sz w:val="24"/>
          <w:lang w:val="ro-MD"/>
        </w:rPr>
        <w:t xml:space="preserve"> </w:t>
      </w:r>
      <w:r w:rsidR="00544CBF" w:rsidRPr="00DD5F1D">
        <w:rPr>
          <w:rFonts w:ascii="Times New Roman" w:hAnsi="Times New Roman" w:cs="Times New Roman"/>
          <w:i/>
          <w:sz w:val="24"/>
          <w:lang w:val="ro-MD"/>
        </w:rPr>
        <w:t>Pe parcursul misiunii de audit au fost imprimate și prelucrate listele respective și au fost prezentate echipei de audit. În rezultat, au fost reexaminate deciziile de stabilire a pensiei pentru  beneficiarii identificați de audit. Astfel, aceștia ulterior reexaminării deciziei, vor beneficia de prestația în cuantum cuvenit din data suplimentării informațiilor din contul personal.</w:t>
      </w:r>
      <w:r w:rsidRPr="00DD5F1D">
        <w:rPr>
          <w:rFonts w:ascii="Times New Roman" w:hAnsi="Times New Roman" w:cs="Times New Roman"/>
          <w:i/>
          <w:sz w:val="24"/>
          <w:lang w:val="ro-MD"/>
        </w:rPr>
        <w:t xml:space="preserve"> Totodată, CNAS urmează să asigure prelucrarea integrală a rapoartelor menționate pentru toate subdiviziunile teritoriale, cu identificarea tuturor beneficiarilor cărora urmează a</w:t>
      </w:r>
      <w:r w:rsidR="00AE0177" w:rsidRPr="00DD5F1D">
        <w:rPr>
          <w:rFonts w:ascii="Times New Roman" w:hAnsi="Times New Roman" w:cs="Times New Roman"/>
          <w:i/>
          <w:sz w:val="24"/>
          <w:lang w:val="ro-MD"/>
        </w:rPr>
        <w:t xml:space="preserve"> le</w:t>
      </w:r>
      <w:r w:rsidRPr="00DD5F1D">
        <w:rPr>
          <w:rFonts w:ascii="Times New Roman" w:hAnsi="Times New Roman" w:cs="Times New Roman"/>
          <w:i/>
          <w:sz w:val="24"/>
          <w:lang w:val="ro-MD"/>
        </w:rPr>
        <w:t xml:space="preserve"> fi reexaminată prestația.</w:t>
      </w:r>
    </w:p>
    <w:p w14:paraId="5F77400F" w14:textId="24273312" w:rsidR="00544CBF" w:rsidRPr="00DD5F1D" w:rsidRDefault="002A1CBA" w:rsidP="00544CBF">
      <w:pPr>
        <w:spacing w:after="0" w:line="276" w:lineRule="auto"/>
        <w:contextualSpacing/>
        <w:jc w:val="both"/>
        <w:rPr>
          <w:rFonts w:ascii="Times New Roman" w:hAnsi="Times New Roman" w:cs="Times New Roman"/>
          <w:sz w:val="24"/>
          <w:lang w:val="ro-MD"/>
        </w:rPr>
      </w:pPr>
      <w:r w:rsidRPr="00DD5F1D">
        <w:rPr>
          <w:rFonts w:ascii="Times New Roman" w:hAnsi="Times New Roman" w:cs="Times New Roman"/>
          <w:sz w:val="24"/>
          <w:lang w:val="ro-MD"/>
        </w:rPr>
        <w:t xml:space="preserve">Un alt exemplu se referă la </w:t>
      </w:r>
      <w:r w:rsidR="00544CBF" w:rsidRPr="00DD5F1D">
        <w:rPr>
          <w:rFonts w:ascii="Times New Roman" w:hAnsi="Times New Roman" w:cs="Times New Roman"/>
          <w:sz w:val="24"/>
          <w:lang w:val="ro-MD"/>
        </w:rPr>
        <w:t xml:space="preserve">micșorarea venitului asigurat declarat inițial, de la 1 lună până la 12 luni, care a fost inclus la stabilirea indemnizației pentru incapacitate temporară de muncă </w:t>
      </w:r>
      <w:r w:rsidR="00AE0177" w:rsidRPr="00DD5F1D">
        <w:rPr>
          <w:rFonts w:ascii="Times New Roman" w:hAnsi="Times New Roman" w:cs="Times New Roman"/>
          <w:sz w:val="24"/>
          <w:lang w:val="ro-MD"/>
        </w:rPr>
        <w:t>ca</w:t>
      </w:r>
      <w:r w:rsidR="00544CBF" w:rsidRPr="00DD5F1D">
        <w:rPr>
          <w:rFonts w:ascii="Times New Roman" w:hAnsi="Times New Roman" w:cs="Times New Roman"/>
          <w:sz w:val="24"/>
          <w:lang w:val="ro-MD"/>
        </w:rPr>
        <w:t xml:space="preserve"> rezultat</w:t>
      </w:r>
      <w:r w:rsidR="00AE0177" w:rsidRPr="00DD5F1D">
        <w:rPr>
          <w:rFonts w:ascii="Times New Roman" w:hAnsi="Times New Roman" w:cs="Times New Roman"/>
          <w:sz w:val="24"/>
          <w:lang w:val="ro-MD"/>
        </w:rPr>
        <w:t xml:space="preserve"> a</w:t>
      </w:r>
      <w:r w:rsidR="00544CBF" w:rsidRPr="00DD5F1D">
        <w:rPr>
          <w:rFonts w:ascii="Times New Roman" w:hAnsi="Times New Roman" w:cs="Times New Roman"/>
          <w:sz w:val="24"/>
          <w:lang w:val="ro-MD"/>
        </w:rPr>
        <w:t xml:space="preserve">l prezentării declarațiilor de corectare, în unele cazuri subdiviziunile teritoriale nu au constatat și </w:t>
      </w:r>
      <w:r w:rsidR="00AE0177" w:rsidRPr="00DD5F1D">
        <w:rPr>
          <w:rFonts w:ascii="Times New Roman" w:hAnsi="Times New Roman" w:cs="Times New Roman"/>
          <w:sz w:val="24"/>
          <w:lang w:val="ro-MD"/>
        </w:rPr>
        <w:t xml:space="preserve">nu au </w:t>
      </w:r>
      <w:r w:rsidR="00544CBF" w:rsidRPr="00DD5F1D">
        <w:rPr>
          <w:rFonts w:ascii="Times New Roman" w:hAnsi="Times New Roman" w:cs="Times New Roman"/>
          <w:sz w:val="24"/>
          <w:lang w:val="ro-MD"/>
        </w:rPr>
        <w:t>calculat sumele achitate necuvenit.</w:t>
      </w:r>
    </w:p>
    <w:p w14:paraId="7CE15EAE" w14:textId="0E8F249E" w:rsidR="00544CBF" w:rsidRPr="00DD5F1D" w:rsidRDefault="005737A3" w:rsidP="00544CBF">
      <w:pPr>
        <w:spacing w:after="0" w:line="276" w:lineRule="auto"/>
        <w:jc w:val="both"/>
        <w:rPr>
          <w:rFonts w:ascii="Times New Roman" w:hAnsi="Times New Roman" w:cs="Times New Roman"/>
          <w:sz w:val="24"/>
          <w:lang w:val="ro-MD"/>
        </w:rPr>
      </w:pPr>
      <w:r w:rsidRPr="00DD5F1D">
        <w:rPr>
          <w:rFonts w:ascii="Times New Roman" w:hAnsi="Times New Roman" w:cs="Times New Roman"/>
          <w:sz w:val="24"/>
          <w:lang w:val="ro-MD"/>
        </w:rPr>
        <w:t xml:space="preserve">Astfel, </w:t>
      </w:r>
      <w:r w:rsidR="00544CBF" w:rsidRPr="00DD5F1D">
        <w:rPr>
          <w:rFonts w:ascii="Times New Roman" w:hAnsi="Times New Roman" w:cs="Times New Roman"/>
          <w:sz w:val="24"/>
          <w:lang w:val="ro-MD"/>
        </w:rPr>
        <w:t>audit</w:t>
      </w:r>
      <w:r w:rsidR="00AE0177" w:rsidRPr="00DD5F1D">
        <w:rPr>
          <w:rFonts w:ascii="Times New Roman" w:hAnsi="Times New Roman" w:cs="Times New Roman"/>
          <w:sz w:val="24"/>
          <w:lang w:val="ro-MD"/>
        </w:rPr>
        <w:t>ul</w:t>
      </w:r>
      <w:r w:rsidR="00544CBF" w:rsidRPr="00DD5F1D">
        <w:rPr>
          <w:rFonts w:ascii="Times New Roman" w:hAnsi="Times New Roman" w:cs="Times New Roman"/>
          <w:sz w:val="24"/>
          <w:lang w:val="ro-MD"/>
        </w:rPr>
        <w:t xml:space="preserve"> a identificat 8 persoane </w:t>
      </w:r>
      <w:r w:rsidR="00C52FE0" w:rsidRPr="00DD5F1D">
        <w:rPr>
          <w:rFonts w:ascii="Times New Roman" w:hAnsi="Times New Roman" w:cs="Times New Roman"/>
          <w:sz w:val="24"/>
          <w:lang w:val="ro-MD"/>
        </w:rPr>
        <w:t>(</w:t>
      </w:r>
      <w:r w:rsidR="00544CBF" w:rsidRPr="00DD5F1D">
        <w:rPr>
          <w:rFonts w:ascii="Times New Roman" w:hAnsi="Times New Roman" w:cs="Times New Roman"/>
          <w:sz w:val="24"/>
          <w:lang w:val="ro-MD"/>
        </w:rPr>
        <w:t>din 30 verificate</w:t>
      </w:r>
      <w:r w:rsidR="00C52FE0" w:rsidRPr="00DD5F1D">
        <w:rPr>
          <w:rFonts w:ascii="Times New Roman" w:hAnsi="Times New Roman" w:cs="Times New Roman"/>
          <w:sz w:val="24"/>
          <w:lang w:val="ro-MD"/>
        </w:rPr>
        <w:t>)</w:t>
      </w:r>
      <w:r w:rsidR="00544CBF" w:rsidRPr="00DD5F1D">
        <w:rPr>
          <w:rFonts w:ascii="Times New Roman" w:hAnsi="Times New Roman" w:cs="Times New Roman"/>
          <w:sz w:val="24"/>
          <w:lang w:val="ro-MD"/>
        </w:rPr>
        <w:t>, la care</w:t>
      </w:r>
      <w:r w:rsidRPr="00DD5F1D">
        <w:rPr>
          <w:rFonts w:ascii="Times New Roman" w:hAnsi="Times New Roman" w:cs="Times New Roman"/>
          <w:sz w:val="24"/>
          <w:lang w:val="ro-MD"/>
        </w:rPr>
        <w:t xml:space="preserve"> </w:t>
      </w:r>
      <w:r w:rsidR="00544CBF" w:rsidRPr="00DD5F1D">
        <w:rPr>
          <w:rFonts w:ascii="Times New Roman" w:hAnsi="Times New Roman" w:cs="Times New Roman"/>
          <w:sz w:val="24"/>
          <w:lang w:val="ro-MD"/>
        </w:rPr>
        <w:t>a fost micșorat ven</w:t>
      </w:r>
      <w:r w:rsidRPr="00DD5F1D">
        <w:rPr>
          <w:rFonts w:ascii="Times New Roman" w:hAnsi="Times New Roman" w:cs="Times New Roman"/>
          <w:sz w:val="24"/>
          <w:lang w:val="ro-MD"/>
        </w:rPr>
        <w:t>itul asigurat declarat inițial și i</w:t>
      </w:r>
      <w:r w:rsidR="00544CBF" w:rsidRPr="00DD5F1D">
        <w:rPr>
          <w:rFonts w:ascii="Times New Roman" w:hAnsi="Times New Roman" w:cs="Times New Roman"/>
          <w:sz w:val="24"/>
          <w:lang w:val="ro-MD"/>
        </w:rPr>
        <w:t>nclus în calcul la determinarea cuantumului indemnizației</w:t>
      </w:r>
      <w:r w:rsidRPr="00DD5F1D">
        <w:rPr>
          <w:rFonts w:ascii="Times New Roman" w:hAnsi="Times New Roman" w:cs="Times New Roman"/>
          <w:sz w:val="24"/>
          <w:lang w:val="ro-MD"/>
        </w:rPr>
        <w:t xml:space="preserve">, </w:t>
      </w:r>
      <w:r w:rsidR="00AE0177" w:rsidRPr="00DD5F1D">
        <w:rPr>
          <w:rFonts w:ascii="Times New Roman" w:hAnsi="Times New Roman" w:cs="Times New Roman"/>
          <w:sz w:val="24"/>
          <w:lang w:val="ro-MD"/>
        </w:rPr>
        <w:t>ca</w:t>
      </w:r>
      <w:r w:rsidRPr="00DD5F1D">
        <w:rPr>
          <w:rFonts w:ascii="Times New Roman" w:hAnsi="Times New Roman" w:cs="Times New Roman"/>
          <w:sz w:val="24"/>
          <w:lang w:val="ro-MD"/>
        </w:rPr>
        <w:t xml:space="preserve"> rezultat</w:t>
      </w:r>
      <w:r w:rsidR="00AE0177" w:rsidRPr="00DD5F1D">
        <w:rPr>
          <w:rFonts w:ascii="Times New Roman" w:hAnsi="Times New Roman" w:cs="Times New Roman"/>
          <w:sz w:val="24"/>
          <w:lang w:val="ro-MD"/>
        </w:rPr>
        <w:t xml:space="preserve"> a</w:t>
      </w:r>
      <w:r w:rsidRPr="00DD5F1D">
        <w:rPr>
          <w:rFonts w:ascii="Times New Roman" w:hAnsi="Times New Roman" w:cs="Times New Roman"/>
          <w:sz w:val="24"/>
          <w:lang w:val="ro-MD"/>
        </w:rPr>
        <w:t>l prezentării dărilor de seamă de corectare</w:t>
      </w:r>
      <w:r w:rsidR="00544CBF" w:rsidRPr="00DD5F1D">
        <w:rPr>
          <w:rFonts w:ascii="Times New Roman" w:hAnsi="Times New Roman" w:cs="Times New Roman"/>
          <w:sz w:val="24"/>
          <w:lang w:val="ro-MD"/>
        </w:rPr>
        <w:t>. În conformitate cu prevederile</w:t>
      </w:r>
      <w:r w:rsidR="00C52FE0" w:rsidRPr="00DD5F1D">
        <w:rPr>
          <w:rFonts w:ascii="Times New Roman" w:hAnsi="Times New Roman" w:cs="Times New Roman"/>
          <w:sz w:val="24"/>
          <w:lang w:val="ro-MD"/>
        </w:rPr>
        <w:t xml:space="preserve"> actelor normative</w:t>
      </w:r>
      <w:r w:rsidR="00544CBF" w:rsidRPr="00DD5F1D">
        <w:rPr>
          <w:rFonts w:ascii="Times New Roman" w:hAnsi="Times New Roman" w:cs="Times New Roman"/>
          <w:sz w:val="24"/>
          <w:lang w:val="ro-MD"/>
        </w:rPr>
        <w:t xml:space="preserve"> în vigoare</w:t>
      </w:r>
      <w:r w:rsidR="00544CBF" w:rsidRPr="00DD5F1D">
        <w:rPr>
          <w:rFonts w:ascii="Times New Roman" w:hAnsi="Times New Roman" w:cs="Times New Roman"/>
          <w:sz w:val="24"/>
          <w:vertAlign w:val="superscript"/>
          <w:lang w:val="ro-MD"/>
        </w:rPr>
        <w:footnoteReference w:id="122"/>
      </w:r>
      <w:r w:rsidR="00544CBF" w:rsidRPr="00DD5F1D">
        <w:rPr>
          <w:rFonts w:ascii="Times New Roman" w:hAnsi="Times New Roman" w:cs="Times New Roman"/>
          <w:sz w:val="24"/>
          <w:lang w:val="ro-MD"/>
        </w:rPr>
        <w:t xml:space="preserve">, sumele achitate necuvenit sub formă de prestații de asigurări sociale, ca urmare a prezentării declarațiilor de corectare, se recuperează de la angajator. </w:t>
      </w:r>
    </w:p>
    <w:p w14:paraId="5DC999F9" w14:textId="77777777" w:rsidR="00D810B5" w:rsidRDefault="00544CBF" w:rsidP="00771DCE">
      <w:pPr>
        <w:spacing w:after="0" w:line="276" w:lineRule="auto"/>
        <w:jc w:val="both"/>
        <w:rPr>
          <w:rFonts w:ascii="Times New Roman" w:hAnsi="Times New Roman" w:cs="Times New Roman"/>
          <w:sz w:val="24"/>
          <w:lang w:val="ro-MD"/>
        </w:rPr>
      </w:pPr>
      <w:r w:rsidRPr="00DD5F1D">
        <w:rPr>
          <w:rFonts w:ascii="Times New Roman" w:hAnsi="Times New Roman" w:cs="Times New Roman"/>
          <w:sz w:val="24"/>
          <w:lang w:val="ro-MD"/>
        </w:rPr>
        <w:t xml:space="preserve">CNAS nu a asigurat prelucrarea integrală a </w:t>
      </w:r>
      <w:r w:rsidR="003038CE" w:rsidRPr="00DD5F1D">
        <w:rPr>
          <w:rFonts w:ascii="Times New Roman" w:hAnsi="Times New Roman" w:cs="Times New Roman"/>
          <w:sz w:val="24"/>
          <w:lang w:val="ro-MD"/>
        </w:rPr>
        <w:t>rapoartelor și</w:t>
      </w:r>
      <w:r w:rsidRPr="00DD5F1D">
        <w:rPr>
          <w:rFonts w:ascii="Times New Roman" w:hAnsi="Times New Roman" w:cs="Times New Roman"/>
          <w:sz w:val="24"/>
          <w:lang w:val="ro-MD"/>
        </w:rPr>
        <w:t xml:space="preserve"> nu a constatat sumele achitate necuvenit sub formă de prestații de asigurări sociale, care urmează a fi recuperate de la angajator</w:t>
      </w:r>
      <w:r w:rsidR="003038CE" w:rsidRPr="00DD5F1D">
        <w:rPr>
          <w:rFonts w:ascii="Times New Roman" w:hAnsi="Times New Roman" w:cs="Times New Roman"/>
          <w:sz w:val="24"/>
          <w:lang w:val="ro-MD"/>
        </w:rPr>
        <w:t>.</w:t>
      </w:r>
      <w:r w:rsidR="00771DCE" w:rsidRPr="00DD5F1D">
        <w:rPr>
          <w:rFonts w:ascii="Times New Roman" w:hAnsi="Times New Roman" w:cs="Times New Roman"/>
          <w:sz w:val="24"/>
          <w:lang w:val="ro-MD"/>
        </w:rPr>
        <w:t xml:space="preserve"> </w:t>
      </w:r>
    </w:p>
    <w:p w14:paraId="6CFA343E" w14:textId="7C8B8163" w:rsidR="00771DCE" w:rsidRPr="00DD5F1D" w:rsidRDefault="00771DCE" w:rsidP="00771DCE">
      <w:pPr>
        <w:spacing w:after="0" w:line="276" w:lineRule="auto"/>
        <w:jc w:val="both"/>
        <w:rPr>
          <w:rFonts w:ascii="Times New Roman" w:hAnsi="Times New Roman" w:cs="Times New Roman"/>
          <w:sz w:val="24"/>
          <w:lang w:val="ro-MD"/>
        </w:rPr>
      </w:pPr>
      <w:r w:rsidRPr="00DD5F1D">
        <w:rPr>
          <w:rFonts w:ascii="Times New Roman" w:hAnsi="Times New Roman" w:cs="Times New Roman"/>
          <w:sz w:val="24"/>
          <w:lang w:val="ro-MD"/>
        </w:rPr>
        <w:t>Concomitent,  auditul menționează că</w:t>
      </w:r>
      <w:r w:rsidR="00AE0177" w:rsidRPr="00DD5F1D">
        <w:rPr>
          <w:rFonts w:ascii="Times New Roman" w:hAnsi="Times New Roman" w:cs="Times New Roman"/>
          <w:sz w:val="24"/>
          <w:lang w:val="ro-MD"/>
        </w:rPr>
        <w:t>,</w:t>
      </w:r>
      <w:r w:rsidRPr="00DD5F1D">
        <w:rPr>
          <w:rFonts w:ascii="Times New Roman" w:hAnsi="Times New Roman" w:cs="Times New Roman"/>
          <w:sz w:val="24"/>
          <w:lang w:val="ro-MD"/>
        </w:rPr>
        <w:t xml:space="preserve"> potrivit normelor legale</w:t>
      </w:r>
      <w:r w:rsidRPr="00DD5F1D">
        <w:rPr>
          <w:rFonts w:ascii="Times New Roman" w:hAnsi="Times New Roman" w:cs="Times New Roman"/>
          <w:vertAlign w:val="superscript"/>
          <w:lang w:val="ro-MD"/>
        </w:rPr>
        <w:footnoteReference w:id="123"/>
      </w:r>
      <w:r w:rsidRPr="00DD5F1D">
        <w:rPr>
          <w:rFonts w:ascii="Times New Roman" w:hAnsi="Times New Roman" w:cs="Times New Roman"/>
          <w:sz w:val="24"/>
          <w:lang w:val="ro-MD"/>
        </w:rPr>
        <w:t>, înregistrarea cheltuielilor și veniturilor prin metoda de angajamente prevede recunoașterea lor pe măsura apariției, adică la momentul apariției obligațiunilor față de beneficiar/</w:t>
      </w:r>
      <w:r w:rsidR="00592F46" w:rsidRPr="00DD5F1D">
        <w:rPr>
          <w:rFonts w:ascii="Times New Roman" w:hAnsi="Times New Roman" w:cs="Times New Roman"/>
          <w:sz w:val="24"/>
          <w:lang w:val="ro-MD"/>
        </w:rPr>
        <w:t>restanțele angajatorilor</w:t>
      </w:r>
      <w:r w:rsidRPr="00DD5F1D">
        <w:rPr>
          <w:rFonts w:ascii="Times New Roman" w:hAnsi="Times New Roman" w:cs="Times New Roman"/>
          <w:sz w:val="24"/>
          <w:lang w:val="ro-MD"/>
        </w:rPr>
        <w:t>, indiferent de momentul plății/încasării</w:t>
      </w:r>
      <w:r w:rsidR="002A1CBA" w:rsidRPr="00DD5F1D">
        <w:rPr>
          <w:rFonts w:ascii="Times New Roman" w:hAnsi="Times New Roman" w:cs="Times New Roman"/>
          <w:sz w:val="24"/>
          <w:lang w:val="ro-MD"/>
        </w:rPr>
        <w:t xml:space="preserve">. </w:t>
      </w:r>
      <w:r w:rsidR="002A1CBA" w:rsidRPr="00193E3C">
        <w:rPr>
          <w:rFonts w:ascii="Times New Roman" w:hAnsi="Times New Roman" w:cs="Times New Roman"/>
          <w:sz w:val="24"/>
          <w:lang w:val="ro-MD"/>
        </w:rPr>
        <w:t>A</w:t>
      </w:r>
      <w:r w:rsidRPr="00193E3C">
        <w:rPr>
          <w:rFonts w:ascii="Times New Roman" w:hAnsi="Times New Roman" w:cs="Times New Roman"/>
          <w:sz w:val="24"/>
          <w:lang w:val="ro-MD"/>
        </w:rPr>
        <w:t xml:space="preserve">stfel, aceste circumstanțe conduc la reflectarea necorespunzătoare </w:t>
      </w:r>
      <w:r w:rsidR="0068398C" w:rsidRPr="00AF03D8">
        <w:rPr>
          <w:rFonts w:ascii="Times New Roman" w:hAnsi="Times New Roman" w:cs="Times New Roman"/>
          <w:sz w:val="24"/>
          <w:lang w:val="ro-MD"/>
        </w:rPr>
        <w:t>în</w:t>
      </w:r>
      <w:r w:rsidR="0068398C" w:rsidRPr="00193E3C">
        <w:rPr>
          <w:rFonts w:ascii="Times New Roman" w:hAnsi="Times New Roman" w:cs="Times New Roman"/>
          <w:sz w:val="24"/>
          <w:lang w:val="ro-MD"/>
        </w:rPr>
        <w:t xml:space="preserve"> </w:t>
      </w:r>
      <w:r w:rsidRPr="00193E3C">
        <w:rPr>
          <w:rFonts w:ascii="Times New Roman" w:hAnsi="Times New Roman" w:cs="Times New Roman"/>
          <w:sz w:val="24"/>
          <w:lang w:val="ro-MD"/>
        </w:rPr>
        <w:t>perioad</w:t>
      </w:r>
      <w:r w:rsidR="0068398C" w:rsidRPr="00AF03D8">
        <w:rPr>
          <w:rFonts w:ascii="Times New Roman" w:hAnsi="Times New Roman" w:cs="Times New Roman"/>
          <w:sz w:val="24"/>
          <w:lang w:val="ro-MD"/>
        </w:rPr>
        <w:t>a</w:t>
      </w:r>
      <w:r w:rsidRPr="00193E3C">
        <w:rPr>
          <w:rFonts w:ascii="Times New Roman" w:hAnsi="Times New Roman" w:cs="Times New Roman"/>
          <w:sz w:val="24"/>
          <w:lang w:val="ro-MD"/>
        </w:rPr>
        <w:t xml:space="preserve"> de gestiune</w:t>
      </w:r>
      <w:r w:rsidR="00D810B5" w:rsidRPr="00193E3C">
        <w:rPr>
          <w:rFonts w:ascii="Times New Roman" w:hAnsi="Times New Roman" w:cs="Times New Roman"/>
          <w:sz w:val="24"/>
          <w:lang w:val="ro-MD"/>
        </w:rPr>
        <w:t xml:space="preserve"> a datoriilor sa</w:t>
      </w:r>
      <w:r w:rsidR="00D810B5" w:rsidRPr="005152D5">
        <w:rPr>
          <w:rFonts w:ascii="Times New Roman" w:hAnsi="Times New Roman" w:cs="Times New Roman"/>
          <w:sz w:val="24"/>
          <w:lang w:val="ro-MD"/>
        </w:rPr>
        <w:t>u creanțelor</w:t>
      </w:r>
      <w:r w:rsidR="0051288A" w:rsidRPr="00A93D77">
        <w:rPr>
          <w:rFonts w:ascii="Times New Roman" w:hAnsi="Times New Roman" w:cs="Times New Roman"/>
          <w:sz w:val="24"/>
          <w:lang w:val="ro-MD"/>
        </w:rPr>
        <w:t>,</w:t>
      </w:r>
      <w:r w:rsidRPr="00A93D77">
        <w:rPr>
          <w:rFonts w:ascii="Times New Roman" w:hAnsi="Times New Roman" w:cs="Times New Roman"/>
          <w:sz w:val="24"/>
          <w:lang w:val="ro-MD"/>
        </w:rPr>
        <w:t xml:space="preserve"> </w:t>
      </w:r>
      <w:r w:rsidR="00592F46" w:rsidRPr="00A93D77">
        <w:rPr>
          <w:rFonts w:ascii="Times New Roman" w:hAnsi="Times New Roman" w:cs="Times New Roman"/>
          <w:sz w:val="24"/>
          <w:lang w:val="ro-MD"/>
        </w:rPr>
        <w:t xml:space="preserve"> precum </w:t>
      </w:r>
      <w:r w:rsidRPr="00D810B5">
        <w:rPr>
          <w:rFonts w:ascii="Times New Roman" w:hAnsi="Times New Roman" w:cs="Times New Roman"/>
          <w:sz w:val="24"/>
          <w:lang w:val="ro-MD"/>
        </w:rPr>
        <w:t xml:space="preserve">și privarea beneficiarilor </w:t>
      </w:r>
      <w:r w:rsidR="0051288A" w:rsidRPr="00D810B5">
        <w:rPr>
          <w:rFonts w:ascii="Times New Roman" w:hAnsi="Times New Roman" w:cs="Times New Roman"/>
          <w:sz w:val="24"/>
          <w:lang w:val="ro-MD"/>
        </w:rPr>
        <w:t xml:space="preserve">de </w:t>
      </w:r>
      <w:r w:rsidR="00621F85" w:rsidRPr="00D810B5">
        <w:rPr>
          <w:rFonts w:ascii="Times New Roman" w:hAnsi="Times New Roman" w:cs="Times New Roman"/>
          <w:sz w:val="24"/>
          <w:lang w:val="ro-MD"/>
        </w:rPr>
        <w:t xml:space="preserve">cuantumul </w:t>
      </w:r>
      <w:r w:rsidRPr="00D810B5">
        <w:rPr>
          <w:rFonts w:ascii="Times New Roman" w:hAnsi="Times New Roman" w:cs="Times New Roman"/>
          <w:sz w:val="24"/>
          <w:lang w:val="ro-MD"/>
        </w:rPr>
        <w:t>prestației</w:t>
      </w:r>
      <w:r w:rsidR="00621F85" w:rsidRPr="00D810B5">
        <w:rPr>
          <w:rFonts w:ascii="Times New Roman" w:hAnsi="Times New Roman" w:cs="Times New Roman"/>
          <w:sz w:val="24"/>
          <w:lang w:val="ro-MD"/>
        </w:rPr>
        <w:t xml:space="preserve"> cuvenite</w:t>
      </w:r>
      <w:r w:rsidRPr="00D810B5">
        <w:rPr>
          <w:rFonts w:ascii="Times New Roman" w:hAnsi="Times New Roman" w:cs="Times New Roman"/>
          <w:sz w:val="24"/>
          <w:lang w:val="ro-MD"/>
        </w:rPr>
        <w:t xml:space="preserve"> în termenele prevăzute.</w:t>
      </w:r>
    </w:p>
    <w:p w14:paraId="7272E716" w14:textId="4696136A" w:rsidR="00652E43" w:rsidRPr="00DD5F1D" w:rsidRDefault="00652E43" w:rsidP="00652E43">
      <w:pPr>
        <w:spacing w:line="276" w:lineRule="auto"/>
        <w:jc w:val="both"/>
        <w:rPr>
          <w:rFonts w:ascii="Times New Roman" w:hAnsi="Times New Roman" w:cs="Times New Roman"/>
          <w:i/>
          <w:sz w:val="24"/>
          <w:lang w:val="ro-MD"/>
        </w:rPr>
      </w:pPr>
      <w:r w:rsidRPr="00DD5F1D">
        <w:rPr>
          <w:rFonts w:ascii="Times New Roman" w:hAnsi="Times New Roman" w:cs="Times New Roman"/>
          <w:i/>
          <w:sz w:val="24"/>
          <w:lang w:val="ro-MD"/>
        </w:rPr>
        <w:t xml:space="preserve">Notă: pe parcursul misiunii de audit au fost întocmite demersuri de constatare a sumelor care necesită a fi recuperate de la angajator pentru cazurile constatate de audit, precum și emise decizii privind recuperarea de la angajator </w:t>
      </w:r>
      <w:r w:rsidR="0051288A" w:rsidRPr="00DD5F1D">
        <w:rPr>
          <w:rFonts w:ascii="Times New Roman" w:hAnsi="Times New Roman" w:cs="Times New Roman"/>
          <w:i/>
          <w:sz w:val="24"/>
          <w:lang w:val="ro-MD"/>
        </w:rPr>
        <w:t xml:space="preserve">a </w:t>
      </w:r>
      <w:r w:rsidRPr="00DD5F1D">
        <w:rPr>
          <w:rFonts w:ascii="Times New Roman" w:hAnsi="Times New Roman" w:cs="Times New Roman"/>
          <w:i/>
          <w:sz w:val="24"/>
          <w:lang w:val="ro-MD"/>
        </w:rPr>
        <w:t>sume</w:t>
      </w:r>
      <w:r w:rsidR="0051288A" w:rsidRPr="00DD5F1D">
        <w:rPr>
          <w:rFonts w:ascii="Times New Roman" w:hAnsi="Times New Roman" w:cs="Times New Roman"/>
          <w:i/>
          <w:sz w:val="24"/>
          <w:lang w:val="ro-MD"/>
        </w:rPr>
        <w:t>lor</w:t>
      </w:r>
      <w:r w:rsidRPr="00DD5F1D">
        <w:rPr>
          <w:rFonts w:ascii="Times New Roman" w:hAnsi="Times New Roman" w:cs="Times New Roman"/>
          <w:i/>
          <w:sz w:val="24"/>
          <w:lang w:val="ro-MD"/>
        </w:rPr>
        <w:t xml:space="preserve"> plătite necuvenit sub formă de prestații de asigurări sociale.</w:t>
      </w:r>
    </w:p>
    <w:p w14:paraId="55B31241" w14:textId="3127FBB3" w:rsidR="00961404" w:rsidRPr="00DD5F1D" w:rsidRDefault="00CC43C8" w:rsidP="00DD7AF0">
      <w:pPr>
        <w:tabs>
          <w:tab w:val="left" w:pos="284"/>
        </w:tabs>
        <w:spacing w:line="276" w:lineRule="auto"/>
        <w:contextualSpacing/>
        <w:jc w:val="both"/>
        <w:rPr>
          <w:rFonts w:ascii="Times New Roman" w:hAnsi="Times New Roman" w:cs="Times New Roman"/>
          <w:sz w:val="24"/>
          <w:lang w:val="ro-MD"/>
        </w:rPr>
      </w:pPr>
      <w:r w:rsidRPr="00DD5F1D">
        <w:rPr>
          <w:rFonts w:ascii="Times New Roman" w:hAnsi="Times New Roman" w:cs="Times New Roman"/>
          <w:sz w:val="24"/>
          <w:lang w:val="ro-MD"/>
        </w:rPr>
        <w:t>D</w:t>
      </w:r>
      <w:r w:rsidR="0072440B" w:rsidRPr="00DD5F1D">
        <w:rPr>
          <w:rFonts w:ascii="Times New Roman" w:hAnsi="Times New Roman" w:cs="Times New Roman"/>
          <w:sz w:val="24"/>
          <w:lang w:val="ro-MD"/>
        </w:rPr>
        <w:t>eși prevederile actelor normative</w:t>
      </w:r>
      <w:r w:rsidR="00544CBF" w:rsidRPr="00DD5F1D">
        <w:rPr>
          <w:rFonts w:ascii="Times New Roman" w:hAnsi="Times New Roman" w:cs="Times New Roman"/>
          <w:sz w:val="24"/>
          <w:vertAlign w:val="superscript"/>
          <w:lang w:val="ro-MD"/>
        </w:rPr>
        <w:footnoteReference w:id="124"/>
      </w:r>
      <w:r w:rsidR="00544CBF" w:rsidRPr="00DD5F1D">
        <w:rPr>
          <w:rFonts w:ascii="Times New Roman" w:hAnsi="Times New Roman" w:cs="Times New Roman"/>
          <w:sz w:val="24"/>
          <w:lang w:val="ro-MD"/>
        </w:rPr>
        <w:t xml:space="preserve"> </w:t>
      </w:r>
      <w:r w:rsidR="0072440B" w:rsidRPr="00DD5F1D">
        <w:rPr>
          <w:rFonts w:ascii="Times New Roman" w:hAnsi="Times New Roman" w:cs="Times New Roman"/>
          <w:sz w:val="24"/>
          <w:lang w:val="ro-MD"/>
        </w:rPr>
        <w:t>stabilesc</w:t>
      </w:r>
      <w:r w:rsidR="00544CBF" w:rsidRPr="00DD5F1D">
        <w:rPr>
          <w:rFonts w:ascii="Times New Roman" w:hAnsi="Times New Roman" w:cs="Times New Roman"/>
          <w:sz w:val="24"/>
          <w:lang w:val="ro-MD"/>
        </w:rPr>
        <w:t xml:space="preserve"> că</w:t>
      </w:r>
      <w:r w:rsidRPr="00DD5F1D">
        <w:rPr>
          <w:rFonts w:ascii="Times New Roman" w:hAnsi="Times New Roman" w:cs="Times New Roman"/>
          <w:sz w:val="24"/>
          <w:lang w:val="ro-MD"/>
        </w:rPr>
        <w:t>,</w:t>
      </w:r>
      <w:r w:rsidR="00544CBF" w:rsidRPr="00DD5F1D">
        <w:rPr>
          <w:rFonts w:ascii="Times New Roman" w:hAnsi="Times New Roman" w:cs="Times New Roman"/>
          <w:sz w:val="24"/>
          <w:lang w:val="ro-MD"/>
        </w:rPr>
        <w:t xml:space="preserve"> în cazul în care angajatorul înregistrează sume plătite în plus la alte clasificații economice ale BASS, CNAS va stinge obligația aferentă sumei care urmează a fi recuperat</w:t>
      </w:r>
      <w:r w:rsidR="0051288A" w:rsidRPr="00DD5F1D">
        <w:rPr>
          <w:rFonts w:ascii="Times New Roman" w:hAnsi="Times New Roman" w:cs="Times New Roman"/>
          <w:sz w:val="24"/>
          <w:lang w:val="ro-MD"/>
        </w:rPr>
        <w:t>ă</w:t>
      </w:r>
      <w:r w:rsidR="00544CBF" w:rsidRPr="00DD5F1D">
        <w:rPr>
          <w:rFonts w:ascii="Times New Roman" w:hAnsi="Times New Roman" w:cs="Times New Roman"/>
          <w:sz w:val="24"/>
          <w:lang w:val="ro-MD"/>
        </w:rPr>
        <w:t xml:space="preserve"> din contul trecerii de la un tip de plată la altul</w:t>
      </w:r>
      <w:r w:rsidR="00751B09">
        <w:rPr>
          <w:rFonts w:ascii="Times New Roman" w:hAnsi="Times New Roman" w:cs="Times New Roman"/>
          <w:sz w:val="24"/>
          <w:lang w:val="ro-MD"/>
        </w:rPr>
        <w:t>. Astfel</w:t>
      </w:r>
      <w:r w:rsidR="00544CBF" w:rsidRPr="00DD5F1D">
        <w:rPr>
          <w:rFonts w:ascii="Times New Roman" w:hAnsi="Times New Roman" w:cs="Times New Roman"/>
          <w:sz w:val="24"/>
          <w:lang w:val="ro-MD"/>
        </w:rPr>
        <w:t xml:space="preserve">, au fost identificați 5 angajatori care înregistrează restanțe la codul ECO 142238, de la 1,7 mii lei </w:t>
      </w:r>
      <w:r w:rsidR="003038CE" w:rsidRPr="00DD5F1D">
        <w:rPr>
          <w:rFonts w:ascii="Times New Roman" w:hAnsi="Times New Roman" w:cs="Times New Roman"/>
          <w:sz w:val="24"/>
          <w:lang w:val="ro-MD"/>
        </w:rPr>
        <w:t>până</w:t>
      </w:r>
      <w:r w:rsidR="00544CBF" w:rsidRPr="00DD5F1D">
        <w:rPr>
          <w:rFonts w:ascii="Times New Roman" w:hAnsi="Times New Roman" w:cs="Times New Roman"/>
          <w:sz w:val="24"/>
          <w:lang w:val="ro-MD"/>
        </w:rPr>
        <w:t xml:space="preserve"> la 39,1 mii lei, </w:t>
      </w:r>
      <w:r w:rsidR="0072440B" w:rsidRPr="00DD5F1D">
        <w:rPr>
          <w:rFonts w:ascii="Times New Roman" w:hAnsi="Times New Roman" w:cs="Times New Roman"/>
          <w:sz w:val="24"/>
          <w:lang w:val="ro-MD"/>
        </w:rPr>
        <w:t>în timp ce aceștia</w:t>
      </w:r>
      <w:r w:rsidR="00544CBF" w:rsidRPr="00DD5F1D">
        <w:rPr>
          <w:rFonts w:ascii="Times New Roman" w:hAnsi="Times New Roman" w:cs="Times New Roman"/>
          <w:sz w:val="24"/>
          <w:lang w:val="ro-MD"/>
        </w:rPr>
        <w:t xml:space="preserve"> prez</w:t>
      </w:r>
      <w:r w:rsidR="0072440B" w:rsidRPr="00DD5F1D">
        <w:rPr>
          <w:rFonts w:ascii="Times New Roman" w:hAnsi="Times New Roman" w:cs="Times New Roman"/>
          <w:sz w:val="24"/>
          <w:lang w:val="ro-MD"/>
        </w:rPr>
        <w:t>intă</w:t>
      </w:r>
      <w:r w:rsidR="00544CBF" w:rsidRPr="00DD5F1D">
        <w:rPr>
          <w:rFonts w:ascii="Times New Roman" w:hAnsi="Times New Roman" w:cs="Times New Roman"/>
          <w:sz w:val="24"/>
          <w:lang w:val="ro-MD"/>
        </w:rPr>
        <w:t xml:space="preserve"> sume în plus la altă clasificație economică. Astfel, CNAS nu utiliz</w:t>
      </w:r>
      <w:r w:rsidRPr="00DD5F1D">
        <w:rPr>
          <w:rFonts w:ascii="Times New Roman" w:hAnsi="Times New Roman" w:cs="Times New Roman"/>
          <w:sz w:val="24"/>
          <w:lang w:val="ro-MD"/>
        </w:rPr>
        <w:t>ează</w:t>
      </w:r>
      <w:r w:rsidR="00544CBF" w:rsidRPr="00DD5F1D">
        <w:rPr>
          <w:rFonts w:ascii="Times New Roman" w:hAnsi="Times New Roman" w:cs="Times New Roman"/>
          <w:sz w:val="24"/>
          <w:lang w:val="ro-MD"/>
        </w:rPr>
        <w:t xml:space="preserve"> procedurile prevăzute în actele normative interne. La solicitarea echipei de audit, pe parcursul misiuni</w:t>
      </w:r>
      <w:r w:rsidRPr="00DD5F1D">
        <w:rPr>
          <w:rFonts w:ascii="Times New Roman" w:hAnsi="Times New Roman" w:cs="Times New Roman"/>
          <w:sz w:val="24"/>
          <w:lang w:val="ro-MD"/>
        </w:rPr>
        <w:t>i</w:t>
      </w:r>
      <w:r w:rsidR="00544CBF" w:rsidRPr="00DD5F1D">
        <w:rPr>
          <w:rFonts w:ascii="Times New Roman" w:hAnsi="Times New Roman" w:cs="Times New Roman"/>
          <w:sz w:val="24"/>
          <w:lang w:val="ro-MD"/>
        </w:rPr>
        <w:t xml:space="preserve"> de audit </w:t>
      </w:r>
      <w:r w:rsidR="003038CE" w:rsidRPr="00DD5F1D">
        <w:rPr>
          <w:rFonts w:ascii="Times New Roman" w:hAnsi="Times New Roman" w:cs="Times New Roman"/>
          <w:sz w:val="24"/>
          <w:lang w:val="ro-MD"/>
        </w:rPr>
        <w:t>obligația</w:t>
      </w:r>
      <w:r w:rsidR="00544CBF" w:rsidRPr="00DD5F1D">
        <w:rPr>
          <w:rFonts w:ascii="Times New Roman" w:hAnsi="Times New Roman" w:cs="Times New Roman"/>
          <w:sz w:val="24"/>
          <w:lang w:val="ro-MD"/>
        </w:rPr>
        <w:t xml:space="preserve"> aferentă sumei înregistrate pentru a fi recuperată de la plătitorii de </w:t>
      </w:r>
      <w:r w:rsidR="003038CE" w:rsidRPr="00DD5F1D">
        <w:rPr>
          <w:rFonts w:ascii="Times New Roman" w:hAnsi="Times New Roman" w:cs="Times New Roman"/>
          <w:sz w:val="24"/>
          <w:lang w:val="ro-MD"/>
        </w:rPr>
        <w:t>contribuții</w:t>
      </w:r>
      <w:r w:rsidR="00544CBF" w:rsidRPr="00DD5F1D">
        <w:rPr>
          <w:rFonts w:ascii="Times New Roman" w:hAnsi="Times New Roman" w:cs="Times New Roman"/>
          <w:sz w:val="24"/>
          <w:lang w:val="ro-MD"/>
        </w:rPr>
        <w:t xml:space="preserve"> la </w:t>
      </w:r>
      <w:r w:rsidR="0072440B" w:rsidRPr="00DD5F1D">
        <w:rPr>
          <w:rFonts w:ascii="Times New Roman" w:hAnsi="Times New Roman" w:cs="Times New Roman"/>
          <w:sz w:val="24"/>
          <w:lang w:val="ro-MD"/>
        </w:rPr>
        <w:t>BASS</w:t>
      </w:r>
      <w:r w:rsidR="00544CBF" w:rsidRPr="00DD5F1D">
        <w:rPr>
          <w:rFonts w:ascii="Times New Roman" w:hAnsi="Times New Roman" w:cs="Times New Roman"/>
          <w:sz w:val="24"/>
          <w:lang w:val="ro-MD"/>
        </w:rPr>
        <w:t xml:space="preserve"> a fost stinsă din contul sumelor achitate în plus la altă</w:t>
      </w:r>
      <w:r w:rsidR="00DD7AF0" w:rsidRPr="00DD5F1D">
        <w:rPr>
          <w:rFonts w:ascii="Times New Roman" w:hAnsi="Times New Roman" w:cs="Times New Roman"/>
          <w:sz w:val="24"/>
          <w:lang w:val="ro-MD"/>
        </w:rPr>
        <w:t xml:space="preserve"> clasificație economică.</w:t>
      </w:r>
    </w:p>
    <w:p w14:paraId="51D01876" w14:textId="157390C0" w:rsidR="00AB437E" w:rsidRPr="00DD5F1D" w:rsidRDefault="00AB437E" w:rsidP="00241E14">
      <w:pPr>
        <w:pStyle w:val="aa"/>
        <w:numPr>
          <w:ilvl w:val="1"/>
          <w:numId w:val="2"/>
        </w:numPr>
        <w:shd w:val="clear" w:color="auto" w:fill="FFFFFF"/>
        <w:spacing w:line="276" w:lineRule="auto"/>
        <w:ind w:left="0" w:firstLine="0"/>
        <w:jc w:val="both"/>
        <w:outlineLvl w:val="1"/>
        <w:rPr>
          <w:rFonts w:ascii="Times New Roman" w:eastAsia="Times New Roman" w:hAnsi="Times New Roman" w:cs="Times New Roman"/>
          <w:b/>
          <w:bCs/>
          <w:iCs/>
          <w:sz w:val="24"/>
          <w:szCs w:val="24"/>
          <w:shd w:val="clear" w:color="auto" w:fill="FFFFFF"/>
          <w:lang w:val="ro-MD"/>
        </w:rPr>
      </w:pPr>
      <w:r w:rsidRPr="00DD5F1D">
        <w:rPr>
          <w:rFonts w:ascii="Times New Roman" w:eastAsia="Times New Roman" w:hAnsi="Times New Roman" w:cs="Times New Roman"/>
          <w:b/>
          <w:bCs/>
          <w:iCs/>
          <w:sz w:val="24"/>
          <w:szCs w:val="24"/>
          <w:shd w:val="clear" w:color="auto" w:fill="FFFFFF"/>
          <w:lang w:val="ro-MD"/>
        </w:rPr>
        <w:t>Cuantumul prestațiilor stabilite pentru salariații</w:t>
      </w:r>
      <w:r w:rsidR="001549A1" w:rsidRPr="00DD5F1D">
        <w:rPr>
          <w:rFonts w:ascii="Times New Roman" w:eastAsia="Times New Roman" w:hAnsi="Times New Roman" w:cs="Times New Roman"/>
          <w:b/>
          <w:bCs/>
          <w:iCs/>
          <w:sz w:val="24"/>
          <w:szCs w:val="24"/>
          <w:shd w:val="clear" w:color="auto" w:fill="FFFFFF"/>
          <w:lang w:val="ro-MD"/>
        </w:rPr>
        <w:t xml:space="preserve"> parcurilor</w:t>
      </w:r>
      <w:r w:rsidRPr="00DD5F1D">
        <w:rPr>
          <w:rFonts w:ascii="Times New Roman" w:eastAsia="Times New Roman" w:hAnsi="Times New Roman" w:cs="Times New Roman"/>
          <w:b/>
          <w:bCs/>
          <w:iCs/>
          <w:sz w:val="24"/>
          <w:szCs w:val="24"/>
          <w:shd w:val="clear" w:color="auto" w:fill="FFFFFF"/>
          <w:lang w:val="ro-MD"/>
        </w:rPr>
        <w:t xml:space="preserve"> TI sunt direct dependente de prevederile legale impuse cu privire la calcularea și achitarea contribuțiilor de asigurări sociale, astfel aceștia </w:t>
      </w:r>
      <w:r w:rsidR="007A4F95" w:rsidRPr="00DD5F1D">
        <w:rPr>
          <w:rFonts w:ascii="Times New Roman" w:eastAsia="Times New Roman" w:hAnsi="Times New Roman" w:cs="Times New Roman"/>
          <w:b/>
          <w:bCs/>
          <w:iCs/>
          <w:sz w:val="24"/>
          <w:szCs w:val="24"/>
          <w:shd w:val="clear" w:color="auto" w:fill="FFFFFF"/>
          <w:lang w:val="ro-MD"/>
        </w:rPr>
        <w:t>fiind</w:t>
      </w:r>
      <w:r w:rsidRPr="00DD5F1D">
        <w:rPr>
          <w:rFonts w:ascii="Times New Roman" w:eastAsia="Times New Roman" w:hAnsi="Times New Roman" w:cs="Times New Roman"/>
          <w:b/>
          <w:bCs/>
          <w:iCs/>
          <w:sz w:val="24"/>
          <w:szCs w:val="24"/>
          <w:shd w:val="clear" w:color="auto" w:fill="FFFFFF"/>
          <w:lang w:val="ro-MD"/>
        </w:rPr>
        <w:t xml:space="preserve"> limitați în obținerea drepturilor sociale.</w:t>
      </w:r>
    </w:p>
    <w:p w14:paraId="37474055" w14:textId="2676952D" w:rsidR="00AB437E" w:rsidRPr="00DD5F1D" w:rsidRDefault="00AB437E" w:rsidP="00AB437E">
      <w:pPr>
        <w:spacing w:line="276" w:lineRule="auto"/>
        <w:jc w:val="both"/>
        <w:rPr>
          <w:rFonts w:ascii="Times New Roman" w:hAnsi="Times New Roman" w:cs="Times New Roman"/>
          <w:sz w:val="24"/>
          <w:szCs w:val="24"/>
          <w:shd w:val="clear" w:color="auto" w:fill="FFFFFF"/>
          <w:lang w:val="ro-MD"/>
        </w:rPr>
      </w:pPr>
      <w:r w:rsidRPr="00DD5F1D">
        <w:rPr>
          <w:rFonts w:ascii="Times New Roman" w:eastAsia="Times New Roman" w:hAnsi="Times New Roman" w:cs="Times New Roman"/>
          <w:sz w:val="24"/>
          <w:szCs w:val="24"/>
          <w:shd w:val="clear" w:color="auto" w:fill="FFFFFF"/>
          <w:lang w:val="ro-MD"/>
        </w:rPr>
        <w:t>La situația din 31.12.2023</w:t>
      </w:r>
      <w:r w:rsidR="007C4E5C" w:rsidRPr="00DD5F1D">
        <w:rPr>
          <w:rFonts w:ascii="Times New Roman" w:eastAsia="Times New Roman" w:hAnsi="Times New Roman" w:cs="Times New Roman"/>
          <w:sz w:val="24"/>
          <w:szCs w:val="24"/>
          <w:shd w:val="clear" w:color="auto" w:fill="FFFFFF"/>
          <w:lang w:val="ro-MD"/>
        </w:rPr>
        <w:t>, conform evidenței CNAS</w:t>
      </w:r>
      <w:r w:rsidR="007C4E5C" w:rsidRPr="00DD5F1D">
        <w:rPr>
          <w:rStyle w:val="a5"/>
          <w:rFonts w:ascii="Times New Roman" w:eastAsia="Times New Roman" w:hAnsi="Times New Roman" w:cs="Times New Roman"/>
          <w:sz w:val="24"/>
          <w:szCs w:val="24"/>
          <w:shd w:val="clear" w:color="auto" w:fill="FFFFFF"/>
          <w:lang w:val="ro-MD"/>
        </w:rPr>
        <w:footnoteReference w:id="125"/>
      </w:r>
      <w:r w:rsidRPr="00DD5F1D">
        <w:rPr>
          <w:rFonts w:ascii="Times New Roman" w:eastAsia="Times New Roman" w:hAnsi="Times New Roman" w:cs="Times New Roman"/>
          <w:sz w:val="24"/>
          <w:szCs w:val="24"/>
          <w:shd w:val="clear" w:color="auto" w:fill="FFFFFF"/>
          <w:lang w:val="ro-MD"/>
        </w:rPr>
        <w:t xml:space="preserve"> </w:t>
      </w:r>
      <w:r w:rsidR="002B76B8" w:rsidRPr="00DD5F1D">
        <w:rPr>
          <w:rFonts w:ascii="Times New Roman" w:eastAsia="Times New Roman" w:hAnsi="Times New Roman" w:cs="Times New Roman"/>
          <w:sz w:val="24"/>
          <w:szCs w:val="24"/>
          <w:shd w:val="clear" w:color="auto" w:fill="FFFFFF"/>
          <w:lang w:val="ro-MD"/>
        </w:rPr>
        <w:t xml:space="preserve">în parcul TI </w:t>
      </w:r>
      <w:r w:rsidRPr="00DD5F1D">
        <w:rPr>
          <w:rFonts w:ascii="Times New Roman" w:eastAsia="Times New Roman" w:hAnsi="Times New Roman" w:cs="Times New Roman"/>
          <w:sz w:val="24"/>
          <w:szCs w:val="24"/>
          <w:shd w:val="clear" w:color="auto" w:fill="FFFFFF"/>
          <w:lang w:val="ro-MD"/>
        </w:rPr>
        <w:t>activau 1 617 întreprinderi, cu 4 întreprinderi</w:t>
      </w:r>
      <w:r w:rsidR="003038CE" w:rsidRPr="00DD5F1D">
        <w:rPr>
          <w:rFonts w:ascii="Times New Roman" w:eastAsia="Times New Roman" w:hAnsi="Times New Roman" w:cs="Times New Roman"/>
          <w:sz w:val="24"/>
          <w:szCs w:val="24"/>
          <w:shd w:val="clear" w:color="auto" w:fill="FFFFFF"/>
          <w:lang w:val="ro-MD"/>
        </w:rPr>
        <w:t xml:space="preserve"> mai puține</w:t>
      </w:r>
      <w:r w:rsidRPr="00DD5F1D">
        <w:rPr>
          <w:rFonts w:ascii="Times New Roman" w:eastAsia="Times New Roman" w:hAnsi="Times New Roman" w:cs="Times New Roman"/>
          <w:sz w:val="24"/>
          <w:szCs w:val="24"/>
          <w:shd w:val="clear" w:color="auto" w:fill="FFFFFF"/>
          <w:lang w:val="ro-MD"/>
        </w:rPr>
        <w:t xml:space="preserve"> decât anul precedent (1 621). Veniturile BASS obținute din impozitul unic perceput</w:t>
      </w:r>
      <w:r w:rsidR="008E6C87" w:rsidRPr="00DD5F1D">
        <w:rPr>
          <w:rFonts w:ascii="Times New Roman" w:eastAsia="Times New Roman" w:hAnsi="Times New Roman" w:cs="Times New Roman"/>
          <w:sz w:val="24"/>
          <w:szCs w:val="24"/>
          <w:shd w:val="clear" w:color="auto" w:fill="FFFFFF"/>
          <w:lang w:val="ro-MD"/>
        </w:rPr>
        <w:t xml:space="preserve"> de la rezidenții</w:t>
      </w:r>
      <w:r w:rsidR="0072440B" w:rsidRPr="00DD5F1D">
        <w:rPr>
          <w:rFonts w:ascii="Times New Roman" w:eastAsia="Times New Roman" w:hAnsi="Times New Roman" w:cs="Times New Roman"/>
          <w:sz w:val="24"/>
          <w:szCs w:val="24"/>
          <w:shd w:val="clear" w:color="auto" w:fill="FFFFFF"/>
          <w:lang w:val="ro-MD"/>
        </w:rPr>
        <w:t xml:space="preserve"> parcurilor TI au </w:t>
      </w:r>
      <w:r w:rsidR="002B76B8" w:rsidRPr="00DD5F1D">
        <w:rPr>
          <w:rFonts w:ascii="Times New Roman" w:eastAsia="Times New Roman" w:hAnsi="Times New Roman" w:cs="Times New Roman"/>
          <w:sz w:val="24"/>
          <w:szCs w:val="24"/>
          <w:shd w:val="clear" w:color="auto" w:fill="FFFFFF"/>
          <w:lang w:val="ro-MD"/>
        </w:rPr>
        <w:t>c</w:t>
      </w:r>
      <w:r w:rsidR="002B76B8">
        <w:rPr>
          <w:rFonts w:ascii="Times New Roman" w:eastAsia="Times New Roman" w:hAnsi="Times New Roman" w:cs="Times New Roman"/>
          <w:sz w:val="24"/>
          <w:szCs w:val="24"/>
          <w:shd w:val="clear" w:color="auto" w:fill="FFFFFF"/>
          <w:lang w:val="ro-MD"/>
        </w:rPr>
        <w:t>onstituit</w:t>
      </w:r>
      <w:r w:rsidR="002B76B8" w:rsidRPr="00DD5F1D">
        <w:rPr>
          <w:rFonts w:ascii="Times New Roman" w:eastAsia="Times New Roman" w:hAnsi="Times New Roman" w:cs="Times New Roman"/>
          <w:sz w:val="24"/>
          <w:szCs w:val="24"/>
          <w:shd w:val="clear" w:color="auto" w:fill="FFFFFF"/>
          <w:lang w:val="ro-MD"/>
        </w:rPr>
        <w:t xml:space="preserve"> </w:t>
      </w:r>
      <w:r w:rsidR="0072440B" w:rsidRPr="00DD5F1D">
        <w:rPr>
          <w:rFonts w:ascii="Times New Roman" w:eastAsia="Times New Roman" w:hAnsi="Times New Roman" w:cs="Times New Roman"/>
          <w:sz w:val="24"/>
          <w:szCs w:val="24"/>
          <w:shd w:val="clear" w:color="auto" w:fill="FFFFFF"/>
          <w:lang w:val="ro-MD"/>
        </w:rPr>
        <w:t>555,3 mil.</w:t>
      </w:r>
      <w:r w:rsidRPr="00DD5F1D">
        <w:rPr>
          <w:rFonts w:ascii="Times New Roman" w:eastAsia="Times New Roman" w:hAnsi="Times New Roman" w:cs="Times New Roman"/>
          <w:sz w:val="24"/>
          <w:szCs w:val="24"/>
          <w:shd w:val="clear" w:color="auto" w:fill="FFFFFF"/>
          <w:lang w:val="ro-MD"/>
        </w:rPr>
        <w:t xml:space="preserve"> lei, cu 134</w:t>
      </w:r>
      <w:r w:rsidR="0072440B" w:rsidRPr="00DD5F1D">
        <w:rPr>
          <w:rFonts w:ascii="Times New Roman" w:eastAsia="Times New Roman" w:hAnsi="Times New Roman" w:cs="Times New Roman"/>
          <w:sz w:val="24"/>
          <w:szCs w:val="24"/>
          <w:shd w:val="clear" w:color="auto" w:fill="FFFFFF"/>
          <w:lang w:val="ro-MD"/>
        </w:rPr>
        <w:t>,</w:t>
      </w:r>
      <w:r w:rsidRPr="00DD5F1D">
        <w:rPr>
          <w:rFonts w:ascii="Times New Roman" w:eastAsia="Times New Roman" w:hAnsi="Times New Roman" w:cs="Times New Roman"/>
          <w:sz w:val="24"/>
          <w:szCs w:val="24"/>
          <w:shd w:val="clear" w:color="auto" w:fill="FFFFFF"/>
          <w:lang w:val="ro-MD"/>
        </w:rPr>
        <w:t>4</w:t>
      </w:r>
      <w:r w:rsidR="0072440B" w:rsidRPr="00DD5F1D">
        <w:rPr>
          <w:rFonts w:ascii="Times New Roman" w:eastAsia="Times New Roman" w:hAnsi="Times New Roman" w:cs="Times New Roman"/>
          <w:sz w:val="24"/>
          <w:szCs w:val="24"/>
          <w:shd w:val="clear" w:color="auto" w:fill="FFFFFF"/>
          <w:lang w:val="ro-MD"/>
        </w:rPr>
        <w:t xml:space="preserve"> mil.</w:t>
      </w:r>
      <w:r w:rsidRPr="00DD5F1D">
        <w:rPr>
          <w:rFonts w:ascii="Times New Roman" w:eastAsia="Times New Roman" w:hAnsi="Times New Roman" w:cs="Times New Roman"/>
          <w:sz w:val="24"/>
          <w:szCs w:val="24"/>
          <w:shd w:val="clear" w:color="auto" w:fill="FFFFFF"/>
          <w:lang w:val="ro-MD"/>
        </w:rPr>
        <w:t xml:space="preserve"> lei</w:t>
      </w:r>
      <w:r w:rsidR="007A4F95" w:rsidRPr="00DD5F1D">
        <w:rPr>
          <w:rFonts w:ascii="Times New Roman" w:eastAsia="Times New Roman" w:hAnsi="Times New Roman" w:cs="Times New Roman"/>
          <w:sz w:val="24"/>
          <w:szCs w:val="24"/>
          <w:shd w:val="clear" w:color="auto" w:fill="FFFFFF"/>
          <w:lang w:val="ro-MD"/>
        </w:rPr>
        <w:t>,</w:t>
      </w:r>
      <w:r w:rsidRPr="00DD5F1D">
        <w:rPr>
          <w:rFonts w:ascii="Times New Roman" w:eastAsia="Times New Roman" w:hAnsi="Times New Roman" w:cs="Times New Roman"/>
          <w:sz w:val="24"/>
          <w:szCs w:val="24"/>
          <w:shd w:val="clear" w:color="auto" w:fill="FFFFFF"/>
          <w:lang w:val="ro-MD"/>
        </w:rPr>
        <w:t xml:space="preserve"> sau cu 31,9%</w:t>
      </w:r>
      <w:r w:rsidR="007A4F95" w:rsidRPr="00DD5F1D">
        <w:rPr>
          <w:rFonts w:ascii="Times New Roman" w:eastAsia="Times New Roman" w:hAnsi="Times New Roman" w:cs="Times New Roman"/>
          <w:sz w:val="24"/>
          <w:szCs w:val="24"/>
          <w:shd w:val="clear" w:color="auto" w:fill="FFFFFF"/>
          <w:lang w:val="ro-MD"/>
        </w:rPr>
        <w:t>,</w:t>
      </w:r>
      <w:r w:rsidRPr="00DD5F1D">
        <w:rPr>
          <w:rFonts w:ascii="Times New Roman" w:eastAsia="Times New Roman" w:hAnsi="Times New Roman" w:cs="Times New Roman"/>
          <w:sz w:val="24"/>
          <w:szCs w:val="24"/>
          <w:shd w:val="clear" w:color="auto" w:fill="FFFFFF"/>
          <w:lang w:val="ro-MD"/>
        </w:rPr>
        <w:t xml:space="preserve"> mai mult decât </w:t>
      </w:r>
      <w:r w:rsidR="007A4F95" w:rsidRPr="00DD5F1D">
        <w:rPr>
          <w:rFonts w:ascii="Times New Roman" w:eastAsia="Times New Roman" w:hAnsi="Times New Roman" w:cs="Times New Roman"/>
          <w:sz w:val="24"/>
          <w:szCs w:val="24"/>
          <w:shd w:val="clear" w:color="auto" w:fill="FFFFFF"/>
          <w:lang w:val="ro-MD"/>
        </w:rPr>
        <w:t xml:space="preserve">în </w:t>
      </w:r>
      <w:r w:rsidRPr="00DD5F1D">
        <w:rPr>
          <w:rFonts w:ascii="Times New Roman" w:eastAsia="Times New Roman" w:hAnsi="Times New Roman" w:cs="Times New Roman"/>
          <w:sz w:val="24"/>
          <w:szCs w:val="24"/>
          <w:shd w:val="clear" w:color="auto" w:fill="FFFFFF"/>
          <w:lang w:val="ro-MD"/>
        </w:rPr>
        <w:t>anul precedent. Majorarea veniturilor se datorează creșterii numărului de</w:t>
      </w:r>
      <w:r w:rsidR="000D026E" w:rsidRPr="00DD5F1D">
        <w:rPr>
          <w:rFonts w:ascii="Times New Roman" w:eastAsia="Times New Roman" w:hAnsi="Times New Roman" w:cs="Times New Roman"/>
          <w:sz w:val="24"/>
          <w:szCs w:val="24"/>
          <w:shd w:val="clear" w:color="auto" w:fill="FFFFFF"/>
          <w:lang w:val="ro-MD"/>
        </w:rPr>
        <w:t xml:space="preserve"> salariați în domeniul TI</w:t>
      </w:r>
      <w:r w:rsidR="007A4F95" w:rsidRPr="00DD5F1D">
        <w:rPr>
          <w:rFonts w:ascii="Times New Roman" w:eastAsia="Times New Roman" w:hAnsi="Times New Roman" w:cs="Times New Roman"/>
          <w:sz w:val="24"/>
          <w:szCs w:val="24"/>
          <w:shd w:val="clear" w:color="auto" w:fill="FFFFFF"/>
          <w:lang w:val="ro-MD"/>
        </w:rPr>
        <w:t>,</w:t>
      </w:r>
      <w:r w:rsidRPr="00DD5F1D">
        <w:rPr>
          <w:rFonts w:ascii="Times New Roman" w:eastAsia="Times New Roman" w:hAnsi="Times New Roman" w:cs="Times New Roman"/>
          <w:sz w:val="24"/>
          <w:szCs w:val="24"/>
          <w:shd w:val="clear" w:color="auto" w:fill="FFFFFF"/>
          <w:lang w:val="ro-MD"/>
        </w:rPr>
        <w:t xml:space="preserve"> cu</w:t>
      </w:r>
      <w:r w:rsidR="000D026E" w:rsidRPr="00DD5F1D">
        <w:rPr>
          <w:rFonts w:ascii="Times New Roman" w:eastAsia="Times New Roman" w:hAnsi="Times New Roman" w:cs="Times New Roman"/>
          <w:sz w:val="24"/>
          <w:szCs w:val="24"/>
          <w:shd w:val="clear" w:color="auto" w:fill="FFFFFF"/>
          <w:lang w:val="ro-MD"/>
        </w:rPr>
        <w:t xml:space="preserve"> 2 665</w:t>
      </w:r>
      <w:r w:rsidR="007A4F95" w:rsidRPr="00DD5F1D">
        <w:rPr>
          <w:rFonts w:ascii="Times New Roman" w:eastAsia="Times New Roman" w:hAnsi="Times New Roman" w:cs="Times New Roman"/>
          <w:sz w:val="24"/>
          <w:szCs w:val="24"/>
          <w:shd w:val="clear" w:color="auto" w:fill="FFFFFF"/>
          <w:lang w:val="ro-MD"/>
        </w:rPr>
        <w:t xml:space="preserve"> de</w:t>
      </w:r>
      <w:r w:rsidRPr="00DD5F1D">
        <w:rPr>
          <w:rFonts w:ascii="Times New Roman" w:eastAsia="Times New Roman" w:hAnsi="Times New Roman" w:cs="Times New Roman"/>
          <w:sz w:val="24"/>
          <w:szCs w:val="24"/>
          <w:shd w:val="clear" w:color="auto" w:fill="FFFFFF"/>
          <w:lang w:val="ro-MD"/>
        </w:rPr>
        <w:t xml:space="preserve"> persoane, </w:t>
      </w:r>
      <w:r w:rsidR="00E532B2" w:rsidRPr="00DD5F1D">
        <w:rPr>
          <w:rFonts w:ascii="Times New Roman" w:eastAsia="Times New Roman" w:hAnsi="Times New Roman" w:cs="Times New Roman"/>
          <w:sz w:val="24"/>
          <w:szCs w:val="24"/>
          <w:shd w:val="clear" w:color="auto" w:fill="FFFFFF"/>
          <w:lang w:val="ro-MD"/>
        </w:rPr>
        <w:t>de la 18</w:t>
      </w:r>
      <w:r w:rsidR="007A4F95" w:rsidRPr="00DD5F1D">
        <w:rPr>
          <w:rFonts w:ascii="Times New Roman" w:eastAsia="Times New Roman" w:hAnsi="Times New Roman" w:cs="Times New Roman"/>
          <w:sz w:val="24"/>
          <w:szCs w:val="24"/>
          <w:shd w:val="clear" w:color="auto" w:fill="FFFFFF"/>
          <w:lang w:val="ro-MD"/>
        </w:rPr>
        <w:t xml:space="preserve"> </w:t>
      </w:r>
      <w:r w:rsidR="00E532B2" w:rsidRPr="00DD5F1D">
        <w:rPr>
          <w:rFonts w:ascii="Times New Roman" w:eastAsia="Times New Roman" w:hAnsi="Times New Roman" w:cs="Times New Roman"/>
          <w:sz w:val="24"/>
          <w:szCs w:val="24"/>
          <w:shd w:val="clear" w:color="auto" w:fill="FFFFFF"/>
          <w:lang w:val="ro-MD"/>
        </w:rPr>
        <w:t>072</w:t>
      </w:r>
      <w:r w:rsidR="0072440B" w:rsidRPr="00DD5F1D">
        <w:rPr>
          <w:rFonts w:ascii="Times New Roman" w:eastAsia="Times New Roman" w:hAnsi="Times New Roman" w:cs="Times New Roman"/>
          <w:sz w:val="24"/>
          <w:szCs w:val="24"/>
          <w:shd w:val="clear" w:color="auto" w:fill="FFFFFF"/>
          <w:lang w:val="ro-MD"/>
        </w:rPr>
        <w:t xml:space="preserve"> persoane</w:t>
      </w:r>
      <w:r w:rsidR="005F01C2" w:rsidRPr="00DD5F1D">
        <w:rPr>
          <w:rFonts w:ascii="Times New Roman" w:eastAsia="Times New Roman" w:hAnsi="Times New Roman" w:cs="Times New Roman"/>
          <w:sz w:val="24"/>
          <w:szCs w:val="24"/>
          <w:shd w:val="clear" w:color="auto" w:fill="FFFFFF"/>
          <w:lang w:val="ro-MD"/>
        </w:rPr>
        <w:t xml:space="preserve"> la 20</w:t>
      </w:r>
      <w:r w:rsidR="007A4F95" w:rsidRPr="00DD5F1D">
        <w:rPr>
          <w:rFonts w:ascii="Times New Roman" w:eastAsia="Times New Roman" w:hAnsi="Times New Roman" w:cs="Times New Roman"/>
          <w:sz w:val="24"/>
          <w:szCs w:val="24"/>
          <w:shd w:val="clear" w:color="auto" w:fill="FFFFFF"/>
          <w:lang w:val="ro-MD"/>
        </w:rPr>
        <w:t xml:space="preserve"> </w:t>
      </w:r>
      <w:r w:rsidR="005F01C2" w:rsidRPr="00DD5F1D">
        <w:rPr>
          <w:rFonts w:ascii="Times New Roman" w:eastAsia="Times New Roman" w:hAnsi="Times New Roman" w:cs="Times New Roman"/>
          <w:sz w:val="24"/>
          <w:szCs w:val="24"/>
          <w:shd w:val="clear" w:color="auto" w:fill="FFFFFF"/>
          <w:lang w:val="ro-MD"/>
        </w:rPr>
        <w:t>737</w:t>
      </w:r>
      <w:r w:rsidR="0072440B" w:rsidRPr="00DD5F1D">
        <w:rPr>
          <w:rFonts w:ascii="Times New Roman" w:eastAsia="Times New Roman" w:hAnsi="Times New Roman" w:cs="Times New Roman"/>
          <w:sz w:val="24"/>
          <w:szCs w:val="24"/>
          <w:shd w:val="clear" w:color="auto" w:fill="FFFFFF"/>
          <w:lang w:val="ro-MD"/>
        </w:rPr>
        <w:t xml:space="preserve"> persoane</w:t>
      </w:r>
      <w:r w:rsidR="007A4F95" w:rsidRPr="00DD5F1D">
        <w:rPr>
          <w:rFonts w:ascii="Times New Roman" w:eastAsia="Times New Roman" w:hAnsi="Times New Roman" w:cs="Times New Roman"/>
          <w:sz w:val="24"/>
          <w:szCs w:val="24"/>
          <w:shd w:val="clear" w:color="auto" w:fill="FFFFFF"/>
          <w:lang w:val="ro-MD"/>
        </w:rPr>
        <w:t>,</w:t>
      </w:r>
      <w:r w:rsidR="00E532B2" w:rsidRPr="00DD5F1D">
        <w:rPr>
          <w:rFonts w:ascii="Times New Roman" w:eastAsia="Times New Roman" w:hAnsi="Times New Roman" w:cs="Times New Roman"/>
          <w:sz w:val="24"/>
          <w:szCs w:val="24"/>
          <w:shd w:val="clear" w:color="auto" w:fill="FFFFFF"/>
          <w:lang w:val="ro-MD"/>
        </w:rPr>
        <w:t xml:space="preserve"> </w:t>
      </w:r>
      <w:r w:rsidRPr="00DD5F1D">
        <w:rPr>
          <w:rFonts w:ascii="Times New Roman" w:eastAsia="Times New Roman" w:hAnsi="Times New Roman" w:cs="Times New Roman"/>
          <w:sz w:val="24"/>
          <w:szCs w:val="24"/>
          <w:shd w:val="clear" w:color="auto" w:fill="FFFFFF"/>
          <w:lang w:val="ro-MD"/>
        </w:rPr>
        <w:t xml:space="preserve">precum și creșterii mărimii salariului mediu </w:t>
      </w:r>
      <w:r w:rsidR="001719A2" w:rsidRPr="00DD5F1D">
        <w:rPr>
          <w:rFonts w:ascii="Times New Roman" w:eastAsia="Times New Roman" w:hAnsi="Times New Roman" w:cs="Times New Roman"/>
          <w:sz w:val="24"/>
          <w:szCs w:val="24"/>
          <w:shd w:val="clear" w:color="auto" w:fill="FFFFFF"/>
          <w:lang w:val="ro-MD"/>
        </w:rPr>
        <w:t>prognozat</w:t>
      </w:r>
      <w:r w:rsidR="002B76B8">
        <w:rPr>
          <w:rFonts w:ascii="Times New Roman" w:eastAsia="Times New Roman" w:hAnsi="Times New Roman" w:cs="Times New Roman"/>
          <w:sz w:val="24"/>
          <w:szCs w:val="24"/>
          <w:shd w:val="clear" w:color="auto" w:fill="FFFFFF"/>
          <w:lang w:val="ro-MD"/>
        </w:rPr>
        <w:t>,</w:t>
      </w:r>
      <w:r w:rsidR="001719A2" w:rsidRPr="00DD5F1D">
        <w:rPr>
          <w:rFonts w:ascii="Times New Roman" w:eastAsia="Times New Roman" w:hAnsi="Times New Roman" w:cs="Times New Roman"/>
          <w:sz w:val="24"/>
          <w:szCs w:val="24"/>
          <w:shd w:val="clear" w:color="auto" w:fill="FFFFFF"/>
          <w:lang w:val="ro-MD"/>
        </w:rPr>
        <w:t xml:space="preserve"> </w:t>
      </w:r>
      <w:r w:rsidRPr="00DD5F1D">
        <w:rPr>
          <w:rFonts w:ascii="Times New Roman" w:eastAsia="Times New Roman" w:hAnsi="Times New Roman" w:cs="Times New Roman"/>
          <w:sz w:val="24"/>
          <w:szCs w:val="24"/>
          <w:shd w:val="clear" w:color="auto" w:fill="FFFFFF"/>
          <w:lang w:val="ro-MD"/>
        </w:rPr>
        <w:t>aprobat de Guvern.</w:t>
      </w:r>
      <w:r w:rsidRPr="00DD5F1D">
        <w:rPr>
          <w:rFonts w:ascii="Times New Roman" w:hAnsi="Times New Roman" w:cs="Times New Roman"/>
          <w:sz w:val="24"/>
          <w:szCs w:val="24"/>
          <w:shd w:val="clear" w:color="auto" w:fill="FFFFFF"/>
          <w:lang w:val="ro-MD"/>
        </w:rPr>
        <w:t xml:space="preserve"> </w:t>
      </w:r>
    </w:p>
    <w:p w14:paraId="437BD213" w14:textId="6E7E8CB9" w:rsidR="00AB437E" w:rsidRPr="00DD5F1D" w:rsidRDefault="00AB437E" w:rsidP="00810580">
      <w:pPr>
        <w:spacing w:after="120" w:line="276" w:lineRule="auto"/>
        <w:jc w:val="both"/>
        <w:rPr>
          <w:rFonts w:ascii="Times New Roman" w:eastAsia="Times New Roman" w:hAnsi="Times New Roman" w:cs="Times New Roman"/>
          <w:sz w:val="24"/>
          <w:szCs w:val="24"/>
          <w:shd w:val="clear" w:color="auto" w:fill="FFFFFF"/>
          <w:lang w:val="ro-MD"/>
        </w:rPr>
      </w:pPr>
      <w:r w:rsidRPr="00DD5F1D">
        <w:rPr>
          <w:rFonts w:ascii="Times New Roman" w:hAnsi="Times New Roman" w:cs="Times New Roman"/>
          <w:sz w:val="24"/>
          <w:szCs w:val="24"/>
          <w:shd w:val="clear" w:color="auto" w:fill="FFFFFF"/>
          <w:lang w:val="ro-MD"/>
        </w:rPr>
        <w:t>Impozitul unic perceput de la rezidenții parcurilor pentru tehnologia informației este în mărime de 7% din venitul din vânzări. Totodată, suma minimă a impozitului unic perceput de la rezidenții parcurilor pentru tehnologia informației se determină lunar per angajat şi constituie 30% din cuantumul salariului mediu lunar pe economie, prognozat pentru anul aferent perioadei fiscale a impozitului respectiv</w:t>
      </w:r>
      <w:r w:rsidRPr="00DD5F1D">
        <w:rPr>
          <w:rStyle w:val="a5"/>
          <w:rFonts w:ascii="Times New Roman" w:hAnsi="Times New Roman" w:cs="Times New Roman"/>
          <w:sz w:val="24"/>
          <w:szCs w:val="24"/>
          <w:shd w:val="clear" w:color="auto" w:fill="FFFFFF"/>
          <w:lang w:val="ro-MD"/>
        </w:rPr>
        <w:footnoteReference w:id="126"/>
      </w:r>
      <w:r w:rsidRPr="00DD5F1D">
        <w:rPr>
          <w:rFonts w:ascii="Times New Roman" w:hAnsi="Times New Roman" w:cs="Times New Roman"/>
          <w:sz w:val="24"/>
          <w:szCs w:val="24"/>
          <w:shd w:val="clear" w:color="auto" w:fill="FFFFFF"/>
          <w:lang w:val="ro-MD"/>
        </w:rPr>
        <w:t>.</w:t>
      </w:r>
      <w:r w:rsidRPr="00DD5F1D">
        <w:rPr>
          <w:rFonts w:ascii="Times New Roman" w:eastAsia="Times New Roman" w:hAnsi="Times New Roman" w:cs="Times New Roman"/>
          <w:sz w:val="24"/>
          <w:szCs w:val="24"/>
          <w:shd w:val="clear" w:color="auto" w:fill="FFFFFF"/>
          <w:lang w:val="ro-MD"/>
        </w:rPr>
        <w:t xml:space="preserve"> Se menționează că încasările de la impozitul unic perceput de la rezidenții parcurilor pentru tehnologia informației se efectuează la bugetul de stat cu defalcarea ulterioară a cotei</w:t>
      </w:r>
      <w:r w:rsidR="001C38EE" w:rsidRPr="00DD5F1D">
        <w:rPr>
          <w:rFonts w:ascii="Times New Roman" w:eastAsia="Times New Roman" w:hAnsi="Times New Roman" w:cs="Times New Roman"/>
          <w:sz w:val="24"/>
          <w:szCs w:val="24"/>
          <w:shd w:val="clear" w:color="auto" w:fill="FFFFFF"/>
          <w:lang w:val="ro-MD"/>
        </w:rPr>
        <w:t>-</w:t>
      </w:r>
      <w:r w:rsidRPr="00DD5F1D">
        <w:rPr>
          <w:rFonts w:ascii="Times New Roman" w:eastAsia="Times New Roman" w:hAnsi="Times New Roman" w:cs="Times New Roman"/>
          <w:sz w:val="24"/>
          <w:szCs w:val="24"/>
          <w:shd w:val="clear" w:color="auto" w:fill="FFFFFF"/>
          <w:lang w:val="ro-MD"/>
        </w:rPr>
        <w:t xml:space="preserve">părți în mărime de 54,7% la </w:t>
      </w:r>
      <w:r w:rsidR="0072440B" w:rsidRPr="00DD5F1D">
        <w:rPr>
          <w:rFonts w:ascii="Times New Roman" w:eastAsia="Times New Roman" w:hAnsi="Times New Roman" w:cs="Times New Roman"/>
          <w:sz w:val="24"/>
          <w:szCs w:val="24"/>
          <w:shd w:val="clear" w:color="auto" w:fill="FFFFFF"/>
          <w:lang w:val="ro-MD"/>
        </w:rPr>
        <w:t>BASS</w:t>
      </w:r>
      <w:r w:rsidR="000D026E" w:rsidRPr="00DD5F1D">
        <w:rPr>
          <w:rFonts w:ascii="Times New Roman" w:eastAsia="Times New Roman" w:hAnsi="Times New Roman" w:cs="Times New Roman"/>
          <w:sz w:val="24"/>
          <w:szCs w:val="24"/>
          <w:shd w:val="clear" w:color="auto" w:fill="FFFFFF"/>
          <w:lang w:val="ro-MD"/>
        </w:rPr>
        <w:t>.</w:t>
      </w:r>
    </w:p>
    <w:p w14:paraId="3EDE4AF4" w14:textId="0EB15E11" w:rsidR="0072440B" w:rsidRDefault="002B76B8" w:rsidP="00AB437E">
      <w:pPr>
        <w:spacing w:after="0" w:line="276" w:lineRule="auto"/>
        <w:jc w:val="both"/>
        <w:rPr>
          <w:rFonts w:ascii="Times New Roman" w:eastAsia="Times New Roman" w:hAnsi="Times New Roman" w:cs="Times New Roman"/>
          <w:sz w:val="24"/>
          <w:szCs w:val="24"/>
          <w:shd w:val="clear" w:color="auto" w:fill="FFFFFF"/>
          <w:lang w:val="ro-MD"/>
        </w:rPr>
      </w:pPr>
      <w:r>
        <w:rPr>
          <w:rFonts w:ascii="Times New Roman" w:eastAsia="Times New Roman" w:hAnsi="Times New Roman" w:cs="Times New Roman"/>
          <w:sz w:val="24"/>
          <w:szCs w:val="24"/>
          <w:shd w:val="clear" w:color="auto" w:fill="FFFFFF"/>
          <w:lang w:val="ro-MD"/>
        </w:rPr>
        <w:t>Totodată</w:t>
      </w:r>
      <w:r w:rsidR="00AB437E" w:rsidRPr="00DD5F1D">
        <w:rPr>
          <w:rFonts w:ascii="Times New Roman" w:eastAsia="Times New Roman" w:hAnsi="Times New Roman" w:cs="Times New Roman"/>
          <w:sz w:val="24"/>
          <w:szCs w:val="24"/>
          <w:shd w:val="clear" w:color="auto" w:fill="FFFFFF"/>
          <w:lang w:val="ro-MD"/>
        </w:rPr>
        <w:t xml:space="preserve">, baza de calcul a prestațiilor de asigurări sociale reprezintă </w:t>
      </w:r>
      <w:r w:rsidR="00AB437E" w:rsidRPr="00DD5F1D">
        <w:rPr>
          <w:rFonts w:ascii="Times New Roman" w:hAnsi="Times New Roman" w:cs="Times New Roman"/>
          <w:sz w:val="24"/>
          <w:szCs w:val="24"/>
          <w:shd w:val="clear" w:color="auto" w:fill="FFFFFF"/>
          <w:lang w:val="ro-MD"/>
        </w:rPr>
        <w:t>venitul lunar asigurat, venitul din care la data stabilirii indemnizației au fost calculate şi plătite contribuți</w:t>
      </w:r>
      <w:r w:rsidR="001C38EE" w:rsidRPr="00DD5F1D">
        <w:rPr>
          <w:rFonts w:ascii="Times New Roman" w:hAnsi="Times New Roman" w:cs="Times New Roman"/>
          <w:sz w:val="24"/>
          <w:szCs w:val="24"/>
          <w:shd w:val="clear" w:color="auto" w:fill="FFFFFF"/>
          <w:lang w:val="ro-MD"/>
        </w:rPr>
        <w:t>e</w:t>
      </w:r>
      <w:r w:rsidR="00AB437E" w:rsidRPr="00DD5F1D">
        <w:rPr>
          <w:rFonts w:ascii="Times New Roman" w:hAnsi="Times New Roman" w:cs="Times New Roman"/>
          <w:sz w:val="24"/>
          <w:szCs w:val="24"/>
          <w:shd w:val="clear" w:color="auto" w:fill="FFFFFF"/>
          <w:lang w:val="ro-MD"/>
        </w:rPr>
        <w:t xml:space="preserve">i. </w:t>
      </w:r>
      <w:r w:rsidR="00AB437E" w:rsidRPr="00DD5F1D">
        <w:rPr>
          <w:rFonts w:ascii="Times New Roman" w:hAnsi="Times New Roman" w:cs="Times New Roman"/>
          <w:sz w:val="24"/>
          <w:szCs w:val="24"/>
          <w:lang w:val="ro-MD"/>
        </w:rPr>
        <w:t xml:space="preserve">Venitul lunar asigurat al acestor salariați </w:t>
      </w:r>
      <w:r w:rsidR="00AB437E" w:rsidRPr="00DD5F1D">
        <w:rPr>
          <w:rFonts w:ascii="Times New Roman" w:eastAsia="Times New Roman" w:hAnsi="Times New Roman" w:cs="Times New Roman"/>
          <w:sz w:val="24"/>
          <w:szCs w:val="24"/>
          <w:shd w:val="clear" w:color="auto" w:fill="FFFFFF"/>
          <w:lang w:val="ro-MD"/>
        </w:rPr>
        <w:t>c</w:t>
      </w:r>
      <w:r w:rsidR="00AB437E" w:rsidRPr="00DD5F1D">
        <w:rPr>
          <w:rFonts w:ascii="Times New Roman" w:hAnsi="Times New Roman" w:cs="Times New Roman"/>
          <w:sz w:val="24"/>
          <w:szCs w:val="24"/>
          <w:lang w:val="ro-MD"/>
        </w:rPr>
        <w:t>onstituie 68%</w:t>
      </w:r>
      <w:r w:rsidR="001719A2" w:rsidRPr="00DD5F1D">
        <w:rPr>
          <w:rStyle w:val="a5"/>
          <w:rFonts w:ascii="Times New Roman" w:hAnsi="Times New Roman" w:cs="Times New Roman"/>
          <w:sz w:val="24"/>
          <w:szCs w:val="24"/>
          <w:lang w:val="ro-MD"/>
        </w:rPr>
        <w:footnoteReference w:id="127"/>
      </w:r>
      <w:r w:rsidR="00AB437E" w:rsidRPr="00DD5F1D">
        <w:rPr>
          <w:rFonts w:ascii="Times New Roman" w:hAnsi="Times New Roman" w:cs="Times New Roman"/>
          <w:sz w:val="24"/>
          <w:szCs w:val="24"/>
          <w:lang w:val="ro-MD"/>
        </w:rPr>
        <w:t xml:space="preserve"> din cuantumul salariului mediu lunar pe economie</w:t>
      </w:r>
      <w:r w:rsidR="00AB437E" w:rsidRPr="00DD5F1D">
        <w:rPr>
          <w:rStyle w:val="a5"/>
          <w:rFonts w:ascii="Times New Roman" w:hAnsi="Times New Roman" w:cs="Times New Roman"/>
          <w:sz w:val="24"/>
          <w:szCs w:val="24"/>
          <w:lang w:val="ro-MD"/>
        </w:rPr>
        <w:footnoteReference w:id="128"/>
      </w:r>
      <w:r w:rsidR="00AB437E" w:rsidRPr="00DD5F1D">
        <w:rPr>
          <w:rFonts w:ascii="Times New Roman" w:hAnsi="Times New Roman" w:cs="Times New Roman"/>
          <w:sz w:val="24"/>
          <w:szCs w:val="24"/>
          <w:lang w:val="ro-MD"/>
        </w:rPr>
        <w:t xml:space="preserve">, prognozat pentru anul respectiv, care în anul 2023 a constituit </w:t>
      </w:r>
      <w:r w:rsidR="00AB437E" w:rsidRPr="00DD5F1D">
        <w:rPr>
          <w:rFonts w:ascii="Times New Roman" w:eastAsia="Times New Roman" w:hAnsi="Times New Roman" w:cs="Times New Roman"/>
          <w:sz w:val="24"/>
          <w:szCs w:val="24"/>
          <w:shd w:val="clear" w:color="auto" w:fill="FFFFFF"/>
          <w:lang w:val="ro-MD"/>
        </w:rPr>
        <w:t>7 956 lei.</w:t>
      </w:r>
    </w:p>
    <w:p w14:paraId="45726786" w14:textId="77777777" w:rsidR="00C92EC2" w:rsidRPr="00DD5F1D" w:rsidRDefault="00C92EC2" w:rsidP="00AB437E">
      <w:pPr>
        <w:spacing w:after="0" w:line="276" w:lineRule="auto"/>
        <w:jc w:val="both"/>
        <w:rPr>
          <w:rFonts w:ascii="Times New Roman" w:eastAsia="Times New Roman" w:hAnsi="Times New Roman" w:cs="Times New Roman"/>
          <w:sz w:val="24"/>
          <w:szCs w:val="24"/>
          <w:shd w:val="clear" w:color="auto" w:fill="FFFFFF"/>
          <w:lang w:val="ro-MD"/>
        </w:rPr>
      </w:pPr>
    </w:p>
    <w:p w14:paraId="55D0561F" w14:textId="77777777" w:rsidR="00AB437E" w:rsidRPr="00DD5F1D" w:rsidRDefault="00AB437E" w:rsidP="00AB437E">
      <w:pPr>
        <w:shd w:val="clear" w:color="auto" w:fill="FFFFFF"/>
        <w:spacing w:after="0" w:line="276" w:lineRule="auto"/>
        <w:jc w:val="right"/>
        <w:rPr>
          <w:rFonts w:ascii="Times New Roman" w:hAnsi="Times New Roman" w:cs="Times New Roman"/>
          <w:b/>
          <w:szCs w:val="24"/>
          <w:shd w:val="clear" w:color="auto" w:fill="FFFFFF"/>
          <w:lang w:val="ro-MD"/>
        </w:rPr>
      </w:pPr>
      <w:r w:rsidRPr="00DD5F1D">
        <w:rPr>
          <w:rFonts w:ascii="Times New Roman" w:hAnsi="Times New Roman" w:cs="Times New Roman"/>
          <w:b/>
          <w:szCs w:val="24"/>
          <w:shd w:val="clear" w:color="auto" w:fill="FFFFFF"/>
          <w:lang w:val="ro-MD"/>
        </w:rPr>
        <w:t>Tabel</w:t>
      </w:r>
      <w:r w:rsidR="000D026E" w:rsidRPr="00DD5F1D">
        <w:rPr>
          <w:rFonts w:ascii="Times New Roman" w:hAnsi="Times New Roman" w:cs="Times New Roman"/>
          <w:b/>
          <w:szCs w:val="24"/>
          <w:shd w:val="clear" w:color="auto" w:fill="FFFFFF"/>
          <w:lang w:val="ro-MD"/>
        </w:rPr>
        <w:t>ul</w:t>
      </w:r>
      <w:r w:rsidRPr="00DD5F1D">
        <w:rPr>
          <w:rFonts w:ascii="Times New Roman" w:hAnsi="Times New Roman" w:cs="Times New Roman"/>
          <w:b/>
          <w:szCs w:val="24"/>
          <w:shd w:val="clear" w:color="auto" w:fill="FFFFFF"/>
          <w:lang w:val="ro-MD"/>
        </w:rPr>
        <w:t xml:space="preserve"> </w:t>
      </w:r>
      <w:r w:rsidR="00BA23EA" w:rsidRPr="00DD5F1D">
        <w:rPr>
          <w:rFonts w:ascii="Times New Roman" w:hAnsi="Times New Roman" w:cs="Times New Roman"/>
          <w:b/>
          <w:szCs w:val="24"/>
          <w:shd w:val="clear" w:color="auto" w:fill="FFFFFF"/>
          <w:lang w:val="ro-MD"/>
        </w:rPr>
        <w:t>nr. 21</w:t>
      </w:r>
    </w:p>
    <w:p w14:paraId="3484C0A0" w14:textId="77777777" w:rsidR="00AB437E" w:rsidRPr="00DD5F1D" w:rsidRDefault="00AB437E" w:rsidP="00AB437E">
      <w:pPr>
        <w:shd w:val="clear" w:color="auto" w:fill="FFFFFF"/>
        <w:spacing w:after="0" w:line="276" w:lineRule="auto"/>
        <w:jc w:val="center"/>
        <w:rPr>
          <w:rFonts w:ascii="Times New Roman" w:hAnsi="Times New Roman" w:cs="Times New Roman"/>
          <w:b/>
          <w:szCs w:val="24"/>
          <w:shd w:val="clear" w:color="auto" w:fill="FFFFFF"/>
          <w:lang w:val="ro-MD"/>
        </w:rPr>
      </w:pPr>
      <w:r w:rsidRPr="00DD5F1D">
        <w:rPr>
          <w:rFonts w:ascii="Times New Roman" w:hAnsi="Times New Roman" w:cs="Times New Roman"/>
          <w:b/>
          <w:szCs w:val="24"/>
          <w:shd w:val="clear" w:color="auto" w:fill="FFFFFF"/>
          <w:lang w:val="ro-MD"/>
        </w:rPr>
        <w:t>Tariful și baza d</w:t>
      </w:r>
      <w:r w:rsidR="000D026E" w:rsidRPr="00DD5F1D">
        <w:rPr>
          <w:rFonts w:ascii="Times New Roman" w:hAnsi="Times New Roman" w:cs="Times New Roman"/>
          <w:b/>
          <w:szCs w:val="24"/>
          <w:shd w:val="clear" w:color="auto" w:fill="FFFFFF"/>
          <w:lang w:val="ro-MD"/>
        </w:rPr>
        <w:t xml:space="preserve">e calcul asigurată în domeniul </w:t>
      </w:r>
      <w:r w:rsidRPr="00DD5F1D">
        <w:rPr>
          <w:rFonts w:ascii="Times New Roman" w:hAnsi="Times New Roman" w:cs="Times New Roman"/>
          <w:b/>
          <w:szCs w:val="24"/>
          <w:shd w:val="clear" w:color="auto" w:fill="FFFFFF"/>
          <w:lang w:val="ro-MD"/>
        </w:rPr>
        <w:t>T</w:t>
      </w:r>
      <w:r w:rsidR="000D026E" w:rsidRPr="00DD5F1D">
        <w:rPr>
          <w:rFonts w:ascii="Times New Roman" w:hAnsi="Times New Roman" w:cs="Times New Roman"/>
          <w:b/>
          <w:szCs w:val="24"/>
          <w:shd w:val="clear" w:color="auto" w:fill="FFFFFF"/>
          <w:lang w:val="ro-MD"/>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7"/>
        <w:gridCol w:w="1361"/>
        <w:gridCol w:w="1307"/>
        <w:gridCol w:w="1149"/>
      </w:tblGrid>
      <w:tr w:rsidR="000D026E" w:rsidRPr="00DD5F1D" w14:paraId="5C34CD78" w14:textId="77777777" w:rsidTr="008B60FF">
        <w:trPr>
          <w:trHeight w:val="405"/>
        </w:trPr>
        <w:tc>
          <w:tcPr>
            <w:tcW w:w="3096" w:type="pct"/>
            <w:shd w:val="clear" w:color="auto" w:fill="auto"/>
            <w:vAlign w:val="center"/>
          </w:tcPr>
          <w:p w14:paraId="63DE886C" w14:textId="77777777" w:rsidR="000D026E" w:rsidRPr="00DD5F1D" w:rsidRDefault="000D026E" w:rsidP="008B60FF">
            <w:pPr>
              <w:spacing w:after="0" w:line="276" w:lineRule="auto"/>
              <w:jc w:val="center"/>
              <w:rPr>
                <w:rFonts w:ascii="Times New Roman" w:eastAsia="Times New Roman" w:hAnsi="Times New Roman" w:cs="Times New Roman"/>
                <w:b/>
                <w:sz w:val="20"/>
                <w:szCs w:val="24"/>
                <w:lang w:val="ro-MD"/>
              </w:rPr>
            </w:pPr>
            <w:r w:rsidRPr="00DD5F1D">
              <w:rPr>
                <w:rFonts w:ascii="Times New Roman" w:eastAsia="Times New Roman" w:hAnsi="Times New Roman" w:cs="Times New Roman"/>
                <w:b/>
                <w:sz w:val="20"/>
                <w:szCs w:val="24"/>
                <w:lang w:val="ro-MD"/>
              </w:rPr>
              <w:t>Anul</w:t>
            </w:r>
          </w:p>
        </w:tc>
        <w:tc>
          <w:tcPr>
            <w:tcW w:w="679" w:type="pct"/>
            <w:shd w:val="clear" w:color="auto" w:fill="auto"/>
            <w:noWrap/>
            <w:vAlign w:val="center"/>
          </w:tcPr>
          <w:p w14:paraId="6B249051" w14:textId="77777777" w:rsidR="000D026E" w:rsidRPr="00DD5F1D" w:rsidRDefault="000D026E" w:rsidP="008B60FF">
            <w:pPr>
              <w:spacing w:after="0" w:line="276" w:lineRule="auto"/>
              <w:jc w:val="center"/>
              <w:rPr>
                <w:rFonts w:ascii="Times New Roman" w:eastAsia="Times New Roman" w:hAnsi="Times New Roman" w:cs="Times New Roman"/>
                <w:b/>
                <w:sz w:val="20"/>
                <w:szCs w:val="24"/>
                <w:lang w:val="ro-MD"/>
              </w:rPr>
            </w:pPr>
            <w:r w:rsidRPr="00DD5F1D">
              <w:rPr>
                <w:rFonts w:ascii="Times New Roman" w:eastAsia="Times New Roman" w:hAnsi="Times New Roman" w:cs="Times New Roman"/>
                <w:b/>
                <w:sz w:val="20"/>
                <w:szCs w:val="24"/>
                <w:lang w:val="ro-MD"/>
              </w:rPr>
              <w:t>2021</w:t>
            </w:r>
          </w:p>
        </w:tc>
        <w:tc>
          <w:tcPr>
            <w:tcW w:w="652" w:type="pct"/>
            <w:shd w:val="clear" w:color="auto" w:fill="auto"/>
            <w:noWrap/>
            <w:vAlign w:val="center"/>
          </w:tcPr>
          <w:p w14:paraId="74C161A4" w14:textId="77777777" w:rsidR="000D026E" w:rsidRPr="00DD5F1D" w:rsidRDefault="000D026E" w:rsidP="008B60FF">
            <w:pPr>
              <w:spacing w:after="0" w:line="276" w:lineRule="auto"/>
              <w:jc w:val="center"/>
              <w:rPr>
                <w:rFonts w:ascii="Times New Roman" w:eastAsia="Times New Roman" w:hAnsi="Times New Roman" w:cs="Times New Roman"/>
                <w:b/>
                <w:sz w:val="20"/>
                <w:szCs w:val="24"/>
                <w:lang w:val="ro-MD"/>
              </w:rPr>
            </w:pPr>
            <w:r w:rsidRPr="00DD5F1D">
              <w:rPr>
                <w:rFonts w:ascii="Times New Roman" w:eastAsia="Times New Roman" w:hAnsi="Times New Roman" w:cs="Times New Roman"/>
                <w:b/>
                <w:sz w:val="20"/>
                <w:szCs w:val="24"/>
                <w:lang w:val="ro-MD"/>
              </w:rPr>
              <w:t>2022</w:t>
            </w:r>
          </w:p>
        </w:tc>
        <w:tc>
          <w:tcPr>
            <w:tcW w:w="573" w:type="pct"/>
            <w:shd w:val="clear" w:color="auto" w:fill="auto"/>
            <w:vAlign w:val="center"/>
          </w:tcPr>
          <w:p w14:paraId="39CBD846" w14:textId="77777777" w:rsidR="000D026E" w:rsidRPr="00DD5F1D" w:rsidRDefault="000D026E" w:rsidP="008B60FF">
            <w:pPr>
              <w:spacing w:after="0" w:line="276" w:lineRule="auto"/>
              <w:jc w:val="center"/>
              <w:rPr>
                <w:rFonts w:ascii="Times New Roman" w:eastAsia="Times New Roman" w:hAnsi="Times New Roman" w:cs="Times New Roman"/>
                <w:b/>
                <w:sz w:val="20"/>
                <w:szCs w:val="24"/>
                <w:lang w:val="ro-MD"/>
              </w:rPr>
            </w:pPr>
            <w:r w:rsidRPr="00DD5F1D">
              <w:rPr>
                <w:rFonts w:ascii="Times New Roman" w:eastAsia="Times New Roman" w:hAnsi="Times New Roman" w:cs="Times New Roman"/>
                <w:b/>
                <w:sz w:val="20"/>
                <w:szCs w:val="24"/>
                <w:lang w:val="ro-MD"/>
              </w:rPr>
              <w:t>2023</w:t>
            </w:r>
          </w:p>
        </w:tc>
      </w:tr>
      <w:tr w:rsidR="000D40B3" w:rsidRPr="00DD5F1D" w14:paraId="0D0CA806" w14:textId="77777777" w:rsidTr="008B60FF">
        <w:trPr>
          <w:trHeight w:val="20"/>
        </w:trPr>
        <w:tc>
          <w:tcPr>
            <w:tcW w:w="3096" w:type="pct"/>
            <w:shd w:val="clear" w:color="auto" w:fill="auto"/>
            <w:hideMark/>
          </w:tcPr>
          <w:p w14:paraId="70BB5ED7" w14:textId="79741059" w:rsidR="00AB437E" w:rsidRPr="00DD5F1D" w:rsidRDefault="00AB437E" w:rsidP="004E4D1E">
            <w:pPr>
              <w:spacing w:after="0" w:line="276" w:lineRule="auto"/>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Salariu</w:t>
            </w:r>
            <w:r w:rsidR="001549A1" w:rsidRPr="00DD5F1D">
              <w:rPr>
                <w:rFonts w:ascii="Times New Roman" w:eastAsia="Times New Roman" w:hAnsi="Times New Roman" w:cs="Times New Roman"/>
                <w:sz w:val="20"/>
                <w:szCs w:val="24"/>
                <w:lang w:val="ro-MD"/>
              </w:rPr>
              <w:t>l</w:t>
            </w:r>
            <w:r w:rsidRPr="00DD5F1D">
              <w:rPr>
                <w:rFonts w:ascii="Times New Roman" w:eastAsia="Times New Roman" w:hAnsi="Times New Roman" w:cs="Times New Roman"/>
                <w:sz w:val="20"/>
                <w:szCs w:val="24"/>
                <w:lang w:val="ro-MD"/>
              </w:rPr>
              <w:t xml:space="preserve"> mediu lunar pe economie (lei)</w:t>
            </w:r>
          </w:p>
        </w:tc>
        <w:tc>
          <w:tcPr>
            <w:tcW w:w="679" w:type="pct"/>
            <w:shd w:val="clear" w:color="auto" w:fill="auto"/>
            <w:noWrap/>
            <w:vAlign w:val="center"/>
            <w:hideMark/>
          </w:tcPr>
          <w:p w14:paraId="5F324DAC"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8716</w:t>
            </w:r>
          </w:p>
        </w:tc>
        <w:tc>
          <w:tcPr>
            <w:tcW w:w="652" w:type="pct"/>
            <w:shd w:val="clear" w:color="auto" w:fill="auto"/>
            <w:noWrap/>
            <w:vAlign w:val="center"/>
            <w:hideMark/>
          </w:tcPr>
          <w:p w14:paraId="27DAAB28"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9900</w:t>
            </w:r>
          </w:p>
        </w:tc>
        <w:tc>
          <w:tcPr>
            <w:tcW w:w="573" w:type="pct"/>
            <w:shd w:val="clear" w:color="auto" w:fill="auto"/>
            <w:vAlign w:val="center"/>
          </w:tcPr>
          <w:p w14:paraId="0AE4F80C"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11700</w:t>
            </w:r>
          </w:p>
        </w:tc>
      </w:tr>
      <w:tr w:rsidR="000D40B3" w:rsidRPr="00DD5F1D" w14:paraId="514221EA" w14:textId="77777777" w:rsidTr="008B60FF">
        <w:trPr>
          <w:trHeight w:val="20"/>
        </w:trPr>
        <w:tc>
          <w:tcPr>
            <w:tcW w:w="3096" w:type="pct"/>
            <w:shd w:val="clear" w:color="auto" w:fill="auto"/>
            <w:hideMark/>
          </w:tcPr>
          <w:p w14:paraId="3996A27B" w14:textId="2B2B6655" w:rsidR="00AB437E" w:rsidRPr="00DD5F1D" w:rsidRDefault="00C94E00" w:rsidP="004E4D1E">
            <w:pPr>
              <w:spacing w:after="0" w:line="276" w:lineRule="auto"/>
              <w:rPr>
                <w:rFonts w:ascii="Times New Roman" w:eastAsia="Times New Roman" w:hAnsi="Times New Roman" w:cs="Times New Roman"/>
                <w:sz w:val="20"/>
                <w:szCs w:val="24"/>
                <w:lang w:val="ro-MD"/>
              </w:rPr>
            </w:pPr>
            <w:r>
              <w:rPr>
                <w:rFonts w:ascii="Times New Roman" w:eastAsia="Times New Roman" w:hAnsi="Times New Roman" w:cs="Times New Roman"/>
                <w:sz w:val="20"/>
                <w:szCs w:val="24"/>
                <w:lang w:val="ro-MD"/>
              </w:rPr>
              <w:t>Ponderea pentru determinarea bazei de calcul</w:t>
            </w:r>
            <w:r w:rsidRPr="00DD5F1D">
              <w:rPr>
                <w:rFonts w:ascii="Times New Roman" w:eastAsia="Times New Roman" w:hAnsi="Times New Roman" w:cs="Times New Roman"/>
                <w:sz w:val="20"/>
                <w:szCs w:val="24"/>
                <w:lang w:val="ro-MD"/>
              </w:rPr>
              <w:t xml:space="preserve"> </w:t>
            </w:r>
            <w:r w:rsidR="00AB437E" w:rsidRPr="00DD5F1D">
              <w:rPr>
                <w:rFonts w:ascii="Times New Roman" w:eastAsia="Times New Roman" w:hAnsi="Times New Roman" w:cs="Times New Roman"/>
                <w:sz w:val="20"/>
                <w:szCs w:val="24"/>
                <w:lang w:val="ro-MD"/>
              </w:rPr>
              <w:t>(%)</w:t>
            </w:r>
          </w:p>
        </w:tc>
        <w:tc>
          <w:tcPr>
            <w:tcW w:w="679" w:type="pct"/>
            <w:shd w:val="clear" w:color="auto" w:fill="auto"/>
            <w:noWrap/>
            <w:vAlign w:val="center"/>
            <w:hideMark/>
          </w:tcPr>
          <w:p w14:paraId="62E41A47"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68%</w:t>
            </w:r>
          </w:p>
        </w:tc>
        <w:tc>
          <w:tcPr>
            <w:tcW w:w="652" w:type="pct"/>
            <w:shd w:val="clear" w:color="auto" w:fill="auto"/>
            <w:noWrap/>
            <w:vAlign w:val="center"/>
            <w:hideMark/>
          </w:tcPr>
          <w:p w14:paraId="63D10E93"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68%</w:t>
            </w:r>
          </w:p>
        </w:tc>
        <w:tc>
          <w:tcPr>
            <w:tcW w:w="573" w:type="pct"/>
            <w:shd w:val="clear" w:color="auto" w:fill="auto"/>
            <w:vAlign w:val="center"/>
          </w:tcPr>
          <w:p w14:paraId="6629161C"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68%</w:t>
            </w:r>
          </w:p>
        </w:tc>
      </w:tr>
      <w:tr w:rsidR="000D40B3" w:rsidRPr="00DD5F1D" w14:paraId="5F50CCEF" w14:textId="77777777" w:rsidTr="008B60FF">
        <w:trPr>
          <w:trHeight w:val="20"/>
        </w:trPr>
        <w:tc>
          <w:tcPr>
            <w:tcW w:w="3096" w:type="pct"/>
            <w:shd w:val="clear" w:color="auto" w:fill="auto"/>
            <w:vAlign w:val="bottom"/>
            <w:hideMark/>
          </w:tcPr>
          <w:p w14:paraId="711BDD81" w14:textId="77777777" w:rsidR="00AB437E" w:rsidRPr="00DD5F1D" w:rsidRDefault="00AB437E" w:rsidP="004E4D1E">
            <w:pPr>
              <w:spacing w:after="0" w:line="276" w:lineRule="auto"/>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Baza de calcul a contribuției de asigurări sociale de stat obligatorii (lei)</w:t>
            </w:r>
          </w:p>
        </w:tc>
        <w:tc>
          <w:tcPr>
            <w:tcW w:w="679" w:type="pct"/>
            <w:shd w:val="clear" w:color="auto" w:fill="auto"/>
            <w:noWrap/>
            <w:vAlign w:val="center"/>
            <w:hideMark/>
          </w:tcPr>
          <w:p w14:paraId="550D935A"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5</w:t>
            </w:r>
            <w:r w:rsidR="000D026E"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926,9</w:t>
            </w:r>
          </w:p>
        </w:tc>
        <w:tc>
          <w:tcPr>
            <w:tcW w:w="652" w:type="pct"/>
            <w:shd w:val="clear" w:color="auto" w:fill="auto"/>
            <w:noWrap/>
            <w:vAlign w:val="center"/>
            <w:hideMark/>
          </w:tcPr>
          <w:p w14:paraId="04DAB658"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6</w:t>
            </w:r>
            <w:r w:rsidR="000D026E"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732</w:t>
            </w:r>
          </w:p>
        </w:tc>
        <w:tc>
          <w:tcPr>
            <w:tcW w:w="573" w:type="pct"/>
            <w:shd w:val="clear" w:color="auto" w:fill="auto"/>
            <w:vAlign w:val="center"/>
          </w:tcPr>
          <w:p w14:paraId="55920EDB"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7</w:t>
            </w:r>
            <w:r w:rsidR="000D026E"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956</w:t>
            </w:r>
          </w:p>
        </w:tc>
      </w:tr>
      <w:tr w:rsidR="000D40B3" w:rsidRPr="00DD5F1D" w14:paraId="4FFE281A" w14:textId="77777777" w:rsidTr="008B60FF">
        <w:trPr>
          <w:trHeight w:val="20"/>
        </w:trPr>
        <w:tc>
          <w:tcPr>
            <w:tcW w:w="3096" w:type="pct"/>
            <w:shd w:val="clear" w:color="auto" w:fill="auto"/>
            <w:noWrap/>
            <w:vAlign w:val="bottom"/>
            <w:hideMark/>
          </w:tcPr>
          <w:p w14:paraId="39D2E3D0" w14:textId="77777777" w:rsidR="00AB437E" w:rsidRPr="00DD5F1D" w:rsidRDefault="00AB437E" w:rsidP="004E4D1E">
            <w:pPr>
              <w:spacing w:after="0" w:line="276" w:lineRule="auto"/>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Tariful contribuțiilor de asigurări sociale de stat</w:t>
            </w:r>
          </w:p>
        </w:tc>
        <w:tc>
          <w:tcPr>
            <w:tcW w:w="679" w:type="pct"/>
            <w:shd w:val="clear" w:color="auto" w:fill="auto"/>
            <w:noWrap/>
            <w:vAlign w:val="center"/>
            <w:hideMark/>
          </w:tcPr>
          <w:p w14:paraId="6A7A671F"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29%</w:t>
            </w:r>
          </w:p>
        </w:tc>
        <w:tc>
          <w:tcPr>
            <w:tcW w:w="652" w:type="pct"/>
            <w:shd w:val="clear" w:color="auto" w:fill="auto"/>
            <w:noWrap/>
            <w:vAlign w:val="center"/>
            <w:hideMark/>
          </w:tcPr>
          <w:p w14:paraId="74D2F1D1"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29%</w:t>
            </w:r>
          </w:p>
        </w:tc>
        <w:tc>
          <w:tcPr>
            <w:tcW w:w="573" w:type="pct"/>
            <w:shd w:val="clear" w:color="auto" w:fill="auto"/>
            <w:vAlign w:val="center"/>
          </w:tcPr>
          <w:p w14:paraId="5B93CBCC"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29%</w:t>
            </w:r>
          </w:p>
        </w:tc>
      </w:tr>
      <w:tr w:rsidR="000D40B3" w:rsidRPr="00DD5F1D" w14:paraId="38303D87" w14:textId="77777777" w:rsidTr="008B60FF">
        <w:trPr>
          <w:trHeight w:val="20"/>
        </w:trPr>
        <w:tc>
          <w:tcPr>
            <w:tcW w:w="3096" w:type="pct"/>
            <w:shd w:val="clear" w:color="auto" w:fill="auto"/>
            <w:noWrap/>
            <w:vAlign w:val="bottom"/>
            <w:hideMark/>
          </w:tcPr>
          <w:p w14:paraId="645542DD" w14:textId="77777777" w:rsidR="00AB437E" w:rsidRPr="00DD5F1D" w:rsidRDefault="00AB437E" w:rsidP="004E4D1E">
            <w:pPr>
              <w:spacing w:after="0" w:line="276" w:lineRule="auto"/>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Suma contribuțiilor calculate (lei)</w:t>
            </w:r>
          </w:p>
        </w:tc>
        <w:tc>
          <w:tcPr>
            <w:tcW w:w="679" w:type="pct"/>
            <w:shd w:val="clear" w:color="auto" w:fill="auto"/>
            <w:noWrap/>
            <w:vAlign w:val="center"/>
            <w:hideMark/>
          </w:tcPr>
          <w:p w14:paraId="35F2F4D3"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w:t>
            </w:r>
            <w:r w:rsidR="000D026E"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718,8</w:t>
            </w:r>
          </w:p>
        </w:tc>
        <w:tc>
          <w:tcPr>
            <w:tcW w:w="652" w:type="pct"/>
            <w:shd w:val="clear" w:color="auto" w:fill="auto"/>
            <w:noWrap/>
            <w:vAlign w:val="center"/>
            <w:hideMark/>
          </w:tcPr>
          <w:p w14:paraId="44A702A4"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1</w:t>
            </w:r>
            <w:r w:rsidR="000D026E"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952,3</w:t>
            </w:r>
          </w:p>
        </w:tc>
        <w:tc>
          <w:tcPr>
            <w:tcW w:w="573" w:type="pct"/>
            <w:shd w:val="clear" w:color="auto" w:fill="auto"/>
            <w:vAlign w:val="center"/>
          </w:tcPr>
          <w:p w14:paraId="561D2C10" w14:textId="77777777" w:rsidR="00AB437E" w:rsidRPr="00DD5F1D" w:rsidRDefault="00AB437E" w:rsidP="00241E14">
            <w:pPr>
              <w:spacing w:after="0" w:line="276" w:lineRule="auto"/>
              <w:jc w:val="right"/>
              <w:rPr>
                <w:rFonts w:ascii="Times New Roman" w:eastAsia="Times New Roman" w:hAnsi="Times New Roman" w:cs="Times New Roman"/>
                <w:sz w:val="20"/>
                <w:szCs w:val="24"/>
                <w:lang w:val="ro-MD"/>
              </w:rPr>
            </w:pPr>
            <w:r w:rsidRPr="00DD5F1D">
              <w:rPr>
                <w:rFonts w:ascii="Times New Roman" w:eastAsia="Times New Roman" w:hAnsi="Times New Roman" w:cs="Times New Roman"/>
                <w:sz w:val="20"/>
                <w:szCs w:val="24"/>
                <w:lang w:val="ro-MD"/>
              </w:rPr>
              <w:t>2</w:t>
            </w:r>
            <w:r w:rsidR="000D026E" w:rsidRPr="00DD5F1D">
              <w:rPr>
                <w:rFonts w:ascii="Times New Roman" w:eastAsia="Times New Roman" w:hAnsi="Times New Roman" w:cs="Times New Roman"/>
                <w:sz w:val="20"/>
                <w:szCs w:val="24"/>
                <w:lang w:val="ro-MD"/>
              </w:rPr>
              <w:t xml:space="preserve"> </w:t>
            </w:r>
            <w:r w:rsidRPr="00DD5F1D">
              <w:rPr>
                <w:rFonts w:ascii="Times New Roman" w:eastAsia="Times New Roman" w:hAnsi="Times New Roman" w:cs="Times New Roman"/>
                <w:sz w:val="20"/>
                <w:szCs w:val="24"/>
                <w:lang w:val="ro-MD"/>
              </w:rPr>
              <w:t>307,2</w:t>
            </w:r>
          </w:p>
        </w:tc>
      </w:tr>
    </w:tbl>
    <w:p w14:paraId="2DB5241C" w14:textId="632F74AE" w:rsidR="00AB437E" w:rsidRPr="00DD5F1D" w:rsidRDefault="00AB437E" w:rsidP="00BA23EA">
      <w:pPr>
        <w:shd w:val="clear" w:color="auto" w:fill="FFFFFF"/>
        <w:spacing w:line="276" w:lineRule="auto"/>
        <w:jc w:val="both"/>
        <w:rPr>
          <w:rFonts w:ascii="Times New Roman" w:eastAsia="Times New Roman" w:hAnsi="Times New Roman" w:cs="Times New Roman"/>
          <w:bCs/>
          <w:i/>
          <w:iCs/>
          <w:sz w:val="18"/>
          <w:szCs w:val="20"/>
          <w:shd w:val="clear" w:color="auto" w:fill="FFFFFF"/>
          <w:lang w:val="ro-MD"/>
        </w:rPr>
      </w:pPr>
      <w:r w:rsidRPr="00DD5F1D">
        <w:rPr>
          <w:rFonts w:ascii="Times New Roman" w:eastAsia="Times New Roman" w:hAnsi="Times New Roman" w:cs="Times New Roman"/>
          <w:b/>
          <w:bCs/>
          <w:i/>
          <w:iCs/>
          <w:sz w:val="20"/>
          <w:szCs w:val="20"/>
          <w:shd w:val="clear" w:color="auto" w:fill="FFFFFF"/>
          <w:lang w:val="ro-MD"/>
        </w:rPr>
        <w:t>Sursa:</w:t>
      </w:r>
      <w:r w:rsidRPr="00DD5F1D">
        <w:rPr>
          <w:rFonts w:ascii="Times New Roman" w:eastAsia="Times New Roman" w:hAnsi="Times New Roman" w:cs="Times New Roman"/>
          <w:bCs/>
          <w:i/>
          <w:iCs/>
          <w:sz w:val="20"/>
          <w:szCs w:val="20"/>
          <w:shd w:val="clear" w:color="auto" w:fill="FFFFFF"/>
          <w:lang w:val="ro-MD"/>
        </w:rPr>
        <w:t xml:space="preserve"> </w:t>
      </w:r>
      <w:r w:rsidR="00241E14" w:rsidRPr="00DD5F1D">
        <w:rPr>
          <w:rFonts w:ascii="Times New Roman" w:eastAsia="Times New Roman" w:hAnsi="Times New Roman" w:cs="Times New Roman"/>
          <w:bCs/>
          <w:i/>
          <w:iCs/>
          <w:sz w:val="20"/>
          <w:szCs w:val="20"/>
          <w:shd w:val="clear" w:color="auto" w:fill="FFFFFF"/>
          <w:lang w:val="ro-MD"/>
        </w:rPr>
        <w:t>E</w:t>
      </w:r>
      <w:r w:rsidRPr="00DD5F1D">
        <w:rPr>
          <w:rFonts w:ascii="Times New Roman" w:eastAsia="Times New Roman" w:hAnsi="Times New Roman" w:cs="Times New Roman"/>
          <w:bCs/>
          <w:i/>
          <w:iCs/>
          <w:sz w:val="20"/>
          <w:szCs w:val="20"/>
          <w:shd w:val="clear" w:color="auto" w:fill="FFFFFF"/>
          <w:lang w:val="ro-MD"/>
        </w:rPr>
        <w:t>laborat de audit în baza prevederilor legale</w:t>
      </w:r>
      <w:r w:rsidR="001C38EE" w:rsidRPr="00DD5F1D">
        <w:rPr>
          <w:rFonts w:ascii="Times New Roman" w:eastAsia="Times New Roman" w:hAnsi="Times New Roman" w:cs="Times New Roman"/>
          <w:bCs/>
          <w:i/>
          <w:iCs/>
          <w:sz w:val="20"/>
          <w:szCs w:val="20"/>
          <w:shd w:val="clear" w:color="auto" w:fill="FFFFFF"/>
          <w:lang w:val="ro-MD"/>
        </w:rPr>
        <w:t>.</w:t>
      </w:r>
    </w:p>
    <w:p w14:paraId="19370544" w14:textId="48AAE761" w:rsidR="00AB437E" w:rsidRPr="00DD5F1D" w:rsidRDefault="00AB437E" w:rsidP="00810580">
      <w:pPr>
        <w:shd w:val="clear" w:color="auto" w:fill="FFFFFF"/>
        <w:spacing w:after="120" w:line="276" w:lineRule="auto"/>
        <w:jc w:val="both"/>
        <w:rPr>
          <w:rFonts w:ascii="Times New Roman" w:eastAsia="Times New Roman" w:hAnsi="Times New Roman" w:cs="Times New Roman"/>
          <w:sz w:val="24"/>
          <w:szCs w:val="24"/>
          <w:shd w:val="clear" w:color="auto" w:fill="FFFFFF"/>
          <w:lang w:val="ro-MD"/>
        </w:rPr>
      </w:pPr>
      <w:r w:rsidRPr="00DD5F1D">
        <w:rPr>
          <w:rFonts w:ascii="Times New Roman" w:eastAsia="Times New Roman" w:hAnsi="Times New Roman" w:cs="Times New Roman"/>
          <w:sz w:val="24"/>
          <w:szCs w:val="24"/>
          <w:shd w:val="clear" w:color="auto" w:fill="FFFFFF"/>
          <w:lang w:val="ro-MD"/>
        </w:rPr>
        <w:t xml:space="preserve">Calculul </w:t>
      </w:r>
      <w:r w:rsidR="000D026E" w:rsidRPr="00DD5F1D">
        <w:rPr>
          <w:rFonts w:ascii="Times New Roman" w:eastAsia="Times New Roman" w:hAnsi="Times New Roman" w:cs="Times New Roman"/>
          <w:sz w:val="24"/>
          <w:szCs w:val="24"/>
          <w:shd w:val="clear" w:color="auto" w:fill="FFFFFF"/>
          <w:lang w:val="ro-MD"/>
        </w:rPr>
        <w:t>și</w:t>
      </w:r>
      <w:r w:rsidRPr="00DD5F1D">
        <w:rPr>
          <w:rFonts w:ascii="Times New Roman" w:eastAsia="Times New Roman" w:hAnsi="Times New Roman" w:cs="Times New Roman"/>
          <w:sz w:val="24"/>
          <w:szCs w:val="24"/>
          <w:shd w:val="clear" w:color="auto" w:fill="FFFFFF"/>
          <w:lang w:val="ro-MD"/>
        </w:rPr>
        <w:t xml:space="preserve"> plata contribuțiilor de asigurări sociale de stat obligatorii datorate de rezidenții parcurilor pentru tehnologia informației și angajații acestora, în raport cu veniturile salariale obținute în baza legislației muncii și actelor normative ce conțin norme ale dreptului muncii, se efectuează din contul sumelor repartizate la bugetul asigurărilor sociale de stat din încasările impozitului unic achitat de rezidenții parcurilor pentru tehnologia informației conform prevederilor</w:t>
      </w:r>
      <w:r w:rsidR="0072440B" w:rsidRPr="00DD5F1D">
        <w:rPr>
          <w:rFonts w:ascii="Times New Roman" w:eastAsia="Times New Roman" w:hAnsi="Times New Roman" w:cs="Times New Roman"/>
          <w:sz w:val="24"/>
          <w:szCs w:val="24"/>
          <w:shd w:val="clear" w:color="auto" w:fill="FFFFFF"/>
          <w:lang w:val="ro-MD"/>
        </w:rPr>
        <w:t xml:space="preserve"> regulamentare</w:t>
      </w:r>
      <w:r w:rsidRPr="00DD5F1D">
        <w:rPr>
          <w:rFonts w:ascii="Times New Roman" w:eastAsia="Times New Roman" w:hAnsi="Times New Roman" w:cs="Times New Roman"/>
          <w:sz w:val="24"/>
          <w:szCs w:val="24"/>
          <w:shd w:val="clear" w:color="auto" w:fill="FFFFFF"/>
          <w:lang w:val="ro-MD"/>
        </w:rPr>
        <w:t>. A</w:t>
      </w:r>
      <w:r w:rsidR="00AB484C" w:rsidRPr="00DD5F1D">
        <w:rPr>
          <w:rFonts w:ascii="Times New Roman" w:eastAsia="Times New Roman" w:hAnsi="Times New Roman" w:cs="Times New Roman"/>
          <w:sz w:val="24"/>
          <w:szCs w:val="24"/>
          <w:shd w:val="clear" w:color="auto" w:fill="FFFFFF"/>
          <w:lang w:val="ro-MD"/>
        </w:rPr>
        <w:t xml:space="preserve">stfel, venitul asigurat este </w:t>
      </w:r>
      <w:r w:rsidR="001719A2" w:rsidRPr="00DD5F1D">
        <w:rPr>
          <w:rFonts w:ascii="Times New Roman" w:eastAsia="Times New Roman" w:hAnsi="Times New Roman" w:cs="Times New Roman"/>
          <w:sz w:val="24"/>
          <w:szCs w:val="24"/>
          <w:shd w:val="clear" w:color="auto" w:fill="FFFFFF"/>
          <w:lang w:val="ro-MD"/>
        </w:rPr>
        <w:t>semnificativ</w:t>
      </w:r>
      <w:r w:rsidRPr="00DD5F1D">
        <w:rPr>
          <w:rFonts w:ascii="Times New Roman" w:eastAsia="Times New Roman" w:hAnsi="Times New Roman" w:cs="Times New Roman"/>
          <w:sz w:val="24"/>
          <w:szCs w:val="24"/>
          <w:shd w:val="clear" w:color="auto" w:fill="FFFFFF"/>
          <w:lang w:val="ro-MD"/>
        </w:rPr>
        <w:t xml:space="preserve"> mai mic decât salariul obținut în domeniul TI</w:t>
      </w:r>
      <w:r w:rsidRPr="00DD5F1D">
        <w:rPr>
          <w:rStyle w:val="a5"/>
          <w:rFonts w:ascii="Times New Roman" w:eastAsia="Times New Roman" w:hAnsi="Times New Roman" w:cs="Times New Roman"/>
          <w:sz w:val="24"/>
          <w:szCs w:val="24"/>
          <w:shd w:val="clear" w:color="auto" w:fill="FFFFFF"/>
          <w:lang w:val="ro-MD"/>
        </w:rPr>
        <w:footnoteReference w:id="129"/>
      </w:r>
      <w:r w:rsidRPr="00DD5F1D">
        <w:rPr>
          <w:rFonts w:ascii="Times New Roman" w:eastAsia="Times New Roman" w:hAnsi="Times New Roman" w:cs="Times New Roman"/>
          <w:sz w:val="24"/>
          <w:szCs w:val="24"/>
          <w:shd w:val="clear" w:color="auto" w:fill="FFFFFF"/>
          <w:lang w:val="ro-MD"/>
        </w:rPr>
        <w:t>. Prin urmare, acești beneficiari sunt limitați în cuantumul obținerii drepturilor sociale.</w:t>
      </w:r>
    </w:p>
    <w:p w14:paraId="6ED1B2EE" w14:textId="04CCC136" w:rsidR="00AB437E" w:rsidRPr="00DD5F1D" w:rsidRDefault="00AB437E" w:rsidP="00AB437E">
      <w:pPr>
        <w:pStyle w:val="Default"/>
        <w:spacing w:after="240" w:line="276" w:lineRule="auto"/>
        <w:jc w:val="both"/>
        <w:rPr>
          <w:rFonts w:eastAsia="Times New Roman"/>
          <w:color w:val="auto"/>
          <w:shd w:val="clear" w:color="auto" w:fill="FFFFFF"/>
          <w:lang w:val="ro-MD"/>
        </w:rPr>
      </w:pPr>
      <w:r w:rsidRPr="00DD5F1D">
        <w:rPr>
          <w:rFonts w:eastAsia="Times New Roman"/>
          <w:color w:val="auto"/>
          <w:shd w:val="clear" w:color="auto" w:fill="FFFFFF"/>
          <w:lang w:val="ro-MD"/>
        </w:rPr>
        <w:t>În acest context, concretizăm că mărimea prestațiilor de asigurări sociale depinde de perioada de activitate a persoanei (stagiul total de cotizare) și de salariul din care au fost achitate c</w:t>
      </w:r>
      <w:r w:rsidR="000D026E" w:rsidRPr="00DD5F1D">
        <w:rPr>
          <w:rFonts w:eastAsia="Times New Roman"/>
          <w:color w:val="auto"/>
          <w:shd w:val="clear" w:color="auto" w:fill="FFFFFF"/>
          <w:lang w:val="ro-MD"/>
        </w:rPr>
        <w:t>ontribuții de asigurări sociale</w:t>
      </w:r>
      <w:r w:rsidRPr="00DD5F1D">
        <w:rPr>
          <w:rFonts w:eastAsia="Times New Roman"/>
          <w:color w:val="auto"/>
          <w:shd w:val="clear" w:color="auto" w:fill="FFFFFF"/>
          <w:lang w:val="ro-MD"/>
        </w:rPr>
        <w:t>. Pe parcursul misiunii, audit</w:t>
      </w:r>
      <w:r w:rsidR="001C38EE" w:rsidRPr="00DD5F1D">
        <w:rPr>
          <w:rFonts w:eastAsia="Times New Roman"/>
          <w:color w:val="auto"/>
          <w:shd w:val="clear" w:color="auto" w:fill="FFFFFF"/>
          <w:lang w:val="ro-MD"/>
        </w:rPr>
        <w:t>ul</w:t>
      </w:r>
      <w:r w:rsidRPr="00DD5F1D">
        <w:rPr>
          <w:rFonts w:eastAsia="Times New Roman"/>
          <w:color w:val="auto"/>
          <w:shd w:val="clear" w:color="auto" w:fill="FFFFFF"/>
          <w:lang w:val="ro-MD"/>
        </w:rPr>
        <w:t xml:space="preserve"> a identifica</w:t>
      </w:r>
      <w:r w:rsidR="001C38EE" w:rsidRPr="00DD5F1D">
        <w:rPr>
          <w:rFonts w:eastAsia="Times New Roman"/>
          <w:color w:val="auto"/>
          <w:shd w:val="clear" w:color="auto" w:fill="FFFFFF"/>
          <w:lang w:val="ro-MD"/>
        </w:rPr>
        <w:t>t</w:t>
      </w:r>
      <w:r w:rsidRPr="00DD5F1D">
        <w:rPr>
          <w:rFonts w:eastAsia="Times New Roman"/>
          <w:color w:val="auto"/>
          <w:shd w:val="clear" w:color="auto" w:fill="FFFFFF"/>
          <w:lang w:val="ro-MD"/>
        </w:rPr>
        <w:t xml:space="preserve"> beneficiari de pensie anticipată</w:t>
      </w:r>
      <w:r w:rsidR="000D026E" w:rsidRPr="00DD5F1D">
        <w:rPr>
          <w:rFonts w:eastAsia="Times New Roman"/>
          <w:color w:val="auto"/>
          <w:shd w:val="clear" w:color="auto" w:fill="FFFFFF"/>
          <w:lang w:val="ro-MD"/>
        </w:rPr>
        <w:t xml:space="preserve"> pentru limită de vârstă</w:t>
      </w:r>
      <w:r w:rsidRPr="00DD5F1D">
        <w:rPr>
          <w:rFonts w:eastAsia="Times New Roman"/>
          <w:color w:val="auto"/>
          <w:shd w:val="clear" w:color="auto" w:fill="FFFFFF"/>
          <w:lang w:val="ro-MD"/>
        </w:rPr>
        <w:t xml:space="preserve">, </w:t>
      </w:r>
      <w:r w:rsidR="001C38EE" w:rsidRPr="00DD5F1D">
        <w:rPr>
          <w:rFonts w:eastAsia="Times New Roman"/>
          <w:color w:val="auto"/>
          <w:shd w:val="clear" w:color="auto" w:fill="FFFFFF"/>
          <w:lang w:val="ro-MD"/>
        </w:rPr>
        <w:t xml:space="preserve">de </w:t>
      </w:r>
      <w:r w:rsidRPr="00DD5F1D">
        <w:rPr>
          <w:rFonts w:eastAsia="Times New Roman"/>
          <w:color w:val="auto"/>
          <w:shd w:val="clear" w:color="auto" w:fill="FFFFFF"/>
          <w:lang w:val="ro-MD"/>
        </w:rPr>
        <w:t xml:space="preserve">indemnizație pentru incapacitate temporară de muncă, </w:t>
      </w:r>
      <w:r w:rsidR="001C38EE" w:rsidRPr="00DD5F1D">
        <w:rPr>
          <w:rFonts w:eastAsia="Times New Roman"/>
          <w:color w:val="auto"/>
          <w:shd w:val="clear" w:color="auto" w:fill="FFFFFF"/>
          <w:lang w:val="ro-MD"/>
        </w:rPr>
        <w:t xml:space="preserve">de </w:t>
      </w:r>
      <w:r w:rsidRPr="00DD5F1D">
        <w:rPr>
          <w:rFonts w:eastAsia="Times New Roman"/>
          <w:color w:val="auto"/>
          <w:shd w:val="clear" w:color="auto" w:fill="FFFFFF"/>
          <w:lang w:val="ro-MD"/>
        </w:rPr>
        <w:t xml:space="preserve">indemnizație de maternitate, </w:t>
      </w:r>
      <w:r w:rsidR="001C38EE" w:rsidRPr="00DD5F1D">
        <w:rPr>
          <w:rFonts w:eastAsia="Times New Roman"/>
          <w:color w:val="auto"/>
          <w:shd w:val="clear" w:color="auto" w:fill="FFFFFF"/>
          <w:lang w:val="ro-MD"/>
        </w:rPr>
        <w:t xml:space="preserve">de </w:t>
      </w:r>
      <w:r w:rsidRPr="00DD5F1D">
        <w:rPr>
          <w:rFonts w:eastAsia="Times New Roman"/>
          <w:color w:val="auto"/>
          <w:shd w:val="clear" w:color="auto" w:fill="FFFFFF"/>
          <w:lang w:val="ro-MD"/>
        </w:rPr>
        <w:t xml:space="preserve">indemnizație paternală și </w:t>
      </w:r>
      <w:r w:rsidR="001C38EE" w:rsidRPr="00DD5F1D">
        <w:rPr>
          <w:rFonts w:eastAsia="Times New Roman"/>
          <w:color w:val="auto"/>
          <w:shd w:val="clear" w:color="auto" w:fill="FFFFFF"/>
          <w:lang w:val="ro-MD"/>
        </w:rPr>
        <w:t xml:space="preserve">de </w:t>
      </w:r>
      <w:r w:rsidRPr="00DD5F1D">
        <w:rPr>
          <w:rFonts w:eastAsia="Times New Roman"/>
          <w:color w:val="auto"/>
          <w:shd w:val="clear" w:color="auto" w:fill="FFFFFF"/>
          <w:lang w:val="ro-MD"/>
        </w:rPr>
        <w:t>indemnizație lunară pentru îngrijirea copilului, cuantumul prestații</w:t>
      </w:r>
      <w:r w:rsidR="001C38EE" w:rsidRPr="00DD5F1D">
        <w:rPr>
          <w:rFonts w:eastAsia="Times New Roman"/>
          <w:color w:val="auto"/>
          <w:shd w:val="clear" w:color="auto" w:fill="FFFFFF"/>
          <w:lang w:val="ro-MD"/>
        </w:rPr>
        <w:t>lor</w:t>
      </w:r>
      <w:r w:rsidRPr="00DD5F1D">
        <w:rPr>
          <w:rFonts w:eastAsia="Times New Roman"/>
          <w:color w:val="auto"/>
          <w:shd w:val="clear" w:color="auto" w:fill="FFFFFF"/>
          <w:lang w:val="ro-MD"/>
        </w:rPr>
        <w:t xml:space="preserve"> </w:t>
      </w:r>
      <w:r w:rsidR="001C38EE" w:rsidRPr="00DD5F1D">
        <w:rPr>
          <w:rFonts w:eastAsia="Times New Roman"/>
          <w:color w:val="auto"/>
          <w:shd w:val="clear" w:color="auto" w:fill="FFFFFF"/>
          <w:lang w:val="ro-MD"/>
        </w:rPr>
        <w:t>fiind</w:t>
      </w:r>
      <w:r w:rsidRPr="00DD5F1D">
        <w:rPr>
          <w:rFonts w:eastAsia="Times New Roman"/>
          <w:color w:val="auto"/>
          <w:shd w:val="clear" w:color="auto" w:fill="FFFFFF"/>
          <w:lang w:val="ro-MD"/>
        </w:rPr>
        <w:t xml:space="preserve"> stabilit în baza venitului lunar asigurat </w:t>
      </w:r>
      <w:r w:rsidRPr="00DD5F1D">
        <w:rPr>
          <w:rFonts w:eastAsia="Times New Roman"/>
          <w:iCs/>
          <w:color w:val="auto"/>
          <w:shd w:val="clear" w:color="auto" w:fill="FFFFFF"/>
          <w:lang w:val="ro-MD"/>
        </w:rPr>
        <w:t xml:space="preserve">limitat (Anexa nr. </w:t>
      </w:r>
      <w:r w:rsidR="00A97544" w:rsidRPr="00DD5F1D">
        <w:rPr>
          <w:rFonts w:eastAsia="Times New Roman"/>
          <w:iCs/>
          <w:color w:val="auto"/>
          <w:shd w:val="clear" w:color="auto" w:fill="FFFFFF"/>
          <w:lang w:val="ro-MD"/>
        </w:rPr>
        <w:t>8</w:t>
      </w:r>
      <w:r w:rsidRPr="00DD5F1D">
        <w:rPr>
          <w:rFonts w:eastAsia="Times New Roman"/>
          <w:iCs/>
          <w:color w:val="auto"/>
          <w:shd w:val="clear" w:color="auto" w:fill="FFFFFF"/>
          <w:lang w:val="ro-MD"/>
        </w:rPr>
        <w:t xml:space="preserve"> la prezentul Raport de audit).</w:t>
      </w:r>
      <w:r w:rsidRPr="00DD5F1D">
        <w:rPr>
          <w:rFonts w:eastAsia="Times New Roman"/>
          <w:i/>
          <w:iCs/>
          <w:color w:val="auto"/>
          <w:shd w:val="clear" w:color="auto" w:fill="FFFFFF"/>
          <w:lang w:val="ro-MD"/>
        </w:rPr>
        <w:t xml:space="preserve"> </w:t>
      </w:r>
      <w:r w:rsidRPr="00DD5F1D">
        <w:rPr>
          <w:rFonts w:eastAsia="Times New Roman"/>
          <w:color w:val="auto"/>
          <w:shd w:val="clear" w:color="auto" w:fill="FFFFFF"/>
          <w:lang w:val="ro-MD"/>
        </w:rPr>
        <w:t>Astfel, contribuția de asigurări sociale nu reprezintă doar o plată obligatorie, dar și o condiție prioritară pentru acordarea dreptului la prestațiile de asigurări sociale și determinarea mărimii acestora</w:t>
      </w:r>
      <w:r w:rsidR="001C38EE" w:rsidRPr="00DD5F1D">
        <w:rPr>
          <w:rFonts w:eastAsia="Times New Roman"/>
          <w:color w:val="auto"/>
          <w:shd w:val="clear" w:color="auto" w:fill="FFFFFF"/>
          <w:lang w:val="ro-MD"/>
        </w:rPr>
        <w:t>,</w:t>
      </w:r>
      <w:r w:rsidRPr="00DD5F1D">
        <w:rPr>
          <w:rFonts w:eastAsia="Times New Roman"/>
          <w:color w:val="auto"/>
          <w:shd w:val="clear" w:color="auto" w:fill="FFFFFF"/>
          <w:lang w:val="ro-MD"/>
        </w:rPr>
        <w:t xml:space="preserve"> cu impact pe termen lung (de exemplu</w:t>
      </w:r>
      <w:r w:rsidR="001C38EE" w:rsidRPr="00DD5F1D">
        <w:rPr>
          <w:rFonts w:eastAsia="Times New Roman"/>
          <w:color w:val="auto"/>
          <w:shd w:val="clear" w:color="auto" w:fill="FFFFFF"/>
          <w:lang w:val="ro-MD"/>
        </w:rPr>
        <w:t>,</w:t>
      </w:r>
      <w:r w:rsidRPr="00DD5F1D">
        <w:rPr>
          <w:rFonts w:eastAsia="Times New Roman"/>
          <w:color w:val="auto"/>
          <w:shd w:val="clear" w:color="auto" w:fill="FFFFFF"/>
          <w:lang w:val="ro-MD"/>
        </w:rPr>
        <w:t xml:space="preserve"> dreptul la pensie).</w:t>
      </w:r>
    </w:p>
    <w:p w14:paraId="699EF864" w14:textId="743164B5" w:rsidR="0072440B" w:rsidRPr="00DD5F1D" w:rsidRDefault="00AB437E" w:rsidP="00AB437E">
      <w:pPr>
        <w:spacing w:after="0" w:line="276" w:lineRule="auto"/>
        <w:jc w:val="both"/>
        <w:rPr>
          <w:rFonts w:ascii="Times New Roman" w:eastAsia="Times New Roman" w:hAnsi="Times New Roman" w:cs="Times New Roman"/>
          <w:sz w:val="24"/>
          <w:szCs w:val="24"/>
          <w:shd w:val="clear" w:color="auto" w:fill="FFFFFF"/>
          <w:lang w:val="ro-MD"/>
        </w:rPr>
      </w:pPr>
      <w:r w:rsidRPr="00DD5F1D">
        <w:rPr>
          <w:rFonts w:ascii="Times New Roman" w:hAnsi="Times New Roman" w:cs="Times New Roman"/>
          <w:sz w:val="24"/>
          <w:szCs w:val="24"/>
          <w:lang w:val="ro-MD"/>
        </w:rPr>
        <w:t>Concomitent, analizând extrasele individual</w:t>
      </w:r>
      <w:r w:rsidR="000D026E" w:rsidRPr="00DD5F1D">
        <w:rPr>
          <w:rFonts w:ascii="Times New Roman" w:hAnsi="Times New Roman" w:cs="Times New Roman"/>
          <w:sz w:val="24"/>
          <w:szCs w:val="24"/>
          <w:lang w:val="ro-MD"/>
        </w:rPr>
        <w:t>e ale salariaților parcurilor TI</w:t>
      </w:r>
      <w:r w:rsidRPr="00DD5F1D">
        <w:rPr>
          <w:rFonts w:ascii="Times New Roman" w:hAnsi="Times New Roman" w:cs="Times New Roman"/>
          <w:sz w:val="24"/>
          <w:szCs w:val="24"/>
          <w:lang w:val="ro-MD"/>
        </w:rPr>
        <w:t xml:space="preserve">, auditul a constatat că suma contribuțiilor de asigurări sociale </w:t>
      </w:r>
      <w:r w:rsidR="001B61AE" w:rsidRPr="00DD5F1D">
        <w:rPr>
          <w:rFonts w:ascii="Times New Roman" w:hAnsi="Times New Roman" w:cs="Times New Roman"/>
          <w:sz w:val="24"/>
          <w:szCs w:val="24"/>
          <w:lang w:val="ro-MD"/>
        </w:rPr>
        <w:t>declarate</w:t>
      </w:r>
      <w:r w:rsidRPr="00DD5F1D">
        <w:rPr>
          <w:rFonts w:ascii="Times New Roman" w:hAnsi="Times New Roman" w:cs="Times New Roman"/>
          <w:sz w:val="24"/>
          <w:szCs w:val="24"/>
          <w:lang w:val="ro-MD"/>
        </w:rPr>
        <w:t xml:space="preserve"> în dările de seamă </w:t>
      </w:r>
      <w:r w:rsidR="001549A1"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IPC21</w:t>
      </w:r>
      <w:r w:rsidR="001549A1"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reprezintă 29%</w:t>
      </w:r>
      <w:r w:rsidR="003A6E58" w:rsidRPr="00DD5F1D">
        <w:rPr>
          <w:rFonts w:ascii="Times New Roman" w:hAnsi="Times New Roman" w:cs="Times New Roman"/>
          <w:sz w:val="24"/>
          <w:szCs w:val="24"/>
          <w:lang w:val="ro-MD"/>
        </w:rPr>
        <w:t>, sau</w:t>
      </w:r>
      <w:r w:rsidRPr="00DD5F1D">
        <w:rPr>
          <w:rFonts w:ascii="Times New Roman" w:hAnsi="Times New Roman" w:cs="Times New Roman"/>
          <w:sz w:val="24"/>
          <w:szCs w:val="24"/>
          <w:lang w:val="ro-MD"/>
        </w:rPr>
        <w:t xml:space="preserve"> 2 307,24 lei. Totodată, auditu</w:t>
      </w:r>
      <w:r w:rsidR="001549A1" w:rsidRPr="00DD5F1D">
        <w:rPr>
          <w:rFonts w:ascii="Times New Roman" w:hAnsi="Times New Roman" w:cs="Times New Roman"/>
          <w:sz w:val="24"/>
          <w:szCs w:val="24"/>
          <w:lang w:val="ro-MD"/>
        </w:rPr>
        <w:t>l menționează că actele normative nu prevăd</w:t>
      </w:r>
      <w:r w:rsidRPr="00DD5F1D">
        <w:rPr>
          <w:rFonts w:ascii="Times New Roman" w:hAnsi="Times New Roman" w:cs="Times New Roman"/>
          <w:sz w:val="24"/>
          <w:szCs w:val="24"/>
          <w:lang w:val="ro-MD"/>
        </w:rPr>
        <w:t xml:space="preserve"> cota</w:t>
      </w:r>
      <w:r w:rsidR="001B61AE" w:rsidRPr="00DD5F1D">
        <w:rPr>
          <w:rFonts w:ascii="Times New Roman" w:hAnsi="Times New Roman" w:cs="Times New Roman"/>
          <w:sz w:val="24"/>
          <w:szCs w:val="24"/>
          <w:lang w:val="ro-MD"/>
        </w:rPr>
        <w:t xml:space="preserve"> contribuțiilor</w:t>
      </w:r>
      <w:r w:rsidRPr="00DD5F1D">
        <w:rPr>
          <w:rFonts w:ascii="Times New Roman" w:hAnsi="Times New Roman" w:cs="Times New Roman"/>
          <w:sz w:val="24"/>
          <w:szCs w:val="24"/>
          <w:lang w:val="ro-MD"/>
        </w:rPr>
        <w:t xml:space="preserve"> pentru salariații</w:t>
      </w:r>
      <w:r w:rsidR="001549A1" w:rsidRPr="00DD5F1D">
        <w:rPr>
          <w:rFonts w:ascii="Times New Roman" w:hAnsi="Times New Roman" w:cs="Times New Roman"/>
          <w:sz w:val="24"/>
          <w:szCs w:val="24"/>
          <w:lang w:val="ro-MD"/>
        </w:rPr>
        <w:t xml:space="preserve"> parcurilor</w:t>
      </w:r>
      <w:r w:rsidRPr="00DD5F1D">
        <w:rPr>
          <w:rFonts w:ascii="Times New Roman" w:hAnsi="Times New Roman" w:cs="Times New Roman"/>
          <w:sz w:val="24"/>
          <w:szCs w:val="24"/>
          <w:lang w:val="ro-MD"/>
        </w:rPr>
        <w:t xml:space="preserve"> TI, ci doar baza de calcul. </w:t>
      </w:r>
      <w:r w:rsidRPr="00DD5F1D">
        <w:rPr>
          <w:rFonts w:ascii="Times New Roman" w:eastAsia="Times New Roman" w:hAnsi="Times New Roman" w:cs="Times New Roman"/>
          <w:sz w:val="24"/>
          <w:szCs w:val="24"/>
          <w:shd w:val="clear" w:color="auto" w:fill="FFFFFF"/>
          <w:lang w:val="ro-MD"/>
        </w:rPr>
        <w:t xml:space="preserve">Subsecvent, auditul </w:t>
      </w:r>
      <w:r w:rsidR="001C38EE" w:rsidRPr="00DD5F1D">
        <w:rPr>
          <w:rFonts w:ascii="Times New Roman" w:eastAsia="Times New Roman" w:hAnsi="Times New Roman" w:cs="Times New Roman"/>
          <w:sz w:val="24"/>
          <w:szCs w:val="24"/>
          <w:shd w:val="clear" w:color="auto" w:fill="FFFFFF"/>
          <w:lang w:val="ro-MD"/>
        </w:rPr>
        <w:t>relevă</w:t>
      </w:r>
      <w:r w:rsidRPr="00DD5F1D">
        <w:rPr>
          <w:rFonts w:ascii="Times New Roman" w:eastAsia="Times New Roman" w:hAnsi="Times New Roman" w:cs="Times New Roman"/>
          <w:sz w:val="24"/>
          <w:szCs w:val="24"/>
          <w:shd w:val="clear" w:color="auto" w:fill="FFFFFF"/>
          <w:lang w:val="ro-MD"/>
        </w:rPr>
        <w:t xml:space="preserve"> că </w:t>
      </w:r>
      <w:r w:rsidRPr="00193E3C">
        <w:rPr>
          <w:rFonts w:ascii="Times New Roman" w:eastAsia="Times New Roman" w:hAnsi="Times New Roman" w:cs="Times New Roman"/>
          <w:sz w:val="24"/>
          <w:szCs w:val="24"/>
          <w:shd w:val="clear" w:color="auto" w:fill="FFFFFF"/>
          <w:lang w:val="ro-MD"/>
        </w:rPr>
        <w:t xml:space="preserve">contribuția </w:t>
      </w:r>
      <w:r w:rsidR="00302D83" w:rsidRPr="00DE6156">
        <w:rPr>
          <w:rFonts w:ascii="Times New Roman" w:eastAsia="Times New Roman" w:hAnsi="Times New Roman" w:cs="Times New Roman"/>
          <w:sz w:val="24"/>
          <w:szCs w:val="24"/>
          <w:shd w:val="clear" w:color="auto" w:fill="FFFFFF"/>
          <w:lang w:val="ro-MD"/>
        </w:rPr>
        <w:t>declar</w:t>
      </w:r>
      <w:r w:rsidR="00302D83" w:rsidRPr="00193E3C">
        <w:rPr>
          <w:rFonts w:ascii="Times New Roman" w:eastAsia="Times New Roman" w:hAnsi="Times New Roman" w:cs="Times New Roman"/>
          <w:sz w:val="24"/>
          <w:szCs w:val="24"/>
          <w:shd w:val="clear" w:color="auto" w:fill="FFFFFF"/>
          <w:lang w:val="ro-MD"/>
        </w:rPr>
        <w:t xml:space="preserve">ată </w:t>
      </w:r>
      <w:r w:rsidRPr="00193E3C">
        <w:rPr>
          <w:rFonts w:ascii="Times New Roman" w:eastAsia="Times New Roman" w:hAnsi="Times New Roman" w:cs="Times New Roman"/>
          <w:sz w:val="24"/>
          <w:szCs w:val="24"/>
          <w:shd w:val="clear" w:color="auto" w:fill="FFFFFF"/>
          <w:lang w:val="ro-MD"/>
        </w:rPr>
        <w:t xml:space="preserve">în dările de seamă </w:t>
      </w:r>
      <w:r w:rsidR="001549A1" w:rsidRPr="005152D5">
        <w:rPr>
          <w:rFonts w:ascii="Times New Roman" w:eastAsia="Times New Roman" w:hAnsi="Times New Roman" w:cs="Times New Roman"/>
          <w:sz w:val="24"/>
          <w:szCs w:val="24"/>
          <w:shd w:val="clear" w:color="auto" w:fill="FFFFFF"/>
          <w:lang w:val="ro-MD"/>
        </w:rPr>
        <w:t>(</w:t>
      </w:r>
      <w:r w:rsidRPr="00A93D77">
        <w:rPr>
          <w:rFonts w:ascii="Times New Roman" w:eastAsia="Times New Roman" w:hAnsi="Times New Roman" w:cs="Times New Roman"/>
          <w:sz w:val="24"/>
          <w:szCs w:val="24"/>
          <w:shd w:val="clear" w:color="auto" w:fill="FFFFFF"/>
          <w:lang w:val="ro-MD"/>
        </w:rPr>
        <w:t>IU17</w:t>
      </w:r>
      <w:r w:rsidR="001549A1" w:rsidRPr="00D626EF">
        <w:rPr>
          <w:rFonts w:ascii="Times New Roman" w:eastAsia="Times New Roman" w:hAnsi="Times New Roman" w:cs="Times New Roman"/>
          <w:sz w:val="24"/>
          <w:szCs w:val="24"/>
          <w:shd w:val="clear" w:color="auto" w:fill="FFFFFF"/>
          <w:lang w:val="ro-MD"/>
        </w:rPr>
        <w:t>)</w:t>
      </w:r>
      <w:r w:rsidRPr="00D626EF">
        <w:rPr>
          <w:rFonts w:ascii="Times New Roman" w:eastAsia="Times New Roman" w:hAnsi="Times New Roman" w:cs="Times New Roman"/>
          <w:sz w:val="24"/>
          <w:szCs w:val="24"/>
          <w:shd w:val="clear" w:color="auto" w:fill="FFFFFF"/>
          <w:lang w:val="ro-MD"/>
        </w:rPr>
        <w:t xml:space="preserve"> și datorată BASS, în cazul </w:t>
      </w:r>
      <w:r w:rsidR="001C38EE" w:rsidRPr="00D626EF">
        <w:rPr>
          <w:rFonts w:ascii="Times New Roman" w:eastAsia="Times New Roman" w:hAnsi="Times New Roman" w:cs="Times New Roman"/>
          <w:sz w:val="24"/>
          <w:szCs w:val="24"/>
          <w:shd w:val="clear" w:color="auto" w:fill="FFFFFF"/>
          <w:lang w:val="ro-MD"/>
        </w:rPr>
        <w:t>în care</w:t>
      </w:r>
      <w:r w:rsidRPr="00D626EF">
        <w:rPr>
          <w:rFonts w:ascii="Times New Roman" w:eastAsia="Times New Roman" w:hAnsi="Times New Roman" w:cs="Times New Roman"/>
          <w:sz w:val="24"/>
          <w:szCs w:val="24"/>
          <w:shd w:val="clear" w:color="auto" w:fill="FFFFFF"/>
          <w:lang w:val="ro-MD"/>
        </w:rPr>
        <w:t xml:space="preserve"> rezidentul Parcului se conformează opțiunii </w:t>
      </w:r>
      <w:r w:rsidR="001C38EE" w:rsidRPr="00D626EF">
        <w:rPr>
          <w:rFonts w:ascii="Times New Roman" w:eastAsia="Times New Roman" w:hAnsi="Times New Roman" w:cs="Times New Roman"/>
          <w:sz w:val="24"/>
          <w:szCs w:val="24"/>
          <w:shd w:val="clear" w:color="auto" w:fill="FFFFFF"/>
          <w:lang w:val="ro-MD"/>
        </w:rPr>
        <w:t xml:space="preserve">de </w:t>
      </w:r>
      <w:r w:rsidRPr="00D626EF">
        <w:rPr>
          <w:rFonts w:ascii="Times New Roman" w:eastAsia="Times New Roman" w:hAnsi="Times New Roman" w:cs="Times New Roman"/>
          <w:sz w:val="24"/>
          <w:szCs w:val="24"/>
          <w:shd w:val="clear" w:color="auto" w:fill="FFFFFF"/>
          <w:lang w:val="ro-MD"/>
        </w:rPr>
        <w:t>calcul</w:t>
      </w:r>
      <w:r w:rsidR="001C38EE" w:rsidRPr="00D626EF">
        <w:rPr>
          <w:rFonts w:ascii="Times New Roman" w:eastAsia="Times New Roman" w:hAnsi="Times New Roman" w:cs="Times New Roman"/>
          <w:sz w:val="24"/>
          <w:szCs w:val="24"/>
          <w:shd w:val="clear" w:color="auto" w:fill="FFFFFF"/>
          <w:lang w:val="ro-MD"/>
        </w:rPr>
        <w:t>are a</w:t>
      </w:r>
      <w:r w:rsidRPr="00D626EF">
        <w:rPr>
          <w:rFonts w:ascii="Times New Roman" w:eastAsia="Times New Roman" w:hAnsi="Times New Roman" w:cs="Times New Roman"/>
          <w:sz w:val="24"/>
          <w:szCs w:val="24"/>
          <w:shd w:val="clear" w:color="auto" w:fill="FFFFFF"/>
          <w:lang w:val="ro-MD"/>
        </w:rPr>
        <w:t xml:space="preserve"> contribuției lunare minime datorate în mărime de 30% din cuantumul salariului mediu lunar pe economie, este de 1 919,97 lei. Astfel, contribuțiile </w:t>
      </w:r>
      <w:r w:rsidR="004769E1" w:rsidRPr="00D626EF">
        <w:rPr>
          <w:rFonts w:ascii="Times New Roman" w:eastAsia="Times New Roman" w:hAnsi="Times New Roman" w:cs="Times New Roman"/>
          <w:sz w:val="24"/>
          <w:szCs w:val="24"/>
          <w:shd w:val="clear" w:color="auto" w:fill="FFFFFF"/>
          <w:lang w:val="ro-MD"/>
        </w:rPr>
        <w:t>declarat</w:t>
      </w:r>
      <w:r w:rsidRPr="00D626EF">
        <w:rPr>
          <w:rFonts w:ascii="Times New Roman" w:eastAsia="Times New Roman" w:hAnsi="Times New Roman" w:cs="Times New Roman"/>
          <w:sz w:val="24"/>
          <w:szCs w:val="24"/>
          <w:shd w:val="clear" w:color="auto" w:fill="FFFFFF"/>
          <w:lang w:val="ro-MD"/>
        </w:rPr>
        <w:t>e sunt mai mici cu 387,27 lei per salariat</w:t>
      </w:r>
      <w:r w:rsidR="003A6E58" w:rsidRPr="00D626EF">
        <w:rPr>
          <w:rFonts w:ascii="Times New Roman" w:eastAsia="Times New Roman" w:hAnsi="Times New Roman" w:cs="Times New Roman"/>
          <w:sz w:val="24"/>
          <w:szCs w:val="24"/>
          <w:shd w:val="clear" w:color="auto" w:fill="FFFFFF"/>
          <w:lang w:val="ro-MD"/>
        </w:rPr>
        <w:t>,</w:t>
      </w:r>
      <w:r w:rsidRPr="00D626EF">
        <w:rPr>
          <w:rFonts w:ascii="Times New Roman" w:eastAsia="Times New Roman" w:hAnsi="Times New Roman" w:cs="Times New Roman"/>
          <w:sz w:val="24"/>
          <w:szCs w:val="24"/>
          <w:shd w:val="clear" w:color="auto" w:fill="FFFFFF"/>
          <w:lang w:val="ro-MD"/>
        </w:rPr>
        <w:t xml:space="preserve"> față de cele achitate și nu acoperă venitul asigurat, prin urmare politicile preferențiale privind contribuțiile în domeniul TI influenț</w:t>
      </w:r>
      <w:r w:rsidR="000C0E15" w:rsidRPr="00D626EF">
        <w:rPr>
          <w:rFonts w:ascii="Times New Roman" w:eastAsia="Times New Roman" w:hAnsi="Times New Roman" w:cs="Times New Roman"/>
          <w:sz w:val="24"/>
          <w:szCs w:val="24"/>
          <w:shd w:val="clear" w:color="auto" w:fill="FFFFFF"/>
          <w:lang w:val="ro-MD"/>
        </w:rPr>
        <w:t>ează/afectează veniturile BASS.</w:t>
      </w:r>
    </w:p>
    <w:p w14:paraId="1C2E0351" w14:textId="77777777" w:rsidR="0072440B" w:rsidRPr="00DD5F1D" w:rsidRDefault="0072440B" w:rsidP="00AB437E">
      <w:pPr>
        <w:spacing w:after="0" w:line="276" w:lineRule="auto"/>
        <w:jc w:val="both"/>
        <w:rPr>
          <w:rFonts w:ascii="Times New Roman" w:eastAsia="Times New Roman" w:hAnsi="Times New Roman" w:cs="Times New Roman"/>
          <w:sz w:val="24"/>
          <w:szCs w:val="24"/>
          <w:shd w:val="clear" w:color="auto" w:fill="FFFFFF"/>
          <w:lang w:val="ro-MD"/>
        </w:rPr>
      </w:pPr>
    </w:p>
    <w:p w14:paraId="52505B45" w14:textId="77777777" w:rsidR="00AB437E" w:rsidRPr="00DD5F1D" w:rsidRDefault="00AB437E" w:rsidP="00AB437E">
      <w:pPr>
        <w:pStyle w:val="aa"/>
        <w:shd w:val="clear" w:color="auto" w:fill="FFFFFF"/>
        <w:spacing w:after="0" w:line="276" w:lineRule="auto"/>
        <w:ind w:left="0"/>
        <w:jc w:val="right"/>
        <w:rPr>
          <w:rFonts w:ascii="Times New Roman" w:eastAsia="Times New Roman" w:hAnsi="Times New Roman" w:cs="Times New Roman"/>
          <w:b/>
          <w:sz w:val="24"/>
          <w:szCs w:val="24"/>
          <w:shd w:val="clear" w:color="auto" w:fill="FFFFFF"/>
          <w:lang w:val="ro-MD"/>
        </w:rPr>
      </w:pPr>
      <w:r w:rsidRPr="00DD5F1D">
        <w:rPr>
          <w:rFonts w:ascii="Times New Roman" w:eastAsia="Times New Roman" w:hAnsi="Times New Roman" w:cs="Times New Roman"/>
          <w:b/>
          <w:sz w:val="24"/>
          <w:szCs w:val="24"/>
          <w:shd w:val="clear" w:color="auto" w:fill="FFFFFF"/>
          <w:lang w:val="ro-MD"/>
        </w:rPr>
        <w:t>Tabel</w:t>
      </w:r>
      <w:r w:rsidR="000D026E" w:rsidRPr="00DD5F1D">
        <w:rPr>
          <w:rFonts w:ascii="Times New Roman" w:eastAsia="Times New Roman" w:hAnsi="Times New Roman" w:cs="Times New Roman"/>
          <w:b/>
          <w:sz w:val="24"/>
          <w:szCs w:val="24"/>
          <w:shd w:val="clear" w:color="auto" w:fill="FFFFFF"/>
          <w:lang w:val="ro-MD"/>
        </w:rPr>
        <w:t>ul</w:t>
      </w:r>
      <w:r w:rsidRPr="00DD5F1D">
        <w:rPr>
          <w:rFonts w:ascii="Times New Roman" w:eastAsia="Times New Roman" w:hAnsi="Times New Roman" w:cs="Times New Roman"/>
          <w:b/>
          <w:sz w:val="24"/>
          <w:szCs w:val="24"/>
          <w:shd w:val="clear" w:color="auto" w:fill="FFFFFF"/>
          <w:lang w:val="ro-MD"/>
        </w:rPr>
        <w:t xml:space="preserve"> </w:t>
      </w:r>
      <w:r w:rsidR="00BA23EA" w:rsidRPr="00DD5F1D">
        <w:rPr>
          <w:rFonts w:ascii="Times New Roman" w:eastAsia="Times New Roman" w:hAnsi="Times New Roman" w:cs="Times New Roman"/>
          <w:b/>
          <w:sz w:val="24"/>
          <w:szCs w:val="24"/>
          <w:shd w:val="clear" w:color="auto" w:fill="FFFFFF"/>
          <w:lang w:val="ro-MD"/>
        </w:rPr>
        <w:t>nr. 22</w:t>
      </w:r>
    </w:p>
    <w:p w14:paraId="0471A75E" w14:textId="77777777" w:rsidR="00F213F5" w:rsidRPr="00DD5F1D" w:rsidRDefault="00AB437E" w:rsidP="00AB437E">
      <w:pPr>
        <w:pStyle w:val="aa"/>
        <w:shd w:val="clear" w:color="auto" w:fill="FFFFFF"/>
        <w:spacing w:after="0" w:line="276" w:lineRule="auto"/>
        <w:ind w:left="0"/>
        <w:jc w:val="center"/>
        <w:rPr>
          <w:rFonts w:ascii="Times New Roman" w:eastAsia="Times New Roman" w:hAnsi="Times New Roman" w:cs="Times New Roman"/>
          <w:b/>
          <w:sz w:val="24"/>
          <w:szCs w:val="24"/>
          <w:shd w:val="clear" w:color="auto" w:fill="FFFFFF"/>
          <w:lang w:val="ro-MD"/>
        </w:rPr>
      </w:pPr>
      <w:r w:rsidRPr="00DD5F1D">
        <w:rPr>
          <w:rFonts w:ascii="Times New Roman" w:eastAsia="Times New Roman" w:hAnsi="Times New Roman" w:cs="Times New Roman"/>
          <w:b/>
          <w:sz w:val="24"/>
          <w:szCs w:val="24"/>
          <w:shd w:val="clear" w:color="auto" w:fill="FFFFFF"/>
          <w:lang w:val="ro-MD"/>
        </w:rPr>
        <w:t>Analiza de audit privind acoperirea contribuțiilor de asigurări socia</w:t>
      </w:r>
      <w:r w:rsidR="000D026E" w:rsidRPr="00DD5F1D">
        <w:rPr>
          <w:rFonts w:ascii="Times New Roman" w:eastAsia="Times New Roman" w:hAnsi="Times New Roman" w:cs="Times New Roman"/>
          <w:b/>
          <w:sz w:val="24"/>
          <w:szCs w:val="24"/>
          <w:shd w:val="clear" w:color="auto" w:fill="FFFFFF"/>
          <w:lang w:val="ro-MD"/>
        </w:rPr>
        <w:t xml:space="preserve">le </w:t>
      </w:r>
    </w:p>
    <w:p w14:paraId="6FCA4F7D" w14:textId="6EE5E43B" w:rsidR="00AB437E" w:rsidRPr="00DD5F1D" w:rsidRDefault="000D026E" w:rsidP="00AB437E">
      <w:pPr>
        <w:pStyle w:val="aa"/>
        <w:shd w:val="clear" w:color="auto" w:fill="FFFFFF"/>
        <w:spacing w:after="0" w:line="276" w:lineRule="auto"/>
        <w:ind w:left="0"/>
        <w:jc w:val="center"/>
        <w:rPr>
          <w:rFonts w:ascii="Times New Roman" w:eastAsia="Times New Roman" w:hAnsi="Times New Roman" w:cs="Times New Roman"/>
          <w:b/>
          <w:sz w:val="24"/>
          <w:szCs w:val="24"/>
          <w:shd w:val="clear" w:color="auto" w:fill="FFFFFF"/>
          <w:lang w:val="ro-MD"/>
        </w:rPr>
      </w:pPr>
      <w:r w:rsidRPr="00DD5F1D">
        <w:rPr>
          <w:rFonts w:ascii="Times New Roman" w:eastAsia="Times New Roman" w:hAnsi="Times New Roman" w:cs="Times New Roman"/>
          <w:b/>
          <w:sz w:val="24"/>
          <w:szCs w:val="24"/>
          <w:shd w:val="clear" w:color="auto" w:fill="FFFFFF"/>
          <w:lang w:val="ro-MD"/>
        </w:rPr>
        <w:t>virate de</w:t>
      </w:r>
      <w:r w:rsidR="001549A1" w:rsidRPr="00DD5F1D">
        <w:rPr>
          <w:rFonts w:ascii="Times New Roman" w:eastAsia="Times New Roman" w:hAnsi="Times New Roman" w:cs="Times New Roman"/>
          <w:b/>
          <w:sz w:val="24"/>
          <w:szCs w:val="24"/>
          <w:shd w:val="clear" w:color="auto" w:fill="FFFFFF"/>
          <w:lang w:val="ro-MD"/>
        </w:rPr>
        <w:t xml:space="preserve"> rezidenții parcurilor</w:t>
      </w:r>
      <w:r w:rsidRPr="00DD5F1D">
        <w:rPr>
          <w:rFonts w:ascii="Times New Roman" w:eastAsia="Times New Roman" w:hAnsi="Times New Roman" w:cs="Times New Roman"/>
          <w:b/>
          <w:sz w:val="24"/>
          <w:szCs w:val="24"/>
          <w:shd w:val="clear" w:color="auto" w:fill="FFFFFF"/>
          <w:lang w:val="ro-MD"/>
        </w:rPr>
        <w:t xml:space="preserve"> TI</w:t>
      </w:r>
    </w:p>
    <w:tbl>
      <w:tblPr>
        <w:tblStyle w:val="af1"/>
        <w:tblW w:w="5018" w:type="pct"/>
        <w:tblLook w:val="04A0" w:firstRow="1" w:lastRow="0" w:firstColumn="1" w:lastColumn="0" w:noHBand="0" w:noVBand="1"/>
      </w:tblPr>
      <w:tblGrid>
        <w:gridCol w:w="5668"/>
        <w:gridCol w:w="2692"/>
        <w:gridCol w:w="1700"/>
      </w:tblGrid>
      <w:tr w:rsidR="00AB437E" w:rsidRPr="00DD5F1D" w14:paraId="3464A3A3" w14:textId="77777777" w:rsidTr="00070E13">
        <w:trPr>
          <w:trHeight w:val="567"/>
        </w:trPr>
        <w:tc>
          <w:tcPr>
            <w:tcW w:w="2817" w:type="pct"/>
            <w:vAlign w:val="center"/>
          </w:tcPr>
          <w:p w14:paraId="3F585E0E" w14:textId="77777777" w:rsidR="00AB437E" w:rsidRPr="00DD5F1D" w:rsidRDefault="00AB437E" w:rsidP="003A44AD">
            <w:pPr>
              <w:pStyle w:val="aa"/>
              <w:ind w:left="0"/>
              <w:contextualSpacing w:val="0"/>
              <w:jc w:val="center"/>
              <w:rPr>
                <w:rFonts w:ascii="Times New Roman" w:eastAsia="Times New Roman" w:hAnsi="Times New Roman" w:cs="Times New Roman"/>
                <w:b/>
                <w:sz w:val="20"/>
                <w:szCs w:val="24"/>
                <w:shd w:val="clear" w:color="auto" w:fill="FFFFFF"/>
                <w:lang w:val="ro-MD"/>
              </w:rPr>
            </w:pPr>
            <w:r w:rsidRPr="00DD5F1D">
              <w:rPr>
                <w:rFonts w:ascii="Times New Roman" w:eastAsia="Times New Roman" w:hAnsi="Times New Roman" w:cs="Times New Roman"/>
                <w:b/>
                <w:sz w:val="20"/>
                <w:szCs w:val="24"/>
                <w:shd w:val="clear" w:color="auto" w:fill="FFFFFF"/>
                <w:lang w:val="ro-MD"/>
              </w:rPr>
              <w:t>Indicator</w:t>
            </w:r>
          </w:p>
        </w:tc>
        <w:tc>
          <w:tcPr>
            <w:tcW w:w="1338" w:type="pct"/>
            <w:vAlign w:val="center"/>
          </w:tcPr>
          <w:p w14:paraId="3C1D0B70" w14:textId="77777777" w:rsidR="00AB437E" w:rsidRPr="00DD5F1D" w:rsidRDefault="00AB437E" w:rsidP="003A44AD">
            <w:pPr>
              <w:pStyle w:val="aa"/>
              <w:ind w:left="0"/>
              <w:contextualSpacing w:val="0"/>
              <w:jc w:val="center"/>
              <w:rPr>
                <w:rFonts w:ascii="Times New Roman" w:eastAsia="Times New Roman" w:hAnsi="Times New Roman" w:cs="Times New Roman"/>
                <w:b/>
                <w:sz w:val="20"/>
                <w:szCs w:val="24"/>
                <w:shd w:val="clear" w:color="auto" w:fill="FFFFFF"/>
                <w:lang w:val="ro-MD"/>
              </w:rPr>
            </w:pPr>
            <w:r w:rsidRPr="00DD5F1D">
              <w:rPr>
                <w:rFonts w:ascii="Times New Roman" w:eastAsia="Times New Roman" w:hAnsi="Times New Roman" w:cs="Times New Roman"/>
                <w:b/>
                <w:sz w:val="20"/>
                <w:szCs w:val="24"/>
                <w:shd w:val="clear" w:color="auto" w:fill="FFFFFF"/>
                <w:lang w:val="ro-MD"/>
              </w:rPr>
              <w:t>Formula de calcul</w:t>
            </w:r>
          </w:p>
        </w:tc>
        <w:tc>
          <w:tcPr>
            <w:tcW w:w="845" w:type="pct"/>
            <w:vAlign w:val="center"/>
          </w:tcPr>
          <w:p w14:paraId="414CA50C" w14:textId="77777777" w:rsidR="00AB437E" w:rsidRPr="00DD5F1D" w:rsidRDefault="00AB437E" w:rsidP="003A44AD">
            <w:pPr>
              <w:pStyle w:val="aa"/>
              <w:ind w:left="0"/>
              <w:contextualSpacing w:val="0"/>
              <w:jc w:val="center"/>
              <w:rPr>
                <w:rFonts w:ascii="Times New Roman" w:eastAsia="Times New Roman" w:hAnsi="Times New Roman" w:cs="Times New Roman"/>
                <w:b/>
                <w:sz w:val="20"/>
                <w:szCs w:val="24"/>
                <w:shd w:val="clear" w:color="auto" w:fill="FFFFFF"/>
                <w:lang w:val="ro-MD"/>
              </w:rPr>
            </w:pPr>
            <w:r w:rsidRPr="00DD5F1D">
              <w:rPr>
                <w:rFonts w:ascii="Times New Roman" w:eastAsia="Times New Roman" w:hAnsi="Times New Roman" w:cs="Times New Roman"/>
                <w:b/>
                <w:sz w:val="20"/>
                <w:szCs w:val="24"/>
                <w:shd w:val="clear" w:color="auto" w:fill="FFFFFF"/>
                <w:lang w:val="ro-MD"/>
              </w:rPr>
              <w:t>Suma</w:t>
            </w:r>
          </w:p>
        </w:tc>
      </w:tr>
      <w:tr w:rsidR="000D40B3" w:rsidRPr="00DD5F1D" w14:paraId="7374EB96" w14:textId="77777777" w:rsidTr="00F213F5">
        <w:trPr>
          <w:trHeight w:val="20"/>
        </w:trPr>
        <w:tc>
          <w:tcPr>
            <w:tcW w:w="2817" w:type="pct"/>
          </w:tcPr>
          <w:p w14:paraId="13E67BBC" w14:textId="77777777" w:rsidR="00AB437E" w:rsidRPr="00DD5F1D" w:rsidRDefault="00AB437E" w:rsidP="003A44AD">
            <w:pPr>
              <w:pStyle w:val="aa"/>
              <w:ind w:left="0"/>
              <w:contextualSpacing w:val="0"/>
              <w:jc w:val="both"/>
              <w:rPr>
                <w:rFonts w:ascii="Times New Roman" w:eastAsia="Times New Roman" w:hAnsi="Times New Roman" w:cs="Times New Roman"/>
                <w:b/>
                <w:sz w:val="20"/>
                <w:szCs w:val="24"/>
                <w:shd w:val="clear" w:color="auto" w:fill="FFFFFF"/>
                <w:lang w:val="ro-MD"/>
              </w:rPr>
            </w:pPr>
            <w:r w:rsidRPr="00DD5F1D">
              <w:rPr>
                <w:rFonts w:ascii="Times New Roman" w:eastAsia="Times New Roman" w:hAnsi="Times New Roman" w:cs="Times New Roman"/>
                <w:b/>
                <w:sz w:val="20"/>
                <w:szCs w:val="24"/>
                <w:shd w:val="clear" w:color="auto" w:fill="FFFFFF"/>
                <w:lang w:val="ro-MD"/>
              </w:rPr>
              <w:t>Salariul mediu pe economie în anul 2023, lei</w:t>
            </w:r>
          </w:p>
        </w:tc>
        <w:tc>
          <w:tcPr>
            <w:tcW w:w="1338" w:type="pct"/>
            <w:vAlign w:val="center"/>
          </w:tcPr>
          <w:p w14:paraId="0C2594C5" w14:textId="77777777" w:rsidR="00AB437E" w:rsidRPr="00DD5F1D" w:rsidRDefault="00AB437E" w:rsidP="003A44AD">
            <w:pPr>
              <w:pStyle w:val="aa"/>
              <w:ind w:left="0"/>
              <w:contextualSpacing w:val="0"/>
              <w:jc w:val="right"/>
              <w:rPr>
                <w:rFonts w:ascii="Times New Roman" w:eastAsia="Times New Roman" w:hAnsi="Times New Roman" w:cs="Times New Roman"/>
                <w:sz w:val="20"/>
                <w:szCs w:val="24"/>
                <w:shd w:val="clear" w:color="auto" w:fill="FFFFFF"/>
                <w:lang w:val="ro-MD"/>
              </w:rPr>
            </w:pPr>
            <w:r w:rsidRPr="00DD5F1D">
              <w:rPr>
                <w:rFonts w:ascii="Times New Roman" w:eastAsia="Times New Roman" w:hAnsi="Times New Roman" w:cs="Times New Roman"/>
                <w:sz w:val="20"/>
                <w:szCs w:val="24"/>
                <w:shd w:val="clear" w:color="auto" w:fill="FFFFFF"/>
                <w:lang w:val="ro-MD"/>
              </w:rPr>
              <w:t>x</w:t>
            </w:r>
          </w:p>
        </w:tc>
        <w:tc>
          <w:tcPr>
            <w:tcW w:w="845" w:type="pct"/>
            <w:vAlign w:val="center"/>
          </w:tcPr>
          <w:p w14:paraId="18C90942" w14:textId="77777777" w:rsidR="00AB437E" w:rsidRPr="00DD5F1D" w:rsidRDefault="00AB437E" w:rsidP="003A44AD">
            <w:pPr>
              <w:pStyle w:val="aa"/>
              <w:ind w:left="0"/>
              <w:contextualSpacing w:val="0"/>
              <w:jc w:val="right"/>
              <w:rPr>
                <w:rFonts w:ascii="Times New Roman" w:eastAsia="Times New Roman" w:hAnsi="Times New Roman" w:cs="Times New Roman"/>
                <w:sz w:val="20"/>
                <w:szCs w:val="24"/>
                <w:shd w:val="clear" w:color="auto" w:fill="FFFFFF"/>
                <w:lang w:val="ro-MD"/>
              </w:rPr>
            </w:pPr>
            <w:r w:rsidRPr="00DD5F1D">
              <w:rPr>
                <w:rFonts w:ascii="Times New Roman" w:eastAsia="Times New Roman" w:hAnsi="Times New Roman" w:cs="Times New Roman"/>
                <w:sz w:val="20"/>
                <w:szCs w:val="24"/>
                <w:shd w:val="clear" w:color="auto" w:fill="FFFFFF"/>
                <w:lang w:val="ro-MD"/>
              </w:rPr>
              <w:t>11 700</w:t>
            </w:r>
          </w:p>
        </w:tc>
      </w:tr>
      <w:tr w:rsidR="000D40B3" w:rsidRPr="00DD5F1D" w14:paraId="4AD8E5F0" w14:textId="77777777" w:rsidTr="00F213F5">
        <w:trPr>
          <w:trHeight w:val="20"/>
        </w:trPr>
        <w:tc>
          <w:tcPr>
            <w:tcW w:w="2817" w:type="pct"/>
          </w:tcPr>
          <w:p w14:paraId="677EC5B0" w14:textId="77777777" w:rsidR="00AB437E" w:rsidRPr="00DD5F1D" w:rsidRDefault="00AB437E" w:rsidP="003A44AD">
            <w:pPr>
              <w:pStyle w:val="aa"/>
              <w:ind w:left="0"/>
              <w:contextualSpacing w:val="0"/>
              <w:jc w:val="both"/>
              <w:rPr>
                <w:rFonts w:ascii="Times New Roman" w:eastAsia="Times New Roman" w:hAnsi="Times New Roman" w:cs="Times New Roman"/>
                <w:b/>
                <w:sz w:val="20"/>
                <w:szCs w:val="24"/>
                <w:shd w:val="clear" w:color="auto" w:fill="FFFFFF"/>
                <w:lang w:val="ro-MD"/>
              </w:rPr>
            </w:pPr>
            <w:r w:rsidRPr="00DD5F1D">
              <w:rPr>
                <w:rFonts w:ascii="Times New Roman" w:eastAsia="Times New Roman" w:hAnsi="Times New Roman" w:cs="Times New Roman"/>
                <w:b/>
                <w:sz w:val="20"/>
                <w:szCs w:val="24"/>
                <w:shd w:val="clear" w:color="auto" w:fill="FFFFFF"/>
                <w:lang w:val="ro-MD"/>
              </w:rPr>
              <w:t>Venitul lunar asigurat, lei</w:t>
            </w:r>
          </w:p>
        </w:tc>
        <w:tc>
          <w:tcPr>
            <w:tcW w:w="1338" w:type="pct"/>
            <w:vAlign w:val="center"/>
          </w:tcPr>
          <w:p w14:paraId="0572D5DF" w14:textId="77777777" w:rsidR="00AB437E" w:rsidRPr="00DD5F1D" w:rsidRDefault="00AB437E" w:rsidP="003A44AD">
            <w:pPr>
              <w:pStyle w:val="aa"/>
              <w:ind w:left="0"/>
              <w:contextualSpacing w:val="0"/>
              <w:jc w:val="right"/>
              <w:rPr>
                <w:rFonts w:ascii="Times New Roman" w:eastAsia="Times New Roman" w:hAnsi="Times New Roman" w:cs="Times New Roman"/>
                <w:sz w:val="20"/>
                <w:szCs w:val="24"/>
                <w:shd w:val="clear" w:color="auto" w:fill="FFFFFF"/>
                <w:lang w:val="ro-MD"/>
              </w:rPr>
            </w:pPr>
            <w:r w:rsidRPr="00DD5F1D">
              <w:rPr>
                <w:rFonts w:ascii="Times New Roman" w:eastAsia="Times New Roman" w:hAnsi="Times New Roman" w:cs="Times New Roman"/>
                <w:sz w:val="20"/>
                <w:szCs w:val="24"/>
                <w:shd w:val="clear" w:color="auto" w:fill="FFFFFF"/>
                <w:lang w:val="ro-MD"/>
              </w:rPr>
              <w:t>11 700*68%</w:t>
            </w:r>
          </w:p>
        </w:tc>
        <w:tc>
          <w:tcPr>
            <w:tcW w:w="845" w:type="pct"/>
            <w:vAlign w:val="center"/>
          </w:tcPr>
          <w:p w14:paraId="218372D4" w14:textId="77777777" w:rsidR="00AB437E" w:rsidRPr="00DD5F1D" w:rsidRDefault="00AB437E" w:rsidP="003A44AD">
            <w:pPr>
              <w:pStyle w:val="aa"/>
              <w:ind w:left="0"/>
              <w:contextualSpacing w:val="0"/>
              <w:jc w:val="right"/>
              <w:rPr>
                <w:rFonts w:ascii="Times New Roman" w:eastAsia="Times New Roman" w:hAnsi="Times New Roman" w:cs="Times New Roman"/>
                <w:sz w:val="20"/>
                <w:szCs w:val="24"/>
                <w:shd w:val="clear" w:color="auto" w:fill="FFFFFF"/>
                <w:lang w:val="ro-MD"/>
              </w:rPr>
            </w:pPr>
            <w:r w:rsidRPr="00DD5F1D">
              <w:rPr>
                <w:rFonts w:ascii="Times New Roman" w:eastAsia="Times New Roman" w:hAnsi="Times New Roman" w:cs="Times New Roman"/>
                <w:sz w:val="20"/>
                <w:szCs w:val="24"/>
                <w:shd w:val="clear" w:color="auto" w:fill="FFFFFF"/>
                <w:lang w:val="ro-MD"/>
              </w:rPr>
              <w:t>7 956</w:t>
            </w:r>
          </w:p>
        </w:tc>
      </w:tr>
      <w:tr w:rsidR="000D40B3" w:rsidRPr="00DD5F1D" w14:paraId="0E2F7C7D" w14:textId="77777777" w:rsidTr="00F213F5">
        <w:trPr>
          <w:trHeight w:val="20"/>
        </w:trPr>
        <w:tc>
          <w:tcPr>
            <w:tcW w:w="2817" w:type="pct"/>
          </w:tcPr>
          <w:p w14:paraId="7DFA077E" w14:textId="77777777" w:rsidR="00AB437E" w:rsidRPr="00DD5F1D" w:rsidRDefault="00AB437E" w:rsidP="003A44AD">
            <w:pPr>
              <w:pStyle w:val="aa"/>
              <w:ind w:left="0"/>
              <w:contextualSpacing w:val="0"/>
              <w:jc w:val="both"/>
              <w:rPr>
                <w:rFonts w:ascii="Times New Roman" w:eastAsia="Times New Roman" w:hAnsi="Times New Roman" w:cs="Times New Roman"/>
                <w:b/>
                <w:sz w:val="20"/>
                <w:szCs w:val="24"/>
                <w:shd w:val="clear" w:color="auto" w:fill="FFFFFF"/>
                <w:lang w:val="ro-MD"/>
              </w:rPr>
            </w:pPr>
            <w:r w:rsidRPr="00DD5F1D">
              <w:rPr>
                <w:rFonts w:ascii="Times New Roman" w:eastAsia="Times New Roman" w:hAnsi="Times New Roman" w:cs="Times New Roman"/>
                <w:b/>
                <w:sz w:val="20"/>
                <w:szCs w:val="24"/>
                <w:shd w:val="clear" w:color="auto" w:fill="FFFFFF"/>
                <w:lang w:val="ro-MD"/>
              </w:rPr>
              <w:t>Contribuții BASS declarate conform extrasului individual, lei</w:t>
            </w:r>
          </w:p>
        </w:tc>
        <w:tc>
          <w:tcPr>
            <w:tcW w:w="1338" w:type="pct"/>
            <w:vAlign w:val="center"/>
          </w:tcPr>
          <w:p w14:paraId="7BFE6EC5" w14:textId="77777777" w:rsidR="00AB437E" w:rsidRPr="00DD5F1D" w:rsidRDefault="00AB437E" w:rsidP="003A44AD">
            <w:pPr>
              <w:pStyle w:val="aa"/>
              <w:ind w:left="0"/>
              <w:contextualSpacing w:val="0"/>
              <w:jc w:val="right"/>
              <w:rPr>
                <w:rFonts w:ascii="Times New Roman" w:eastAsia="Times New Roman" w:hAnsi="Times New Roman" w:cs="Times New Roman"/>
                <w:sz w:val="20"/>
                <w:szCs w:val="24"/>
                <w:shd w:val="clear" w:color="auto" w:fill="FFFFFF"/>
                <w:lang w:val="ro-MD"/>
              </w:rPr>
            </w:pPr>
            <w:r w:rsidRPr="00DD5F1D">
              <w:rPr>
                <w:rFonts w:ascii="Times New Roman" w:eastAsia="Times New Roman" w:hAnsi="Times New Roman" w:cs="Times New Roman"/>
                <w:sz w:val="20"/>
                <w:szCs w:val="24"/>
                <w:shd w:val="clear" w:color="auto" w:fill="FFFFFF"/>
                <w:lang w:val="ro-MD"/>
              </w:rPr>
              <w:t>7 956*29%</w:t>
            </w:r>
          </w:p>
        </w:tc>
        <w:tc>
          <w:tcPr>
            <w:tcW w:w="845" w:type="pct"/>
            <w:vAlign w:val="center"/>
          </w:tcPr>
          <w:p w14:paraId="6AEC8176" w14:textId="77777777" w:rsidR="00AB437E" w:rsidRPr="00DD5F1D" w:rsidRDefault="00AB437E" w:rsidP="003A44AD">
            <w:pPr>
              <w:pStyle w:val="aa"/>
              <w:ind w:left="0"/>
              <w:contextualSpacing w:val="0"/>
              <w:jc w:val="right"/>
              <w:rPr>
                <w:rFonts w:ascii="Times New Roman" w:eastAsia="Times New Roman" w:hAnsi="Times New Roman" w:cs="Times New Roman"/>
                <w:sz w:val="20"/>
                <w:szCs w:val="24"/>
                <w:shd w:val="clear" w:color="auto" w:fill="FFFFFF"/>
                <w:lang w:val="ro-MD"/>
              </w:rPr>
            </w:pPr>
            <w:r w:rsidRPr="00DD5F1D">
              <w:rPr>
                <w:rFonts w:ascii="Times New Roman" w:eastAsia="Times New Roman" w:hAnsi="Times New Roman" w:cs="Times New Roman"/>
                <w:sz w:val="20"/>
                <w:szCs w:val="24"/>
                <w:shd w:val="clear" w:color="auto" w:fill="FFFFFF"/>
                <w:lang w:val="ro-MD"/>
              </w:rPr>
              <w:t>2 307,24</w:t>
            </w:r>
          </w:p>
        </w:tc>
      </w:tr>
      <w:tr w:rsidR="000D40B3" w:rsidRPr="00DD5F1D" w14:paraId="325E3AD9" w14:textId="77777777" w:rsidTr="00F213F5">
        <w:trPr>
          <w:trHeight w:val="20"/>
        </w:trPr>
        <w:tc>
          <w:tcPr>
            <w:tcW w:w="2817" w:type="pct"/>
          </w:tcPr>
          <w:p w14:paraId="4EC77B2F" w14:textId="77777777" w:rsidR="00AB437E" w:rsidRPr="00DD5F1D" w:rsidRDefault="00AB437E" w:rsidP="003A44AD">
            <w:pPr>
              <w:pStyle w:val="aa"/>
              <w:ind w:left="0"/>
              <w:contextualSpacing w:val="0"/>
              <w:jc w:val="both"/>
              <w:rPr>
                <w:rFonts w:ascii="Times New Roman" w:eastAsia="Times New Roman" w:hAnsi="Times New Roman" w:cs="Times New Roman"/>
                <w:b/>
                <w:sz w:val="20"/>
                <w:szCs w:val="24"/>
                <w:shd w:val="clear" w:color="auto" w:fill="FFFFFF"/>
                <w:lang w:val="ro-MD"/>
              </w:rPr>
            </w:pPr>
            <w:r w:rsidRPr="00DD5F1D">
              <w:rPr>
                <w:rFonts w:ascii="Times New Roman" w:eastAsia="Times New Roman" w:hAnsi="Times New Roman" w:cs="Times New Roman"/>
                <w:b/>
                <w:sz w:val="20"/>
                <w:szCs w:val="24"/>
                <w:shd w:val="clear" w:color="auto" w:fill="FFFFFF"/>
                <w:lang w:val="ro-MD"/>
              </w:rPr>
              <w:t>Contribuții BASS achitate în cazul aplicării tarifului minim conform dărilor de seamă IU, lei</w:t>
            </w:r>
          </w:p>
        </w:tc>
        <w:tc>
          <w:tcPr>
            <w:tcW w:w="1338" w:type="pct"/>
            <w:vAlign w:val="center"/>
          </w:tcPr>
          <w:p w14:paraId="55CDA79E" w14:textId="77777777" w:rsidR="00AB437E" w:rsidRPr="00DD5F1D" w:rsidRDefault="00AB437E" w:rsidP="003A44AD">
            <w:pPr>
              <w:pStyle w:val="aa"/>
              <w:ind w:left="0"/>
              <w:contextualSpacing w:val="0"/>
              <w:jc w:val="right"/>
              <w:rPr>
                <w:rFonts w:ascii="Times New Roman" w:eastAsia="Times New Roman" w:hAnsi="Times New Roman" w:cs="Times New Roman"/>
                <w:sz w:val="20"/>
                <w:szCs w:val="24"/>
                <w:shd w:val="clear" w:color="auto" w:fill="FFFFFF"/>
                <w:lang w:val="ro-MD"/>
              </w:rPr>
            </w:pPr>
            <w:r w:rsidRPr="00DD5F1D">
              <w:rPr>
                <w:rFonts w:ascii="Times New Roman" w:eastAsia="Times New Roman" w:hAnsi="Times New Roman" w:cs="Times New Roman"/>
                <w:sz w:val="20"/>
                <w:szCs w:val="24"/>
                <w:shd w:val="clear" w:color="auto" w:fill="FFFFFF"/>
                <w:lang w:val="ro-MD"/>
              </w:rPr>
              <w:t>11 700*30%*54,7%</w:t>
            </w:r>
          </w:p>
        </w:tc>
        <w:tc>
          <w:tcPr>
            <w:tcW w:w="845" w:type="pct"/>
            <w:vAlign w:val="center"/>
          </w:tcPr>
          <w:p w14:paraId="4DA447AB" w14:textId="77777777" w:rsidR="00AB437E" w:rsidRPr="00DD5F1D" w:rsidRDefault="00AB437E" w:rsidP="003A44AD">
            <w:pPr>
              <w:pStyle w:val="aa"/>
              <w:ind w:left="0"/>
              <w:contextualSpacing w:val="0"/>
              <w:jc w:val="right"/>
              <w:rPr>
                <w:rFonts w:ascii="Times New Roman" w:eastAsia="Times New Roman" w:hAnsi="Times New Roman" w:cs="Times New Roman"/>
                <w:sz w:val="20"/>
                <w:szCs w:val="24"/>
                <w:shd w:val="clear" w:color="auto" w:fill="FFFFFF"/>
                <w:lang w:val="ro-MD"/>
              </w:rPr>
            </w:pPr>
            <w:r w:rsidRPr="00DD5F1D">
              <w:rPr>
                <w:rFonts w:ascii="Times New Roman" w:eastAsia="Times New Roman" w:hAnsi="Times New Roman" w:cs="Times New Roman"/>
                <w:sz w:val="20"/>
                <w:szCs w:val="24"/>
                <w:shd w:val="clear" w:color="auto" w:fill="FFFFFF"/>
                <w:lang w:val="ro-MD"/>
              </w:rPr>
              <w:t>1 919,97</w:t>
            </w:r>
          </w:p>
        </w:tc>
      </w:tr>
      <w:tr w:rsidR="00AB437E" w:rsidRPr="00DD5F1D" w14:paraId="57F802B8" w14:textId="77777777" w:rsidTr="00F213F5">
        <w:trPr>
          <w:trHeight w:val="20"/>
        </w:trPr>
        <w:tc>
          <w:tcPr>
            <w:tcW w:w="2817" w:type="pct"/>
          </w:tcPr>
          <w:p w14:paraId="6404547F" w14:textId="77777777" w:rsidR="00AB437E" w:rsidRPr="005152D5" w:rsidRDefault="00AB437E" w:rsidP="003A44AD">
            <w:pPr>
              <w:pStyle w:val="aa"/>
              <w:ind w:left="0"/>
              <w:contextualSpacing w:val="0"/>
              <w:jc w:val="both"/>
              <w:rPr>
                <w:rFonts w:ascii="Times New Roman" w:eastAsia="Times New Roman" w:hAnsi="Times New Roman" w:cs="Times New Roman"/>
                <w:b/>
                <w:sz w:val="20"/>
                <w:szCs w:val="24"/>
                <w:shd w:val="clear" w:color="auto" w:fill="FFFFFF"/>
                <w:lang w:val="ro-MD"/>
              </w:rPr>
            </w:pPr>
            <w:r w:rsidRPr="00193E3C">
              <w:rPr>
                <w:rFonts w:ascii="Times New Roman" w:eastAsia="Times New Roman" w:hAnsi="Times New Roman" w:cs="Times New Roman"/>
                <w:b/>
                <w:sz w:val="20"/>
                <w:szCs w:val="24"/>
                <w:shd w:val="clear" w:color="auto" w:fill="FFFFFF"/>
                <w:lang w:val="ro-MD"/>
              </w:rPr>
              <w:t>Diferența între contribuțiile declarate și cele</w:t>
            </w:r>
            <w:r w:rsidRPr="005152D5">
              <w:rPr>
                <w:rFonts w:ascii="Times New Roman" w:eastAsia="Times New Roman" w:hAnsi="Times New Roman" w:cs="Times New Roman"/>
                <w:b/>
                <w:sz w:val="20"/>
                <w:szCs w:val="24"/>
                <w:shd w:val="clear" w:color="auto" w:fill="FFFFFF"/>
                <w:lang w:val="ro-MD"/>
              </w:rPr>
              <w:t xml:space="preserve"> achitate, lei</w:t>
            </w:r>
          </w:p>
        </w:tc>
        <w:tc>
          <w:tcPr>
            <w:tcW w:w="1338" w:type="pct"/>
            <w:vAlign w:val="center"/>
          </w:tcPr>
          <w:p w14:paraId="152A78C9" w14:textId="77777777" w:rsidR="00AB437E" w:rsidRPr="00D626EF" w:rsidRDefault="00AB437E" w:rsidP="003A44AD">
            <w:pPr>
              <w:pStyle w:val="aa"/>
              <w:ind w:left="0"/>
              <w:contextualSpacing w:val="0"/>
              <w:jc w:val="right"/>
              <w:rPr>
                <w:rFonts w:ascii="Times New Roman" w:eastAsia="Times New Roman" w:hAnsi="Times New Roman" w:cs="Times New Roman"/>
                <w:sz w:val="20"/>
                <w:szCs w:val="24"/>
                <w:shd w:val="clear" w:color="auto" w:fill="FFFFFF"/>
                <w:lang w:val="ro-MD"/>
              </w:rPr>
            </w:pPr>
            <w:r w:rsidRPr="00D626EF">
              <w:rPr>
                <w:rFonts w:ascii="Times New Roman" w:eastAsia="Times New Roman" w:hAnsi="Times New Roman" w:cs="Times New Roman"/>
                <w:sz w:val="20"/>
                <w:szCs w:val="24"/>
                <w:shd w:val="clear" w:color="auto" w:fill="FFFFFF"/>
                <w:lang w:val="ro-MD"/>
              </w:rPr>
              <w:t>2 307,24 – 1 919,97</w:t>
            </w:r>
          </w:p>
        </w:tc>
        <w:tc>
          <w:tcPr>
            <w:tcW w:w="845" w:type="pct"/>
            <w:vAlign w:val="center"/>
          </w:tcPr>
          <w:p w14:paraId="19687909" w14:textId="77777777" w:rsidR="00AB437E" w:rsidRPr="00DD5F1D" w:rsidRDefault="00AB437E" w:rsidP="003A44AD">
            <w:pPr>
              <w:pStyle w:val="aa"/>
              <w:ind w:left="0"/>
              <w:contextualSpacing w:val="0"/>
              <w:jc w:val="right"/>
              <w:rPr>
                <w:rFonts w:ascii="Times New Roman" w:eastAsia="Times New Roman" w:hAnsi="Times New Roman" w:cs="Times New Roman"/>
                <w:b/>
                <w:sz w:val="20"/>
                <w:szCs w:val="24"/>
                <w:shd w:val="clear" w:color="auto" w:fill="FFFFFF"/>
                <w:lang w:val="ro-MD"/>
              </w:rPr>
            </w:pPr>
            <w:r w:rsidRPr="00D626EF">
              <w:rPr>
                <w:rFonts w:ascii="Times New Roman" w:eastAsia="Times New Roman" w:hAnsi="Times New Roman" w:cs="Times New Roman"/>
                <w:b/>
                <w:sz w:val="20"/>
                <w:szCs w:val="24"/>
                <w:shd w:val="clear" w:color="auto" w:fill="FFFFFF"/>
                <w:lang w:val="ro-MD"/>
              </w:rPr>
              <w:t>387,27</w:t>
            </w:r>
          </w:p>
        </w:tc>
      </w:tr>
    </w:tbl>
    <w:p w14:paraId="608D2C60" w14:textId="77777777" w:rsidR="00AB437E" w:rsidRPr="00DD5F1D" w:rsidRDefault="00AB437E" w:rsidP="00FD05E6">
      <w:pPr>
        <w:pStyle w:val="aa"/>
        <w:shd w:val="clear" w:color="auto" w:fill="FFFFFF"/>
        <w:spacing w:line="276" w:lineRule="auto"/>
        <w:ind w:left="0"/>
        <w:jc w:val="both"/>
        <w:rPr>
          <w:rFonts w:ascii="Times New Roman" w:eastAsia="Times New Roman" w:hAnsi="Times New Roman" w:cs="Times New Roman"/>
          <w:b/>
          <w:bCs/>
          <w:i/>
          <w:iCs/>
          <w:sz w:val="18"/>
          <w:szCs w:val="18"/>
          <w:shd w:val="clear" w:color="auto" w:fill="FFFFFF"/>
          <w:lang w:val="ro-MD"/>
        </w:rPr>
      </w:pPr>
      <w:r w:rsidRPr="00DD5F1D">
        <w:rPr>
          <w:rFonts w:ascii="Times New Roman" w:eastAsia="Times New Roman" w:hAnsi="Times New Roman" w:cs="Times New Roman"/>
          <w:b/>
          <w:i/>
          <w:sz w:val="20"/>
          <w:szCs w:val="20"/>
          <w:shd w:val="clear" w:color="auto" w:fill="FFFFFF"/>
          <w:lang w:val="ro-MD"/>
        </w:rPr>
        <w:t>Sursa</w:t>
      </w:r>
      <w:r w:rsidRPr="00DD5F1D">
        <w:rPr>
          <w:rFonts w:ascii="Times New Roman" w:eastAsia="Times New Roman" w:hAnsi="Times New Roman" w:cs="Times New Roman"/>
          <w:i/>
          <w:sz w:val="20"/>
          <w:szCs w:val="20"/>
          <w:shd w:val="clear" w:color="auto" w:fill="FFFFFF"/>
          <w:lang w:val="ro-MD"/>
        </w:rPr>
        <w:t>: Elaborat de audit</w:t>
      </w:r>
    </w:p>
    <w:p w14:paraId="22EC4F6B" w14:textId="06AEF498" w:rsidR="00AB437E" w:rsidRPr="00DD5F1D" w:rsidRDefault="00AB437E" w:rsidP="00AB437E">
      <w:pPr>
        <w:spacing w:after="0" w:line="276" w:lineRule="auto"/>
        <w:jc w:val="both"/>
        <w:rPr>
          <w:rFonts w:ascii="Times New Roman" w:eastAsia="Times New Roman" w:hAnsi="Times New Roman" w:cs="Times New Roman"/>
          <w:sz w:val="24"/>
          <w:szCs w:val="24"/>
          <w:shd w:val="clear" w:color="auto" w:fill="FFFFFF"/>
          <w:lang w:val="ro-MD"/>
        </w:rPr>
      </w:pPr>
      <w:r w:rsidRPr="00DD5F1D">
        <w:rPr>
          <w:rFonts w:ascii="Times New Roman" w:eastAsia="Times New Roman" w:hAnsi="Times New Roman" w:cs="Times New Roman"/>
          <w:sz w:val="24"/>
          <w:szCs w:val="24"/>
          <w:shd w:val="clear" w:color="auto" w:fill="FFFFFF"/>
          <w:lang w:val="ro-MD"/>
        </w:rPr>
        <w:t>Subsecvent, auditul precizează că primul Parc TI și-a început activitatea la data de 1 ianuarie 2018</w:t>
      </w:r>
      <w:r w:rsidRPr="00DD5F1D">
        <w:rPr>
          <w:rFonts w:ascii="Times New Roman" w:hAnsi="Times New Roman" w:cs="Times New Roman"/>
          <w:vertAlign w:val="superscript"/>
          <w:lang w:val="ro-MD"/>
        </w:rPr>
        <w:footnoteReference w:id="130"/>
      </w:r>
      <w:r w:rsidR="001549A1" w:rsidRPr="00DD5F1D">
        <w:rPr>
          <w:rFonts w:ascii="Times New Roman" w:eastAsia="Times New Roman" w:hAnsi="Times New Roman" w:cs="Times New Roman"/>
          <w:sz w:val="24"/>
          <w:szCs w:val="24"/>
          <w:shd w:val="clear" w:color="auto" w:fill="FFFFFF"/>
          <w:lang w:val="ro-MD"/>
        </w:rPr>
        <w:t>, termenul de activitate</w:t>
      </w:r>
      <w:r w:rsidRPr="00DD5F1D">
        <w:rPr>
          <w:rFonts w:ascii="Times New Roman" w:eastAsia="Times New Roman" w:hAnsi="Times New Roman" w:cs="Times New Roman"/>
          <w:sz w:val="24"/>
          <w:szCs w:val="24"/>
          <w:shd w:val="clear" w:color="auto" w:fill="FFFFFF"/>
          <w:lang w:val="ro-MD"/>
        </w:rPr>
        <w:t xml:space="preserve"> a fost stabilit de 10 ani</w:t>
      </w:r>
      <w:r w:rsidRPr="00DD5F1D">
        <w:rPr>
          <w:rFonts w:ascii="Times New Roman" w:hAnsi="Times New Roman" w:cs="Times New Roman"/>
          <w:vertAlign w:val="superscript"/>
          <w:lang w:val="ro-MD"/>
        </w:rPr>
        <w:footnoteReference w:id="131"/>
      </w:r>
      <w:r w:rsidRPr="00DD5F1D">
        <w:rPr>
          <w:rFonts w:ascii="Times New Roman" w:eastAsia="Times New Roman" w:hAnsi="Times New Roman" w:cs="Times New Roman"/>
          <w:sz w:val="24"/>
          <w:szCs w:val="24"/>
          <w:shd w:val="clear" w:color="auto" w:fill="FFFFFF"/>
          <w:lang w:val="ro-MD"/>
        </w:rPr>
        <w:t>. Ulterior, termenul de funcționare s-a extins la 20 ani</w:t>
      </w:r>
      <w:r w:rsidRPr="00DD5F1D">
        <w:rPr>
          <w:rStyle w:val="a5"/>
          <w:rFonts w:ascii="Times New Roman" w:eastAsia="Times New Roman" w:hAnsi="Times New Roman" w:cs="Times New Roman"/>
          <w:sz w:val="24"/>
          <w:szCs w:val="24"/>
          <w:shd w:val="clear" w:color="auto" w:fill="FFFFFF"/>
          <w:lang w:val="ro-MD"/>
        </w:rPr>
        <w:footnoteReference w:id="132"/>
      </w:r>
      <w:r w:rsidRPr="00DD5F1D">
        <w:rPr>
          <w:rFonts w:ascii="Times New Roman" w:eastAsia="Times New Roman" w:hAnsi="Times New Roman" w:cs="Times New Roman"/>
          <w:sz w:val="24"/>
          <w:szCs w:val="24"/>
          <w:shd w:val="clear" w:color="auto" w:fill="FFFFFF"/>
          <w:lang w:val="ro-MD"/>
        </w:rPr>
        <w:t>. Astfel, la evaluarea impactului prevederilor legislative pentru fundamentarea extinderii termenului de funcționare a parcului TI s-a ținut cont doar de creșterea economică, nu și de asigurarea principiilor generale de asigurări sociale.</w:t>
      </w:r>
    </w:p>
    <w:p w14:paraId="5EAF8EF7" w14:textId="72AD5929" w:rsidR="00AB437E" w:rsidRPr="00DD5F1D" w:rsidRDefault="00AB437E" w:rsidP="00AB437E">
      <w:pPr>
        <w:autoSpaceDE w:val="0"/>
        <w:autoSpaceDN w:val="0"/>
        <w:adjustRightInd w:val="0"/>
        <w:spacing w:after="0" w:line="276" w:lineRule="auto"/>
        <w:jc w:val="both"/>
        <w:rPr>
          <w:rFonts w:ascii="Times New Roman" w:hAnsi="Times New Roman" w:cs="Times New Roman"/>
          <w:i/>
          <w:iCs/>
          <w:sz w:val="24"/>
          <w:szCs w:val="24"/>
          <w:lang w:val="ro-MD"/>
        </w:rPr>
      </w:pPr>
      <w:r w:rsidRPr="00DD5F1D">
        <w:rPr>
          <w:rFonts w:ascii="Times New Roman" w:eastAsia="Times New Roman" w:hAnsi="Times New Roman" w:cs="Times New Roman"/>
          <w:sz w:val="24"/>
          <w:szCs w:val="24"/>
          <w:shd w:val="clear" w:color="auto" w:fill="FFFFFF"/>
          <w:lang w:val="ro-MD"/>
        </w:rPr>
        <w:t xml:space="preserve">În </w:t>
      </w:r>
      <w:r w:rsidR="00B16E2D">
        <w:rPr>
          <w:rFonts w:ascii="Times New Roman" w:eastAsia="Times New Roman" w:hAnsi="Times New Roman" w:cs="Times New Roman"/>
          <w:sz w:val="24"/>
          <w:szCs w:val="24"/>
          <w:shd w:val="clear" w:color="auto" w:fill="FFFFFF"/>
          <w:lang w:val="ro-MD"/>
        </w:rPr>
        <w:t>cadrul avizării proiectului respectiv de lege</w:t>
      </w:r>
      <w:r w:rsidRPr="00DD5F1D">
        <w:rPr>
          <w:rFonts w:ascii="Times New Roman" w:eastAsia="Times New Roman" w:hAnsi="Times New Roman" w:cs="Times New Roman"/>
          <w:sz w:val="24"/>
          <w:szCs w:val="24"/>
          <w:shd w:val="clear" w:color="auto" w:fill="FFFFFF"/>
          <w:lang w:val="ro-MD"/>
        </w:rPr>
        <w:t>, Ministerul Muncii și Protecției Sociale</w:t>
      </w:r>
      <w:r w:rsidR="00123CDE" w:rsidRPr="00DD5F1D">
        <w:rPr>
          <w:rFonts w:ascii="Times New Roman" w:eastAsia="Times New Roman" w:hAnsi="Times New Roman" w:cs="Times New Roman"/>
          <w:sz w:val="24"/>
          <w:szCs w:val="24"/>
          <w:shd w:val="clear" w:color="auto" w:fill="FFFFFF"/>
          <w:lang w:val="ro-MD"/>
        </w:rPr>
        <w:t xml:space="preserve"> a</w:t>
      </w:r>
      <w:r w:rsidRPr="00DD5F1D">
        <w:rPr>
          <w:rFonts w:ascii="Times New Roman" w:eastAsia="Times New Roman" w:hAnsi="Times New Roman" w:cs="Times New Roman"/>
          <w:sz w:val="24"/>
          <w:szCs w:val="24"/>
          <w:shd w:val="clear" w:color="auto" w:fill="FFFFFF"/>
          <w:lang w:val="ro-MD"/>
        </w:rPr>
        <w:t xml:space="preserve"> </w:t>
      </w:r>
      <w:r w:rsidRPr="00DD5F1D">
        <w:rPr>
          <w:rFonts w:ascii="Times New Roman" w:hAnsi="Times New Roman" w:cs="Times New Roman"/>
          <w:iCs/>
          <w:sz w:val="24"/>
          <w:szCs w:val="24"/>
          <w:lang w:val="ro-MD"/>
        </w:rPr>
        <w:t>specificat că</w:t>
      </w:r>
      <w:r w:rsidRPr="00DD5F1D">
        <w:rPr>
          <w:rStyle w:val="a5"/>
          <w:rFonts w:ascii="Times New Roman" w:eastAsia="Times New Roman" w:hAnsi="Times New Roman" w:cs="Times New Roman"/>
          <w:sz w:val="24"/>
          <w:szCs w:val="24"/>
          <w:shd w:val="clear" w:color="auto" w:fill="FFFFFF"/>
          <w:lang w:val="ro-MD"/>
        </w:rPr>
        <w:footnoteReference w:id="133"/>
      </w:r>
      <w:r w:rsidRPr="00DD5F1D">
        <w:rPr>
          <w:rFonts w:ascii="Times New Roman" w:hAnsi="Times New Roman" w:cs="Times New Roman"/>
          <w:iCs/>
          <w:sz w:val="24"/>
          <w:szCs w:val="24"/>
          <w:lang w:val="ro-MD"/>
        </w:rPr>
        <w:t xml:space="preserve"> </w:t>
      </w:r>
      <w:r w:rsidR="00DF7D1F" w:rsidRPr="00DD5F1D">
        <w:rPr>
          <w:rFonts w:ascii="Times New Roman" w:eastAsia="Times New Roman" w:hAnsi="Times New Roman" w:cs="Times New Roman"/>
          <w:i/>
          <w:sz w:val="24"/>
          <w:szCs w:val="24"/>
          <w:shd w:val="clear" w:color="auto" w:fill="FFFFFF"/>
          <w:lang w:val="ro-MD"/>
        </w:rPr>
        <w:t>„</w:t>
      </w:r>
      <w:r w:rsidRPr="00DD5F1D">
        <w:rPr>
          <w:rFonts w:ascii="Times New Roman" w:hAnsi="Times New Roman" w:cs="Times New Roman"/>
          <w:i/>
          <w:sz w:val="24"/>
          <w:szCs w:val="24"/>
          <w:lang w:val="ro-MD"/>
        </w:rPr>
        <w:t>plătitorii din domeniul bugetar, care contribuie cu 29% la salarii și</w:t>
      </w:r>
      <w:r w:rsidRPr="00DD5F1D">
        <w:rPr>
          <w:rFonts w:ascii="Times New Roman" w:hAnsi="Times New Roman" w:cs="Times New Roman"/>
          <w:i/>
          <w:iCs/>
          <w:sz w:val="24"/>
          <w:szCs w:val="24"/>
          <w:lang w:val="ro-MD"/>
        </w:rPr>
        <w:t xml:space="preserve"> </w:t>
      </w:r>
      <w:r w:rsidRPr="00DD5F1D">
        <w:rPr>
          <w:rFonts w:ascii="Times New Roman" w:hAnsi="Times New Roman" w:cs="Times New Roman"/>
          <w:i/>
          <w:sz w:val="24"/>
          <w:szCs w:val="24"/>
          <w:lang w:val="ro-MD"/>
        </w:rPr>
        <w:t>recompense, vor avea povara crescândă în asigurarea solidarității sistemului și</w:t>
      </w:r>
      <w:r w:rsidRPr="00DD5F1D">
        <w:rPr>
          <w:rFonts w:ascii="Times New Roman" w:hAnsi="Times New Roman" w:cs="Times New Roman"/>
          <w:i/>
          <w:iCs/>
          <w:sz w:val="24"/>
          <w:szCs w:val="24"/>
          <w:lang w:val="ro-MD"/>
        </w:rPr>
        <w:t xml:space="preserve"> </w:t>
      </w:r>
      <w:r w:rsidRPr="00DD5F1D">
        <w:rPr>
          <w:rFonts w:ascii="Times New Roman" w:hAnsi="Times New Roman" w:cs="Times New Roman"/>
          <w:i/>
          <w:sz w:val="24"/>
          <w:szCs w:val="24"/>
          <w:lang w:val="ro-MD"/>
        </w:rPr>
        <w:t>redistribuirii mijloacelor în favoarea celorlalte categorii de participanți, creându-se</w:t>
      </w:r>
      <w:r w:rsidRPr="00DD5F1D">
        <w:rPr>
          <w:rFonts w:ascii="Times New Roman" w:hAnsi="Times New Roman" w:cs="Times New Roman"/>
          <w:i/>
          <w:iCs/>
          <w:sz w:val="24"/>
          <w:szCs w:val="24"/>
          <w:lang w:val="ro-MD"/>
        </w:rPr>
        <w:t xml:space="preserve"> </w:t>
      </w:r>
      <w:r w:rsidRPr="00DD5F1D">
        <w:rPr>
          <w:rFonts w:ascii="Times New Roman" w:hAnsi="Times New Roman" w:cs="Times New Roman"/>
          <w:i/>
          <w:sz w:val="24"/>
          <w:szCs w:val="24"/>
          <w:lang w:val="ro-MD"/>
        </w:rPr>
        <w:t>un mediu discriminatoriu față de ceilalți participanți la sistemul public de asigurări</w:t>
      </w:r>
      <w:r w:rsidRPr="00DD5F1D">
        <w:rPr>
          <w:rFonts w:ascii="Times New Roman" w:hAnsi="Times New Roman" w:cs="Times New Roman"/>
          <w:i/>
          <w:iCs/>
          <w:sz w:val="24"/>
          <w:szCs w:val="24"/>
          <w:lang w:val="ro-MD"/>
        </w:rPr>
        <w:t xml:space="preserve"> </w:t>
      </w:r>
      <w:r w:rsidRPr="00DD5F1D">
        <w:rPr>
          <w:rFonts w:ascii="Times New Roman" w:hAnsi="Times New Roman" w:cs="Times New Roman"/>
          <w:i/>
          <w:sz w:val="24"/>
          <w:szCs w:val="24"/>
          <w:lang w:val="ro-MD"/>
        </w:rPr>
        <w:t>sociale.</w:t>
      </w:r>
      <w:r w:rsidRPr="00DD5F1D">
        <w:rPr>
          <w:rFonts w:ascii="Times New Roman" w:hAnsi="Times New Roman" w:cs="Times New Roman"/>
          <w:i/>
          <w:iCs/>
          <w:sz w:val="24"/>
          <w:szCs w:val="24"/>
          <w:lang w:val="ro-MD"/>
        </w:rPr>
        <w:t xml:space="preserve"> </w:t>
      </w:r>
      <w:r w:rsidRPr="00DD5F1D">
        <w:rPr>
          <w:rFonts w:ascii="Times New Roman" w:hAnsi="Times New Roman" w:cs="Times New Roman"/>
          <w:i/>
          <w:sz w:val="24"/>
          <w:szCs w:val="24"/>
          <w:lang w:val="ro-MD"/>
        </w:rPr>
        <w:t>În acest sens, urmează a se ține cont, că pachetul de prestații de asigurări</w:t>
      </w:r>
      <w:r w:rsidRPr="00DD5F1D">
        <w:rPr>
          <w:rFonts w:ascii="Times New Roman" w:hAnsi="Times New Roman" w:cs="Times New Roman"/>
          <w:i/>
          <w:iCs/>
          <w:sz w:val="24"/>
          <w:szCs w:val="24"/>
          <w:lang w:val="ro-MD"/>
        </w:rPr>
        <w:t xml:space="preserve"> </w:t>
      </w:r>
      <w:r w:rsidRPr="00DD5F1D">
        <w:rPr>
          <w:rFonts w:ascii="Times New Roman" w:hAnsi="Times New Roman" w:cs="Times New Roman"/>
          <w:i/>
          <w:sz w:val="24"/>
          <w:szCs w:val="24"/>
          <w:lang w:val="ro-MD"/>
        </w:rPr>
        <w:t>sociale este identic și pentru cei care contribuie procentual din salariu (menținând</w:t>
      </w:r>
      <w:r w:rsidRPr="00DD5F1D">
        <w:rPr>
          <w:rFonts w:ascii="Times New Roman" w:hAnsi="Times New Roman" w:cs="Times New Roman"/>
          <w:i/>
          <w:iCs/>
          <w:sz w:val="24"/>
          <w:szCs w:val="24"/>
          <w:lang w:val="ro-MD"/>
        </w:rPr>
        <w:t xml:space="preserve"> </w:t>
      </w:r>
      <w:r w:rsidRPr="00DD5F1D">
        <w:rPr>
          <w:rFonts w:ascii="Times New Roman" w:hAnsi="Times New Roman" w:cs="Times New Roman"/>
          <w:i/>
          <w:sz w:val="24"/>
          <w:szCs w:val="24"/>
          <w:lang w:val="ro-MD"/>
        </w:rPr>
        <w:t>și solidaritatea sistemului) și pentru cei ce contribuie cu partea de impozit unic. Practicarea în continuare a stabilirii unor condiții speciale pentru unii plătitori de contribuții, perturbează principiile sistemului public de asigurări sociale, demotivează ceilalți participanți, stimulează căutarea căilor de obținere a unor facilități la partea de datorare a contribuțiilor”,</w:t>
      </w:r>
      <w:r w:rsidR="004769E1" w:rsidRPr="00DD5F1D">
        <w:rPr>
          <w:rFonts w:ascii="Times New Roman" w:hAnsi="Times New Roman" w:cs="Times New Roman"/>
          <w:i/>
          <w:sz w:val="24"/>
          <w:szCs w:val="24"/>
          <w:lang w:val="ro-MD"/>
        </w:rPr>
        <w:t xml:space="preserve"> </w:t>
      </w:r>
      <w:r w:rsidR="004769E1" w:rsidRPr="00DD5F1D">
        <w:rPr>
          <w:rFonts w:ascii="Times New Roman" w:hAnsi="Times New Roman" w:cs="Times New Roman"/>
          <w:sz w:val="24"/>
          <w:szCs w:val="24"/>
          <w:lang w:val="ro-MD"/>
        </w:rPr>
        <w:t xml:space="preserve">totodată, </w:t>
      </w:r>
      <w:r w:rsidRPr="00DD5F1D">
        <w:rPr>
          <w:rFonts w:ascii="Times New Roman" w:hAnsi="Times New Roman" w:cs="Times New Roman"/>
          <w:sz w:val="24"/>
          <w:szCs w:val="24"/>
          <w:lang w:val="ro-MD"/>
        </w:rPr>
        <w:t xml:space="preserve"> </w:t>
      </w:r>
      <w:r w:rsidR="00B16E2D">
        <w:rPr>
          <w:rFonts w:ascii="Times New Roman" w:hAnsi="Times New Roman" w:cs="Times New Roman"/>
          <w:sz w:val="24"/>
          <w:szCs w:val="24"/>
          <w:lang w:val="ro-MD"/>
        </w:rPr>
        <w:t>obiecțiile respective</w:t>
      </w:r>
      <w:r w:rsidR="00B16E2D"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nu au avut finalitate.</w:t>
      </w:r>
      <w:r w:rsidRPr="00DD5F1D">
        <w:rPr>
          <w:rFonts w:ascii="Times New Roman" w:hAnsi="Times New Roman" w:cs="Times New Roman"/>
          <w:i/>
          <w:sz w:val="24"/>
          <w:szCs w:val="24"/>
          <w:lang w:val="ro-MD"/>
        </w:rPr>
        <w:t xml:space="preserve"> </w:t>
      </w:r>
    </w:p>
    <w:p w14:paraId="100C846E" w14:textId="30D7CAEC" w:rsidR="00AB437E" w:rsidRPr="00DD5F1D" w:rsidRDefault="004769E1" w:rsidP="00AB437E">
      <w:pPr>
        <w:autoSpaceDE w:val="0"/>
        <w:autoSpaceDN w:val="0"/>
        <w:adjustRightInd w:val="0"/>
        <w:spacing w:after="0" w:line="276" w:lineRule="auto"/>
        <w:jc w:val="both"/>
        <w:rPr>
          <w:rFonts w:ascii="Times New Roman" w:hAnsi="Times New Roman" w:cs="Times New Roman"/>
          <w:i/>
          <w:sz w:val="24"/>
          <w:szCs w:val="24"/>
          <w:lang w:val="ro-MD"/>
        </w:rPr>
      </w:pPr>
      <w:r w:rsidRPr="00DD5F1D">
        <w:rPr>
          <w:rFonts w:ascii="Times New Roman" w:hAnsi="Times New Roman" w:cs="Times New Roman"/>
          <w:sz w:val="24"/>
          <w:szCs w:val="24"/>
          <w:lang w:val="ro-MD"/>
        </w:rPr>
        <w:t>De asemenea,</w:t>
      </w:r>
      <w:r w:rsidR="00AB437E" w:rsidRPr="00DD5F1D">
        <w:rPr>
          <w:rFonts w:ascii="Times New Roman" w:hAnsi="Times New Roman" w:cs="Times New Roman"/>
          <w:sz w:val="24"/>
          <w:szCs w:val="24"/>
          <w:lang w:val="ro-MD"/>
        </w:rPr>
        <w:t xml:space="preserve"> propunerea de majorare</w:t>
      </w:r>
      <w:r w:rsidR="003C4661" w:rsidRPr="00DD5F1D">
        <w:rPr>
          <w:rFonts w:ascii="Times New Roman" w:hAnsi="Times New Roman" w:cs="Times New Roman"/>
          <w:sz w:val="24"/>
          <w:szCs w:val="24"/>
          <w:lang w:val="ro-MD"/>
        </w:rPr>
        <w:t xml:space="preserve"> </w:t>
      </w:r>
      <w:r w:rsidR="00AB437E" w:rsidRPr="00DD5F1D">
        <w:rPr>
          <w:rFonts w:ascii="Times New Roman" w:hAnsi="Times New Roman" w:cs="Times New Roman"/>
          <w:sz w:val="24"/>
          <w:szCs w:val="24"/>
          <w:lang w:val="ro-MD"/>
        </w:rPr>
        <w:t>a cotei sume</w:t>
      </w:r>
      <w:r w:rsidR="003C4661" w:rsidRPr="00DD5F1D">
        <w:rPr>
          <w:rFonts w:ascii="Times New Roman" w:hAnsi="Times New Roman" w:cs="Times New Roman"/>
          <w:sz w:val="24"/>
          <w:szCs w:val="24"/>
          <w:lang w:val="ro-MD"/>
        </w:rPr>
        <w:t>i</w:t>
      </w:r>
      <w:r w:rsidR="00AB437E" w:rsidRPr="00DD5F1D">
        <w:rPr>
          <w:rFonts w:ascii="Times New Roman" w:hAnsi="Times New Roman" w:cs="Times New Roman"/>
          <w:sz w:val="24"/>
          <w:szCs w:val="24"/>
          <w:lang w:val="ro-MD"/>
        </w:rPr>
        <w:t xml:space="preserve"> minime a impozitului unic perceput de către rezidenții parcurilor TI</w:t>
      </w:r>
      <w:r w:rsidR="003C4661" w:rsidRPr="00DD5F1D">
        <w:rPr>
          <w:rFonts w:ascii="Times New Roman" w:hAnsi="Times New Roman" w:cs="Times New Roman"/>
          <w:sz w:val="24"/>
          <w:szCs w:val="24"/>
          <w:lang w:val="ro-MD"/>
        </w:rPr>
        <w:t>,</w:t>
      </w:r>
      <w:r w:rsidR="00AB437E" w:rsidRPr="00DD5F1D">
        <w:rPr>
          <w:rFonts w:ascii="Times New Roman" w:hAnsi="Times New Roman" w:cs="Times New Roman"/>
          <w:sz w:val="24"/>
          <w:szCs w:val="24"/>
          <w:lang w:val="ro-MD"/>
        </w:rPr>
        <w:t xml:space="preserve"> de la 30% la 35% din salariu</w:t>
      </w:r>
      <w:r w:rsidR="003C4661" w:rsidRPr="00DD5F1D">
        <w:rPr>
          <w:rFonts w:ascii="Times New Roman" w:hAnsi="Times New Roman" w:cs="Times New Roman"/>
          <w:sz w:val="24"/>
          <w:szCs w:val="24"/>
          <w:lang w:val="ro-MD"/>
        </w:rPr>
        <w:t>l</w:t>
      </w:r>
      <w:r w:rsidR="00AB437E" w:rsidRPr="00DD5F1D">
        <w:rPr>
          <w:rFonts w:ascii="Times New Roman" w:hAnsi="Times New Roman" w:cs="Times New Roman"/>
          <w:sz w:val="24"/>
          <w:szCs w:val="24"/>
          <w:lang w:val="ro-MD"/>
        </w:rPr>
        <w:t xml:space="preserve"> mediu pe economie</w:t>
      </w:r>
      <w:r w:rsidR="003C4661" w:rsidRPr="00DD5F1D">
        <w:rPr>
          <w:rFonts w:ascii="Times New Roman" w:hAnsi="Times New Roman" w:cs="Times New Roman"/>
          <w:sz w:val="24"/>
          <w:szCs w:val="24"/>
          <w:lang w:val="ro-MD"/>
        </w:rPr>
        <w:t>,</w:t>
      </w:r>
      <w:r w:rsidR="00AB437E" w:rsidRPr="00DD5F1D">
        <w:rPr>
          <w:rFonts w:ascii="Times New Roman" w:hAnsi="Times New Roman" w:cs="Times New Roman"/>
          <w:sz w:val="24"/>
          <w:szCs w:val="24"/>
          <w:lang w:val="ro-MD"/>
        </w:rPr>
        <w:t xml:space="preserve"> precum și ajustarea </w:t>
      </w:r>
      <w:r w:rsidR="00B16E2D">
        <w:rPr>
          <w:rFonts w:ascii="Times New Roman" w:hAnsi="Times New Roman" w:cs="Times New Roman"/>
          <w:sz w:val="24"/>
          <w:szCs w:val="24"/>
          <w:lang w:val="ro-MD"/>
        </w:rPr>
        <w:t xml:space="preserve">bazei de calcul a </w:t>
      </w:r>
      <w:r w:rsidR="00AB437E" w:rsidRPr="00DD5F1D">
        <w:rPr>
          <w:rFonts w:ascii="Times New Roman" w:hAnsi="Times New Roman" w:cs="Times New Roman"/>
          <w:sz w:val="24"/>
          <w:szCs w:val="24"/>
          <w:lang w:val="ro-MD"/>
        </w:rPr>
        <w:t>asigurării sociale a angajaților</w:t>
      </w:r>
      <w:r w:rsidR="00572AD8" w:rsidRPr="00DD5F1D">
        <w:rPr>
          <w:rFonts w:ascii="Times New Roman" w:hAnsi="Times New Roman" w:cs="Times New Roman"/>
          <w:sz w:val="24"/>
          <w:szCs w:val="24"/>
          <w:lang w:val="ro-MD"/>
        </w:rPr>
        <w:t>,</w:t>
      </w:r>
      <w:r w:rsidR="00AB437E" w:rsidRPr="00DD5F1D">
        <w:rPr>
          <w:rFonts w:ascii="Times New Roman" w:hAnsi="Times New Roman" w:cs="Times New Roman"/>
          <w:sz w:val="24"/>
          <w:szCs w:val="24"/>
          <w:lang w:val="ro-MD"/>
        </w:rPr>
        <w:t xml:space="preserve"> de la 68% la 80% din salariu</w:t>
      </w:r>
      <w:r w:rsidR="003C4661" w:rsidRPr="00DD5F1D">
        <w:rPr>
          <w:rFonts w:ascii="Times New Roman" w:hAnsi="Times New Roman" w:cs="Times New Roman"/>
          <w:sz w:val="24"/>
          <w:szCs w:val="24"/>
          <w:lang w:val="ro-MD"/>
        </w:rPr>
        <w:t>l</w:t>
      </w:r>
      <w:r w:rsidR="00AB437E" w:rsidRPr="00DD5F1D">
        <w:rPr>
          <w:rFonts w:ascii="Times New Roman" w:hAnsi="Times New Roman" w:cs="Times New Roman"/>
          <w:sz w:val="24"/>
          <w:szCs w:val="24"/>
          <w:lang w:val="ro-MD"/>
        </w:rPr>
        <w:t xml:space="preserve"> mediu prognozat pe economie, la fel nu a</w:t>
      </w:r>
      <w:r w:rsidR="00B16E2D">
        <w:rPr>
          <w:rFonts w:ascii="Times New Roman" w:hAnsi="Times New Roman" w:cs="Times New Roman"/>
          <w:sz w:val="24"/>
          <w:szCs w:val="24"/>
          <w:lang w:val="ro-MD"/>
        </w:rPr>
        <w:t>u</w:t>
      </w:r>
      <w:r w:rsidR="00AB437E" w:rsidRPr="00DD5F1D">
        <w:rPr>
          <w:rFonts w:ascii="Times New Roman" w:hAnsi="Times New Roman" w:cs="Times New Roman"/>
          <w:sz w:val="24"/>
          <w:szCs w:val="24"/>
          <w:lang w:val="ro-MD"/>
        </w:rPr>
        <w:t xml:space="preserve"> avut finalitate. </w:t>
      </w:r>
    </w:p>
    <w:p w14:paraId="4B413C9D" w14:textId="329C2AAF" w:rsidR="00AB437E" w:rsidRPr="00DD5F1D" w:rsidRDefault="001549A1" w:rsidP="00AB437E">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A</w:t>
      </w:r>
      <w:r w:rsidR="00AB437E" w:rsidRPr="00DD5F1D">
        <w:rPr>
          <w:rFonts w:ascii="Times New Roman" w:hAnsi="Times New Roman" w:cs="Times New Roman"/>
          <w:sz w:val="24"/>
          <w:szCs w:val="24"/>
          <w:lang w:val="ro-MD"/>
        </w:rPr>
        <w:t>uditul menționează că unul din principiile asigurărilor sociale este principiul egalității, care asigură tuturor participanților la sistemul public</w:t>
      </w:r>
      <w:r w:rsidR="00572AD8" w:rsidRPr="00DD5F1D">
        <w:rPr>
          <w:rFonts w:ascii="Times New Roman" w:hAnsi="Times New Roman" w:cs="Times New Roman"/>
          <w:sz w:val="24"/>
          <w:szCs w:val="24"/>
          <w:lang w:val="ro-MD"/>
        </w:rPr>
        <w:t>,</w:t>
      </w:r>
      <w:r w:rsidR="00AB437E" w:rsidRPr="00DD5F1D">
        <w:rPr>
          <w:rFonts w:ascii="Times New Roman" w:hAnsi="Times New Roman" w:cs="Times New Roman"/>
          <w:sz w:val="24"/>
          <w:szCs w:val="24"/>
          <w:lang w:val="ro-MD"/>
        </w:rPr>
        <w:t xml:space="preserve"> contribuabili </w:t>
      </w:r>
      <w:r w:rsidR="00DF7D1F" w:rsidRPr="00DD5F1D">
        <w:rPr>
          <w:rFonts w:ascii="Times New Roman" w:hAnsi="Times New Roman" w:cs="Times New Roman"/>
          <w:sz w:val="24"/>
          <w:szCs w:val="24"/>
          <w:lang w:val="ro-MD"/>
        </w:rPr>
        <w:t>și</w:t>
      </w:r>
      <w:r w:rsidR="00AB437E" w:rsidRPr="00DD5F1D">
        <w:rPr>
          <w:rFonts w:ascii="Times New Roman" w:hAnsi="Times New Roman" w:cs="Times New Roman"/>
          <w:sz w:val="24"/>
          <w:szCs w:val="24"/>
          <w:lang w:val="ro-MD"/>
        </w:rPr>
        <w:t xml:space="preserve"> beneficiari</w:t>
      </w:r>
      <w:r w:rsidR="00572AD8" w:rsidRPr="00DD5F1D">
        <w:rPr>
          <w:rFonts w:ascii="Times New Roman" w:hAnsi="Times New Roman" w:cs="Times New Roman"/>
          <w:sz w:val="24"/>
          <w:szCs w:val="24"/>
          <w:lang w:val="ro-MD"/>
        </w:rPr>
        <w:t>,</w:t>
      </w:r>
      <w:r w:rsidR="00AB437E" w:rsidRPr="00DD5F1D">
        <w:rPr>
          <w:rFonts w:ascii="Times New Roman" w:hAnsi="Times New Roman" w:cs="Times New Roman"/>
          <w:sz w:val="24"/>
          <w:szCs w:val="24"/>
          <w:lang w:val="ro-MD"/>
        </w:rPr>
        <w:t xml:space="preserve">  un tratament nediscriminatoriu în ceea ce privește drepturile </w:t>
      </w:r>
      <w:r w:rsidR="00DF7D1F" w:rsidRPr="00DD5F1D">
        <w:rPr>
          <w:rFonts w:ascii="Times New Roman" w:hAnsi="Times New Roman" w:cs="Times New Roman"/>
          <w:sz w:val="24"/>
          <w:szCs w:val="24"/>
          <w:lang w:val="ro-MD"/>
        </w:rPr>
        <w:t>și</w:t>
      </w:r>
      <w:r w:rsidR="00AB437E" w:rsidRPr="00DD5F1D">
        <w:rPr>
          <w:rFonts w:ascii="Times New Roman" w:hAnsi="Times New Roman" w:cs="Times New Roman"/>
          <w:sz w:val="24"/>
          <w:szCs w:val="24"/>
          <w:lang w:val="ro-MD"/>
        </w:rPr>
        <w:t xml:space="preserve"> obligațiile prevăzute de lege. Astfel, prevederile </w:t>
      </w:r>
      <w:r w:rsidRPr="00DD5F1D">
        <w:rPr>
          <w:rFonts w:ascii="Times New Roman" w:hAnsi="Times New Roman" w:cs="Times New Roman"/>
          <w:sz w:val="24"/>
          <w:szCs w:val="24"/>
          <w:lang w:val="ro-MD"/>
        </w:rPr>
        <w:t>legale de susținere a parcurilor</w:t>
      </w:r>
      <w:r w:rsidR="00AB437E" w:rsidRPr="00DD5F1D">
        <w:rPr>
          <w:rFonts w:ascii="Times New Roman" w:hAnsi="Times New Roman" w:cs="Times New Roman"/>
          <w:sz w:val="24"/>
          <w:szCs w:val="24"/>
          <w:lang w:val="ro-MD"/>
        </w:rPr>
        <w:t xml:space="preserve"> TI prin politici sociale nu asigură pe deplin respectarea principiului menționat.</w:t>
      </w:r>
    </w:p>
    <w:p w14:paraId="601E0B13" w14:textId="0828550C" w:rsidR="00F85A35" w:rsidRPr="00DD5F1D" w:rsidRDefault="00F85A35" w:rsidP="00E836B2">
      <w:pPr>
        <w:pStyle w:val="aa"/>
        <w:numPr>
          <w:ilvl w:val="1"/>
          <w:numId w:val="2"/>
        </w:numPr>
        <w:shd w:val="clear" w:color="auto" w:fill="FFFFFF" w:themeFill="background1"/>
        <w:spacing w:before="240" w:after="0" w:line="276" w:lineRule="auto"/>
        <w:ind w:left="0" w:firstLine="0"/>
        <w:jc w:val="both"/>
        <w:outlineLvl w:val="1"/>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Incertitudinile prevederilor actelor normative, precum și necunoașterea de către beneficiari a condițiilor și criteriilor la stabilirea prestațiilor</w:t>
      </w:r>
      <w:r w:rsidR="00371308" w:rsidRPr="00DD5F1D">
        <w:rPr>
          <w:rFonts w:ascii="Times New Roman" w:eastAsia="Times New Roman" w:hAnsi="Times New Roman" w:cs="Times New Roman"/>
          <w:b/>
          <w:sz w:val="24"/>
          <w:szCs w:val="24"/>
          <w:lang w:val="ro-MD"/>
        </w:rPr>
        <w:t>,</w:t>
      </w:r>
      <w:r w:rsidRPr="00DD5F1D">
        <w:rPr>
          <w:rFonts w:ascii="Times New Roman" w:eastAsia="Times New Roman" w:hAnsi="Times New Roman" w:cs="Times New Roman"/>
          <w:b/>
          <w:sz w:val="24"/>
          <w:szCs w:val="24"/>
          <w:lang w:val="ro-MD"/>
        </w:rPr>
        <w:t xml:space="preserve"> în special la pensii</w:t>
      </w:r>
      <w:r w:rsidR="00371308" w:rsidRPr="00DD5F1D">
        <w:rPr>
          <w:rFonts w:ascii="Times New Roman" w:eastAsia="Times New Roman" w:hAnsi="Times New Roman" w:cs="Times New Roman"/>
          <w:b/>
          <w:sz w:val="24"/>
          <w:szCs w:val="24"/>
          <w:lang w:val="ro-MD"/>
        </w:rPr>
        <w:t>,</w:t>
      </w:r>
      <w:r w:rsidRPr="00DD5F1D">
        <w:rPr>
          <w:rFonts w:ascii="Times New Roman" w:eastAsia="Times New Roman" w:hAnsi="Times New Roman" w:cs="Times New Roman"/>
          <w:b/>
          <w:sz w:val="24"/>
          <w:szCs w:val="24"/>
          <w:lang w:val="ro-MD"/>
        </w:rPr>
        <w:t xml:space="preserve"> determină neclarități și înaintarea multiplelor petiții </w:t>
      </w:r>
      <w:r w:rsidR="00572AD8" w:rsidRPr="00DD5F1D">
        <w:rPr>
          <w:rFonts w:ascii="Times New Roman" w:eastAsia="Times New Roman" w:hAnsi="Times New Roman" w:cs="Times New Roman"/>
          <w:b/>
          <w:sz w:val="24"/>
          <w:szCs w:val="24"/>
          <w:lang w:val="ro-MD"/>
        </w:rPr>
        <w:t>din partea</w:t>
      </w:r>
      <w:r w:rsidRPr="00DD5F1D">
        <w:rPr>
          <w:rFonts w:ascii="Times New Roman" w:eastAsia="Times New Roman" w:hAnsi="Times New Roman" w:cs="Times New Roman"/>
          <w:b/>
          <w:sz w:val="24"/>
          <w:szCs w:val="24"/>
          <w:lang w:val="ro-MD"/>
        </w:rPr>
        <w:t xml:space="preserve"> beneficiarilor</w:t>
      </w:r>
      <w:r w:rsidR="00572AD8" w:rsidRPr="00DD5F1D">
        <w:rPr>
          <w:rFonts w:ascii="Times New Roman" w:eastAsia="Times New Roman" w:hAnsi="Times New Roman" w:cs="Times New Roman"/>
          <w:b/>
          <w:sz w:val="24"/>
          <w:szCs w:val="24"/>
          <w:lang w:val="ro-MD"/>
        </w:rPr>
        <w:t>.</w:t>
      </w:r>
    </w:p>
    <w:p w14:paraId="7B9BB0EA" w14:textId="510394C4" w:rsidR="00F85A35" w:rsidRPr="00DD5F1D" w:rsidRDefault="00F85A35" w:rsidP="00F85A35">
      <w:pPr>
        <w:shd w:val="clear" w:color="auto" w:fill="FFFFFF" w:themeFill="background1"/>
        <w:spacing w:before="240" w:after="0" w:line="276"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 xml:space="preserve">În cadrul prezentei misiuni de audit au fost examinate două petiții privind corectitudinea stabilirii mărimii pensiei pentru limită de vârstă, reieșind din documentele anexate la dosarele de pensionare ale petiționarilor. S-a constatat că mărimile prestațiilor acordate au fost calculate de Casa Națională conform cadrului legislativ în vigoare la perioada respectivă, apoi majorate </w:t>
      </w:r>
      <w:r w:rsidR="00572AD8" w:rsidRPr="00DD5F1D">
        <w:rPr>
          <w:rFonts w:ascii="Times New Roman" w:eastAsia="Times New Roman" w:hAnsi="Times New Roman" w:cs="Times New Roman"/>
          <w:sz w:val="24"/>
          <w:szCs w:val="24"/>
          <w:lang w:val="ro-MD"/>
        </w:rPr>
        <w:t>în baza</w:t>
      </w:r>
      <w:r w:rsidRPr="00DD5F1D">
        <w:rPr>
          <w:rFonts w:ascii="Times New Roman" w:eastAsia="Times New Roman" w:hAnsi="Times New Roman" w:cs="Times New Roman"/>
          <w:sz w:val="24"/>
          <w:szCs w:val="24"/>
          <w:lang w:val="ro-MD"/>
        </w:rPr>
        <w:t xml:space="preserve"> coeficientul</w:t>
      </w:r>
      <w:r w:rsidR="00572AD8" w:rsidRPr="00DD5F1D">
        <w:rPr>
          <w:rFonts w:ascii="Times New Roman" w:eastAsia="Times New Roman" w:hAnsi="Times New Roman" w:cs="Times New Roman"/>
          <w:sz w:val="24"/>
          <w:szCs w:val="24"/>
          <w:lang w:val="ro-MD"/>
        </w:rPr>
        <w:t>ui</w:t>
      </w:r>
      <w:r w:rsidRPr="00DD5F1D">
        <w:rPr>
          <w:rFonts w:ascii="Times New Roman" w:eastAsia="Times New Roman" w:hAnsi="Times New Roman" w:cs="Times New Roman"/>
          <w:sz w:val="24"/>
          <w:szCs w:val="24"/>
          <w:lang w:val="ro-MD"/>
        </w:rPr>
        <w:t xml:space="preserve"> </w:t>
      </w:r>
      <w:r w:rsidR="00572AD8" w:rsidRPr="00DD5F1D">
        <w:rPr>
          <w:rFonts w:ascii="Times New Roman" w:eastAsia="Times New Roman" w:hAnsi="Times New Roman" w:cs="Times New Roman"/>
          <w:sz w:val="24"/>
          <w:szCs w:val="24"/>
          <w:lang w:val="ro-MD"/>
        </w:rPr>
        <w:t xml:space="preserve">aferent </w:t>
      </w:r>
      <w:r w:rsidRPr="00DD5F1D">
        <w:rPr>
          <w:rFonts w:ascii="Times New Roman" w:eastAsia="Times New Roman" w:hAnsi="Times New Roman" w:cs="Times New Roman"/>
          <w:sz w:val="24"/>
          <w:szCs w:val="24"/>
          <w:lang w:val="ro-MD"/>
        </w:rPr>
        <w:t xml:space="preserve">indexărilor anuale și valorizărilor prevăzute. Rezultatele determinării și evaluării tuturor circumstanțelor care au stat la baza stabilirii pensiei, și anume: stagiul de cotizare realizat și venitul asigurat confirmate corespunzător, nu relevă erori. Totodată, se denotă că într-un caz aplicarea diferitor reglementări în perioade diferite, în contextul modificărilor legislative, influențează cuantumul pensiei. </w:t>
      </w:r>
    </w:p>
    <w:p w14:paraId="6B07D454" w14:textId="3ED0C200" w:rsidR="00F85A35" w:rsidRPr="00DD5F1D" w:rsidRDefault="001549A1" w:rsidP="00F85A35">
      <w:pPr>
        <w:shd w:val="clear" w:color="auto" w:fill="FFFFFF" w:themeFill="background1"/>
        <w:spacing w:before="240" w:after="0" w:line="276"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L</w:t>
      </w:r>
      <w:r w:rsidR="00F85A35" w:rsidRPr="00DD5F1D">
        <w:rPr>
          <w:rFonts w:ascii="Times New Roman" w:eastAsia="Times New Roman" w:hAnsi="Times New Roman" w:cs="Times New Roman"/>
          <w:sz w:val="24"/>
          <w:szCs w:val="24"/>
          <w:lang w:val="ro-MD"/>
        </w:rPr>
        <w:t xml:space="preserve">a acest aspect </w:t>
      </w:r>
      <w:r w:rsidR="006519FF" w:rsidRPr="00DD5F1D">
        <w:rPr>
          <w:rFonts w:ascii="Times New Roman" w:eastAsia="Times New Roman" w:hAnsi="Times New Roman" w:cs="Times New Roman"/>
          <w:sz w:val="24"/>
          <w:szCs w:val="24"/>
          <w:lang w:val="ro-MD"/>
        </w:rPr>
        <w:t xml:space="preserve">se constată </w:t>
      </w:r>
      <w:r w:rsidR="00F85A35" w:rsidRPr="00DD5F1D">
        <w:rPr>
          <w:rFonts w:ascii="Times New Roman" w:eastAsia="Times New Roman" w:hAnsi="Times New Roman" w:cs="Times New Roman"/>
          <w:sz w:val="24"/>
          <w:szCs w:val="24"/>
          <w:lang w:val="ro-MD"/>
        </w:rPr>
        <w:t>că formulele de calcul al pensii</w:t>
      </w:r>
      <w:r w:rsidR="00F64432" w:rsidRPr="00DD5F1D">
        <w:rPr>
          <w:rFonts w:ascii="Times New Roman" w:eastAsia="Times New Roman" w:hAnsi="Times New Roman" w:cs="Times New Roman"/>
          <w:sz w:val="24"/>
          <w:szCs w:val="24"/>
          <w:lang w:val="ro-MD"/>
        </w:rPr>
        <w:t>lor au suferit modificare începâ</w:t>
      </w:r>
      <w:r w:rsidR="00F85A35" w:rsidRPr="00DD5F1D">
        <w:rPr>
          <w:rFonts w:ascii="Times New Roman" w:eastAsia="Times New Roman" w:hAnsi="Times New Roman" w:cs="Times New Roman"/>
          <w:sz w:val="24"/>
          <w:szCs w:val="24"/>
          <w:lang w:val="ro-MD"/>
        </w:rPr>
        <w:t>nd cu anul 2017. Astfel, pen</w:t>
      </w:r>
      <w:r w:rsidR="00F64432" w:rsidRPr="00DD5F1D">
        <w:rPr>
          <w:rFonts w:ascii="Times New Roman" w:eastAsia="Times New Roman" w:hAnsi="Times New Roman" w:cs="Times New Roman"/>
          <w:sz w:val="24"/>
          <w:szCs w:val="24"/>
          <w:lang w:val="ro-MD"/>
        </w:rPr>
        <w:t>tru perioada de activitate de pâ</w:t>
      </w:r>
      <w:r w:rsidR="00F85A35" w:rsidRPr="00DD5F1D">
        <w:rPr>
          <w:rFonts w:ascii="Times New Roman" w:eastAsia="Times New Roman" w:hAnsi="Times New Roman" w:cs="Times New Roman"/>
          <w:sz w:val="24"/>
          <w:szCs w:val="24"/>
          <w:lang w:val="ro-MD"/>
        </w:rPr>
        <w:t>nă la 01.01.1999, coeficientul individual al pensionarului (care nu putea depăși 5) a fost înlocuit cu coeficientul nivelului profesional (care nu poate depăși 3), iar veniturile aferente acestei perioade nu se mai iau în considerare dacă stagiul de cotizare du</w:t>
      </w:r>
      <w:r w:rsidR="00D509B5" w:rsidRPr="00DD5F1D">
        <w:rPr>
          <w:rFonts w:ascii="Times New Roman" w:eastAsia="Times New Roman" w:hAnsi="Times New Roman" w:cs="Times New Roman"/>
          <w:sz w:val="24"/>
          <w:szCs w:val="24"/>
          <w:lang w:val="ro-MD"/>
        </w:rPr>
        <w:t xml:space="preserve">pă 01.01.1999 depășește 5 ani. </w:t>
      </w:r>
      <w:r w:rsidR="00F85A35" w:rsidRPr="00DD5F1D">
        <w:rPr>
          <w:rFonts w:ascii="Times New Roman" w:eastAsia="Times New Roman" w:hAnsi="Times New Roman" w:cs="Times New Roman"/>
          <w:sz w:val="24"/>
          <w:szCs w:val="24"/>
          <w:lang w:val="ro-MD"/>
        </w:rPr>
        <w:t>De asemenea, în perioada 2017-2021, la calcularea/valorizarea și recalcularea pensiilor, pentru anii lucrați ce depășesc stagiul de coti</w:t>
      </w:r>
      <w:r w:rsidR="00D509B5" w:rsidRPr="00DD5F1D">
        <w:rPr>
          <w:rFonts w:ascii="Times New Roman" w:eastAsia="Times New Roman" w:hAnsi="Times New Roman" w:cs="Times New Roman"/>
          <w:sz w:val="24"/>
          <w:szCs w:val="24"/>
          <w:lang w:val="ro-MD"/>
        </w:rPr>
        <w:t>zare stabilit de cadrul legal, în formula de calcul s-a utilizat 1,35%</w:t>
      </w:r>
      <w:r w:rsidR="00E5085A">
        <w:rPr>
          <w:rFonts w:ascii="Times New Roman" w:eastAsia="Times New Roman" w:hAnsi="Times New Roman" w:cs="Times New Roman"/>
          <w:sz w:val="24"/>
          <w:szCs w:val="24"/>
          <w:lang w:val="ro-MD"/>
        </w:rPr>
        <w:t xml:space="preserve"> per an</w:t>
      </w:r>
      <w:r w:rsidR="00D509B5" w:rsidRPr="00DD5F1D">
        <w:rPr>
          <w:rFonts w:ascii="Times New Roman" w:eastAsia="Times New Roman" w:hAnsi="Times New Roman" w:cs="Times New Roman"/>
          <w:sz w:val="24"/>
          <w:szCs w:val="24"/>
          <w:lang w:val="ro-MD"/>
        </w:rPr>
        <w:t>, iar conform modificărilor</w:t>
      </w:r>
      <w:r w:rsidR="00D509B5" w:rsidRPr="00DD5F1D">
        <w:rPr>
          <w:rStyle w:val="a5"/>
          <w:rFonts w:ascii="Times New Roman" w:eastAsia="Times New Roman" w:hAnsi="Times New Roman" w:cs="Times New Roman"/>
          <w:sz w:val="24"/>
          <w:szCs w:val="24"/>
          <w:lang w:val="ro-MD"/>
        </w:rPr>
        <w:footnoteReference w:id="134"/>
      </w:r>
      <w:r w:rsidR="00D509B5" w:rsidRPr="00DD5F1D">
        <w:rPr>
          <w:rFonts w:ascii="Times New Roman" w:eastAsia="Times New Roman" w:hAnsi="Times New Roman" w:cs="Times New Roman"/>
          <w:sz w:val="24"/>
          <w:szCs w:val="24"/>
          <w:lang w:val="ro-MD"/>
        </w:rPr>
        <w:t xml:space="preserve"> începând cu anul 202</w:t>
      </w:r>
      <w:r w:rsidR="00D173CE" w:rsidRPr="00DD5F1D">
        <w:rPr>
          <w:rFonts w:ascii="Times New Roman" w:eastAsia="Times New Roman" w:hAnsi="Times New Roman" w:cs="Times New Roman"/>
          <w:sz w:val="24"/>
          <w:szCs w:val="24"/>
          <w:lang w:val="ro-MD"/>
        </w:rPr>
        <w:t>3</w:t>
      </w:r>
      <w:r w:rsidR="00D509B5" w:rsidRPr="00DD5F1D">
        <w:rPr>
          <w:rFonts w:ascii="Times New Roman" w:eastAsia="Times New Roman" w:hAnsi="Times New Roman" w:cs="Times New Roman"/>
          <w:sz w:val="24"/>
          <w:szCs w:val="24"/>
          <w:lang w:val="ro-MD"/>
        </w:rPr>
        <w:t>, acesta s-a majorat până la 2%</w:t>
      </w:r>
      <w:r w:rsidR="00E5085A">
        <w:rPr>
          <w:rFonts w:ascii="Times New Roman" w:eastAsia="Times New Roman" w:hAnsi="Times New Roman" w:cs="Times New Roman"/>
          <w:sz w:val="24"/>
          <w:szCs w:val="24"/>
          <w:lang w:val="ro-MD"/>
        </w:rPr>
        <w:t xml:space="preserve"> per an</w:t>
      </w:r>
      <w:r w:rsidR="00D509B5" w:rsidRPr="00DD5F1D">
        <w:rPr>
          <w:rFonts w:ascii="Times New Roman" w:eastAsia="Times New Roman" w:hAnsi="Times New Roman" w:cs="Times New Roman"/>
          <w:sz w:val="24"/>
          <w:szCs w:val="24"/>
          <w:lang w:val="ro-MD"/>
        </w:rPr>
        <w:t>.</w:t>
      </w:r>
      <w:r w:rsidR="00F85A35" w:rsidRPr="00DD5F1D">
        <w:rPr>
          <w:rFonts w:ascii="Times New Roman" w:eastAsia="Times New Roman" w:hAnsi="Times New Roman" w:cs="Times New Roman"/>
          <w:sz w:val="24"/>
          <w:szCs w:val="24"/>
          <w:lang w:val="ro-MD"/>
        </w:rPr>
        <w:t xml:space="preserve"> </w:t>
      </w:r>
      <w:r w:rsidR="008F4584" w:rsidRPr="00DD5F1D">
        <w:rPr>
          <w:rFonts w:ascii="Times New Roman" w:eastAsia="Times New Roman" w:hAnsi="Times New Roman" w:cs="Times New Roman"/>
          <w:sz w:val="24"/>
          <w:szCs w:val="24"/>
          <w:lang w:val="ro-MD"/>
        </w:rPr>
        <w:t>Cadrul normativ stabilește anual coeficienții de valorizare</w:t>
      </w:r>
      <w:r w:rsidR="00C963F8" w:rsidRPr="00DD5F1D">
        <w:rPr>
          <w:rStyle w:val="a5"/>
          <w:rFonts w:ascii="Times New Roman" w:eastAsia="Times New Roman" w:hAnsi="Times New Roman" w:cs="Times New Roman"/>
          <w:sz w:val="24"/>
          <w:szCs w:val="24"/>
          <w:lang w:val="ro-MD"/>
        </w:rPr>
        <w:footnoteReference w:id="135"/>
      </w:r>
      <w:r w:rsidR="008F4584" w:rsidRPr="00DD5F1D">
        <w:rPr>
          <w:rFonts w:ascii="Times New Roman" w:eastAsia="Times New Roman" w:hAnsi="Times New Roman" w:cs="Times New Roman"/>
          <w:sz w:val="24"/>
          <w:szCs w:val="24"/>
          <w:lang w:val="ro-MD"/>
        </w:rPr>
        <w:t xml:space="preserve"> și indexare a pensiilor. Astfel, pentru perioada 1999-2023 cumulativ acești coeficienți sunt: la valorizare</w:t>
      </w:r>
      <w:r w:rsidR="00572AD8" w:rsidRPr="00DD5F1D">
        <w:rPr>
          <w:rFonts w:ascii="Times New Roman" w:eastAsia="Times New Roman" w:hAnsi="Times New Roman" w:cs="Times New Roman"/>
          <w:sz w:val="24"/>
          <w:szCs w:val="24"/>
          <w:lang w:val="ro-MD"/>
        </w:rPr>
        <w:t>a</w:t>
      </w:r>
      <w:r w:rsidR="008F4584" w:rsidRPr="00DD5F1D">
        <w:rPr>
          <w:rFonts w:ascii="Times New Roman" w:eastAsia="Times New Roman" w:hAnsi="Times New Roman" w:cs="Times New Roman"/>
          <w:sz w:val="24"/>
          <w:szCs w:val="24"/>
          <w:lang w:val="ro-MD"/>
        </w:rPr>
        <w:t xml:space="preserve"> pensiilor (creșterea salariului mediu) </w:t>
      </w:r>
      <w:r w:rsidR="00572AD8" w:rsidRPr="00DD5F1D">
        <w:rPr>
          <w:rFonts w:ascii="Times New Roman" w:eastAsia="Times New Roman" w:hAnsi="Times New Roman" w:cs="Times New Roman"/>
          <w:sz w:val="24"/>
          <w:szCs w:val="24"/>
          <w:lang w:val="ro-MD"/>
        </w:rPr>
        <w:t>–</w:t>
      </w:r>
      <w:r w:rsidR="008F4584" w:rsidRPr="00DD5F1D">
        <w:rPr>
          <w:rFonts w:ascii="Times New Roman" w:eastAsia="Times New Roman" w:hAnsi="Times New Roman" w:cs="Times New Roman"/>
          <w:sz w:val="24"/>
          <w:szCs w:val="24"/>
          <w:lang w:val="ro-MD"/>
        </w:rPr>
        <w:t xml:space="preserve"> 40,5604, la indexarea pensiilor </w:t>
      </w:r>
      <w:r w:rsidR="00572AD8" w:rsidRPr="00DD5F1D">
        <w:rPr>
          <w:rFonts w:ascii="Times New Roman" w:eastAsia="Times New Roman" w:hAnsi="Times New Roman" w:cs="Times New Roman"/>
          <w:sz w:val="24"/>
          <w:szCs w:val="24"/>
          <w:lang w:val="ro-MD"/>
        </w:rPr>
        <w:t>–</w:t>
      </w:r>
      <w:r w:rsidR="008F4584" w:rsidRPr="00DD5F1D">
        <w:rPr>
          <w:rFonts w:ascii="Times New Roman" w:eastAsia="Times New Roman" w:hAnsi="Times New Roman" w:cs="Times New Roman"/>
          <w:sz w:val="24"/>
          <w:szCs w:val="24"/>
          <w:lang w:val="ro-MD"/>
        </w:rPr>
        <w:t xml:space="preserve"> 21,9122, </w:t>
      </w:r>
      <w:r w:rsidR="00B30BEF" w:rsidRPr="00DD5F1D">
        <w:rPr>
          <w:rFonts w:ascii="Times New Roman" w:eastAsia="Times New Roman" w:hAnsi="Times New Roman" w:cs="Times New Roman"/>
          <w:sz w:val="24"/>
          <w:szCs w:val="24"/>
          <w:lang w:val="ro-MD"/>
        </w:rPr>
        <w:t>totodată nivelul inflației a constituit</w:t>
      </w:r>
      <w:r w:rsidR="008F4584" w:rsidRPr="00DD5F1D">
        <w:rPr>
          <w:rFonts w:ascii="Times New Roman" w:eastAsia="Times New Roman" w:hAnsi="Times New Roman" w:cs="Times New Roman"/>
          <w:sz w:val="24"/>
          <w:szCs w:val="24"/>
          <w:lang w:val="ro-MD"/>
        </w:rPr>
        <w:t xml:space="preserve"> 10,5547.</w:t>
      </w:r>
    </w:p>
    <w:p w14:paraId="266991F4" w14:textId="55722A6B" w:rsidR="00E836B2" w:rsidRPr="00DD5F1D" w:rsidRDefault="00E836B2" w:rsidP="00D509B5">
      <w:pPr>
        <w:shd w:val="clear" w:color="auto" w:fill="FFFFFF" w:themeFill="background1"/>
        <w:spacing w:before="240" w:line="276"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 xml:space="preserve">De exemplu, pentru un beneficiar, la trecerea de la un tip de pensie (invaliditate) la altul (limită de vârstă), s-a obținut un cuantum </w:t>
      </w:r>
      <w:r w:rsidR="00E5085A">
        <w:rPr>
          <w:rFonts w:ascii="Times New Roman" w:eastAsia="Times New Roman" w:hAnsi="Times New Roman" w:cs="Times New Roman"/>
          <w:sz w:val="24"/>
          <w:szCs w:val="24"/>
          <w:lang w:val="ro-MD"/>
        </w:rPr>
        <w:t xml:space="preserve">al pensiei </w:t>
      </w:r>
      <w:r w:rsidRPr="00DD5F1D">
        <w:rPr>
          <w:rFonts w:ascii="Times New Roman" w:eastAsia="Times New Roman" w:hAnsi="Times New Roman" w:cs="Times New Roman"/>
          <w:sz w:val="24"/>
          <w:szCs w:val="24"/>
          <w:lang w:val="ro-MD"/>
        </w:rPr>
        <w:t xml:space="preserve">mai mic. De </w:t>
      </w:r>
      <w:r w:rsidR="00D509B5" w:rsidRPr="00DD5F1D">
        <w:rPr>
          <w:rFonts w:ascii="Times New Roman" w:eastAsia="Times New Roman" w:hAnsi="Times New Roman" w:cs="Times New Roman"/>
          <w:sz w:val="24"/>
          <w:szCs w:val="24"/>
          <w:lang w:val="ro-MD"/>
        </w:rPr>
        <w:t>asemenea, în alt</w:t>
      </w:r>
      <w:r w:rsidRPr="00DD5F1D">
        <w:rPr>
          <w:rFonts w:ascii="Times New Roman" w:eastAsia="Times New Roman" w:hAnsi="Times New Roman" w:cs="Times New Roman"/>
          <w:sz w:val="24"/>
          <w:szCs w:val="24"/>
          <w:lang w:val="ro-MD"/>
        </w:rPr>
        <w:t xml:space="preserve"> caz, la stabilirea inițială a pensiei, formulele de calcul includeau inclusiv veniturile obținute până în anul 1999, iar la reexaminarea pensiei pentru limită de </w:t>
      </w:r>
      <w:r w:rsidR="001549A1" w:rsidRPr="00DD5F1D">
        <w:rPr>
          <w:rFonts w:ascii="Times New Roman" w:eastAsia="Times New Roman" w:hAnsi="Times New Roman" w:cs="Times New Roman"/>
          <w:sz w:val="24"/>
          <w:szCs w:val="24"/>
          <w:lang w:val="ro-MD"/>
        </w:rPr>
        <w:t>vârstă</w:t>
      </w:r>
      <w:r w:rsidRPr="00DD5F1D">
        <w:rPr>
          <w:rFonts w:ascii="Times New Roman" w:eastAsia="Times New Roman" w:hAnsi="Times New Roman" w:cs="Times New Roman"/>
          <w:sz w:val="24"/>
          <w:szCs w:val="24"/>
          <w:lang w:val="ro-MD"/>
        </w:rPr>
        <w:t xml:space="preserve">, în anul 2022, reieșind din cadrul legislativ la momentul respectiv, pensia a fost calculată din veniturile obținute după anul 1999, ceea ce a determinat majorarea pensiei doar cu 13 lei. </w:t>
      </w:r>
    </w:p>
    <w:p w14:paraId="3B1105CC" w14:textId="41032E72" w:rsidR="00F85A35" w:rsidRPr="00DD5F1D" w:rsidRDefault="00F85A35" w:rsidP="002B3F50">
      <w:pPr>
        <w:autoSpaceDE w:val="0"/>
        <w:autoSpaceDN w:val="0"/>
        <w:adjustRightInd w:val="0"/>
        <w:spacing w:after="120" w:line="276" w:lineRule="auto"/>
        <w:jc w:val="both"/>
        <w:rPr>
          <w:rFonts w:ascii="Times New Roman" w:hAnsi="Times New Roman" w:cs="Times New Roman"/>
          <w:color w:val="000000"/>
          <w:sz w:val="24"/>
          <w:szCs w:val="24"/>
          <w:lang w:val="ro-MD"/>
        </w:rPr>
      </w:pPr>
      <w:r w:rsidRPr="00DD5F1D">
        <w:rPr>
          <w:rFonts w:ascii="Times New Roman" w:hAnsi="Times New Roman" w:cs="Times New Roman"/>
          <w:color w:val="000000"/>
          <w:sz w:val="24"/>
          <w:szCs w:val="24"/>
          <w:lang w:val="ro-MD"/>
        </w:rPr>
        <w:t xml:space="preserve">O altă petiție s-a axat pe refuzul stabilirii pensiei. În </w:t>
      </w:r>
      <w:r w:rsidR="00572AD8" w:rsidRPr="00DD5F1D">
        <w:rPr>
          <w:rFonts w:ascii="Times New Roman" w:hAnsi="Times New Roman" w:cs="Times New Roman"/>
          <w:color w:val="000000"/>
          <w:sz w:val="24"/>
          <w:szCs w:val="24"/>
          <w:lang w:val="ro-MD"/>
        </w:rPr>
        <w:t>urma</w:t>
      </w:r>
      <w:r w:rsidRPr="00DD5F1D">
        <w:rPr>
          <w:rFonts w:ascii="Times New Roman" w:hAnsi="Times New Roman" w:cs="Times New Roman"/>
          <w:color w:val="000000"/>
          <w:sz w:val="24"/>
          <w:szCs w:val="24"/>
          <w:lang w:val="ro-MD"/>
        </w:rPr>
        <w:t xml:space="preserve"> verificării documentelor din dosarul personal s-a constatat că</w:t>
      </w:r>
      <w:r w:rsidR="00572AD8" w:rsidRPr="00DD5F1D">
        <w:rPr>
          <w:rFonts w:ascii="Times New Roman" w:hAnsi="Times New Roman" w:cs="Times New Roman"/>
          <w:color w:val="000000"/>
          <w:sz w:val="24"/>
          <w:szCs w:val="24"/>
          <w:lang w:val="ro-MD"/>
        </w:rPr>
        <w:t>,</w:t>
      </w:r>
      <w:r w:rsidRPr="00DD5F1D">
        <w:rPr>
          <w:rFonts w:ascii="Times New Roman" w:hAnsi="Times New Roman" w:cs="Times New Roman"/>
          <w:color w:val="000000"/>
          <w:sz w:val="24"/>
          <w:szCs w:val="24"/>
          <w:lang w:val="ro-MD"/>
        </w:rPr>
        <w:t xml:space="preserve"> la data de 26.10.2023</w:t>
      </w:r>
      <w:r w:rsidR="00572AD8" w:rsidRPr="00DD5F1D">
        <w:rPr>
          <w:rFonts w:ascii="Times New Roman" w:hAnsi="Times New Roman" w:cs="Times New Roman"/>
          <w:color w:val="000000"/>
          <w:sz w:val="24"/>
          <w:szCs w:val="24"/>
          <w:lang w:val="ro-MD"/>
        </w:rPr>
        <w:t>,</w:t>
      </w:r>
      <w:r w:rsidRPr="00DD5F1D">
        <w:rPr>
          <w:rFonts w:ascii="Times New Roman" w:hAnsi="Times New Roman" w:cs="Times New Roman"/>
          <w:color w:val="000000"/>
          <w:sz w:val="24"/>
          <w:szCs w:val="24"/>
          <w:lang w:val="ro-MD"/>
        </w:rPr>
        <w:t xml:space="preserve"> persoana a depus cerere pentru realizarea dreptului la pensie ca </w:t>
      </w:r>
      <w:r w:rsidR="00D509B5" w:rsidRPr="00DD5F1D">
        <w:rPr>
          <w:rFonts w:ascii="Times New Roman" w:hAnsi="Times New Roman" w:cs="Times New Roman"/>
          <w:color w:val="000000"/>
          <w:sz w:val="24"/>
          <w:szCs w:val="24"/>
          <w:lang w:val="ro-MD"/>
        </w:rPr>
        <w:t>funcționar</w:t>
      </w:r>
      <w:r w:rsidRPr="00DD5F1D">
        <w:rPr>
          <w:rFonts w:ascii="Times New Roman" w:hAnsi="Times New Roman" w:cs="Times New Roman"/>
          <w:color w:val="000000"/>
          <w:sz w:val="24"/>
          <w:szCs w:val="24"/>
          <w:lang w:val="ro-MD"/>
        </w:rPr>
        <w:t xml:space="preserve"> public. Prin decizia CTAS, cererea a fost respinsă pe motiv că la 01 ianuarie 2017 nu confirma stagiu</w:t>
      </w:r>
      <w:r w:rsidR="00572AD8" w:rsidRPr="00DD5F1D">
        <w:rPr>
          <w:rFonts w:ascii="Times New Roman" w:hAnsi="Times New Roman" w:cs="Times New Roman"/>
          <w:color w:val="000000"/>
          <w:sz w:val="24"/>
          <w:szCs w:val="24"/>
          <w:lang w:val="ro-MD"/>
        </w:rPr>
        <w:t>l</w:t>
      </w:r>
      <w:r w:rsidRPr="00DD5F1D">
        <w:rPr>
          <w:rFonts w:ascii="Times New Roman" w:hAnsi="Times New Roman" w:cs="Times New Roman"/>
          <w:color w:val="000000"/>
          <w:sz w:val="24"/>
          <w:szCs w:val="24"/>
          <w:lang w:val="ro-MD"/>
        </w:rPr>
        <w:t xml:space="preserve"> de cotizare necesar de 33 ani.</w:t>
      </w:r>
    </w:p>
    <w:p w14:paraId="171839E1" w14:textId="02B610CE" w:rsidR="00F85A35" w:rsidRPr="00DD5F1D" w:rsidRDefault="00F85A35" w:rsidP="002B3F50">
      <w:pPr>
        <w:autoSpaceDE w:val="0"/>
        <w:autoSpaceDN w:val="0"/>
        <w:adjustRightInd w:val="0"/>
        <w:spacing w:after="120" w:line="276" w:lineRule="auto"/>
        <w:jc w:val="both"/>
        <w:rPr>
          <w:rFonts w:ascii="Times New Roman" w:hAnsi="Times New Roman" w:cs="Times New Roman"/>
          <w:color w:val="000000" w:themeColor="text1"/>
          <w:sz w:val="24"/>
          <w:szCs w:val="24"/>
          <w:lang w:val="ro-MD"/>
        </w:rPr>
      </w:pPr>
      <w:r w:rsidRPr="00DD5F1D">
        <w:rPr>
          <w:rFonts w:ascii="Times New Roman" w:hAnsi="Times New Roman" w:cs="Times New Roman"/>
          <w:color w:val="000000"/>
          <w:sz w:val="24"/>
          <w:szCs w:val="24"/>
          <w:lang w:val="ro-MD"/>
        </w:rPr>
        <w:t xml:space="preserve">În </w:t>
      </w:r>
      <w:r w:rsidR="00572AD8" w:rsidRPr="00DD5F1D">
        <w:rPr>
          <w:rFonts w:ascii="Times New Roman" w:hAnsi="Times New Roman" w:cs="Times New Roman"/>
          <w:color w:val="000000"/>
          <w:sz w:val="24"/>
          <w:szCs w:val="24"/>
          <w:lang w:val="ro-MD"/>
        </w:rPr>
        <w:t xml:space="preserve">acest </w:t>
      </w:r>
      <w:r w:rsidRPr="00DD5F1D">
        <w:rPr>
          <w:rFonts w:ascii="Times New Roman" w:hAnsi="Times New Roman" w:cs="Times New Roman"/>
          <w:color w:val="000000"/>
          <w:sz w:val="24"/>
          <w:szCs w:val="24"/>
          <w:lang w:val="ro-MD"/>
        </w:rPr>
        <w:t>context, auditul menționează că</w:t>
      </w:r>
      <w:r w:rsidR="00572AD8" w:rsidRPr="00DD5F1D">
        <w:rPr>
          <w:rFonts w:ascii="Times New Roman" w:hAnsi="Times New Roman" w:cs="Times New Roman"/>
          <w:color w:val="000000"/>
          <w:sz w:val="24"/>
          <w:szCs w:val="24"/>
          <w:lang w:val="ro-MD"/>
        </w:rPr>
        <w:t>,</w:t>
      </w:r>
      <w:r w:rsidRPr="00DD5F1D">
        <w:rPr>
          <w:rFonts w:ascii="Times New Roman" w:hAnsi="Times New Roman" w:cs="Times New Roman"/>
          <w:color w:val="000000"/>
          <w:sz w:val="24"/>
          <w:szCs w:val="24"/>
          <w:lang w:val="ro-MD"/>
        </w:rPr>
        <w:t xml:space="preserve"> potrivit cadrului normativ</w:t>
      </w:r>
      <w:r w:rsidRPr="00DD5F1D">
        <w:rPr>
          <w:rFonts w:ascii="Times New Roman" w:hAnsi="Times New Roman" w:cs="Times New Roman"/>
          <w:vertAlign w:val="superscript"/>
          <w:lang w:val="ro-MD"/>
        </w:rPr>
        <w:footnoteReference w:id="136"/>
      </w:r>
      <w:r w:rsidR="00572AD8" w:rsidRPr="00DD5F1D">
        <w:rPr>
          <w:rFonts w:ascii="Times New Roman" w:hAnsi="Times New Roman" w:cs="Times New Roman"/>
          <w:color w:val="000000"/>
          <w:sz w:val="24"/>
          <w:szCs w:val="24"/>
          <w:lang w:val="ro-MD"/>
        </w:rPr>
        <w:t>,</w:t>
      </w:r>
      <w:r w:rsidRPr="00DD5F1D">
        <w:rPr>
          <w:rFonts w:ascii="Times New Roman" w:hAnsi="Times New Roman" w:cs="Times New Roman"/>
          <w:color w:val="000000"/>
          <w:sz w:val="24"/>
          <w:szCs w:val="24"/>
          <w:lang w:val="ro-MD"/>
        </w:rPr>
        <w:t xml:space="preserve"> </w:t>
      </w:r>
      <w:r w:rsidR="001549A1" w:rsidRPr="00DD5F1D">
        <w:rPr>
          <w:rFonts w:ascii="Times New Roman" w:hAnsi="Times New Roman" w:cs="Times New Roman"/>
          <w:color w:val="000000"/>
          <w:sz w:val="24"/>
          <w:szCs w:val="24"/>
          <w:lang w:val="ro-MD"/>
        </w:rPr>
        <w:t>funcționarii</w:t>
      </w:r>
      <w:r w:rsidRPr="00DD5F1D">
        <w:rPr>
          <w:rFonts w:ascii="Times New Roman" w:hAnsi="Times New Roman" w:cs="Times New Roman"/>
          <w:color w:val="000000"/>
          <w:sz w:val="24"/>
          <w:szCs w:val="24"/>
          <w:lang w:val="ro-MD"/>
        </w:rPr>
        <w:t xml:space="preserve"> publici care, la 1 ianuarie 2017, au realizat stagiul de </w:t>
      </w:r>
      <w:r w:rsidRPr="00DD5F1D">
        <w:rPr>
          <w:rFonts w:ascii="Times New Roman" w:hAnsi="Times New Roman" w:cs="Times New Roman"/>
          <w:color w:val="000000" w:themeColor="text1"/>
          <w:sz w:val="24"/>
          <w:szCs w:val="24"/>
          <w:lang w:val="ro-MD"/>
        </w:rPr>
        <w:t>cotizare</w:t>
      </w:r>
      <w:r w:rsidR="00572AD8" w:rsidRPr="00DD5F1D">
        <w:rPr>
          <w:rFonts w:ascii="Times New Roman" w:hAnsi="Times New Roman" w:cs="Times New Roman"/>
          <w:color w:val="000000" w:themeColor="text1"/>
          <w:sz w:val="24"/>
          <w:szCs w:val="24"/>
          <w:lang w:val="ro-MD"/>
        </w:rPr>
        <w:t>,</w:t>
      </w:r>
      <w:r w:rsidRPr="00DD5F1D">
        <w:rPr>
          <w:rFonts w:ascii="Times New Roman" w:hAnsi="Times New Roman" w:cs="Times New Roman"/>
          <w:color w:val="000000" w:themeColor="text1"/>
          <w:sz w:val="24"/>
          <w:szCs w:val="24"/>
          <w:lang w:val="ro-MD"/>
        </w:rPr>
        <w:t xml:space="preserve"> în cazul </w:t>
      </w:r>
      <w:r w:rsidR="001549A1" w:rsidRPr="00DD5F1D">
        <w:rPr>
          <w:rFonts w:ascii="Times New Roman" w:hAnsi="Times New Roman" w:cs="Times New Roman"/>
          <w:color w:val="000000" w:themeColor="text1"/>
          <w:sz w:val="24"/>
          <w:szCs w:val="24"/>
          <w:lang w:val="ro-MD"/>
        </w:rPr>
        <w:t>bărbaților</w:t>
      </w:r>
      <w:r w:rsidR="000D0E2B" w:rsidRPr="00DD5F1D">
        <w:rPr>
          <w:rFonts w:ascii="Times New Roman" w:hAnsi="Times New Roman" w:cs="Times New Roman"/>
          <w:color w:val="000000" w:themeColor="text1"/>
          <w:sz w:val="24"/>
          <w:szCs w:val="24"/>
          <w:lang w:val="ro-MD"/>
        </w:rPr>
        <w:t>,</w:t>
      </w:r>
      <w:r w:rsidRPr="00DD5F1D">
        <w:rPr>
          <w:rFonts w:ascii="Times New Roman" w:hAnsi="Times New Roman" w:cs="Times New Roman"/>
          <w:color w:val="000000" w:themeColor="text1"/>
          <w:sz w:val="24"/>
          <w:szCs w:val="24"/>
          <w:lang w:val="ro-MD"/>
        </w:rPr>
        <w:t xml:space="preserve"> de 33 de ani </w:t>
      </w:r>
      <w:r w:rsidR="001549A1" w:rsidRPr="00DD5F1D">
        <w:rPr>
          <w:rFonts w:ascii="Times New Roman" w:hAnsi="Times New Roman" w:cs="Times New Roman"/>
          <w:color w:val="000000" w:themeColor="text1"/>
          <w:sz w:val="24"/>
          <w:szCs w:val="24"/>
          <w:lang w:val="ro-MD"/>
        </w:rPr>
        <w:t>și</w:t>
      </w:r>
      <w:r w:rsidRPr="00DD5F1D">
        <w:rPr>
          <w:rFonts w:ascii="Times New Roman" w:hAnsi="Times New Roman" w:cs="Times New Roman"/>
          <w:color w:val="000000" w:themeColor="text1"/>
          <w:sz w:val="24"/>
          <w:szCs w:val="24"/>
          <w:lang w:val="ro-MD"/>
        </w:rPr>
        <w:t xml:space="preserve"> de cel </w:t>
      </w:r>
      <w:r w:rsidR="001549A1" w:rsidRPr="00DD5F1D">
        <w:rPr>
          <w:rFonts w:ascii="Times New Roman" w:hAnsi="Times New Roman" w:cs="Times New Roman"/>
          <w:color w:val="000000" w:themeColor="text1"/>
          <w:sz w:val="24"/>
          <w:szCs w:val="24"/>
          <w:lang w:val="ro-MD"/>
        </w:rPr>
        <w:t>puțin</w:t>
      </w:r>
      <w:r w:rsidRPr="00DD5F1D">
        <w:rPr>
          <w:rFonts w:ascii="Times New Roman" w:hAnsi="Times New Roman" w:cs="Times New Roman"/>
          <w:color w:val="000000" w:themeColor="text1"/>
          <w:sz w:val="24"/>
          <w:szCs w:val="24"/>
          <w:lang w:val="ro-MD"/>
        </w:rPr>
        <w:t xml:space="preserve"> 15 ani în serviciul public, pot beneficia de pensie. </w:t>
      </w:r>
    </w:p>
    <w:p w14:paraId="17712D41" w14:textId="058659DD" w:rsidR="00F85A35" w:rsidRPr="00DD5F1D" w:rsidRDefault="00F85A35" w:rsidP="002B3F50">
      <w:pPr>
        <w:shd w:val="clear" w:color="auto" w:fill="FFFFFF"/>
        <w:spacing w:after="120" w:line="276" w:lineRule="auto"/>
        <w:jc w:val="both"/>
        <w:rPr>
          <w:rFonts w:ascii="Times New Roman" w:eastAsia="Times New Roman" w:hAnsi="Times New Roman" w:cs="Times New Roman"/>
          <w:color w:val="000000" w:themeColor="text1"/>
          <w:sz w:val="24"/>
          <w:szCs w:val="24"/>
          <w:lang w:val="ro-MD"/>
        </w:rPr>
      </w:pPr>
      <w:r w:rsidRPr="00DD5F1D">
        <w:rPr>
          <w:rFonts w:ascii="Times New Roman" w:eastAsia="Times New Roman" w:hAnsi="Times New Roman" w:cs="Times New Roman"/>
          <w:color w:val="000000" w:themeColor="text1"/>
          <w:sz w:val="24"/>
          <w:szCs w:val="24"/>
          <w:lang w:val="ro-MD"/>
        </w:rPr>
        <w:t>La determinarea stagiului de cotizare total se includ şi perioade</w:t>
      </w:r>
      <w:r w:rsidR="000D0E2B" w:rsidRPr="00DD5F1D">
        <w:rPr>
          <w:rFonts w:ascii="Times New Roman" w:eastAsia="Times New Roman" w:hAnsi="Times New Roman" w:cs="Times New Roman"/>
          <w:color w:val="000000" w:themeColor="text1"/>
          <w:sz w:val="24"/>
          <w:szCs w:val="24"/>
          <w:lang w:val="ro-MD"/>
        </w:rPr>
        <w:t>le</w:t>
      </w:r>
      <w:r w:rsidRPr="00DD5F1D">
        <w:rPr>
          <w:rFonts w:ascii="Times New Roman" w:eastAsia="Times New Roman" w:hAnsi="Times New Roman" w:cs="Times New Roman"/>
          <w:color w:val="000000" w:themeColor="text1"/>
          <w:sz w:val="24"/>
          <w:szCs w:val="24"/>
          <w:lang w:val="ro-MD"/>
        </w:rPr>
        <w:t xml:space="preserve"> necontributive, precum perioada de îndeplinire a serviciului militar în termen sau cu termen redus, </w:t>
      </w:r>
      <w:r w:rsidRPr="00DD5F1D">
        <w:rPr>
          <w:rFonts w:ascii="Times New Roman" w:eastAsia="Times New Roman" w:hAnsi="Times New Roman" w:cs="Times New Roman"/>
          <w:bCs/>
          <w:color w:val="000000" w:themeColor="text1"/>
          <w:sz w:val="24"/>
          <w:szCs w:val="24"/>
          <w:lang w:val="ro-MD"/>
        </w:rPr>
        <w:t>perioada de îndeplinire a serviciului militar prin contract sau a altui serviciu asimilat acestuia</w:t>
      </w:r>
      <w:r w:rsidRPr="00DD5F1D">
        <w:rPr>
          <w:rFonts w:ascii="Times New Roman" w:hAnsi="Times New Roman" w:cs="Times New Roman"/>
          <w:sz w:val="24"/>
          <w:szCs w:val="24"/>
          <w:vertAlign w:val="superscript"/>
          <w:lang w:val="ro-MD"/>
        </w:rPr>
        <w:footnoteReference w:id="137"/>
      </w:r>
      <w:r w:rsidRPr="00DD5F1D">
        <w:rPr>
          <w:rFonts w:ascii="Times New Roman" w:eastAsia="Times New Roman" w:hAnsi="Times New Roman" w:cs="Times New Roman"/>
          <w:color w:val="000000" w:themeColor="text1"/>
          <w:sz w:val="24"/>
          <w:szCs w:val="24"/>
          <w:lang w:val="ro-MD"/>
        </w:rPr>
        <w:t xml:space="preserve">. Concomitent, </w:t>
      </w:r>
      <w:r w:rsidRPr="00DD5F1D">
        <w:rPr>
          <w:rFonts w:ascii="Times New Roman" w:eastAsia="Times New Roman" w:hAnsi="Times New Roman" w:cs="Times New Roman"/>
          <w:color w:val="000000" w:themeColor="text1"/>
          <w:sz w:val="24"/>
          <w:szCs w:val="24"/>
          <w:shd w:val="clear" w:color="auto" w:fill="FFFFFF"/>
          <w:lang w:val="ro-MD"/>
        </w:rPr>
        <w:t>lucrătorii pazei militarizate care nu beneficiază de asigurări sociale de stat şi familiile lor, sunt persoanele care au dreptul la pensie în aceleași condiții cu militarii în termen şi familiile lor</w:t>
      </w:r>
      <w:r w:rsidRPr="00DD5F1D">
        <w:rPr>
          <w:rFonts w:ascii="Times New Roman" w:hAnsi="Times New Roman" w:cs="Times New Roman"/>
          <w:sz w:val="24"/>
          <w:szCs w:val="24"/>
          <w:shd w:val="clear" w:color="auto" w:fill="FFFFFF"/>
          <w:vertAlign w:val="superscript"/>
          <w:lang w:val="ro-MD"/>
        </w:rPr>
        <w:footnoteReference w:id="138"/>
      </w:r>
      <w:r w:rsidRPr="00DD5F1D">
        <w:rPr>
          <w:rFonts w:ascii="Times New Roman" w:eastAsia="Times New Roman" w:hAnsi="Times New Roman" w:cs="Times New Roman"/>
          <w:color w:val="000000" w:themeColor="text1"/>
          <w:sz w:val="24"/>
          <w:szCs w:val="24"/>
          <w:shd w:val="clear" w:color="auto" w:fill="FFFFFF"/>
          <w:lang w:val="ro-MD"/>
        </w:rPr>
        <w:t>.</w:t>
      </w:r>
    </w:p>
    <w:p w14:paraId="6BE1D926" w14:textId="0B3FF576" w:rsidR="00F85A35" w:rsidRPr="00DD5F1D" w:rsidRDefault="00F85A35" w:rsidP="002B3F50">
      <w:pPr>
        <w:shd w:val="clear" w:color="auto" w:fill="FFFFFF" w:themeFill="background1"/>
        <w:spacing w:after="120" w:line="276" w:lineRule="auto"/>
        <w:jc w:val="both"/>
        <w:rPr>
          <w:rFonts w:ascii="Times New Roman" w:hAnsi="Times New Roman" w:cs="Times New Roman"/>
          <w:color w:val="000000"/>
          <w:sz w:val="24"/>
          <w:szCs w:val="24"/>
          <w:lang w:val="ro-MD"/>
        </w:rPr>
      </w:pPr>
      <w:r w:rsidRPr="00DD5F1D">
        <w:rPr>
          <w:rFonts w:ascii="Times New Roman" w:hAnsi="Times New Roman" w:cs="Times New Roman"/>
          <w:color w:val="000000"/>
          <w:sz w:val="24"/>
          <w:szCs w:val="24"/>
          <w:lang w:val="ro-MD"/>
        </w:rPr>
        <w:t xml:space="preserve">Astfel, la determinarea stagiului de cotizare persoanei respective, nu i-a fost inclusă în calcul perioada de activitate indicată în carnetul de muncă care s-a realizat </w:t>
      </w:r>
      <w:r w:rsidRPr="00DD5F1D">
        <w:rPr>
          <w:rFonts w:ascii="Times New Roman" w:eastAsia="Times New Roman" w:hAnsi="Times New Roman" w:cs="Times New Roman"/>
          <w:sz w:val="24"/>
          <w:szCs w:val="24"/>
          <w:lang w:val="ro-MD"/>
        </w:rPr>
        <w:t xml:space="preserve">la „Serviciul Pază Militarizată a Căii Ferate” (de la 04.03.1991 </w:t>
      </w:r>
      <w:r w:rsidR="000D0E2B" w:rsidRPr="00DD5F1D">
        <w:rPr>
          <w:rFonts w:ascii="Times New Roman" w:eastAsia="Times New Roman" w:hAnsi="Times New Roman" w:cs="Times New Roman"/>
          <w:sz w:val="24"/>
          <w:szCs w:val="24"/>
          <w:lang w:val="ro-MD"/>
        </w:rPr>
        <w:t>până la</w:t>
      </w:r>
      <w:r w:rsidRPr="00DD5F1D">
        <w:rPr>
          <w:rFonts w:ascii="Times New Roman" w:eastAsia="Times New Roman" w:hAnsi="Times New Roman" w:cs="Times New Roman"/>
          <w:sz w:val="24"/>
          <w:szCs w:val="24"/>
          <w:lang w:val="ro-MD"/>
        </w:rPr>
        <w:t xml:space="preserve"> 24.10.1995), </w:t>
      </w:r>
      <w:r w:rsidR="000D0E2B" w:rsidRPr="00DD5F1D">
        <w:rPr>
          <w:rFonts w:ascii="Times New Roman" w:eastAsia="Times New Roman" w:hAnsi="Times New Roman" w:cs="Times New Roman"/>
          <w:sz w:val="24"/>
          <w:szCs w:val="24"/>
          <w:lang w:val="ro-MD"/>
        </w:rPr>
        <w:t>din cauza</w:t>
      </w:r>
      <w:r w:rsidRPr="00DD5F1D">
        <w:rPr>
          <w:rFonts w:ascii="Times New Roman" w:eastAsia="Times New Roman" w:hAnsi="Times New Roman" w:cs="Times New Roman"/>
          <w:bCs/>
          <w:sz w:val="24"/>
          <w:szCs w:val="24"/>
          <w:lang w:val="ro-MD"/>
        </w:rPr>
        <w:t xml:space="preserve"> că în această perioadă nu au fost achitate contribuţii de asigurări sociale</w:t>
      </w:r>
      <w:r w:rsidRPr="00DD5F1D">
        <w:rPr>
          <w:rFonts w:ascii="Times New Roman" w:eastAsia="Times New Roman" w:hAnsi="Times New Roman" w:cs="Times New Roman"/>
          <w:sz w:val="24"/>
          <w:szCs w:val="24"/>
          <w:lang w:val="ro-MD"/>
        </w:rPr>
        <w:t>.</w:t>
      </w:r>
    </w:p>
    <w:p w14:paraId="52546C08" w14:textId="37627693" w:rsidR="00F85A35" w:rsidRPr="00DD5F1D" w:rsidRDefault="00F85A35" w:rsidP="002B3F50">
      <w:pPr>
        <w:autoSpaceDE w:val="0"/>
        <w:autoSpaceDN w:val="0"/>
        <w:adjustRightInd w:val="0"/>
        <w:spacing w:after="120" w:line="276" w:lineRule="auto"/>
        <w:jc w:val="both"/>
        <w:rPr>
          <w:rFonts w:ascii="Times New Roman" w:hAnsi="Times New Roman" w:cs="Times New Roman"/>
          <w:color w:val="000000"/>
          <w:sz w:val="24"/>
          <w:szCs w:val="24"/>
          <w:lang w:val="ro-MD"/>
        </w:rPr>
      </w:pPr>
      <w:r w:rsidRPr="00DD5F1D">
        <w:rPr>
          <w:rFonts w:ascii="Times New Roman" w:hAnsi="Times New Roman" w:cs="Times New Roman"/>
          <w:color w:val="000000"/>
          <w:sz w:val="24"/>
          <w:szCs w:val="24"/>
          <w:lang w:val="ro-MD"/>
        </w:rPr>
        <w:t>Subsecvent, potrivit normelor de la momentul respectiv, se denotă că în scopul asigurării pazei în modul cuvenit, întreprinderile creează serviciul de pază</w:t>
      </w:r>
      <w:r w:rsidRPr="00DD5F1D">
        <w:rPr>
          <w:rFonts w:ascii="Times New Roman" w:hAnsi="Times New Roman" w:cs="Times New Roman"/>
          <w:vertAlign w:val="superscript"/>
          <w:lang w:val="ro-MD"/>
        </w:rPr>
        <w:footnoteReference w:id="139"/>
      </w:r>
      <w:r w:rsidRPr="00DD5F1D">
        <w:rPr>
          <w:rFonts w:ascii="Times New Roman" w:hAnsi="Times New Roman" w:cs="Times New Roman"/>
          <w:color w:val="000000"/>
          <w:sz w:val="24"/>
          <w:szCs w:val="24"/>
          <w:lang w:val="ro-MD"/>
        </w:rPr>
        <w:t>, iar prin scrisorile CMF, se confirmă că nu au fost achitate contribuții pentru perioada respectivă deoarece angajații pazei militarizate în perioada respectivă cădeau sub incidența normelor ce reglementează raporturile de muncă ale salariaților din subordinea MAI</w:t>
      </w:r>
      <w:r w:rsidRPr="00DD5F1D">
        <w:rPr>
          <w:rFonts w:ascii="Times New Roman" w:hAnsi="Times New Roman" w:cs="Times New Roman"/>
          <w:vertAlign w:val="superscript"/>
          <w:lang w:val="ro-MD"/>
        </w:rPr>
        <w:footnoteReference w:id="140"/>
      </w:r>
      <w:r w:rsidRPr="00DD5F1D">
        <w:rPr>
          <w:rFonts w:ascii="Times New Roman" w:hAnsi="Times New Roman" w:cs="Times New Roman"/>
          <w:color w:val="000000"/>
          <w:sz w:val="24"/>
          <w:szCs w:val="24"/>
          <w:lang w:val="ro-MD"/>
        </w:rPr>
        <w:t>.</w:t>
      </w:r>
    </w:p>
    <w:p w14:paraId="0BC15809" w14:textId="7B92FB99" w:rsidR="00F85A35" w:rsidRPr="00DD5F1D" w:rsidRDefault="00371308" w:rsidP="002B3F50">
      <w:pPr>
        <w:autoSpaceDE w:val="0"/>
        <w:autoSpaceDN w:val="0"/>
        <w:adjustRightInd w:val="0"/>
        <w:spacing w:after="120" w:line="276" w:lineRule="auto"/>
        <w:jc w:val="both"/>
        <w:rPr>
          <w:rFonts w:ascii="Times New Roman" w:hAnsi="Times New Roman" w:cs="Times New Roman"/>
          <w:color w:val="000000"/>
          <w:sz w:val="24"/>
          <w:szCs w:val="24"/>
          <w:lang w:val="ro-MD"/>
        </w:rPr>
      </w:pPr>
      <w:r w:rsidRPr="00DD5F1D">
        <w:rPr>
          <w:rFonts w:ascii="Times New Roman" w:hAnsi="Times New Roman" w:cs="Times New Roman"/>
          <w:color w:val="000000"/>
          <w:sz w:val="24"/>
          <w:szCs w:val="24"/>
          <w:lang w:val="ro-MD"/>
        </w:rPr>
        <w:t>A</w:t>
      </w:r>
      <w:r w:rsidR="00F85A35" w:rsidRPr="00DD5F1D">
        <w:rPr>
          <w:rFonts w:ascii="Times New Roman" w:hAnsi="Times New Roman" w:cs="Times New Roman"/>
          <w:color w:val="000000"/>
          <w:sz w:val="24"/>
          <w:szCs w:val="24"/>
          <w:lang w:val="ro-MD"/>
        </w:rPr>
        <w:t>uditul menționează că</w:t>
      </w:r>
      <w:r w:rsidR="00FE7875" w:rsidRPr="00DD5F1D">
        <w:rPr>
          <w:rFonts w:ascii="Times New Roman" w:hAnsi="Times New Roman" w:cs="Times New Roman"/>
          <w:color w:val="000000"/>
          <w:sz w:val="24"/>
          <w:szCs w:val="24"/>
          <w:lang w:val="ro-MD"/>
        </w:rPr>
        <w:t>,</w:t>
      </w:r>
      <w:r w:rsidR="00F85A35" w:rsidRPr="00DD5F1D">
        <w:rPr>
          <w:rFonts w:ascii="Times New Roman" w:hAnsi="Times New Roman" w:cs="Times New Roman"/>
          <w:color w:val="000000"/>
          <w:sz w:val="24"/>
          <w:szCs w:val="24"/>
          <w:lang w:val="ro-MD"/>
        </w:rPr>
        <w:t xml:space="preserve"> în scopul clarificării situației date, CNAS a efectuat interpelări la MMPS</w:t>
      </w:r>
      <w:r w:rsidR="00D509B5" w:rsidRPr="00DD5F1D">
        <w:rPr>
          <w:rFonts w:ascii="Times New Roman" w:hAnsi="Times New Roman" w:cs="Times New Roman"/>
          <w:color w:val="000000"/>
          <w:sz w:val="24"/>
          <w:szCs w:val="24"/>
          <w:lang w:val="ro-MD"/>
        </w:rPr>
        <w:t>, MAI</w:t>
      </w:r>
      <w:r w:rsidR="00F85A35" w:rsidRPr="00DD5F1D">
        <w:rPr>
          <w:rFonts w:ascii="Times New Roman" w:hAnsi="Times New Roman" w:cs="Times New Roman"/>
          <w:color w:val="000000"/>
          <w:sz w:val="24"/>
          <w:szCs w:val="24"/>
          <w:lang w:val="ro-MD"/>
        </w:rPr>
        <w:t xml:space="preserve">, precum și </w:t>
      </w:r>
      <w:r w:rsidR="00FE7875" w:rsidRPr="00DD5F1D">
        <w:rPr>
          <w:rFonts w:ascii="Times New Roman" w:hAnsi="Times New Roman" w:cs="Times New Roman"/>
          <w:color w:val="000000"/>
          <w:sz w:val="24"/>
          <w:szCs w:val="24"/>
          <w:lang w:val="ro-MD"/>
        </w:rPr>
        <w:t xml:space="preserve">la </w:t>
      </w:r>
      <w:r w:rsidR="00F85A35" w:rsidRPr="00DD5F1D">
        <w:rPr>
          <w:rFonts w:ascii="Times New Roman" w:hAnsi="Times New Roman" w:cs="Times New Roman"/>
          <w:color w:val="000000"/>
          <w:sz w:val="24"/>
          <w:szCs w:val="24"/>
          <w:lang w:val="ro-MD"/>
        </w:rPr>
        <w:t>MA</w:t>
      </w:r>
      <w:r w:rsidR="00FE7875" w:rsidRPr="00DD5F1D">
        <w:rPr>
          <w:rFonts w:ascii="Times New Roman" w:hAnsi="Times New Roman" w:cs="Times New Roman"/>
          <w:color w:val="000000"/>
          <w:sz w:val="24"/>
          <w:szCs w:val="24"/>
          <w:lang w:val="ro-MD"/>
        </w:rPr>
        <w:t>,</w:t>
      </w:r>
      <w:r w:rsidR="00F85A35" w:rsidRPr="00DD5F1D">
        <w:rPr>
          <w:rFonts w:ascii="Times New Roman" w:hAnsi="Times New Roman" w:cs="Times New Roman"/>
          <w:color w:val="000000"/>
          <w:sz w:val="24"/>
          <w:szCs w:val="24"/>
          <w:lang w:val="ro-MD"/>
        </w:rPr>
        <w:t xml:space="preserve"> pentru a se expune asupra cazului dat. În </w:t>
      </w:r>
      <w:r w:rsidR="00FE7875" w:rsidRPr="00DD5F1D">
        <w:rPr>
          <w:rFonts w:ascii="Times New Roman" w:hAnsi="Times New Roman" w:cs="Times New Roman"/>
          <w:color w:val="000000"/>
          <w:sz w:val="24"/>
          <w:szCs w:val="24"/>
          <w:lang w:val="ro-MD"/>
        </w:rPr>
        <w:t xml:space="preserve">acest </w:t>
      </w:r>
      <w:r w:rsidR="00F85A35" w:rsidRPr="00DD5F1D">
        <w:rPr>
          <w:rFonts w:ascii="Times New Roman" w:hAnsi="Times New Roman" w:cs="Times New Roman"/>
          <w:color w:val="000000"/>
          <w:sz w:val="24"/>
          <w:szCs w:val="24"/>
          <w:lang w:val="ro-MD"/>
        </w:rPr>
        <w:t>context se denotă că</w:t>
      </w:r>
      <w:r w:rsidR="00FE7875" w:rsidRPr="00DD5F1D">
        <w:rPr>
          <w:rFonts w:ascii="Times New Roman" w:hAnsi="Times New Roman" w:cs="Times New Roman"/>
          <w:color w:val="000000"/>
          <w:sz w:val="24"/>
          <w:szCs w:val="24"/>
          <w:lang w:val="ro-MD"/>
        </w:rPr>
        <w:t>,</w:t>
      </w:r>
      <w:r w:rsidR="00F85A35" w:rsidRPr="00DD5F1D">
        <w:rPr>
          <w:rFonts w:ascii="Times New Roman" w:hAnsi="Times New Roman" w:cs="Times New Roman"/>
          <w:color w:val="000000"/>
          <w:sz w:val="24"/>
          <w:szCs w:val="24"/>
          <w:lang w:val="ro-MD"/>
        </w:rPr>
        <w:t xml:space="preserve"> prin răspunsul MA</w:t>
      </w:r>
      <w:r w:rsidR="00F85A35" w:rsidRPr="00DD5F1D">
        <w:rPr>
          <w:rFonts w:ascii="Times New Roman" w:hAnsi="Times New Roman" w:cs="Times New Roman"/>
          <w:vertAlign w:val="superscript"/>
          <w:lang w:val="ro-MD"/>
        </w:rPr>
        <w:footnoteReference w:id="141"/>
      </w:r>
      <w:r w:rsidR="00F85A35" w:rsidRPr="00DD5F1D">
        <w:rPr>
          <w:rFonts w:ascii="Times New Roman" w:hAnsi="Times New Roman" w:cs="Times New Roman"/>
          <w:color w:val="000000"/>
          <w:sz w:val="24"/>
          <w:szCs w:val="24"/>
          <w:lang w:val="ro-MD"/>
        </w:rPr>
        <w:t xml:space="preserve"> se precizează că </w:t>
      </w:r>
      <w:r w:rsidR="00F85A35" w:rsidRPr="00DD5F1D">
        <w:rPr>
          <w:rFonts w:ascii="Times New Roman" w:hAnsi="Times New Roman" w:cs="Times New Roman"/>
          <w:i/>
          <w:color w:val="000000"/>
          <w:sz w:val="24"/>
          <w:szCs w:val="24"/>
          <w:lang w:val="ro-MD"/>
        </w:rPr>
        <w:t xml:space="preserve">„persoanele care au activat în cadrul Serviciului Pază Militarizată a Căii Ferate din Moldova, urmau să fie încadrate prin încheierea contractului de îndeplinire a serviciului militar şi prin emiterea ordinului comandantului unităţii militare sau conducătorului structurii militare... respectiv, perioada nu poate fi inclusă în stagiul de cotizare”, </w:t>
      </w:r>
      <w:r w:rsidR="00F85A35" w:rsidRPr="00DD5F1D">
        <w:rPr>
          <w:rFonts w:ascii="Times New Roman" w:hAnsi="Times New Roman" w:cs="Times New Roman"/>
          <w:color w:val="000000"/>
          <w:sz w:val="24"/>
          <w:szCs w:val="24"/>
          <w:lang w:val="ro-MD"/>
        </w:rPr>
        <w:t>fără a fi incluse prevederile și/sau  trimiteri la cadrul normativ aplicat ulterior perioade</w:t>
      </w:r>
      <w:r w:rsidR="00FE7875" w:rsidRPr="00DD5F1D">
        <w:rPr>
          <w:rFonts w:ascii="Times New Roman" w:hAnsi="Times New Roman" w:cs="Times New Roman"/>
          <w:color w:val="000000"/>
          <w:sz w:val="24"/>
          <w:szCs w:val="24"/>
          <w:lang w:val="ro-MD"/>
        </w:rPr>
        <w:t>i</w:t>
      </w:r>
      <w:r w:rsidR="00F85A35" w:rsidRPr="00DD5F1D">
        <w:rPr>
          <w:rFonts w:ascii="Times New Roman" w:hAnsi="Times New Roman" w:cs="Times New Roman"/>
          <w:color w:val="000000"/>
          <w:sz w:val="24"/>
          <w:szCs w:val="24"/>
          <w:lang w:val="ro-MD"/>
        </w:rPr>
        <w:t xml:space="preserve"> în care a desfășurat activitate persoana</w:t>
      </w:r>
      <w:r w:rsidR="00F85A35" w:rsidRPr="00DD5F1D">
        <w:rPr>
          <w:rFonts w:ascii="Times New Roman" w:hAnsi="Times New Roman" w:cs="Times New Roman"/>
          <w:vertAlign w:val="superscript"/>
          <w:lang w:val="ro-MD"/>
        </w:rPr>
        <w:footnoteReference w:id="142"/>
      </w:r>
      <w:r w:rsidR="00F85A35" w:rsidRPr="00DD5F1D">
        <w:rPr>
          <w:rFonts w:ascii="Times New Roman" w:hAnsi="Times New Roman" w:cs="Times New Roman"/>
          <w:color w:val="000000"/>
          <w:sz w:val="24"/>
          <w:szCs w:val="24"/>
          <w:lang w:val="ro-MD"/>
        </w:rPr>
        <w:t xml:space="preserve">. </w:t>
      </w:r>
    </w:p>
    <w:p w14:paraId="135AFEAE" w14:textId="35B7CB3C" w:rsidR="00F85A35" w:rsidRPr="00DD5F1D" w:rsidRDefault="00D509B5" w:rsidP="002B3F50">
      <w:pPr>
        <w:autoSpaceDE w:val="0"/>
        <w:autoSpaceDN w:val="0"/>
        <w:adjustRightInd w:val="0"/>
        <w:spacing w:after="120" w:line="276" w:lineRule="auto"/>
        <w:jc w:val="both"/>
        <w:rPr>
          <w:rFonts w:ascii="Times New Roman" w:hAnsi="Times New Roman" w:cs="Times New Roman"/>
          <w:color w:val="000000"/>
          <w:sz w:val="24"/>
          <w:szCs w:val="24"/>
          <w:lang w:val="ro-MD"/>
        </w:rPr>
      </w:pPr>
      <w:r w:rsidRPr="00DD5F1D">
        <w:rPr>
          <w:rFonts w:ascii="Times New Roman" w:hAnsi="Times New Roman" w:cs="Times New Roman"/>
          <w:color w:val="000000"/>
          <w:sz w:val="24"/>
          <w:szCs w:val="24"/>
          <w:lang w:val="ro-MD"/>
        </w:rPr>
        <w:t xml:space="preserve">Un alt exemplu relevă </w:t>
      </w:r>
      <w:r w:rsidR="00F85A35" w:rsidRPr="00DD5F1D">
        <w:rPr>
          <w:rFonts w:ascii="Times New Roman" w:hAnsi="Times New Roman" w:cs="Times New Roman"/>
          <w:color w:val="000000"/>
          <w:sz w:val="24"/>
          <w:szCs w:val="24"/>
          <w:lang w:val="ro-MD"/>
        </w:rPr>
        <w:t xml:space="preserve">că </w:t>
      </w:r>
      <w:r w:rsidR="00FE7875" w:rsidRPr="00DD5F1D">
        <w:rPr>
          <w:rFonts w:ascii="Times New Roman" w:hAnsi="Times New Roman" w:cs="Times New Roman"/>
          <w:color w:val="000000"/>
          <w:sz w:val="24"/>
          <w:szCs w:val="24"/>
          <w:lang w:val="ro-MD"/>
        </w:rPr>
        <w:t xml:space="preserve">unui </w:t>
      </w:r>
      <w:r w:rsidR="00F85A35" w:rsidRPr="00DD5F1D">
        <w:rPr>
          <w:rFonts w:ascii="Times New Roman" w:hAnsi="Times New Roman" w:cs="Times New Roman"/>
          <w:color w:val="000000"/>
          <w:sz w:val="24"/>
          <w:szCs w:val="24"/>
          <w:lang w:val="ro-MD"/>
        </w:rPr>
        <w:t xml:space="preserve">alt beneficiar, perioada de activitate în calitate de șef </w:t>
      </w:r>
      <w:r w:rsidR="00FE7875" w:rsidRPr="00DD5F1D">
        <w:rPr>
          <w:rFonts w:ascii="Times New Roman" w:hAnsi="Times New Roman" w:cs="Times New Roman"/>
          <w:color w:val="000000"/>
          <w:sz w:val="24"/>
          <w:szCs w:val="24"/>
          <w:lang w:val="ro-MD"/>
        </w:rPr>
        <w:t xml:space="preserve">al </w:t>
      </w:r>
      <w:r w:rsidR="00F85A35" w:rsidRPr="00DD5F1D">
        <w:rPr>
          <w:rFonts w:ascii="Times New Roman" w:hAnsi="Times New Roman" w:cs="Times New Roman"/>
          <w:color w:val="000000"/>
          <w:sz w:val="24"/>
          <w:szCs w:val="24"/>
          <w:lang w:val="ro-MD"/>
        </w:rPr>
        <w:t>Serviciu</w:t>
      </w:r>
      <w:r w:rsidR="00FE7875" w:rsidRPr="00DD5F1D">
        <w:rPr>
          <w:rFonts w:ascii="Times New Roman" w:hAnsi="Times New Roman" w:cs="Times New Roman"/>
          <w:color w:val="000000"/>
          <w:sz w:val="24"/>
          <w:szCs w:val="24"/>
          <w:lang w:val="ro-MD"/>
        </w:rPr>
        <w:t>lui</w:t>
      </w:r>
      <w:r w:rsidR="00F85A35" w:rsidRPr="00DD5F1D">
        <w:rPr>
          <w:rFonts w:ascii="Times New Roman" w:hAnsi="Times New Roman" w:cs="Times New Roman"/>
          <w:color w:val="000000"/>
          <w:sz w:val="24"/>
          <w:szCs w:val="24"/>
          <w:lang w:val="ro-MD"/>
        </w:rPr>
        <w:t xml:space="preserve"> Transport Călători </w:t>
      </w:r>
      <w:r w:rsidR="00FE7875" w:rsidRPr="00DD5F1D">
        <w:rPr>
          <w:rFonts w:ascii="Times New Roman" w:hAnsi="Times New Roman" w:cs="Times New Roman"/>
          <w:color w:val="000000"/>
          <w:sz w:val="24"/>
          <w:szCs w:val="24"/>
          <w:lang w:val="ro-MD"/>
        </w:rPr>
        <w:t>di</w:t>
      </w:r>
      <w:r w:rsidR="00F85A35" w:rsidRPr="00DD5F1D">
        <w:rPr>
          <w:rFonts w:ascii="Times New Roman" w:hAnsi="Times New Roman" w:cs="Times New Roman"/>
          <w:color w:val="000000"/>
          <w:sz w:val="24"/>
          <w:szCs w:val="24"/>
          <w:lang w:val="ro-MD"/>
        </w:rPr>
        <w:t xml:space="preserve">n cadrul ÎS Calea Ferată (2013-2016), </w:t>
      </w:r>
      <w:r w:rsidR="00FE7875" w:rsidRPr="00DD5F1D">
        <w:rPr>
          <w:rFonts w:ascii="Times New Roman" w:hAnsi="Times New Roman" w:cs="Times New Roman"/>
          <w:color w:val="000000"/>
          <w:sz w:val="24"/>
          <w:szCs w:val="24"/>
          <w:lang w:val="ro-MD"/>
        </w:rPr>
        <w:t>prin instanța de judecată i-</w:t>
      </w:r>
      <w:r w:rsidR="00F85A35" w:rsidRPr="00DD5F1D">
        <w:rPr>
          <w:rFonts w:ascii="Times New Roman" w:hAnsi="Times New Roman" w:cs="Times New Roman"/>
          <w:color w:val="000000"/>
          <w:sz w:val="24"/>
          <w:szCs w:val="24"/>
          <w:lang w:val="ro-MD"/>
        </w:rPr>
        <w:t>a fost recunoscută și inclusă în vechimea în muncă pentru stabilirea pensiei de militar.</w:t>
      </w:r>
    </w:p>
    <w:p w14:paraId="281E46EE" w14:textId="1BDCEC1C" w:rsidR="00BF4128" w:rsidRPr="00DD5F1D" w:rsidRDefault="00D509B5" w:rsidP="002B3F50">
      <w:pPr>
        <w:autoSpaceDE w:val="0"/>
        <w:autoSpaceDN w:val="0"/>
        <w:adjustRightInd w:val="0"/>
        <w:spacing w:after="120" w:line="276" w:lineRule="auto"/>
        <w:jc w:val="both"/>
        <w:rPr>
          <w:rFonts w:ascii="Times New Roman" w:hAnsi="Times New Roman" w:cs="Times New Roman"/>
          <w:color w:val="000000"/>
          <w:sz w:val="24"/>
          <w:szCs w:val="24"/>
          <w:lang w:val="ro-MD"/>
        </w:rPr>
      </w:pPr>
      <w:r w:rsidRPr="00DD5F1D">
        <w:rPr>
          <w:rFonts w:ascii="Times New Roman" w:hAnsi="Times New Roman" w:cs="Times New Roman"/>
          <w:color w:val="000000"/>
          <w:sz w:val="24"/>
          <w:szCs w:val="24"/>
          <w:lang w:val="ro-MD"/>
        </w:rPr>
        <w:t>La acest aspect se denotă că MMPS nu a asigurat elaborarea</w:t>
      </w:r>
      <w:r w:rsidR="00FE7875" w:rsidRPr="00DD5F1D">
        <w:rPr>
          <w:rFonts w:ascii="Times New Roman" w:hAnsi="Times New Roman" w:cs="Times New Roman"/>
          <w:color w:val="000000"/>
          <w:sz w:val="24"/>
          <w:szCs w:val="24"/>
          <w:lang w:val="ro-MD"/>
        </w:rPr>
        <w:t xml:space="preserve"> și</w:t>
      </w:r>
      <w:r w:rsidRPr="00DD5F1D">
        <w:rPr>
          <w:rFonts w:ascii="Times New Roman" w:hAnsi="Times New Roman" w:cs="Times New Roman"/>
          <w:color w:val="000000"/>
          <w:sz w:val="24"/>
          <w:szCs w:val="24"/>
          <w:lang w:val="ro-MD"/>
        </w:rPr>
        <w:t xml:space="preserve"> aprobarea unor reglementări explicative detaliate pentru aplicarea cadrului legal existent, care să excludă</w:t>
      </w:r>
      <w:r w:rsidR="00BF4128" w:rsidRPr="00DD5F1D">
        <w:rPr>
          <w:rFonts w:ascii="Times New Roman" w:hAnsi="Times New Roman" w:cs="Times New Roman"/>
          <w:color w:val="000000"/>
          <w:sz w:val="24"/>
          <w:szCs w:val="24"/>
          <w:lang w:val="ro-MD"/>
        </w:rPr>
        <w:t xml:space="preserve"> potențialele</w:t>
      </w:r>
      <w:r w:rsidRPr="00DD5F1D">
        <w:rPr>
          <w:rFonts w:ascii="Times New Roman" w:hAnsi="Times New Roman" w:cs="Times New Roman"/>
          <w:color w:val="000000"/>
          <w:sz w:val="24"/>
          <w:szCs w:val="24"/>
          <w:lang w:val="ro-MD"/>
        </w:rPr>
        <w:t xml:space="preserve"> </w:t>
      </w:r>
      <w:r w:rsidR="00BF4128" w:rsidRPr="00DD5F1D">
        <w:rPr>
          <w:rFonts w:ascii="Times New Roman" w:hAnsi="Times New Roman" w:cs="Times New Roman"/>
          <w:color w:val="000000"/>
          <w:sz w:val="24"/>
          <w:szCs w:val="24"/>
          <w:lang w:val="ro-MD"/>
        </w:rPr>
        <w:t>litigii și che</w:t>
      </w:r>
      <w:r w:rsidR="001556FB" w:rsidRPr="00DD5F1D">
        <w:rPr>
          <w:rFonts w:ascii="Times New Roman" w:hAnsi="Times New Roman" w:cs="Times New Roman"/>
          <w:color w:val="000000"/>
          <w:sz w:val="24"/>
          <w:szCs w:val="24"/>
          <w:lang w:val="ro-MD"/>
        </w:rPr>
        <w:t>ltuieli supli</w:t>
      </w:r>
      <w:r w:rsidR="00BF4128" w:rsidRPr="00DD5F1D">
        <w:rPr>
          <w:rFonts w:ascii="Times New Roman" w:hAnsi="Times New Roman" w:cs="Times New Roman"/>
          <w:color w:val="000000"/>
          <w:sz w:val="24"/>
          <w:szCs w:val="24"/>
          <w:lang w:val="ro-MD"/>
        </w:rPr>
        <w:t xml:space="preserve">mentare pentru examinarea acestora.  </w:t>
      </w:r>
    </w:p>
    <w:p w14:paraId="1513802B" w14:textId="0D2C36DC" w:rsidR="001556FB" w:rsidRPr="00DD5F1D" w:rsidRDefault="001556FB" w:rsidP="002B3F50">
      <w:pPr>
        <w:pStyle w:val="a6"/>
        <w:shd w:val="clear" w:color="auto" w:fill="FFFFFF"/>
        <w:spacing w:after="240" w:line="276" w:lineRule="auto"/>
        <w:ind w:firstLine="0"/>
        <w:rPr>
          <w:color w:val="333333"/>
          <w:lang w:val="ro-MD"/>
        </w:rPr>
      </w:pPr>
      <w:r w:rsidRPr="00DD5F1D">
        <w:rPr>
          <w:color w:val="000000"/>
          <w:lang w:val="ro-MD"/>
        </w:rPr>
        <w:t>De asemenea, potrivit cadrului normativ</w:t>
      </w:r>
      <w:r w:rsidRPr="00DD5F1D">
        <w:rPr>
          <w:rStyle w:val="a5"/>
          <w:color w:val="000000"/>
          <w:lang w:val="ro-MD"/>
        </w:rPr>
        <w:footnoteReference w:id="143"/>
      </w:r>
      <w:r w:rsidR="00FE7875" w:rsidRPr="00DD5F1D">
        <w:rPr>
          <w:color w:val="000000"/>
          <w:lang w:val="ro-MD"/>
        </w:rPr>
        <w:t>,</w:t>
      </w:r>
      <w:r w:rsidRPr="00DD5F1D">
        <w:rPr>
          <w:color w:val="000000"/>
          <w:lang w:val="ro-MD"/>
        </w:rPr>
        <w:t xml:space="preserve"> CNAS informează pensionarul doar despre deciziile de refuz, precum și motivul refuzului în stabilirea/reexaminarea pensiei, prin expedierea în termen de 5 zile de la aprobare a deciziei la domiciliul asiguratului. Cu referire la deciziile de stabilire se denotă că, în notificarea de recepționare a cererii solicitantul este informat că</w:t>
      </w:r>
      <w:r w:rsidR="00FE7875" w:rsidRPr="00DD5F1D">
        <w:rPr>
          <w:color w:val="000000"/>
          <w:lang w:val="ro-MD"/>
        </w:rPr>
        <w:t>,</w:t>
      </w:r>
      <w:r w:rsidRPr="00DD5F1D">
        <w:rPr>
          <w:color w:val="000000"/>
          <w:lang w:val="ro-MD"/>
        </w:rPr>
        <w:t xml:space="preserve"> după expirarea termenului</w:t>
      </w:r>
      <w:r w:rsidR="00D242BF" w:rsidRPr="00DD5F1D">
        <w:rPr>
          <w:color w:val="000000"/>
          <w:lang w:val="ro-MD"/>
        </w:rPr>
        <w:t xml:space="preserve"> </w:t>
      </w:r>
      <w:r w:rsidRPr="00DD5F1D">
        <w:rPr>
          <w:color w:val="000000"/>
          <w:lang w:val="ro-MD"/>
        </w:rPr>
        <w:t xml:space="preserve">de examinare a </w:t>
      </w:r>
      <w:r w:rsidR="00D242BF" w:rsidRPr="00DD5F1D">
        <w:rPr>
          <w:color w:val="000000"/>
          <w:lang w:val="ro-MD"/>
        </w:rPr>
        <w:t>cererii și actelor prezentate</w:t>
      </w:r>
      <w:r w:rsidRPr="00DD5F1D">
        <w:rPr>
          <w:color w:val="000000"/>
          <w:lang w:val="ro-MD"/>
        </w:rPr>
        <w:t xml:space="preserve"> </w:t>
      </w:r>
      <w:r w:rsidR="00D242BF" w:rsidRPr="00DD5F1D">
        <w:rPr>
          <w:color w:val="000000"/>
          <w:lang w:val="ro-MD"/>
        </w:rPr>
        <w:t>(</w:t>
      </w:r>
      <w:r w:rsidRPr="00DD5F1D">
        <w:rPr>
          <w:color w:val="000000"/>
          <w:lang w:val="ro-MD"/>
        </w:rPr>
        <w:t>60 de zile</w:t>
      </w:r>
      <w:r w:rsidR="00D242BF" w:rsidRPr="00DD5F1D">
        <w:rPr>
          <w:color w:val="000000"/>
          <w:lang w:val="ro-MD"/>
        </w:rPr>
        <w:t>),</w:t>
      </w:r>
      <w:r w:rsidRPr="00DD5F1D">
        <w:rPr>
          <w:color w:val="000000"/>
          <w:lang w:val="ro-MD"/>
        </w:rPr>
        <w:t xml:space="preserve"> </w:t>
      </w:r>
      <w:r w:rsidR="00FE7875" w:rsidRPr="00DD5F1D">
        <w:rPr>
          <w:color w:val="000000"/>
          <w:lang w:val="ro-MD"/>
        </w:rPr>
        <w:t xml:space="preserve">acesta </w:t>
      </w:r>
      <w:r w:rsidRPr="00DD5F1D">
        <w:rPr>
          <w:color w:val="000000"/>
          <w:lang w:val="ro-MD"/>
        </w:rPr>
        <w:t>este în drept să se adreseze la CTAS pentru a face cunoștință cu decizia de stabilire/reexaminare a pensiei.</w:t>
      </w:r>
      <w:r w:rsidR="00D242BF" w:rsidRPr="00DD5F1D">
        <w:rPr>
          <w:color w:val="000000"/>
          <w:lang w:val="ro-MD"/>
        </w:rPr>
        <w:t xml:space="preserve"> Termenul de contestare va </w:t>
      </w:r>
      <w:r w:rsidR="0062377F" w:rsidRPr="00DD5F1D">
        <w:rPr>
          <w:color w:val="000000"/>
          <w:lang w:val="ro-MD"/>
        </w:rPr>
        <w:t>de</w:t>
      </w:r>
      <w:r w:rsidR="00D242BF" w:rsidRPr="00DD5F1D">
        <w:rPr>
          <w:color w:val="000000"/>
          <w:lang w:val="ro-MD"/>
        </w:rPr>
        <w:t>curge de la data luării la cunoștință și semnării actului administrativ (decizia de stabilire/reexaminare a pensiei). În același timp, art. 31</w:t>
      </w:r>
      <w:r w:rsidR="00D242BF" w:rsidRPr="00DD5F1D">
        <w:rPr>
          <w:vertAlign w:val="superscript"/>
          <w:lang w:val="ro-MD"/>
        </w:rPr>
        <w:footnoteReference w:id="144"/>
      </w:r>
      <w:r w:rsidR="00D242BF" w:rsidRPr="00DD5F1D">
        <w:rPr>
          <w:color w:val="000000"/>
          <w:lang w:val="ro-MD"/>
        </w:rPr>
        <w:t xml:space="preserve"> și art. 118</w:t>
      </w:r>
      <w:r w:rsidR="00D242BF" w:rsidRPr="00DD5F1D">
        <w:rPr>
          <w:vertAlign w:val="superscript"/>
          <w:lang w:val="ro-MD"/>
        </w:rPr>
        <w:footnoteReference w:id="145"/>
      </w:r>
      <w:r w:rsidR="00D242BF" w:rsidRPr="00DD5F1D">
        <w:rPr>
          <w:color w:val="000000"/>
          <w:lang w:val="ro-MD"/>
        </w:rPr>
        <w:t xml:space="preserve"> ale Codului administrativ prev</w:t>
      </w:r>
      <w:r w:rsidR="00FE7875" w:rsidRPr="00DD5F1D">
        <w:rPr>
          <w:color w:val="000000"/>
          <w:lang w:val="ro-MD"/>
        </w:rPr>
        <w:t>ă</w:t>
      </w:r>
      <w:r w:rsidR="00D242BF" w:rsidRPr="00DD5F1D">
        <w:rPr>
          <w:color w:val="000000"/>
          <w:lang w:val="ro-MD"/>
        </w:rPr>
        <w:t>d</w:t>
      </w:r>
      <w:r w:rsidR="006A7539" w:rsidRPr="00DD5F1D">
        <w:rPr>
          <w:color w:val="000000"/>
          <w:lang w:val="ro-MD"/>
        </w:rPr>
        <w:t xml:space="preserve"> </w:t>
      </w:r>
      <w:r w:rsidR="00D242BF" w:rsidRPr="00DD5F1D">
        <w:rPr>
          <w:color w:val="000000"/>
          <w:lang w:val="ro-MD"/>
        </w:rPr>
        <w:t>că</w:t>
      </w:r>
      <w:r w:rsidR="00CA736C" w:rsidRPr="00DD5F1D">
        <w:rPr>
          <w:color w:val="000000"/>
          <w:lang w:val="ro-MD"/>
        </w:rPr>
        <w:t>, emiter</w:t>
      </w:r>
      <w:r w:rsidR="00AF6CFC" w:rsidRPr="00DD5F1D">
        <w:rPr>
          <w:color w:val="000000"/>
          <w:lang w:val="ro-MD"/>
        </w:rPr>
        <w:t>ea</w:t>
      </w:r>
      <w:r w:rsidR="00D242BF" w:rsidRPr="00DD5F1D">
        <w:rPr>
          <w:color w:val="000000"/>
          <w:lang w:val="ro-MD"/>
        </w:rPr>
        <w:t xml:space="preserve"> unui act administrativ ind</w:t>
      </w:r>
      <w:r w:rsidR="00CA736C" w:rsidRPr="00DD5F1D">
        <w:rPr>
          <w:color w:val="000000"/>
          <w:lang w:val="ro-MD"/>
        </w:rPr>
        <w:t>ividual urmează să fie motivat</w:t>
      </w:r>
      <w:r w:rsidR="00AF6CFC" w:rsidRPr="00DD5F1D">
        <w:rPr>
          <w:color w:val="000000"/>
          <w:lang w:val="ro-MD"/>
        </w:rPr>
        <w:t>ă</w:t>
      </w:r>
      <w:r w:rsidR="00CA736C" w:rsidRPr="00DD5F1D">
        <w:rPr>
          <w:color w:val="000000"/>
          <w:lang w:val="ro-MD"/>
        </w:rPr>
        <w:t xml:space="preserve"> cu indicarea temeiurilor</w:t>
      </w:r>
      <w:r w:rsidR="00D242BF" w:rsidRPr="00DD5F1D">
        <w:rPr>
          <w:color w:val="000000"/>
          <w:lang w:val="ro-MD"/>
        </w:rPr>
        <w:t xml:space="preserve"> ese</w:t>
      </w:r>
      <w:r w:rsidR="00CA736C" w:rsidRPr="00DD5F1D">
        <w:rPr>
          <w:color w:val="000000"/>
          <w:lang w:val="ro-MD"/>
        </w:rPr>
        <w:t>nțiale</w:t>
      </w:r>
      <w:r w:rsidR="00D242BF" w:rsidRPr="00DD5F1D">
        <w:rPr>
          <w:color w:val="000000"/>
          <w:lang w:val="ro-MD"/>
        </w:rPr>
        <w:t>.</w:t>
      </w:r>
      <w:r w:rsidR="00555A85">
        <w:rPr>
          <w:color w:val="000000"/>
          <w:lang w:val="ro-MD"/>
        </w:rPr>
        <w:t xml:space="preserve"> Totodată, </w:t>
      </w:r>
      <w:r w:rsidR="009820F3" w:rsidRPr="00DD5F1D">
        <w:rPr>
          <w:i/>
          <w:color w:val="000000"/>
          <w:lang w:val="ro-MD"/>
        </w:rPr>
        <w:t>„</w:t>
      </w:r>
      <w:r w:rsidR="009820F3" w:rsidRPr="00DD5F1D">
        <w:rPr>
          <w:i/>
          <w:color w:val="000000" w:themeColor="text1"/>
          <w:lang w:val="ro-MD"/>
        </w:rPr>
        <w:t>comunicarea interinstituțională și comunicarea cu participanții sau cu publicul în cadrul procedurii administrative se face prin orice mijloc (verbal, poștă, telefon, fax</w:t>
      </w:r>
      <w:r w:rsidR="009B0E2A" w:rsidRPr="00DD5F1D">
        <w:rPr>
          <w:i/>
          <w:color w:val="000000" w:themeColor="text1"/>
          <w:lang w:val="ro-MD"/>
        </w:rPr>
        <w:t>, poștă electronică etc.), acordâ</w:t>
      </w:r>
      <w:r w:rsidR="009820F3" w:rsidRPr="00DD5F1D">
        <w:rPr>
          <w:i/>
          <w:color w:val="000000" w:themeColor="text1"/>
          <w:lang w:val="ro-MD"/>
        </w:rPr>
        <w:t>ndu-se prioritate mijloacelor care asigură o mai mare eficiență, rapiditate și economie de costuri, în special mijloac</w:t>
      </w:r>
      <w:r w:rsidR="00CA63A3">
        <w:rPr>
          <w:i/>
          <w:color w:val="000000" w:themeColor="text1"/>
          <w:lang w:val="ro-MD"/>
        </w:rPr>
        <w:t>elor electronice de comunicație</w:t>
      </w:r>
      <w:r w:rsidR="009B0E2A" w:rsidRPr="00DD5F1D">
        <w:rPr>
          <w:i/>
          <w:color w:val="000000" w:themeColor="text1"/>
          <w:lang w:val="ro-MD"/>
        </w:rPr>
        <w:t>”</w:t>
      </w:r>
      <w:r w:rsidR="00CA63A3">
        <w:rPr>
          <w:i/>
          <w:color w:val="000000" w:themeColor="text1"/>
          <w:lang w:val="ro-MD"/>
        </w:rPr>
        <w:t>.</w:t>
      </w:r>
    </w:p>
    <w:p w14:paraId="5307E2BE" w14:textId="4E4C62B9" w:rsidR="00F85A35" w:rsidRPr="00DD5F1D" w:rsidRDefault="009B0E2A" w:rsidP="009B0E2A">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P</w:t>
      </w:r>
      <w:r w:rsidR="00600049" w:rsidRPr="00DD5F1D">
        <w:rPr>
          <w:rFonts w:ascii="Times New Roman" w:hAnsi="Times New Roman" w:cs="Times New Roman"/>
          <w:sz w:val="24"/>
          <w:szCs w:val="24"/>
          <w:lang w:val="ro-MD"/>
        </w:rPr>
        <w:t xml:space="preserve">e </w:t>
      </w:r>
      <w:r w:rsidR="00F85A35" w:rsidRPr="00DD5F1D">
        <w:rPr>
          <w:rFonts w:ascii="Times New Roman" w:hAnsi="Times New Roman" w:cs="Times New Roman"/>
          <w:sz w:val="24"/>
          <w:szCs w:val="24"/>
          <w:lang w:val="ro-MD"/>
        </w:rPr>
        <w:t>parcursul anului 2023</w:t>
      </w:r>
      <w:r w:rsidR="00600049" w:rsidRPr="00DD5F1D">
        <w:rPr>
          <w:rFonts w:ascii="Times New Roman" w:hAnsi="Times New Roman" w:cs="Times New Roman"/>
          <w:sz w:val="24"/>
          <w:szCs w:val="24"/>
          <w:lang w:val="ro-MD"/>
        </w:rPr>
        <w:t>,</w:t>
      </w:r>
      <w:r w:rsidR="00F85A35" w:rsidRPr="00DD5F1D">
        <w:rPr>
          <w:rFonts w:ascii="Times New Roman" w:hAnsi="Times New Roman" w:cs="Times New Roman"/>
          <w:sz w:val="24"/>
          <w:szCs w:val="24"/>
          <w:lang w:val="ro-MD"/>
        </w:rPr>
        <w:t xml:space="preserve"> CNAS a primit spre examinare 4</w:t>
      </w:r>
      <w:r w:rsidR="00AF6CFC" w:rsidRPr="00DD5F1D">
        <w:rPr>
          <w:rFonts w:ascii="Times New Roman" w:hAnsi="Times New Roman" w:cs="Times New Roman"/>
          <w:sz w:val="24"/>
          <w:szCs w:val="24"/>
          <w:lang w:val="ro-MD"/>
        </w:rPr>
        <w:t xml:space="preserve"> </w:t>
      </w:r>
      <w:r w:rsidR="00F85A35" w:rsidRPr="00DD5F1D">
        <w:rPr>
          <w:rFonts w:ascii="Times New Roman" w:hAnsi="Times New Roman" w:cs="Times New Roman"/>
          <w:sz w:val="24"/>
          <w:szCs w:val="24"/>
          <w:lang w:val="ro-MD"/>
        </w:rPr>
        <w:t xml:space="preserve">734 </w:t>
      </w:r>
      <w:r w:rsidR="00AF6CFC" w:rsidRPr="00DD5F1D">
        <w:rPr>
          <w:rFonts w:ascii="Times New Roman" w:hAnsi="Times New Roman" w:cs="Times New Roman"/>
          <w:sz w:val="24"/>
          <w:szCs w:val="24"/>
          <w:lang w:val="ro-MD"/>
        </w:rPr>
        <w:t xml:space="preserve">de </w:t>
      </w:r>
      <w:r w:rsidR="00F85A35" w:rsidRPr="00DD5F1D">
        <w:rPr>
          <w:rFonts w:ascii="Times New Roman" w:hAnsi="Times New Roman" w:cs="Times New Roman"/>
          <w:sz w:val="24"/>
          <w:szCs w:val="24"/>
          <w:lang w:val="ro-MD"/>
        </w:rPr>
        <w:t xml:space="preserve">cereri prealabile, precum și au fost depuse 744 </w:t>
      </w:r>
      <w:r w:rsidR="00AF6CFC" w:rsidRPr="00DD5F1D">
        <w:rPr>
          <w:rFonts w:ascii="Times New Roman" w:hAnsi="Times New Roman" w:cs="Times New Roman"/>
          <w:sz w:val="24"/>
          <w:szCs w:val="24"/>
          <w:lang w:val="ro-MD"/>
        </w:rPr>
        <w:t xml:space="preserve">de </w:t>
      </w:r>
      <w:r w:rsidR="00F85A35" w:rsidRPr="00DD5F1D">
        <w:rPr>
          <w:rFonts w:ascii="Times New Roman" w:hAnsi="Times New Roman" w:cs="Times New Roman"/>
          <w:sz w:val="24"/>
          <w:szCs w:val="24"/>
          <w:lang w:val="ro-MD"/>
        </w:rPr>
        <w:t xml:space="preserve">cereri de chemare în judecată. Cu referire la litigiile existente </w:t>
      </w:r>
      <w:r w:rsidR="00106090">
        <w:rPr>
          <w:rFonts w:ascii="Times New Roman" w:hAnsi="Times New Roman" w:cs="Times New Roman"/>
          <w:sz w:val="24"/>
          <w:szCs w:val="24"/>
          <w:lang w:val="ro-MD"/>
        </w:rPr>
        <w:t>cu</w:t>
      </w:r>
      <w:r w:rsidR="00F85A35" w:rsidRPr="00DD5F1D">
        <w:rPr>
          <w:rFonts w:ascii="Times New Roman" w:hAnsi="Times New Roman" w:cs="Times New Roman"/>
          <w:sz w:val="24"/>
          <w:szCs w:val="24"/>
          <w:lang w:val="ro-MD"/>
        </w:rPr>
        <w:t xml:space="preserve"> CNAS, se denotă că pe parcursul anului au fost adoptate 191 </w:t>
      </w:r>
      <w:r w:rsidR="00AF6CFC" w:rsidRPr="00DD5F1D">
        <w:rPr>
          <w:rFonts w:ascii="Times New Roman" w:hAnsi="Times New Roman" w:cs="Times New Roman"/>
          <w:sz w:val="24"/>
          <w:szCs w:val="24"/>
          <w:lang w:val="ro-MD"/>
        </w:rPr>
        <w:t>de h</w:t>
      </w:r>
      <w:r w:rsidR="00F85A35" w:rsidRPr="00DD5F1D">
        <w:rPr>
          <w:rFonts w:ascii="Times New Roman" w:hAnsi="Times New Roman" w:cs="Times New Roman"/>
          <w:sz w:val="24"/>
          <w:szCs w:val="24"/>
          <w:lang w:val="ro-MD"/>
        </w:rPr>
        <w:t>otărâri/</w:t>
      </w:r>
      <w:r w:rsidR="00AF6CFC" w:rsidRPr="00DD5F1D">
        <w:rPr>
          <w:rFonts w:ascii="Times New Roman" w:hAnsi="Times New Roman" w:cs="Times New Roman"/>
          <w:sz w:val="24"/>
          <w:szCs w:val="24"/>
          <w:lang w:val="ro-MD"/>
        </w:rPr>
        <w:t>d</w:t>
      </w:r>
      <w:r w:rsidR="00F85A35" w:rsidRPr="00DD5F1D">
        <w:rPr>
          <w:rFonts w:ascii="Times New Roman" w:hAnsi="Times New Roman" w:cs="Times New Roman"/>
          <w:sz w:val="24"/>
          <w:szCs w:val="24"/>
          <w:lang w:val="ro-MD"/>
        </w:rPr>
        <w:t xml:space="preserve">ecizii de judecată irevocabile, dintre acestea 91 favorabile, 57 de dosare sunt finisate fără </w:t>
      </w:r>
      <w:r w:rsidR="00AF6CFC" w:rsidRPr="00DD5F1D">
        <w:rPr>
          <w:rFonts w:ascii="Times New Roman" w:hAnsi="Times New Roman" w:cs="Times New Roman"/>
          <w:sz w:val="24"/>
          <w:szCs w:val="24"/>
          <w:lang w:val="ro-MD"/>
        </w:rPr>
        <w:t>anumite</w:t>
      </w:r>
      <w:r w:rsidR="00F85A35" w:rsidRPr="00DD5F1D">
        <w:rPr>
          <w:rFonts w:ascii="Times New Roman" w:hAnsi="Times New Roman" w:cs="Times New Roman"/>
          <w:sz w:val="24"/>
          <w:szCs w:val="24"/>
          <w:lang w:val="ro-MD"/>
        </w:rPr>
        <w:t xml:space="preserve"> obligații față de CNAS și 4</w:t>
      </w:r>
      <w:r w:rsidR="00860F40" w:rsidRPr="00DD5F1D">
        <w:rPr>
          <w:rFonts w:ascii="Times New Roman" w:hAnsi="Times New Roman" w:cs="Times New Roman"/>
          <w:sz w:val="24"/>
          <w:szCs w:val="24"/>
          <w:lang w:val="ro-MD"/>
        </w:rPr>
        <w:t>3</w:t>
      </w:r>
      <w:r w:rsidR="00F85A35" w:rsidRPr="00DD5F1D">
        <w:rPr>
          <w:rFonts w:ascii="Times New Roman" w:hAnsi="Times New Roman" w:cs="Times New Roman"/>
          <w:sz w:val="24"/>
          <w:szCs w:val="24"/>
          <w:lang w:val="ro-MD"/>
        </w:rPr>
        <w:t xml:space="preserve"> nefavorabile </w:t>
      </w:r>
      <w:r w:rsidR="00AF6CFC" w:rsidRPr="00DD5F1D">
        <w:rPr>
          <w:rFonts w:ascii="Times New Roman" w:hAnsi="Times New Roman" w:cs="Times New Roman"/>
          <w:sz w:val="24"/>
          <w:szCs w:val="24"/>
          <w:lang w:val="ro-MD"/>
        </w:rPr>
        <w:t>(</w:t>
      </w:r>
      <w:r w:rsidR="00F85A35" w:rsidRPr="00DD5F1D">
        <w:rPr>
          <w:rFonts w:ascii="Times New Roman" w:hAnsi="Times New Roman" w:cs="Times New Roman"/>
          <w:sz w:val="24"/>
          <w:szCs w:val="24"/>
          <w:lang w:val="ro-MD"/>
        </w:rPr>
        <w:t xml:space="preserve">Anexa nr. </w:t>
      </w:r>
      <w:r w:rsidR="00600049" w:rsidRPr="00DD5F1D">
        <w:rPr>
          <w:rFonts w:ascii="Times New Roman" w:hAnsi="Times New Roman" w:cs="Times New Roman"/>
          <w:sz w:val="24"/>
          <w:szCs w:val="24"/>
          <w:lang w:val="ro-MD"/>
        </w:rPr>
        <w:t>4</w:t>
      </w:r>
      <w:r w:rsidR="00AF6CFC" w:rsidRPr="00DD5F1D">
        <w:rPr>
          <w:rFonts w:ascii="Times New Roman" w:hAnsi="Times New Roman" w:cs="Times New Roman"/>
          <w:sz w:val="24"/>
          <w:szCs w:val="24"/>
          <w:lang w:val="ro-MD"/>
        </w:rPr>
        <w:t xml:space="preserve"> la prezentul Raport de audit)</w:t>
      </w:r>
      <w:r w:rsidR="00600049" w:rsidRPr="00DD5F1D">
        <w:rPr>
          <w:rFonts w:ascii="Times New Roman" w:hAnsi="Times New Roman" w:cs="Times New Roman"/>
          <w:sz w:val="24"/>
          <w:szCs w:val="24"/>
          <w:lang w:val="ro-MD"/>
        </w:rPr>
        <w:t>.</w:t>
      </w:r>
    </w:p>
    <w:p w14:paraId="70927268" w14:textId="0AB4A175" w:rsidR="00F85A35" w:rsidRPr="00DD5F1D" w:rsidRDefault="00F85A35" w:rsidP="009B0E2A">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Cele mai multe decizii nefavorabile (20</w:t>
      </w:r>
      <w:r w:rsidR="00AF6CFC"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sau 49%</w:t>
      </w:r>
      <w:r w:rsidR="00AF6CFC"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se referă la stabilirea/recalcularea pensiilor militarilor</w:t>
      </w:r>
      <w:r w:rsidR="00AF6CFC"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și anume confirmarea vechimii în muncă în izolatoare. Totodată, pe parcursul anului au fost operate modificări ale cadrului normativ</w:t>
      </w:r>
      <w:r w:rsidRPr="00DD5F1D">
        <w:rPr>
          <w:rFonts w:ascii="Times New Roman" w:hAnsi="Times New Roman" w:cs="Times New Roman"/>
          <w:vertAlign w:val="superscript"/>
          <w:lang w:val="ro-MD"/>
        </w:rPr>
        <w:footnoteReference w:id="146"/>
      </w:r>
      <w:r w:rsidRPr="00DD5F1D">
        <w:rPr>
          <w:rFonts w:ascii="Times New Roman" w:hAnsi="Times New Roman" w:cs="Times New Roman"/>
          <w:sz w:val="24"/>
          <w:szCs w:val="24"/>
          <w:lang w:val="ro-MD"/>
        </w:rPr>
        <w:t xml:space="preserve">, care au adus precizări și reglementări distincte privind calcularea vechimii în muncă din cadrul izolatorului provizoriu și batalioanelor de escortă. </w:t>
      </w:r>
    </w:p>
    <w:p w14:paraId="3D68CB4E" w14:textId="64A22159" w:rsidR="003A1D7C" w:rsidRPr="00DD5F1D" w:rsidRDefault="00F85A35" w:rsidP="003A1D7C">
      <w:pPr>
        <w:spacing w:line="276" w:lineRule="auto"/>
        <w:jc w:val="both"/>
        <w:rPr>
          <w:rFonts w:ascii="Times New Roman" w:hAnsi="Times New Roman" w:cs="Times New Roman"/>
          <w:i/>
          <w:sz w:val="24"/>
          <w:szCs w:val="24"/>
          <w:lang w:val="ro-MD"/>
        </w:rPr>
      </w:pPr>
      <w:r w:rsidRPr="00DD5F1D">
        <w:rPr>
          <w:rFonts w:ascii="Times New Roman" w:hAnsi="Times New Roman" w:cs="Times New Roman"/>
          <w:sz w:val="24"/>
          <w:szCs w:val="24"/>
          <w:lang w:val="ro-MD"/>
        </w:rPr>
        <w:t xml:space="preserve">De asemenea, pentru stabilirea pensiei de funcționar public, recalcularea pensiei de procuror, recalcularea pensiei în conformitate cu Legea </w:t>
      </w:r>
      <w:r w:rsidR="00AF6CFC" w:rsidRPr="00DD5F1D">
        <w:rPr>
          <w:rFonts w:ascii="Times New Roman" w:hAnsi="Times New Roman" w:cs="Times New Roman"/>
          <w:sz w:val="24"/>
          <w:szCs w:val="24"/>
          <w:lang w:val="ro-MD"/>
        </w:rPr>
        <w:t xml:space="preserve">nr. </w:t>
      </w:r>
      <w:r w:rsidRPr="00DD5F1D">
        <w:rPr>
          <w:rFonts w:ascii="Times New Roman" w:hAnsi="Times New Roman" w:cs="Times New Roman"/>
          <w:sz w:val="24"/>
          <w:szCs w:val="24"/>
          <w:lang w:val="ro-MD"/>
        </w:rPr>
        <w:t xml:space="preserve">156/1998, au fost adoptate câte 5 decizii de fiecare, </w:t>
      </w:r>
      <w:r w:rsidR="00AF6CFC" w:rsidRPr="00DD5F1D">
        <w:rPr>
          <w:rFonts w:ascii="Times New Roman" w:hAnsi="Times New Roman" w:cs="Times New Roman"/>
          <w:sz w:val="24"/>
          <w:szCs w:val="24"/>
          <w:lang w:val="ro-MD"/>
        </w:rPr>
        <w:t xml:space="preserve">toate </w:t>
      </w:r>
      <w:r w:rsidRPr="00DD5F1D">
        <w:rPr>
          <w:rFonts w:ascii="Times New Roman" w:hAnsi="Times New Roman" w:cs="Times New Roman"/>
          <w:sz w:val="24"/>
          <w:szCs w:val="24"/>
          <w:lang w:val="ro-MD"/>
        </w:rPr>
        <w:t>irevocabile</w:t>
      </w:r>
      <w:r w:rsidR="00AF6CFC"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w:t>
      </w:r>
      <w:r w:rsidR="00AF6CFC" w:rsidRPr="00DD5F1D">
        <w:rPr>
          <w:rFonts w:ascii="Times New Roman" w:hAnsi="Times New Roman" w:cs="Times New Roman"/>
          <w:sz w:val="24"/>
          <w:szCs w:val="24"/>
          <w:lang w:val="ro-MD"/>
        </w:rPr>
        <w:t>p</w:t>
      </w:r>
      <w:r w:rsidRPr="00DD5F1D">
        <w:rPr>
          <w:rFonts w:ascii="Times New Roman" w:hAnsi="Times New Roman" w:cs="Times New Roman"/>
          <w:sz w:val="24"/>
          <w:szCs w:val="24"/>
          <w:lang w:val="ro-MD"/>
        </w:rPr>
        <w:t>entru stabilirea/recalcularea indemnizației pentru îngrijirea copilului/maternitate (4 decizii), recalcularea pensiei/indemnizației viagere ca</w:t>
      </w:r>
      <w:r w:rsidR="0049570B" w:rsidRPr="00DD5F1D">
        <w:rPr>
          <w:rFonts w:ascii="Times New Roman" w:hAnsi="Times New Roman" w:cs="Times New Roman"/>
          <w:sz w:val="24"/>
          <w:szCs w:val="24"/>
          <w:lang w:val="ro-MD"/>
        </w:rPr>
        <w:t xml:space="preserve"> judecător (2 decizii) și altele ce țin de indemnizații</w:t>
      </w:r>
      <w:r w:rsidRPr="00DD5F1D">
        <w:rPr>
          <w:rFonts w:ascii="Times New Roman" w:hAnsi="Times New Roman" w:cs="Times New Roman"/>
          <w:sz w:val="24"/>
          <w:szCs w:val="24"/>
          <w:lang w:val="ro-MD"/>
        </w:rPr>
        <w:t xml:space="preserve"> (2 decizii). În total, CNAS a suportat cheltuieli de judecată în valoare </w:t>
      </w:r>
      <w:r w:rsidR="00AF6CFC"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 xml:space="preserve">116,4 mii lei, cheltuielile aferente prestațiilor </w:t>
      </w:r>
      <w:r w:rsidR="00E71AAC" w:rsidRPr="00DD5F1D">
        <w:rPr>
          <w:rFonts w:ascii="Times New Roman" w:hAnsi="Times New Roman" w:cs="Times New Roman"/>
          <w:sz w:val="24"/>
          <w:szCs w:val="24"/>
          <w:lang w:val="ro-MD"/>
        </w:rPr>
        <w:t>nefiind</w:t>
      </w:r>
      <w:r w:rsidRPr="00DD5F1D">
        <w:rPr>
          <w:rFonts w:ascii="Times New Roman" w:hAnsi="Times New Roman" w:cs="Times New Roman"/>
          <w:sz w:val="24"/>
          <w:szCs w:val="24"/>
          <w:lang w:val="ro-MD"/>
        </w:rPr>
        <w:t xml:space="preserve"> evaluate. Totodată, la 31.12.2023 existau 1</w:t>
      </w:r>
      <w:r w:rsidR="00E71AAC"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 xml:space="preserve">342 </w:t>
      </w:r>
      <w:r w:rsidR="00E71AAC"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 xml:space="preserve">litigii în instanța de judecată (în instanțele de fond, </w:t>
      </w:r>
      <w:r w:rsidR="00E71AAC"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 xml:space="preserve">apel și </w:t>
      </w:r>
      <w:r w:rsidR="00E71AAC" w:rsidRPr="00DD5F1D">
        <w:rPr>
          <w:rFonts w:ascii="Times New Roman" w:hAnsi="Times New Roman" w:cs="Times New Roman"/>
          <w:sz w:val="24"/>
          <w:szCs w:val="24"/>
          <w:lang w:val="ro-MD"/>
        </w:rPr>
        <w:t xml:space="preserve">de </w:t>
      </w:r>
      <w:r w:rsidRPr="00DD5F1D">
        <w:rPr>
          <w:rFonts w:ascii="Times New Roman" w:hAnsi="Times New Roman" w:cs="Times New Roman"/>
          <w:sz w:val="24"/>
          <w:szCs w:val="24"/>
          <w:lang w:val="ro-MD"/>
        </w:rPr>
        <w:t>recurs).</w:t>
      </w:r>
    </w:p>
    <w:p w14:paraId="784C32EB" w14:textId="1F36AF0E" w:rsidR="00A60D5D" w:rsidRPr="00DD5F1D" w:rsidRDefault="00A60D5D" w:rsidP="00BF20A1">
      <w:pPr>
        <w:pStyle w:val="aa"/>
        <w:numPr>
          <w:ilvl w:val="0"/>
          <w:numId w:val="2"/>
        </w:numPr>
        <w:shd w:val="clear" w:color="auto" w:fill="FFFFFF"/>
        <w:spacing w:after="0" w:line="276" w:lineRule="auto"/>
        <w:ind w:left="851" w:hanging="851"/>
        <w:jc w:val="both"/>
        <w:outlineLvl w:val="0"/>
        <w:rPr>
          <w:rFonts w:ascii="Times New Roman" w:eastAsia="Times New Roman" w:hAnsi="Times New Roman" w:cs="Times New Roman"/>
          <w:b/>
          <w:spacing w:val="8"/>
          <w:sz w:val="24"/>
          <w:szCs w:val="24"/>
          <w:lang w:val="ro-MD"/>
        </w:rPr>
      </w:pPr>
      <w:r w:rsidRPr="00DD5F1D">
        <w:rPr>
          <w:rFonts w:ascii="Times New Roman" w:eastAsia="Times New Roman" w:hAnsi="Times New Roman" w:cs="Times New Roman"/>
          <w:b/>
          <w:spacing w:val="8"/>
          <w:sz w:val="24"/>
          <w:szCs w:val="24"/>
          <w:lang w:val="ro-MD"/>
        </w:rPr>
        <w:t>RECOMANDĂRI</w:t>
      </w:r>
    </w:p>
    <w:p w14:paraId="57F86B13" w14:textId="77777777" w:rsidR="00281B78" w:rsidRPr="00DD5F1D" w:rsidRDefault="00281B78" w:rsidP="00281B78">
      <w:pPr>
        <w:spacing w:after="0" w:line="276" w:lineRule="auto"/>
        <w:jc w:val="both"/>
        <w:rPr>
          <w:rFonts w:ascii="Times New Roman" w:hAnsi="Times New Roman" w:cs="Times New Roman"/>
          <w:b/>
          <w:sz w:val="24"/>
          <w:szCs w:val="24"/>
          <w:lang w:val="ro-MD"/>
        </w:rPr>
      </w:pPr>
      <w:r w:rsidRPr="00DD5F1D">
        <w:rPr>
          <w:rFonts w:ascii="Times New Roman" w:hAnsi="Times New Roman" w:cs="Times New Roman"/>
          <w:b/>
          <w:sz w:val="24"/>
          <w:szCs w:val="24"/>
          <w:lang w:val="ro-MD"/>
        </w:rPr>
        <w:t>Recomandare Ministerului Justiției:</w:t>
      </w:r>
    </w:p>
    <w:p w14:paraId="703092CA" w14:textId="78C77EC1" w:rsidR="00281B78" w:rsidRPr="00DD5F1D" w:rsidRDefault="00281B78" w:rsidP="00281B78">
      <w:pPr>
        <w:pStyle w:val="aa"/>
        <w:numPr>
          <w:ilvl w:val="0"/>
          <w:numId w:val="4"/>
        </w:numPr>
        <w:spacing w:after="0" w:line="276" w:lineRule="auto"/>
        <w:jc w:val="both"/>
        <w:rPr>
          <w:rFonts w:ascii="Times New Roman" w:hAnsi="Times New Roman" w:cs="Times New Roman"/>
          <w:i/>
          <w:sz w:val="24"/>
          <w:szCs w:val="24"/>
          <w:lang w:val="ro-MD"/>
        </w:rPr>
      </w:pPr>
      <w:r w:rsidRPr="00DD5F1D">
        <w:rPr>
          <w:rFonts w:ascii="Times New Roman" w:hAnsi="Times New Roman" w:cs="Times New Roman"/>
          <w:sz w:val="24"/>
          <w:szCs w:val="24"/>
          <w:lang w:val="ro-MD"/>
        </w:rPr>
        <w:t xml:space="preserve">Să instituie registrul electronic de evidență a liber-profesioniștilor ce practică activitate în sectorul justiției și să asigure transmiterea operativă a informațiilor necesare către CNAS, în scopul înregistrării în termen a acestora în calitate de plătitori la BASS </w:t>
      </w:r>
      <w:r w:rsidRPr="00DD5F1D">
        <w:rPr>
          <w:rFonts w:ascii="Times New Roman" w:hAnsi="Times New Roman" w:cs="Times New Roman"/>
          <w:i/>
          <w:sz w:val="24"/>
          <w:szCs w:val="24"/>
          <w:lang w:val="ro-MD"/>
        </w:rPr>
        <w:t>(Observația</w:t>
      </w:r>
      <w:r w:rsidR="002F618D" w:rsidRPr="00DD5F1D">
        <w:rPr>
          <w:rFonts w:ascii="Times New Roman" w:hAnsi="Times New Roman" w:cs="Times New Roman"/>
          <w:i/>
          <w:sz w:val="24"/>
          <w:szCs w:val="24"/>
          <w:lang w:val="ro-MD"/>
        </w:rPr>
        <w:t xml:space="preserve"> 6.</w:t>
      </w:r>
      <w:r w:rsidR="0079559F" w:rsidRPr="00DD5F1D">
        <w:rPr>
          <w:rFonts w:ascii="Times New Roman" w:hAnsi="Times New Roman" w:cs="Times New Roman"/>
          <w:i/>
          <w:sz w:val="24"/>
          <w:szCs w:val="24"/>
          <w:lang w:val="ro-MD"/>
        </w:rPr>
        <w:t>8</w:t>
      </w:r>
      <w:r w:rsidRPr="00DD5F1D">
        <w:rPr>
          <w:rFonts w:ascii="Times New Roman" w:hAnsi="Times New Roman" w:cs="Times New Roman"/>
          <w:i/>
          <w:sz w:val="24"/>
          <w:szCs w:val="24"/>
          <w:lang w:val="ro-MD"/>
        </w:rPr>
        <w:t xml:space="preserve">  – Secțiunea</w:t>
      </w:r>
      <w:r w:rsidR="002F618D" w:rsidRPr="00DD5F1D">
        <w:rPr>
          <w:rFonts w:ascii="Times New Roman" w:hAnsi="Times New Roman" w:cs="Times New Roman"/>
          <w:i/>
          <w:sz w:val="24"/>
          <w:szCs w:val="24"/>
          <w:lang w:val="ro-MD"/>
        </w:rPr>
        <w:t xml:space="preserve"> </w:t>
      </w:r>
      <w:r w:rsidR="00E71AAC" w:rsidRPr="00DD5F1D">
        <w:rPr>
          <w:rFonts w:ascii="Times New Roman" w:hAnsi="Times New Roman" w:cs="Times New Roman"/>
          <w:i/>
          <w:sz w:val="24"/>
          <w:szCs w:val="24"/>
          <w:lang w:val="ro-MD"/>
        </w:rPr>
        <w:t xml:space="preserve">a </w:t>
      </w:r>
      <w:r w:rsidR="002F618D" w:rsidRPr="00DD5F1D">
        <w:rPr>
          <w:rFonts w:ascii="Times New Roman" w:hAnsi="Times New Roman" w:cs="Times New Roman"/>
          <w:i/>
          <w:sz w:val="24"/>
          <w:szCs w:val="24"/>
          <w:lang w:val="ro-MD"/>
        </w:rPr>
        <w:t>VI</w:t>
      </w:r>
      <w:r w:rsidR="00E71AAC"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w:t>
      </w:r>
    </w:p>
    <w:p w14:paraId="127C35E3" w14:textId="77777777" w:rsidR="00281B78" w:rsidRPr="00DD5F1D" w:rsidRDefault="00281B78" w:rsidP="00281B78">
      <w:pPr>
        <w:spacing w:after="0" w:line="276" w:lineRule="auto"/>
        <w:jc w:val="both"/>
        <w:rPr>
          <w:rFonts w:ascii="Times New Roman" w:hAnsi="Times New Roman" w:cs="Times New Roman"/>
          <w:b/>
          <w:sz w:val="24"/>
          <w:szCs w:val="24"/>
          <w:lang w:val="ro-MD"/>
        </w:rPr>
      </w:pPr>
      <w:r w:rsidRPr="00DD5F1D">
        <w:rPr>
          <w:rFonts w:ascii="Times New Roman" w:hAnsi="Times New Roman" w:cs="Times New Roman"/>
          <w:b/>
          <w:sz w:val="24"/>
          <w:szCs w:val="24"/>
          <w:lang w:val="ro-MD"/>
        </w:rPr>
        <w:t>Recomandare Ministerului Muncii și Protecției Sociale:</w:t>
      </w:r>
    </w:p>
    <w:p w14:paraId="422C0B86" w14:textId="6A816E14" w:rsidR="00281B78" w:rsidRPr="00DD5F1D" w:rsidRDefault="00281B78" w:rsidP="00281B78">
      <w:pPr>
        <w:pStyle w:val="aa"/>
        <w:numPr>
          <w:ilvl w:val="0"/>
          <w:numId w:val="4"/>
        </w:numPr>
        <w:spacing w:after="0" w:line="276" w:lineRule="auto"/>
        <w:jc w:val="both"/>
        <w:rPr>
          <w:rFonts w:ascii="Times New Roman" w:hAnsi="Times New Roman" w:cs="Times New Roman"/>
          <w:i/>
          <w:sz w:val="24"/>
          <w:szCs w:val="24"/>
          <w:lang w:val="ro-MD"/>
        </w:rPr>
      </w:pPr>
      <w:r w:rsidRPr="00DD5F1D">
        <w:rPr>
          <w:rFonts w:ascii="Times New Roman" w:eastAsia="Times New Roman" w:hAnsi="Times New Roman" w:cs="Times New Roman"/>
          <w:sz w:val="24"/>
          <w:szCs w:val="24"/>
          <w:lang w:val="ro-MD"/>
        </w:rPr>
        <w:t xml:space="preserve">Să revizuiască și să actualizeze cadrul normativ pentru asigurarea stabilirii uniforme a pensiei pentru vechime în muncă foștilor angajați ai instituțiilor de forță </w:t>
      </w:r>
      <w:r w:rsidRPr="00DD5F1D">
        <w:rPr>
          <w:rFonts w:ascii="Times New Roman" w:hAnsi="Times New Roman" w:cs="Times New Roman"/>
          <w:i/>
          <w:sz w:val="24"/>
          <w:szCs w:val="24"/>
          <w:lang w:val="ro-MD"/>
        </w:rPr>
        <w:t>(Observația</w:t>
      </w:r>
      <w:r w:rsidR="002F618D" w:rsidRPr="00DD5F1D">
        <w:rPr>
          <w:rFonts w:ascii="Times New Roman" w:hAnsi="Times New Roman" w:cs="Times New Roman"/>
          <w:i/>
          <w:sz w:val="24"/>
          <w:szCs w:val="24"/>
          <w:lang w:val="ro-MD"/>
        </w:rPr>
        <w:t xml:space="preserve"> </w:t>
      </w:r>
      <w:r w:rsidR="008F07A1" w:rsidRPr="00DD5F1D">
        <w:rPr>
          <w:rFonts w:ascii="Times New Roman" w:hAnsi="Times New Roman" w:cs="Times New Roman"/>
          <w:i/>
          <w:sz w:val="24"/>
          <w:szCs w:val="24"/>
          <w:lang w:val="ro-MD"/>
        </w:rPr>
        <w:t>6.1</w:t>
      </w:r>
      <w:r w:rsidR="0079559F" w:rsidRPr="00DD5F1D">
        <w:rPr>
          <w:rFonts w:ascii="Times New Roman" w:hAnsi="Times New Roman" w:cs="Times New Roman"/>
          <w:i/>
          <w:sz w:val="24"/>
          <w:szCs w:val="24"/>
          <w:lang w:val="ro-MD"/>
        </w:rPr>
        <w:t>3</w:t>
      </w:r>
      <w:r w:rsidR="002F618D" w:rsidRPr="00DD5F1D">
        <w:rPr>
          <w:rFonts w:ascii="Times New Roman" w:hAnsi="Times New Roman" w:cs="Times New Roman"/>
          <w:i/>
          <w:sz w:val="24"/>
          <w:szCs w:val="24"/>
          <w:lang w:val="ro-MD"/>
        </w:rPr>
        <w:t xml:space="preserve"> </w:t>
      </w:r>
      <w:r w:rsidRPr="00DD5F1D">
        <w:rPr>
          <w:rFonts w:ascii="Times New Roman" w:hAnsi="Times New Roman" w:cs="Times New Roman"/>
          <w:i/>
          <w:sz w:val="24"/>
          <w:szCs w:val="24"/>
          <w:lang w:val="ro-MD"/>
        </w:rPr>
        <w:t>– Secțiunea</w:t>
      </w:r>
      <w:r w:rsidR="00E71AAC" w:rsidRPr="00DD5F1D">
        <w:rPr>
          <w:rFonts w:ascii="Times New Roman" w:hAnsi="Times New Roman" w:cs="Times New Roman"/>
          <w:i/>
          <w:sz w:val="24"/>
          <w:szCs w:val="24"/>
          <w:lang w:val="ro-MD"/>
        </w:rPr>
        <w:t xml:space="preserve"> a </w:t>
      </w:r>
      <w:r w:rsidR="002F618D" w:rsidRPr="00DD5F1D">
        <w:rPr>
          <w:rFonts w:ascii="Times New Roman" w:hAnsi="Times New Roman" w:cs="Times New Roman"/>
          <w:i/>
          <w:sz w:val="24"/>
          <w:szCs w:val="24"/>
          <w:lang w:val="ro-MD"/>
        </w:rPr>
        <w:t xml:space="preserve"> VI</w:t>
      </w:r>
      <w:r w:rsidR="00E71AAC"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w:t>
      </w:r>
    </w:p>
    <w:p w14:paraId="2EC2E727" w14:textId="47C277C1" w:rsidR="00281B78" w:rsidRPr="00DD5F1D" w:rsidRDefault="00281B78" w:rsidP="00281B78">
      <w:pPr>
        <w:pStyle w:val="aa"/>
        <w:numPr>
          <w:ilvl w:val="0"/>
          <w:numId w:val="4"/>
        </w:numPr>
        <w:spacing w:after="0" w:line="276" w:lineRule="auto"/>
        <w:jc w:val="both"/>
        <w:rPr>
          <w:rFonts w:ascii="Times New Roman" w:eastAsia="Times New Roman" w:hAnsi="Times New Roman" w:cs="Times New Roman"/>
          <w:sz w:val="24"/>
          <w:szCs w:val="24"/>
          <w:lang w:val="ro-MD"/>
        </w:rPr>
      </w:pPr>
      <w:r w:rsidRPr="00DD5F1D">
        <w:rPr>
          <w:rFonts w:ascii="Times New Roman" w:hAnsi="Times New Roman" w:cs="Times New Roman"/>
          <w:sz w:val="24"/>
          <w:szCs w:val="24"/>
          <w:lang w:val="ro-MD"/>
        </w:rPr>
        <w:t xml:space="preserve">Să analizeze cauzele acordării neregulamentare a ajutorului social și ajutorului pentru perioada rece a anului/compensației sub formă monetară, cu întreprinderea acțiunilor concrete în scopul eliminării cheltuielilor nejustificate și asigurării încasării acestora </w:t>
      </w:r>
      <w:r w:rsidRPr="00DD5F1D">
        <w:rPr>
          <w:rFonts w:ascii="Times New Roman" w:hAnsi="Times New Roman" w:cs="Times New Roman"/>
          <w:i/>
          <w:sz w:val="24"/>
          <w:szCs w:val="24"/>
          <w:lang w:val="ro-MD"/>
        </w:rPr>
        <w:t>(Observația</w:t>
      </w:r>
      <w:r w:rsidR="002F618D" w:rsidRPr="00DD5F1D">
        <w:rPr>
          <w:rFonts w:ascii="Times New Roman" w:hAnsi="Times New Roman" w:cs="Times New Roman"/>
          <w:i/>
          <w:sz w:val="24"/>
          <w:szCs w:val="24"/>
          <w:lang w:val="ro-MD"/>
        </w:rPr>
        <w:t xml:space="preserve"> 6.</w:t>
      </w:r>
      <w:r w:rsidR="0079559F" w:rsidRPr="00DD5F1D">
        <w:rPr>
          <w:rFonts w:ascii="Times New Roman" w:hAnsi="Times New Roman" w:cs="Times New Roman"/>
          <w:i/>
          <w:sz w:val="24"/>
          <w:szCs w:val="24"/>
          <w:lang w:val="ro-MD"/>
        </w:rPr>
        <w:t>9</w:t>
      </w:r>
      <w:r w:rsidR="002F618D" w:rsidRPr="00DD5F1D">
        <w:rPr>
          <w:rFonts w:ascii="Times New Roman" w:hAnsi="Times New Roman" w:cs="Times New Roman"/>
          <w:i/>
          <w:sz w:val="24"/>
          <w:szCs w:val="24"/>
          <w:lang w:val="ro-MD"/>
        </w:rPr>
        <w:t xml:space="preserve"> </w:t>
      </w:r>
      <w:r w:rsidRPr="00DD5F1D">
        <w:rPr>
          <w:rFonts w:ascii="Times New Roman" w:hAnsi="Times New Roman" w:cs="Times New Roman"/>
          <w:i/>
          <w:sz w:val="24"/>
          <w:szCs w:val="24"/>
          <w:lang w:val="ro-MD"/>
        </w:rPr>
        <w:t>– Secțiunea</w:t>
      </w:r>
      <w:r w:rsidR="002F618D" w:rsidRPr="00DD5F1D">
        <w:rPr>
          <w:rFonts w:ascii="Times New Roman" w:hAnsi="Times New Roman" w:cs="Times New Roman"/>
          <w:i/>
          <w:sz w:val="24"/>
          <w:szCs w:val="24"/>
          <w:lang w:val="ro-MD"/>
        </w:rPr>
        <w:t xml:space="preserve"> </w:t>
      </w:r>
      <w:r w:rsidR="00E71AAC" w:rsidRPr="00DD5F1D">
        <w:rPr>
          <w:rFonts w:ascii="Times New Roman" w:hAnsi="Times New Roman" w:cs="Times New Roman"/>
          <w:i/>
          <w:sz w:val="24"/>
          <w:szCs w:val="24"/>
          <w:lang w:val="ro-MD"/>
        </w:rPr>
        <w:t xml:space="preserve">a </w:t>
      </w:r>
      <w:r w:rsidR="002F618D" w:rsidRPr="00DD5F1D">
        <w:rPr>
          <w:rFonts w:ascii="Times New Roman" w:hAnsi="Times New Roman" w:cs="Times New Roman"/>
          <w:i/>
          <w:sz w:val="24"/>
          <w:szCs w:val="24"/>
          <w:lang w:val="ro-MD"/>
        </w:rPr>
        <w:t>VI</w:t>
      </w:r>
      <w:r w:rsidR="00E71AAC"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w:t>
      </w:r>
    </w:p>
    <w:p w14:paraId="062A83FC" w14:textId="34F7435D" w:rsidR="00281B78" w:rsidRPr="00DD5F1D" w:rsidRDefault="00281B78" w:rsidP="00281B78">
      <w:pPr>
        <w:pStyle w:val="aa"/>
        <w:numPr>
          <w:ilvl w:val="0"/>
          <w:numId w:val="4"/>
        </w:num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Să elaboreze și să înainteze propuneri de ajustare a cadrului normativ privind determinarea exhaustivă a categoriilor de angajați din aviația civilă ce au dreptul la stabilirea pensiei în condiții speciale</w:t>
      </w:r>
      <w:r w:rsidRPr="00DD5F1D">
        <w:rPr>
          <w:rFonts w:ascii="Times New Roman" w:hAnsi="Times New Roman" w:cs="Times New Roman"/>
          <w:i/>
          <w:sz w:val="24"/>
          <w:szCs w:val="24"/>
          <w:lang w:val="ro-MD"/>
        </w:rPr>
        <w:t xml:space="preserve"> (reiterat</w:t>
      </w:r>
      <w:r w:rsidR="00E71AAC" w:rsidRPr="00DD5F1D">
        <w:rPr>
          <w:rFonts w:ascii="Times New Roman" w:hAnsi="Times New Roman" w:cs="Times New Roman"/>
          <w:i/>
          <w:sz w:val="24"/>
          <w:szCs w:val="24"/>
          <w:lang w:val="ro-MD"/>
        </w:rPr>
        <w:t>ă</w:t>
      </w:r>
      <w:r w:rsidRPr="00DD5F1D">
        <w:rPr>
          <w:rFonts w:ascii="Times New Roman" w:hAnsi="Times New Roman" w:cs="Times New Roman"/>
          <w:i/>
          <w:sz w:val="24"/>
          <w:szCs w:val="24"/>
          <w:lang w:val="ro-MD"/>
        </w:rPr>
        <w:t xml:space="preserve">); </w:t>
      </w:r>
    </w:p>
    <w:p w14:paraId="28161298" w14:textId="7A21F304" w:rsidR="00281B78" w:rsidRPr="00DD5F1D" w:rsidRDefault="00281B78" w:rsidP="00281B78">
      <w:pPr>
        <w:pStyle w:val="aa"/>
        <w:numPr>
          <w:ilvl w:val="0"/>
          <w:numId w:val="4"/>
        </w:num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Să elaboreze reglementări exhaustive de stopare/sistare a plății pensiei unor angajați din aviația civilă, în cazul reangajării lor în funcții ale căror condiții de muncă se încadrează în condiții speciale </w:t>
      </w:r>
      <w:r w:rsidRPr="00DD5F1D">
        <w:rPr>
          <w:rFonts w:ascii="Times New Roman" w:hAnsi="Times New Roman" w:cs="Times New Roman"/>
          <w:i/>
          <w:sz w:val="24"/>
          <w:szCs w:val="24"/>
          <w:lang w:val="ro-MD"/>
        </w:rPr>
        <w:t>(reiterat</w:t>
      </w:r>
      <w:r w:rsidR="00E71AAC" w:rsidRPr="00DD5F1D">
        <w:rPr>
          <w:rFonts w:ascii="Times New Roman" w:hAnsi="Times New Roman" w:cs="Times New Roman"/>
          <w:i/>
          <w:sz w:val="24"/>
          <w:szCs w:val="24"/>
          <w:lang w:val="ro-MD"/>
        </w:rPr>
        <w:t>ă</w:t>
      </w:r>
      <w:r w:rsidRPr="00DD5F1D">
        <w:rPr>
          <w:rFonts w:ascii="Times New Roman" w:hAnsi="Times New Roman" w:cs="Times New Roman"/>
          <w:i/>
          <w:sz w:val="24"/>
          <w:szCs w:val="24"/>
          <w:lang w:val="ro-MD"/>
        </w:rPr>
        <w:t>);</w:t>
      </w:r>
    </w:p>
    <w:p w14:paraId="71D425F6" w14:textId="4B5D97EF" w:rsidR="00281B78" w:rsidRPr="00DD5F1D" w:rsidRDefault="00281B78" w:rsidP="00281B78">
      <w:pPr>
        <w:pStyle w:val="aa"/>
        <w:numPr>
          <w:ilvl w:val="0"/>
          <w:numId w:val="4"/>
        </w:numPr>
        <w:spacing w:after="0" w:line="276" w:lineRule="auto"/>
        <w:jc w:val="both"/>
        <w:rPr>
          <w:rFonts w:ascii="Times New Roman" w:eastAsia="Times New Roman" w:hAnsi="Times New Roman" w:cs="Times New Roman"/>
          <w:color w:val="000000" w:themeColor="text1"/>
          <w:sz w:val="24"/>
          <w:szCs w:val="24"/>
          <w:lang w:val="ro-MD"/>
        </w:rPr>
      </w:pPr>
      <w:r w:rsidRPr="00DD5F1D">
        <w:rPr>
          <w:rFonts w:ascii="Times New Roman" w:eastAsia="Times New Roman" w:hAnsi="Times New Roman" w:cs="Times New Roman"/>
          <w:color w:val="000000" w:themeColor="text1"/>
          <w:sz w:val="24"/>
          <w:szCs w:val="24"/>
          <w:lang w:val="ro-MD"/>
        </w:rPr>
        <w:t xml:space="preserve">Să reevalueze nivelul accesibilității pentru potențialii beneficiari a biletelor de tratament balneo-sanatorial, precum și să elaboreze modificări ale cadrului normativ aferent acordării acestora, în scopul stabilirii unor criterii exhaustive de acordare a biletelor, </w:t>
      </w:r>
      <w:r w:rsidR="00E71AAC" w:rsidRPr="00DD5F1D">
        <w:rPr>
          <w:rFonts w:ascii="Times New Roman" w:eastAsia="Times New Roman" w:hAnsi="Times New Roman" w:cs="Times New Roman"/>
          <w:color w:val="000000" w:themeColor="text1"/>
          <w:sz w:val="24"/>
          <w:szCs w:val="24"/>
          <w:lang w:val="ro-MD"/>
        </w:rPr>
        <w:t xml:space="preserve">a </w:t>
      </w:r>
      <w:r w:rsidRPr="00DD5F1D">
        <w:rPr>
          <w:rFonts w:ascii="Times New Roman" w:eastAsia="Times New Roman" w:hAnsi="Times New Roman" w:cs="Times New Roman"/>
          <w:color w:val="000000" w:themeColor="text1"/>
          <w:sz w:val="24"/>
          <w:szCs w:val="24"/>
          <w:lang w:val="ro-MD"/>
        </w:rPr>
        <w:t>perioadelor pentru care se acordă și specificarea condițiilor de eliberare a acestora</w:t>
      </w:r>
      <w:r w:rsidRPr="00DD5F1D">
        <w:rPr>
          <w:rFonts w:ascii="Times New Roman" w:hAnsi="Times New Roman" w:cs="Times New Roman"/>
          <w:i/>
          <w:sz w:val="24"/>
          <w:szCs w:val="24"/>
          <w:lang w:val="ro-MD"/>
        </w:rPr>
        <w:t xml:space="preserve"> (Observația</w:t>
      </w:r>
      <w:r w:rsidR="002F618D" w:rsidRPr="00DD5F1D">
        <w:rPr>
          <w:rFonts w:ascii="Times New Roman" w:hAnsi="Times New Roman" w:cs="Times New Roman"/>
          <w:i/>
          <w:sz w:val="24"/>
          <w:szCs w:val="24"/>
          <w:lang w:val="ro-MD"/>
        </w:rPr>
        <w:t xml:space="preserve"> 6.</w:t>
      </w:r>
      <w:r w:rsidR="0079559F" w:rsidRPr="00DD5F1D">
        <w:rPr>
          <w:rFonts w:ascii="Times New Roman" w:hAnsi="Times New Roman" w:cs="Times New Roman"/>
          <w:i/>
          <w:sz w:val="24"/>
          <w:szCs w:val="24"/>
          <w:lang w:val="ro-MD"/>
        </w:rPr>
        <w:t>10</w:t>
      </w:r>
      <w:r w:rsidR="002F618D" w:rsidRPr="00DD5F1D">
        <w:rPr>
          <w:rFonts w:ascii="Times New Roman" w:hAnsi="Times New Roman" w:cs="Times New Roman"/>
          <w:i/>
          <w:sz w:val="24"/>
          <w:szCs w:val="24"/>
          <w:lang w:val="ro-MD"/>
        </w:rPr>
        <w:t xml:space="preserve"> </w:t>
      </w:r>
      <w:r w:rsidRPr="00DD5F1D">
        <w:rPr>
          <w:rFonts w:ascii="Times New Roman" w:hAnsi="Times New Roman" w:cs="Times New Roman"/>
          <w:i/>
          <w:sz w:val="24"/>
          <w:szCs w:val="24"/>
          <w:lang w:val="ro-MD"/>
        </w:rPr>
        <w:t>– Secțiunea</w:t>
      </w:r>
      <w:r w:rsidR="002F618D" w:rsidRPr="00DD5F1D">
        <w:rPr>
          <w:rFonts w:ascii="Times New Roman" w:hAnsi="Times New Roman" w:cs="Times New Roman"/>
          <w:i/>
          <w:sz w:val="24"/>
          <w:szCs w:val="24"/>
          <w:lang w:val="ro-MD"/>
        </w:rPr>
        <w:t xml:space="preserve"> </w:t>
      </w:r>
      <w:r w:rsidR="00E71AAC" w:rsidRPr="00DD5F1D">
        <w:rPr>
          <w:rFonts w:ascii="Times New Roman" w:hAnsi="Times New Roman" w:cs="Times New Roman"/>
          <w:i/>
          <w:sz w:val="24"/>
          <w:szCs w:val="24"/>
          <w:lang w:val="ro-MD"/>
        </w:rPr>
        <w:t xml:space="preserve">a </w:t>
      </w:r>
      <w:r w:rsidR="002F618D" w:rsidRPr="00DD5F1D">
        <w:rPr>
          <w:rFonts w:ascii="Times New Roman" w:hAnsi="Times New Roman" w:cs="Times New Roman"/>
          <w:i/>
          <w:sz w:val="24"/>
          <w:szCs w:val="24"/>
          <w:lang w:val="ro-MD"/>
        </w:rPr>
        <w:t>VI</w:t>
      </w:r>
      <w:r w:rsidR="00E71AAC"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 xml:space="preserve"> );</w:t>
      </w:r>
    </w:p>
    <w:p w14:paraId="72C138EA" w14:textId="51272847" w:rsidR="00281B78" w:rsidRPr="00DD5F1D" w:rsidRDefault="00281B78" w:rsidP="00281B78">
      <w:pPr>
        <w:pStyle w:val="aa"/>
        <w:numPr>
          <w:ilvl w:val="0"/>
          <w:numId w:val="4"/>
        </w:numPr>
        <w:spacing w:after="0" w:line="276" w:lineRule="auto"/>
        <w:jc w:val="both"/>
        <w:rPr>
          <w:rFonts w:ascii="Times New Roman" w:eastAsia="Times New Roman" w:hAnsi="Times New Roman" w:cs="Times New Roman"/>
          <w:color w:val="000000" w:themeColor="text1"/>
          <w:sz w:val="24"/>
          <w:szCs w:val="24"/>
          <w:lang w:val="ro-MD"/>
        </w:rPr>
      </w:pPr>
      <w:r w:rsidRPr="00DD5F1D">
        <w:rPr>
          <w:rFonts w:ascii="Times New Roman" w:hAnsi="Times New Roman" w:cs="Times New Roman"/>
          <w:sz w:val="24"/>
          <w:szCs w:val="24"/>
          <w:lang w:val="ro-MD"/>
        </w:rPr>
        <w:t xml:space="preserve">Să asigure elaborarea reglementărilor </w:t>
      </w:r>
      <w:r w:rsidR="00EB4FE5" w:rsidRPr="00DD5F1D">
        <w:rPr>
          <w:rFonts w:ascii="Times New Roman" w:hAnsi="Times New Roman" w:cs="Times New Roman"/>
          <w:sz w:val="24"/>
          <w:szCs w:val="24"/>
          <w:lang w:val="ro-MD"/>
        </w:rPr>
        <w:t xml:space="preserve">și/sau indicațiilor metodice </w:t>
      </w:r>
      <w:r w:rsidRPr="00DD5F1D">
        <w:rPr>
          <w:rFonts w:ascii="Times New Roman" w:hAnsi="Times New Roman" w:cs="Times New Roman"/>
          <w:sz w:val="24"/>
          <w:szCs w:val="24"/>
          <w:lang w:val="ro-MD"/>
        </w:rPr>
        <w:t>privind indicarea exhaustivă și/sau confirmarea perioadelor necontributive ale stagiului de cotizare, prin nominalizarea distinctă a acestora (cum ar fi: stagiul de cotizare asimilat serviciului militar prin contract, îndeplinit în cadrul unor agenți economici</w:t>
      </w:r>
      <w:r w:rsidR="00DE6156">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a activității în calitate de membru de colhoz</w:t>
      </w:r>
      <w:r w:rsidR="00DE6156">
        <w:rPr>
          <w:rFonts w:ascii="Times New Roman" w:hAnsi="Times New Roman" w:cs="Times New Roman"/>
          <w:sz w:val="24"/>
          <w:szCs w:val="24"/>
          <w:lang w:val="ro-MD"/>
        </w:rPr>
        <w:t>,</w:t>
      </w:r>
      <w:r w:rsidR="00DE6156" w:rsidRPr="00DE6156">
        <w:rPr>
          <w:rFonts w:ascii="Times New Roman" w:hAnsi="Times New Roman" w:cs="Times New Roman"/>
          <w:sz w:val="24"/>
          <w:szCs w:val="24"/>
          <w:lang w:val="ro-MD"/>
        </w:rPr>
        <w:t xml:space="preserve"> </w:t>
      </w:r>
      <w:r w:rsidR="00DE6156" w:rsidRPr="00DD5F1D">
        <w:rPr>
          <w:rFonts w:ascii="Times New Roman" w:hAnsi="Times New Roman" w:cs="Times New Roman"/>
          <w:sz w:val="24"/>
          <w:szCs w:val="24"/>
          <w:lang w:val="ro-MD"/>
        </w:rPr>
        <w:t>etc.</w:t>
      </w:r>
      <w:r w:rsidR="00106090"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în scopul asigurării unor abordări univoce și excluderii potențialelor litigii </w:t>
      </w:r>
      <w:r w:rsidRPr="00DD5F1D">
        <w:rPr>
          <w:rFonts w:ascii="Times New Roman" w:hAnsi="Times New Roman" w:cs="Times New Roman"/>
          <w:i/>
          <w:sz w:val="24"/>
          <w:szCs w:val="24"/>
          <w:lang w:val="ro-MD"/>
        </w:rPr>
        <w:t xml:space="preserve">(Observația </w:t>
      </w:r>
      <w:r w:rsidR="002F618D" w:rsidRPr="00DD5F1D">
        <w:rPr>
          <w:rFonts w:ascii="Times New Roman" w:hAnsi="Times New Roman" w:cs="Times New Roman"/>
          <w:i/>
          <w:sz w:val="24"/>
          <w:szCs w:val="24"/>
          <w:lang w:val="ro-MD"/>
        </w:rPr>
        <w:t>6.16</w:t>
      </w:r>
      <w:r w:rsidRPr="00DD5F1D">
        <w:rPr>
          <w:rFonts w:ascii="Times New Roman" w:hAnsi="Times New Roman" w:cs="Times New Roman"/>
          <w:i/>
          <w:sz w:val="24"/>
          <w:szCs w:val="24"/>
          <w:lang w:val="ro-MD"/>
        </w:rPr>
        <w:t xml:space="preserve"> – Secțiunea</w:t>
      </w:r>
      <w:r w:rsidR="002F618D" w:rsidRPr="00DD5F1D">
        <w:rPr>
          <w:rFonts w:ascii="Times New Roman" w:hAnsi="Times New Roman" w:cs="Times New Roman"/>
          <w:i/>
          <w:sz w:val="24"/>
          <w:szCs w:val="24"/>
          <w:lang w:val="ro-MD"/>
        </w:rPr>
        <w:t xml:space="preserve"> </w:t>
      </w:r>
      <w:r w:rsidR="00E71AAC" w:rsidRPr="00DD5F1D">
        <w:rPr>
          <w:rFonts w:ascii="Times New Roman" w:hAnsi="Times New Roman" w:cs="Times New Roman"/>
          <w:i/>
          <w:sz w:val="24"/>
          <w:szCs w:val="24"/>
          <w:lang w:val="ro-MD"/>
        </w:rPr>
        <w:t xml:space="preserve">a </w:t>
      </w:r>
      <w:r w:rsidR="002F618D" w:rsidRPr="00DD5F1D">
        <w:rPr>
          <w:rFonts w:ascii="Times New Roman" w:hAnsi="Times New Roman" w:cs="Times New Roman"/>
          <w:i/>
          <w:sz w:val="24"/>
          <w:szCs w:val="24"/>
          <w:lang w:val="ro-MD"/>
        </w:rPr>
        <w:t>VI</w:t>
      </w:r>
      <w:r w:rsidR="00E71AAC"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 xml:space="preserve"> )</w:t>
      </w:r>
      <w:r w:rsidRPr="00DD5F1D">
        <w:rPr>
          <w:rFonts w:ascii="Times New Roman" w:hAnsi="Times New Roman" w:cs="Times New Roman"/>
          <w:sz w:val="24"/>
          <w:szCs w:val="24"/>
          <w:lang w:val="ro-MD"/>
        </w:rPr>
        <w:t>;</w:t>
      </w:r>
      <w:r w:rsidRPr="00DD5F1D">
        <w:rPr>
          <w:rFonts w:ascii="Times New Roman" w:eastAsia="Times New Roman" w:hAnsi="Times New Roman" w:cs="Times New Roman"/>
          <w:color w:val="000000" w:themeColor="text1"/>
          <w:sz w:val="24"/>
          <w:szCs w:val="24"/>
          <w:lang w:val="ro-MD"/>
        </w:rPr>
        <w:t xml:space="preserve"> </w:t>
      </w:r>
    </w:p>
    <w:p w14:paraId="79B14E3C" w14:textId="77777777" w:rsidR="00281B78" w:rsidRPr="00DD5F1D" w:rsidRDefault="00281B78" w:rsidP="00281B78">
      <w:pPr>
        <w:pStyle w:val="aa"/>
        <w:spacing w:after="0" w:line="276" w:lineRule="auto"/>
        <w:jc w:val="both"/>
        <w:rPr>
          <w:rFonts w:ascii="Times New Roman" w:hAnsi="Times New Roman" w:cs="Times New Roman"/>
          <w:sz w:val="24"/>
          <w:szCs w:val="24"/>
          <w:lang w:val="ro-MD"/>
        </w:rPr>
      </w:pPr>
    </w:p>
    <w:p w14:paraId="22133CEC" w14:textId="77777777" w:rsidR="00281B78" w:rsidRPr="00DD5F1D" w:rsidRDefault="00281B78" w:rsidP="00281B78">
      <w:pPr>
        <w:spacing w:after="0" w:line="276" w:lineRule="auto"/>
        <w:jc w:val="both"/>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Recomandare Ministerului Sănătății:</w:t>
      </w:r>
    </w:p>
    <w:p w14:paraId="5714FD94" w14:textId="02ABC484" w:rsidR="00281B78" w:rsidRPr="00DD5F1D" w:rsidRDefault="00281B78" w:rsidP="00281B78">
      <w:pPr>
        <w:pStyle w:val="a6"/>
        <w:numPr>
          <w:ilvl w:val="0"/>
          <w:numId w:val="4"/>
        </w:numPr>
        <w:spacing w:line="276" w:lineRule="auto"/>
        <w:rPr>
          <w:lang w:val="ro-MD"/>
        </w:rPr>
      </w:pPr>
      <w:r w:rsidRPr="00DD5F1D">
        <w:rPr>
          <w:lang w:val="ro-MD"/>
        </w:rPr>
        <w:t xml:space="preserve">Să asigure implementarea unor acțiuni/modificări ale cadrului normativ în scopul eficientizării controlului asupra respectării termenelor de introducere a datelor în Portalul certificatelor de concediu medical, cu stabilirea unor indicatori de performanță aferenți managementului </w:t>
      </w:r>
      <w:r w:rsidRPr="00DD5F1D">
        <w:rPr>
          <w:bCs/>
          <w:color w:val="000000" w:themeColor="text1"/>
          <w:szCs w:val="28"/>
          <w:lang w:val="ro-MD"/>
        </w:rPr>
        <w:t>prestatorilor de servicii medicale</w:t>
      </w:r>
      <w:r w:rsidRPr="00DD5F1D">
        <w:rPr>
          <w:i/>
          <w:lang w:val="ro-MD"/>
        </w:rPr>
        <w:t xml:space="preserve"> (Observația</w:t>
      </w:r>
      <w:r w:rsidR="002F618D" w:rsidRPr="00DD5F1D">
        <w:rPr>
          <w:i/>
          <w:lang w:val="ro-MD"/>
        </w:rPr>
        <w:t xml:space="preserve"> 6.1</w:t>
      </w:r>
      <w:r w:rsidR="0079559F" w:rsidRPr="00DD5F1D">
        <w:rPr>
          <w:i/>
          <w:lang w:val="ro-MD"/>
        </w:rPr>
        <w:t>1</w:t>
      </w:r>
      <w:r w:rsidR="002F618D" w:rsidRPr="00DD5F1D">
        <w:rPr>
          <w:i/>
          <w:lang w:val="ro-MD"/>
        </w:rPr>
        <w:t xml:space="preserve"> </w:t>
      </w:r>
      <w:r w:rsidRPr="00DD5F1D">
        <w:rPr>
          <w:i/>
          <w:lang w:val="ro-MD"/>
        </w:rPr>
        <w:t>– Secțiunea</w:t>
      </w:r>
      <w:r w:rsidR="002F618D" w:rsidRPr="00DD5F1D">
        <w:rPr>
          <w:i/>
          <w:lang w:val="ro-MD"/>
        </w:rPr>
        <w:t xml:space="preserve"> </w:t>
      </w:r>
      <w:r w:rsidR="00E71AAC" w:rsidRPr="00DD5F1D">
        <w:rPr>
          <w:i/>
          <w:lang w:val="ro-MD"/>
        </w:rPr>
        <w:t xml:space="preserve">a </w:t>
      </w:r>
      <w:r w:rsidR="002F618D" w:rsidRPr="00DD5F1D">
        <w:rPr>
          <w:i/>
          <w:lang w:val="ro-MD"/>
        </w:rPr>
        <w:t>VI</w:t>
      </w:r>
      <w:r w:rsidR="00E71AAC" w:rsidRPr="00DD5F1D">
        <w:rPr>
          <w:i/>
          <w:lang w:val="ro-MD"/>
        </w:rPr>
        <w:t>-a</w:t>
      </w:r>
      <w:r w:rsidRPr="00DD5F1D">
        <w:rPr>
          <w:i/>
          <w:lang w:val="ro-MD"/>
        </w:rPr>
        <w:t xml:space="preserve"> );</w:t>
      </w:r>
    </w:p>
    <w:p w14:paraId="6C9381BE" w14:textId="46AF5031" w:rsidR="00EB4FE5" w:rsidRPr="00DD5F1D" w:rsidRDefault="00281B78" w:rsidP="00EB4FE5">
      <w:pPr>
        <w:pStyle w:val="a6"/>
        <w:numPr>
          <w:ilvl w:val="0"/>
          <w:numId w:val="4"/>
        </w:numPr>
        <w:spacing w:line="276" w:lineRule="auto"/>
        <w:ind w:left="714" w:hanging="357"/>
        <w:rPr>
          <w:lang w:val="ro-MD"/>
        </w:rPr>
      </w:pPr>
      <w:r w:rsidRPr="00DD5F1D">
        <w:rPr>
          <w:bCs/>
          <w:color w:val="000000" w:themeColor="text1"/>
          <w:szCs w:val="28"/>
          <w:lang w:val="ro-MD"/>
        </w:rPr>
        <w:t>Să întreprindă acțiuni de informare a prestatorilor de servicii medicale privind obligativitatea eliberării certificatelor medicale</w:t>
      </w:r>
      <w:r w:rsidR="00E71AAC" w:rsidRPr="00DD5F1D">
        <w:rPr>
          <w:bCs/>
          <w:color w:val="000000" w:themeColor="text1"/>
          <w:szCs w:val="28"/>
          <w:lang w:val="ro-MD"/>
        </w:rPr>
        <w:t>,</w:t>
      </w:r>
      <w:r w:rsidRPr="00DD5F1D">
        <w:rPr>
          <w:bCs/>
          <w:color w:val="000000" w:themeColor="text1"/>
          <w:szCs w:val="28"/>
          <w:lang w:val="ro-MD"/>
        </w:rPr>
        <w:t xml:space="preserve"> cu respectarea cadrului normativ aferent, inclusiv neadmiterea acordării concediului medical persoanelor care s-au deplasat peste hotarele țării</w:t>
      </w:r>
      <w:r w:rsidR="00EB4FE5" w:rsidRPr="00DD5F1D">
        <w:rPr>
          <w:bCs/>
          <w:color w:val="000000" w:themeColor="text1"/>
          <w:szCs w:val="28"/>
          <w:lang w:val="ro-MD"/>
        </w:rPr>
        <w:t>, cu excepția cazurilor în scop de consultații, investigații sau tratament</w:t>
      </w:r>
      <w:r w:rsidRPr="00DD5F1D">
        <w:rPr>
          <w:bCs/>
          <w:color w:val="000000" w:themeColor="text1"/>
          <w:szCs w:val="28"/>
          <w:lang w:val="ro-MD"/>
        </w:rPr>
        <w:t xml:space="preserve"> </w:t>
      </w:r>
      <w:r w:rsidRPr="00DD5F1D">
        <w:rPr>
          <w:i/>
          <w:lang w:val="ro-MD"/>
        </w:rPr>
        <w:t>(Observația</w:t>
      </w:r>
      <w:r w:rsidR="002F618D" w:rsidRPr="00DD5F1D">
        <w:rPr>
          <w:i/>
          <w:lang w:val="ro-MD"/>
        </w:rPr>
        <w:t xml:space="preserve"> 5.4 </w:t>
      </w:r>
      <w:r w:rsidRPr="00DD5F1D">
        <w:rPr>
          <w:i/>
          <w:lang w:val="ro-MD"/>
        </w:rPr>
        <w:t>– Secțiunea</w:t>
      </w:r>
      <w:r w:rsidR="002F618D" w:rsidRPr="00DD5F1D">
        <w:rPr>
          <w:i/>
          <w:lang w:val="ro-MD"/>
        </w:rPr>
        <w:t xml:space="preserve"> </w:t>
      </w:r>
      <w:r w:rsidR="00E71AAC" w:rsidRPr="00DD5F1D">
        <w:rPr>
          <w:i/>
          <w:lang w:val="ro-MD"/>
        </w:rPr>
        <w:t xml:space="preserve">a </w:t>
      </w:r>
      <w:r w:rsidR="002F618D" w:rsidRPr="00DD5F1D">
        <w:rPr>
          <w:i/>
          <w:lang w:val="ro-MD"/>
        </w:rPr>
        <w:t>V</w:t>
      </w:r>
      <w:r w:rsidR="00E71AAC" w:rsidRPr="00DD5F1D">
        <w:rPr>
          <w:i/>
          <w:lang w:val="ro-MD"/>
        </w:rPr>
        <w:t>-a</w:t>
      </w:r>
      <w:r w:rsidRPr="00DD5F1D">
        <w:rPr>
          <w:i/>
          <w:lang w:val="ro-MD"/>
        </w:rPr>
        <w:t xml:space="preserve"> );</w:t>
      </w:r>
      <w:r w:rsidR="00EB4FE5" w:rsidRPr="00DD5F1D">
        <w:rPr>
          <w:bCs/>
          <w:color w:val="000000" w:themeColor="text1"/>
          <w:szCs w:val="28"/>
          <w:lang w:val="ro-MD"/>
        </w:rPr>
        <w:t xml:space="preserve"> </w:t>
      </w:r>
    </w:p>
    <w:p w14:paraId="5B50FA6B" w14:textId="7D73DB03" w:rsidR="00281B78" w:rsidRPr="00DD5F1D" w:rsidRDefault="00EB4FE5" w:rsidP="00EB4FE5">
      <w:pPr>
        <w:pStyle w:val="a6"/>
        <w:numPr>
          <w:ilvl w:val="0"/>
          <w:numId w:val="4"/>
        </w:numPr>
        <w:spacing w:line="276" w:lineRule="auto"/>
        <w:ind w:left="714" w:hanging="357"/>
        <w:rPr>
          <w:lang w:val="ro-MD"/>
        </w:rPr>
      </w:pPr>
      <w:r w:rsidRPr="00DD5F1D">
        <w:rPr>
          <w:bCs/>
          <w:color w:val="000000" w:themeColor="text1"/>
          <w:szCs w:val="28"/>
          <w:lang w:val="ro-MD"/>
        </w:rPr>
        <w:t xml:space="preserve">Să solicite deținătorului Portalului certificatelor de concediu medical, dezvoltarea proceselor tehnice </w:t>
      </w:r>
      <w:r w:rsidRPr="00DD5F1D">
        <w:rPr>
          <w:lang w:val="ro-MD"/>
        </w:rPr>
        <w:t xml:space="preserve">ce </w:t>
      </w:r>
      <w:r w:rsidRPr="00DD5F1D">
        <w:rPr>
          <w:bCs/>
          <w:color w:val="000000" w:themeColor="text1"/>
          <w:szCs w:val="28"/>
          <w:lang w:val="ro-MD"/>
        </w:rPr>
        <w:t xml:space="preserve">vor asigura indicarea concediului medical acordat persoanelor care s-au deplasat peste hotarele țării în scop de consultații, investigații sau tratament </w:t>
      </w:r>
      <w:r w:rsidRPr="00DD5F1D">
        <w:rPr>
          <w:bCs/>
          <w:i/>
          <w:color w:val="000000" w:themeColor="text1"/>
          <w:szCs w:val="28"/>
          <w:lang w:val="ro-MD"/>
        </w:rPr>
        <w:t>(Observația 5.4 – Secțiunea a V-a);</w:t>
      </w:r>
    </w:p>
    <w:p w14:paraId="4CA3CB0A" w14:textId="6ACDCFFE" w:rsidR="00281B78" w:rsidRPr="00DD5F1D" w:rsidRDefault="00281B78" w:rsidP="00281B78">
      <w:pPr>
        <w:spacing w:after="0" w:line="276" w:lineRule="auto"/>
        <w:jc w:val="both"/>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Recomandare Ministerului Sănătății de comun cu Ministerul Muncii și Protecției Sociale:</w:t>
      </w:r>
    </w:p>
    <w:p w14:paraId="42B11540" w14:textId="40F74AD0" w:rsidR="00281B78" w:rsidRPr="00DD5F1D" w:rsidRDefault="00281B78" w:rsidP="002B3F50">
      <w:pPr>
        <w:pStyle w:val="aa"/>
        <w:numPr>
          <w:ilvl w:val="0"/>
          <w:numId w:val="4"/>
        </w:numPr>
        <w:spacing w:after="120" w:line="276" w:lineRule="auto"/>
        <w:ind w:left="714" w:hanging="357"/>
        <w:jc w:val="both"/>
        <w:rPr>
          <w:rFonts w:ascii="Times New Roman" w:hAnsi="Times New Roman" w:cs="Times New Roman"/>
          <w:bCs/>
          <w:color w:val="000000" w:themeColor="text1"/>
          <w:sz w:val="24"/>
          <w:szCs w:val="28"/>
          <w:lang w:val="ro-MD"/>
        </w:rPr>
      </w:pPr>
      <w:r w:rsidRPr="00DD5F1D">
        <w:rPr>
          <w:rFonts w:ascii="Times New Roman" w:hAnsi="Times New Roman" w:cs="Times New Roman"/>
          <w:bCs/>
          <w:color w:val="000000" w:themeColor="text1"/>
          <w:sz w:val="24"/>
          <w:szCs w:val="24"/>
          <w:lang w:val="ro-MD"/>
        </w:rPr>
        <w:t xml:space="preserve">Să indice expres în cadrul normativ instituțiile responsabile de instituirea controalelor la eliberarea certificatelor de concediu medical sau la calcularea indemnizației pentru incapacitate temporară de muncă, în special verificarea deplasării peste hotarele țării a persoanelor pe </w:t>
      </w:r>
      <w:r w:rsidR="00FF482D" w:rsidRPr="00DD5F1D">
        <w:rPr>
          <w:rFonts w:ascii="Times New Roman" w:hAnsi="Times New Roman" w:cs="Times New Roman"/>
          <w:bCs/>
          <w:color w:val="000000" w:themeColor="text1"/>
          <w:sz w:val="24"/>
          <w:szCs w:val="24"/>
          <w:lang w:val="ro-MD"/>
        </w:rPr>
        <w:t xml:space="preserve">perioada </w:t>
      </w:r>
      <w:r w:rsidRPr="00DD5F1D">
        <w:rPr>
          <w:rFonts w:ascii="Times New Roman" w:hAnsi="Times New Roman" w:cs="Times New Roman"/>
          <w:bCs/>
          <w:color w:val="000000" w:themeColor="text1"/>
          <w:sz w:val="24"/>
          <w:szCs w:val="24"/>
          <w:lang w:val="ro-MD"/>
        </w:rPr>
        <w:t>acordării concediului medical</w:t>
      </w:r>
      <w:r w:rsidRPr="00DD5F1D" w:rsidDel="0035487F">
        <w:rPr>
          <w:rFonts w:ascii="Times New Roman" w:hAnsi="Times New Roman" w:cs="Times New Roman"/>
          <w:bCs/>
          <w:color w:val="000000" w:themeColor="text1"/>
          <w:sz w:val="24"/>
          <w:szCs w:val="28"/>
          <w:lang w:val="ro-MD"/>
        </w:rPr>
        <w:t xml:space="preserve"> </w:t>
      </w:r>
      <w:r w:rsidRPr="00DD5F1D">
        <w:rPr>
          <w:rFonts w:ascii="Times New Roman" w:hAnsi="Times New Roman" w:cs="Times New Roman"/>
          <w:i/>
          <w:sz w:val="24"/>
          <w:szCs w:val="24"/>
          <w:lang w:val="ro-MD"/>
        </w:rPr>
        <w:t xml:space="preserve">(Observația </w:t>
      </w:r>
      <w:r w:rsidR="006E54D2" w:rsidRPr="00DD5F1D">
        <w:rPr>
          <w:rFonts w:ascii="Times New Roman" w:hAnsi="Times New Roman" w:cs="Times New Roman"/>
          <w:i/>
          <w:sz w:val="24"/>
          <w:szCs w:val="24"/>
          <w:lang w:val="ro-MD"/>
        </w:rPr>
        <w:t>5.4</w:t>
      </w:r>
      <w:r w:rsidRPr="00DD5F1D">
        <w:rPr>
          <w:rFonts w:ascii="Times New Roman" w:hAnsi="Times New Roman" w:cs="Times New Roman"/>
          <w:i/>
          <w:sz w:val="24"/>
          <w:szCs w:val="24"/>
          <w:lang w:val="ro-MD"/>
        </w:rPr>
        <w:t xml:space="preserve"> – Secțiunea </w:t>
      </w:r>
      <w:r w:rsidR="00FF482D" w:rsidRPr="00DD5F1D">
        <w:rPr>
          <w:rFonts w:ascii="Times New Roman" w:hAnsi="Times New Roman" w:cs="Times New Roman"/>
          <w:i/>
          <w:sz w:val="24"/>
          <w:szCs w:val="24"/>
          <w:lang w:val="ro-MD"/>
        </w:rPr>
        <w:t xml:space="preserve">a </w:t>
      </w:r>
      <w:r w:rsidR="006E54D2" w:rsidRPr="00DD5F1D">
        <w:rPr>
          <w:rFonts w:ascii="Times New Roman" w:hAnsi="Times New Roman" w:cs="Times New Roman"/>
          <w:i/>
          <w:sz w:val="24"/>
          <w:szCs w:val="24"/>
          <w:lang w:val="ro-MD"/>
        </w:rPr>
        <w:t>V</w:t>
      </w:r>
      <w:r w:rsidR="00FF482D"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w:t>
      </w:r>
    </w:p>
    <w:p w14:paraId="48AAC53F" w14:textId="20FF7C1B" w:rsidR="00281B78" w:rsidRPr="00DD5F1D" w:rsidRDefault="00281B78" w:rsidP="00281B78">
      <w:pPr>
        <w:spacing w:after="0" w:line="276" w:lineRule="auto"/>
        <w:jc w:val="both"/>
        <w:rPr>
          <w:rFonts w:ascii="Times New Roman" w:hAnsi="Times New Roman" w:cs="Times New Roman"/>
          <w:b/>
          <w:sz w:val="24"/>
          <w:szCs w:val="24"/>
          <w:lang w:val="ro-MD"/>
        </w:rPr>
      </w:pPr>
      <w:r w:rsidRPr="00DD5F1D">
        <w:rPr>
          <w:rFonts w:ascii="Times New Roman" w:hAnsi="Times New Roman" w:cs="Times New Roman"/>
          <w:b/>
          <w:sz w:val="24"/>
          <w:szCs w:val="24"/>
          <w:lang w:val="ro-MD"/>
        </w:rPr>
        <w:t xml:space="preserve">Recomandare Ministerului Dezvoltării Economice și Digitalizării de comun cu Ministerul Finanțelor și Ministerul Muncii și Protecției Sociale: </w:t>
      </w:r>
    </w:p>
    <w:p w14:paraId="5A5DCB9D" w14:textId="6BF121D9" w:rsidR="00281B78" w:rsidRPr="00DD5F1D" w:rsidRDefault="00281B78" w:rsidP="00281B78">
      <w:pPr>
        <w:pStyle w:val="aa"/>
        <w:numPr>
          <w:ilvl w:val="0"/>
          <w:numId w:val="4"/>
        </w:numPr>
        <w:spacing w:after="0" w:line="276"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 xml:space="preserve">Să ajusteze Legea insolvabilității prin includerea datoriilor aferente contribuțiilor de asigurări sociale </w:t>
      </w:r>
      <w:r w:rsidR="00EB4FE5" w:rsidRPr="00DD5F1D">
        <w:rPr>
          <w:rFonts w:ascii="Times New Roman" w:eastAsia="Times New Roman" w:hAnsi="Times New Roman" w:cs="Times New Roman"/>
          <w:sz w:val="24"/>
          <w:szCs w:val="24"/>
          <w:lang w:val="ro-MD"/>
        </w:rPr>
        <w:t>la</w:t>
      </w:r>
      <w:r w:rsidRPr="00DD5F1D">
        <w:rPr>
          <w:rFonts w:ascii="Times New Roman" w:eastAsia="Times New Roman" w:hAnsi="Times New Roman" w:cs="Times New Roman"/>
          <w:sz w:val="24"/>
          <w:szCs w:val="24"/>
          <w:lang w:val="ro-MD"/>
        </w:rPr>
        <w:t xml:space="preserve"> același rang cu datoriile aferente salarizării, în scopul asigurării drepturilor pe</w:t>
      </w:r>
      <w:r w:rsidR="008F07A1" w:rsidRPr="00DD5F1D">
        <w:rPr>
          <w:rFonts w:ascii="Times New Roman" w:eastAsia="Times New Roman" w:hAnsi="Times New Roman" w:cs="Times New Roman"/>
          <w:sz w:val="24"/>
          <w:szCs w:val="24"/>
          <w:lang w:val="ro-MD"/>
        </w:rPr>
        <w:t xml:space="preserve">rsoanelor la prestații sociale </w:t>
      </w:r>
      <w:r w:rsidRPr="00DD5F1D">
        <w:rPr>
          <w:rFonts w:ascii="Times New Roman" w:hAnsi="Times New Roman" w:cs="Times New Roman"/>
          <w:i/>
          <w:sz w:val="24"/>
          <w:szCs w:val="24"/>
          <w:lang w:val="ro-MD"/>
        </w:rPr>
        <w:t>(Observația</w:t>
      </w:r>
      <w:r w:rsidR="008F07A1" w:rsidRPr="00DD5F1D">
        <w:rPr>
          <w:rFonts w:ascii="Times New Roman" w:hAnsi="Times New Roman" w:cs="Times New Roman"/>
          <w:i/>
          <w:sz w:val="24"/>
          <w:szCs w:val="24"/>
          <w:lang w:val="ro-MD"/>
        </w:rPr>
        <w:t xml:space="preserve"> 6.</w:t>
      </w:r>
      <w:r w:rsidR="0079559F" w:rsidRPr="00DD5F1D">
        <w:rPr>
          <w:rFonts w:ascii="Times New Roman" w:hAnsi="Times New Roman" w:cs="Times New Roman"/>
          <w:i/>
          <w:sz w:val="24"/>
          <w:szCs w:val="24"/>
          <w:lang w:val="ro-MD"/>
        </w:rPr>
        <w:t>7</w:t>
      </w:r>
      <w:r w:rsidR="008F07A1" w:rsidRPr="00DD5F1D">
        <w:rPr>
          <w:rFonts w:ascii="Times New Roman" w:hAnsi="Times New Roman" w:cs="Times New Roman"/>
          <w:i/>
          <w:sz w:val="24"/>
          <w:szCs w:val="24"/>
          <w:lang w:val="ro-MD"/>
        </w:rPr>
        <w:t xml:space="preserve"> </w:t>
      </w:r>
      <w:r w:rsidRPr="00DD5F1D">
        <w:rPr>
          <w:rFonts w:ascii="Times New Roman" w:hAnsi="Times New Roman" w:cs="Times New Roman"/>
          <w:i/>
          <w:sz w:val="24"/>
          <w:szCs w:val="24"/>
          <w:lang w:val="ro-MD"/>
        </w:rPr>
        <w:t>– Secțiunea</w:t>
      </w:r>
      <w:r w:rsidR="008F07A1" w:rsidRPr="00DD5F1D">
        <w:rPr>
          <w:rFonts w:ascii="Times New Roman" w:hAnsi="Times New Roman" w:cs="Times New Roman"/>
          <w:i/>
          <w:sz w:val="24"/>
          <w:szCs w:val="24"/>
          <w:lang w:val="ro-MD"/>
        </w:rPr>
        <w:t xml:space="preserve"> </w:t>
      </w:r>
      <w:r w:rsidR="00FF482D" w:rsidRPr="00DD5F1D">
        <w:rPr>
          <w:rFonts w:ascii="Times New Roman" w:hAnsi="Times New Roman" w:cs="Times New Roman"/>
          <w:i/>
          <w:sz w:val="24"/>
          <w:szCs w:val="24"/>
          <w:lang w:val="ro-MD"/>
        </w:rPr>
        <w:t xml:space="preserve">a </w:t>
      </w:r>
      <w:r w:rsidR="008F07A1" w:rsidRPr="00DD5F1D">
        <w:rPr>
          <w:rFonts w:ascii="Times New Roman" w:hAnsi="Times New Roman" w:cs="Times New Roman"/>
          <w:i/>
          <w:sz w:val="24"/>
          <w:szCs w:val="24"/>
          <w:lang w:val="ro-MD"/>
        </w:rPr>
        <w:t>VI</w:t>
      </w:r>
      <w:r w:rsidR="00FF482D"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 xml:space="preserve"> );</w:t>
      </w:r>
    </w:p>
    <w:p w14:paraId="5B593C0C" w14:textId="3DF6962E" w:rsidR="00281B78" w:rsidRPr="00DD5F1D" w:rsidRDefault="00281B78" w:rsidP="00281B78">
      <w:pPr>
        <w:pStyle w:val="aa"/>
        <w:numPr>
          <w:ilvl w:val="0"/>
          <w:numId w:val="4"/>
        </w:numPr>
        <w:spacing w:after="0" w:line="276"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Să ajusteze cadrul normativ aferent determinării venitului asigurat al angajaților din parcul T</w:t>
      </w:r>
      <w:r w:rsidR="00FF482D" w:rsidRPr="00DD5F1D">
        <w:rPr>
          <w:rFonts w:ascii="Times New Roman" w:eastAsia="Times New Roman" w:hAnsi="Times New Roman" w:cs="Times New Roman"/>
          <w:sz w:val="24"/>
          <w:szCs w:val="24"/>
          <w:lang w:val="ro-MD"/>
        </w:rPr>
        <w:t>I,</w:t>
      </w:r>
      <w:r w:rsidRPr="00DD5F1D">
        <w:rPr>
          <w:rFonts w:ascii="Times New Roman" w:eastAsia="Times New Roman" w:hAnsi="Times New Roman" w:cs="Times New Roman"/>
          <w:sz w:val="24"/>
          <w:szCs w:val="24"/>
          <w:lang w:val="ro-MD"/>
        </w:rPr>
        <w:t xml:space="preserve"> în scopul eliminării incertitudinilor privind cota contribuțiilor de asigurări sociale de stat aplicată</w:t>
      </w:r>
      <w:r w:rsidR="00EB4FE5" w:rsidRPr="00DD5F1D">
        <w:rPr>
          <w:rFonts w:ascii="Times New Roman" w:eastAsia="Times New Roman" w:hAnsi="Times New Roman" w:cs="Times New Roman"/>
          <w:sz w:val="24"/>
          <w:szCs w:val="24"/>
          <w:lang w:val="ro-MD"/>
        </w:rPr>
        <w:t xml:space="preserve"> (24% sau 29%), precum și ajustării modalității </w:t>
      </w:r>
      <w:r w:rsidR="003F212D" w:rsidRPr="00DD5F1D">
        <w:rPr>
          <w:rFonts w:ascii="Times New Roman" w:eastAsia="Times New Roman" w:hAnsi="Times New Roman" w:cs="Times New Roman"/>
          <w:sz w:val="24"/>
          <w:szCs w:val="24"/>
          <w:lang w:val="ro-MD"/>
        </w:rPr>
        <w:t xml:space="preserve">de </w:t>
      </w:r>
      <w:r w:rsidR="00EB4FE5" w:rsidRPr="00DD5F1D">
        <w:rPr>
          <w:rFonts w:ascii="Times New Roman" w:eastAsia="Times New Roman" w:hAnsi="Times New Roman" w:cs="Times New Roman"/>
          <w:sz w:val="24"/>
          <w:szCs w:val="24"/>
          <w:lang w:val="ro-MD"/>
        </w:rPr>
        <w:t>raport</w:t>
      </w:r>
      <w:r w:rsidR="003F212D" w:rsidRPr="00DD5F1D">
        <w:rPr>
          <w:rFonts w:ascii="Times New Roman" w:eastAsia="Times New Roman" w:hAnsi="Times New Roman" w:cs="Times New Roman"/>
          <w:sz w:val="24"/>
          <w:szCs w:val="24"/>
          <w:lang w:val="ro-MD"/>
        </w:rPr>
        <w:t>are</w:t>
      </w:r>
      <w:r w:rsidR="00EB4FE5" w:rsidRPr="00DD5F1D">
        <w:rPr>
          <w:rFonts w:ascii="Times New Roman" w:eastAsia="Times New Roman" w:hAnsi="Times New Roman" w:cs="Times New Roman"/>
          <w:sz w:val="24"/>
          <w:szCs w:val="24"/>
          <w:lang w:val="ro-MD"/>
        </w:rPr>
        <w:t xml:space="preserve"> acestora (darea de seamă IPC), în conformitate cu specificul aplicării impozitului unic </w:t>
      </w:r>
      <w:r w:rsidR="008F07A1" w:rsidRPr="00DD5F1D">
        <w:rPr>
          <w:rFonts w:ascii="Times New Roman" w:hAnsi="Times New Roman" w:cs="Times New Roman"/>
          <w:i/>
          <w:sz w:val="24"/>
          <w:szCs w:val="24"/>
          <w:lang w:val="ro-MD"/>
        </w:rPr>
        <w:t xml:space="preserve">(Observația 6.15 – Secțiunea </w:t>
      </w:r>
      <w:r w:rsidR="00FF482D" w:rsidRPr="00DD5F1D">
        <w:rPr>
          <w:rFonts w:ascii="Times New Roman" w:hAnsi="Times New Roman" w:cs="Times New Roman"/>
          <w:i/>
          <w:sz w:val="24"/>
          <w:szCs w:val="24"/>
          <w:lang w:val="ro-MD"/>
        </w:rPr>
        <w:t xml:space="preserve">a </w:t>
      </w:r>
      <w:r w:rsidR="008F07A1" w:rsidRPr="00DD5F1D">
        <w:rPr>
          <w:rFonts w:ascii="Times New Roman" w:hAnsi="Times New Roman" w:cs="Times New Roman"/>
          <w:i/>
          <w:sz w:val="24"/>
          <w:szCs w:val="24"/>
          <w:lang w:val="ro-MD"/>
        </w:rPr>
        <w:t>VI</w:t>
      </w:r>
      <w:r w:rsidR="00FF482D" w:rsidRPr="00DD5F1D">
        <w:rPr>
          <w:rFonts w:ascii="Times New Roman" w:hAnsi="Times New Roman" w:cs="Times New Roman"/>
          <w:i/>
          <w:sz w:val="24"/>
          <w:szCs w:val="24"/>
          <w:lang w:val="ro-MD"/>
        </w:rPr>
        <w:t>-a</w:t>
      </w:r>
      <w:r w:rsidR="008F07A1" w:rsidRPr="00DD5F1D">
        <w:rPr>
          <w:rFonts w:ascii="Times New Roman" w:hAnsi="Times New Roman" w:cs="Times New Roman"/>
          <w:i/>
          <w:sz w:val="24"/>
          <w:szCs w:val="24"/>
          <w:lang w:val="ro-MD"/>
        </w:rPr>
        <w:t xml:space="preserve"> );</w:t>
      </w:r>
    </w:p>
    <w:p w14:paraId="0961756D" w14:textId="205ABEF5" w:rsidR="00281B78" w:rsidRPr="00DD5F1D" w:rsidRDefault="00281B78" w:rsidP="002B3F50">
      <w:pPr>
        <w:spacing w:before="120" w:after="0" w:line="276" w:lineRule="auto"/>
        <w:jc w:val="both"/>
        <w:rPr>
          <w:rFonts w:ascii="Times New Roman" w:hAnsi="Times New Roman" w:cs="Times New Roman"/>
          <w:b/>
          <w:sz w:val="24"/>
          <w:szCs w:val="24"/>
          <w:lang w:val="ro-MD"/>
        </w:rPr>
      </w:pPr>
      <w:r w:rsidRPr="00DD5F1D">
        <w:rPr>
          <w:rFonts w:ascii="Times New Roman" w:hAnsi="Times New Roman" w:cs="Times New Roman"/>
          <w:b/>
          <w:sz w:val="24"/>
          <w:szCs w:val="24"/>
          <w:lang w:val="ro-MD"/>
        </w:rPr>
        <w:t>Recomandare Ministerului Muncii și Protecției Sociale de comun cu Ministerul Finanțelor</w:t>
      </w:r>
      <w:r w:rsidR="00FF482D" w:rsidRPr="00DD5F1D">
        <w:rPr>
          <w:rFonts w:ascii="Times New Roman" w:hAnsi="Times New Roman" w:cs="Times New Roman"/>
          <w:b/>
          <w:sz w:val="24"/>
          <w:szCs w:val="24"/>
          <w:lang w:val="ro-MD"/>
        </w:rPr>
        <w:t>:</w:t>
      </w:r>
    </w:p>
    <w:p w14:paraId="7AE27AA3" w14:textId="757A74CD" w:rsidR="00281B78" w:rsidRPr="00DD5F1D" w:rsidRDefault="00281B78" w:rsidP="00281B78">
      <w:pPr>
        <w:pStyle w:val="aa"/>
        <w:numPr>
          <w:ilvl w:val="0"/>
          <w:numId w:val="4"/>
        </w:numPr>
        <w:spacing w:after="0" w:line="276" w:lineRule="auto"/>
        <w:jc w:val="both"/>
        <w:rPr>
          <w:rFonts w:ascii="Times New Roman" w:eastAsia="Times New Roman" w:hAnsi="Times New Roman" w:cs="Times New Roman"/>
          <w:sz w:val="28"/>
          <w:szCs w:val="24"/>
          <w:lang w:val="ro-MD"/>
        </w:rPr>
      </w:pPr>
      <w:r w:rsidRPr="00DD5F1D">
        <w:rPr>
          <w:rFonts w:ascii="Times New Roman" w:hAnsi="Times New Roman" w:cs="Times New Roman"/>
          <w:sz w:val="24"/>
          <w:szCs w:val="24"/>
          <w:lang w:val="ro-MD"/>
        </w:rPr>
        <w:t>Să examineze cauzele problemelor aferente sustenabilității BASS și să identifice soluții pentru majorarea veniturilor proprii ale BASS</w:t>
      </w:r>
      <w:r w:rsidR="00EB4FE5" w:rsidRPr="00DD5F1D">
        <w:rPr>
          <w:rFonts w:ascii="Times New Roman" w:hAnsi="Times New Roman" w:cs="Times New Roman"/>
          <w:sz w:val="24"/>
          <w:szCs w:val="24"/>
          <w:lang w:val="ro-MD"/>
        </w:rPr>
        <w:t xml:space="preserve"> </w:t>
      </w:r>
      <w:r w:rsidRPr="00DD5F1D">
        <w:rPr>
          <w:rFonts w:ascii="Times New Roman" w:hAnsi="Times New Roman" w:cs="Times New Roman"/>
          <w:i/>
          <w:sz w:val="24"/>
          <w:szCs w:val="24"/>
          <w:lang w:val="ro-MD"/>
        </w:rPr>
        <w:t xml:space="preserve">(Observația </w:t>
      </w:r>
      <w:r w:rsidR="008F07A1" w:rsidRPr="00DD5F1D">
        <w:rPr>
          <w:rFonts w:ascii="Times New Roman" w:hAnsi="Times New Roman" w:cs="Times New Roman"/>
          <w:i/>
          <w:sz w:val="24"/>
          <w:szCs w:val="24"/>
          <w:lang w:val="ro-MD"/>
        </w:rPr>
        <w:t>4.2</w:t>
      </w:r>
      <w:r w:rsidR="009B75E6" w:rsidRPr="00DD5F1D">
        <w:rPr>
          <w:rFonts w:ascii="Times New Roman" w:hAnsi="Times New Roman" w:cs="Times New Roman"/>
          <w:i/>
          <w:sz w:val="24"/>
          <w:szCs w:val="24"/>
          <w:lang w:val="ro-MD"/>
        </w:rPr>
        <w:t>, 4.3</w:t>
      </w:r>
      <w:r w:rsidRPr="00DD5F1D">
        <w:rPr>
          <w:rFonts w:ascii="Times New Roman" w:hAnsi="Times New Roman" w:cs="Times New Roman"/>
          <w:i/>
          <w:sz w:val="24"/>
          <w:szCs w:val="24"/>
          <w:lang w:val="ro-MD"/>
        </w:rPr>
        <w:t xml:space="preserve"> – Secțiunea</w:t>
      </w:r>
      <w:r w:rsidR="008F07A1" w:rsidRPr="00DD5F1D">
        <w:rPr>
          <w:rFonts w:ascii="Times New Roman" w:hAnsi="Times New Roman" w:cs="Times New Roman"/>
          <w:i/>
          <w:sz w:val="24"/>
          <w:szCs w:val="24"/>
          <w:lang w:val="ro-MD"/>
        </w:rPr>
        <w:t xml:space="preserve"> </w:t>
      </w:r>
      <w:r w:rsidR="00FF482D" w:rsidRPr="00DD5F1D">
        <w:rPr>
          <w:rFonts w:ascii="Times New Roman" w:hAnsi="Times New Roman" w:cs="Times New Roman"/>
          <w:i/>
          <w:sz w:val="24"/>
          <w:szCs w:val="24"/>
          <w:lang w:val="ro-MD"/>
        </w:rPr>
        <w:t xml:space="preserve">a </w:t>
      </w:r>
      <w:r w:rsidR="008F07A1" w:rsidRPr="00DD5F1D">
        <w:rPr>
          <w:rFonts w:ascii="Times New Roman" w:hAnsi="Times New Roman" w:cs="Times New Roman"/>
          <w:i/>
          <w:sz w:val="24"/>
          <w:szCs w:val="24"/>
          <w:lang w:val="ro-MD"/>
        </w:rPr>
        <w:t>IV</w:t>
      </w:r>
      <w:r w:rsidR="00FF482D"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w:t>
      </w:r>
    </w:p>
    <w:p w14:paraId="5D87A737" w14:textId="7E9AF392" w:rsidR="00281B78" w:rsidRPr="00DD5F1D" w:rsidRDefault="00281B78" w:rsidP="002B3F50">
      <w:pPr>
        <w:pStyle w:val="aa"/>
        <w:numPr>
          <w:ilvl w:val="0"/>
          <w:numId w:val="4"/>
        </w:numPr>
        <w:spacing w:after="120" w:line="276" w:lineRule="auto"/>
        <w:ind w:left="714" w:hanging="357"/>
        <w:jc w:val="both"/>
        <w:rPr>
          <w:rFonts w:ascii="Times New Roman" w:eastAsia="Times New Roman" w:hAnsi="Times New Roman" w:cs="Times New Roman"/>
          <w:sz w:val="28"/>
          <w:szCs w:val="24"/>
          <w:lang w:val="ro-MD"/>
        </w:rPr>
      </w:pPr>
      <w:r w:rsidRPr="00DD5F1D">
        <w:rPr>
          <w:rFonts w:ascii="Times New Roman" w:hAnsi="Times New Roman" w:cs="Times New Roman"/>
          <w:sz w:val="24"/>
          <w:szCs w:val="24"/>
          <w:lang w:val="ro-MD"/>
        </w:rPr>
        <w:t>Să asigure fundamentarea cotelor diferențiate de asigurări sociale, cu evaluarea impactului acestora atât asupra sustenabilității BASS, cât și asupra echității calculării prestațiilor de asigurări sociale</w:t>
      </w:r>
      <w:r w:rsidRPr="00DD5F1D">
        <w:rPr>
          <w:rFonts w:ascii="Times New Roman" w:hAnsi="Times New Roman" w:cs="Times New Roman"/>
          <w:i/>
          <w:sz w:val="24"/>
          <w:szCs w:val="24"/>
          <w:lang w:val="ro-MD"/>
        </w:rPr>
        <w:t xml:space="preserve"> (Observația 6.4 – Secțiunea </w:t>
      </w:r>
      <w:r w:rsidR="00FF482D" w:rsidRPr="00DD5F1D">
        <w:rPr>
          <w:rFonts w:ascii="Times New Roman" w:hAnsi="Times New Roman" w:cs="Times New Roman"/>
          <w:i/>
          <w:sz w:val="24"/>
          <w:szCs w:val="24"/>
          <w:lang w:val="ro-MD"/>
        </w:rPr>
        <w:t xml:space="preserve">a </w:t>
      </w:r>
      <w:r w:rsidRPr="00DD5F1D">
        <w:rPr>
          <w:rFonts w:ascii="Times New Roman" w:hAnsi="Times New Roman" w:cs="Times New Roman"/>
          <w:i/>
          <w:sz w:val="24"/>
          <w:szCs w:val="24"/>
          <w:lang w:val="ro-MD"/>
        </w:rPr>
        <w:t>VI</w:t>
      </w:r>
      <w:r w:rsidR="00FF482D"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w:t>
      </w:r>
    </w:p>
    <w:p w14:paraId="3826C751" w14:textId="197F1510" w:rsidR="00281B78" w:rsidRPr="00DD5F1D" w:rsidRDefault="00281B78" w:rsidP="00281B78">
      <w:pPr>
        <w:spacing w:after="0" w:line="276" w:lineRule="auto"/>
        <w:jc w:val="both"/>
        <w:rPr>
          <w:rFonts w:ascii="Times New Roman" w:hAnsi="Times New Roman" w:cs="Times New Roman"/>
          <w:b/>
          <w:sz w:val="24"/>
          <w:szCs w:val="24"/>
          <w:lang w:val="ro-MD"/>
        </w:rPr>
      </w:pPr>
      <w:r w:rsidRPr="00DD5F1D">
        <w:rPr>
          <w:rFonts w:ascii="Times New Roman" w:hAnsi="Times New Roman" w:cs="Times New Roman"/>
          <w:b/>
          <w:sz w:val="24"/>
          <w:szCs w:val="24"/>
          <w:lang w:val="ro-MD"/>
        </w:rPr>
        <w:t xml:space="preserve">Recomandare Serviciului Fiscal de Stat de comun cu Inspectoratul de </w:t>
      </w:r>
      <w:r w:rsidR="00FF482D" w:rsidRPr="00DD5F1D">
        <w:rPr>
          <w:rFonts w:ascii="Times New Roman" w:hAnsi="Times New Roman" w:cs="Times New Roman"/>
          <w:b/>
          <w:sz w:val="24"/>
          <w:szCs w:val="24"/>
          <w:lang w:val="ro-MD"/>
        </w:rPr>
        <w:t>S</w:t>
      </w:r>
      <w:r w:rsidRPr="00DD5F1D">
        <w:rPr>
          <w:rFonts w:ascii="Times New Roman" w:hAnsi="Times New Roman" w:cs="Times New Roman"/>
          <w:b/>
          <w:sz w:val="24"/>
          <w:szCs w:val="24"/>
          <w:lang w:val="ro-MD"/>
        </w:rPr>
        <w:t>tat al Muncii</w:t>
      </w:r>
      <w:r w:rsidR="00FF482D" w:rsidRPr="00DD5F1D">
        <w:rPr>
          <w:rFonts w:ascii="Times New Roman" w:hAnsi="Times New Roman" w:cs="Times New Roman"/>
          <w:b/>
          <w:sz w:val="24"/>
          <w:szCs w:val="24"/>
          <w:lang w:val="ro-MD"/>
        </w:rPr>
        <w:t>:</w:t>
      </w:r>
    </w:p>
    <w:p w14:paraId="42B93C34" w14:textId="3D64F796" w:rsidR="00281B78" w:rsidRPr="00DD5F1D" w:rsidRDefault="00281B78" w:rsidP="00281B78">
      <w:pPr>
        <w:pStyle w:val="aa"/>
        <w:numPr>
          <w:ilvl w:val="0"/>
          <w:numId w:val="4"/>
        </w:numPr>
        <w:spacing w:after="0" w:line="276" w:lineRule="auto"/>
        <w:jc w:val="both"/>
        <w:rPr>
          <w:rFonts w:ascii="Times New Roman" w:eastAsia="Times New Roman" w:hAnsi="Times New Roman" w:cs="Times New Roman"/>
          <w:sz w:val="28"/>
          <w:szCs w:val="24"/>
          <w:lang w:val="ro-MD"/>
        </w:rPr>
      </w:pPr>
      <w:r w:rsidRPr="00DD5F1D">
        <w:rPr>
          <w:rFonts w:ascii="Times New Roman" w:hAnsi="Times New Roman" w:cs="Times New Roman"/>
          <w:sz w:val="24"/>
          <w:szCs w:val="24"/>
          <w:lang w:val="ro-MD"/>
        </w:rPr>
        <w:t>Să identifice sursele financiare de achitare a salariilor în plic</w:t>
      </w:r>
      <w:r w:rsidR="00FF482D"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 xml:space="preserve"> în scopul </w:t>
      </w:r>
      <w:r w:rsidR="00265C46" w:rsidRPr="00DD5F1D">
        <w:rPr>
          <w:rFonts w:ascii="Times New Roman" w:hAnsi="Times New Roman" w:cs="Times New Roman"/>
          <w:sz w:val="24"/>
          <w:szCs w:val="24"/>
          <w:lang w:val="ro-MD"/>
        </w:rPr>
        <w:t>determinării</w:t>
      </w:r>
      <w:r w:rsidRPr="00DD5F1D">
        <w:rPr>
          <w:rFonts w:ascii="Times New Roman" w:hAnsi="Times New Roman" w:cs="Times New Roman"/>
          <w:sz w:val="24"/>
          <w:szCs w:val="24"/>
          <w:lang w:val="ro-MD"/>
        </w:rPr>
        <w:t xml:space="preserve"> soluțiilor pentru majorarea veniturilor proprii ale BASS</w:t>
      </w:r>
      <w:r w:rsidR="004E1C95">
        <w:rPr>
          <w:rFonts w:ascii="Times New Roman" w:hAnsi="Times New Roman" w:cs="Times New Roman"/>
          <w:sz w:val="24"/>
          <w:szCs w:val="24"/>
          <w:lang w:val="ro-MD"/>
        </w:rPr>
        <w:t>, precum și contracararea</w:t>
      </w:r>
      <w:r w:rsidR="008F07A1" w:rsidRPr="00DD5F1D">
        <w:rPr>
          <w:rFonts w:ascii="Times New Roman" w:hAnsi="Times New Roman" w:cs="Times New Roman"/>
          <w:sz w:val="24"/>
          <w:szCs w:val="24"/>
          <w:lang w:val="ro-MD"/>
        </w:rPr>
        <w:t xml:space="preserve"> </w:t>
      </w:r>
      <w:r w:rsidR="005152D5">
        <w:rPr>
          <w:rFonts w:ascii="Times New Roman" w:hAnsi="Times New Roman" w:cs="Times New Roman"/>
          <w:sz w:val="24"/>
          <w:szCs w:val="24"/>
          <w:lang w:val="ro-MD"/>
        </w:rPr>
        <w:t xml:space="preserve">acestui </w:t>
      </w:r>
      <w:r w:rsidR="005152D5" w:rsidRPr="00DD5F1D">
        <w:rPr>
          <w:rFonts w:ascii="Times New Roman" w:hAnsi="Times New Roman" w:cs="Times New Roman"/>
          <w:sz w:val="24"/>
          <w:szCs w:val="24"/>
          <w:lang w:val="ro-MD"/>
        </w:rPr>
        <w:t xml:space="preserve">fenomen </w:t>
      </w:r>
      <w:r w:rsidRPr="00DD5F1D">
        <w:rPr>
          <w:rFonts w:ascii="Times New Roman" w:hAnsi="Times New Roman" w:cs="Times New Roman"/>
          <w:i/>
          <w:sz w:val="24"/>
          <w:szCs w:val="24"/>
          <w:lang w:val="ro-MD"/>
        </w:rPr>
        <w:t>(Observația</w:t>
      </w:r>
      <w:r w:rsidR="008F07A1" w:rsidRPr="00DD5F1D">
        <w:rPr>
          <w:rFonts w:ascii="Times New Roman" w:hAnsi="Times New Roman" w:cs="Times New Roman"/>
          <w:i/>
          <w:sz w:val="24"/>
          <w:szCs w:val="24"/>
          <w:lang w:val="ro-MD"/>
        </w:rPr>
        <w:t xml:space="preserve"> 4.3 </w:t>
      </w:r>
      <w:r w:rsidRPr="00DD5F1D">
        <w:rPr>
          <w:rFonts w:ascii="Times New Roman" w:hAnsi="Times New Roman" w:cs="Times New Roman"/>
          <w:i/>
          <w:sz w:val="24"/>
          <w:szCs w:val="24"/>
          <w:lang w:val="ro-MD"/>
        </w:rPr>
        <w:t xml:space="preserve">– Secțiunea </w:t>
      </w:r>
      <w:r w:rsidR="00FF482D" w:rsidRPr="00DD5F1D">
        <w:rPr>
          <w:rFonts w:ascii="Times New Roman" w:hAnsi="Times New Roman" w:cs="Times New Roman"/>
          <w:i/>
          <w:sz w:val="24"/>
          <w:szCs w:val="24"/>
          <w:lang w:val="ro-MD"/>
        </w:rPr>
        <w:t xml:space="preserve">a </w:t>
      </w:r>
      <w:r w:rsidR="008F07A1" w:rsidRPr="00DD5F1D">
        <w:rPr>
          <w:rFonts w:ascii="Times New Roman" w:hAnsi="Times New Roman" w:cs="Times New Roman"/>
          <w:i/>
          <w:sz w:val="24"/>
          <w:szCs w:val="24"/>
          <w:lang w:val="ro-MD"/>
        </w:rPr>
        <w:t>IV</w:t>
      </w:r>
      <w:r w:rsidR="00FF482D"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w:t>
      </w:r>
    </w:p>
    <w:p w14:paraId="57475F32" w14:textId="171BD281" w:rsidR="00281B78" w:rsidRPr="00DD5F1D" w:rsidRDefault="00281B78" w:rsidP="002B3F50">
      <w:pPr>
        <w:spacing w:before="120" w:after="0" w:line="276" w:lineRule="auto"/>
        <w:jc w:val="both"/>
        <w:rPr>
          <w:rFonts w:ascii="Times New Roman" w:eastAsia="Times New Roman" w:hAnsi="Times New Roman" w:cs="Times New Roman"/>
          <w:sz w:val="28"/>
          <w:szCs w:val="24"/>
          <w:lang w:val="ro-MD"/>
        </w:rPr>
      </w:pPr>
      <w:r w:rsidRPr="00DD5F1D">
        <w:rPr>
          <w:rFonts w:ascii="Times New Roman" w:hAnsi="Times New Roman" w:cs="Times New Roman"/>
          <w:b/>
          <w:sz w:val="24"/>
          <w:szCs w:val="24"/>
          <w:lang w:val="ro-MD"/>
        </w:rPr>
        <w:t>Recomandare Serviciului Fiscal de Stat</w:t>
      </w:r>
      <w:r w:rsidR="00FF482D" w:rsidRPr="00DD5F1D">
        <w:rPr>
          <w:rFonts w:ascii="Times New Roman" w:hAnsi="Times New Roman" w:cs="Times New Roman"/>
          <w:b/>
          <w:sz w:val="24"/>
          <w:szCs w:val="24"/>
          <w:lang w:val="ro-MD"/>
        </w:rPr>
        <w:t>:</w:t>
      </w:r>
    </w:p>
    <w:p w14:paraId="681BE5DE" w14:textId="456B2AE8" w:rsidR="00281B78" w:rsidRPr="00DD5F1D" w:rsidRDefault="00281B78" w:rsidP="00281B78">
      <w:pPr>
        <w:pStyle w:val="aa"/>
        <w:numPr>
          <w:ilvl w:val="0"/>
          <w:numId w:val="4"/>
        </w:numPr>
        <w:spacing w:after="0" w:line="276"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 xml:space="preserve">Să întreprindă acțiuni de monitorizare și conformare a contribuabililor, în vederea colectării veniturilor aferente impozitului pe venit din dividendele achitate și virate la bugetul de stat </w:t>
      </w:r>
      <w:r w:rsidRPr="00DD5F1D">
        <w:rPr>
          <w:rFonts w:ascii="Times New Roman" w:hAnsi="Times New Roman" w:cs="Times New Roman"/>
          <w:i/>
          <w:sz w:val="24"/>
          <w:szCs w:val="24"/>
          <w:lang w:val="ro-MD"/>
        </w:rPr>
        <w:t xml:space="preserve">(Observația </w:t>
      </w:r>
      <w:r w:rsidR="008F07A1" w:rsidRPr="00DD5F1D">
        <w:rPr>
          <w:rFonts w:ascii="Times New Roman" w:hAnsi="Times New Roman" w:cs="Times New Roman"/>
          <w:i/>
          <w:sz w:val="24"/>
          <w:szCs w:val="24"/>
          <w:lang w:val="ro-MD"/>
        </w:rPr>
        <w:t>4.3</w:t>
      </w:r>
      <w:r w:rsidRPr="00DD5F1D">
        <w:rPr>
          <w:rFonts w:ascii="Times New Roman" w:hAnsi="Times New Roman" w:cs="Times New Roman"/>
          <w:i/>
          <w:sz w:val="24"/>
          <w:szCs w:val="24"/>
          <w:lang w:val="ro-MD"/>
        </w:rPr>
        <w:t xml:space="preserve">  – Secțiunea</w:t>
      </w:r>
      <w:r w:rsidR="008F07A1" w:rsidRPr="00DD5F1D">
        <w:rPr>
          <w:rFonts w:ascii="Times New Roman" w:hAnsi="Times New Roman" w:cs="Times New Roman"/>
          <w:i/>
          <w:sz w:val="24"/>
          <w:szCs w:val="24"/>
          <w:lang w:val="ro-MD"/>
        </w:rPr>
        <w:t xml:space="preserve"> </w:t>
      </w:r>
      <w:r w:rsidR="00FF482D" w:rsidRPr="00DD5F1D">
        <w:rPr>
          <w:rFonts w:ascii="Times New Roman" w:hAnsi="Times New Roman" w:cs="Times New Roman"/>
          <w:i/>
          <w:sz w:val="24"/>
          <w:szCs w:val="24"/>
          <w:lang w:val="ro-MD"/>
        </w:rPr>
        <w:t xml:space="preserve">a </w:t>
      </w:r>
      <w:r w:rsidR="008F07A1" w:rsidRPr="00DD5F1D">
        <w:rPr>
          <w:rFonts w:ascii="Times New Roman" w:hAnsi="Times New Roman" w:cs="Times New Roman"/>
          <w:i/>
          <w:sz w:val="24"/>
          <w:szCs w:val="24"/>
          <w:lang w:val="ro-MD"/>
        </w:rPr>
        <w:t>IV</w:t>
      </w:r>
      <w:r w:rsidR="00FF482D"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w:t>
      </w:r>
    </w:p>
    <w:p w14:paraId="114E5449" w14:textId="3784D6CF" w:rsidR="00281B78" w:rsidRPr="00DD5F1D" w:rsidRDefault="00281B78" w:rsidP="002B3F50">
      <w:pPr>
        <w:pStyle w:val="aa"/>
        <w:numPr>
          <w:ilvl w:val="0"/>
          <w:numId w:val="4"/>
        </w:numPr>
        <w:spacing w:after="120" w:line="276" w:lineRule="auto"/>
        <w:ind w:left="714" w:hanging="357"/>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Să întreprindă acțiuni de conformare și disciplinare a liber-profesioniștilor, în aspectul declarării și virării în termen a contribuțiilor de asigurări sociale de stat obligatorii </w:t>
      </w:r>
      <w:r w:rsidRPr="00DD5F1D">
        <w:rPr>
          <w:rFonts w:ascii="Times New Roman" w:hAnsi="Times New Roman" w:cs="Times New Roman"/>
          <w:i/>
          <w:sz w:val="24"/>
          <w:szCs w:val="24"/>
          <w:lang w:val="ro-MD"/>
        </w:rPr>
        <w:t xml:space="preserve">(Observația </w:t>
      </w:r>
      <w:r w:rsidR="008F07A1" w:rsidRPr="00DD5F1D">
        <w:rPr>
          <w:rFonts w:ascii="Times New Roman" w:hAnsi="Times New Roman" w:cs="Times New Roman"/>
          <w:i/>
          <w:sz w:val="24"/>
          <w:szCs w:val="24"/>
          <w:lang w:val="ro-MD"/>
        </w:rPr>
        <w:t>6.</w:t>
      </w:r>
      <w:r w:rsidR="0079559F" w:rsidRPr="00DD5F1D">
        <w:rPr>
          <w:rFonts w:ascii="Times New Roman" w:hAnsi="Times New Roman" w:cs="Times New Roman"/>
          <w:i/>
          <w:sz w:val="24"/>
          <w:szCs w:val="24"/>
          <w:lang w:val="ro-MD"/>
        </w:rPr>
        <w:t>8</w:t>
      </w:r>
      <w:r w:rsidRPr="00DD5F1D">
        <w:rPr>
          <w:rFonts w:ascii="Times New Roman" w:hAnsi="Times New Roman" w:cs="Times New Roman"/>
          <w:i/>
          <w:sz w:val="24"/>
          <w:szCs w:val="24"/>
          <w:lang w:val="ro-MD"/>
        </w:rPr>
        <w:t xml:space="preserve"> – Secțiunea</w:t>
      </w:r>
      <w:r w:rsidR="008F07A1" w:rsidRPr="00DD5F1D">
        <w:rPr>
          <w:rFonts w:ascii="Times New Roman" w:hAnsi="Times New Roman" w:cs="Times New Roman"/>
          <w:i/>
          <w:sz w:val="24"/>
          <w:szCs w:val="24"/>
          <w:lang w:val="ro-MD"/>
        </w:rPr>
        <w:t xml:space="preserve"> </w:t>
      </w:r>
      <w:r w:rsidR="00FF482D" w:rsidRPr="00DD5F1D">
        <w:rPr>
          <w:rFonts w:ascii="Times New Roman" w:hAnsi="Times New Roman" w:cs="Times New Roman"/>
          <w:i/>
          <w:sz w:val="24"/>
          <w:szCs w:val="24"/>
          <w:lang w:val="ro-MD"/>
        </w:rPr>
        <w:t xml:space="preserve">a </w:t>
      </w:r>
      <w:r w:rsidR="008F07A1" w:rsidRPr="00DD5F1D">
        <w:rPr>
          <w:rFonts w:ascii="Times New Roman" w:hAnsi="Times New Roman" w:cs="Times New Roman"/>
          <w:i/>
          <w:sz w:val="24"/>
          <w:szCs w:val="24"/>
          <w:lang w:val="ro-MD"/>
        </w:rPr>
        <w:t>VI</w:t>
      </w:r>
      <w:r w:rsidR="00FF482D"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w:t>
      </w:r>
    </w:p>
    <w:p w14:paraId="050437CF" w14:textId="31C5B0B3" w:rsidR="00281B78" w:rsidRPr="00DD5F1D" w:rsidRDefault="00281B78" w:rsidP="00281B78">
      <w:pPr>
        <w:pStyle w:val="a6"/>
        <w:shd w:val="clear" w:color="auto" w:fill="FFFFFF" w:themeFill="background1"/>
        <w:spacing w:line="276" w:lineRule="auto"/>
        <w:ind w:firstLine="0"/>
        <w:rPr>
          <w:rFonts w:eastAsiaTheme="minorHAnsi"/>
          <w:b/>
          <w:lang w:val="ro-MD"/>
        </w:rPr>
      </w:pPr>
      <w:r w:rsidRPr="00DD5F1D">
        <w:rPr>
          <w:rFonts w:eastAsiaTheme="minorHAnsi"/>
          <w:b/>
          <w:lang w:val="ro-MD"/>
        </w:rPr>
        <w:t>Recomandare Agenției Servicii Publice</w:t>
      </w:r>
      <w:r w:rsidR="00FF482D" w:rsidRPr="00DD5F1D">
        <w:rPr>
          <w:rFonts w:eastAsiaTheme="minorHAnsi"/>
          <w:b/>
          <w:lang w:val="ro-MD"/>
        </w:rPr>
        <w:t>:</w:t>
      </w:r>
    </w:p>
    <w:p w14:paraId="0DDDB806" w14:textId="30201F96" w:rsidR="00281B78" w:rsidRPr="00DD5F1D" w:rsidRDefault="00281B78" w:rsidP="00281B78">
      <w:pPr>
        <w:pStyle w:val="a6"/>
        <w:numPr>
          <w:ilvl w:val="0"/>
          <w:numId w:val="4"/>
        </w:numPr>
        <w:spacing w:line="276" w:lineRule="auto"/>
        <w:rPr>
          <w:lang w:val="ro-MD"/>
        </w:rPr>
      </w:pPr>
      <w:r w:rsidRPr="00DD5F1D">
        <w:rPr>
          <w:lang w:val="ro-MD"/>
        </w:rPr>
        <w:t xml:space="preserve">Să identifice cauzele înregistrării tardive a decesului persoanelor în Registrul de stat al populației și să întreprindă acțiuni pentru eliminarea acestora </w:t>
      </w:r>
      <w:r w:rsidRPr="00DD5F1D">
        <w:rPr>
          <w:i/>
          <w:lang w:val="ro-MD"/>
        </w:rPr>
        <w:t>(Observația</w:t>
      </w:r>
      <w:r w:rsidR="008F07A1" w:rsidRPr="00DD5F1D">
        <w:rPr>
          <w:i/>
          <w:lang w:val="ro-MD"/>
        </w:rPr>
        <w:t xml:space="preserve"> 5.3</w:t>
      </w:r>
      <w:r w:rsidRPr="00DD5F1D">
        <w:rPr>
          <w:i/>
          <w:lang w:val="ro-MD"/>
        </w:rPr>
        <w:t xml:space="preserve">  – Secțiunea</w:t>
      </w:r>
      <w:r w:rsidR="008F07A1" w:rsidRPr="00DD5F1D">
        <w:rPr>
          <w:i/>
          <w:lang w:val="ro-MD"/>
        </w:rPr>
        <w:t xml:space="preserve"> </w:t>
      </w:r>
      <w:r w:rsidR="00FF482D" w:rsidRPr="00DD5F1D">
        <w:rPr>
          <w:i/>
          <w:lang w:val="ro-MD"/>
        </w:rPr>
        <w:t xml:space="preserve">a </w:t>
      </w:r>
      <w:r w:rsidR="008F07A1" w:rsidRPr="00DD5F1D">
        <w:rPr>
          <w:i/>
          <w:lang w:val="ro-MD"/>
        </w:rPr>
        <w:t>V</w:t>
      </w:r>
      <w:r w:rsidR="00FF482D" w:rsidRPr="00DD5F1D">
        <w:rPr>
          <w:i/>
          <w:lang w:val="ro-MD"/>
        </w:rPr>
        <w:t>-a</w:t>
      </w:r>
      <w:r w:rsidRPr="00DD5F1D">
        <w:rPr>
          <w:i/>
          <w:lang w:val="ro-MD"/>
        </w:rPr>
        <w:t>);</w:t>
      </w:r>
    </w:p>
    <w:p w14:paraId="0DE97E06" w14:textId="3B455E43" w:rsidR="00281B78" w:rsidRPr="00DD5F1D" w:rsidRDefault="008368C2" w:rsidP="00281B78">
      <w:pPr>
        <w:pStyle w:val="a6"/>
        <w:spacing w:before="240" w:line="276" w:lineRule="auto"/>
        <w:ind w:firstLine="0"/>
        <w:rPr>
          <w:rFonts w:eastAsiaTheme="minorHAnsi"/>
          <w:b/>
          <w:lang w:val="ro-MD"/>
        </w:rPr>
      </w:pPr>
      <w:r w:rsidRPr="00DD5F1D">
        <w:rPr>
          <w:rFonts w:eastAsiaTheme="minorHAnsi"/>
          <w:b/>
          <w:lang w:val="ro-MD"/>
        </w:rPr>
        <w:t>Recoma</w:t>
      </w:r>
      <w:r w:rsidR="00281B78" w:rsidRPr="00DD5F1D">
        <w:rPr>
          <w:rFonts w:eastAsiaTheme="minorHAnsi"/>
          <w:b/>
          <w:lang w:val="ro-MD"/>
        </w:rPr>
        <w:t>ndări Casei Naționale de Asigurări Sociale</w:t>
      </w:r>
      <w:r w:rsidR="00FF482D" w:rsidRPr="00DD5F1D">
        <w:rPr>
          <w:rFonts w:eastAsiaTheme="minorHAnsi"/>
          <w:b/>
          <w:lang w:val="ro-MD"/>
        </w:rPr>
        <w:t>:</w:t>
      </w:r>
    </w:p>
    <w:p w14:paraId="5194565D" w14:textId="313BE76A" w:rsidR="00281B78" w:rsidRPr="00DD5F1D" w:rsidRDefault="00281B78" w:rsidP="00281B78">
      <w:pPr>
        <w:pStyle w:val="aa"/>
        <w:numPr>
          <w:ilvl w:val="0"/>
          <w:numId w:val="4"/>
        </w:numPr>
        <w:spacing w:after="0" w:line="276" w:lineRule="auto"/>
        <w:jc w:val="both"/>
        <w:rPr>
          <w:rFonts w:ascii="Times New Roman" w:hAnsi="Times New Roman" w:cs="Times New Roman"/>
          <w:b/>
          <w:sz w:val="24"/>
          <w:szCs w:val="24"/>
          <w:lang w:val="ro-MD"/>
        </w:rPr>
      </w:pPr>
      <w:r w:rsidRPr="00DD5F1D">
        <w:rPr>
          <w:rFonts w:ascii="Times New Roman" w:eastAsia="Times New Roman" w:hAnsi="Times New Roman" w:cs="Times New Roman"/>
          <w:sz w:val="24"/>
          <w:szCs w:val="24"/>
          <w:lang w:val="ro-MD"/>
        </w:rPr>
        <w:t>Să asigure completarea Clasificatorului categoriilor persoanelor asigurate cu un cod destinat declarării de către angajator a șomajului tehnic, inclusiv plătit din bugetul de stat</w:t>
      </w:r>
      <w:r w:rsidRPr="00DD5F1D">
        <w:rPr>
          <w:rFonts w:ascii="Times New Roman" w:hAnsi="Times New Roman" w:cs="Times New Roman"/>
          <w:i/>
          <w:sz w:val="24"/>
          <w:szCs w:val="24"/>
          <w:lang w:val="ro-MD"/>
        </w:rPr>
        <w:t xml:space="preserve"> (Observația</w:t>
      </w:r>
      <w:r w:rsidR="008F07A1" w:rsidRPr="00DD5F1D">
        <w:rPr>
          <w:rFonts w:ascii="Times New Roman" w:hAnsi="Times New Roman" w:cs="Times New Roman"/>
          <w:i/>
          <w:sz w:val="24"/>
          <w:szCs w:val="24"/>
          <w:lang w:val="ro-MD"/>
        </w:rPr>
        <w:t xml:space="preserve"> 5.2</w:t>
      </w:r>
      <w:r w:rsidRPr="00DD5F1D">
        <w:rPr>
          <w:rFonts w:ascii="Times New Roman" w:hAnsi="Times New Roman" w:cs="Times New Roman"/>
          <w:i/>
          <w:sz w:val="24"/>
          <w:szCs w:val="24"/>
          <w:lang w:val="ro-MD"/>
        </w:rPr>
        <w:t xml:space="preserve">  – Secțiunea</w:t>
      </w:r>
      <w:r w:rsidR="008F07A1" w:rsidRPr="00DD5F1D">
        <w:rPr>
          <w:rFonts w:ascii="Times New Roman" w:hAnsi="Times New Roman" w:cs="Times New Roman"/>
          <w:i/>
          <w:sz w:val="24"/>
          <w:szCs w:val="24"/>
          <w:lang w:val="ro-MD"/>
        </w:rPr>
        <w:t xml:space="preserve"> </w:t>
      </w:r>
      <w:r w:rsidR="00FF482D" w:rsidRPr="00DD5F1D">
        <w:rPr>
          <w:rFonts w:ascii="Times New Roman" w:hAnsi="Times New Roman" w:cs="Times New Roman"/>
          <w:i/>
          <w:sz w:val="24"/>
          <w:szCs w:val="24"/>
          <w:lang w:val="ro-MD"/>
        </w:rPr>
        <w:t xml:space="preserve">a </w:t>
      </w:r>
      <w:r w:rsidR="008F07A1" w:rsidRPr="00DD5F1D">
        <w:rPr>
          <w:rFonts w:ascii="Times New Roman" w:hAnsi="Times New Roman" w:cs="Times New Roman"/>
          <w:i/>
          <w:sz w:val="24"/>
          <w:szCs w:val="24"/>
          <w:lang w:val="ro-MD"/>
        </w:rPr>
        <w:t>V</w:t>
      </w:r>
      <w:r w:rsidR="00FF482D"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 xml:space="preserve"> );</w:t>
      </w:r>
    </w:p>
    <w:p w14:paraId="42C211BD" w14:textId="553644D6" w:rsidR="00281B78" w:rsidRPr="00DD5F1D" w:rsidRDefault="00281B78" w:rsidP="00281B78">
      <w:pPr>
        <w:pStyle w:val="aa"/>
        <w:numPr>
          <w:ilvl w:val="0"/>
          <w:numId w:val="4"/>
        </w:numPr>
        <w:spacing w:after="0" w:line="276" w:lineRule="auto"/>
        <w:jc w:val="both"/>
        <w:rPr>
          <w:rFonts w:ascii="Times New Roman" w:eastAsia="Times New Roman" w:hAnsi="Times New Roman" w:cs="Times New Roman"/>
          <w:color w:val="000000" w:themeColor="text1"/>
          <w:sz w:val="24"/>
          <w:szCs w:val="24"/>
          <w:lang w:val="ro-MD"/>
        </w:rPr>
      </w:pPr>
      <w:r w:rsidRPr="00DD5F1D">
        <w:rPr>
          <w:rFonts w:ascii="Times New Roman" w:eastAsia="Times New Roman" w:hAnsi="Times New Roman" w:cs="Times New Roman"/>
          <w:color w:val="000000" w:themeColor="text1"/>
          <w:sz w:val="24"/>
          <w:szCs w:val="24"/>
          <w:lang w:val="ro-MD"/>
        </w:rPr>
        <w:t>Să instituie și să intensifice acțiunile de control privind respectarea criteriilor de eliberare a foilor de tratament balneo</w:t>
      </w:r>
      <w:r w:rsidR="00FF482D" w:rsidRPr="00DD5F1D">
        <w:rPr>
          <w:rFonts w:ascii="Times New Roman" w:eastAsia="Times New Roman" w:hAnsi="Times New Roman" w:cs="Times New Roman"/>
          <w:color w:val="000000" w:themeColor="text1"/>
          <w:sz w:val="24"/>
          <w:szCs w:val="24"/>
          <w:lang w:val="ro-MD"/>
        </w:rPr>
        <w:t>-</w:t>
      </w:r>
      <w:r w:rsidRPr="00DD5F1D">
        <w:rPr>
          <w:rFonts w:ascii="Times New Roman" w:eastAsia="Times New Roman" w:hAnsi="Times New Roman" w:cs="Times New Roman"/>
          <w:color w:val="000000" w:themeColor="text1"/>
          <w:sz w:val="24"/>
          <w:szCs w:val="24"/>
          <w:lang w:val="ro-MD"/>
        </w:rPr>
        <w:t xml:space="preserve">sanatorial </w:t>
      </w:r>
      <w:r w:rsidRPr="00DD5F1D">
        <w:rPr>
          <w:rFonts w:ascii="Times New Roman" w:hAnsi="Times New Roman" w:cs="Times New Roman"/>
          <w:i/>
          <w:sz w:val="24"/>
          <w:szCs w:val="24"/>
          <w:lang w:val="ro-MD"/>
        </w:rPr>
        <w:t xml:space="preserve">(Observația </w:t>
      </w:r>
      <w:r w:rsidR="008F07A1" w:rsidRPr="00DD5F1D">
        <w:rPr>
          <w:rFonts w:ascii="Times New Roman" w:hAnsi="Times New Roman" w:cs="Times New Roman"/>
          <w:i/>
          <w:sz w:val="24"/>
          <w:szCs w:val="24"/>
          <w:lang w:val="ro-MD"/>
        </w:rPr>
        <w:t>6</w:t>
      </w:r>
      <w:r w:rsidR="0079559F" w:rsidRPr="00DD5F1D">
        <w:rPr>
          <w:rFonts w:ascii="Times New Roman" w:hAnsi="Times New Roman" w:cs="Times New Roman"/>
          <w:i/>
          <w:sz w:val="24"/>
          <w:szCs w:val="24"/>
          <w:lang w:val="ro-MD"/>
        </w:rPr>
        <w:t>.10</w:t>
      </w:r>
      <w:r w:rsidRPr="00DD5F1D">
        <w:rPr>
          <w:rFonts w:ascii="Times New Roman" w:hAnsi="Times New Roman" w:cs="Times New Roman"/>
          <w:i/>
          <w:sz w:val="24"/>
          <w:szCs w:val="24"/>
          <w:lang w:val="ro-MD"/>
        </w:rPr>
        <w:t xml:space="preserve"> – Secțiunea</w:t>
      </w:r>
      <w:r w:rsidR="008F07A1" w:rsidRPr="00DD5F1D">
        <w:rPr>
          <w:rFonts w:ascii="Times New Roman" w:hAnsi="Times New Roman" w:cs="Times New Roman"/>
          <w:i/>
          <w:sz w:val="24"/>
          <w:szCs w:val="24"/>
          <w:lang w:val="ro-MD"/>
        </w:rPr>
        <w:t xml:space="preserve"> </w:t>
      </w:r>
      <w:r w:rsidR="00280F63" w:rsidRPr="00DD5F1D">
        <w:rPr>
          <w:rFonts w:ascii="Times New Roman" w:hAnsi="Times New Roman" w:cs="Times New Roman"/>
          <w:i/>
          <w:sz w:val="24"/>
          <w:szCs w:val="24"/>
          <w:lang w:val="ro-MD"/>
        </w:rPr>
        <w:t xml:space="preserve">a </w:t>
      </w:r>
      <w:r w:rsidR="008F07A1" w:rsidRPr="00DD5F1D">
        <w:rPr>
          <w:rFonts w:ascii="Times New Roman" w:hAnsi="Times New Roman" w:cs="Times New Roman"/>
          <w:i/>
          <w:sz w:val="24"/>
          <w:szCs w:val="24"/>
          <w:lang w:val="ro-MD"/>
        </w:rPr>
        <w:t>VI</w:t>
      </w:r>
      <w:r w:rsidR="00280F63"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 xml:space="preserve"> );</w:t>
      </w:r>
    </w:p>
    <w:p w14:paraId="2A2F6557" w14:textId="23ABC8DC" w:rsidR="00281B78" w:rsidRPr="00DD5F1D" w:rsidRDefault="00281B78" w:rsidP="00281B78">
      <w:pPr>
        <w:pStyle w:val="aa"/>
        <w:numPr>
          <w:ilvl w:val="0"/>
          <w:numId w:val="4"/>
        </w:numPr>
        <w:spacing w:after="0" w:line="276" w:lineRule="auto"/>
        <w:jc w:val="both"/>
        <w:rPr>
          <w:rFonts w:ascii="Times New Roman" w:hAnsi="Times New Roman" w:cs="Times New Roman"/>
          <w:bCs/>
          <w:color w:val="000000" w:themeColor="text1"/>
          <w:sz w:val="24"/>
          <w:szCs w:val="28"/>
          <w:lang w:val="ro-MD"/>
        </w:rPr>
      </w:pPr>
      <w:r w:rsidRPr="00DD5F1D">
        <w:rPr>
          <w:rFonts w:ascii="Times New Roman" w:hAnsi="Times New Roman" w:cs="Times New Roman"/>
          <w:bCs/>
          <w:color w:val="000000" w:themeColor="text1"/>
          <w:sz w:val="24"/>
          <w:szCs w:val="28"/>
          <w:lang w:val="ro-MD"/>
        </w:rPr>
        <w:t xml:space="preserve">Să asigure activități continue de monitorizare a procesului de stabilire şi achitare în termen a indemnizațiilor pentru incapacitate temporară de muncă și </w:t>
      </w:r>
      <w:r w:rsidR="00280F63" w:rsidRPr="00DD5F1D">
        <w:rPr>
          <w:rFonts w:ascii="Times New Roman" w:hAnsi="Times New Roman" w:cs="Times New Roman"/>
          <w:bCs/>
          <w:color w:val="000000" w:themeColor="text1"/>
          <w:sz w:val="24"/>
          <w:szCs w:val="28"/>
          <w:lang w:val="ro-MD"/>
        </w:rPr>
        <w:t xml:space="preserve">a </w:t>
      </w:r>
      <w:r w:rsidRPr="00DD5F1D">
        <w:rPr>
          <w:rFonts w:ascii="Times New Roman" w:hAnsi="Times New Roman" w:cs="Times New Roman"/>
          <w:bCs/>
          <w:color w:val="000000" w:themeColor="text1"/>
          <w:sz w:val="24"/>
          <w:szCs w:val="28"/>
          <w:lang w:val="ro-MD"/>
        </w:rPr>
        <w:t xml:space="preserve">indemnizațiilor de maternitate </w:t>
      </w:r>
      <w:r w:rsidRPr="00DD5F1D">
        <w:rPr>
          <w:rFonts w:ascii="Times New Roman" w:hAnsi="Times New Roman" w:cs="Times New Roman"/>
          <w:i/>
          <w:sz w:val="24"/>
          <w:szCs w:val="24"/>
          <w:lang w:val="ro-MD"/>
        </w:rPr>
        <w:t>(Observația</w:t>
      </w:r>
      <w:r w:rsidR="00CE3A8C" w:rsidRPr="00DD5F1D">
        <w:rPr>
          <w:rFonts w:ascii="Times New Roman" w:hAnsi="Times New Roman" w:cs="Times New Roman"/>
          <w:i/>
          <w:sz w:val="24"/>
          <w:szCs w:val="24"/>
          <w:lang w:val="ro-MD"/>
        </w:rPr>
        <w:t xml:space="preserve"> 6.</w:t>
      </w:r>
      <w:r w:rsidR="0079559F" w:rsidRPr="00DD5F1D">
        <w:rPr>
          <w:rFonts w:ascii="Times New Roman" w:hAnsi="Times New Roman" w:cs="Times New Roman"/>
          <w:i/>
          <w:sz w:val="24"/>
          <w:szCs w:val="24"/>
          <w:lang w:val="ro-MD"/>
        </w:rPr>
        <w:t>1</w:t>
      </w:r>
      <w:r w:rsidR="00DA5F07" w:rsidRPr="00DD5F1D">
        <w:rPr>
          <w:rFonts w:ascii="Times New Roman" w:hAnsi="Times New Roman" w:cs="Times New Roman"/>
          <w:i/>
          <w:sz w:val="24"/>
          <w:szCs w:val="24"/>
          <w:lang w:val="ro-MD"/>
        </w:rPr>
        <w:t>1</w:t>
      </w:r>
      <w:r w:rsidR="00CE3A8C" w:rsidRPr="00DD5F1D">
        <w:rPr>
          <w:rFonts w:ascii="Times New Roman" w:hAnsi="Times New Roman" w:cs="Times New Roman"/>
          <w:i/>
          <w:sz w:val="24"/>
          <w:szCs w:val="24"/>
          <w:lang w:val="ro-MD"/>
        </w:rPr>
        <w:t>, 6.1</w:t>
      </w:r>
      <w:r w:rsidR="00DA5F07" w:rsidRPr="00DD5F1D">
        <w:rPr>
          <w:rFonts w:ascii="Times New Roman" w:hAnsi="Times New Roman" w:cs="Times New Roman"/>
          <w:i/>
          <w:sz w:val="24"/>
          <w:szCs w:val="24"/>
          <w:lang w:val="ro-MD"/>
        </w:rPr>
        <w:t>2</w:t>
      </w:r>
      <w:r w:rsidRPr="00DD5F1D">
        <w:rPr>
          <w:rFonts w:ascii="Times New Roman" w:hAnsi="Times New Roman" w:cs="Times New Roman"/>
          <w:i/>
          <w:sz w:val="24"/>
          <w:szCs w:val="24"/>
          <w:lang w:val="ro-MD"/>
        </w:rPr>
        <w:t xml:space="preserve">  – Secțiunea</w:t>
      </w:r>
      <w:r w:rsidR="00CE3A8C" w:rsidRPr="00DD5F1D">
        <w:rPr>
          <w:rFonts w:ascii="Times New Roman" w:hAnsi="Times New Roman" w:cs="Times New Roman"/>
          <w:i/>
          <w:sz w:val="24"/>
          <w:szCs w:val="24"/>
          <w:lang w:val="ro-MD"/>
        </w:rPr>
        <w:t xml:space="preserve"> </w:t>
      </w:r>
      <w:r w:rsidR="00280F63" w:rsidRPr="00DD5F1D">
        <w:rPr>
          <w:rFonts w:ascii="Times New Roman" w:hAnsi="Times New Roman" w:cs="Times New Roman"/>
          <w:i/>
          <w:sz w:val="24"/>
          <w:szCs w:val="24"/>
          <w:lang w:val="ro-MD"/>
        </w:rPr>
        <w:t xml:space="preserve">a </w:t>
      </w:r>
      <w:r w:rsidR="00CE3A8C" w:rsidRPr="00DD5F1D">
        <w:rPr>
          <w:rFonts w:ascii="Times New Roman" w:hAnsi="Times New Roman" w:cs="Times New Roman"/>
          <w:i/>
          <w:sz w:val="24"/>
          <w:szCs w:val="24"/>
          <w:lang w:val="ro-MD"/>
        </w:rPr>
        <w:t>VI</w:t>
      </w:r>
      <w:r w:rsidR="00280F63"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 xml:space="preserve"> );</w:t>
      </w:r>
    </w:p>
    <w:p w14:paraId="774F80BC" w14:textId="0535E50B" w:rsidR="00281B78" w:rsidRPr="00DD5F1D" w:rsidRDefault="00281B78" w:rsidP="00281B78">
      <w:pPr>
        <w:pStyle w:val="aa"/>
        <w:numPr>
          <w:ilvl w:val="0"/>
          <w:numId w:val="4"/>
        </w:numPr>
        <w:spacing w:after="0" w:line="276" w:lineRule="auto"/>
        <w:jc w:val="both"/>
        <w:rPr>
          <w:rFonts w:ascii="Times New Roman" w:hAnsi="Times New Roman" w:cs="Times New Roman"/>
          <w:bCs/>
          <w:color w:val="000000" w:themeColor="text1"/>
          <w:sz w:val="24"/>
          <w:szCs w:val="28"/>
          <w:lang w:val="ro-MD"/>
        </w:rPr>
      </w:pPr>
      <w:r w:rsidRPr="00DD5F1D">
        <w:rPr>
          <w:rFonts w:ascii="Times New Roman" w:hAnsi="Times New Roman" w:cs="Times New Roman"/>
          <w:sz w:val="24"/>
          <w:szCs w:val="24"/>
          <w:lang w:val="ro-MD"/>
        </w:rPr>
        <w:t xml:space="preserve">Să asigure în deciziile de stabilire și de recalculare (valorizare) a prestațiilor de asigurări sociale </w:t>
      </w:r>
      <w:r w:rsidR="009820F3" w:rsidRPr="00DD5F1D">
        <w:rPr>
          <w:rFonts w:ascii="Times New Roman" w:hAnsi="Times New Roman" w:cs="Times New Roman"/>
          <w:sz w:val="24"/>
          <w:szCs w:val="24"/>
          <w:lang w:val="ro-MD"/>
        </w:rPr>
        <w:t xml:space="preserve">a fundamentării/motivării privind neincluderea tuturor datelor prezentate de beneficiar </w:t>
      </w:r>
      <w:r w:rsidRPr="00DD5F1D">
        <w:rPr>
          <w:rFonts w:ascii="Times New Roman" w:hAnsi="Times New Roman" w:cs="Times New Roman"/>
          <w:sz w:val="24"/>
          <w:szCs w:val="24"/>
          <w:lang w:val="ro-MD"/>
        </w:rPr>
        <w:t xml:space="preserve">și să asigure informarea </w:t>
      </w:r>
      <w:r w:rsidR="009820F3" w:rsidRPr="00DD5F1D">
        <w:rPr>
          <w:rFonts w:ascii="Times New Roman" w:hAnsi="Times New Roman" w:cs="Times New Roman"/>
          <w:sz w:val="24"/>
          <w:szCs w:val="24"/>
          <w:lang w:val="ro-MD"/>
        </w:rPr>
        <w:t>acestora</w:t>
      </w:r>
      <w:r w:rsidRPr="00DD5F1D">
        <w:rPr>
          <w:rFonts w:ascii="Times New Roman" w:hAnsi="Times New Roman" w:cs="Times New Roman"/>
          <w:sz w:val="24"/>
          <w:szCs w:val="24"/>
          <w:lang w:val="ro-MD"/>
        </w:rPr>
        <w:t xml:space="preserve"> despre decizii</w:t>
      </w:r>
      <w:r w:rsidR="009820F3" w:rsidRPr="00DD5F1D">
        <w:rPr>
          <w:rFonts w:ascii="Times New Roman" w:hAnsi="Times New Roman" w:cs="Times New Roman"/>
          <w:sz w:val="24"/>
          <w:szCs w:val="24"/>
          <w:lang w:val="ro-MD"/>
        </w:rPr>
        <w:t>le de stabilire,</w:t>
      </w:r>
      <w:r w:rsidRPr="00DD5F1D">
        <w:rPr>
          <w:rFonts w:ascii="Times New Roman" w:hAnsi="Times New Roman" w:cs="Times New Roman"/>
          <w:sz w:val="24"/>
          <w:szCs w:val="24"/>
          <w:lang w:val="ro-MD"/>
        </w:rPr>
        <w:t xml:space="preserve"> </w:t>
      </w:r>
      <w:r w:rsidR="009820F3" w:rsidRPr="00DD5F1D">
        <w:rPr>
          <w:rFonts w:ascii="Times New Roman" w:hAnsi="Times New Roman" w:cs="Times New Roman"/>
          <w:sz w:val="24"/>
          <w:szCs w:val="24"/>
          <w:lang w:val="ro-MD"/>
        </w:rPr>
        <w:t xml:space="preserve">în conformitate cu modalitățile prevăzute </w:t>
      </w:r>
      <w:r w:rsidR="00837D6A" w:rsidRPr="00DD5F1D">
        <w:rPr>
          <w:rFonts w:ascii="Times New Roman" w:hAnsi="Times New Roman" w:cs="Times New Roman"/>
          <w:sz w:val="24"/>
          <w:szCs w:val="24"/>
          <w:lang w:val="ro-MD"/>
        </w:rPr>
        <w:t>în actele normative</w:t>
      </w:r>
      <w:r w:rsidR="009820F3" w:rsidRPr="00DD5F1D">
        <w:rPr>
          <w:rFonts w:ascii="Times New Roman" w:hAnsi="Times New Roman" w:cs="Times New Roman"/>
          <w:sz w:val="24"/>
          <w:szCs w:val="24"/>
          <w:lang w:val="ro-MD"/>
        </w:rPr>
        <w:t xml:space="preserve"> </w:t>
      </w:r>
      <w:r w:rsidRPr="00DD5F1D">
        <w:rPr>
          <w:rFonts w:ascii="Times New Roman" w:hAnsi="Times New Roman" w:cs="Times New Roman"/>
          <w:sz w:val="24"/>
          <w:szCs w:val="24"/>
          <w:lang w:val="ro-MD"/>
        </w:rPr>
        <w:t>(</w:t>
      </w:r>
      <w:r w:rsidRPr="00DD5F1D">
        <w:rPr>
          <w:rFonts w:ascii="Times New Roman" w:hAnsi="Times New Roman" w:cs="Times New Roman"/>
          <w:i/>
          <w:sz w:val="24"/>
          <w:szCs w:val="24"/>
          <w:lang w:val="ro-MD"/>
        </w:rPr>
        <w:t xml:space="preserve">Observația </w:t>
      </w:r>
      <w:r w:rsidR="00CE3A8C" w:rsidRPr="00DD5F1D">
        <w:rPr>
          <w:rFonts w:ascii="Times New Roman" w:hAnsi="Times New Roman" w:cs="Times New Roman"/>
          <w:i/>
          <w:sz w:val="24"/>
          <w:szCs w:val="24"/>
          <w:lang w:val="ro-MD"/>
        </w:rPr>
        <w:t>6.16</w:t>
      </w:r>
      <w:r w:rsidRPr="00DD5F1D">
        <w:rPr>
          <w:rFonts w:ascii="Times New Roman" w:hAnsi="Times New Roman" w:cs="Times New Roman"/>
          <w:i/>
          <w:sz w:val="24"/>
          <w:szCs w:val="24"/>
          <w:lang w:val="ro-MD"/>
        </w:rPr>
        <w:t xml:space="preserve">  – Secțiunea</w:t>
      </w:r>
      <w:r w:rsidR="00CE3A8C" w:rsidRPr="00DD5F1D">
        <w:rPr>
          <w:rFonts w:ascii="Times New Roman" w:hAnsi="Times New Roman" w:cs="Times New Roman"/>
          <w:i/>
          <w:sz w:val="24"/>
          <w:szCs w:val="24"/>
          <w:lang w:val="ro-MD"/>
        </w:rPr>
        <w:t xml:space="preserve"> </w:t>
      </w:r>
      <w:r w:rsidR="00280F63" w:rsidRPr="00DD5F1D">
        <w:rPr>
          <w:rFonts w:ascii="Times New Roman" w:hAnsi="Times New Roman" w:cs="Times New Roman"/>
          <w:i/>
          <w:sz w:val="24"/>
          <w:szCs w:val="24"/>
          <w:lang w:val="ro-MD"/>
        </w:rPr>
        <w:t xml:space="preserve">a </w:t>
      </w:r>
      <w:r w:rsidR="00CE3A8C" w:rsidRPr="00DD5F1D">
        <w:rPr>
          <w:rFonts w:ascii="Times New Roman" w:hAnsi="Times New Roman" w:cs="Times New Roman"/>
          <w:i/>
          <w:sz w:val="24"/>
          <w:szCs w:val="24"/>
          <w:lang w:val="ro-MD"/>
        </w:rPr>
        <w:t>VI</w:t>
      </w:r>
      <w:r w:rsidR="00280F63" w:rsidRPr="00DD5F1D">
        <w:rPr>
          <w:rFonts w:ascii="Times New Roman" w:hAnsi="Times New Roman" w:cs="Times New Roman"/>
          <w:i/>
          <w:sz w:val="24"/>
          <w:szCs w:val="24"/>
          <w:lang w:val="ro-MD"/>
        </w:rPr>
        <w:t>-a</w:t>
      </w:r>
      <w:r w:rsidR="00CE3A8C" w:rsidRPr="00DD5F1D">
        <w:rPr>
          <w:rFonts w:ascii="Times New Roman" w:hAnsi="Times New Roman" w:cs="Times New Roman"/>
          <w:i/>
          <w:sz w:val="24"/>
          <w:szCs w:val="24"/>
          <w:lang w:val="ro-MD"/>
        </w:rPr>
        <w:t xml:space="preserve"> </w:t>
      </w:r>
      <w:r w:rsidRPr="00DD5F1D">
        <w:rPr>
          <w:rFonts w:ascii="Times New Roman" w:hAnsi="Times New Roman" w:cs="Times New Roman"/>
          <w:i/>
          <w:sz w:val="24"/>
          <w:szCs w:val="24"/>
          <w:lang w:val="ro-MD"/>
        </w:rPr>
        <w:t>)</w:t>
      </w:r>
      <w:r w:rsidR="00CE3A8C" w:rsidRPr="00DD5F1D">
        <w:rPr>
          <w:rFonts w:ascii="Times New Roman" w:hAnsi="Times New Roman" w:cs="Times New Roman"/>
          <w:i/>
          <w:sz w:val="24"/>
          <w:szCs w:val="24"/>
          <w:lang w:val="ro-MD"/>
        </w:rPr>
        <w:t>;</w:t>
      </w:r>
    </w:p>
    <w:p w14:paraId="400AAD19" w14:textId="74114968" w:rsidR="00281B78" w:rsidRPr="00DD5F1D" w:rsidRDefault="00281B78" w:rsidP="00281B78">
      <w:pPr>
        <w:pStyle w:val="aa"/>
        <w:numPr>
          <w:ilvl w:val="0"/>
          <w:numId w:val="4"/>
        </w:numPr>
        <w:spacing w:after="0" w:line="276" w:lineRule="auto"/>
        <w:jc w:val="both"/>
        <w:rPr>
          <w:rFonts w:ascii="Times New Roman" w:hAnsi="Times New Roman" w:cs="Times New Roman"/>
          <w:bCs/>
          <w:color w:val="000000" w:themeColor="text1"/>
          <w:sz w:val="24"/>
          <w:szCs w:val="28"/>
          <w:lang w:val="ro-MD"/>
        </w:rPr>
      </w:pPr>
      <w:r w:rsidRPr="00DD5F1D">
        <w:rPr>
          <w:rFonts w:ascii="Times New Roman" w:hAnsi="Times New Roman" w:cs="Times New Roman"/>
          <w:sz w:val="24"/>
          <w:szCs w:val="24"/>
          <w:lang w:val="ro-MD"/>
        </w:rPr>
        <w:t>S</w:t>
      </w:r>
      <w:r w:rsidR="00F22A10" w:rsidRPr="00DD5F1D">
        <w:rPr>
          <w:rFonts w:ascii="Times New Roman" w:hAnsi="Times New Roman" w:cs="Times New Roman"/>
          <w:sz w:val="24"/>
          <w:szCs w:val="24"/>
          <w:lang w:val="ro-MD"/>
        </w:rPr>
        <w:t>ă asigure s</w:t>
      </w:r>
      <w:r w:rsidRPr="00DD5F1D">
        <w:rPr>
          <w:rFonts w:ascii="Times New Roman" w:hAnsi="Times New Roman" w:cs="Times New Roman"/>
          <w:sz w:val="24"/>
          <w:szCs w:val="24"/>
          <w:lang w:val="ro-MD"/>
        </w:rPr>
        <w:t>uplimentarea formularelor de recepționare a documentelor de prestații sociale, cu informați</w:t>
      </w:r>
      <w:r w:rsidR="00F22A10" w:rsidRPr="00DD5F1D">
        <w:rPr>
          <w:rFonts w:ascii="Times New Roman" w:hAnsi="Times New Roman" w:cs="Times New Roman"/>
          <w:sz w:val="24"/>
          <w:szCs w:val="24"/>
          <w:lang w:val="ro-MD"/>
        </w:rPr>
        <w:t>ile</w:t>
      </w:r>
      <w:r w:rsidRPr="00DD5F1D">
        <w:rPr>
          <w:rFonts w:ascii="Times New Roman" w:hAnsi="Times New Roman" w:cs="Times New Roman"/>
          <w:sz w:val="24"/>
          <w:szCs w:val="24"/>
          <w:lang w:val="ro-MD"/>
        </w:rPr>
        <w:t xml:space="preserve"> aferent</w:t>
      </w:r>
      <w:r w:rsidR="00F22A10" w:rsidRPr="00DD5F1D">
        <w:rPr>
          <w:rFonts w:ascii="Times New Roman" w:hAnsi="Times New Roman" w:cs="Times New Roman"/>
          <w:sz w:val="24"/>
          <w:szCs w:val="24"/>
          <w:lang w:val="ro-MD"/>
        </w:rPr>
        <w:t>e</w:t>
      </w:r>
      <w:r w:rsidRPr="00DD5F1D">
        <w:rPr>
          <w:rFonts w:ascii="Times New Roman" w:hAnsi="Times New Roman" w:cs="Times New Roman"/>
          <w:sz w:val="24"/>
          <w:szCs w:val="24"/>
          <w:lang w:val="ro-MD"/>
        </w:rPr>
        <w:t xml:space="preserve"> dreptul</w:t>
      </w:r>
      <w:r w:rsidR="00F22A10" w:rsidRPr="00DD5F1D">
        <w:rPr>
          <w:rFonts w:ascii="Times New Roman" w:hAnsi="Times New Roman" w:cs="Times New Roman"/>
          <w:sz w:val="24"/>
          <w:szCs w:val="24"/>
          <w:lang w:val="ro-MD"/>
        </w:rPr>
        <w:t>ui</w:t>
      </w:r>
      <w:r w:rsidRPr="00DD5F1D">
        <w:rPr>
          <w:rFonts w:ascii="Times New Roman" w:hAnsi="Times New Roman" w:cs="Times New Roman"/>
          <w:sz w:val="24"/>
          <w:szCs w:val="24"/>
          <w:lang w:val="ro-MD"/>
        </w:rPr>
        <w:t>, modul</w:t>
      </w:r>
      <w:r w:rsidR="00F22A10" w:rsidRPr="00DD5F1D">
        <w:rPr>
          <w:rFonts w:ascii="Times New Roman" w:hAnsi="Times New Roman" w:cs="Times New Roman"/>
          <w:sz w:val="24"/>
          <w:szCs w:val="24"/>
          <w:lang w:val="ro-MD"/>
        </w:rPr>
        <w:t>ui</w:t>
      </w:r>
      <w:r w:rsidRPr="00DD5F1D">
        <w:rPr>
          <w:rFonts w:ascii="Times New Roman" w:hAnsi="Times New Roman" w:cs="Times New Roman"/>
          <w:sz w:val="24"/>
          <w:szCs w:val="24"/>
          <w:lang w:val="ro-MD"/>
        </w:rPr>
        <w:t xml:space="preserve"> și termenul</w:t>
      </w:r>
      <w:r w:rsidR="00F22A10" w:rsidRPr="00DD5F1D">
        <w:rPr>
          <w:rFonts w:ascii="Times New Roman" w:hAnsi="Times New Roman" w:cs="Times New Roman"/>
          <w:sz w:val="24"/>
          <w:szCs w:val="24"/>
          <w:lang w:val="ro-MD"/>
        </w:rPr>
        <w:t>ui</w:t>
      </w:r>
      <w:r w:rsidRPr="00DD5F1D">
        <w:rPr>
          <w:rFonts w:ascii="Times New Roman" w:hAnsi="Times New Roman" w:cs="Times New Roman"/>
          <w:sz w:val="24"/>
          <w:szCs w:val="24"/>
          <w:lang w:val="ro-MD"/>
        </w:rPr>
        <w:t xml:space="preserve"> de contestare a deciziilor de stabilire a prestațiilor, în cazul unui posibil dezacord </w:t>
      </w:r>
      <w:r w:rsidR="00CE3A8C" w:rsidRPr="00DD5F1D">
        <w:rPr>
          <w:rFonts w:ascii="Times New Roman" w:hAnsi="Times New Roman" w:cs="Times New Roman"/>
          <w:i/>
          <w:sz w:val="24"/>
          <w:szCs w:val="24"/>
          <w:lang w:val="ro-MD"/>
        </w:rPr>
        <w:t>(Observația 6.16</w:t>
      </w:r>
      <w:r w:rsidRPr="00DD5F1D">
        <w:rPr>
          <w:rFonts w:ascii="Times New Roman" w:hAnsi="Times New Roman" w:cs="Times New Roman"/>
          <w:i/>
          <w:sz w:val="24"/>
          <w:szCs w:val="24"/>
          <w:lang w:val="ro-MD"/>
        </w:rPr>
        <w:t xml:space="preserve"> – Secțiunea</w:t>
      </w:r>
      <w:r w:rsidR="00CE3A8C" w:rsidRPr="00DD5F1D">
        <w:rPr>
          <w:rFonts w:ascii="Times New Roman" w:hAnsi="Times New Roman" w:cs="Times New Roman"/>
          <w:i/>
          <w:sz w:val="24"/>
          <w:szCs w:val="24"/>
          <w:lang w:val="ro-MD"/>
        </w:rPr>
        <w:t xml:space="preserve"> </w:t>
      </w:r>
      <w:r w:rsidR="00280F63" w:rsidRPr="00DD5F1D">
        <w:rPr>
          <w:rFonts w:ascii="Times New Roman" w:hAnsi="Times New Roman" w:cs="Times New Roman"/>
          <w:i/>
          <w:sz w:val="24"/>
          <w:szCs w:val="24"/>
          <w:lang w:val="ro-MD"/>
        </w:rPr>
        <w:t xml:space="preserve">a </w:t>
      </w:r>
      <w:r w:rsidR="00CE3A8C" w:rsidRPr="00DD5F1D">
        <w:rPr>
          <w:rFonts w:ascii="Times New Roman" w:hAnsi="Times New Roman" w:cs="Times New Roman"/>
          <w:i/>
          <w:sz w:val="24"/>
          <w:szCs w:val="24"/>
          <w:lang w:val="ro-MD"/>
        </w:rPr>
        <w:t>VI</w:t>
      </w:r>
      <w:r w:rsidR="00280F63" w:rsidRPr="00DD5F1D">
        <w:rPr>
          <w:rFonts w:ascii="Times New Roman" w:hAnsi="Times New Roman" w:cs="Times New Roman"/>
          <w:i/>
          <w:sz w:val="24"/>
          <w:szCs w:val="24"/>
          <w:lang w:val="ro-MD"/>
        </w:rPr>
        <w:t>-a</w:t>
      </w:r>
      <w:r w:rsidRPr="00DD5F1D">
        <w:rPr>
          <w:rFonts w:ascii="Times New Roman" w:hAnsi="Times New Roman" w:cs="Times New Roman"/>
          <w:i/>
          <w:sz w:val="24"/>
          <w:szCs w:val="24"/>
          <w:lang w:val="ro-MD"/>
        </w:rPr>
        <w:t xml:space="preserve"> ).</w:t>
      </w:r>
    </w:p>
    <w:p w14:paraId="4725294E" w14:textId="795F62BA" w:rsidR="00841788" w:rsidRPr="00DD5F1D" w:rsidRDefault="00841788" w:rsidP="00281B78">
      <w:pPr>
        <w:spacing w:after="0" w:line="276" w:lineRule="auto"/>
        <w:jc w:val="both"/>
        <w:rPr>
          <w:rFonts w:ascii="Times New Roman" w:hAnsi="Times New Roman" w:cs="Times New Roman"/>
          <w:b/>
          <w:sz w:val="24"/>
          <w:szCs w:val="24"/>
          <w:lang w:val="ro-MD"/>
        </w:rPr>
      </w:pPr>
    </w:p>
    <w:p w14:paraId="431FB401" w14:textId="77777777" w:rsidR="003664F4" w:rsidRPr="00DD5F1D" w:rsidRDefault="003664F4" w:rsidP="00902A0E">
      <w:pPr>
        <w:pStyle w:val="aa"/>
        <w:keepNext/>
        <w:keepLines/>
        <w:numPr>
          <w:ilvl w:val="0"/>
          <w:numId w:val="2"/>
        </w:numPr>
        <w:spacing w:after="0" w:line="276" w:lineRule="auto"/>
        <w:ind w:left="0" w:firstLine="0"/>
        <w:outlineLvl w:val="0"/>
        <w:rPr>
          <w:rFonts w:ascii="Times New Roman" w:eastAsiaTheme="majorEastAsia" w:hAnsi="Times New Roman" w:cs="Times New Roman"/>
          <w:b/>
          <w:sz w:val="24"/>
          <w:szCs w:val="24"/>
          <w:lang w:val="ro-MD"/>
        </w:rPr>
      </w:pPr>
      <w:r w:rsidRPr="00DD5F1D">
        <w:rPr>
          <w:rFonts w:ascii="Times New Roman" w:eastAsiaTheme="majorEastAsia" w:hAnsi="Times New Roman" w:cs="Times New Roman"/>
          <w:b/>
          <w:sz w:val="24"/>
          <w:szCs w:val="24"/>
          <w:lang w:val="ro-MD"/>
        </w:rPr>
        <w:t>RESPONSABILITĂȚILE CELOR ÎNSĂRCINAȚI CU GUVERNANȚA PENTRU RAPOARTELE GUVERNULUI</w:t>
      </w:r>
    </w:p>
    <w:p w14:paraId="32495059" w14:textId="77777777" w:rsidR="003664F4" w:rsidRPr="00DD5F1D" w:rsidRDefault="003664F4" w:rsidP="003664F4">
      <w:pPr>
        <w:spacing w:after="0" w:line="276" w:lineRule="auto"/>
        <w:jc w:val="both"/>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Responsabilitatea Guvernului</w:t>
      </w:r>
      <w:r w:rsidRPr="00DD5F1D">
        <w:rPr>
          <w:rFonts w:ascii="Times New Roman" w:eastAsia="Times New Roman" w:hAnsi="Times New Roman" w:cs="Times New Roman"/>
          <w:sz w:val="24"/>
          <w:szCs w:val="24"/>
          <w:lang w:val="ro-MD"/>
        </w:rPr>
        <w:t xml:space="preserve"> în domeniul finanțelor publice este de a exercita conducerea generală a activității executive în domeniul gestionării finanțelor publice, în conformitate cu principiile şi regulile stabilite</w:t>
      </w:r>
      <w:r w:rsidRPr="00DD5F1D">
        <w:rPr>
          <w:rFonts w:ascii="Times New Roman" w:eastAsia="Times New Roman" w:hAnsi="Times New Roman" w:cs="Times New Roman"/>
          <w:sz w:val="24"/>
          <w:szCs w:val="24"/>
          <w:vertAlign w:val="superscript"/>
          <w:lang w:val="ro-MD"/>
        </w:rPr>
        <w:footnoteReference w:id="147"/>
      </w:r>
      <w:r w:rsidRPr="00DD5F1D">
        <w:rPr>
          <w:rFonts w:ascii="Times New Roman" w:eastAsia="Times New Roman" w:hAnsi="Times New Roman" w:cs="Times New Roman"/>
          <w:sz w:val="24"/>
          <w:szCs w:val="24"/>
          <w:lang w:val="ro-MD"/>
        </w:rPr>
        <w:t>.</w:t>
      </w:r>
    </w:p>
    <w:p w14:paraId="419C32D6" w14:textId="77777777" w:rsidR="003664F4" w:rsidRPr="00DD5F1D" w:rsidRDefault="003664F4" w:rsidP="003664F4">
      <w:pPr>
        <w:spacing w:after="0" w:line="276"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b/>
          <w:bCs/>
          <w:iCs/>
          <w:sz w:val="24"/>
          <w:szCs w:val="24"/>
          <w:lang w:val="ro-MD"/>
        </w:rPr>
        <w:t xml:space="preserve">Responsabilitatea Ministerului Muncii </w:t>
      </w:r>
      <w:r w:rsidR="0081060A" w:rsidRPr="00DD5F1D">
        <w:rPr>
          <w:rFonts w:ascii="Times New Roman" w:eastAsia="Times New Roman" w:hAnsi="Times New Roman" w:cs="Times New Roman"/>
          <w:b/>
          <w:bCs/>
          <w:iCs/>
          <w:sz w:val="24"/>
          <w:szCs w:val="24"/>
          <w:lang w:val="ro-MD"/>
        </w:rPr>
        <w:t>și</w:t>
      </w:r>
      <w:r w:rsidRPr="00DD5F1D">
        <w:rPr>
          <w:rFonts w:ascii="Times New Roman" w:eastAsia="Times New Roman" w:hAnsi="Times New Roman" w:cs="Times New Roman"/>
          <w:b/>
          <w:bCs/>
          <w:iCs/>
          <w:sz w:val="24"/>
          <w:szCs w:val="24"/>
          <w:lang w:val="ro-MD"/>
        </w:rPr>
        <w:t xml:space="preserve"> Protecției Sociale </w:t>
      </w:r>
      <w:r w:rsidRPr="00DD5F1D">
        <w:rPr>
          <w:rFonts w:ascii="Times New Roman" w:eastAsia="Times New Roman" w:hAnsi="Times New Roman" w:cs="Times New Roman"/>
          <w:sz w:val="24"/>
          <w:szCs w:val="24"/>
          <w:lang w:val="ro-MD"/>
        </w:rPr>
        <w:t xml:space="preserve">constă în monitorizarea şi analiza executării </w:t>
      </w:r>
      <w:r w:rsidRPr="00DD5F1D">
        <w:rPr>
          <w:rFonts w:ascii="Times New Roman" w:hAnsi="Times New Roman" w:cs="Times New Roman"/>
          <w:sz w:val="24"/>
          <w:szCs w:val="24"/>
          <w:lang w:val="ro-MD"/>
        </w:rPr>
        <w:t>bugetului asigurărilor sociale de stat</w:t>
      </w:r>
      <w:r w:rsidRPr="00DD5F1D">
        <w:rPr>
          <w:rFonts w:ascii="Times New Roman" w:eastAsia="Times New Roman" w:hAnsi="Times New Roman" w:cs="Times New Roman"/>
          <w:sz w:val="24"/>
          <w:szCs w:val="24"/>
          <w:vertAlign w:val="superscript"/>
          <w:lang w:val="ro-MD"/>
        </w:rPr>
        <w:footnoteReference w:id="148"/>
      </w:r>
      <w:r w:rsidRPr="00DD5F1D">
        <w:rPr>
          <w:rFonts w:ascii="Times New Roman" w:eastAsia="Times New Roman" w:hAnsi="Times New Roman" w:cs="Times New Roman"/>
          <w:sz w:val="24"/>
          <w:szCs w:val="24"/>
          <w:lang w:val="ro-MD"/>
        </w:rPr>
        <w:t>.</w:t>
      </w:r>
    </w:p>
    <w:p w14:paraId="205700AE" w14:textId="77777777" w:rsidR="003664F4" w:rsidRPr="00DD5F1D" w:rsidRDefault="003664F4" w:rsidP="003664F4">
      <w:pPr>
        <w:spacing w:after="0" w:line="276"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b/>
          <w:bCs/>
          <w:iCs/>
          <w:sz w:val="24"/>
          <w:szCs w:val="24"/>
          <w:lang w:val="ro-MD"/>
        </w:rPr>
        <w:t xml:space="preserve">Responsabilitatea Ministerului Finanțelor </w:t>
      </w:r>
      <w:r w:rsidRPr="00DD5F1D">
        <w:rPr>
          <w:rFonts w:ascii="Times New Roman" w:eastAsia="Times New Roman" w:hAnsi="Times New Roman" w:cs="Times New Roman"/>
          <w:bCs/>
          <w:iCs/>
          <w:sz w:val="24"/>
          <w:szCs w:val="24"/>
          <w:lang w:val="ro-MD"/>
        </w:rPr>
        <w:t>ține de</w:t>
      </w:r>
      <w:r w:rsidRPr="00DD5F1D">
        <w:rPr>
          <w:rFonts w:ascii="Times New Roman" w:eastAsia="Times New Roman" w:hAnsi="Times New Roman" w:cs="Times New Roman"/>
          <w:sz w:val="24"/>
          <w:szCs w:val="24"/>
          <w:vertAlign w:val="superscript"/>
          <w:lang w:val="ro-MD"/>
        </w:rPr>
        <w:footnoteReference w:id="149"/>
      </w:r>
      <w:r w:rsidRPr="00DD5F1D">
        <w:rPr>
          <w:rFonts w:ascii="Times New Roman" w:eastAsia="Times New Roman" w:hAnsi="Times New Roman" w:cs="Times New Roman"/>
          <w:bCs/>
          <w:iCs/>
          <w:sz w:val="24"/>
          <w:szCs w:val="24"/>
          <w:lang w:val="ro-MD"/>
        </w:rPr>
        <w:t>:</w:t>
      </w:r>
    </w:p>
    <w:p w14:paraId="44C1CAE2" w14:textId="77777777" w:rsidR="003664F4" w:rsidRPr="00DD5F1D" w:rsidRDefault="003664F4" w:rsidP="003664F4">
      <w:pPr>
        <w:spacing w:after="0" w:line="276"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 xml:space="preserve">- elaborarea </w:t>
      </w:r>
      <w:r w:rsidR="0081060A" w:rsidRPr="00DD5F1D">
        <w:rPr>
          <w:rFonts w:ascii="Times New Roman" w:eastAsia="Times New Roman" w:hAnsi="Times New Roman" w:cs="Times New Roman"/>
          <w:sz w:val="24"/>
          <w:szCs w:val="24"/>
          <w:lang w:val="ro-MD"/>
        </w:rPr>
        <w:t>și</w:t>
      </w:r>
      <w:r w:rsidRPr="00DD5F1D">
        <w:rPr>
          <w:rFonts w:ascii="Times New Roman" w:eastAsia="Times New Roman" w:hAnsi="Times New Roman" w:cs="Times New Roman"/>
          <w:sz w:val="24"/>
          <w:szCs w:val="24"/>
          <w:lang w:val="ro-MD"/>
        </w:rPr>
        <w:t xml:space="preserve"> aprobarea, în baza Legii contabilității şi în conformitate cu Planul de conturi contabile, a metodologiei privind evidența contabilă în sistemul bugetar, inclusiv privind contabilitatea executării BASS;</w:t>
      </w:r>
    </w:p>
    <w:p w14:paraId="5991185E" w14:textId="77777777" w:rsidR="003664F4" w:rsidRPr="00DD5F1D" w:rsidRDefault="003664F4" w:rsidP="003664F4">
      <w:pPr>
        <w:spacing w:after="0" w:line="276" w:lineRule="auto"/>
        <w:jc w:val="both"/>
        <w:rPr>
          <w:rFonts w:ascii="Times New Roman" w:hAnsi="Times New Roman" w:cs="Times New Roman"/>
          <w:sz w:val="24"/>
          <w:szCs w:val="24"/>
          <w:lang w:val="ro-MD"/>
        </w:rPr>
      </w:pPr>
      <w:r w:rsidRPr="00DD5F1D">
        <w:rPr>
          <w:rFonts w:ascii="Times New Roman" w:eastAsia="Times New Roman" w:hAnsi="Times New Roman" w:cs="Times New Roman"/>
          <w:sz w:val="24"/>
          <w:szCs w:val="24"/>
          <w:lang w:val="ro-MD"/>
        </w:rPr>
        <w:t>- elaborarea şi aprobarea metodologiei privind implementarea cadrului normativ-legal în domeniul finanțelor publice, inclusiv privind evidența contabilă și raportarea bugetelor componente ale bugetului public național, precum și acordarea asistenței metodologice în procesul bugetar.</w:t>
      </w:r>
      <w:r w:rsidRPr="00DD5F1D">
        <w:rPr>
          <w:rFonts w:ascii="Times New Roman" w:hAnsi="Times New Roman" w:cs="Times New Roman"/>
          <w:sz w:val="24"/>
          <w:szCs w:val="24"/>
          <w:lang w:val="ro-MD"/>
        </w:rPr>
        <w:t xml:space="preserve"> </w:t>
      </w:r>
    </w:p>
    <w:p w14:paraId="2E60A6F1" w14:textId="77777777" w:rsidR="00043F06" w:rsidRPr="00DD5F1D" w:rsidRDefault="00043F06" w:rsidP="003664F4">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b/>
          <w:sz w:val="24"/>
          <w:szCs w:val="24"/>
          <w:lang w:val="ro-MD"/>
        </w:rPr>
        <w:t>Responsabilitatea Serviciului Fiscal de Stat</w:t>
      </w:r>
      <w:r w:rsidR="009C2D7D" w:rsidRPr="00DD5F1D">
        <w:rPr>
          <w:rFonts w:ascii="Times New Roman" w:hAnsi="Times New Roman" w:cs="Times New Roman"/>
          <w:sz w:val="24"/>
          <w:szCs w:val="24"/>
          <w:lang w:val="ro-MD"/>
        </w:rPr>
        <w:t xml:space="preserve"> constă în asigurarea administrării fiscale prin crearea de </w:t>
      </w:r>
      <w:r w:rsidR="0081060A" w:rsidRPr="00DD5F1D">
        <w:rPr>
          <w:rFonts w:ascii="Times New Roman" w:hAnsi="Times New Roman" w:cs="Times New Roman"/>
          <w:sz w:val="24"/>
          <w:szCs w:val="24"/>
          <w:lang w:val="ro-MD"/>
        </w:rPr>
        <w:t>condiții</w:t>
      </w:r>
      <w:r w:rsidR="009C2D7D" w:rsidRPr="00DD5F1D">
        <w:rPr>
          <w:rFonts w:ascii="Times New Roman" w:hAnsi="Times New Roman" w:cs="Times New Roman"/>
          <w:sz w:val="24"/>
          <w:szCs w:val="24"/>
          <w:lang w:val="ro-MD"/>
        </w:rPr>
        <w:t xml:space="preserve"> contribuabililor pentru conformare la respectarea </w:t>
      </w:r>
      <w:r w:rsidR="0081060A" w:rsidRPr="00DD5F1D">
        <w:rPr>
          <w:rFonts w:ascii="Times New Roman" w:hAnsi="Times New Roman" w:cs="Times New Roman"/>
          <w:sz w:val="24"/>
          <w:szCs w:val="24"/>
          <w:lang w:val="ro-MD"/>
        </w:rPr>
        <w:t>legislației</w:t>
      </w:r>
      <w:r w:rsidR="009C2D7D" w:rsidRPr="00DD5F1D">
        <w:rPr>
          <w:rFonts w:ascii="Times New Roman" w:hAnsi="Times New Roman" w:cs="Times New Roman"/>
          <w:sz w:val="24"/>
          <w:szCs w:val="24"/>
          <w:lang w:val="ro-MD"/>
        </w:rPr>
        <w:t xml:space="preserve"> și monitorizarea procesului de conformare, aplicarea uniformă a politicii şi reglementărilor în domeniul fiscal; efectuarea controlului asupra calculării corecte </w:t>
      </w:r>
      <w:r w:rsidR="0081060A" w:rsidRPr="00DD5F1D">
        <w:rPr>
          <w:rFonts w:ascii="Times New Roman" w:hAnsi="Times New Roman" w:cs="Times New Roman"/>
          <w:sz w:val="24"/>
          <w:szCs w:val="24"/>
          <w:lang w:val="ro-MD"/>
        </w:rPr>
        <w:t>și</w:t>
      </w:r>
      <w:r w:rsidR="009C2D7D" w:rsidRPr="00DD5F1D">
        <w:rPr>
          <w:rFonts w:ascii="Times New Roman" w:hAnsi="Times New Roman" w:cs="Times New Roman"/>
          <w:sz w:val="24"/>
          <w:szCs w:val="24"/>
          <w:lang w:val="ro-MD"/>
        </w:rPr>
        <w:t xml:space="preserve"> a virării în termen a </w:t>
      </w:r>
      <w:r w:rsidR="0081060A" w:rsidRPr="00DD5F1D">
        <w:rPr>
          <w:rFonts w:ascii="Times New Roman" w:hAnsi="Times New Roman" w:cs="Times New Roman"/>
          <w:sz w:val="24"/>
          <w:szCs w:val="24"/>
          <w:lang w:val="ro-MD"/>
        </w:rPr>
        <w:t>contribuțiilor</w:t>
      </w:r>
      <w:r w:rsidR="009C2D7D" w:rsidRPr="00DD5F1D">
        <w:rPr>
          <w:rFonts w:ascii="Times New Roman" w:hAnsi="Times New Roman" w:cs="Times New Roman"/>
          <w:sz w:val="24"/>
          <w:szCs w:val="24"/>
          <w:lang w:val="ro-MD"/>
        </w:rPr>
        <w:t xml:space="preserve"> la bugetul asigurărilor sociale de stat şi aplică </w:t>
      </w:r>
      <w:r w:rsidR="0081060A" w:rsidRPr="00DD5F1D">
        <w:rPr>
          <w:rFonts w:ascii="Times New Roman" w:hAnsi="Times New Roman" w:cs="Times New Roman"/>
          <w:sz w:val="24"/>
          <w:szCs w:val="24"/>
          <w:lang w:val="ro-MD"/>
        </w:rPr>
        <w:t>sancțiuni</w:t>
      </w:r>
      <w:r w:rsidR="009C2D7D" w:rsidRPr="00DD5F1D">
        <w:rPr>
          <w:rFonts w:ascii="Times New Roman" w:hAnsi="Times New Roman" w:cs="Times New Roman"/>
          <w:sz w:val="24"/>
          <w:szCs w:val="24"/>
          <w:lang w:val="ro-MD"/>
        </w:rPr>
        <w:t xml:space="preserve"> pentru încălcarea prevederilor legale referitoare la calcularea acestora.</w:t>
      </w:r>
    </w:p>
    <w:p w14:paraId="4CF12864" w14:textId="77777777" w:rsidR="003664F4" w:rsidRPr="00DD5F1D" w:rsidRDefault="003664F4" w:rsidP="003664F4">
      <w:pPr>
        <w:spacing w:after="0" w:line="276" w:lineRule="auto"/>
        <w:jc w:val="both"/>
        <w:rPr>
          <w:rFonts w:ascii="Times New Roman" w:hAnsi="Times New Roman" w:cs="Times New Roman"/>
          <w:sz w:val="24"/>
          <w:szCs w:val="24"/>
          <w:lang w:val="ro-MD"/>
        </w:rPr>
      </w:pPr>
      <w:r w:rsidRPr="00DD5F1D">
        <w:rPr>
          <w:rFonts w:ascii="Times New Roman" w:eastAsia="Times New Roman" w:hAnsi="Times New Roman" w:cs="Times New Roman"/>
          <w:b/>
          <w:sz w:val="24"/>
          <w:szCs w:val="24"/>
          <w:lang w:val="ro-MD"/>
        </w:rPr>
        <w:t xml:space="preserve">Responsabilitatea Casei Naționale de Asigurări Sociale </w:t>
      </w:r>
      <w:r w:rsidRPr="00DD5F1D">
        <w:rPr>
          <w:rFonts w:ascii="Times New Roman" w:eastAsia="Times New Roman" w:hAnsi="Times New Roman" w:cs="Times New Roman"/>
          <w:sz w:val="24"/>
          <w:szCs w:val="24"/>
          <w:lang w:val="ro-MD"/>
        </w:rPr>
        <w:t>a constat în pregătirea și prezentarea fidelă către Guvern, Ministerul Sănătății,</w:t>
      </w:r>
      <w:r w:rsidR="001D2229" w:rsidRPr="00DD5F1D">
        <w:rPr>
          <w:rFonts w:ascii="Times New Roman" w:eastAsia="Times New Roman" w:hAnsi="Times New Roman" w:cs="Times New Roman"/>
          <w:sz w:val="24"/>
          <w:szCs w:val="24"/>
          <w:lang w:val="ro-MD"/>
        </w:rPr>
        <w:t xml:space="preserve"> Ministerul</w:t>
      </w:r>
      <w:r w:rsidRPr="00DD5F1D">
        <w:rPr>
          <w:rFonts w:ascii="Times New Roman" w:eastAsia="Times New Roman" w:hAnsi="Times New Roman" w:cs="Times New Roman"/>
          <w:sz w:val="24"/>
          <w:szCs w:val="24"/>
          <w:lang w:val="ro-MD"/>
        </w:rPr>
        <w:t xml:space="preserve"> Muncii </w:t>
      </w:r>
      <w:r w:rsidR="0081060A" w:rsidRPr="00DD5F1D">
        <w:rPr>
          <w:rFonts w:ascii="Times New Roman" w:eastAsia="Times New Roman" w:hAnsi="Times New Roman" w:cs="Times New Roman"/>
          <w:sz w:val="24"/>
          <w:szCs w:val="24"/>
          <w:lang w:val="ro-MD"/>
        </w:rPr>
        <w:t>și</w:t>
      </w:r>
      <w:r w:rsidRPr="00DD5F1D">
        <w:rPr>
          <w:rFonts w:ascii="Times New Roman" w:eastAsia="Times New Roman" w:hAnsi="Times New Roman" w:cs="Times New Roman"/>
          <w:sz w:val="24"/>
          <w:szCs w:val="24"/>
          <w:lang w:val="ro-MD"/>
        </w:rPr>
        <w:t xml:space="preserve"> Protecției Sociale și Ministerul Finanțelor a </w:t>
      </w:r>
      <w:r w:rsidRPr="00DD5F1D">
        <w:rPr>
          <w:rFonts w:ascii="Times New Roman" w:hAnsi="Times New Roman" w:cs="Times New Roman"/>
          <w:sz w:val="24"/>
          <w:szCs w:val="24"/>
          <w:lang w:val="ro-MD"/>
        </w:rPr>
        <w:t>rapoartelor privind executarea bugetului asigurărilor sociale de stat în conformitate cu cadrul de raportare aplicabil şi asigurarea publicării acestora</w:t>
      </w:r>
      <w:r w:rsidRPr="00DD5F1D">
        <w:rPr>
          <w:rFonts w:ascii="Times New Roman" w:eastAsia="Times New Roman" w:hAnsi="Times New Roman" w:cs="Times New Roman"/>
          <w:sz w:val="24"/>
          <w:szCs w:val="24"/>
          <w:vertAlign w:val="superscript"/>
          <w:lang w:val="ro-MD" w:eastAsia="ro-RO"/>
        </w:rPr>
        <w:footnoteReference w:id="150"/>
      </w:r>
      <w:r w:rsidRPr="00DD5F1D">
        <w:rPr>
          <w:rFonts w:ascii="Times New Roman" w:eastAsia="Times New Roman" w:hAnsi="Times New Roman" w:cs="Times New Roman"/>
          <w:sz w:val="24"/>
          <w:szCs w:val="24"/>
          <w:lang w:val="ro-MD"/>
        </w:rPr>
        <w:t xml:space="preserve">. Totodată, conducătorul Casei Naționale </w:t>
      </w:r>
      <w:r w:rsidRPr="00DD5F1D">
        <w:rPr>
          <w:rFonts w:ascii="Times New Roman" w:hAnsi="Times New Roman" w:cs="Times New Roman"/>
          <w:sz w:val="24"/>
          <w:szCs w:val="24"/>
          <w:lang w:val="ro-MD"/>
        </w:rPr>
        <w:t>este responsabil de implementarea unui sistem de control intern care asigură întocmirea rapoartelor ce nu conțin denaturări semnificative, cauzate de fraude sau de erori.</w:t>
      </w:r>
    </w:p>
    <w:p w14:paraId="5AA7710C" w14:textId="77777777" w:rsidR="003664F4" w:rsidRPr="00DD5F1D" w:rsidRDefault="003664F4" w:rsidP="00DD7AF0">
      <w:pPr>
        <w:spacing w:line="276" w:lineRule="auto"/>
        <w:jc w:val="both"/>
        <w:rPr>
          <w:rFonts w:ascii="Times New Roman" w:hAnsi="Times New Roman" w:cs="Times New Roman"/>
          <w:sz w:val="24"/>
          <w:szCs w:val="24"/>
          <w:lang w:val="ro-MD"/>
        </w:rPr>
      </w:pPr>
      <w:r w:rsidRPr="00DD5F1D">
        <w:rPr>
          <w:rFonts w:ascii="Times New Roman" w:hAnsi="Times New Roman" w:cs="Times New Roman"/>
          <w:b/>
          <w:sz w:val="24"/>
          <w:szCs w:val="24"/>
          <w:lang w:val="ro-MD"/>
        </w:rPr>
        <w:t>Directoarea generală a Casei Naționale de Asigurări Sociale</w:t>
      </w:r>
      <w:r w:rsidRPr="00DD5F1D">
        <w:rPr>
          <w:rFonts w:ascii="Times New Roman" w:hAnsi="Times New Roman" w:cs="Times New Roman"/>
          <w:sz w:val="24"/>
          <w:szCs w:val="24"/>
          <w:lang w:val="ro-MD"/>
        </w:rPr>
        <w:t xml:space="preserve"> este responsabilă de pregătirea şi prezentarea fidelă a Raportului Guvernului privind executarea bugetului asigurărilor sociale de stat pentru anul 202</w:t>
      </w:r>
      <w:r w:rsidR="007D68A6" w:rsidRPr="00DD5F1D">
        <w:rPr>
          <w:rFonts w:ascii="Times New Roman" w:hAnsi="Times New Roman" w:cs="Times New Roman"/>
          <w:sz w:val="24"/>
          <w:szCs w:val="24"/>
          <w:lang w:val="ro-MD"/>
        </w:rPr>
        <w:t>3</w:t>
      </w:r>
      <w:r w:rsidRPr="00DD5F1D">
        <w:rPr>
          <w:rFonts w:ascii="Times New Roman" w:hAnsi="Times New Roman" w:cs="Times New Roman"/>
          <w:sz w:val="24"/>
          <w:szCs w:val="24"/>
          <w:lang w:val="ro-MD"/>
        </w:rPr>
        <w:t>, în conformitate cu cadrul de raportare aplicabil</w:t>
      </w:r>
      <w:r w:rsidRPr="00DD5F1D">
        <w:rPr>
          <w:rFonts w:ascii="Times New Roman" w:hAnsi="Times New Roman" w:cs="Times New Roman"/>
          <w:sz w:val="24"/>
          <w:szCs w:val="24"/>
          <w:vertAlign w:val="superscript"/>
          <w:lang w:val="ro-MD"/>
        </w:rPr>
        <w:footnoteReference w:id="151"/>
      </w:r>
      <w:r w:rsidRPr="00DD5F1D">
        <w:rPr>
          <w:rFonts w:ascii="Times New Roman" w:hAnsi="Times New Roman" w:cs="Times New Roman"/>
          <w:sz w:val="24"/>
          <w:szCs w:val="24"/>
          <w:lang w:val="ro-MD"/>
        </w:rPr>
        <w:t>. De asemenea, responsabilitatea managementului este de a organiza și a implementa sistemul de control intern</w:t>
      </w:r>
      <w:r w:rsidRPr="00DD5F1D">
        <w:rPr>
          <w:rFonts w:ascii="Times New Roman" w:hAnsi="Times New Roman" w:cs="Times New Roman"/>
          <w:sz w:val="24"/>
          <w:szCs w:val="24"/>
          <w:vertAlign w:val="superscript"/>
          <w:lang w:val="ro-MD"/>
        </w:rPr>
        <w:footnoteReference w:id="152"/>
      </w:r>
      <w:r w:rsidRPr="00DD5F1D">
        <w:rPr>
          <w:rFonts w:ascii="Times New Roman" w:hAnsi="Times New Roman" w:cs="Times New Roman"/>
          <w:sz w:val="24"/>
          <w:szCs w:val="24"/>
          <w:lang w:val="ro-MD"/>
        </w:rPr>
        <w:t xml:space="preserve">, în scopul de a asigura desfășurarea și organizarea eficientă a activității entității, inclusiv respectarea strictă a integrității activelor, prevenirea și descoperirea cauzelor de fraudă și eroare, exactitatea și plenitudinea datelor raportate, precum </w:t>
      </w:r>
      <w:r w:rsidR="0081060A" w:rsidRPr="00DD5F1D">
        <w:rPr>
          <w:rFonts w:ascii="Times New Roman" w:hAnsi="Times New Roman" w:cs="Times New Roman"/>
          <w:sz w:val="24"/>
          <w:szCs w:val="24"/>
          <w:lang w:val="ro-MD"/>
        </w:rPr>
        <w:t>și</w:t>
      </w:r>
      <w:r w:rsidRPr="00DD5F1D">
        <w:rPr>
          <w:rFonts w:ascii="Times New Roman" w:hAnsi="Times New Roman" w:cs="Times New Roman"/>
          <w:sz w:val="24"/>
          <w:szCs w:val="24"/>
          <w:lang w:val="ro-MD"/>
        </w:rPr>
        <w:t xml:space="preserve"> pregătirea oportună a </w:t>
      </w:r>
      <w:r w:rsidR="0081060A" w:rsidRPr="00DD5F1D">
        <w:rPr>
          <w:rFonts w:ascii="Times New Roman" w:hAnsi="Times New Roman" w:cs="Times New Roman"/>
          <w:sz w:val="24"/>
          <w:szCs w:val="24"/>
          <w:lang w:val="ro-MD"/>
        </w:rPr>
        <w:t>informațiilor</w:t>
      </w:r>
      <w:r w:rsidRPr="00DD5F1D">
        <w:rPr>
          <w:rFonts w:ascii="Times New Roman" w:hAnsi="Times New Roman" w:cs="Times New Roman"/>
          <w:sz w:val="24"/>
          <w:szCs w:val="24"/>
          <w:lang w:val="ro-MD"/>
        </w:rPr>
        <w:t xml:space="preserve"> financiare credibile. Totodată, la întocmirea situațiilor financiare, conducerea este responsabilă de evaluarea capacității autorității de a-și continua activitatea în baza principiului continuității activității. </w:t>
      </w:r>
    </w:p>
    <w:p w14:paraId="64A8C8B3" w14:textId="77777777" w:rsidR="003664F4" w:rsidRPr="00DD5F1D" w:rsidRDefault="003664F4" w:rsidP="003664F4">
      <w:pPr>
        <w:keepNext/>
        <w:keepLines/>
        <w:numPr>
          <w:ilvl w:val="0"/>
          <w:numId w:val="2"/>
        </w:numPr>
        <w:spacing w:after="0" w:line="276" w:lineRule="auto"/>
        <w:jc w:val="both"/>
        <w:outlineLvl w:val="0"/>
        <w:rPr>
          <w:rFonts w:ascii="Times New Roman" w:eastAsiaTheme="majorEastAsia" w:hAnsi="Times New Roman" w:cs="Times New Roman"/>
          <w:b/>
          <w:sz w:val="24"/>
          <w:szCs w:val="24"/>
          <w:lang w:val="ro-MD"/>
        </w:rPr>
      </w:pPr>
      <w:bookmarkStart w:id="5" w:name="_Toc35000690"/>
      <w:r w:rsidRPr="00DD5F1D">
        <w:rPr>
          <w:rFonts w:ascii="Times New Roman" w:eastAsiaTheme="majorEastAsia" w:hAnsi="Times New Roman" w:cs="Times New Roman"/>
          <w:b/>
          <w:sz w:val="24"/>
          <w:szCs w:val="24"/>
          <w:lang w:val="ro-MD"/>
        </w:rPr>
        <w:t xml:space="preserve">RESPONSABILITĂȚILE AUDITORULUI ÎNTR-UN AUDIT AL RAPOARTELOR </w:t>
      </w:r>
      <w:bookmarkEnd w:id="5"/>
      <w:r w:rsidRPr="00DD5F1D">
        <w:rPr>
          <w:rFonts w:ascii="Times New Roman" w:eastAsiaTheme="majorEastAsia" w:hAnsi="Times New Roman" w:cs="Times New Roman"/>
          <w:b/>
          <w:sz w:val="24"/>
          <w:szCs w:val="24"/>
          <w:lang w:val="ro-MD"/>
        </w:rPr>
        <w:t>GUVERNULUI</w:t>
      </w:r>
    </w:p>
    <w:p w14:paraId="3A287815" w14:textId="77777777" w:rsidR="003664F4" w:rsidRPr="00DD5F1D" w:rsidRDefault="003664F4" w:rsidP="003664F4">
      <w:pPr>
        <w:autoSpaceDE w:val="0"/>
        <w:autoSpaceDN w:val="0"/>
        <w:adjustRightInd w:val="0"/>
        <w:spacing w:after="0" w:line="276" w:lineRule="auto"/>
        <w:ind w:right="-23"/>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nu sunt afectate de denaturări semnificative, cauzate de fraude sau erori, precum și emiterea unei opinii.</w:t>
      </w:r>
    </w:p>
    <w:p w14:paraId="3D939D8A" w14:textId="77777777" w:rsidR="003664F4" w:rsidRPr="00DD5F1D" w:rsidRDefault="003664F4" w:rsidP="003664F4">
      <w:pPr>
        <w:autoSpaceDE w:val="0"/>
        <w:autoSpaceDN w:val="0"/>
        <w:adjustRightInd w:val="0"/>
        <w:spacing w:after="0" w:line="276" w:lineRule="auto"/>
        <w:ind w:right="-23"/>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ca urmare a fraudelor sau erorilor. Totodată, denaturările pot fi considerate semnificative dacă, în mod individual sau în ansamblu, pot influența deciziile economice ale utilizatorilor acestor rapoarte financiare. </w:t>
      </w:r>
    </w:p>
    <w:p w14:paraId="630F7DCA" w14:textId="77777777" w:rsidR="003664F4" w:rsidRPr="00DD5F1D" w:rsidRDefault="003664F4" w:rsidP="003664F4">
      <w:pPr>
        <w:autoSpaceDE w:val="0"/>
        <w:autoSpaceDN w:val="0"/>
        <w:adjustRightInd w:val="0"/>
        <w:spacing w:after="0" w:line="276" w:lineRule="auto"/>
        <w:ind w:right="-23"/>
        <w:jc w:val="both"/>
        <w:rPr>
          <w:rFonts w:ascii="Times New Roman" w:hAnsi="Times New Roman" w:cs="Times New Roman"/>
          <w:color w:val="0000FF"/>
          <w:lang w:val="ro-MD"/>
        </w:rPr>
      </w:pPr>
      <w:r w:rsidRPr="00DD5F1D">
        <w:rPr>
          <w:rFonts w:ascii="Times New Roman" w:hAnsi="Times New Roman" w:cs="Times New Roman"/>
          <w:sz w:val="24"/>
          <w:szCs w:val="24"/>
          <w:lang w:val="ro-MD"/>
        </w:rPr>
        <w:t xml:space="preserve">O descriere suplimentară a responsabilităților auditorului într-un audit al rapoartelor financiare este plasată pe site-ul Curții de Conturi, la adresa: </w:t>
      </w:r>
      <w:hyperlink r:id="rId19" w:tgtFrame="_blank" w:history="1">
        <w:r w:rsidR="00995BD6" w:rsidRPr="00A93D77">
          <w:rPr>
            <w:rStyle w:val="af2"/>
            <w:rFonts w:ascii="Times New Roman" w:hAnsi="Times New Roman" w:cs="Times New Roman"/>
            <w:color w:val="0000FF"/>
            <w:sz w:val="24"/>
            <w:szCs w:val="24"/>
            <w:lang w:val="ro-MD"/>
          </w:rPr>
          <w:t>https://www.ccrm.md/ro/responsabilitati-in-auditul-financiar-3596.html</w:t>
        </w:r>
      </w:hyperlink>
      <w:r w:rsidR="00995BD6" w:rsidRPr="00DD5F1D">
        <w:rPr>
          <w:rFonts w:ascii="Times New Roman" w:hAnsi="Times New Roman" w:cs="Times New Roman"/>
          <w:color w:val="0000FF"/>
          <w:lang w:val="ro-MD"/>
        </w:rPr>
        <w:t xml:space="preserve"> </w:t>
      </w:r>
    </w:p>
    <w:p w14:paraId="6459933C" w14:textId="77777777" w:rsidR="003664F4" w:rsidRPr="00DD5F1D" w:rsidRDefault="003664F4" w:rsidP="003664F4">
      <w:pPr>
        <w:autoSpaceDE w:val="0"/>
        <w:autoSpaceDN w:val="0"/>
        <w:adjustRightInd w:val="0"/>
        <w:spacing w:after="0" w:line="276" w:lineRule="auto"/>
        <w:ind w:right="-23"/>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Această descriere face parte din Raportul nostru de audit.</w:t>
      </w:r>
    </w:p>
    <w:p w14:paraId="5B72515E" w14:textId="21281693" w:rsidR="00DF3043" w:rsidRDefault="00DF3043" w:rsidP="003664F4">
      <w:pPr>
        <w:spacing w:after="0" w:line="276" w:lineRule="auto"/>
        <w:rPr>
          <w:rFonts w:ascii="Times New Roman" w:hAnsi="Times New Roman" w:cs="Times New Roman"/>
          <w:b/>
          <w:sz w:val="24"/>
          <w:szCs w:val="24"/>
          <w:lang w:val="ro-MD"/>
        </w:rPr>
      </w:pPr>
    </w:p>
    <w:p w14:paraId="19F6D85A" w14:textId="30296C2C" w:rsidR="00C92EC2" w:rsidRDefault="00C92EC2" w:rsidP="003664F4">
      <w:pPr>
        <w:spacing w:after="0" w:line="276" w:lineRule="auto"/>
        <w:rPr>
          <w:rFonts w:ascii="Times New Roman" w:hAnsi="Times New Roman" w:cs="Times New Roman"/>
          <w:b/>
          <w:sz w:val="24"/>
          <w:szCs w:val="24"/>
          <w:lang w:val="ro-MD"/>
        </w:rPr>
      </w:pPr>
    </w:p>
    <w:p w14:paraId="4027ABF3" w14:textId="6E8BD4E2" w:rsidR="00C92EC2" w:rsidRDefault="00C92EC2" w:rsidP="003664F4">
      <w:pPr>
        <w:spacing w:after="0" w:line="276" w:lineRule="auto"/>
        <w:rPr>
          <w:rFonts w:ascii="Times New Roman" w:hAnsi="Times New Roman" w:cs="Times New Roman"/>
          <w:b/>
          <w:sz w:val="24"/>
          <w:szCs w:val="24"/>
          <w:lang w:val="ro-MD"/>
        </w:rPr>
      </w:pPr>
    </w:p>
    <w:p w14:paraId="0572E53B" w14:textId="07377D4B" w:rsidR="00C92EC2" w:rsidRDefault="00C92EC2" w:rsidP="003664F4">
      <w:pPr>
        <w:spacing w:after="0" w:line="276" w:lineRule="auto"/>
        <w:rPr>
          <w:rFonts w:ascii="Times New Roman" w:hAnsi="Times New Roman" w:cs="Times New Roman"/>
          <w:b/>
          <w:sz w:val="24"/>
          <w:szCs w:val="24"/>
          <w:lang w:val="ro-MD"/>
        </w:rPr>
      </w:pPr>
    </w:p>
    <w:p w14:paraId="76CE67F5" w14:textId="1FF25817" w:rsidR="00C92EC2" w:rsidRDefault="00C92EC2" w:rsidP="003664F4">
      <w:pPr>
        <w:spacing w:after="0" w:line="276" w:lineRule="auto"/>
        <w:rPr>
          <w:rFonts w:ascii="Times New Roman" w:hAnsi="Times New Roman" w:cs="Times New Roman"/>
          <w:b/>
          <w:sz w:val="24"/>
          <w:szCs w:val="24"/>
          <w:lang w:val="ro-MD"/>
        </w:rPr>
      </w:pPr>
    </w:p>
    <w:p w14:paraId="2F2A349C" w14:textId="10F1F3A9" w:rsidR="00C92EC2" w:rsidRDefault="00C92EC2" w:rsidP="003664F4">
      <w:pPr>
        <w:spacing w:after="0" w:line="276" w:lineRule="auto"/>
        <w:rPr>
          <w:rFonts w:ascii="Times New Roman" w:hAnsi="Times New Roman" w:cs="Times New Roman"/>
          <w:b/>
          <w:sz w:val="24"/>
          <w:szCs w:val="24"/>
          <w:lang w:val="ro-MD"/>
        </w:rPr>
      </w:pPr>
    </w:p>
    <w:p w14:paraId="2D1D4A5A" w14:textId="59DEF7EE" w:rsidR="00C92EC2" w:rsidRDefault="00C92EC2" w:rsidP="003664F4">
      <w:pPr>
        <w:spacing w:after="0" w:line="276" w:lineRule="auto"/>
        <w:rPr>
          <w:rFonts w:ascii="Times New Roman" w:hAnsi="Times New Roman" w:cs="Times New Roman"/>
          <w:b/>
          <w:sz w:val="24"/>
          <w:szCs w:val="24"/>
          <w:lang w:val="ro-MD"/>
        </w:rPr>
      </w:pPr>
    </w:p>
    <w:p w14:paraId="59DA419F" w14:textId="77777777" w:rsidR="00C92EC2" w:rsidRPr="00DD5F1D" w:rsidRDefault="00C92EC2" w:rsidP="003664F4">
      <w:pPr>
        <w:spacing w:after="0" w:line="276" w:lineRule="auto"/>
        <w:rPr>
          <w:rFonts w:ascii="Times New Roman" w:hAnsi="Times New Roman" w:cs="Times New Roman"/>
          <w:b/>
          <w:sz w:val="24"/>
          <w:szCs w:val="24"/>
          <w:lang w:val="ro-MD"/>
        </w:rPr>
      </w:pPr>
    </w:p>
    <w:p w14:paraId="16267A86" w14:textId="795B8251" w:rsidR="0038225D" w:rsidRPr="00DD5F1D" w:rsidRDefault="00F213F5" w:rsidP="00F213F5">
      <w:pPr>
        <w:spacing w:after="0" w:line="276" w:lineRule="auto"/>
        <w:rPr>
          <w:rFonts w:ascii="Times New Roman" w:hAnsi="Times New Roman" w:cs="Times New Roman"/>
          <w:b/>
          <w:sz w:val="24"/>
          <w:szCs w:val="24"/>
          <w:lang w:val="ro-MD"/>
        </w:rPr>
      </w:pPr>
      <w:r w:rsidRPr="00DD5F1D">
        <w:rPr>
          <w:rFonts w:ascii="Times New Roman" w:hAnsi="Times New Roman" w:cs="Times New Roman"/>
          <w:b/>
          <w:sz w:val="24"/>
          <w:szCs w:val="24"/>
          <w:lang w:val="ro-MD"/>
        </w:rPr>
        <w:t>Semnătura auditorului</w:t>
      </w:r>
    </w:p>
    <w:p w14:paraId="5D371F79" w14:textId="77777777" w:rsidR="003664F4" w:rsidRPr="00DD5F1D" w:rsidRDefault="003664F4" w:rsidP="003664F4">
      <w:pPr>
        <w:spacing w:after="0" w:line="276" w:lineRule="auto"/>
        <w:jc w:val="both"/>
        <w:rPr>
          <w:rFonts w:ascii="Times New Roman" w:hAnsi="Times New Roman" w:cs="Times New Roman"/>
          <w:b/>
          <w:bCs/>
          <w:iCs/>
          <w:sz w:val="24"/>
          <w:szCs w:val="24"/>
          <w:lang w:val="ro-MD"/>
        </w:rPr>
      </w:pPr>
      <w:r w:rsidRPr="00DD5F1D">
        <w:rPr>
          <w:rFonts w:ascii="Times New Roman" w:hAnsi="Times New Roman" w:cs="Times New Roman"/>
          <w:b/>
          <w:bCs/>
          <w:iCs/>
          <w:sz w:val="24"/>
          <w:szCs w:val="24"/>
          <w:lang w:val="ro-MD"/>
        </w:rPr>
        <w:t>Echipa de audit:</w:t>
      </w:r>
    </w:p>
    <w:p w14:paraId="26BF5906" w14:textId="77777777" w:rsidR="003664F4" w:rsidRPr="00DD5F1D" w:rsidRDefault="003664F4" w:rsidP="003664F4">
      <w:pPr>
        <w:tabs>
          <w:tab w:val="left" w:pos="1080"/>
        </w:tabs>
        <w:spacing w:after="0" w:line="276" w:lineRule="auto"/>
        <w:contextualSpacing/>
        <w:jc w:val="both"/>
        <w:rPr>
          <w:rFonts w:ascii="Times New Roman" w:hAnsi="Times New Roman" w:cs="Times New Roman"/>
          <w:bCs/>
          <w:iCs/>
          <w:sz w:val="24"/>
          <w:szCs w:val="24"/>
          <w:lang w:val="ro-MD"/>
        </w:rPr>
      </w:pPr>
      <w:r w:rsidRPr="00DD5F1D">
        <w:rPr>
          <w:rFonts w:ascii="Times New Roman" w:hAnsi="Times New Roman" w:cs="Times New Roman"/>
          <w:bCs/>
          <w:iCs/>
          <w:sz w:val="24"/>
          <w:szCs w:val="24"/>
          <w:lang w:val="ro-MD"/>
        </w:rPr>
        <w:t xml:space="preserve">Șefa echipei de audit, </w:t>
      </w:r>
    </w:p>
    <w:p w14:paraId="15C6FC85" w14:textId="77777777" w:rsidR="003664F4" w:rsidRPr="00DD5F1D" w:rsidRDefault="003664F4" w:rsidP="003664F4">
      <w:pPr>
        <w:tabs>
          <w:tab w:val="left" w:pos="1080"/>
        </w:tabs>
        <w:spacing w:after="0" w:line="276" w:lineRule="auto"/>
        <w:contextualSpacing/>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Șefa Direcției de audit I </w:t>
      </w:r>
    </w:p>
    <w:p w14:paraId="0DD23CC8" w14:textId="77777777" w:rsidR="003664F4" w:rsidRPr="00DD5F1D" w:rsidRDefault="003664F4" w:rsidP="003664F4">
      <w:pPr>
        <w:tabs>
          <w:tab w:val="left" w:pos="1080"/>
        </w:tabs>
        <w:spacing w:after="0" w:line="276" w:lineRule="auto"/>
        <w:contextualSpacing/>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în cadrul Direcției generale de audit II,</w:t>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t>Irina Rogaciov</w:t>
      </w:r>
      <w:r w:rsidRPr="00DD5F1D">
        <w:rPr>
          <w:rFonts w:ascii="Times New Roman" w:hAnsi="Times New Roman" w:cs="Times New Roman"/>
          <w:sz w:val="24"/>
          <w:szCs w:val="24"/>
          <w:lang w:val="ro-MD"/>
        </w:rPr>
        <w:tab/>
      </w:r>
    </w:p>
    <w:p w14:paraId="55727C8D" w14:textId="77777777" w:rsidR="003664F4" w:rsidRPr="00DD5F1D" w:rsidRDefault="003664F4" w:rsidP="003664F4">
      <w:pPr>
        <w:tabs>
          <w:tab w:val="left" w:pos="1080"/>
        </w:tabs>
        <w:spacing w:after="0" w:line="276" w:lineRule="auto"/>
        <w:contextualSpacing/>
        <w:jc w:val="both"/>
        <w:rPr>
          <w:rFonts w:ascii="Times New Roman" w:hAnsi="Times New Roman" w:cs="Times New Roman"/>
          <w:sz w:val="24"/>
          <w:szCs w:val="24"/>
          <w:lang w:val="ro-MD"/>
        </w:rPr>
      </w:pPr>
    </w:p>
    <w:p w14:paraId="24211A65" w14:textId="77777777" w:rsidR="003664F4" w:rsidRPr="00DD5F1D" w:rsidRDefault="003664F4" w:rsidP="003664F4">
      <w:pPr>
        <w:tabs>
          <w:tab w:val="left" w:pos="1080"/>
        </w:tabs>
        <w:spacing w:after="0" w:line="276" w:lineRule="auto"/>
        <w:contextualSpacing/>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Auditoare publică principală,</w:t>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t>Viorica Rațoi</w:t>
      </w:r>
      <w:r w:rsidRPr="00DD5F1D">
        <w:rPr>
          <w:rFonts w:ascii="Times New Roman" w:hAnsi="Times New Roman" w:cs="Times New Roman"/>
          <w:sz w:val="24"/>
          <w:szCs w:val="24"/>
          <w:lang w:val="ro-MD"/>
        </w:rPr>
        <w:tab/>
        <w:t xml:space="preserve"> </w:t>
      </w:r>
    </w:p>
    <w:p w14:paraId="24FE611F" w14:textId="77777777" w:rsidR="003664F4" w:rsidRPr="00DD5F1D" w:rsidRDefault="003664F4" w:rsidP="003664F4">
      <w:pPr>
        <w:tabs>
          <w:tab w:val="left" w:pos="1080"/>
        </w:tabs>
        <w:spacing w:after="0" w:line="276" w:lineRule="auto"/>
        <w:contextualSpacing/>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Auditoare publică </w:t>
      </w:r>
      <w:r w:rsidR="00F84019" w:rsidRPr="00DD5F1D">
        <w:rPr>
          <w:rFonts w:ascii="Times New Roman" w:hAnsi="Times New Roman" w:cs="Times New Roman"/>
          <w:sz w:val="24"/>
          <w:szCs w:val="24"/>
          <w:lang w:val="ro-MD"/>
        </w:rPr>
        <w:t>principală</w:t>
      </w:r>
      <w:r w:rsidRPr="00DD5F1D">
        <w:rPr>
          <w:rFonts w:ascii="Times New Roman" w:hAnsi="Times New Roman" w:cs="Times New Roman"/>
          <w:sz w:val="24"/>
          <w:szCs w:val="24"/>
          <w:lang w:val="ro-MD"/>
        </w:rPr>
        <w:t>,</w:t>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t>Ana Miron</w:t>
      </w:r>
    </w:p>
    <w:p w14:paraId="4DE0A03A" w14:textId="77777777" w:rsidR="003664F4" w:rsidRPr="00DD5F1D" w:rsidRDefault="003664F4" w:rsidP="003664F4">
      <w:pPr>
        <w:tabs>
          <w:tab w:val="left" w:pos="1080"/>
        </w:tabs>
        <w:spacing w:after="0" w:line="276" w:lineRule="auto"/>
        <w:contextualSpacing/>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Auditoare publică superioară,</w:t>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00256416" w:rsidRPr="00DD5F1D">
        <w:rPr>
          <w:rFonts w:ascii="Times New Roman" w:hAnsi="Times New Roman" w:cs="Times New Roman"/>
          <w:sz w:val="24"/>
          <w:szCs w:val="24"/>
          <w:lang w:val="ro-MD"/>
        </w:rPr>
        <w:t>Natalia Bucos</w:t>
      </w:r>
    </w:p>
    <w:p w14:paraId="3D6FB33A" w14:textId="77777777" w:rsidR="003664F4" w:rsidRPr="00DD5F1D" w:rsidRDefault="003664F4" w:rsidP="003664F4">
      <w:pPr>
        <w:spacing w:after="0" w:line="276" w:lineRule="auto"/>
        <w:rPr>
          <w:rFonts w:ascii="Times New Roman" w:hAnsi="Times New Roman" w:cs="Times New Roman"/>
          <w:b/>
          <w:bCs/>
          <w:iCs/>
          <w:sz w:val="24"/>
          <w:szCs w:val="24"/>
          <w:lang w:val="ro-MD"/>
        </w:rPr>
      </w:pPr>
    </w:p>
    <w:p w14:paraId="013B8FF7" w14:textId="77777777" w:rsidR="003664F4" w:rsidRPr="00DD5F1D" w:rsidRDefault="00F84019" w:rsidP="003664F4">
      <w:pPr>
        <w:spacing w:after="0" w:line="276" w:lineRule="auto"/>
        <w:rPr>
          <w:rFonts w:ascii="Times New Roman" w:hAnsi="Times New Roman" w:cs="Times New Roman"/>
          <w:b/>
          <w:bCs/>
          <w:iCs/>
          <w:sz w:val="24"/>
          <w:szCs w:val="24"/>
          <w:lang w:val="ro-MD"/>
        </w:rPr>
      </w:pPr>
      <w:r w:rsidRPr="00DD5F1D">
        <w:rPr>
          <w:rFonts w:ascii="Times New Roman" w:hAnsi="Times New Roman" w:cs="Times New Roman"/>
          <w:b/>
          <w:bCs/>
          <w:iCs/>
          <w:sz w:val="24"/>
          <w:szCs w:val="24"/>
          <w:lang w:val="ro-MD"/>
        </w:rPr>
        <w:t>Partenera misiunii de audit</w:t>
      </w:r>
      <w:r w:rsidR="003664F4" w:rsidRPr="00DD5F1D">
        <w:rPr>
          <w:rFonts w:ascii="Times New Roman" w:hAnsi="Times New Roman" w:cs="Times New Roman"/>
          <w:b/>
          <w:bCs/>
          <w:iCs/>
          <w:sz w:val="24"/>
          <w:szCs w:val="24"/>
          <w:lang w:val="ro-MD"/>
        </w:rPr>
        <w:t xml:space="preserve">: </w:t>
      </w:r>
    </w:p>
    <w:p w14:paraId="650EACAD" w14:textId="77777777" w:rsidR="003664F4" w:rsidRPr="00DD5F1D" w:rsidRDefault="003664F4" w:rsidP="003664F4">
      <w:pPr>
        <w:tabs>
          <w:tab w:val="left" w:pos="1080"/>
        </w:tabs>
        <w:spacing w:after="0" w:line="276" w:lineRule="auto"/>
        <w:contextualSpacing/>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Șefa Direcției generale de audit II,</w:t>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r>
      <w:r w:rsidRPr="00DD5F1D">
        <w:rPr>
          <w:rFonts w:ascii="Times New Roman" w:hAnsi="Times New Roman" w:cs="Times New Roman"/>
          <w:sz w:val="24"/>
          <w:szCs w:val="24"/>
          <w:lang w:val="ro-MD"/>
        </w:rPr>
        <w:tab/>
        <w:t xml:space="preserve">Sofia Ciuvalschi </w:t>
      </w:r>
    </w:p>
    <w:p w14:paraId="7F0360A8" w14:textId="77777777" w:rsidR="000D40B3" w:rsidRPr="00DD5F1D" w:rsidRDefault="000D40B3" w:rsidP="000A307A">
      <w:pPr>
        <w:rPr>
          <w:rFonts w:ascii="Times New Roman" w:hAnsi="Times New Roman" w:cs="Times New Roman"/>
          <w:lang w:val="ro-MD"/>
        </w:rPr>
        <w:sectPr w:rsidR="000D40B3" w:rsidRPr="00DD5F1D" w:rsidSect="00DE27FA">
          <w:footerReference w:type="default" r:id="rId20"/>
          <w:type w:val="continuous"/>
          <w:pgSz w:w="12240" w:h="15840"/>
          <w:pgMar w:top="1140" w:right="851" w:bottom="1140" w:left="1355" w:header="720" w:footer="720" w:gutter="0"/>
          <w:cols w:space="720"/>
          <w:titlePg/>
          <w:docGrid w:linePitch="360"/>
        </w:sectPr>
      </w:pPr>
    </w:p>
    <w:p w14:paraId="3FA00358" w14:textId="77777777" w:rsidR="00FA0814" w:rsidRPr="00DD5F1D" w:rsidRDefault="00FA0814" w:rsidP="009E3494">
      <w:pPr>
        <w:pStyle w:val="2"/>
        <w:jc w:val="right"/>
        <w:rPr>
          <w:rFonts w:ascii="Times New Roman" w:eastAsia="Times New Roman" w:hAnsi="Times New Roman" w:cs="Times New Roman"/>
          <w:b/>
          <w:color w:val="000000" w:themeColor="text1"/>
          <w:sz w:val="24"/>
          <w:szCs w:val="24"/>
          <w:lang w:val="ro-MD"/>
        </w:rPr>
      </w:pPr>
      <w:r w:rsidRPr="00DD5F1D">
        <w:rPr>
          <w:rFonts w:ascii="Times New Roman" w:eastAsia="Times New Roman" w:hAnsi="Times New Roman" w:cs="Times New Roman"/>
          <w:b/>
          <w:color w:val="000000" w:themeColor="text1"/>
          <w:sz w:val="24"/>
          <w:szCs w:val="24"/>
          <w:lang w:val="ro-MD"/>
        </w:rPr>
        <w:t>Anexa nr. 1</w:t>
      </w:r>
    </w:p>
    <w:p w14:paraId="78AD199D" w14:textId="77777777" w:rsidR="00FA0814" w:rsidRPr="00DD5F1D" w:rsidRDefault="00FA0814" w:rsidP="00FA0814">
      <w:pPr>
        <w:pStyle w:val="a6"/>
        <w:tabs>
          <w:tab w:val="left" w:pos="162"/>
        </w:tabs>
        <w:spacing w:line="276" w:lineRule="auto"/>
        <w:ind w:firstLine="0"/>
        <w:jc w:val="center"/>
        <w:rPr>
          <w:b/>
          <w:lang w:val="ro-MD"/>
        </w:rPr>
      </w:pPr>
      <w:r w:rsidRPr="00DD5F1D">
        <w:rPr>
          <w:b/>
          <w:lang w:val="ro-MD"/>
        </w:rPr>
        <w:t xml:space="preserve">Evoluția executării bugetului asigurărilor sociale de stat în perioada 2019-2023 </w:t>
      </w:r>
    </w:p>
    <w:tbl>
      <w:tblPr>
        <w:tblStyle w:val="af1"/>
        <w:tblW w:w="10258" w:type="dxa"/>
        <w:tblLayout w:type="fixed"/>
        <w:tblLook w:val="04A0" w:firstRow="1" w:lastRow="0" w:firstColumn="1" w:lastColumn="0" w:noHBand="0" w:noVBand="1"/>
      </w:tblPr>
      <w:tblGrid>
        <w:gridCol w:w="2196"/>
        <w:gridCol w:w="1099"/>
        <w:gridCol w:w="1572"/>
        <w:gridCol w:w="1355"/>
        <w:gridCol w:w="1428"/>
        <w:gridCol w:w="1305"/>
        <w:gridCol w:w="1303"/>
      </w:tblGrid>
      <w:tr w:rsidR="00FA0814" w:rsidRPr="00DD5F1D" w14:paraId="177B710E" w14:textId="77777777" w:rsidTr="00A4476B">
        <w:trPr>
          <w:trHeight w:val="17"/>
        </w:trPr>
        <w:tc>
          <w:tcPr>
            <w:tcW w:w="2196" w:type="dxa"/>
            <w:vMerge w:val="restart"/>
            <w:hideMark/>
          </w:tcPr>
          <w:p w14:paraId="23BC834A" w14:textId="77777777" w:rsidR="00FA0814" w:rsidRPr="00DD5F1D" w:rsidRDefault="00FA0814" w:rsidP="00A4476B">
            <w:pPr>
              <w:spacing w:line="276" w:lineRule="auto"/>
              <w:jc w:val="both"/>
              <w:rPr>
                <w:rFonts w:ascii="Times New Roman" w:hAnsi="Times New Roman" w:cs="Times New Roman"/>
                <w:b/>
                <w:i/>
                <w:szCs w:val="24"/>
                <w:lang w:val="ro-MD"/>
              </w:rPr>
            </w:pPr>
            <w:r w:rsidRPr="00DD5F1D">
              <w:rPr>
                <w:rFonts w:ascii="Times New Roman" w:hAnsi="Times New Roman" w:cs="Times New Roman"/>
                <w:b/>
                <w:i/>
                <w:szCs w:val="24"/>
                <w:lang w:val="ro-MD"/>
              </w:rPr>
              <w:t> </w:t>
            </w:r>
          </w:p>
        </w:tc>
        <w:tc>
          <w:tcPr>
            <w:tcW w:w="1099" w:type="dxa"/>
            <w:vMerge w:val="restart"/>
            <w:vAlign w:val="center"/>
            <w:hideMark/>
          </w:tcPr>
          <w:p w14:paraId="12056D0D" w14:textId="77777777" w:rsidR="00FA0814" w:rsidRPr="00DD5F1D" w:rsidRDefault="00FA0814" w:rsidP="00A4476B">
            <w:pPr>
              <w:spacing w:line="276" w:lineRule="auto"/>
              <w:jc w:val="center"/>
              <w:rPr>
                <w:rFonts w:ascii="Times New Roman" w:hAnsi="Times New Roman" w:cs="Times New Roman"/>
                <w:b/>
                <w:bCs/>
                <w:i/>
                <w:szCs w:val="24"/>
                <w:lang w:val="ro-MD"/>
              </w:rPr>
            </w:pPr>
            <w:r w:rsidRPr="00DD5F1D">
              <w:rPr>
                <w:rFonts w:ascii="Times New Roman" w:hAnsi="Times New Roman" w:cs="Times New Roman"/>
                <w:b/>
                <w:bCs/>
                <w:i/>
                <w:szCs w:val="24"/>
                <w:lang w:val="ro-MD"/>
              </w:rPr>
              <w:t>Unitatea de măsură</w:t>
            </w:r>
          </w:p>
        </w:tc>
        <w:tc>
          <w:tcPr>
            <w:tcW w:w="6963" w:type="dxa"/>
            <w:gridSpan w:val="5"/>
            <w:hideMark/>
          </w:tcPr>
          <w:p w14:paraId="753543EA" w14:textId="77777777" w:rsidR="00FA0814" w:rsidRPr="00DD5F1D" w:rsidRDefault="00FA0814" w:rsidP="00A4476B">
            <w:pPr>
              <w:spacing w:line="276" w:lineRule="auto"/>
              <w:jc w:val="center"/>
              <w:rPr>
                <w:rFonts w:ascii="Times New Roman" w:hAnsi="Times New Roman" w:cs="Times New Roman"/>
                <w:b/>
                <w:bCs/>
                <w:i/>
                <w:szCs w:val="24"/>
                <w:lang w:val="ro-MD"/>
              </w:rPr>
            </w:pPr>
            <w:r w:rsidRPr="00DD5F1D">
              <w:rPr>
                <w:rFonts w:ascii="Times New Roman" w:hAnsi="Times New Roman" w:cs="Times New Roman"/>
                <w:b/>
                <w:bCs/>
                <w:i/>
                <w:szCs w:val="24"/>
                <w:lang w:val="ro-MD"/>
              </w:rPr>
              <w:t>Executat</w:t>
            </w:r>
          </w:p>
        </w:tc>
      </w:tr>
      <w:tr w:rsidR="00FA0814" w:rsidRPr="00DD5F1D" w14:paraId="1D3C7788" w14:textId="77777777" w:rsidTr="00A4476B">
        <w:trPr>
          <w:trHeight w:val="17"/>
        </w:trPr>
        <w:tc>
          <w:tcPr>
            <w:tcW w:w="2196" w:type="dxa"/>
            <w:vMerge/>
            <w:hideMark/>
          </w:tcPr>
          <w:p w14:paraId="75ACE21A" w14:textId="77777777" w:rsidR="00FA0814" w:rsidRPr="00DD5F1D" w:rsidRDefault="00FA0814" w:rsidP="00A4476B">
            <w:pPr>
              <w:spacing w:line="276" w:lineRule="auto"/>
              <w:jc w:val="both"/>
              <w:rPr>
                <w:rFonts w:ascii="Times New Roman" w:hAnsi="Times New Roman" w:cs="Times New Roman"/>
                <w:b/>
                <w:i/>
                <w:szCs w:val="24"/>
                <w:lang w:val="ro-MD"/>
              </w:rPr>
            </w:pPr>
          </w:p>
        </w:tc>
        <w:tc>
          <w:tcPr>
            <w:tcW w:w="1099" w:type="dxa"/>
            <w:vMerge/>
            <w:hideMark/>
          </w:tcPr>
          <w:p w14:paraId="046AEC3F" w14:textId="77777777" w:rsidR="00FA0814" w:rsidRPr="00DD5F1D" w:rsidRDefault="00FA0814" w:rsidP="00A4476B">
            <w:pPr>
              <w:spacing w:line="276" w:lineRule="auto"/>
              <w:jc w:val="both"/>
              <w:rPr>
                <w:rFonts w:ascii="Times New Roman" w:hAnsi="Times New Roman" w:cs="Times New Roman"/>
                <w:b/>
                <w:bCs/>
                <w:i/>
                <w:szCs w:val="24"/>
                <w:lang w:val="ro-MD"/>
              </w:rPr>
            </w:pPr>
          </w:p>
        </w:tc>
        <w:tc>
          <w:tcPr>
            <w:tcW w:w="1572" w:type="dxa"/>
            <w:vAlign w:val="center"/>
          </w:tcPr>
          <w:p w14:paraId="14F5D67A" w14:textId="77777777" w:rsidR="00FA0814" w:rsidRPr="00DD5F1D" w:rsidRDefault="00FA0814" w:rsidP="00A4476B">
            <w:pPr>
              <w:spacing w:line="276" w:lineRule="auto"/>
              <w:jc w:val="center"/>
              <w:rPr>
                <w:rFonts w:ascii="Times New Roman" w:hAnsi="Times New Roman" w:cs="Times New Roman"/>
                <w:b/>
                <w:bCs/>
                <w:i/>
                <w:szCs w:val="24"/>
                <w:lang w:val="ro-MD"/>
              </w:rPr>
            </w:pPr>
            <w:r w:rsidRPr="00DD5F1D">
              <w:rPr>
                <w:rFonts w:ascii="Times New Roman" w:hAnsi="Times New Roman" w:cs="Times New Roman"/>
                <w:b/>
                <w:bCs/>
                <w:i/>
                <w:szCs w:val="24"/>
                <w:lang w:val="ro-MD"/>
              </w:rPr>
              <w:t>2019</w:t>
            </w:r>
          </w:p>
        </w:tc>
        <w:tc>
          <w:tcPr>
            <w:tcW w:w="1355" w:type="dxa"/>
            <w:vAlign w:val="center"/>
          </w:tcPr>
          <w:p w14:paraId="3631B287" w14:textId="77777777" w:rsidR="00FA0814" w:rsidRPr="00DD5F1D" w:rsidRDefault="00FA0814" w:rsidP="00A4476B">
            <w:pPr>
              <w:spacing w:line="276" w:lineRule="auto"/>
              <w:jc w:val="center"/>
              <w:rPr>
                <w:rFonts w:ascii="Times New Roman" w:hAnsi="Times New Roman" w:cs="Times New Roman"/>
                <w:b/>
                <w:bCs/>
                <w:i/>
                <w:szCs w:val="24"/>
                <w:lang w:val="ro-MD"/>
              </w:rPr>
            </w:pPr>
            <w:r w:rsidRPr="00DD5F1D">
              <w:rPr>
                <w:rFonts w:ascii="Times New Roman" w:hAnsi="Times New Roman" w:cs="Times New Roman"/>
                <w:b/>
                <w:bCs/>
                <w:i/>
                <w:szCs w:val="24"/>
                <w:lang w:val="ro-MD"/>
              </w:rPr>
              <w:t>2020</w:t>
            </w:r>
          </w:p>
        </w:tc>
        <w:tc>
          <w:tcPr>
            <w:tcW w:w="1428" w:type="dxa"/>
            <w:vAlign w:val="center"/>
          </w:tcPr>
          <w:p w14:paraId="2B9AC554" w14:textId="77777777" w:rsidR="00FA0814" w:rsidRPr="00DD5F1D" w:rsidRDefault="00FA0814" w:rsidP="00A4476B">
            <w:pPr>
              <w:spacing w:line="276" w:lineRule="auto"/>
              <w:jc w:val="center"/>
              <w:rPr>
                <w:rFonts w:ascii="Times New Roman" w:hAnsi="Times New Roman" w:cs="Times New Roman"/>
                <w:b/>
                <w:bCs/>
                <w:i/>
                <w:szCs w:val="24"/>
                <w:lang w:val="ro-MD"/>
              </w:rPr>
            </w:pPr>
            <w:r w:rsidRPr="00DD5F1D">
              <w:rPr>
                <w:rFonts w:ascii="Times New Roman" w:hAnsi="Times New Roman" w:cs="Times New Roman"/>
                <w:b/>
                <w:bCs/>
                <w:i/>
                <w:szCs w:val="24"/>
                <w:lang w:val="ro-MD"/>
              </w:rPr>
              <w:t>2021</w:t>
            </w:r>
          </w:p>
        </w:tc>
        <w:tc>
          <w:tcPr>
            <w:tcW w:w="1305" w:type="dxa"/>
            <w:vAlign w:val="center"/>
          </w:tcPr>
          <w:p w14:paraId="6B90EAA6" w14:textId="77777777" w:rsidR="00FA0814" w:rsidRPr="00DD5F1D" w:rsidRDefault="00FA0814" w:rsidP="00A4476B">
            <w:pPr>
              <w:spacing w:line="276" w:lineRule="auto"/>
              <w:jc w:val="center"/>
              <w:rPr>
                <w:rFonts w:ascii="Times New Roman" w:hAnsi="Times New Roman" w:cs="Times New Roman"/>
                <w:b/>
                <w:bCs/>
                <w:i/>
                <w:szCs w:val="24"/>
                <w:lang w:val="ro-MD"/>
              </w:rPr>
            </w:pPr>
            <w:r w:rsidRPr="00DD5F1D">
              <w:rPr>
                <w:rFonts w:ascii="Times New Roman" w:hAnsi="Times New Roman" w:cs="Times New Roman"/>
                <w:b/>
                <w:bCs/>
                <w:i/>
                <w:szCs w:val="24"/>
                <w:lang w:val="ro-MD"/>
              </w:rPr>
              <w:t>2022</w:t>
            </w:r>
          </w:p>
        </w:tc>
        <w:tc>
          <w:tcPr>
            <w:tcW w:w="1303" w:type="dxa"/>
            <w:vAlign w:val="center"/>
          </w:tcPr>
          <w:p w14:paraId="3186D8EB" w14:textId="77777777" w:rsidR="00FA0814" w:rsidRPr="00DD5F1D" w:rsidRDefault="00FA0814" w:rsidP="00A4476B">
            <w:pPr>
              <w:spacing w:line="276" w:lineRule="auto"/>
              <w:jc w:val="center"/>
              <w:rPr>
                <w:rFonts w:ascii="Times New Roman" w:hAnsi="Times New Roman" w:cs="Times New Roman"/>
                <w:b/>
                <w:bCs/>
                <w:i/>
                <w:szCs w:val="24"/>
                <w:lang w:val="ro-MD"/>
              </w:rPr>
            </w:pPr>
            <w:r w:rsidRPr="00DD5F1D">
              <w:rPr>
                <w:rFonts w:ascii="Times New Roman" w:hAnsi="Times New Roman" w:cs="Times New Roman"/>
                <w:b/>
                <w:bCs/>
                <w:i/>
                <w:szCs w:val="24"/>
                <w:lang w:val="ro-MD"/>
              </w:rPr>
              <w:t>2023</w:t>
            </w:r>
          </w:p>
        </w:tc>
      </w:tr>
      <w:tr w:rsidR="00FA0814" w:rsidRPr="00DD5F1D" w14:paraId="2D04C719" w14:textId="77777777" w:rsidTr="00A4476B">
        <w:trPr>
          <w:trHeight w:val="17"/>
        </w:trPr>
        <w:tc>
          <w:tcPr>
            <w:tcW w:w="2196" w:type="dxa"/>
            <w:hideMark/>
          </w:tcPr>
          <w:p w14:paraId="33C24CD0" w14:textId="77777777" w:rsidR="00FA0814" w:rsidRPr="00DD5F1D" w:rsidRDefault="00FA0814" w:rsidP="00A4476B">
            <w:pPr>
              <w:spacing w:line="276" w:lineRule="auto"/>
              <w:jc w:val="both"/>
              <w:rPr>
                <w:rFonts w:ascii="Times New Roman" w:hAnsi="Times New Roman" w:cs="Times New Roman"/>
                <w:b/>
                <w:bCs/>
                <w:i/>
                <w:iCs/>
                <w:szCs w:val="24"/>
                <w:lang w:val="ro-MD"/>
              </w:rPr>
            </w:pPr>
            <w:r w:rsidRPr="00DD5F1D">
              <w:rPr>
                <w:rFonts w:ascii="Times New Roman" w:hAnsi="Times New Roman" w:cs="Times New Roman"/>
                <w:b/>
                <w:bCs/>
                <w:i/>
                <w:iCs/>
                <w:szCs w:val="24"/>
                <w:lang w:val="ro-MD"/>
              </w:rPr>
              <w:t>PIB</w:t>
            </w:r>
          </w:p>
        </w:tc>
        <w:tc>
          <w:tcPr>
            <w:tcW w:w="1099" w:type="dxa"/>
            <w:vAlign w:val="center"/>
            <w:hideMark/>
          </w:tcPr>
          <w:p w14:paraId="40098813" w14:textId="77777777" w:rsidR="00FA0814" w:rsidRPr="00DD5F1D" w:rsidRDefault="00FA0814" w:rsidP="00A4476B">
            <w:pPr>
              <w:spacing w:line="276" w:lineRule="auto"/>
              <w:jc w:val="center"/>
              <w:rPr>
                <w:rFonts w:ascii="Times New Roman" w:hAnsi="Times New Roman" w:cs="Times New Roman"/>
                <w:bCs/>
                <w:i/>
                <w:iCs/>
                <w:szCs w:val="24"/>
                <w:lang w:val="ro-MD"/>
              </w:rPr>
            </w:pPr>
            <w:r w:rsidRPr="00DD5F1D">
              <w:rPr>
                <w:rFonts w:ascii="Times New Roman" w:hAnsi="Times New Roman" w:cs="Times New Roman"/>
                <w:bCs/>
                <w:i/>
                <w:iCs/>
                <w:szCs w:val="24"/>
                <w:lang w:val="ro-MD"/>
              </w:rPr>
              <w:t>mil.lei</w:t>
            </w:r>
          </w:p>
        </w:tc>
        <w:tc>
          <w:tcPr>
            <w:tcW w:w="1572" w:type="dxa"/>
            <w:noWrap/>
            <w:vAlign w:val="bottom"/>
          </w:tcPr>
          <w:p w14:paraId="48B629CD"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210 378,0</w:t>
            </w:r>
          </w:p>
        </w:tc>
        <w:tc>
          <w:tcPr>
            <w:tcW w:w="1355" w:type="dxa"/>
            <w:noWrap/>
            <w:vAlign w:val="bottom"/>
          </w:tcPr>
          <w:p w14:paraId="0F6E82B4"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205 432,3</w:t>
            </w:r>
          </w:p>
        </w:tc>
        <w:tc>
          <w:tcPr>
            <w:tcW w:w="1428" w:type="dxa"/>
            <w:noWrap/>
            <w:vAlign w:val="bottom"/>
          </w:tcPr>
          <w:p w14:paraId="1D98F614"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241 871,0</w:t>
            </w:r>
          </w:p>
        </w:tc>
        <w:tc>
          <w:tcPr>
            <w:tcW w:w="1305" w:type="dxa"/>
            <w:vAlign w:val="bottom"/>
          </w:tcPr>
          <w:p w14:paraId="10252A12"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272 555,9</w:t>
            </w:r>
          </w:p>
        </w:tc>
        <w:tc>
          <w:tcPr>
            <w:tcW w:w="1303" w:type="dxa"/>
            <w:vAlign w:val="bottom"/>
          </w:tcPr>
          <w:p w14:paraId="7CCBAEFB"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 xml:space="preserve">300 421,0 </w:t>
            </w:r>
          </w:p>
        </w:tc>
      </w:tr>
      <w:tr w:rsidR="00FA0814" w:rsidRPr="00DD5F1D" w14:paraId="68AD1DA7" w14:textId="77777777" w:rsidTr="00A4476B">
        <w:trPr>
          <w:trHeight w:val="17"/>
        </w:trPr>
        <w:tc>
          <w:tcPr>
            <w:tcW w:w="2196" w:type="dxa"/>
            <w:hideMark/>
          </w:tcPr>
          <w:p w14:paraId="2B56E3EC" w14:textId="77777777" w:rsidR="00FA0814" w:rsidRPr="00DD5F1D" w:rsidRDefault="00FA0814" w:rsidP="00A4476B">
            <w:pPr>
              <w:spacing w:line="276" w:lineRule="auto"/>
              <w:jc w:val="both"/>
              <w:rPr>
                <w:rFonts w:ascii="Times New Roman" w:hAnsi="Times New Roman" w:cs="Times New Roman"/>
                <w:b/>
                <w:bCs/>
                <w:i/>
                <w:iCs/>
                <w:szCs w:val="24"/>
                <w:lang w:val="ro-MD"/>
              </w:rPr>
            </w:pPr>
            <w:r w:rsidRPr="00DD5F1D">
              <w:rPr>
                <w:rFonts w:ascii="Times New Roman" w:hAnsi="Times New Roman" w:cs="Times New Roman"/>
                <w:b/>
                <w:bCs/>
                <w:i/>
                <w:iCs/>
                <w:szCs w:val="24"/>
                <w:lang w:val="ro-MD"/>
              </w:rPr>
              <w:t>BPN, venituri</w:t>
            </w:r>
          </w:p>
        </w:tc>
        <w:tc>
          <w:tcPr>
            <w:tcW w:w="1099" w:type="dxa"/>
            <w:vAlign w:val="center"/>
            <w:hideMark/>
          </w:tcPr>
          <w:p w14:paraId="3F72A668" w14:textId="77777777" w:rsidR="00FA0814" w:rsidRPr="00DD5F1D" w:rsidRDefault="00FA0814" w:rsidP="00A4476B">
            <w:pPr>
              <w:spacing w:line="276" w:lineRule="auto"/>
              <w:jc w:val="center"/>
              <w:rPr>
                <w:rFonts w:ascii="Times New Roman" w:hAnsi="Times New Roman" w:cs="Times New Roman"/>
                <w:bCs/>
                <w:i/>
                <w:iCs/>
                <w:szCs w:val="24"/>
                <w:lang w:val="ro-MD"/>
              </w:rPr>
            </w:pPr>
            <w:r w:rsidRPr="00DD5F1D">
              <w:rPr>
                <w:rFonts w:ascii="Times New Roman" w:hAnsi="Times New Roman" w:cs="Times New Roman"/>
                <w:bCs/>
                <w:i/>
                <w:iCs/>
                <w:szCs w:val="24"/>
                <w:lang w:val="ro-MD"/>
              </w:rPr>
              <w:t>mil.lei</w:t>
            </w:r>
          </w:p>
        </w:tc>
        <w:tc>
          <w:tcPr>
            <w:tcW w:w="1572" w:type="dxa"/>
            <w:vAlign w:val="bottom"/>
          </w:tcPr>
          <w:p w14:paraId="2C66BD2C"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62 949,2</w:t>
            </w:r>
          </w:p>
        </w:tc>
        <w:tc>
          <w:tcPr>
            <w:tcW w:w="1355" w:type="dxa"/>
            <w:vAlign w:val="bottom"/>
          </w:tcPr>
          <w:p w14:paraId="7C740F35"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62 650,0</w:t>
            </w:r>
          </w:p>
        </w:tc>
        <w:tc>
          <w:tcPr>
            <w:tcW w:w="1428" w:type="dxa"/>
            <w:noWrap/>
            <w:vAlign w:val="bottom"/>
          </w:tcPr>
          <w:p w14:paraId="0B785660"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77 373,1</w:t>
            </w:r>
          </w:p>
        </w:tc>
        <w:tc>
          <w:tcPr>
            <w:tcW w:w="1305" w:type="dxa"/>
            <w:vAlign w:val="bottom"/>
          </w:tcPr>
          <w:p w14:paraId="22964691"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91 505,4</w:t>
            </w:r>
          </w:p>
        </w:tc>
        <w:tc>
          <w:tcPr>
            <w:tcW w:w="1303" w:type="dxa"/>
            <w:vAlign w:val="bottom"/>
          </w:tcPr>
          <w:p w14:paraId="7A1DEA29"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102 299,2</w:t>
            </w:r>
          </w:p>
        </w:tc>
      </w:tr>
      <w:tr w:rsidR="00FA0814" w:rsidRPr="00DD5F1D" w14:paraId="47F5058B" w14:textId="77777777" w:rsidTr="00A4476B">
        <w:trPr>
          <w:trHeight w:val="17"/>
        </w:trPr>
        <w:tc>
          <w:tcPr>
            <w:tcW w:w="2196" w:type="dxa"/>
            <w:hideMark/>
          </w:tcPr>
          <w:p w14:paraId="54578C1F" w14:textId="77777777" w:rsidR="00FA0814" w:rsidRPr="00DD5F1D" w:rsidRDefault="00FA0814" w:rsidP="00A4476B">
            <w:pPr>
              <w:spacing w:line="276" w:lineRule="auto"/>
              <w:jc w:val="both"/>
              <w:rPr>
                <w:rFonts w:ascii="Times New Roman" w:hAnsi="Times New Roman" w:cs="Times New Roman"/>
                <w:b/>
                <w:bCs/>
                <w:i/>
                <w:iCs/>
                <w:szCs w:val="24"/>
                <w:lang w:val="ro-MD"/>
              </w:rPr>
            </w:pPr>
            <w:r w:rsidRPr="00DD5F1D">
              <w:rPr>
                <w:rFonts w:ascii="Times New Roman" w:hAnsi="Times New Roman" w:cs="Times New Roman"/>
                <w:b/>
                <w:bCs/>
                <w:i/>
                <w:iCs/>
                <w:szCs w:val="24"/>
                <w:lang w:val="ro-MD"/>
              </w:rPr>
              <w:t>Venituri, total</w:t>
            </w:r>
          </w:p>
        </w:tc>
        <w:tc>
          <w:tcPr>
            <w:tcW w:w="1099" w:type="dxa"/>
            <w:vAlign w:val="center"/>
            <w:hideMark/>
          </w:tcPr>
          <w:p w14:paraId="3DA77626" w14:textId="77777777" w:rsidR="00FA0814" w:rsidRPr="00DD5F1D" w:rsidRDefault="00FA0814" w:rsidP="00A4476B">
            <w:pPr>
              <w:spacing w:line="276" w:lineRule="auto"/>
              <w:jc w:val="center"/>
              <w:rPr>
                <w:rFonts w:ascii="Times New Roman" w:hAnsi="Times New Roman" w:cs="Times New Roman"/>
                <w:bCs/>
                <w:i/>
                <w:iCs/>
                <w:szCs w:val="24"/>
                <w:lang w:val="ro-MD"/>
              </w:rPr>
            </w:pPr>
            <w:r w:rsidRPr="00DD5F1D">
              <w:rPr>
                <w:rFonts w:ascii="Times New Roman" w:hAnsi="Times New Roman" w:cs="Times New Roman"/>
                <w:bCs/>
                <w:i/>
                <w:iCs/>
                <w:szCs w:val="24"/>
                <w:lang w:val="ro-MD"/>
              </w:rPr>
              <w:t>mil. lei</w:t>
            </w:r>
          </w:p>
        </w:tc>
        <w:tc>
          <w:tcPr>
            <w:tcW w:w="1572" w:type="dxa"/>
            <w:vAlign w:val="bottom"/>
          </w:tcPr>
          <w:p w14:paraId="5C6C776E"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21 748,3</w:t>
            </w:r>
          </w:p>
        </w:tc>
        <w:tc>
          <w:tcPr>
            <w:tcW w:w="1355" w:type="dxa"/>
            <w:vAlign w:val="bottom"/>
          </w:tcPr>
          <w:p w14:paraId="482E98D1"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24 285,5</w:t>
            </w:r>
          </w:p>
        </w:tc>
        <w:tc>
          <w:tcPr>
            <w:tcW w:w="1428" w:type="dxa"/>
            <w:vAlign w:val="bottom"/>
          </w:tcPr>
          <w:p w14:paraId="3EA96C4F"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27 246,8</w:t>
            </w:r>
          </w:p>
        </w:tc>
        <w:tc>
          <w:tcPr>
            <w:tcW w:w="1305" w:type="dxa"/>
            <w:vAlign w:val="bottom"/>
          </w:tcPr>
          <w:p w14:paraId="04ACD923"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33 796,07</w:t>
            </w:r>
          </w:p>
        </w:tc>
        <w:tc>
          <w:tcPr>
            <w:tcW w:w="1303" w:type="dxa"/>
            <w:vAlign w:val="center"/>
          </w:tcPr>
          <w:p w14:paraId="7612BD4C"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38 604,4</w:t>
            </w:r>
          </w:p>
        </w:tc>
      </w:tr>
      <w:tr w:rsidR="00FA0814" w:rsidRPr="00DD5F1D" w14:paraId="5F7A0495" w14:textId="77777777" w:rsidTr="00A4476B">
        <w:trPr>
          <w:trHeight w:val="17"/>
        </w:trPr>
        <w:tc>
          <w:tcPr>
            <w:tcW w:w="2196" w:type="dxa"/>
            <w:hideMark/>
          </w:tcPr>
          <w:p w14:paraId="1DE285EE" w14:textId="77777777" w:rsidR="00FA0814" w:rsidRPr="00DD5F1D" w:rsidRDefault="00FA0814" w:rsidP="00A4476B">
            <w:pPr>
              <w:spacing w:line="276" w:lineRule="auto"/>
              <w:jc w:val="both"/>
              <w:rPr>
                <w:rFonts w:ascii="Times New Roman" w:hAnsi="Times New Roman" w:cs="Times New Roman"/>
                <w:b/>
                <w:i/>
                <w:szCs w:val="24"/>
                <w:lang w:val="ro-MD"/>
              </w:rPr>
            </w:pPr>
            <w:r w:rsidRPr="00DD5F1D">
              <w:rPr>
                <w:rFonts w:ascii="Times New Roman" w:hAnsi="Times New Roman" w:cs="Times New Roman"/>
                <w:b/>
                <w:i/>
                <w:szCs w:val="24"/>
                <w:lang w:val="ro-MD"/>
              </w:rPr>
              <w:t>Devieri +/- față de anul precedent</w:t>
            </w:r>
          </w:p>
        </w:tc>
        <w:tc>
          <w:tcPr>
            <w:tcW w:w="1099" w:type="dxa"/>
            <w:vAlign w:val="center"/>
            <w:hideMark/>
          </w:tcPr>
          <w:p w14:paraId="1638CC89" w14:textId="77777777" w:rsidR="00FA0814" w:rsidRPr="00DD5F1D" w:rsidRDefault="00FA0814" w:rsidP="00A4476B">
            <w:pPr>
              <w:spacing w:line="276" w:lineRule="auto"/>
              <w:jc w:val="center"/>
              <w:rPr>
                <w:rFonts w:ascii="Times New Roman" w:hAnsi="Times New Roman" w:cs="Times New Roman"/>
                <w:i/>
                <w:szCs w:val="24"/>
                <w:lang w:val="ro-MD"/>
              </w:rPr>
            </w:pPr>
            <w:r w:rsidRPr="00DD5F1D">
              <w:rPr>
                <w:rFonts w:ascii="Times New Roman" w:hAnsi="Times New Roman" w:cs="Times New Roman"/>
                <w:i/>
                <w:szCs w:val="24"/>
                <w:lang w:val="ro-MD"/>
              </w:rPr>
              <w:t>mil. lei</w:t>
            </w:r>
          </w:p>
        </w:tc>
        <w:tc>
          <w:tcPr>
            <w:tcW w:w="1572" w:type="dxa"/>
            <w:vAlign w:val="center"/>
          </w:tcPr>
          <w:p w14:paraId="1C0B6BC7"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1 958,0</w:t>
            </w:r>
          </w:p>
        </w:tc>
        <w:tc>
          <w:tcPr>
            <w:tcW w:w="1355" w:type="dxa"/>
            <w:vAlign w:val="center"/>
          </w:tcPr>
          <w:p w14:paraId="7D327A1F"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2 537,2</w:t>
            </w:r>
          </w:p>
        </w:tc>
        <w:tc>
          <w:tcPr>
            <w:tcW w:w="1428" w:type="dxa"/>
            <w:vAlign w:val="center"/>
          </w:tcPr>
          <w:p w14:paraId="1483E662"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2 961,3</w:t>
            </w:r>
          </w:p>
        </w:tc>
        <w:tc>
          <w:tcPr>
            <w:tcW w:w="1305" w:type="dxa"/>
            <w:vAlign w:val="center"/>
          </w:tcPr>
          <w:p w14:paraId="2329FF77"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6 549,2</w:t>
            </w:r>
          </w:p>
        </w:tc>
        <w:tc>
          <w:tcPr>
            <w:tcW w:w="1303" w:type="dxa"/>
            <w:vAlign w:val="center"/>
          </w:tcPr>
          <w:p w14:paraId="1D3A451C"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4 808,3</w:t>
            </w:r>
          </w:p>
        </w:tc>
      </w:tr>
      <w:tr w:rsidR="00FA0814" w:rsidRPr="00DD5F1D" w14:paraId="725C397E" w14:textId="77777777" w:rsidTr="00A4476B">
        <w:trPr>
          <w:trHeight w:val="17"/>
        </w:trPr>
        <w:tc>
          <w:tcPr>
            <w:tcW w:w="2196" w:type="dxa"/>
            <w:hideMark/>
          </w:tcPr>
          <w:p w14:paraId="670EB7EB" w14:textId="77777777" w:rsidR="00FA0814" w:rsidRPr="00DD5F1D" w:rsidRDefault="00FA0814" w:rsidP="00A4476B">
            <w:pPr>
              <w:spacing w:line="276" w:lineRule="auto"/>
              <w:jc w:val="both"/>
              <w:rPr>
                <w:rFonts w:ascii="Times New Roman" w:hAnsi="Times New Roman" w:cs="Times New Roman"/>
                <w:b/>
                <w:i/>
                <w:szCs w:val="24"/>
                <w:lang w:val="ro-MD"/>
              </w:rPr>
            </w:pPr>
            <w:r w:rsidRPr="00DD5F1D">
              <w:rPr>
                <w:rFonts w:ascii="Times New Roman" w:hAnsi="Times New Roman" w:cs="Times New Roman"/>
                <w:b/>
                <w:i/>
                <w:szCs w:val="24"/>
                <w:lang w:val="ro-MD"/>
              </w:rPr>
              <w:t>Ponderea în BPN</w:t>
            </w:r>
          </w:p>
        </w:tc>
        <w:tc>
          <w:tcPr>
            <w:tcW w:w="1099" w:type="dxa"/>
            <w:vAlign w:val="center"/>
            <w:hideMark/>
          </w:tcPr>
          <w:p w14:paraId="3AB2B2E0" w14:textId="77777777" w:rsidR="00FA0814" w:rsidRPr="00DD5F1D" w:rsidRDefault="00FA0814" w:rsidP="00A4476B">
            <w:pPr>
              <w:spacing w:line="276" w:lineRule="auto"/>
              <w:jc w:val="center"/>
              <w:rPr>
                <w:rFonts w:ascii="Times New Roman" w:hAnsi="Times New Roman" w:cs="Times New Roman"/>
                <w:i/>
                <w:szCs w:val="24"/>
                <w:lang w:val="ro-MD"/>
              </w:rPr>
            </w:pPr>
            <w:r w:rsidRPr="00DD5F1D">
              <w:rPr>
                <w:rFonts w:ascii="Times New Roman" w:hAnsi="Times New Roman" w:cs="Times New Roman"/>
                <w:i/>
                <w:szCs w:val="24"/>
                <w:lang w:val="ro-MD"/>
              </w:rPr>
              <w:t>%</w:t>
            </w:r>
          </w:p>
        </w:tc>
        <w:tc>
          <w:tcPr>
            <w:tcW w:w="1572" w:type="dxa"/>
            <w:vAlign w:val="bottom"/>
          </w:tcPr>
          <w:p w14:paraId="7485028E"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34,5</w:t>
            </w:r>
          </w:p>
        </w:tc>
        <w:tc>
          <w:tcPr>
            <w:tcW w:w="1355" w:type="dxa"/>
            <w:vAlign w:val="bottom"/>
          </w:tcPr>
          <w:p w14:paraId="2DBFF0DB"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38,8</w:t>
            </w:r>
          </w:p>
        </w:tc>
        <w:tc>
          <w:tcPr>
            <w:tcW w:w="1428" w:type="dxa"/>
            <w:vAlign w:val="bottom"/>
          </w:tcPr>
          <w:p w14:paraId="3787D15C"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35,2</w:t>
            </w:r>
          </w:p>
        </w:tc>
        <w:tc>
          <w:tcPr>
            <w:tcW w:w="1305" w:type="dxa"/>
            <w:vAlign w:val="bottom"/>
          </w:tcPr>
          <w:p w14:paraId="70777B0E"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36,9</w:t>
            </w:r>
          </w:p>
        </w:tc>
        <w:tc>
          <w:tcPr>
            <w:tcW w:w="1303" w:type="dxa"/>
            <w:vAlign w:val="center"/>
          </w:tcPr>
          <w:p w14:paraId="32B8B09D"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37,7</w:t>
            </w:r>
          </w:p>
        </w:tc>
      </w:tr>
      <w:tr w:rsidR="00FA0814" w:rsidRPr="00DD5F1D" w14:paraId="412810B0" w14:textId="77777777" w:rsidTr="00A4476B">
        <w:trPr>
          <w:trHeight w:val="17"/>
        </w:trPr>
        <w:tc>
          <w:tcPr>
            <w:tcW w:w="2196" w:type="dxa"/>
            <w:hideMark/>
          </w:tcPr>
          <w:p w14:paraId="57169B65" w14:textId="77777777" w:rsidR="00FA0814" w:rsidRPr="00DD5F1D" w:rsidRDefault="00FA0814" w:rsidP="00A4476B">
            <w:pPr>
              <w:spacing w:line="276" w:lineRule="auto"/>
              <w:jc w:val="both"/>
              <w:rPr>
                <w:rFonts w:ascii="Times New Roman" w:hAnsi="Times New Roman" w:cs="Times New Roman"/>
                <w:b/>
                <w:i/>
                <w:szCs w:val="24"/>
                <w:lang w:val="ro-MD"/>
              </w:rPr>
            </w:pPr>
            <w:r w:rsidRPr="00DD5F1D">
              <w:rPr>
                <w:rFonts w:ascii="Times New Roman" w:hAnsi="Times New Roman" w:cs="Times New Roman"/>
                <w:b/>
                <w:i/>
                <w:szCs w:val="24"/>
                <w:lang w:val="ro-MD"/>
              </w:rPr>
              <w:t>Ponderea în PIB</w:t>
            </w:r>
          </w:p>
        </w:tc>
        <w:tc>
          <w:tcPr>
            <w:tcW w:w="1099" w:type="dxa"/>
            <w:vAlign w:val="center"/>
            <w:hideMark/>
          </w:tcPr>
          <w:p w14:paraId="19545F04" w14:textId="77777777" w:rsidR="00FA0814" w:rsidRPr="00DD5F1D" w:rsidRDefault="00FA0814" w:rsidP="00A4476B">
            <w:pPr>
              <w:spacing w:line="276" w:lineRule="auto"/>
              <w:jc w:val="center"/>
              <w:rPr>
                <w:rFonts w:ascii="Times New Roman" w:hAnsi="Times New Roman" w:cs="Times New Roman"/>
                <w:i/>
                <w:szCs w:val="24"/>
                <w:lang w:val="ro-MD"/>
              </w:rPr>
            </w:pPr>
            <w:r w:rsidRPr="00DD5F1D">
              <w:rPr>
                <w:rFonts w:ascii="Times New Roman" w:hAnsi="Times New Roman" w:cs="Times New Roman"/>
                <w:i/>
                <w:szCs w:val="24"/>
                <w:lang w:val="ro-MD"/>
              </w:rPr>
              <w:t>%</w:t>
            </w:r>
          </w:p>
        </w:tc>
        <w:tc>
          <w:tcPr>
            <w:tcW w:w="1572" w:type="dxa"/>
            <w:vAlign w:val="bottom"/>
          </w:tcPr>
          <w:p w14:paraId="54CDD074"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10,4</w:t>
            </w:r>
          </w:p>
        </w:tc>
        <w:tc>
          <w:tcPr>
            <w:tcW w:w="1355" w:type="dxa"/>
            <w:vAlign w:val="bottom"/>
          </w:tcPr>
          <w:p w14:paraId="76C2CE39"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11,8</w:t>
            </w:r>
          </w:p>
        </w:tc>
        <w:tc>
          <w:tcPr>
            <w:tcW w:w="1428" w:type="dxa"/>
            <w:vAlign w:val="bottom"/>
          </w:tcPr>
          <w:p w14:paraId="2A6E69FA"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11,7</w:t>
            </w:r>
          </w:p>
        </w:tc>
        <w:tc>
          <w:tcPr>
            <w:tcW w:w="1305" w:type="dxa"/>
            <w:vAlign w:val="bottom"/>
          </w:tcPr>
          <w:p w14:paraId="68E46CAA"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12,4</w:t>
            </w:r>
          </w:p>
        </w:tc>
        <w:tc>
          <w:tcPr>
            <w:tcW w:w="1303" w:type="dxa"/>
            <w:vAlign w:val="center"/>
          </w:tcPr>
          <w:p w14:paraId="1E29B596"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12,9</w:t>
            </w:r>
          </w:p>
        </w:tc>
      </w:tr>
      <w:tr w:rsidR="00FA0814" w:rsidRPr="00DD5F1D" w14:paraId="168EEE28" w14:textId="77777777" w:rsidTr="00A4476B">
        <w:trPr>
          <w:trHeight w:val="17"/>
        </w:trPr>
        <w:tc>
          <w:tcPr>
            <w:tcW w:w="2196" w:type="dxa"/>
            <w:hideMark/>
          </w:tcPr>
          <w:p w14:paraId="3914F792" w14:textId="77777777" w:rsidR="00FA0814" w:rsidRPr="00DD5F1D" w:rsidRDefault="00FA0814" w:rsidP="00A4476B">
            <w:pPr>
              <w:spacing w:line="276" w:lineRule="auto"/>
              <w:jc w:val="both"/>
              <w:rPr>
                <w:rFonts w:ascii="Times New Roman" w:hAnsi="Times New Roman" w:cs="Times New Roman"/>
                <w:b/>
                <w:bCs/>
                <w:i/>
                <w:iCs/>
                <w:szCs w:val="24"/>
                <w:lang w:val="ro-MD"/>
              </w:rPr>
            </w:pPr>
            <w:r w:rsidRPr="00DD5F1D">
              <w:rPr>
                <w:rFonts w:ascii="Times New Roman" w:hAnsi="Times New Roman" w:cs="Times New Roman"/>
                <w:b/>
                <w:bCs/>
                <w:i/>
                <w:iCs/>
                <w:szCs w:val="24"/>
                <w:lang w:val="ro-MD"/>
              </w:rPr>
              <w:t>BPN, cheltuieli</w:t>
            </w:r>
          </w:p>
        </w:tc>
        <w:tc>
          <w:tcPr>
            <w:tcW w:w="1099" w:type="dxa"/>
            <w:vAlign w:val="center"/>
            <w:hideMark/>
          </w:tcPr>
          <w:p w14:paraId="746A6863" w14:textId="77777777" w:rsidR="00FA0814" w:rsidRPr="00DD5F1D" w:rsidRDefault="00FA0814" w:rsidP="00A4476B">
            <w:pPr>
              <w:spacing w:line="276" w:lineRule="auto"/>
              <w:jc w:val="center"/>
              <w:rPr>
                <w:rFonts w:ascii="Times New Roman" w:hAnsi="Times New Roman" w:cs="Times New Roman"/>
                <w:bCs/>
                <w:i/>
                <w:iCs/>
                <w:szCs w:val="24"/>
                <w:lang w:val="ro-MD"/>
              </w:rPr>
            </w:pPr>
            <w:r w:rsidRPr="00DD5F1D">
              <w:rPr>
                <w:rFonts w:ascii="Times New Roman" w:hAnsi="Times New Roman" w:cs="Times New Roman"/>
                <w:bCs/>
                <w:i/>
                <w:iCs/>
                <w:szCs w:val="24"/>
                <w:lang w:val="ro-MD"/>
              </w:rPr>
              <w:t>mil.lei</w:t>
            </w:r>
          </w:p>
        </w:tc>
        <w:tc>
          <w:tcPr>
            <w:tcW w:w="1572" w:type="dxa"/>
            <w:vAlign w:val="bottom"/>
          </w:tcPr>
          <w:p w14:paraId="3133A1B1"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65 975,6</w:t>
            </w:r>
          </w:p>
        </w:tc>
        <w:tc>
          <w:tcPr>
            <w:tcW w:w="1355" w:type="dxa"/>
            <w:vAlign w:val="bottom"/>
          </w:tcPr>
          <w:p w14:paraId="24CEC35E"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73 269,8</w:t>
            </w:r>
          </w:p>
        </w:tc>
        <w:tc>
          <w:tcPr>
            <w:tcW w:w="1428" w:type="dxa"/>
            <w:noWrap/>
            <w:vAlign w:val="bottom"/>
          </w:tcPr>
          <w:p w14:paraId="2B29AC3D"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82 013,6</w:t>
            </w:r>
          </w:p>
        </w:tc>
        <w:tc>
          <w:tcPr>
            <w:tcW w:w="1305" w:type="dxa"/>
            <w:noWrap/>
            <w:vAlign w:val="bottom"/>
          </w:tcPr>
          <w:p w14:paraId="78C177C0"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100 374,0</w:t>
            </w:r>
          </w:p>
        </w:tc>
        <w:tc>
          <w:tcPr>
            <w:tcW w:w="1303" w:type="dxa"/>
            <w:vAlign w:val="center"/>
          </w:tcPr>
          <w:p w14:paraId="311BE78E"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117 871,0</w:t>
            </w:r>
          </w:p>
        </w:tc>
      </w:tr>
      <w:tr w:rsidR="00FA0814" w:rsidRPr="00DD5F1D" w14:paraId="62C7E6A7" w14:textId="77777777" w:rsidTr="00A4476B">
        <w:trPr>
          <w:trHeight w:val="17"/>
        </w:trPr>
        <w:tc>
          <w:tcPr>
            <w:tcW w:w="2196" w:type="dxa"/>
            <w:hideMark/>
          </w:tcPr>
          <w:p w14:paraId="04533785" w14:textId="77777777" w:rsidR="00FA0814" w:rsidRPr="00DD5F1D" w:rsidRDefault="00FA0814" w:rsidP="00A4476B">
            <w:pPr>
              <w:spacing w:line="276" w:lineRule="auto"/>
              <w:jc w:val="both"/>
              <w:rPr>
                <w:rFonts w:ascii="Times New Roman" w:hAnsi="Times New Roman" w:cs="Times New Roman"/>
                <w:b/>
                <w:bCs/>
                <w:i/>
                <w:iCs/>
                <w:szCs w:val="24"/>
                <w:lang w:val="ro-MD"/>
              </w:rPr>
            </w:pPr>
            <w:r w:rsidRPr="00DD5F1D">
              <w:rPr>
                <w:rFonts w:ascii="Times New Roman" w:hAnsi="Times New Roman" w:cs="Times New Roman"/>
                <w:b/>
                <w:bCs/>
                <w:i/>
                <w:iCs/>
                <w:szCs w:val="24"/>
                <w:lang w:val="ro-MD"/>
              </w:rPr>
              <w:t>Cheltuieli, total</w:t>
            </w:r>
          </w:p>
        </w:tc>
        <w:tc>
          <w:tcPr>
            <w:tcW w:w="1099" w:type="dxa"/>
            <w:vAlign w:val="center"/>
            <w:hideMark/>
          </w:tcPr>
          <w:p w14:paraId="0785ABA2" w14:textId="77777777" w:rsidR="00FA0814" w:rsidRPr="00DD5F1D" w:rsidRDefault="00FA0814" w:rsidP="00A4476B">
            <w:pPr>
              <w:spacing w:line="276" w:lineRule="auto"/>
              <w:jc w:val="center"/>
              <w:rPr>
                <w:rFonts w:ascii="Times New Roman" w:hAnsi="Times New Roman" w:cs="Times New Roman"/>
                <w:bCs/>
                <w:i/>
                <w:iCs/>
                <w:szCs w:val="24"/>
                <w:lang w:val="ro-MD"/>
              </w:rPr>
            </w:pPr>
            <w:r w:rsidRPr="00DD5F1D">
              <w:rPr>
                <w:rFonts w:ascii="Times New Roman" w:hAnsi="Times New Roman" w:cs="Times New Roman"/>
                <w:bCs/>
                <w:i/>
                <w:iCs/>
                <w:szCs w:val="24"/>
                <w:lang w:val="ro-MD"/>
              </w:rPr>
              <w:t>mil. lei</w:t>
            </w:r>
          </w:p>
        </w:tc>
        <w:tc>
          <w:tcPr>
            <w:tcW w:w="1572" w:type="dxa"/>
            <w:vAlign w:val="bottom"/>
          </w:tcPr>
          <w:p w14:paraId="2E160FD0"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21 602,3</w:t>
            </w:r>
          </w:p>
        </w:tc>
        <w:tc>
          <w:tcPr>
            <w:tcW w:w="1355" w:type="dxa"/>
            <w:vAlign w:val="bottom"/>
          </w:tcPr>
          <w:p w14:paraId="1F696D9D"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24 244,4</w:t>
            </w:r>
          </w:p>
        </w:tc>
        <w:tc>
          <w:tcPr>
            <w:tcW w:w="1428" w:type="dxa"/>
            <w:vAlign w:val="bottom"/>
          </w:tcPr>
          <w:p w14:paraId="2A9EEBB7"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27 186,7</w:t>
            </w:r>
          </w:p>
        </w:tc>
        <w:tc>
          <w:tcPr>
            <w:tcW w:w="1305" w:type="dxa"/>
            <w:vAlign w:val="bottom"/>
          </w:tcPr>
          <w:p w14:paraId="2DC5907E"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33 745,3</w:t>
            </w:r>
          </w:p>
        </w:tc>
        <w:tc>
          <w:tcPr>
            <w:tcW w:w="1303" w:type="dxa"/>
            <w:vAlign w:val="center"/>
          </w:tcPr>
          <w:p w14:paraId="0F44F06B"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38 524,7</w:t>
            </w:r>
          </w:p>
        </w:tc>
      </w:tr>
      <w:tr w:rsidR="00FA0814" w:rsidRPr="00DD5F1D" w14:paraId="76DA9809" w14:textId="77777777" w:rsidTr="00A4476B">
        <w:trPr>
          <w:trHeight w:val="17"/>
        </w:trPr>
        <w:tc>
          <w:tcPr>
            <w:tcW w:w="2196" w:type="dxa"/>
            <w:hideMark/>
          </w:tcPr>
          <w:p w14:paraId="29E86DD6" w14:textId="77777777" w:rsidR="00FA0814" w:rsidRPr="00DD5F1D" w:rsidRDefault="00FA0814" w:rsidP="00A4476B">
            <w:pPr>
              <w:spacing w:line="276" w:lineRule="auto"/>
              <w:jc w:val="both"/>
              <w:rPr>
                <w:rFonts w:ascii="Times New Roman" w:hAnsi="Times New Roman" w:cs="Times New Roman"/>
                <w:b/>
                <w:i/>
                <w:szCs w:val="24"/>
                <w:lang w:val="ro-MD"/>
              </w:rPr>
            </w:pPr>
            <w:r w:rsidRPr="00DD5F1D">
              <w:rPr>
                <w:rFonts w:ascii="Times New Roman" w:hAnsi="Times New Roman" w:cs="Times New Roman"/>
                <w:b/>
                <w:i/>
                <w:szCs w:val="24"/>
                <w:lang w:val="ro-MD"/>
              </w:rPr>
              <w:t>Devieri +/- față de anul precedent</w:t>
            </w:r>
          </w:p>
        </w:tc>
        <w:tc>
          <w:tcPr>
            <w:tcW w:w="1099" w:type="dxa"/>
            <w:vAlign w:val="center"/>
            <w:hideMark/>
          </w:tcPr>
          <w:p w14:paraId="54CA6410" w14:textId="77777777" w:rsidR="00FA0814" w:rsidRPr="00DD5F1D" w:rsidRDefault="00FA0814" w:rsidP="00A4476B">
            <w:pPr>
              <w:spacing w:line="276" w:lineRule="auto"/>
              <w:jc w:val="center"/>
              <w:rPr>
                <w:rFonts w:ascii="Times New Roman" w:hAnsi="Times New Roman" w:cs="Times New Roman"/>
                <w:i/>
                <w:szCs w:val="24"/>
                <w:lang w:val="ro-MD"/>
              </w:rPr>
            </w:pPr>
            <w:r w:rsidRPr="00DD5F1D">
              <w:rPr>
                <w:rFonts w:ascii="Times New Roman" w:hAnsi="Times New Roman" w:cs="Times New Roman"/>
                <w:i/>
                <w:szCs w:val="24"/>
                <w:lang w:val="ro-MD"/>
              </w:rPr>
              <w:t>mil. lei</w:t>
            </w:r>
          </w:p>
        </w:tc>
        <w:tc>
          <w:tcPr>
            <w:tcW w:w="1572" w:type="dxa"/>
            <w:vAlign w:val="center"/>
          </w:tcPr>
          <w:p w14:paraId="736D91ED"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2 175,8</w:t>
            </w:r>
          </w:p>
        </w:tc>
        <w:tc>
          <w:tcPr>
            <w:tcW w:w="1355" w:type="dxa"/>
            <w:vAlign w:val="center"/>
          </w:tcPr>
          <w:p w14:paraId="4D842250"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2 642,0</w:t>
            </w:r>
          </w:p>
        </w:tc>
        <w:tc>
          <w:tcPr>
            <w:tcW w:w="1428" w:type="dxa"/>
            <w:vAlign w:val="center"/>
          </w:tcPr>
          <w:p w14:paraId="61254295"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2 942,5</w:t>
            </w:r>
          </w:p>
        </w:tc>
        <w:tc>
          <w:tcPr>
            <w:tcW w:w="1305" w:type="dxa"/>
            <w:vAlign w:val="center"/>
          </w:tcPr>
          <w:p w14:paraId="6D784111"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6 558,6</w:t>
            </w:r>
          </w:p>
        </w:tc>
        <w:tc>
          <w:tcPr>
            <w:tcW w:w="1303" w:type="dxa"/>
            <w:vAlign w:val="center"/>
          </w:tcPr>
          <w:p w14:paraId="39651B71"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bCs/>
                <w:i/>
                <w:iCs/>
                <w:szCs w:val="24"/>
                <w:lang w:val="ro-MD"/>
              </w:rPr>
              <w:t>4 779,4</w:t>
            </w:r>
          </w:p>
        </w:tc>
      </w:tr>
      <w:tr w:rsidR="00FA0814" w:rsidRPr="00DD5F1D" w14:paraId="38AA7690" w14:textId="77777777" w:rsidTr="00A4476B">
        <w:trPr>
          <w:trHeight w:val="17"/>
        </w:trPr>
        <w:tc>
          <w:tcPr>
            <w:tcW w:w="2196" w:type="dxa"/>
            <w:hideMark/>
          </w:tcPr>
          <w:p w14:paraId="3B07973E" w14:textId="77777777" w:rsidR="00FA0814" w:rsidRPr="00DD5F1D" w:rsidRDefault="00FA0814" w:rsidP="00A4476B">
            <w:pPr>
              <w:spacing w:line="276" w:lineRule="auto"/>
              <w:jc w:val="both"/>
              <w:rPr>
                <w:rFonts w:ascii="Times New Roman" w:hAnsi="Times New Roman" w:cs="Times New Roman"/>
                <w:b/>
                <w:i/>
                <w:szCs w:val="24"/>
                <w:lang w:val="ro-MD"/>
              </w:rPr>
            </w:pPr>
            <w:r w:rsidRPr="00DD5F1D">
              <w:rPr>
                <w:rFonts w:ascii="Times New Roman" w:hAnsi="Times New Roman" w:cs="Times New Roman"/>
                <w:b/>
                <w:i/>
                <w:szCs w:val="24"/>
                <w:lang w:val="ro-MD"/>
              </w:rPr>
              <w:t>Ponderea în BPN</w:t>
            </w:r>
          </w:p>
        </w:tc>
        <w:tc>
          <w:tcPr>
            <w:tcW w:w="1099" w:type="dxa"/>
            <w:vAlign w:val="center"/>
            <w:hideMark/>
          </w:tcPr>
          <w:p w14:paraId="2D41F6AC" w14:textId="77777777" w:rsidR="00FA0814" w:rsidRPr="00DD5F1D" w:rsidRDefault="00FA0814" w:rsidP="00A4476B">
            <w:pPr>
              <w:spacing w:line="276" w:lineRule="auto"/>
              <w:jc w:val="center"/>
              <w:rPr>
                <w:rFonts w:ascii="Times New Roman" w:hAnsi="Times New Roman" w:cs="Times New Roman"/>
                <w:i/>
                <w:szCs w:val="24"/>
                <w:lang w:val="ro-MD"/>
              </w:rPr>
            </w:pPr>
            <w:r w:rsidRPr="00DD5F1D">
              <w:rPr>
                <w:rFonts w:ascii="Times New Roman" w:hAnsi="Times New Roman" w:cs="Times New Roman"/>
                <w:i/>
                <w:szCs w:val="24"/>
                <w:lang w:val="ro-MD"/>
              </w:rPr>
              <w:t>%</w:t>
            </w:r>
          </w:p>
        </w:tc>
        <w:tc>
          <w:tcPr>
            <w:tcW w:w="1572" w:type="dxa"/>
            <w:vAlign w:val="bottom"/>
          </w:tcPr>
          <w:p w14:paraId="56A0F375"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32,7</w:t>
            </w:r>
          </w:p>
        </w:tc>
        <w:tc>
          <w:tcPr>
            <w:tcW w:w="1355" w:type="dxa"/>
            <w:vAlign w:val="bottom"/>
          </w:tcPr>
          <w:p w14:paraId="77A8BA93"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33,1</w:t>
            </w:r>
          </w:p>
        </w:tc>
        <w:tc>
          <w:tcPr>
            <w:tcW w:w="1428" w:type="dxa"/>
            <w:vAlign w:val="bottom"/>
          </w:tcPr>
          <w:p w14:paraId="1F0A88E6"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33,1</w:t>
            </w:r>
          </w:p>
        </w:tc>
        <w:tc>
          <w:tcPr>
            <w:tcW w:w="1305" w:type="dxa"/>
            <w:vAlign w:val="bottom"/>
          </w:tcPr>
          <w:p w14:paraId="72329DD1"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33,6</w:t>
            </w:r>
          </w:p>
        </w:tc>
        <w:tc>
          <w:tcPr>
            <w:tcW w:w="1303" w:type="dxa"/>
            <w:vAlign w:val="center"/>
          </w:tcPr>
          <w:p w14:paraId="1ADD58F5"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32,7</w:t>
            </w:r>
          </w:p>
        </w:tc>
      </w:tr>
      <w:tr w:rsidR="00FA0814" w:rsidRPr="00DD5F1D" w14:paraId="37E7E1F8" w14:textId="77777777" w:rsidTr="00A4476B">
        <w:trPr>
          <w:trHeight w:val="17"/>
        </w:trPr>
        <w:tc>
          <w:tcPr>
            <w:tcW w:w="2196" w:type="dxa"/>
            <w:hideMark/>
          </w:tcPr>
          <w:p w14:paraId="7E9337B1" w14:textId="77777777" w:rsidR="00FA0814" w:rsidRPr="00DD5F1D" w:rsidRDefault="00FA0814" w:rsidP="00A4476B">
            <w:pPr>
              <w:spacing w:line="276" w:lineRule="auto"/>
              <w:jc w:val="both"/>
              <w:rPr>
                <w:rFonts w:ascii="Times New Roman" w:hAnsi="Times New Roman" w:cs="Times New Roman"/>
                <w:b/>
                <w:i/>
                <w:szCs w:val="24"/>
                <w:lang w:val="ro-MD"/>
              </w:rPr>
            </w:pPr>
            <w:r w:rsidRPr="00DD5F1D">
              <w:rPr>
                <w:rFonts w:ascii="Times New Roman" w:hAnsi="Times New Roman" w:cs="Times New Roman"/>
                <w:b/>
                <w:i/>
                <w:szCs w:val="24"/>
                <w:lang w:val="ro-MD"/>
              </w:rPr>
              <w:t>Ponderea în PIB</w:t>
            </w:r>
          </w:p>
        </w:tc>
        <w:tc>
          <w:tcPr>
            <w:tcW w:w="1099" w:type="dxa"/>
            <w:vAlign w:val="center"/>
            <w:hideMark/>
          </w:tcPr>
          <w:p w14:paraId="70CC8925" w14:textId="77777777" w:rsidR="00FA0814" w:rsidRPr="00DD5F1D" w:rsidRDefault="00FA0814" w:rsidP="00A4476B">
            <w:pPr>
              <w:spacing w:line="276" w:lineRule="auto"/>
              <w:jc w:val="center"/>
              <w:rPr>
                <w:rFonts w:ascii="Times New Roman" w:hAnsi="Times New Roman" w:cs="Times New Roman"/>
                <w:i/>
                <w:szCs w:val="24"/>
                <w:lang w:val="ro-MD"/>
              </w:rPr>
            </w:pPr>
            <w:r w:rsidRPr="00DD5F1D">
              <w:rPr>
                <w:rFonts w:ascii="Times New Roman" w:hAnsi="Times New Roman" w:cs="Times New Roman"/>
                <w:i/>
                <w:szCs w:val="24"/>
                <w:lang w:val="ro-MD"/>
              </w:rPr>
              <w:t>%</w:t>
            </w:r>
          </w:p>
        </w:tc>
        <w:tc>
          <w:tcPr>
            <w:tcW w:w="1572" w:type="dxa"/>
            <w:vAlign w:val="bottom"/>
          </w:tcPr>
          <w:p w14:paraId="71B6366B"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10,3</w:t>
            </w:r>
          </w:p>
        </w:tc>
        <w:tc>
          <w:tcPr>
            <w:tcW w:w="1355" w:type="dxa"/>
            <w:vAlign w:val="bottom"/>
          </w:tcPr>
          <w:p w14:paraId="765288F3"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11,7</w:t>
            </w:r>
          </w:p>
        </w:tc>
        <w:tc>
          <w:tcPr>
            <w:tcW w:w="1428" w:type="dxa"/>
            <w:vAlign w:val="bottom"/>
          </w:tcPr>
          <w:p w14:paraId="575CC9A3"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11,2</w:t>
            </w:r>
          </w:p>
        </w:tc>
        <w:tc>
          <w:tcPr>
            <w:tcW w:w="1305" w:type="dxa"/>
            <w:vAlign w:val="bottom"/>
          </w:tcPr>
          <w:p w14:paraId="1DB059B1"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12,4</w:t>
            </w:r>
          </w:p>
        </w:tc>
        <w:tc>
          <w:tcPr>
            <w:tcW w:w="1303" w:type="dxa"/>
            <w:vAlign w:val="center"/>
          </w:tcPr>
          <w:p w14:paraId="116DAF39"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12,8</w:t>
            </w:r>
          </w:p>
        </w:tc>
      </w:tr>
      <w:tr w:rsidR="00FA0814" w:rsidRPr="00DD5F1D" w14:paraId="4781E17A" w14:textId="77777777" w:rsidTr="00A4476B">
        <w:trPr>
          <w:trHeight w:val="17"/>
        </w:trPr>
        <w:tc>
          <w:tcPr>
            <w:tcW w:w="2196" w:type="dxa"/>
            <w:hideMark/>
          </w:tcPr>
          <w:p w14:paraId="55D4ACC7" w14:textId="77777777" w:rsidR="00FA0814" w:rsidRPr="00DD5F1D" w:rsidRDefault="00FA0814" w:rsidP="00A4476B">
            <w:pPr>
              <w:spacing w:line="276" w:lineRule="auto"/>
              <w:jc w:val="both"/>
              <w:rPr>
                <w:rFonts w:ascii="Times New Roman" w:hAnsi="Times New Roman" w:cs="Times New Roman"/>
                <w:b/>
                <w:bCs/>
                <w:i/>
                <w:iCs/>
                <w:szCs w:val="24"/>
                <w:lang w:val="ro-MD"/>
              </w:rPr>
            </w:pPr>
            <w:r w:rsidRPr="00DD5F1D">
              <w:rPr>
                <w:rFonts w:ascii="Times New Roman" w:hAnsi="Times New Roman" w:cs="Times New Roman"/>
                <w:b/>
                <w:bCs/>
                <w:i/>
                <w:iCs/>
                <w:szCs w:val="24"/>
                <w:lang w:val="ro-MD"/>
              </w:rPr>
              <w:t>Deficit (-)/Excedent (+)</w:t>
            </w:r>
          </w:p>
        </w:tc>
        <w:tc>
          <w:tcPr>
            <w:tcW w:w="1099" w:type="dxa"/>
            <w:vAlign w:val="center"/>
            <w:hideMark/>
          </w:tcPr>
          <w:p w14:paraId="5AF52549" w14:textId="77777777" w:rsidR="00FA0814" w:rsidRPr="00DD5F1D" w:rsidRDefault="00FA0814" w:rsidP="00A4476B">
            <w:pPr>
              <w:spacing w:line="276" w:lineRule="auto"/>
              <w:jc w:val="center"/>
              <w:rPr>
                <w:rFonts w:ascii="Times New Roman" w:hAnsi="Times New Roman" w:cs="Times New Roman"/>
                <w:bCs/>
                <w:i/>
                <w:iCs/>
                <w:szCs w:val="24"/>
                <w:lang w:val="ro-MD"/>
              </w:rPr>
            </w:pPr>
            <w:r w:rsidRPr="00DD5F1D">
              <w:rPr>
                <w:rFonts w:ascii="Times New Roman" w:hAnsi="Times New Roman" w:cs="Times New Roman"/>
                <w:bCs/>
                <w:i/>
                <w:iCs/>
                <w:szCs w:val="24"/>
                <w:lang w:val="ro-MD"/>
              </w:rPr>
              <w:t>mil. lei</w:t>
            </w:r>
          </w:p>
        </w:tc>
        <w:tc>
          <w:tcPr>
            <w:tcW w:w="1572" w:type="dxa"/>
            <w:vAlign w:val="center"/>
          </w:tcPr>
          <w:p w14:paraId="09A436F1"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146,0</w:t>
            </w:r>
          </w:p>
        </w:tc>
        <w:tc>
          <w:tcPr>
            <w:tcW w:w="1355" w:type="dxa"/>
            <w:vAlign w:val="center"/>
          </w:tcPr>
          <w:p w14:paraId="7BDC71B8"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41,2</w:t>
            </w:r>
          </w:p>
        </w:tc>
        <w:tc>
          <w:tcPr>
            <w:tcW w:w="1428" w:type="dxa"/>
            <w:vAlign w:val="center"/>
          </w:tcPr>
          <w:p w14:paraId="5303AC8F"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60,0</w:t>
            </w:r>
          </w:p>
        </w:tc>
        <w:tc>
          <w:tcPr>
            <w:tcW w:w="1305" w:type="dxa"/>
            <w:vAlign w:val="center"/>
          </w:tcPr>
          <w:p w14:paraId="4EFFC895"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50,8</w:t>
            </w:r>
          </w:p>
        </w:tc>
        <w:tc>
          <w:tcPr>
            <w:tcW w:w="1303" w:type="dxa"/>
            <w:vAlign w:val="center"/>
          </w:tcPr>
          <w:p w14:paraId="45BEE5C7" w14:textId="77777777" w:rsidR="00FA0814" w:rsidRPr="00DD5F1D" w:rsidRDefault="00FA0814" w:rsidP="00A4476B">
            <w:pPr>
              <w:spacing w:line="276" w:lineRule="auto"/>
              <w:jc w:val="right"/>
              <w:rPr>
                <w:rFonts w:ascii="Times New Roman" w:hAnsi="Times New Roman" w:cs="Times New Roman"/>
                <w:bCs/>
                <w:i/>
                <w:iCs/>
                <w:szCs w:val="24"/>
                <w:lang w:val="ro-MD"/>
              </w:rPr>
            </w:pPr>
            <w:r w:rsidRPr="00DD5F1D">
              <w:rPr>
                <w:rFonts w:ascii="Times New Roman" w:hAnsi="Times New Roman" w:cs="Times New Roman"/>
                <w:bCs/>
                <w:i/>
                <w:iCs/>
                <w:szCs w:val="24"/>
                <w:lang w:val="ro-MD"/>
              </w:rPr>
              <w:t>79,76</w:t>
            </w:r>
          </w:p>
        </w:tc>
      </w:tr>
      <w:tr w:rsidR="00FA0814" w:rsidRPr="00DD5F1D" w14:paraId="0A6B45D3" w14:textId="77777777" w:rsidTr="00A4476B">
        <w:trPr>
          <w:trHeight w:val="17"/>
        </w:trPr>
        <w:tc>
          <w:tcPr>
            <w:tcW w:w="2196" w:type="dxa"/>
            <w:hideMark/>
          </w:tcPr>
          <w:p w14:paraId="5CB3EB85" w14:textId="77777777" w:rsidR="00FA0814" w:rsidRPr="00DD5F1D" w:rsidRDefault="00FA0814" w:rsidP="00A4476B">
            <w:pPr>
              <w:spacing w:line="276" w:lineRule="auto"/>
              <w:jc w:val="both"/>
              <w:rPr>
                <w:rFonts w:ascii="Times New Roman" w:hAnsi="Times New Roman" w:cs="Times New Roman"/>
                <w:b/>
                <w:i/>
                <w:szCs w:val="24"/>
                <w:lang w:val="ro-MD"/>
              </w:rPr>
            </w:pPr>
            <w:r w:rsidRPr="00DD5F1D">
              <w:rPr>
                <w:rFonts w:ascii="Times New Roman" w:hAnsi="Times New Roman" w:cs="Times New Roman"/>
                <w:b/>
                <w:i/>
                <w:szCs w:val="24"/>
                <w:lang w:val="ro-MD"/>
              </w:rPr>
              <w:t>Devieri +/- față de anul precedent</w:t>
            </w:r>
          </w:p>
        </w:tc>
        <w:tc>
          <w:tcPr>
            <w:tcW w:w="1099" w:type="dxa"/>
            <w:vAlign w:val="center"/>
            <w:hideMark/>
          </w:tcPr>
          <w:p w14:paraId="7D5F4439" w14:textId="77777777" w:rsidR="00FA0814" w:rsidRPr="00DD5F1D" w:rsidRDefault="00FA0814" w:rsidP="00A4476B">
            <w:pPr>
              <w:spacing w:line="276" w:lineRule="auto"/>
              <w:jc w:val="center"/>
              <w:rPr>
                <w:rFonts w:ascii="Times New Roman" w:hAnsi="Times New Roman" w:cs="Times New Roman"/>
                <w:i/>
                <w:szCs w:val="24"/>
                <w:lang w:val="ro-MD"/>
              </w:rPr>
            </w:pPr>
            <w:r w:rsidRPr="00DD5F1D">
              <w:rPr>
                <w:rFonts w:ascii="Times New Roman" w:hAnsi="Times New Roman" w:cs="Times New Roman"/>
                <w:i/>
                <w:szCs w:val="24"/>
                <w:lang w:val="ro-MD"/>
              </w:rPr>
              <w:t>mil. lei</w:t>
            </w:r>
          </w:p>
        </w:tc>
        <w:tc>
          <w:tcPr>
            <w:tcW w:w="1572" w:type="dxa"/>
            <w:vAlign w:val="center"/>
          </w:tcPr>
          <w:p w14:paraId="4AC94906"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-217,8</w:t>
            </w:r>
          </w:p>
        </w:tc>
        <w:tc>
          <w:tcPr>
            <w:tcW w:w="1355" w:type="dxa"/>
            <w:vAlign w:val="center"/>
          </w:tcPr>
          <w:p w14:paraId="27035102"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-104,8</w:t>
            </w:r>
          </w:p>
        </w:tc>
        <w:tc>
          <w:tcPr>
            <w:tcW w:w="1428" w:type="dxa"/>
            <w:vAlign w:val="center"/>
          </w:tcPr>
          <w:p w14:paraId="45478DCC"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18,8</w:t>
            </w:r>
          </w:p>
        </w:tc>
        <w:tc>
          <w:tcPr>
            <w:tcW w:w="1305" w:type="dxa"/>
            <w:vAlign w:val="center"/>
          </w:tcPr>
          <w:p w14:paraId="65179D4E"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-9,2</w:t>
            </w:r>
          </w:p>
        </w:tc>
        <w:tc>
          <w:tcPr>
            <w:tcW w:w="1303" w:type="dxa"/>
            <w:vAlign w:val="center"/>
          </w:tcPr>
          <w:p w14:paraId="55FA9D24"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28,94</w:t>
            </w:r>
          </w:p>
        </w:tc>
      </w:tr>
      <w:tr w:rsidR="00FA0814" w:rsidRPr="00DD5F1D" w14:paraId="4BBE04C0" w14:textId="77777777" w:rsidTr="00A4476B">
        <w:trPr>
          <w:trHeight w:val="17"/>
        </w:trPr>
        <w:tc>
          <w:tcPr>
            <w:tcW w:w="2196" w:type="dxa"/>
            <w:hideMark/>
          </w:tcPr>
          <w:p w14:paraId="506257AA" w14:textId="77777777" w:rsidR="00FA0814" w:rsidRPr="00DD5F1D" w:rsidRDefault="00FA0814" w:rsidP="00A4476B">
            <w:pPr>
              <w:spacing w:line="276" w:lineRule="auto"/>
              <w:jc w:val="both"/>
              <w:rPr>
                <w:rFonts w:ascii="Times New Roman" w:hAnsi="Times New Roman" w:cs="Times New Roman"/>
                <w:b/>
                <w:i/>
                <w:szCs w:val="24"/>
                <w:lang w:val="ro-MD"/>
              </w:rPr>
            </w:pPr>
            <w:r w:rsidRPr="00DD5F1D">
              <w:rPr>
                <w:rFonts w:ascii="Times New Roman" w:hAnsi="Times New Roman" w:cs="Times New Roman"/>
                <w:b/>
                <w:i/>
                <w:szCs w:val="24"/>
                <w:lang w:val="ro-MD"/>
              </w:rPr>
              <w:t>Ponderea în PIB</w:t>
            </w:r>
          </w:p>
        </w:tc>
        <w:tc>
          <w:tcPr>
            <w:tcW w:w="1099" w:type="dxa"/>
            <w:vAlign w:val="center"/>
            <w:hideMark/>
          </w:tcPr>
          <w:p w14:paraId="67C9EE72" w14:textId="77777777" w:rsidR="00FA0814" w:rsidRPr="00DD5F1D" w:rsidRDefault="00FA0814" w:rsidP="00A4476B">
            <w:pPr>
              <w:spacing w:line="276" w:lineRule="auto"/>
              <w:jc w:val="center"/>
              <w:rPr>
                <w:rFonts w:ascii="Times New Roman" w:hAnsi="Times New Roman" w:cs="Times New Roman"/>
                <w:i/>
                <w:szCs w:val="24"/>
                <w:lang w:val="ro-MD"/>
              </w:rPr>
            </w:pPr>
            <w:r w:rsidRPr="00DD5F1D">
              <w:rPr>
                <w:rFonts w:ascii="Times New Roman" w:hAnsi="Times New Roman" w:cs="Times New Roman"/>
                <w:i/>
                <w:szCs w:val="24"/>
                <w:lang w:val="ro-MD"/>
              </w:rPr>
              <w:t>%</w:t>
            </w:r>
          </w:p>
        </w:tc>
        <w:tc>
          <w:tcPr>
            <w:tcW w:w="1572" w:type="dxa"/>
            <w:vAlign w:val="bottom"/>
          </w:tcPr>
          <w:p w14:paraId="48CD7583"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0,07</w:t>
            </w:r>
          </w:p>
        </w:tc>
        <w:tc>
          <w:tcPr>
            <w:tcW w:w="1355" w:type="dxa"/>
            <w:vAlign w:val="bottom"/>
          </w:tcPr>
          <w:p w14:paraId="0D22043A"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0,02</w:t>
            </w:r>
          </w:p>
        </w:tc>
        <w:tc>
          <w:tcPr>
            <w:tcW w:w="1428" w:type="dxa"/>
            <w:vAlign w:val="bottom"/>
          </w:tcPr>
          <w:p w14:paraId="6D08CC2E"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0,02</w:t>
            </w:r>
          </w:p>
        </w:tc>
        <w:tc>
          <w:tcPr>
            <w:tcW w:w="1305" w:type="dxa"/>
            <w:vAlign w:val="bottom"/>
          </w:tcPr>
          <w:p w14:paraId="058DF9E0"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0,02</w:t>
            </w:r>
          </w:p>
        </w:tc>
        <w:tc>
          <w:tcPr>
            <w:tcW w:w="1303" w:type="dxa"/>
            <w:vAlign w:val="bottom"/>
          </w:tcPr>
          <w:p w14:paraId="32B7AEEA" w14:textId="77777777" w:rsidR="00FA0814" w:rsidRPr="00DD5F1D" w:rsidRDefault="00FA0814" w:rsidP="00A4476B">
            <w:pPr>
              <w:spacing w:line="276" w:lineRule="auto"/>
              <w:jc w:val="right"/>
              <w:rPr>
                <w:rFonts w:ascii="Times New Roman" w:hAnsi="Times New Roman" w:cs="Times New Roman"/>
                <w:i/>
                <w:szCs w:val="24"/>
                <w:lang w:val="ro-MD"/>
              </w:rPr>
            </w:pPr>
            <w:r w:rsidRPr="00DD5F1D">
              <w:rPr>
                <w:rFonts w:ascii="Times New Roman" w:hAnsi="Times New Roman" w:cs="Times New Roman"/>
                <w:i/>
                <w:szCs w:val="24"/>
                <w:lang w:val="ro-MD"/>
              </w:rPr>
              <w:t>0,01</w:t>
            </w:r>
          </w:p>
        </w:tc>
      </w:tr>
    </w:tbl>
    <w:p w14:paraId="53C90700" w14:textId="77777777" w:rsidR="00FA0814" w:rsidRPr="00DD5F1D" w:rsidRDefault="00FA0814" w:rsidP="00FA0814">
      <w:pPr>
        <w:spacing w:line="276" w:lineRule="auto"/>
        <w:jc w:val="both"/>
        <w:rPr>
          <w:rFonts w:ascii="Times New Roman" w:hAnsi="Times New Roman" w:cs="Times New Roman"/>
          <w:color w:val="0000FF"/>
          <w:szCs w:val="24"/>
          <w:lang w:val="ro-MD"/>
        </w:rPr>
      </w:pPr>
      <w:r w:rsidRPr="00DD5F1D">
        <w:rPr>
          <w:rFonts w:ascii="Times New Roman" w:hAnsi="Times New Roman" w:cs="Times New Roman"/>
          <w:b/>
          <w:i/>
          <w:szCs w:val="24"/>
          <w:lang w:val="ro-MD"/>
        </w:rPr>
        <w:t>Sursa:</w:t>
      </w:r>
      <w:r w:rsidRPr="00DD5F1D">
        <w:rPr>
          <w:rFonts w:ascii="Times New Roman" w:hAnsi="Times New Roman" w:cs="Times New Roman"/>
          <w:szCs w:val="24"/>
          <w:lang w:val="ro-MD"/>
        </w:rPr>
        <w:t xml:space="preserve"> </w:t>
      </w:r>
      <w:r w:rsidRPr="00DD5F1D">
        <w:rPr>
          <w:rFonts w:ascii="Times New Roman" w:hAnsi="Times New Roman" w:cs="Times New Roman"/>
          <w:i/>
          <w:szCs w:val="24"/>
          <w:lang w:val="ro-MD"/>
        </w:rPr>
        <w:t xml:space="preserve">Raportul privind executarea bugetului asigurărilor sociale de stat pentru anii 2019-2023; </w:t>
      </w:r>
      <w:hyperlink r:id="rId21" w:history="1">
        <w:r w:rsidRPr="00DD5F1D">
          <w:rPr>
            <w:rFonts w:ascii="Times New Roman" w:hAnsi="Times New Roman" w:cs="Times New Roman"/>
            <w:i/>
            <w:color w:val="0000FF"/>
            <w:szCs w:val="24"/>
            <w:u w:val="single"/>
            <w:lang w:val="ro-MD"/>
          </w:rPr>
          <w:t>www.statistica.md</w:t>
        </w:r>
      </w:hyperlink>
      <w:r w:rsidRPr="00DD5F1D">
        <w:rPr>
          <w:rFonts w:ascii="Times New Roman" w:hAnsi="Times New Roman" w:cs="Times New Roman"/>
          <w:i/>
          <w:color w:val="0000FF"/>
          <w:szCs w:val="24"/>
          <w:lang w:val="ro-MD"/>
        </w:rPr>
        <w:t xml:space="preserve"> </w:t>
      </w:r>
    </w:p>
    <w:p w14:paraId="0FC6752C" w14:textId="77777777" w:rsidR="00CF4DFD" w:rsidRPr="00DD5F1D" w:rsidRDefault="00CF4DFD" w:rsidP="00AB5790">
      <w:pPr>
        <w:tabs>
          <w:tab w:val="left" w:pos="162"/>
        </w:tabs>
        <w:spacing w:after="0" w:line="276" w:lineRule="auto"/>
        <w:jc w:val="right"/>
        <w:outlineLvl w:val="1"/>
        <w:rPr>
          <w:rFonts w:ascii="Times New Roman" w:eastAsia="Times New Roman" w:hAnsi="Times New Roman" w:cs="Times New Roman"/>
          <w:b/>
          <w:sz w:val="24"/>
          <w:szCs w:val="24"/>
          <w:lang w:val="ro-MD"/>
        </w:rPr>
        <w:sectPr w:rsidR="00CF4DFD" w:rsidRPr="00DD5F1D" w:rsidSect="00CF4DFD">
          <w:pgSz w:w="12240" w:h="15840"/>
          <w:pgMar w:top="1140" w:right="851" w:bottom="1140" w:left="1355" w:header="720" w:footer="720" w:gutter="0"/>
          <w:cols w:space="720"/>
          <w:titlePg/>
          <w:docGrid w:linePitch="360"/>
        </w:sectPr>
      </w:pPr>
    </w:p>
    <w:p w14:paraId="621E6F41" w14:textId="0045C5EB" w:rsidR="00AB5790" w:rsidRPr="00DD5F1D" w:rsidRDefault="00AB5790" w:rsidP="00AB5790">
      <w:pPr>
        <w:tabs>
          <w:tab w:val="left" w:pos="162"/>
        </w:tabs>
        <w:spacing w:after="0" w:line="276" w:lineRule="auto"/>
        <w:jc w:val="right"/>
        <w:outlineLvl w:val="1"/>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Anexa nr. 2</w:t>
      </w:r>
    </w:p>
    <w:p w14:paraId="449EEBCD" w14:textId="77777777" w:rsidR="00AB5790" w:rsidRPr="00DD5F1D" w:rsidRDefault="00AB5790" w:rsidP="00AB5790">
      <w:pPr>
        <w:spacing w:after="0" w:line="240" w:lineRule="auto"/>
        <w:jc w:val="center"/>
        <w:rPr>
          <w:rFonts w:ascii="Times New Roman" w:eastAsia="Times New Roman" w:hAnsi="Times New Roman" w:cs="Times New Roman"/>
          <w:b/>
          <w:bCs/>
          <w:sz w:val="24"/>
          <w:szCs w:val="20"/>
          <w:lang w:val="ro-MD"/>
        </w:rPr>
      </w:pPr>
      <w:r w:rsidRPr="00DD5F1D">
        <w:rPr>
          <w:rFonts w:ascii="Times New Roman" w:eastAsia="Times New Roman" w:hAnsi="Times New Roman" w:cs="Times New Roman"/>
          <w:b/>
          <w:bCs/>
          <w:sz w:val="24"/>
          <w:szCs w:val="20"/>
          <w:lang w:val="ro-MD"/>
        </w:rPr>
        <w:t>Analiza modificărilor operate la Legea bugetului asigurărilor sociale de stat pe anul 2023</w:t>
      </w:r>
    </w:p>
    <w:p w14:paraId="1FC8F37D" w14:textId="77777777" w:rsidR="00AB5790" w:rsidRPr="00DD5F1D" w:rsidRDefault="00AB5790" w:rsidP="00AB5790">
      <w:pPr>
        <w:spacing w:after="0" w:line="240" w:lineRule="auto"/>
        <w:jc w:val="right"/>
        <w:rPr>
          <w:rFonts w:ascii="Times New Roman" w:eastAsia="Times New Roman" w:hAnsi="Times New Roman" w:cs="Times New Roman"/>
          <w:b/>
          <w:bCs/>
          <w:i/>
          <w:sz w:val="20"/>
          <w:szCs w:val="20"/>
          <w:lang w:val="ro-MD"/>
        </w:rPr>
      </w:pPr>
      <w:r w:rsidRPr="00DD5F1D">
        <w:rPr>
          <w:rFonts w:ascii="Times New Roman" w:eastAsia="Times New Roman" w:hAnsi="Times New Roman" w:cs="Times New Roman"/>
          <w:b/>
          <w:bCs/>
          <w:i/>
          <w:sz w:val="20"/>
          <w:szCs w:val="20"/>
          <w:lang w:val="ro-MD"/>
        </w:rPr>
        <w:t>(mii lei)</w:t>
      </w:r>
    </w:p>
    <w:tbl>
      <w:tblPr>
        <w:tblStyle w:val="af1"/>
        <w:tblW w:w="5000" w:type="pct"/>
        <w:tblLook w:val="04A0" w:firstRow="1" w:lastRow="0" w:firstColumn="1" w:lastColumn="0" w:noHBand="0" w:noVBand="1"/>
      </w:tblPr>
      <w:tblGrid>
        <w:gridCol w:w="4477"/>
        <w:gridCol w:w="1267"/>
        <w:gridCol w:w="1510"/>
        <w:gridCol w:w="1512"/>
        <w:gridCol w:w="1258"/>
      </w:tblGrid>
      <w:tr w:rsidR="00AB5790" w:rsidRPr="00DD5F1D" w14:paraId="401C8449" w14:textId="77777777" w:rsidTr="00AA162B">
        <w:trPr>
          <w:trHeight w:val="324"/>
        </w:trPr>
        <w:tc>
          <w:tcPr>
            <w:tcW w:w="2259" w:type="pct"/>
            <w:vMerge w:val="restart"/>
            <w:noWrap/>
            <w:vAlign w:val="center"/>
            <w:hideMark/>
          </w:tcPr>
          <w:p w14:paraId="7B31B7FB" w14:textId="77777777" w:rsidR="00AB5790" w:rsidRPr="00DD5F1D" w:rsidRDefault="00AB5790" w:rsidP="00190567">
            <w:pPr>
              <w:jc w:val="cente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Indicatori</w:t>
            </w:r>
          </w:p>
        </w:tc>
        <w:tc>
          <w:tcPr>
            <w:tcW w:w="658" w:type="pct"/>
            <w:noWrap/>
            <w:vAlign w:val="center"/>
            <w:hideMark/>
          </w:tcPr>
          <w:p w14:paraId="3D6C1384" w14:textId="77777777" w:rsidR="00AB5790" w:rsidRPr="00DD5F1D" w:rsidRDefault="00AB5790" w:rsidP="00190567">
            <w:pPr>
              <w:jc w:val="cente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Aprobat</w:t>
            </w:r>
          </w:p>
        </w:tc>
        <w:tc>
          <w:tcPr>
            <w:tcW w:w="1470" w:type="pct"/>
            <w:gridSpan w:val="2"/>
            <w:noWrap/>
            <w:vAlign w:val="center"/>
            <w:hideMark/>
          </w:tcPr>
          <w:p w14:paraId="76358831" w14:textId="77777777" w:rsidR="00AB5790" w:rsidRPr="00DD5F1D" w:rsidRDefault="00AB5790" w:rsidP="00190567">
            <w:pPr>
              <w:jc w:val="cente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Modificări operate de Parlament</w:t>
            </w:r>
          </w:p>
        </w:tc>
        <w:tc>
          <w:tcPr>
            <w:tcW w:w="612" w:type="pct"/>
            <w:noWrap/>
            <w:vAlign w:val="center"/>
            <w:hideMark/>
          </w:tcPr>
          <w:p w14:paraId="7EB6A673" w14:textId="77777777" w:rsidR="00AB5790" w:rsidRPr="00DD5F1D" w:rsidRDefault="00AB5790" w:rsidP="00190567">
            <w:pPr>
              <w:jc w:val="cente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Devieri (+/-)</w:t>
            </w:r>
          </w:p>
        </w:tc>
      </w:tr>
      <w:tr w:rsidR="00AB5790" w:rsidRPr="00DD5F1D" w14:paraId="105CA8EE" w14:textId="77777777" w:rsidTr="00AA162B">
        <w:trPr>
          <w:trHeight w:val="458"/>
        </w:trPr>
        <w:tc>
          <w:tcPr>
            <w:tcW w:w="2259" w:type="pct"/>
            <w:vMerge/>
            <w:hideMark/>
          </w:tcPr>
          <w:p w14:paraId="210BBDC3" w14:textId="77777777" w:rsidR="00AB5790" w:rsidRPr="00DD5F1D" w:rsidRDefault="00AB5790" w:rsidP="00190567">
            <w:pPr>
              <w:rPr>
                <w:rFonts w:ascii="Times New Roman" w:eastAsia="Times New Roman" w:hAnsi="Times New Roman" w:cs="Times New Roman"/>
                <w:b/>
                <w:bCs/>
                <w:sz w:val="20"/>
                <w:szCs w:val="20"/>
                <w:lang w:val="ro-MD"/>
              </w:rPr>
            </w:pPr>
          </w:p>
        </w:tc>
        <w:tc>
          <w:tcPr>
            <w:tcW w:w="658" w:type="pct"/>
            <w:vAlign w:val="center"/>
            <w:hideMark/>
          </w:tcPr>
          <w:p w14:paraId="5A7BA221" w14:textId="77777777" w:rsidR="00AB5790" w:rsidRPr="00DD5F1D" w:rsidRDefault="00AB5790" w:rsidP="00190567">
            <w:pPr>
              <w:jc w:val="center"/>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Legea nr.357 din 22.12.2022</w:t>
            </w:r>
          </w:p>
        </w:tc>
        <w:tc>
          <w:tcPr>
            <w:tcW w:w="735" w:type="pct"/>
            <w:vAlign w:val="center"/>
            <w:hideMark/>
          </w:tcPr>
          <w:p w14:paraId="54079FFB" w14:textId="77777777" w:rsidR="00AB5790" w:rsidRPr="00DD5F1D" w:rsidRDefault="00AB5790" w:rsidP="00190567">
            <w:pPr>
              <w:jc w:val="center"/>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Legea nr.169 din 22.06.2023</w:t>
            </w:r>
          </w:p>
        </w:tc>
        <w:tc>
          <w:tcPr>
            <w:tcW w:w="736" w:type="pct"/>
            <w:vAlign w:val="center"/>
            <w:hideMark/>
          </w:tcPr>
          <w:p w14:paraId="439151C6" w14:textId="77777777" w:rsidR="00AB5790" w:rsidRPr="00DD5F1D" w:rsidRDefault="00AB5790" w:rsidP="00190567">
            <w:pPr>
              <w:jc w:val="center"/>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Legea nr.296 din 19.10.2023</w:t>
            </w:r>
          </w:p>
        </w:tc>
        <w:tc>
          <w:tcPr>
            <w:tcW w:w="612" w:type="pct"/>
            <w:vAlign w:val="center"/>
            <w:hideMark/>
          </w:tcPr>
          <w:p w14:paraId="38FB00DB" w14:textId="622FCAF9" w:rsidR="00AB5790" w:rsidRPr="00DD5F1D" w:rsidRDefault="00AB5790" w:rsidP="00190567">
            <w:pPr>
              <w:jc w:val="cente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Ultima modificare/</w:t>
            </w:r>
            <w:r w:rsidR="00AA162B">
              <w:rPr>
                <w:rFonts w:ascii="Times New Roman" w:eastAsia="Times New Roman" w:hAnsi="Times New Roman" w:cs="Times New Roman"/>
                <w:b/>
                <w:bCs/>
                <w:sz w:val="20"/>
                <w:szCs w:val="20"/>
                <w:lang w:val="ro-MD"/>
              </w:rPr>
              <w:t xml:space="preserve"> </w:t>
            </w:r>
            <w:r w:rsidRPr="00DD5F1D">
              <w:rPr>
                <w:rFonts w:ascii="Times New Roman" w:eastAsia="Times New Roman" w:hAnsi="Times New Roman" w:cs="Times New Roman"/>
                <w:b/>
                <w:bCs/>
                <w:sz w:val="20"/>
                <w:szCs w:val="20"/>
                <w:lang w:val="ro-MD"/>
              </w:rPr>
              <w:t>aprobat</w:t>
            </w:r>
          </w:p>
        </w:tc>
      </w:tr>
      <w:tr w:rsidR="00AB5790" w:rsidRPr="00DD5F1D" w14:paraId="0673E01D" w14:textId="77777777" w:rsidTr="00AA162B">
        <w:trPr>
          <w:trHeight w:val="170"/>
        </w:trPr>
        <w:tc>
          <w:tcPr>
            <w:tcW w:w="2259" w:type="pct"/>
            <w:noWrap/>
            <w:hideMark/>
          </w:tcPr>
          <w:p w14:paraId="4DC95DFE" w14:textId="77777777" w:rsidR="00AB5790" w:rsidRPr="00DD5F1D" w:rsidRDefault="00AB5790" w:rsidP="00190567">
            <w:pPr>
              <w:jc w:val="center"/>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1</w:t>
            </w:r>
          </w:p>
        </w:tc>
        <w:tc>
          <w:tcPr>
            <w:tcW w:w="658" w:type="pct"/>
            <w:hideMark/>
          </w:tcPr>
          <w:p w14:paraId="4127C791" w14:textId="77777777" w:rsidR="00AB5790" w:rsidRPr="00DD5F1D" w:rsidRDefault="00AB5790" w:rsidP="00190567">
            <w:pPr>
              <w:jc w:val="center"/>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2</w:t>
            </w:r>
          </w:p>
        </w:tc>
        <w:tc>
          <w:tcPr>
            <w:tcW w:w="735" w:type="pct"/>
            <w:hideMark/>
          </w:tcPr>
          <w:p w14:paraId="2E1FEDE7" w14:textId="77777777" w:rsidR="00AB5790" w:rsidRPr="00DD5F1D" w:rsidRDefault="00AB5790" w:rsidP="00190567">
            <w:pPr>
              <w:jc w:val="center"/>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3</w:t>
            </w:r>
          </w:p>
        </w:tc>
        <w:tc>
          <w:tcPr>
            <w:tcW w:w="736" w:type="pct"/>
            <w:hideMark/>
          </w:tcPr>
          <w:p w14:paraId="19F683CC" w14:textId="77777777" w:rsidR="00AB5790" w:rsidRPr="00DD5F1D" w:rsidRDefault="00AB5790" w:rsidP="00190567">
            <w:pPr>
              <w:jc w:val="center"/>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4</w:t>
            </w:r>
          </w:p>
        </w:tc>
        <w:tc>
          <w:tcPr>
            <w:tcW w:w="612" w:type="pct"/>
            <w:noWrap/>
            <w:hideMark/>
          </w:tcPr>
          <w:p w14:paraId="212AEA86" w14:textId="77777777" w:rsidR="00AB5790" w:rsidRPr="00DD5F1D" w:rsidRDefault="00AB5790" w:rsidP="00190567">
            <w:pPr>
              <w:jc w:val="center"/>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5=4-2</w:t>
            </w:r>
          </w:p>
        </w:tc>
      </w:tr>
      <w:tr w:rsidR="00AB5790" w:rsidRPr="00DD5F1D" w14:paraId="26EA3369" w14:textId="77777777" w:rsidTr="00AA162B">
        <w:trPr>
          <w:trHeight w:val="197"/>
        </w:trPr>
        <w:tc>
          <w:tcPr>
            <w:tcW w:w="2259" w:type="pct"/>
            <w:hideMark/>
          </w:tcPr>
          <w:p w14:paraId="26696C50" w14:textId="77777777" w:rsidR="00AB5790" w:rsidRPr="00DD5F1D" w:rsidRDefault="00AB5790" w:rsidP="00190567">
            <w:pP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I. Venituri, total</w:t>
            </w:r>
          </w:p>
        </w:tc>
        <w:tc>
          <w:tcPr>
            <w:tcW w:w="658" w:type="pct"/>
            <w:hideMark/>
          </w:tcPr>
          <w:p w14:paraId="356D003F"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38735604,7</w:t>
            </w:r>
          </w:p>
        </w:tc>
        <w:tc>
          <w:tcPr>
            <w:tcW w:w="735" w:type="pct"/>
            <w:noWrap/>
            <w:hideMark/>
          </w:tcPr>
          <w:p w14:paraId="31AF39CB"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38680604.7</w:t>
            </w:r>
          </w:p>
        </w:tc>
        <w:tc>
          <w:tcPr>
            <w:tcW w:w="736" w:type="pct"/>
            <w:noWrap/>
            <w:hideMark/>
          </w:tcPr>
          <w:p w14:paraId="2A48F079"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38833562.5</w:t>
            </w:r>
          </w:p>
        </w:tc>
        <w:tc>
          <w:tcPr>
            <w:tcW w:w="612" w:type="pct"/>
            <w:noWrap/>
            <w:hideMark/>
          </w:tcPr>
          <w:p w14:paraId="4B3E0F9F" w14:textId="77777777" w:rsidR="00AB5790" w:rsidRPr="00DD5F1D" w:rsidRDefault="00AB5790" w:rsidP="00190567">
            <w:pPr>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97957.8</w:t>
            </w:r>
          </w:p>
        </w:tc>
      </w:tr>
      <w:tr w:rsidR="00AB5790" w:rsidRPr="00DD5F1D" w14:paraId="46F8BA7D" w14:textId="77777777" w:rsidTr="00AA162B">
        <w:trPr>
          <w:trHeight w:val="224"/>
        </w:trPr>
        <w:tc>
          <w:tcPr>
            <w:tcW w:w="2259" w:type="pct"/>
            <w:hideMark/>
          </w:tcPr>
          <w:p w14:paraId="01C30529" w14:textId="77777777" w:rsidR="00AB5790" w:rsidRPr="00DD5F1D" w:rsidRDefault="00AB5790" w:rsidP="00190567">
            <w:pPr>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inclusiv transferuri de la bugetul de stat</w:t>
            </w:r>
          </w:p>
        </w:tc>
        <w:tc>
          <w:tcPr>
            <w:tcW w:w="658" w:type="pct"/>
            <w:hideMark/>
          </w:tcPr>
          <w:p w14:paraId="31A9AA58" w14:textId="77777777" w:rsidR="00AB5790" w:rsidRPr="00DD5F1D" w:rsidRDefault="00AB5790" w:rsidP="00190567">
            <w:pPr>
              <w:jc w:val="right"/>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17169869.3</w:t>
            </w:r>
          </w:p>
        </w:tc>
        <w:tc>
          <w:tcPr>
            <w:tcW w:w="735" w:type="pct"/>
            <w:noWrap/>
            <w:hideMark/>
          </w:tcPr>
          <w:p w14:paraId="54F8D181" w14:textId="77777777" w:rsidR="00AB5790" w:rsidRPr="00DD5F1D" w:rsidRDefault="00AB5790" w:rsidP="00190567">
            <w:pPr>
              <w:jc w:val="right"/>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17114869.3</w:t>
            </w:r>
          </w:p>
        </w:tc>
        <w:tc>
          <w:tcPr>
            <w:tcW w:w="736" w:type="pct"/>
            <w:noWrap/>
            <w:hideMark/>
          </w:tcPr>
          <w:p w14:paraId="688A230B" w14:textId="77777777" w:rsidR="00AB5790" w:rsidRPr="00DD5F1D" w:rsidRDefault="00AB5790" w:rsidP="00190567">
            <w:pPr>
              <w:jc w:val="right"/>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16792627.1</w:t>
            </w:r>
          </w:p>
        </w:tc>
        <w:tc>
          <w:tcPr>
            <w:tcW w:w="612" w:type="pct"/>
            <w:noWrap/>
            <w:hideMark/>
          </w:tcPr>
          <w:p w14:paraId="166F4D64"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-377242.2</w:t>
            </w:r>
          </w:p>
        </w:tc>
      </w:tr>
      <w:tr w:rsidR="00AB5790" w:rsidRPr="00DD5F1D" w14:paraId="756A08D0" w14:textId="77777777" w:rsidTr="00AA162B">
        <w:trPr>
          <w:trHeight w:val="170"/>
        </w:trPr>
        <w:tc>
          <w:tcPr>
            <w:tcW w:w="2259" w:type="pct"/>
            <w:hideMark/>
          </w:tcPr>
          <w:p w14:paraId="4F1719FC" w14:textId="77777777" w:rsidR="00AB5790" w:rsidRPr="00DD5F1D" w:rsidRDefault="00AB5790" w:rsidP="00190567">
            <w:pP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II. Cheltuieli, total</w:t>
            </w:r>
          </w:p>
        </w:tc>
        <w:tc>
          <w:tcPr>
            <w:tcW w:w="658" w:type="pct"/>
            <w:hideMark/>
          </w:tcPr>
          <w:p w14:paraId="444CCAD0"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38735604.7</w:t>
            </w:r>
          </w:p>
        </w:tc>
        <w:tc>
          <w:tcPr>
            <w:tcW w:w="735" w:type="pct"/>
            <w:noWrap/>
            <w:hideMark/>
          </w:tcPr>
          <w:p w14:paraId="510D677A"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38680604.7</w:t>
            </w:r>
          </w:p>
        </w:tc>
        <w:tc>
          <w:tcPr>
            <w:tcW w:w="736" w:type="pct"/>
            <w:noWrap/>
            <w:hideMark/>
          </w:tcPr>
          <w:p w14:paraId="0A478BF7"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38833562.5</w:t>
            </w:r>
          </w:p>
        </w:tc>
        <w:tc>
          <w:tcPr>
            <w:tcW w:w="612" w:type="pct"/>
            <w:noWrap/>
            <w:hideMark/>
          </w:tcPr>
          <w:p w14:paraId="75D131A2" w14:textId="77777777" w:rsidR="00AB5790" w:rsidRPr="00DD5F1D" w:rsidRDefault="00AB5790" w:rsidP="00190567">
            <w:pPr>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97957.8</w:t>
            </w:r>
          </w:p>
        </w:tc>
      </w:tr>
      <w:tr w:rsidR="00AB5790" w:rsidRPr="00DD5F1D" w14:paraId="09319AD1" w14:textId="77777777" w:rsidTr="00AA162B">
        <w:trPr>
          <w:trHeight w:val="197"/>
        </w:trPr>
        <w:tc>
          <w:tcPr>
            <w:tcW w:w="2259" w:type="pct"/>
            <w:hideMark/>
          </w:tcPr>
          <w:p w14:paraId="7FE1023A" w14:textId="77777777" w:rsidR="00AB5790" w:rsidRPr="00DD5F1D" w:rsidRDefault="00AB5790" w:rsidP="00190567">
            <w:pPr>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inclusiv cheltuieli de personal</w:t>
            </w:r>
          </w:p>
        </w:tc>
        <w:tc>
          <w:tcPr>
            <w:tcW w:w="658" w:type="pct"/>
            <w:hideMark/>
          </w:tcPr>
          <w:p w14:paraId="761F7636" w14:textId="77777777" w:rsidR="00AB5790" w:rsidRPr="00DD5F1D" w:rsidRDefault="00AB5790" w:rsidP="00190567">
            <w:pPr>
              <w:jc w:val="right"/>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214425.6</w:t>
            </w:r>
          </w:p>
        </w:tc>
        <w:tc>
          <w:tcPr>
            <w:tcW w:w="735" w:type="pct"/>
            <w:noWrap/>
            <w:hideMark/>
          </w:tcPr>
          <w:p w14:paraId="3006DB4C" w14:textId="77777777" w:rsidR="00AB5790" w:rsidRPr="00DD5F1D" w:rsidRDefault="00AB5790" w:rsidP="00190567">
            <w:pPr>
              <w:jc w:val="right"/>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214425.6</w:t>
            </w:r>
          </w:p>
        </w:tc>
        <w:tc>
          <w:tcPr>
            <w:tcW w:w="736" w:type="pct"/>
            <w:noWrap/>
            <w:hideMark/>
          </w:tcPr>
          <w:p w14:paraId="1217B8D2" w14:textId="77777777" w:rsidR="00AB5790" w:rsidRPr="00DD5F1D" w:rsidRDefault="00AB5790" w:rsidP="00190567">
            <w:pPr>
              <w:jc w:val="right"/>
              <w:rPr>
                <w:rFonts w:ascii="Times New Roman" w:eastAsia="Times New Roman" w:hAnsi="Times New Roman" w:cs="Times New Roman"/>
                <w:i/>
                <w:iCs/>
                <w:sz w:val="20"/>
                <w:szCs w:val="20"/>
                <w:lang w:val="ro-MD"/>
              </w:rPr>
            </w:pPr>
            <w:r w:rsidRPr="00DD5F1D">
              <w:rPr>
                <w:rFonts w:ascii="Times New Roman" w:eastAsia="Times New Roman" w:hAnsi="Times New Roman" w:cs="Times New Roman"/>
                <w:i/>
                <w:iCs/>
                <w:sz w:val="20"/>
                <w:szCs w:val="20"/>
                <w:lang w:val="ro-MD"/>
              </w:rPr>
              <w:t>214425.6</w:t>
            </w:r>
          </w:p>
        </w:tc>
        <w:tc>
          <w:tcPr>
            <w:tcW w:w="612" w:type="pct"/>
            <w:noWrap/>
            <w:hideMark/>
          </w:tcPr>
          <w:p w14:paraId="331A0B55"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0</w:t>
            </w:r>
          </w:p>
        </w:tc>
      </w:tr>
      <w:tr w:rsidR="00AB5790" w:rsidRPr="00DD5F1D" w14:paraId="756B31B7" w14:textId="77777777" w:rsidTr="00AA162B">
        <w:trPr>
          <w:trHeight w:val="224"/>
        </w:trPr>
        <w:tc>
          <w:tcPr>
            <w:tcW w:w="2259" w:type="pct"/>
            <w:noWrap/>
            <w:hideMark/>
          </w:tcPr>
          <w:p w14:paraId="4F0CFCB9" w14:textId="77777777" w:rsidR="00AB5790" w:rsidRPr="00DD5F1D" w:rsidRDefault="00AB5790" w:rsidP="00190567">
            <w:pP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Protecția socială</w:t>
            </w:r>
          </w:p>
        </w:tc>
        <w:tc>
          <w:tcPr>
            <w:tcW w:w="658" w:type="pct"/>
            <w:hideMark/>
          </w:tcPr>
          <w:p w14:paraId="404812E8"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38735604.7</w:t>
            </w:r>
          </w:p>
        </w:tc>
        <w:tc>
          <w:tcPr>
            <w:tcW w:w="735" w:type="pct"/>
            <w:noWrap/>
            <w:hideMark/>
          </w:tcPr>
          <w:p w14:paraId="280A35FC"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38680604.7</w:t>
            </w:r>
          </w:p>
        </w:tc>
        <w:tc>
          <w:tcPr>
            <w:tcW w:w="736" w:type="pct"/>
            <w:noWrap/>
            <w:hideMark/>
          </w:tcPr>
          <w:p w14:paraId="2AC5C703"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38833562.5</w:t>
            </w:r>
          </w:p>
        </w:tc>
        <w:tc>
          <w:tcPr>
            <w:tcW w:w="612" w:type="pct"/>
            <w:noWrap/>
            <w:hideMark/>
          </w:tcPr>
          <w:p w14:paraId="007075FE" w14:textId="77777777" w:rsidR="00AB5790" w:rsidRPr="00DD5F1D" w:rsidRDefault="00AB5790" w:rsidP="00190567">
            <w:pPr>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97957.8</w:t>
            </w:r>
          </w:p>
        </w:tc>
      </w:tr>
      <w:tr w:rsidR="00AB5790" w:rsidRPr="00DD5F1D" w14:paraId="6113A696" w14:textId="77777777" w:rsidTr="00AA162B">
        <w:trPr>
          <w:trHeight w:val="296"/>
        </w:trPr>
        <w:tc>
          <w:tcPr>
            <w:tcW w:w="2259" w:type="pct"/>
            <w:hideMark/>
          </w:tcPr>
          <w:p w14:paraId="2C5F2C46" w14:textId="77777777" w:rsidR="00AB5790" w:rsidRPr="00DD5F1D" w:rsidRDefault="00AB5790" w:rsidP="00190567">
            <w:pP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Administrarea sistemului public de asigurări sociale</w:t>
            </w:r>
          </w:p>
        </w:tc>
        <w:tc>
          <w:tcPr>
            <w:tcW w:w="658" w:type="pct"/>
            <w:hideMark/>
          </w:tcPr>
          <w:p w14:paraId="5A3242EF"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307061.9</w:t>
            </w:r>
          </w:p>
        </w:tc>
        <w:tc>
          <w:tcPr>
            <w:tcW w:w="735" w:type="pct"/>
            <w:noWrap/>
            <w:hideMark/>
          </w:tcPr>
          <w:p w14:paraId="553EABEE"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307061.9</w:t>
            </w:r>
          </w:p>
        </w:tc>
        <w:tc>
          <w:tcPr>
            <w:tcW w:w="736" w:type="pct"/>
            <w:noWrap/>
            <w:hideMark/>
          </w:tcPr>
          <w:p w14:paraId="6056B2E2"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307061.9</w:t>
            </w:r>
          </w:p>
        </w:tc>
        <w:tc>
          <w:tcPr>
            <w:tcW w:w="612" w:type="pct"/>
            <w:noWrap/>
            <w:hideMark/>
          </w:tcPr>
          <w:p w14:paraId="791977BE"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0</w:t>
            </w:r>
          </w:p>
        </w:tc>
      </w:tr>
      <w:tr w:rsidR="00AB5790" w:rsidRPr="00DD5F1D" w14:paraId="4AFC2872" w14:textId="77777777" w:rsidTr="00AA162B">
        <w:trPr>
          <w:trHeight w:val="260"/>
        </w:trPr>
        <w:tc>
          <w:tcPr>
            <w:tcW w:w="2259" w:type="pct"/>
            <w:hideMark/>
          </w:tcPr>
          <w:p w14:paraId="49EABE5B" w14:textId="77777777" w:rsidR="00AB5790" w:rsidRPr="00DD5F1D" w:rsidRDefault="00AB5790" w:rsidP="00190567">
            <w:pP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Protecția în caz de incapacitate temporară de muncă</w:t>
            </w:r>
          </w:p>
        </w:tc>
        <w:tc>
          <w:tcPr>
            <w:tcW w:w="658" w:type="pct"/>
            <w:hideMark/>
          </w:tcPr>
          <w:p w14:paraId="4D95782F"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947508.7</w:t>
            </w:r>
          </w:p>
        </w:tc>
        <w:tc>
          <w:tcPr>
            <w:tcW w:w="735" w:type="pct"/>
            <w:noWrap/>
            <w:hideMark/>
          </w:tcPr>
          <w:p w14:paraId="7A3075B8"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947508.7</w:t>
            </w:r>
          </w:p>
        </w:tc>
        <w:tc>
          <w:tcPr>
            <w:tcW w:w="736" w:type="pct"/>
            <w:noWrap/>
            <w:hideMark/>
          </w:tcPr>
          <w:p w14:paraId="3020FB19"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979532.7</w:t>
            </w:r>
          </w:p>
        </w:tc>
        <w:tc>
          <w:tcPr>
            <w:tcW w:w="612" w:type="pct"/>
            <w:noWrap/>
            <w:hideMark/>
          </w:tcPr>
          <w:p w14:paraId="7C4DAD3E"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32024</w:t>
            </w:r>
          </w:p>
        </w:tc>
      </w:tr>
      <w:tr w:rsidR="00AB5790" w:rsidRPr="00DD5F1D" w14:paraId="7E0374F3" w14:textId="77777777" w:rsidTr="00AA162B">
        <w:trPr>
          <w:trHeight w:val="260"/>
        </w:trPr>
        <w:tc>
          <w:tcPr>
            <w:tcW w:w="2259" w:type="pct"/>
            <w:hideMark/>
          </w:tcPr>
          <w:p w14:paraId="46A8803F" w14:textId="77777777" w:rsidR="00AB5790" w:rsidRPr="00DD5F1D" w:rsidRDefault="00AB5790" w:rsidP="00190567">
            <w:pP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Protecția persoanelor în etate</w:t>
            </w:r>
          </w:p>
        </w:tc>
        <w:tc>
          <w:tcPr>
            <w:tcW w:w="658" w:type="pct"/>
            <w:hideMark/>
          </w:tcPr>
          <w:p w14:paraId="494CBAC4"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25963387.9</w:t>
            </w:r>
          </w:p>
        </w:tc>
        <w:tc>
          <w:tcPr>
            <w:tcW w:w="735" w:type="pct"/>
            <w:noWrap/>
            <w:hideMark/>
          </w:tcPr>
          <w:p w14:paraId="1FA5CECA"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25963387.9</w:t>
            </w:r>
          </w:p>
        </w:tc>
        <w:tc>
          <w:tcPr>
            <w:tcW w:w="736" w:type="pct"/>
            <w:noWrap/>
            <w:hideMark/>
          </w:tcPr>
          <w:p w14:paraId="36FAF034"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25889177</w:t>
            </w:r>
          </w:p>
        </w:tc>
        <w:tc>
          <w:tcPr>
            <w:tcW w:w="612" w:type="pct"/>
            <w:noWrap/>
            <w:hideMark/>
          </w:tcPr>
          <w:p w14:paraId="53DDC60B"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-74210.9</w:t>
            </w:r>
          </w:p>
        </w:tc>
      </w:tr>
      <w:tr w:rsidR="00AB5790" w:rsidRPr="00DD5F1D" w14:paraId="0EE8C857" w14:textId="77777777" w:rsidTr="00AA162B">
        <w:trPr>
          <w:trHeight w:val="251"/>
        </w:trPr>
        <w:tc>
          <w:tcPr>
            <w:tcW w:w="2259" w:type="pct"/>
            <w:hideMark/>
          </w:tcPr>
          <w:p w14:paraId="65AA9020" w14:textId="77777777" w:rsidR="00AB5790" w:rsidRPr="00DD5F1D" w:rsidRDefault="00AB5790" w:rsidP="00190567">
            <w:pP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Protecția în legătură cu pierderea întreținătorului</w:t>
            </w:r>
          </w:p>
        </w:tc>
        <w:tc>
          <w:tcPr>
            <w:tcW w:w="658" w:type="pct"/>
            <w:hideMark/>
          </w:tcPr>
          <w:p w14:paraId="5B681395"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508430.9</w:t>
            </w:r>
          </w:p>
        </w:tc>
        <w:tc>
          <w:tcPr>
            <w:tcW w:w="735" w:type="pct"/>
            <w:noWrap/>
            <w:hideMark/>
          </w:tcPr>
          <w:p w14:paraId="42C433EA"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508430.9</w:t>
            </w:r>
          </w:p>
        </w:tc>
        <w:tc>
          <w:tcPr>
            <w:tcW w:w="736" w:type="pct"/>
            <w:noWrap/>
            <w:hideMark/>
          </w:tcPr>
          <w:p w14:paraId="7C086A5A"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596863.4</w:t>
            </w:r>
          </w:p>
        </w:tc>
        <w:tc>
          <w:tcPr>
            <w:tcW w:w="612" w:type="pct"/>
            <w:noWrap/>
            <w:hideMark/>
          </w:tcPr>
          <w:p w14:paraId="69E4F06F"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88432.5</w:t>
            </w:r>
          </w:p>
        </w:tc>
      </w:tr>
      <w:tr w:rsidR="00AB5790" w:rsidRPr="00DD5F1D" w14:paraId="5CBA326C" w14:textId="77777777" w:rsidTr="00AA162B">
        <w:trPr>
          <w:trHeight w:val="260"/>
        </w:trPr>
        <w:tc>
          <w:tcPr>
            <w:tcW w:w="2259" w:type="pct"/>
            <w:hideMark/>
          </w:tcPr>
          <w:p w14:paraId="135A684E" w14:textId="77777777" w:rsidR="00AB5790" w:rsidRPr="00DD5F1D" w:rsidRDefault="00AB5790" w:rsidP="00190567">
            <w:pP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Protecția familiei și copilului</w:t>
            </w:r>
          </w:p>
        </w:tc>
        <w:tc>
          <w:tcPr>
            <w:tcW w:w="658" w:type="pct"/>
            <w:hideMark/>
          </w:tcPr>
          <w:p w14:paraId="0E6042BE"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4061940.7</w:t>
            </w:r>
          </w:p>
        </w:tc>
        <w:tc>
          <w:tcPr>
            <w:tcW w:w="735" w:type="pct"/>
            <w:noWrap/>
            <w:hideMark/>
          </w:tcPr>
          <w:p w14:paraId="1DED34AA"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4061940.7</w:t>
            </w:r>
          </w:p>
        </w:tc>
        <w:tc>
          <w:tcPr>
            <w:tcW w:w="736" w:type="pct"/>
            <w:noWrap/>
            <w:hideMark/>
          </w:tcPr>
          <w:p w14:paraId="300A15BB"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4021176.9</w:t>
            </w:r>
          </w:p>
        </w:tc>
        <w:tc>
          <w:tcPr>
            <w:tcW w:w="612" w:type="pct"/>
            <w:noWrap/>
            <w:hideMark/>
          </w:tcPr>
          <w:p w14:paraId="0DF074B6"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-40763.8</w:t>
            </w:r>
          </w:p>
        </w:tc>
      </w:tr>
      <w:tr w:rsidR="00AB5790" w:rsidRPr="00DD5F1D" w14:paraId="1DD8673C" w14:textId="77777777" w:rsidTr="00AA162B">
        <w:trPr>
          <w:trHeight w:val="260"/>
        </w:trPr>
        <w:tc>
          <w:tcPr>
            <w:tcW w:w="2259" w:type="pct"/>
            <w:hideMark/>
          </w:tcPr>
          <w:p w14:paraId="6E2D3DEF" w14:textId="77777777" w:rsidR="00AB5790" w:rsidRPr="00DD5F1D" w:rsidRDefault="00AB5790" w:rsidP="00190567">
            <w:pP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Protecția șomerilor</w:t>
            </w:r>
          </w:p>
        </w:tc>
        <w:tc>
          <w:tcPr>
            <w:tcW w:w="658" w:type="pct"/>
            <w:hideMark/>
          </w:tcPr>
          <w:p w14:paraId="58ADFED2"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49055.7</w:t>
            </w:r>
          </w:p>
        </w:tc>
        <w:tc>
          <w:tcPr>
            <w:tcW w:w="735" w:type="pct"/>
            <w:noWrap/>
            <w:hideMark/>
          </w:tcPr>
          <w:p w14:paraId="2615A804"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51055.7</w:t>
            </w:r>
          </w:p>
        </w:tc>
        <w:tc>
          <w:tcPr>
            <w:tcW w:w="736" w:type="pct"/>
            <w:noWrap/>
            <w:hideMark/>
          </w:tcPr>
          <w:p w14:paraId="27DB603F"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79018.5</w:t>
            </w:r>
          </w:p>
        </w:tc>
        <w:tc>
          <w:tcPr>
            <w:tcW w:w="612" w:type="pct"/>
            <w:noWrap/>
            <w:hideMark/>
          </w:tcPr>
          <w:p w14:paraId="26080C9B"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29962.8</w:t>
            </w:r>
          </w:p>
        </w:tc>
      </w:tr>
      <w:tr w:rsidR="00AB5790" w:rsidRPr="00DD5F1D" w14:paraId="462D8993" w14:textId="77777777" w:rsidTr="00AA162B">
        <w:trPr>
          <w:trHeight w:val="260"/>
        </w:trPr>
        <w:tc>
          <w:tcPr>
            <w:tcW w:w="2259" w:type="pct"/>
            <w:hideMark/>
          </w:tcPr>
          <w:p w14:paraId="11FD22DF" w14:textId="77777777" w:rsidR="00AB5790" w:rsidRPr="00DD5F1D" w:rsidRDefault="00AB5790" w:rsidP="00190567">
            <w:pP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Protecția socială a persoanelor cu dizabilități</w:t>
            </w:r>
          </w:p>
        </w:tc>
        <w:tc>
          <w:tcPr>
            <w:tcW w:w="658" w:type="pct"/>
            <w:hideMark/>
          </w:tcPr>
          <w:p w14:paraId="372F6FB9"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4566650.9</w:t>
            </w:r>
          </w:p>
        </w:tc>
        <w:tc>
          <w:tcPr>
            <w:tcW w:w="735" w:type="pct"/>
            <w:noWrap/>
            <w:hideMark/>
          </w:tcPr>
          <w:p w14:paraId="31DDD437"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4566650.9</w:t>
            </w:r>
          </w:p>
        </w:tc>
        <w:tc>
          <w:tcPr>
            <w:tcW w:w="736" w:type="pct"/>
            <w:noWrap/>
            <w:hideMark/>
          </w:tcPr>
          <w:p w14:paraId="26230AD0"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4533206.3</w:t>
            </w:r>
          </w:p>
        </w:tc>
        <w:tc>
          <w:tcPr>
            <w:tcW w:w="612" w:type="pct"/>
            <w:noWrap/>
            <w:hideMark/>
          </w:tcPr>
          <w:p w14:paraId="29629652"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-33444.6</w:t>
            </w:r>
          </w:p>
        </w:tc>
      </w:tr>
      <w:tr w:rsidR="00AB5790" w:rsidRPr="00DD5F1D" w14:paraId="09406F22" w14:textId="77777777" w:rsidTr="00AA162B">
        <w:trPr>
          <w:trHeight w:val="260"/>
        </w:trPr>
        <w:tc>
          <w:tcPr>
            <w:tcW w:w="2259" w:type="pct"/>
            <w:hideMark/>
          </w:tcPr>
          <w:p w14:paraId="5C03B8AC" w14:textId="77777777" w:rsidR="00AB5790" w:rsidRPr="00DD5F1D" w:rsidRDefault="00AB5790" w:rsidP="00190567">
            <w:pP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Susținerea suplimentară a unor categorii de populație</w:t>
            </w:r>
          </w:p>
        </w:tc>
        <w:tc>
          <w:tcPr>
            <w:tcW w:w="658" w:type="pct"/>
            <w:hideMark/>
          </w:tcPr>
          <w:p w14:paraId="15D08A62"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152964.5</w:t>
            </w:r>
          </w:p>
        </w:tc>
        <w:tc>
          <w:tcPr>
            <w:tcW w:w="735" w:type="pct"/>
            <w:noWrap/>
            <w:hideMark/>
          </w:tcPr>
          <w:p w14:paraId="7C599AA7"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152964.5</w:t>
            </w:r>
          </w:p>
        </w:tc>
        <w:tc>
          <w:tcPr>
            <w:tcW w:w="736" w:type="pct"/>
            <w:noWrap/>
            <w:hideMark/>
          </w:tcPr>
          <w:p w14:paraId="148EFCB2"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152964.5</w:t>
            </w:r>
          </w:p>
        </w:tc>
        <w:tc>
          <w:tcPr>
            <w:tcW w:w="612" w:type="pct"/>
            <w:noWrap/>
            <w:hideMark/>
          </w:tcPr>
          <w:p w14:paraId="4C80EE3D"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0</w:t>
            </w:r>
          </w:p>
        </w:tc>
      </w:tr>
      <w:tr w:rsidR="00AB5790" w:rsidRPr="00DD5F1D" w14:paraId="75199247" w14:textId="77777777" w:rsidTr="00AA162B">
        <w:trPr>
          <w:trHeight w:val="260"/>
        </w:trPr>
        <w:tc>
          <w:tcPr>
            <w:tcW w:w="2259" w:type="pct"/>
            <w:hideMark/>
          </w:tcPr>
          <w:p w14:paraId="07F41E15" w14:textId="77777777" w:rsidR="00AB5790" w:rsidRPr="00DD5F1D" w:rsidRDefault="00AB5790" w:rsidP="00190567">
            <w:pP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Protecția socială în cazuri excepționale</w:t>
            </w:r>
          </w:p>
        </w:tc>
        <w:tc>
          <w:tcPr>
            <w:tcW w:w="658" w:type="pct"/>
            <w:hideMark/>
          </w:tcPr>
          <w:p w14:paraId="3B32BDFB"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1565082.5</w:t>
            </w:r>
          </w:p>
        </w:tc>
        <w:tc>
          <w:tcPr>
            <w:tcW w:w="735" w:type="pct"/>
            <w:noWrap/>
            <w:hideMark/>
          </w:tcPr>
          <w:p w14:paraId="24AF226C"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1508082.5</w:t>
            </w:r>
          </w:p>
        </w:tc>
        <w:tc>
          <w:tcPr>
            <w:tcW w:w="736" w:type="pct"/>
            <w:noWrap/>
            <w:hideMark/>
          </w:tcPr>
          <w:p w14:paraId="6DC853B6"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1577038.6</w:t>
            </w:r>
          </w:p>
        </w:tc>
        <w:tc>
          <w:tcPr>
            <w:tcW w:w="612" w:type="pct"/>
            <w:noWrap/>
            <w:hideMark/>
          </w:tcPr>
          <w:p w14:paraId="39405C16"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11956.1</w:t>
            </w:r>
          </w:p>
        </w:tc>
      </w:tr>
      <w:tr w:rsidR="00AB5790" w:rsidRPr="00DD5F1D" w14:paraId="4741272D" w14:textId="77777777" w:rsidTr="00AA162B">
        <w:trPr>
          <w:trHeight w:val="260"/>
        </w:trPr>
        <w:tc>
          <w:tcPr>
            <w:tcW w:w="2259" w:type="pct"/>
            <w:hideMark/>
          </w:tcPr>
          <w:p w14:paraId="710DA946" w14:textId="77777777" w:rsidR="00AB5790" w:rsidRPr="00DD5F1D" w:rsidRDefault="00AB5790" w:rsidP="00190567">
            <w:pP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Protecția socială a unor categorii de cetățeni</w:t>
            </w:r>
          </w:p>
        </w:tc>
        <w:tc>
          <w:tcPr>
            <w:tcW w:w="658" w:type="pct"/>
            <w:hideMark/>
          </w:tcPr>
          <w:p w14:paraId="3423C975"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613521</w:t>
            </w:r>
          </w:p>
        </w:tc>
        <w:tc>
          <w:tcPr>
            <w:tcW w:w="735" w:type="pct"/>
            <w:noWrap/>
            <w:hideMark/>
          </w:tcPr>
          <w:p w14:paraId="5BF45E0D"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613521</w:t>
            </w:r>
          </w:p>
        </w:tc>
        <w:tc>
          <w:tcPr>
            <w:tcW w:w="736" w:type="pct"/>
            <w:noWrap/>
            <w:hideMark/>
          </w:tcPr>
          <w:p w14:paraId="48C8FCAD"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697522.7</w:t>
            </w:r>
          </w:p>
        </w:tc>
        <w:tc>
          <w:tcPr>
            <w:tcW w:w="612" w:type="pct"/>
            <w:noWrap/>
            <w:hideMark/>
          </w:tcPr>
          <w:p w14:paraId="61925E86" w14:textId="77777777" w:rsidR="00AB5790" w:rsidRPr="00DD5F1D" w:rsidRDefault="00AB5790" w:rsidP="00190567">
            <w:pPr>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84001.7</w:t>
            </w:r>
          </w:p>
        </w:tc>
      </w:tr>
      <w:tr w:rsidR="00AB5790" w:rsidRPr="00DD5F1D" w14:paraId="4C6B4974" w14:textId="77777777" w:rsidTr="00AA162B">
        <w:trPr>
          <w:trHeight w:val="143"/>
        </w:trPr>
        <w:tc>
          <w:tcPr>
            <w:tcW w:w="2259" w:type="pct"/>
            <w:hideMark/>
          </w:tcPr>
          <w:p w14:paraId="2988C3CA" w14:textId="77777777" w:rsidR="00AB5790" w:rsidRPr="00DD5F1D" w:rsidRDefault="00AB5790" w:rsidP="00190567">
            <w:pP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III. Sold bugetar</w:t>
            </w:r>
          </w:p>
        </w:tc>
        <w:tc>
          <w:tcPr>
            <w:tcW w:w="658" w:type="pct"/>
            <w:hideMark/>
          </w:tcPr>
          <w:p w14:paraId="7ECBD912"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735" w:type="pct"/>
            <w:hideMark/>
          </w:tcPr>
          <w:p w14:paraId="6D538CAF"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736" w:type="pct"/>
            <w:hideMark/>
          </w:tcPr>
          <w:p w14:paraId="39490D3C"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612" w:type="pct"/>
            <w:noWrap/>
            <w:hideMark/>
          </w:tcPr>
          <w:p w14:paraId="428D93C8" w14:textId="77777777" w:rsidR="00AB5790" w:rsidRPr="00DD5F1D" w:rsidRDefault="00AB5790" w:rsidP="00190567">
            <w:pPr>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0</w:t>
            </w:r>
          </w:p>
        </w:tc>
      </w:tr>
      <w:tr w:rsidR="00AB5790" w:rsidRPr="00DD5F1D" w14:paraId="3C41B68D" w14:textId="77777777" w:rsidTr="00AA162B">
        <w:trPr>
          <w:trHeight w:val="80"/>
        </w:trPr>
        <w:tc>
          <w:tcPr>
            <w:tcW w:w="2259" w:type="pct"/>
            <w:hideMark/>
          </w:tcPr>
          <w:p w14:paraId="4AEDD343" w14:textId="77777777" w:rsidR="00AB5790" w:rsidRPr="00DD5F1D" w:rsidRDefault="00AB5790" w:rsidP="00190567">
            <w:pP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IV. Surse de finanțare, total</w:t>
            </w:r>
          </w:p>
        </w:tc>
        <w:tc>
          <w:tcPr>
            <w:tcW w:w="658" w:type="pct"/>
            <w:hideMark/>
          </w:tcPr>
          <w:p w14:paraId="20CE8F4D"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735" w:type="pct"/>
            <w:hideMark/>
          </w:tcPr>
          <w:p w14:paraId="2F5C4E45"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736" w:type="pct"/>
            <w:hideMark/>
          </w:tcPr>
          <w:p w14:paraId="033389FB"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612" w:type="pct"/>
            <w:noWrap/>
            <w:hideMark/>
          </w:tcPr>
          <w:p w14:paraId="6B411EA6" w14:textId="77777777" w:rsidR="00AB5790" w:rsidRPr="00DD5F1D" w:rsidRDefault="00AB5790" w:rsidP="00190567">
            <w:pPr>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0</w:t>
            </w:r>
          </w:p>
        </w:tc>
      </w:tr>
      <w:tr w:rsidR="00AB5790" w:rsidRPr="00DD5F1D" w14:paraId="6BD7A94C" w14:textId="77777777" w:rsidTr="00AA162B">
        <w:trPr>
          <w:trHeight w:val="116"/>
        </w:trPr>
        <w:tc>
          <w:tcPr>
            <w:tcW w:w="2259" w:type="pct"/>
            <w:hideMark/>
          </w:tcPr>
          <w:p w14:paraId="40050D86" w14:textId="77777777" w:rsidR="00AB5790" w:rsidRPr="00DD5F1D" w:rsidRDefault="00AB5790" w:rsidP="00190567">
            <w:pP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Active financiare</w:t>
            </w:r>
          </w:p>
        </w:tc>
        <w:tc>
          <w:tcPr>
            <w:tcW w:w="658" w:type="pct"/>
            <w:hideMark/>
          </w:tcPr>
          <w:p w14:paraId="1CE4A067"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735" w:type="pct"/>
            <w:noWrap/>
            <w:hideMark/>
          </w:tcPr>
          <w:p w14:paraId="09EA5747"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-51183.9</w:t>
            </w:r>
          </w:p>
        </w:tc>
        <w:tc>
          <w:tcPr>
            <w:tcW w:w="736" w:type="pct"/>
            <w:noWrap/>
            <w:hideMark/>
          </w:tcPr>
          <w:p w14:paraId="7E22F9AF"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-51183.9</w:t>
            </w:r>
          </w:p>
        </w:tc>
        <w:tc>
          <w:tcPr>
            <w:tcW w:w="612" w:type="pct"/>
            <w:noWrap/>
            <w:hideMark/>
          </w:tcPr>
          <w:p w14:paraId="1ED1A5F0" w14:textId="77777777" w:rsidR="00AB5790" w:rsidRPr="00DD5F1D" w:rsidRDefault="00AB5790" w:rsidP="00190567">
            <w:pPr>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-51183.9</w:t>
            </w:r>
          </w:p>
        </w:tc>
      </w:tr>
      <w:tr w:rsidR="00AB5790" w:rsidRPr="00DD5F1D" w14:paraId="3A6E0658" w14:textId="77777777" w:rsidTr="00AA162B">
        <w:trPr>
          <w:trHeight w:val="197"/>
        </w:trPr>
        <w:tc>
          <w:tcPr>
            <w:tcW w:w="2259" w:type="pct"/>
            <w:hideMark/>
          </w:tcPr>
          <w:p w14:paraId="4B86C2E4" w14:textId="77777777" w:rsidR="00AB5790" w:rsidRPr="00DD5F1D" w:rsidRDefault="00AB5790" w:rsidP="00190567">
            <w:pP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Datorii</w:t>
            </w:r>
          </w:p>
        </w:tc>
        <w:tc>
          <w:tcPr>
            <w:tcW w:w="658" w:type="pct"/>
            <w:hideMark/>
          </w:tcPr>
          <w:p w14:paraId="0BEF8F74"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735" w:type="pct"/>
            <w:hideMark/>
          </w:tcPr>
          <w:p w14:paraId="005F1AD4"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736" w:type="pct"/>
            <w:hideMark/>
          </w:tcPr>
          <w:p w14:paraId="5B94E7A5"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612" w:type="pct"/>
            <w:noWrap/>
            <w:hideMark/>
          </w:tcPr>
          <w:p w14:paraId="7A877A5C" w14:textId="77777777" w:rsidR="00AB5790" w:rsidRPr="00DD5F1D" w:rsidRDefault="00AB5790" w:rsidP="00190567">
            <w:pPr>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0</w:t>
            </w:r>
          </w:p>
        </w:tc>
      </w:tr>
      <w:tr w:rsidR="00AB5790" w:rsidRPr="00DD5F1D" w14:paraId="6E86D1E9" w14:textId="77777777" w:rsidTr="00AA162B">
        <w:trPr>
          <w:trHeight w:val="233"/>
        </w:trPr>
        <w:tc>
          <w:tcPr>
            <w:tcW w:w="2259" w:type="pct"/>
            <w:hideMark/>
          </w:tcPr>
          <w:p w14:paraId="29F63F9A" w14:textId="77777777" w:rsidR="00AB5790" w:rsidRPr="00DD5F1D" w:rsidRDefault="00AB5790" w:rsidP="00190567">
            <w:pP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Modificarea soldului de mijloace bănești</w:t>
            </w:r>
          </w:p>
        </w:tc>
        <w:tc>
          <w:tcPr>
            <w:tcW w:w="658" w:type="pct"/>
            <w:hideMark/>
          </w:tcPr>
          <w:p w14:paraId="66F2C46B"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735" w:type="pct"/>
            <w:noWrap/>
            <w:hideMark/>
          </w:tcPr>
          <w:p w14:paraId="0A663609"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51183.9</w:t>
            </w:r>
          </w:p>
        </w:tc>
        <w:tc>
          <w:tcPr>
            <w:tcW w:w="736" w:type="pct"/>
            <w:noWrap/>
            <w:hideMark/>
          </w:tcPr>
          <w:p w14:paraId="0E339FBC"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51183.9</w:t>
            </w:r>
          </w:p>
        </w:tc>
        <w:tc>
          <w:tcPr>
            <w:tcW w:w="612" w:type="pct"/>
            <w:noWrap/>
            <w:hideMark/>
          </w:tcPr>
          <w:p w14:paraId="6D83A611" w14:textId="77777777" w:rsidR="00AB5790" w:rsidRPr="00DD5F1D" w:rsidRDefault="00AB5790" w:rsidP="00190567">
            <w:pPr>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51183.9</w:t>
            </w:r>
          </w:p>
        </w:tc>
      </w:tr>
      <w:tr w:rsidR="00AB5790" w:rsidRPr="00DD5F1D" w14:paraId="0C16B773" w14:textId="77777777" w:rsidTr="00AA162B">
        <w:trPr>
          <w:trHeight w:val="206"/>
        </w:trPr>
        <w:tc>
          <w:tcPr>
            <w:tcW w:w="2259" w:type="pct"/>
            <w:hideMark/>
          </w:tcPr>
          <w:p w14:paraId="452FBBAC" w14:textId="77777777" w:rsidR="00AB5790" w:rsidRPr="00DD5F1D" w:rsidRDefault="00AB5790" w:rsidP="00190567">
            <w:pP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Sold de mijloace bănești la începutul perioadei</w:t>
            </w:r>
          </w:p>
        </w:tc>
        <w:tc>
          <w:tcPr>
            <w:tcW w:w="658" w:type="pct"/>
            <w:hideMark/>
          </w:tcPr>
          <w:p w14:paraId="533FA234"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735" w:type="pct"/>
            <w:noWrap/>
            <w:hideMark/>
          </w:tcPr>
          <w:p w14:paraId="4B3E943C"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51183.9</w:t>
            </w:r>
          </w:p>
        </w:tc>
        <w:tc>
          <w:tcPr>
            <w:tcW w:w="736" w:type="pct"/>
            <w:noWrap/>
            <w:hideMark/>
          </w:tcPr>
          <w:p w14:paraId="3AC9987D"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51183.9</w:t>
            </w:r>
          </w:p>
        </w:tc>
        <w:tc>
          <w:tcPr>
            <w:tcW w:w="612" w:type="pct"/>
            <w:noWrap/>
            <w:hideMark/>
          </w:tcPr>
          <w:p w14:paraId="62EBD351" w14:textId="77777777" w:rsidR="00AB5790" w:rsidRPr="00DD5F1D" w:rsidRDefault="00AB5790" w:rsidP="00190567">
            <w:pPr>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51183.9</w:t>
            </w:r>
          </w:p>
        </w:tc>
      </w:tr>
      <w:tr w:rsidR="00AB5790" w:rsidRPr="00DD5F1D" w14:paraId="5B947A6D" w14:textId="77777777" w:rsidTr="00AA162B">
        <w:trPr>
          <w:trHeight w:val="58"/>
        </w:trPr>
        <w:tc>
          <w:tcPr>
            <w:tcW w:w="2259" w:type="pct"/>
            <w:hideMark/>
          </w:tcPr>
          <w:p w14:paraId="5E887544" w14:textId="77777777" w:rsidR="00AB5790" w:rsidRPr="00DD5F1D" w:rsidRDefault="00AB5790" w:rsidP="00190567">
            <w:pP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Sold de mijloace bănești la sfârșitul perioadei</w:t>
            </w:r>
          </w:p>
        </w:tc>
        <w:tc>
          <w:tcPr>
            <w:tcW w:w="658" w:type="pct"/>
            <w:hideMark/>
          </w:tcPr>
          <w:p w14:paraId="34079E46"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735" w:type="pct"/>
            <w:hideMark/>
          </w:tcPr>
          <w:p w14:paraId="234FC4D7"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736" w:type="pct"/>
            <w:hideMark/>
          </w:tcPr>
          <w:p w14:paraId="463F24AD" w14:textId="77777777" w:rsidR="00AB5790" w:rsidRPr="00DD5F1D" w:rsidRDefault="00AB5790" w:rsidP="00190567">
            <w:pPr>
              <w:jc w:val="right"/>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0</w:t>
            </w:r>
          </w:p>
        </w:tc>
        <w:tc>
          <w:tcPr>
            <w:tcW w:w="612" w:type="pct"/>
            <w:noWrap/>
            <w:hideMark/>
          </w:tcPr>
          <w:p w14:paraId="7F6EE001" w14:textId="77777777" w:rsidR="00AB5790" w:rsidRPr="00DD5F1D" w:rsidRDefault="00AB5790" w:rsidP="00190567">
            <w:pPr>
              <w:jc w:val="right"/>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0</w:t>
            </w:r>
          </w:p>
        </w:tc>
      </w:tr>
    </w:tbl>
    <w:p w14:paraId="6A298F5F" w14:textId="77777777" w:rsidR="00AB5790" w:rsidRPr="00DD5F1D" w:rsidRDefault="00AB5790" w:rsidP="00AB5790">
      <w:pPr>
        <w:rPr>
          <w:rFonts w:ascii="Times New Roman" w:eastAsia="Calibri" w:hAnsi="Times New Roman" w:cs="Times New Roman"/>
          <w:lang w:val="ro-MD"/>
        </w:rPr>
      </w:pPr>
      <w:r w:rsidRPr="00DD5F1D">
        <w:rPr>
          <w:rFonts w:ascii="Times New Roman" w:eastAsia="Times New Roman" w:hAnsi="Times New Roman" w:cs="Times New Roman"/>
          <w:b/>
          <w:bCs/>
          <w:i/>
          <w:iCs/>
          <w:sz w:val="20"/>
          <w:szCs w:val="20"/>
          <w:lang w:val="ro-MD"/>
        </w:rPr>
        <w:t>Sursă:</w:t>
      </w:r>
      <w:r w:rsidRPr="00DD5F1D">
        <w:rPr>
          <w:rFonts w:ascii="Times New Roman" w:eastAsia="Times New Roman" w:hAnsi="Times New Roman" w:cs="Times New Roman"/>
          <w:i/>
          <w:iCs/>
          <w:sz w:val="20"/>
          <w:szCs w:val="20"/>
          <w:lang w:val="ro-MD"/>
        </w:rPr>
        <w:t xml:space="preserve"> Legea bugetului asigurărilor sociale de stat pentru anul 2023.</w:t>
      </w:r>
    </w:p>
    <w:p w14:paraId="35C2B118" w14:textId="6F733D75" w:rsidR="00CF4DFD" w:rsidRPr="00DD5F1D" w:rsidRDefault="00555A85" w:rsidP="005C1D4C">
      <w:pPr>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rr</w:t>
      </w:r>
    </w:p>
    <w:p w14:paraId="36B3CD7A" w14:textId="1E40C498" w:rsidR="009B15A8" w:rsidRPr="00DD5F1D" w:rsidRDefault="009B15A8" w:rsidP="009B15A8">
      <w:pPr>
        <w:tabs>
          <w:tab w:val="left" w:pos="162"/>
        </w:tabs>
        <w:spacing w:after="0" w:line="276" w:lineRule="auto"/>
        <w:jc w:val="right"/>
        <w:outlineLvl w:val="1"/>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Anexa nr. 3</w:t>
      </w:r>
    </w:p>
    <w:p w14:paraId="2ADE8881" w14:textId="77777777" w:rsidR="009B15A8" w:rsidRPr="00DD5F1D" w:rsidRDefault="009B15A8" w:rsidP="009B15A8">
      <w:pPr>
        <w:spacing w:after="0"/>
        <w:jc w:val="center"/>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Informații privind soldul mijloacelor bănești</w:t>
      </w:r>
    </w:p>
    <w:p w14:paraId="362785C5" w14:textId="77777777" w:rsidR="009B15A8" w:rsidRPr="00DD5F1D" w:rsidRDefault="009B15A8" w:rsidP="009B15A8">
      <w:pPr>
        <w:spacing w:after="0"/>
        <w:jc w:val="right"/>
        <w:rPr>
          <w:rFonts w:ascii="Times New Roman" w:eastAsia="Times New Roman" w:hAnsi="Times New Roman" w:cs="Times New Roman"/>
          <w:b/>
          <w:i/>
          <w:sz w:val="20"/>
          <w:szCs w:val="20"/>
          <w:lang w:val="ro-MD"/>
        </w:rPr>
      </w:pPr>
      <w:r w:rsidRPr="00DD5F1D">
        <w:rPr>
          <w:rFonts w:ascii="Times New Roman" w:eastAsia="Times New Roman" w:hAnsi="Times New Roman" w:cs="Times New Roman"/>
          <w:b/>
          <w:sz w:val="24"/>
          <w:szCs w:val="24"/>
          <w:lang w:val="ro-MD"/>
        </w:rPr>
        <w:t xml:space="preserve"> </w:t>
      </w:r>
      <w:r w:rsidRPr="00DD5F1D">
        <w:rPr>
          <w:rFonts w:ascii="Times New Roman" w:eastAsia="Times New Roman" w:hAnsi="Times New Roman" w:cs="Times New Roman"/>
          <w:b/>
          <w:i/>
          <w:sz w:val="20"/>
          <w:szCs w:val="20"/>
          <w:lang w:val="ro-MD"/>
        </w:rPr>
        <w:t>(mii lei)</w:t>
      </w:r>
    </w:p>
    <w:tbl>
      <w:tblPr>
        <w:tblW w:w="5000" w:type="pct"/>
        <w:tblLook w:val="04A0" w:firstRow="1" w:lastRow="0" w:firstColumn="1" w:lastColumn="0" w:noHBand="0" w:noVBand="1"/>
      </w:tblPr>
      <w:tblGrid>
        <w:gridCol w:w="2628"/>
        <w:gridCol w:w="828"/>
        <w:gridCol w:w="1011"/>
        <w:gridCol w:w="986"/>
        <w:gridCol w:w="1101"/>
        <w:gridCol w:w="1102"/>
        <w:gridCol w:w="1186"/>
        <w:gridCol w:w="1182"/>
      </w:tblGrid>
      <w:tr w:rsidR="009B15A8" w:rsidRPr="00DD5F1D" w14:paraId="12A98D52" w14:textId="77777777" w:rsidTr="00503FEE">
        <w:trPr>
          <w:trHeight w:val="1172"/>
        </w:trPr>
        <w:tc>
          <w:tcPr>
            <w:tcW w:w="13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43A64B" w14:textId="77777777" w:rsidR="009B15A8" w:rsidRPr="00DD5F1D" w:rsidRDefault="009B15A8" w:rsidP="000E2AC7">
            <w:pPr>
              <w:spacing w:after="0" w:line="240" w:lineRule="auto"/>
              <w:jc w:val="center"/>
              <w:rPr>
                <w:rFonts w:ascii="Times New Roman" w:eastAsia="Times New Roman" w:hAnsi="Times New Roman" w:cs="Times New Roman"/>
                <w:b/>
                <w:lang w:val="ro-MD"/>
              </w:rPr>
            </w:pPr>
            <w:r w:rsidRPr="00DD5F1D">
              <w:rPr>
                <w:rFonts w:ascii="Times New Roman" w:eastAsia="Times New Roman" w:hAnsi="Times New Roman" w:cs="Times New Roman"/>
                <w:b/>
                <w:lang w:val="ro-MD"/>
              </w:rPr>
              <w:t>Denumirea</w:t>
            </w:r>
          </w:p>
        </w:tc>
        <w:tc>
          <w:tcPr>
            <w:tcW w:w="4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4F48EA" w14:textId="77777777" w:rsidR="009B15A8" w:rsidRPr="00DD5F1D" w:rsidRDefault="009B15A8" w:rsidP="000E2AC7">
            <w:pPr>
              <w:spacing w:after="0" w:line="240" w:lineRule="auto"/>
              <w:jc w:val="center"/>
              <w:rPr>
                <w:rFonts w:ascii="Times New Roman" w:eastAsia="Times New Roman" w:hAnsi="Times New Roman" w:cs="Times New Roman"/>
                <w:b/>
                <w:lang w:val="ro-MD"/>
              </w:rPr>
            </w:pPr>
            <w:r w:rsidRPr="00DD5F1D">
              <w:rPr>
                <w:rFonts w:ascii="Times New Roman" w:eastAsia="Times New Roman" w:hAnsi="Times New Roman" w:cs="Times New Roman"/>
                <w:b/>
                <w:lang w:val="ro-MD"/>
              </w:rPr>
              <w:t>ECO</w:t>
            </w:r>
          </w:p>
        </w:tc>
        <w:tc>
          <w:tcPr>
            <w:tcW w:w="974" w:type="pct"/>
            <w:gridSpan w:val="2"/>
            <w:tcBorders>
              <w:top w:val="single" w:sz="4" w:space="0" w:color="auto"/>
              <w:left w:val="nil"/>
              <w:bottom w:val="single" w:sz="4" w:space="0" w:color="auto"/>
              <w:right w:val="single" w:sz="4" w:space="0" w:color="000000"/>
            </w:tcBorders>
            <w:shd w:val="clear" w:color="auto" w:fill="auto"/>
            <w:vAlign w:val="center"/>
            <w:hideMark/>
          </w:tcPr>
          <w:p w14:paraId="0FACFF4B" w14:textId="77777777" w:rsidR="009B15A8" w:rsidRPr="00DD5F1D" w:rsidRDefault="009B15A8" w:rsidP="000E2AC7">
            <w:pPr>
              <w:spacing w:after="0" w:line="240" w:lineRule="auto"/>
              <w:jc w:val="center"/>
              <w:rPr>
                <w:rFonts w:ascii="Times New Roman" w:eastAsia="Times New Roman" w:hAnsi="Times New Roman" w:cs="Times New Roman"/>
                <w:b/>
                <w:lang w:val="ro-MD"/>
              </w:rPr>
            </w:pPr>
            <w:r w:rsidRPr="00DD5F1D">
              <w:rPr>
                <w:rFonts w:ascii="Times New Roman" w:eastAsia="Times New Roman" w:hAnsi="Times New Roman" w:cs="Times New Roman"/>
                <w:b/>
                <w:lang w:val="ro-MD"/>
              </w:rPr>
              <w:t>Plan</w:t>
            </w:r>
          </w:p>
        </w:tc>
        <w:tc>
          <w:tcPr>
            <w:tcW w:w="553" w:type="pct"/>
            <w:vMerge w:val="restart"/>
            <w:tcBorders>
              <w:top w:val="single" w:sz="4" w:space="0" w:color="auto"/>
              <w:left w:val="nil"/>
              <w:right w:val="single" w:sz="4" w:space="0" w:color="auto"/>
            </w:tcBorders>
            <w:shd w:val="clear" w:color="auto" w:fill="auto"/>
            <w:vAlign w:val="center"/>
            <w:hideMark/>
          </w:tcPr>
          <w:p w14:paraId="7ACAA241" w14:textId="77777777" w:rsidR="009B15A8" w:rsidRPr="00DD5F1D" w:rsidRDefault="009B15A8" w:rsidP="000E2AC7">
            <w:pPr>
              <w:spacing w:after="0" w:line="240" w:lineRule="auto"/>
              <w:jc w:val="center"/>
              <w:rPr>
                <w:rFonts w:ascii="Times New Roman" w:eastAsia="Times New Roman" w:hAnsi="Times New Roman" w:cs="Times New Roman"/>
                <w:b/>
                <w:lang w:val="ro-MD"/>
              </w:rPr>
            </w:pPr>
            <w:r w:rsidRPr="00DD5F1D">
              <w:rPr>
                <w:rFonts w:ascii="Times New Roman" w:eastAsia="Times New Roman" w:hAnsi="Times New Roman" w:cs="Times New Roman"/>
                <w:b/>
                <w:lang w:val="ro-MD"/>
              </w:rPr>
              <w:t>Executat anul curent</w:t>
            </w:r>
          </w:p>
        </w:tc>
        <w:tc>
          <w:tcPr>
            <w:tcW w:w="553" w:type="pct"/>
            <w:tcBorders>
              <w:top w:val="single" w:sz="4" w:space="0" w:color="auto"/>
              <w:left w:val="nil"/>
              <w:bottom w:val="single" w:sz="4" w:space="0" w:color="auto"/>
              <w:right w:val="single" w:sz="4" w:space="0" w:color="auto"/>
            </w:tcBorders>
            <w:shd w:val="clear" w:color="auto" w:fill="auto"/>
            <w:vAlign w:val="center"/>
            <w:hideMark/>
          </w:tcPr>
          <w:p w14:paraId="4ABF98CA" w14:textId="77777777" w:rsidR="009B15A8" w:rsidRPr="00DD5F1D" w:rsidRDefault="009B15A8" w:rsidP="000E2AC7">
            <w:pPr>
              <w:spacing w:after="0" w:line="240" w:lineRule="auto"/>
              <w:jc w:val="center"/>
              <w:rPr>
                <w:rFonts w:ascii="Times New Roman" w:eastAsia="Times New Roman" w:hAnsi="Times New Roman" w:cs="Times New Roman"/>
                <w:b/>
                <w:lang w:val="ro-MD"/>
              </w:rPr>
            </w:pPr>
            <w:r w:rsidRPr="00DD5F1D">
              <w:rPr>
                <w:rFonts w:ascii="Times New Roman" w:eastAsia="Times New Roman" w:hAnsi="Times New Roman" w:cs="Times New Roman"/>
                <w:b/>
                <w:lang w:val="ro-MD"/>
              </w:rPr>
              <w:t>Executat față de precizat</w:t>
            </w:r>
            <w:r w:rsidRPr="00DD5F1D">
              <w:rPr>
                <w:rFonts w:ascii="Times New Roman" w:eastAsia="Times New Roman" w:hAnsi="Times New Roman" w:cs="Times New Roman"/>
                <w:b/>
                <w:lang w:val="ro-MD"/>
              </w:rPr>
              <w:br/>
            </w:r>
          </w:p>
        </w:tc>
        <w:tc>
          <w:tcPr>
            <w:tcW w:w="595" w:type="pct"/>
            <w:vMerge w:val="restart"/>
            <w:tcBorders>
              <w:top w:val="single" w:sz="4" w:space="0" w:color="auto"/>
              <w:left w:val="nil"/>
              <w:right w:val="single" w:sz="4" w:space="0" w:color="auto"/>
            </w:tcBorders>
            <w:shd w:val="clear" w:color="auto" w:fill="auto"/>
            <w:vAlign w:val="center"/>
            <w:hideMark/>
          </w:tcPr>
          <w:p w14:paraId="33555CEB" w14:textId="77777777" w:rsidR="009B15A8" w:rsidRPr="00DD5F1D" w:rsidRDefault="009B15A8" w:rsidP="000E2AC7">
            <w:pPr>
              <w:spacing w:after="0" w:line="240" w:lineRule="auto"/>
              <w:jc w:val="center"/>
              <w:rPr>
                <w:rFonts w:ascii="Times New Roman" w:eastAsia="Times New Roman" w:hAnsi="Times New Roman" w:cs="Times New Roman"/>
                <w:b/>
                <w:lang w:val="ro-MD"/>
              </w:rPr>
            </w:pPr>
            <w:r w:rsidRPr="00DD5F1D">
              <w:rPr>
                <w:rFonts w:ascii="Times New Roman" w:eastAsia="Times New Roman" w:hAnsi="Times New Roman" w:cs="Times New Roman"/>
                <w:b/>
                <w:lang w:val="ro-MD"/>
              </w:rPr>
              <w:t>Executat anul precedent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6CDA6D8C" w14:textId="77777777" w:rsidR="009B15A8" w:rsidRPr="00DD5F1D" w:rsidRDefault="009B15A8" w:rsidP="000E2AC7">
            <w:pPr>
              <w:spacing w:after="0" w:line="240" w:lineRule="auto"/>
              <w:jc w:val="center"/>
              <w:rPr>
                <w:rFonts w:ascii="Times New Roman" w:eastAsia="Times New Roman" w:hAnsi="Times New Roman" w:cs="Times New Roman"/>
                <w:b/>
                <w:lang w:val="ro-MD"/>
              </w:rPr>
            </w:pPr>
            <w:r w:rsidRPr="00DD5F1D">
              <w:rPr>
                <w:rFonts w:ascii="Times New Roman" w:eastAsia="Times New Roman" w:hAnsi="Times New Roman" w:cs="Times New Roman"/>
                <w:b/>
                <w:lang w:val="ro-MD"/>
              </w:rPr>
              <w:t>Executat</w:t>
            </w:r>
            <w:r w:rsidRPr="00DD5F1D">
              <w:rPr>
                <w:rFonts w:ascii="Times New Roman" w:eastAsia="Times New Roman" w:hAnsi="Times New Roman" w:cs="Times New Roman"/>
                <w:b/>
                <w:lang w:val="ro-MD"/>
              </w:rPr>
              <w:br/>
              <w:t>anul curent față de anul precedent</w:t>
            </w:r>
          </w:p>
        </w:tc>
      </w:tr>
      <w:tr w:rsidR="009B15A8" w:rsidRPr="00DD5F1D" w14:paraId="709F035E" w14:textId="77777777" w:rsidTr="000E2AC7">
        <w:trPr>
          <w:trHeight w:val="20"/>
        </w:trPr>
        <w:tc>
          <w:tcPr>
            <w:tcW w:w="1315" w:type="pct"/>
            <w:vMerge/>
            <w:tcBorders>
              <w:top w:val="single" w:sz="4" w:space="0" w:color="auto"/>
              <w:left w:val="single" w:sz="4" w:space="0" w:color="auto"/>
              <w:bottom w:val="single" w:sz="4" w:space="0" w:color="000000"/>
              <w:right w:val="single" w:sz="4" w:space="0" w:color="auto"/>
            </w:tcBorders>
            <w:vAlign w:val="center"/>
            <w:hideMark/>
          </w:tcPr>
          <w:p w14:paraId="0D9F4734" w14:textId="77777777" w:rsidR="009B15A8" w:rsidRPr="00DD5F1D" w:rsidRDefault="009B15A8" w:rsidP="000E2AC7">
            <w:pPr>
              <w:spacing w:after="0" w:line="240" w:lineRule="auto"/>
              <w:jc w:val="center"/>
              <w:rPr>
                <w:rFonts w:ascii="Times New Roman" w:eastAsia="Times New Roman" w:hAnsi="Times New Roman" w:cs="Times New Roman"/>
                <w:b/>
                <w:lang w:val="ro-MD"/>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14:paraId="327B4326" w14:textId="77777777" w:rsidR="009B15A8" w:rsidRPr="00DD5F1D" w:rsidRDefault="009B15A8" w:rsidP="000E2AC7">
            <w:pPr>
              <w:spacing w:after="0" w:line="240" w:lineRule="auto"/>
              <w:jc w:val="center"/>
              <w:rPr>
                <w:rFonts w:ascii="Times New Roman" w:eastAsia="Times New Roman" w:hAnsi="Times New Roman" w:cs="Times New Roman"/>
                <w:b/>
                <w:lang w:val="ro-MD"/>
              </w:rPr>
            </w:pPr>
          </w:p>
        </w:tc>
        <w:tc>
          <w:tcPr>
            <w:tcW w:w="493" w:type="pct"/>
            <w:tcBorders>
              <w:top w:val="nil"/>
              <w:left w:val="nil"/>
              <w:bottom w:val="single" w:sz="4" w:space="0" w:color="auto"/>
              <w:right w:val="single" w:sz="4" w:space="0" w:color="auto"/>
            </w:tcBorders>
            <w:shd w:val="clear" w:color="auto" w:fill="auto"/>
            <w:vAlign w:val="center"/>
            <w:hideMark/>
          </w:tcPr>
          <w:p w14:paraId="3DCBD78E" w14:textId="77777777" w:rsidR="009B15A8" w:rsidRPr="00DD5F1D" w:rsidRDefault="009B15A8" w:rsidP="000E2AC7">
            <w:pPr>
              <w:spacing w:after="0" w:line="240" w:lineRule="auto"/>
              <w:jc w:val="center"/>
              <w:rPr>
                <w:rFonts w:ascii="Times New Roman" w:eastAsia="Times New Roman" w:hAnsi="Times New Roman" w:cs="Times New Roman"/>
                <w:b/>
                <w:lang w:val="ro-MD"/>
              </w:rPr>
            </w:pPr>
            <w:r w:rsidRPr="00DD5F1D">
              <w:rPr>
                <w:rFonts w:ascii="Times New Roman" w:eastAsia="Times New Roman" w:hAnsi="Times New Roman" w:cs="Times New Roman"/>
                <w:b/>
                <w:lang w:val="ro-MD"/>
              </w:rPr>
              <w:t xml:space="preserve">Aprobat </w:t>
            </w:r>
            <w:r w:rsidRPr="00DD5F1D">
              <w:rPr>
                <w:rFonts w:ascii="Times New Roman" w:eastAsia="Times New Roman" w:hAnsi="Times New Roman" w:cs="Times New Roman"/>
                <w:b/>
                <w:lang w:val="ro-MD"/>
              </w:rPr>
              <w:br/>
              <w:t>pe an</w:t>
            </w:r>
          </w:p>
        </w:tc>
        <w:tc>
          <w:tcPr>
            <w:tcW w:w="481" w:type="pct"/>
            <w:tcBorders>
              <w:top w:val="nil"/>
              <w:left w:val="nil"/>
              <w:bottom w:val="single" w:sz="4" w:space="0" w:color="auto"/>
              <w:right w:val="single" w:sz="4" w:space="0" w:color="auto"/>
            </w:tcBorders>
            <w:shd w:val="clear" w:color="auto" w:fill="auto"/>
            <w:vAlign w:val="center"/>
            <w:hideMark/>
          </w:tcPr>
          <w:p w14:paraId="501938C1" w14:textId="77777777" w:rsidR="009B15A8" w:rsidRPr="00DD5F1D" w:rsidRDefault="009B15A8" w:rsidP="000E2AC7">
            <w:pPr>
              <w:spacing w:after="0" w:line="240" w:lineRule="auto"/>
              <w:jc w:val="center"/>
              <w:rPr>
                <w:rFonts w:ascii="Times New Roman" w:eastAsia="Times New Roman" w:hAnsi="Times New Roman" w:cs="Times New Roman"/>
                <w:b/>
                <w:lang w:val="ro-MD"/>
              </w:rPr>
            </w:pPr>
            <w:r w:rsidRPr="00DD5F1D">
              <w:rPr>
                <w:rFonts w:ascii="Times New Roman" w:eastAsia="Times New Roman" w:hAnsi="Times New Roman" w:cs="Times New Roman"/>
                <w:b/>
                <w:lang w:val="ro-MD"/>
              </w:rPr>
              <w:t>Precizat</w:t>
            </w:r>
            <w:r w:rsidRPr="00DD5F1D">
              <w:rPr>
                <w:rFonts w:ascii="Times New Roman" w:eastAsia="Times New Roman" w:hAnsi="Times New Roman" w:cs="Times New Roman"/>
                <w:b/>
                <w:lang w:val="ro-MD"/>
              </w:rPr>
              <w:br/>
              <w:t>pe an</w:t>
            </w:r>
          </w:p>
        </w:tc>
        <w:tc>
          <w:tcPr>
            <w:tcW w:w="553" w:type="pct"/>
            <w:vMerge/>
            <w:tcBorders>
              <w:left w:val="nil"/>
              <w:bottom w:val="single" w:sz="4" w:space="0" w:color="auto"/>
              <w:right w:val="single" w:sz="4" w:space="0" w:color="auto"/>
            </w:tcBorders>
            <w:shd w:val="clear" w:color="auto" w:fill="auto"/>
            <w:vAlign w:val="center"/>
            <w:hideMark/>
          </w:tcPr>
          <w:p w14:paraId="72A3199B" w14:textId="77777777" w:rsidR="009B15A8" w:rsidRPr="00DD5F1D" w:rsidRDefault="009B15A8" w:rsidP="000E2AC7">
            <w:pPr>
              <w:spacing w:after="0" w:line="240" w:lineRule="auto"/>
              <w:jc w:val="center"/>
              <w:rPr>
                <w:rFonts w:ascii="Times New Roman" w:eastAsia="Times New Roman" w:hAnsi="Times New Roman" w:cs="Times New Roman"/>
                <w:b/>
                <w:lang w:val="ro-MD"/>
              </w:rPr>
            </w:pPr>
          </w:p>
        </w:tc>
        <w:tc>
          <w:tcPr>
            <w:tcW w:w="553" w:type="pct"/>
            <w:tcBorders>
              <w:top w:val="nil"/>
              <w:left w:val="nil"/>
              <w:bottom w:val="single" w:sz="4" w:space="0" w:color="auto"/>
              <w:right w:val="single" w:sz="4" w:space="0" w:color="auto"/>
            </w:tcBorders>
            <w:shd w:val="clear" w:color="auto" w:fill="auto"/>
            <w:vAlign w:val="center"/>
            <w:hideMark/>
          </w:tcPr>
          <w:p w14:paraId="761A32CF" w14:textId="77777777" w:rsidR="009B15A8" w:rsidRPr="00DD5F1D" w:rsidRDefault="009B15A8" w:rsidP="000E2AC7">
            <w:pPr>
              <w:spacing w:after="0" w:line="240" w:lineRule="auto"/>
              <w:jc w:val="center"/>
              <w:rPr>
                <w:rFonts w:ascii="Times New Roman" w:eastAsia="Times New Roman" w:hAnsi="Times New Roman" w:cs="Times New Roman"/>
                <w:b/>
                <w:lang w:val="ro-MD"/>
              </w:rPr>
            </w:pPr>
            <w:r w:rsidRPr="00DD5F1D">
              <w:rPr>
                <w:rFonts w:ascii="Times New Roman" w:eastAsia="Times New Roman" w:hAnsi="Times New Roman" w:cs="Times New Roman"/>
                <w:b/>
                <w:lang w:val="ro-MD"/>
              </w:rPr>
              <w:t>devieri</w:t>
            </w:r>
            <w:r w:rsidRPr="00DD5F1D">
              <w:rPr>
                <w:rFonts w:ascii="Times New Roman" w:eastAsia="Times New Roman" w:hAnsi="Times New Roman" w:cs="Times New Roman"/>
                <w:b/>
                <w:lang w:val="ro-MD"/>
              </w:rPr>
              <w:br/>
              <w:t>(+/-)</w:t>
            </w:r>
          </w:p>
        </w:tc>
        <w:tc>
          <w:tcPr>
            <w:tcW w:w="595" w:type="pct"/>
            <w:vMerge/>
            <w:tcBorders>
              <w:left w:val="nil"/>
              <w:bottom w:val="single" w:sz="4" w:space="0" w:color="auto"/>
              <w:right w:val="single" w:sz="4" w:space="0" w:color="auto"/>
            </w:tcBorders>
            <w:shd w:val="clear" w:color="auto" w:fill="auto"/>
            <w:vAlign w:val="center"/>
            <w:hideMark/>
          </w:tcPr>
          <w:p w14:paraId="661C37CB" w14:textId="77777777" w:rsidR="009B15A8" w:rsidRPr="00DD5F1D" w:rsidRDefault="009B15A8" w:rsidP="000E2AC7">
            <w:pPr>
              <w:spacing w:after="0" w:line="240" w:lineRule="auto"/>
              <w:jc w:val="center"/>
              <w:rPr>
                <w:rFonts w:ascii="Times New Roman" w:eastAsia="Times New Roman" w:hAnsi="Times New Roman" w:cs="Times New Roman"/>
                <w:b/>
                <w:lang w:val="ro-MD"/>
              </w:rPr>
            </w:pPr>
          </w:p>
        </w:tc>
        <w:tc>
          <w:tcPr>
            <w:tcW w:w="595" w:type="pct"/>
            <w:tcBorders>
              <w:top w:val="nil"/>
              <w:left w:val="nil"/>
              <w:bottom w:val="single" w:sz="4" w:space="0" w:color="auto"/>
              <w:right w:val="single" w:sz="4" w:space="0" w:color="auto"/>
            </w:tcBorders>
            <w:shd w:val="clear" w:color="auto" w:fill="auto"/>
            <w:vAlign w:val="center"/>
            <w:hideMark/>
          </w:tcPr>
          <w:p w14:paraId="639545AE" w14:textId="77777777" w:rsidR="009B15A8" w:rsidRPr="00DD5F1D" w:rsidRDefault="009B15A8" w:rsidP="000E2AC7">
            <w:pPr>
              <w:spacing w:after="0" w:line="240" w:lineRule="auto"/>
              <w:jc w:val="center"/>
              <w:rPr>
                <w:rFonts w:ascii="Times New Roman" w:eastAsia="Times New Roman" w:hAnsi="Times New Roman" w:cs="Times New Roman"/>
                <w:b/>
                <w:lang w:val="ro-MD"/>
              </w:rPr>
            </w:pPr>
            <w:r w:rsidRPr="00DD5F1D">
              <w:rPr>
                <w:rFonts w:ascii="Times New Roman" w:eastAsia="Times New Roman" w:hAnsi="Times New Roman" w:cs="Times New Roman"/>
                <w:b/>
                <w:lang w:val="ro-MD"/>
              </w:rPr>
              <w:t>devieri</w:t>
            </w:r>
            <w:r w:rsidRPr="00DD5F1D">
              <w:rPr>
                <w:rFonts w:ascii="Times New Roman" w:eastAsia="Times New Roman" w:hAnsi="Times New Roman" w:cs="Times New Roman"/>
                <w:b/>
                <w:lang w:val="ro-MD"/>
              </w:rPr>
              <w:br/>
              <w:t>(+/-)</w:t>
            </w:r>
          </w:p>
        </w:tc>
      </w:tr>
      <w:tr w:rsidR="009B15A8" w:rsidRPr="00DD5F1D" w14:paraId="1732E598" w14:textId="77777777" w:rsidTr="000E2AC7">
        <w:trPr>
          <w:trHeight w:val="2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1F512137" w14:textId="77777777" w:rsidR="009B15A8" w:rsidRPr="00DD5F1D" w:rsidRDefault="009B15A8" w:rsidP="000E2AC7">
            <w:pPr>
              <w:spacing w:after="0" w:line="240" w:lineRule="auto"/>
              <w:rPr>
                <w:rFonts w:ascii="Times New Roman" w:eastAsia="Times New Roman" w:hAnsi="Times New Roman" w:cs="Times New Roman"/>
                <w:lang w:val="ro-MD"/>
              </w:rPr>
            </w:pPr>
            <w:r w:rsidRPr="00DD5F1D">
              <w:rPr>
                <w:rFonts w:ascii="Times New Roman" w:eastAsia="Times New Roman" w:hAnsi="Times New Roman" w:cs="Times New Roman"/>
                <w:lang w:val="ro-MD"/>
              </w:rPr>
              <w:t>SOLD DE MIJLOACE BĂNEŞTI LA ÎNCEPUTUL PERIOADEI</w:t>
            </w:r>
          </w:p>
        </w:tc>
        <w:tc>
          <w:tcPr>
            <w:tcW w:w="417" w:type="pct"/>
            <w:tcBorders>
              <w:top w:val="nil"/>
              <w:left w:val="nil"/>
              <w:bottom w:val="single" w:sz="4" w:space="0" w:color="auto"/>
              <w:right w:val="single" w:sz="4" w:space="0" w:color="auto"/>
            </w:tcBorders>
            <w:shd w:val="clear" w:color="auto" w:fill="auto"/>
            <w:vAlign w:val="center"/>
            <w:hideMark/>
          </w:tcPr>
          <w:p w14:paraId="0673FC66"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91</w:t>
            </w:r>
          </w:p>
        </w:tc>
        <w:tc>
          <w:tcPr>
            <w:tcW w:w="493" w:type="pct"/>
            <w:tcBorders>
              <w:top w:val="nil"/>
              <w:left w:val="nil"/>
              <w:bottom w:val="single" w:sz="4" w:space="0" w:color="auto"/>
              <w:right w:val="single" w:sz="4" w:space="0" w:color="auto"/>
            </w:tcBorders>
            <w:shd w:val="clear" w:color="auto" w:fill="auto"/>
            <w:vAlign w:val="center"/>
            <w:hideMark/>
          </w:tcPr>
          <w:p w14:paraId="2AA6781F"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0</w:t>
            </w:r>
          </w:p>
        </w:tc>
        <w:tc>
          <w:tcPr>
            <w:tcW w:w="481" w:type="pct"/>
            <w:tcBorders>
              <w:top w:val="nil"/>
              <w:left w:val="nil"/>
              <w:bottom w:val="single" w:sz="4" w:space="0" w:color="auto"/>
              <w:right w:val="single" w:sz="4" w:space="0" w:color="auto"/>
            </w:tcBorders>
            <w:shd w:val="clear" w:color="auto" w:fill="auto"/>
            <w:vAlign w:val="center"/>
            <w:hideMark/>
          </w:tcPr>
          <w:p w14:paraId="4F5B1766"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51 183,9</w:t>
            </w:r>
          </w:p>
        </w:tc>
        <w:tc>
          <w:tcPr>
            <w:tcW w:w="553" w:type="pct"/>
            <w:tcBorders>
              <w:top w:val="nil"/>
              <w:left w:val="nil"/>
              <w:bottom w:val="single" w:sz="4" w:space="0" w:color="auto"/>
              <w:right w:val="single" w:sz="4" w:space="0" w:color="auto"/>
            </w:tcBorders>
            <w:shd w:val="clear" w:color="auto" w:fill="auto"/>
            <w:vAlign w:val="center"/>
            <w:hideMark/>
          </w:tcPr>
          <w:p w14:paraId="749D9199"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51 183,9</w:t>
            </w:r>
          </w:p>
        </w:tc>
        <w:tc>
          <w:tcPr>
            <w:tcW w:w="553" w:type="pct"/>
            <w:tcBorders>
              <w:top w:val="nil"/>
              <w:left w:val="nil"/>
              <w:bottom w:val="single" w:sz="4" w:space="0" w:color="auto"/>
              <w:right w:val="single" w:sz="4" w:space="0" w:color="auto"/>
            </w:tcBorders>
            <w:shd w:val="clear" w:color="auto" w:fill="auto"/>
            <w:vAlign w:val="center"/>
            <w:hideMark/>
          </w:tcPr>
          <w:p w14:paraId="5BE789D9"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595" w:type="pct"/>
            <w:tcBorders>
              <w:top w:val="nil"/>
              <w:left w:val="nil"/>
              <w:bottom w:val="single" w:sz="4" w:space="0" w:color="auto"/>
              <w:right w:val="single" w:sz="4" w:space="0" w:color="auto"/>
            </w:tcBorders>
            <w:shd w:val="clear" w:color="auto" w:fill="auto"/>
            <w:vAlign w:val="center"/>
          </w:tcPr>
          <w:p w14:paraId="5CA03FFE"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60 376,5</w:t>
            </w:r>
          </w:p>
        </w:tc>
        <w:tc>
          <w:tcPr>
            <w:tcW w:w="595" w:type="pct"/>
            <w:tcBorders>
              <w:top w:val="nil"/>
              <w:left w:val="nil"/>
              <w:bottom w:val="single" w:sz="4" w:space="0" w:color="auto"/>
              <w:right w:val="single" w:sz="4" w:space="0" w:color="auto"/>
            </w:tcBorders>
            <w:shd w:val="clear" w:color="auto" w:fill="auto"/>
            <w:vAlign w:val="center"/>
          </w:tcPr>
          <w:p w14:paraId="0AC3DE46"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-9 192,6</w:t>
            </w:r>
          </w:p>
        </w:tc>
      </w:tr>
      <w:tr w:rsidR="009B15A8" w:rsidRPr="00DD5F1D" w14:paraId="37CB9CA3" w14:textId="77777777" w:rsidTr="000E2AC7">
        <w:trPr>
          <w:trHeight w:val="2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169EBA9C" w14:textId="77777777" w:rsidR="009B15A8" w:rsidRPr="00DD5F1D" w:rsidRDefault="009B15A8" w:rsidP="000E2AC7">
            <w:pPr>
              <w:spacing w:after="0" w:line="240" w:lineRule="auto"/>
              <w:rPr>
                <w:rFonts w:ascii="Times New Roman" w:eastAsia="Times New Roman" w:hAnsi="Times New Roman" w:cs="Times New Roman"/>
                <w:lang w:val="ro-MD"/>
              </w:rPr>
            </w:pPr>
            <w:r w:rsidRPr="00DD5F1D">
              <w:rPr>
                <w:rFonts w:ascii="Times New Roman" w:eastAsia="Times New Roman" w:hAnsi="Times New Roman" w:cs="Times New Roman"/>
                <w:lang w:val="ro-MD"/>
              </w:rPr>
              <w:t>SOLD DE MIJLOACE BĂNEŞTI LA SFÂRŞITUL PERIOADEI</w:t>
            </w:r>
          </w:p>
        </w:tc>
        <w:tc>
          <w:tcPr>
            <w:tcW w:w="417" w:type="pct"/>
            <w:tcBorders>
              <w:top w:val="nil"/>
              <w:left w:val="nil"/>
              <w:bottom w:val="single" w:sz="4" w:space="0" w:color="auto"/>
              <w:right w:val="single" w:sz="4" w:space="0" w:color="auto"/>
            </w:tcBorders>
            <w:shd w:val="clear" w:color="auto" w:fill="auto"/>
            <w:vAlign w:val="center"/>
            <w:hideMark/>
          </w:tcPr>
          <w:p w14:paraId="6269A399"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93</w:t>
            </w:r>
          </w:p>
        </w:tc>
        <w:tc>
          <w:tcPr>
            <w:tcW w:w="493" w:type="pct"/>
            <w:tcBorders>
              <w:top w:val="nil"/>
              <w:left w:val="nil"/>
              <w:bottom w:val="single" w:sz="4" w:space="0" w:color="auto"/>
              <w:right w:val="single" w:sz="4" w:space="0" w:color="auto"/>
            </w:tcBorders>
            <w:shd w:val="clear" w:color="auto" w:fill="auto"/>
            <w:vAlign w:val="center"/>
            <w:hideMark/>
          </w:tcPr>
          <w:p w14:paraId="09B615E1"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0</w:t>
            </w:r>
          </w:p>
        </w:tc>
        <w:tc>
          <w:tcPr>
            <w:tcW w:w="481" w:type="pct"/>
            <w:tcBorders>
              <w:top w:val="nil"/>
              <w:left w:val="nil"/>
              <w:bottom w:val="single" w:sz="4" w:space="0" w:color="auto"/>
              <w:right w:val="single" w:sz="4" w:space="0" w:color="auto"/>
            </w:tcBorders>
            <w:shd w:val="clear" w:color="auto" w:fill="auto"/>
            <w:vAlign w:val="center"/>
            <w:hideMark/>
          </w:tcPr>
          <w:p w14:paraId="2971FE6E"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0</w:t>
            </w:r>
          </w:p>
        </w:tc>
        <w:tc>
          <w:tcPr>
            <w:tcW w:w="553" w:type="pct"/>
            <w:tcBorders>
              <w:top w:val="nil"/>
              <w:left w:val="nil"/>
              <w:bottom w:val="single" w:sz="4" w:space="0" w:color="auto"/>
              <w:right w:val="single" w:sz="4" w:space="0" w:color="auto"/>
            </w:tcBorders>
            <w:shd w:val="clear" w:color="auto" w:fill="auto"/>
            <w:vAlign w:val="center"/>
            <w:hideMark/>
          </w:tcPr>
          <w:p w14:paraId="153A8374"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79 951,5</w:t>
            </w:r>
          </w:p>
        </w:tc>
        <w:tc>
          <w:tcPr>
            <w:tcW w:w="553" w:type="pct"/>
            <w:tcBorders>
              <w:top w:val="nil"/>
              <w:left w:val="nil"/>
              <w:bottom w:val="single" w:sz="4" w:space="0" w:color="auto"/>
              <w:right w:val="single" w:sz="4" w:space="0" w:color="auto"/>
            </w:tcBorders>
            <w:shd w:val="clear" w:color="auto" w:fill="auto"/>
            <w:vAlign w:val="center"/>
            <w:hideMark/>
          </w:tcPr>
          <w:p w14:paraId="00D1A32E"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79 951,5</w:t>
            </w:r>
          </w:p>
        </w:tc>
        <w:tc>
          <w:tcPr>
            <w:tcW w:w="595" w:type="pct"/>
            <w:tcBorders>
              <w:top w:val="nil"/>
              <w:left w:val="nil"/>
              <w:bottom w:val="single" w:sz="4" w:space="0" w:color="auto"/>
              <w:right w:val="single" w:sz="4" w:space="0" w:color="auto"/>
            </w:tcBorders>
            <w:shd w:val="clear" w:color="auto" w:fill="auto"/>
            <w:vAlign w:val="center"/>
          </w:tcPr>
          <w:p w14:paraId="056DCB5F"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51 183,9</w:t>
            </w:r>
          </w:p>
        </w:tc>
        <w:tc>
          <w:tcPr>
            <w:tcW w:w="595" w:type="pct"/>
            <w:tcBorders>
              <w:top w:val="nil"/>
              <w:left w:val="nil"/>
              <w:bottom w:val="single" w:sz="4" w:space="0" w:color="auto"/>
              <w:right w:val="single" w:sz="4" w:space="0" w:color="auto"/>
            </w:tcBorders>
            <w:shd w:val="clear" w:color="auto" w:fill="auto"/>
            <w:vAlign w:val="center"/>
          </w:tcPr>
          <w:p w14:paraId="601F9CB4" w14:textId="77777777" w:rsidR="009B15A8" w:rsidRPr="00DD5F1D" w:rsidRDefault="009B15A8" w:rsidP="000E2AC7">
            <w:pPr>
              <w:spacing w:after="0" w:line="240" w:lineRule="auto"/>
              <w:jc w:val="center"/>
              <w:rPr>
                <w:rFonts w:ascii="Times New Roman" w:eastAsia="Times New Roman" w:hAnsi="Times New Roman" w:cs="Times New Roman"/>
                <w:lang w:val="ro-MD"/>
              </w:rPr>
            </w:pPr>
            <w:r w:rsidRPr="00DD5F1D">
              <w:rPr>
                <w:rFonts w:ascii="Times New Roman" w:eastAsia="Times New Roman" w:hAnsi="Times New Roman" w:cs="Times New Roman"/>
                <w:lang w:val="ro-MD"/>
              </w:rPr>
              <w:t>28 767,6</w:t>
            </w:r>
          </w:p>
        </w:tc>
      </w:tr>
    </w:tbl>
    <w:p w14:paraId="1944DB61" w14:textId="7FAA69FB" w:rsidR="00AB5790" w:rsidRPr="00DD5F1D" w:rsidRDefault="009B15A8" w:rsidP="00AB5790">
      <w:pPr>
        <w:rPr>
          <w:rFonts w:ascii="Times New Roman" w:hAnsi="Times New Roman" w:cs="Times New Roman"/>
          <w:lang w:val="ro-MD"/>
        </w:rPr>
      </w:pPr>
      <w:r w:rsidRPr="00DD5F1D">
        <w:rPr>
          <w:rFonts w:ascii="Times New Roman" w:eastAsia="Times New Roman" w:hAnsi="Times New Roman" w:cs="Times New Roman"/>
          <w:b/>
          <w:i/>
          <w:szCs w:val="24"/>
          <w:lang w:val="ro-MD"/>
        </w:rPr>
        <w:t>Sursă:</w:t>
      </w:r>
      <w:r w:rsidRPr="00DD5F1D">
        <w:rPr>
          <w:rFonts w:ascii="Times New Roman" w:eastAsia="Calibri" w:hAnsi="Times New Roman" w:cs="Times New Roman"/>
          <w:i/>
          <w:sz w:val="18"/>
          <w:szCs w:val="20"/>
          <w:lang w:val="ro-MD"/>
        </w:rPr>
        <w:t xml:space="preserve"> </w:t>
      </w:r>
      <w:r w:rsidRPr="00DD5F1D">
        <w:rPr>
          <w:rFonts w:ascii="Times New Roman" w:eastAsia="Calibri" w:hAnsi="Times New Roman" w:cs="Times New Roman"/>
          <w:i/>
          <w:sz w:val="20"/>
          <w:szCs w:val="20"/>
          <w:lang w:val="ro-MD"/>
        </w:rPr>
        <w:t>Raportul privind executarea bugetului asigurărilor sociale de stat pentru anul 2023 (Formularul nr.4 CNAS)</w:t>
      </w:r>
      <w:r w:rsidR="00F350B7" w:rsidRPr="00DD5F1D">
        <w:rPr>
          <w:rFonts w:ascii="Times New Roman" w:eastAsia="Calibri" w:hAnsi="Times New Roman" w:cs="Times New Roman"/>
          <w:i/>
          <w:sz w:val="20"/>
          <w:szCs w:val="20"/>
          <w:lang w:val="ro-MD"/>
        </w:rPr>
        <w:t>.</w:t>
      </w:r>
      <w:r w:rsidR="00AF491C" w:rsidRPr="00DD5F1D">
        <w:rPr>
          <w:rFonts w:ascii="Times New Roman" w:eastAsia="Calibri" w:hAnsi="Times New Roman" w:cs="Times New Roman"/>
          <w:i/>
          <w:sz w:val="20"/>
          <w:szCs w:val="20"/>
          <w:lang w:val="ro-MD"/>
        </w:rPr>
        <w:t xml:space="preserve"> </w:t>
      </w:r>
    </w:p>
    <w:p w14:paraId="01A0DAA1" w14:textId="77777777" w:rsidR="000E2AC7" w:rsidRPr="00DD5F1D" w:rsidRDefault="000E2AC7" w:rsidP="000E2AC7">
      <w:pPr>
        <w:pStyle w:val="2"/>
        <w:jc w:val="right"/>
        <w:rPr>
          <w:rFonts w:ascii="Times New Roman" w:hAnsi="Times New Roman" w:cs="Times New Roman"/>
          <w:b/>
          <w:color w:val="auto"/>
          <w:sz w:val="24"/>
          <w:szCs w:val="24"/>
          <w:lang w:val="ro-MD"/>
        </w:rPr>
      </w:pPr>
      <w:r w:rsidRPr="00DD5F1D">
        <w:rPr>
          <w:rFonts w:ascii="Times New Roman" w:hAnsi="Times New Roman" w:cs="Times New Roman"/>
          <w:b/>
          <w:color w:val="auto"/>
          <w:sz w:val="24"/>
          <w:szCs w:val="24"/>
          <w:lang w:val="ro-MD"/>
        </w:rPr>
        <w:t>Anexa nr. 4</w:t>
      </w:r>
    </w:p>
    <w:p w14:paraId="12F0036B" w14:textId="77777777" w:rsidR="000E2AC7" w:rsidRPr="00DD5F1D" w:rsidRDefault="000E2AC7" w:rsidP="000E2AC7">
      <w:pPr>
        <w:spacing w:line="276" w:lineRule="auto"/>
        <w:jc w:val="center"/>
        <w:rPr>
          <w:rFonts w:ascii="Times New Roman" w:hAnsi="Times New Roman" w:cs="Times New Roman"/>
          <w:b/>
          <w:i/>
          <w:sz w:val="24"/>
          <w:szCs w:val="24"/>
          <w:lang w:val="ro-MD"/>
        </w:rPr>
      </w:pPr>
      <w:r w:rsidRPr="00DD5F1D">
        <w:rPr>
          <w:rFonts w:ascii="Times New Roman" w:hAnsi="Times New Roman" w:cs="Times New Roman"/>
          <w:b/>
          <w:i/>
          <w:sz w:val="24"/>
          <w:szCs w:val="24"/>
          <w:lang w:val="ro-MD"/>
        </w:rPr>
        <w:t>Informații aferente litigiilor existente la CNAS pe parcursul anului 2023</w:t>
      </w:r>
    </w:p>
    <w:tbl>
      <w:tblPr>
        <w:tblStyle w:val="af1"/>
        <w:tblW w:w="0" w:type="auto"/>
        <w:jc w:val="center"/>
        <w:tblLook w:val="04A0" w:firstRow="1" w:lastRow="0" w:firstColumn="1" w:lastColumn="0" w:noHBand="0" w:noVBand="1"/>
      </w:tblPr>
      <w:tblGrid>
        <w:gridCol w:w="3729"/>
        <w:gridCol w:w="1190"/>
        <w:gridCol w:w="1733"/>
        <w:gridCol w:w="3266"/>
      </w:tblGrid>
      <w:tr w:rsidR="000E2AC7" w:rsidRPr="00DD5F1D" w14:paraId="0B821305" w14:textId="77777777" w:rsidTr="000E2AC7">
        <w:trPr>
          <w:jc w:val="center"/>
        </w:trPr>
        <w:tc>
          <w:tcPr>
            <w:tcW w:w="3729" w:type="dxa"/>
            <w:vAlign w:val="center"/>
          </w:tcPr>
          <w:p w14:paraId="1CBFEACE" w14:textId="77777777" w:rsidR="000E2AC7" w:rsidRPr="00DD5F1D" w:rsidRDefault="000E2AC7" w:rsidP="000E2AC7">
            <w:pPr>
              <w:jc w:val="center"/>
              <w:rPr>
                <w:rFonts w:ascii="Times New Roman" w:hAnsi="Times New Roman" w:cs="Times New Roman"/>
                <w:b/>
                <w:sz w:val="24"/>
                <w:szCs w:val="24"/>
                <w:lang w:val="ro-MD"/>
              </w:rPr>
            </w:pPr>
            <w:r w:rsidRPr="00DD5F1D">
              <w:rPr>
                <w:rFonts w:ascii="Times New Roman" w:hAnsi="Times New Roman" w:cs="Times New Roman"/>
                <w:b/>
                <w:sz w:val="24"/>
                <w:szCs w:val="24"/>
                <w:lang w:val="ro-MD"/>
              </w:rPr>
              <w:t>Denumirea</w:t>
            </w:r>
          </w:p>
        </w:tc>
        <w:tc>
          <w:tcPr>
            <w:tcW w:w="1190" w:type="dxa"/>
            <w:vAlign w:val="center"/>
          </w:tcPr>
          <w:p w14:paraId="099F9208" w14:textId="77777777" w:rsidR="000E2AC7" w:rsidRPr="00DD5F1D" w:rsidRDefault="000E2AC7" w:rsidP="000E2AC7">
            <w:pPr>
              <w:jc w:val="center"/>
              <w:rPr>
                <w:rFonts w:ascii="Times New Roman" w:hAnsi="Times New Roman" w:cs="Times New Roman"/>
                <w:b/>
                <w:sz w:val="24"/>
                <w:szCs w:val="24"/>
                <w:lang w:val="ro-MD"/>
              </w:rPr>
            </w:pPr>
            <w:r w:rsidRPr="00DD5F1D">
              <w:rPr>
                <w:rFonts w:ascii="Times New Roman" w:hAnsi="Times New Roman" w:cs="Times New Roman"/>
                <w:b/>
                <w:sz w:val="24"/>
                <w:szCs w:val="24"/>
                <w:lang w:val="ro-MD"/>
              </w:rPr>
              <w:t>Numărul dosarelor</w:t>
            </w:r>
          </w:p>
        </w:tc>
        <w:tc>
          <w:tcPr>
            <w:tcW w:w="1733" w:type="dxa"/>
            <w:vAlign w:val="center"/>
          </w:tcPr>
          <w:p w14:paraId="49B1E6AE" w14:textId="58831F59" w:rsidR="000E2AC7" w:rsidRPr="00DD5F1D" w:rsidRDefault="000E2AC7" w:rsidP="000E2AC7">
            <w:pPr>
              <w:jc w:val="center"/>
              <w:rPr>
                <w:rFonts w:ascii="Times New Roman" w:hAnsi="Times New Roman" w:cs="Times New Roman"/>
                <w:b/>
                <w:sz w:val="24"/>
                <w:szCs w:val="24"/>
                <w:lang w:val="ro-MD"/>
              </w:rPr>
            </w:pPr>
            <w:r w:rsidRPr="00DD5F1D">
              <w:rPr>
                <w:rFonts w:ascii="Times New Roman" w:hAnsi="Times New Roman" w:cs="Times New Roman"/>
                <w:b/>
                <w:sz w:val="24"/>
                <w:szCs w:val="24"/>
                <w:lang w:val="ro-MD"/>
              </w:rPr>
              <w:t xml:space="preserve">Suma cheltuielilor </w:t>
            </w:r>
            <w:r w:rsidR="00F350B7" w:rsidRPr="00DD5F1D">
              <w:rPr>
                <w:rFonts w:ascii="Times New Roman" w:hAnsi="Times New Roman" w:cs="Times New Roman"/>
                <w:b/>
                <w:sz w:val="24"/>
                <w:szCs w:val="24"/>
                <w:lang w:val="ro-MD"/>
              </w:rPr>
              <w:t xml:space="preserve">aferente </w:t>
            </w:r>
            <w:r w:rsidRPr="00DD5F1D">
              <w:rPr>
                <w:rFonts w:ascii="Times New Roman" w:hAnsi="Times New Roman" w:cs="Times New Roman"/>
                <w:b/>
                <w:sz w:val="24"/>
                <w:szCs w:val="24"/>
                <w:lang w:val="ro-MD"/>
              </w:rPr>
              <w:t>procesului</w:t>
            </w:r>
          </w:p>
        </w:tc>
        <w:tc>
          <w:tcPr>
            <w:tcW w:w="3266" w:type="dxa"/>
            <w:vAlign w:val="center"/>
          </w:tcPr>
          <w:p w14:paraId="48EB7205" w14:textId="77777777" w:rsidR="000E2AC7" w:rsidRPr="00DD5F1D" w:rsidRDefault="000E2AC7" w:rsidP="000E2AC7">
            <w:pPr>
              <w:jc w:val="center"/>
              <w:rPr>
                <w:rFonts w:ascii="Times New Roman" w:hAnsi="Times New Roman" w:cs="Times New Roman"/>
                <w:b/>
                <w:i/>
                <w:sz w:val="24"/>
                <w:szCs w:val="24"/>
                <w:lang w:val="ro-MD"/>
              </w:rPr>
            </w:pPr>
            <w:r w:rsidRPr="00DD5F1D">
              <w:rPr>
                <w:rFonts w:ascii="Times New Roman" w:hAnsi="Times New Roman" w:cs="Times New Roman"/>
                <w:b/>
                <w:i/>
                <w:sz w:val="24"/>
                <w:szCs w:val="24"/>
                <w:lang w:val="ro-MD"/>
              </w:rPr>
              <w:t>Note</w:t>
            </w:r>
          </w:p>
        </w:tc>
      </w:tr>
      <w:tr w:rsidR="000E2AC7" w:rsidRPr="00DD5F1D" w14:paraId="1D7C4B5C" w14:textId="77777777" w:rsidTr="000E2AC7">
        <w:trPr>
          <w:jc w:val="center"/>
        </w:trPr>
        <w:tc>
          <w:tcPr>
            <w:tcW w:w="3729" w:type="dxa"/>
          </w:tcPr>
          <w:p w14:paraId="18205B32" w14:textId="422E7037" w:rsidR="000E2AC7" w:rsidRPr="00DD5F1D" w:rsidRDefault="000E2AC7" w:rsidP="000E2AC7">
            <w:pPr>
              <w:jc w:val="both"/>
              <w:rPr>
                <w:rFonts w:ascii="Times New Roman" w:hAnsi="Times New Roman" w:cs="Times New Roman"/>
                <w:b/>
                <w:lang w:val="ro-MD"/>
              </w:rPr>
            </w:pPr>
            <w:r w:rsidRPr="00DD5F1D">
              <w:rPr>
                <w:rFonts w:ascii="Times New Roman" w:hAnsi="Times New Roman" w:cs="Times New Roman"/>
                <w:lang w:val="ro-MD"/>
              </w:rPr>
              <w:t xml:space="preserve">Litigii în instanța de judecată existente la situația </w:t>
            </w:r>
            <w:r w:rsidR="00F350B7" w:rsidRPr="00DD5F1D">
              <w:rPr>
                <w:rFonts w:ascii="Times New Roman" w:hAnsi="Times New Roman" w:cs="Times New Roman"/>
                <w:lang w:val="ro-MD"/>
              </w:rPr>
              <w:t xml:space="preserve">din </w:t>
            </w:r>
            <w:r w:rsidRPr="00DD5F1D">
              <w:rPr>
                <w:rFonts w:ascii="Times New Roman" w:hAnsi="Times New Roman" w:cs="Times New Roman"/>
                <w:lang w:val="ro-MD"/>
              </w:rPr>
              <w:t xml:space="preserve">01.01.2023 (de fond, </w:t>
            </w:r>
            <w:r w:rsidR="00F350B7" w:rsidRPr="00DD5F1D">
              <w:rPr>
                <w:rFonts w:ascii="Times New Roman" w:hAnsi="Times New Roman" w:cs="Times New Roman"/>
                <w:lang w:val="ro-MD"/>
              </w:rPr>
              <w:t xml:space="preserve">de </w:t>
            </w:r>
            <w:r w:rsidRPr="00DD5F1D">
              <w:rPr>
                <w:rFonts w:ascii="Times New Roman" w:hAnsi="Times New Roman" w:cs="Times New Roman"/>
                <w:lang w:val="ro-MD"/>
              </w:rPr>
              <w:t xml:space="preserve">apel și </w:t>
            </w:r>
            <w:r w:rsidR="00F350B7" w:rsidRPr="00DD5F1D">
              <w:rPr>
                <w:rFonts w:ascii="Times New Roman" w:hAnsi="Times New Roman" w:cs="Times New Roman"/>
                <w:lang w:val="ro-MD"/>
              </w:rPr>
              <w:t xml:space="preserve">de </w:t>
            </w:r>
            <w:r w:rsidRPr="00DD5F1D">
              <w:rPr>
                <w:rFonts w:ascii="Times New Roman" w:hAnsi="Times New Roman" w:cs="Times New Roman"/>
                <w:lang w:val="ro-MD"/>
              </w:rPr>
              <w:t>recurs)</w:t>
            </w:r>
          </w:p>
        </w:tc>
        <w:tc>
          <w:tcPr>
            <w:tcW w:w="1190" w:type="dxa"/>
            <w:vAlign w:val="center"/>
          </w:tcPr>
          <w:p w14:paraId="2C573F5E"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789</w:t>
            </w:r>
          </w:p>
        </w:tc>
        <w:tc>
          <w:tcPr>
            <w:tcW w:w="1733" w:type="dxa"/>
          </w:tcPr>
          <w:p w14:paraId="2A26C773" w14:textId="77777777" w:rsidR="000E2AC7" w:rsidRPr="00DD5F1D" w:rsidRDefault="000E2AC7" w:rsidP="000E2AC7">
            <w:pPr>
              <w:rPr>
                <w:rFonts w:ascii="Times New Roman" w:hAnsi="Times New Roman" w:cs="Times New Roman"/>
                <w:b/>
                <w:lang w:val="ro-MD"/>
              </w:rPr>
            </w:pPr>
          </w:p>
        </w:tc>
        <w:tc>
          <w:tcPr>
            <w:tcW w:w="3266" w:type="dxa"/>
          </w:tcPr>
          <w:p w14:paraId="2CBE5980" w14:textId="77777777" w:rsidR="000E2AC7" w:rsidRPr="00DD5F1D" w:rsidRDefault="000E2AC7" w:rsidP="000E2AC7">
            <w:pPr>
              <w:rPr>
                <w:rFonts w:ascii="Times New Roman" w:hAnsi="Times New Roman" w:cs="Times New Roman"/>
                <w:b/>
                <w:lang w:val="ro-MD"/>
              </w:rPr>
            </w:pPr>
          </w:p>
        </w:tc>
      </w:tr>
      <w:tr w:rsidR="000E2AC7" w:rsidRPr="00DD5F1D" w14:paraId="264D8914" w14:textId="77777777" w:rsidTr="000E2AC7">
        <w:trPr>
          <w:jc w:val="center"/>
        </w:trPr>
        <w:tc>
          <w:tcPr>
            <w:tcW w:w="3729" w:type="dxa"/>
          </w:tcPr>
          <w:p w14:paraId="4463C351" w14:textId="77777777" w:rsidR="000E2AC7" w:rsidRPr="00DD5F1D" w:rsidRDefault="000E2AC7" w:rsidP="000E2AC7">
            <w:pPr>
              <w:jc w:val="both"/>
              <w:rPr>
                <w:rFonts w:ascii="Times New Roman" w:hAnsi="Times New Roman" w:cs="Times New Roman"/>
                <w:b/>
                <w:lang w:val="ro-MD"/>
              </w:rPr>
            </w:pPr>
            <w:r w:rsidRPr="00DD5F1D">
              <w:rPr>
                <w:rFonts w:ascii="Times New Roman" w:hAnsi="Times New Roman" w:cs="Times New Roman"/>
                <w:lang w:val="ro-MD"/>
              </w:rPr>
              <w:t>Cereri de chemare în judecată depuse către CNAS pe parcursul anului 2023</w:t>
            </w:r>
          </w:p>
        </w:tc>
        <w:tc>
          <w:tcPr>
            <w:tcW w:w="1190" w:type="dxa"/>
            <w:vAlign w:val="center"/>
          </w:tcPr>
          <w:p w14:paraId="4248CB6C"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744</w:t>
            </w:r>
          </w:p>
        </w:tc>
        <w:tc>
          <w:tcPr>
            <w:tcW w:w="1733" w:type="dxa"/>
          </w:tcPr>
          <w:p w14:paraId="7DB0D5A2" w14:textId="77777777" w:rsidR="000E2AC7" w:rsidRPr="00DD5F1D" w:rsidRDefault="000E2AC7" w:rsidP="000E2AC7">
            <w:pPr>
              <w:rPr>
                <w:rFonts w:ascii="Times New Roman" w:hAnsi="Times New Roman" w:cs="Times New Roman"/>
                <w:b/>
                <w:lang w:val="ro-MD"/>
              </w:rPr>
            </w:pPr>
          </w:p>
        </w:tc>
        <w:tc>
          <w:tcPr>
            <w:tcW w:w="3266" w:type="dxa"/>
          </w:tcPr>
          <w:p w14:paraId="04009B2C" w14:textId="77777777" w:rsidR="000E2AC7" w:rsidRPr="00DD5F1D" w:rsidRDefault="000E2AC7" w:rsidP="000E2AC7">
            <w:pPr>
              <w:rPr>
                <w:rFonts w:ascii="Times New Roman" w:hAnsi="Times New Roman" w:cs="Times New Roman"/>
                <w:b/>
                <w:lang w:val="ro-MD"/>
              </w:rPr>
            </w:pPr>
          </w:p>
        </w:tc>
      </w:tr>
      <w:tr w:rsidR="000E2AC7" w:rsidRPr="00DD5F1D" w14:paraId="2629F9F4" w14:textId="77777777" w:rsidTr="000E2AC7">
        <w:trPr>
          <w:jc w:val="center"/>
        </w:trPr>
        <w:tc>
          <w:tcPr>
            <w:tcW w:w="3729" w:type="dxa"/>
          </w:tcPr>
          <w:p w14:paraId="0790908C" w14:textId="77777777" w:rsidR="000E2AC7" w:rsidRPr="00DD5F1D" w:rsidRDefault="000E2AC7" w:rsidP="000E2AC7">
            <w:pPr>
              <w:jc w:val="both"/>
              <w:rPr>
                <w:rFonts w:ascii="Times New Roman" w:hAnsi="Times New Roman" w:cs="Times New Roman"/>
                <w:b/>
                <w:lang w:val="ro-MD"/>
              </w:rPr>
            </w:pPr>
            <w:r w:rsidRPr="00DD5F1D">
              <w:rPr>
                <w:rFonts w:ascii="Times New Roman" w:hAnsi="Times New Roman" w:cs="Times New Roman"/>
                <w:lang w:val="ro-MD"/>
              </w:rPr>
              <w:t>Cereri de chemare în judecată acceptate și retrase de pe rol în anul 2023</w:t>
            </w:r>
          </w:p>
        </w:tc>
        <w:tc>
          <w:tcPr>
            <w:tcW w:w="1190" w:type="dxa"/>
            <w:vAlign w:val="center"/>
          </w:tcPr>
          <w:p w14:paraId="5005FAE3"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0</w:t>
            </w:r>
          </w:p>
        </w:tc>
        <w:tc>
          <w:tcPr>
            <w:tcW w:w="1733" w:type="dxa"/>
          </w:tcPr>
          <w:p w14:paraId="1076C0DE" w14:textId="77777777" w:rsidR="000E2AC7" w:rsidRPr="00DD5F1D" w:rsidRDefault="000E2AC7" w:rsidP="000E2AC7">
            <w:pPr>
              <w:rPr>
                <w:rFonts w:ascii="Times New Roman" w:hAnsi="Times New Roman" w:cs="Times New Roman"/>
                <w:b/>
                <w:lang w:val="ro-MD"/>
              </w:rPr>
            </w:pPr>
          </w:p>
        </w:tc>
        <w:tc>
          <w:tcPr>
            <w:tcW w:w="3266" w:type="dxa"/>
          </w:tcPr>
          <w:p w14:paraId="36D1B56D" w14:textId="77777777" w:rsidR="000E2AC7" w:rsidRPr="00DD5F1D" w:rsidRDefault="000E2AC7" w:rsidP="000E2AC7">
            <w:pPr>
              <w:rPr>
                <w:rFonts w:ascii="Times New Roman" w:hAnsi="Times New Roman" w:cs="Times New Roman"/>
                <w:b/>
                <w:lang w:val="ro-MD"/>
              </w:rPr>
            </w:pPr>
          </w:p>
        </w:tc>
      </w:tr>
      <w:tr w:rsidR="000E2AC7" w:rsidRPr="00DD5F1D" w14:paraId="459CFDCF" w14:textId="77777777" w:rsidTr="000E2AC7">
        <w:trPr>
          <w:jc w:val="center"/>
        </w:trPr>
        <w:tc>
          <w:tcPr>
            <w:tcW w:w="3729" w:type="dxa"/>
          </w:tcPr>
          <w:p w14:paraId="3366D9F0" w14:textId="77777777" w:rsidR="000E2AC7" w:rsidRPr="00DD5F1D" w:rsidRDefault="000E2AC7" w:rsidP="000E2AC7">
            <w:pPr>
              <w:jc w:val="both"/>
              <w:rPr>
                <w:rFonts w:ascii="Times New Roman" w:hAnsi="Times New Roman" w:cs="Times New Roman"/>
                <w:b/>
                <w:lang w:val="ro-MD"/>
              </w:rPr>
            </w:pPr>
            <w:r w:rsidRPr="00DD5F1D">
              <w:rPr>
                <w:rFonts w:ascii="Times New Roman" w:hAnsi="Times New Roman" w:cs="Times New Roman"/>
                <w:lang w:val="ro-MD"/>
              </w:rPr>
              <w:t>Hotărâri/Decizii de judecată devenite irevocabile adoptate în anul 2023, inclusiv:</w:t>
            </w:r>
          </w:p>
        </w:tc>
        <w:tc>
          <w:tcPr>
            <w:tcW w:w="1190" w:type="dxa"/>
            <w:vAlign w:val="center"/>
          </w:tcPr>
          <w:p w14:paraId="0BC38CEE"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191</w:t>
            </w:r>
          </w:p>
        </w:tc>
        <w:tc>
          <w:tcPr>
            <w:tcW w:w="1733" w:type="dxa"/>
          </w:tcPr>
          <w:p w14:paraId="68023789" w14:textId="77777777" w:rsidR="000E2AC7" w:rsidRPr="00DD5F1D" w:rsidRDefault="000E2AC7" w:rsidP="000E2AC7">
            <w:pPr>
              <w:rPr>
                <w:rFonts w:ascii="Times New Roman" w:hAnsi="Times New Roman" w:cs="Times New Roman"/>
                <w:b/>
                <w:lang w:val="ro-MD"/>
              </w:rPr>
            </w:pPr>
          </w:p>
        </w:tc>
        <w:tc>
          <w:tcPr>
            <w:tcW w:w="3266" w:type="dxa"/>
          </w:tcPr>
          <w:p w14:paraId="38198200" w14:textId="38A304CC" w:rsidR="000E2AC7" w:rsidRPr="00DD5F1D" w:rsidRDefault="000E2AC7" w:rsidP="00F350B7">
            <w:pPr>
              <w:jc w:val="both"/>
              <w:rPr>
                <w:rFonts w:ascii="Times New Roman" w:hAnsi="Times New Roman" w:cs="Times New Roman"/>
                <w:b/>
                <w:lang w:val="ro-MD"/>
              </w:rPr>
            </w:pPr>
            <w:r w:rsidRPr="00DD5F1D">
              <w:rPr>
                <w:rFonts w:ascii="Times New Roman" w:hAnsi="Times New Roman" w:cs="Times New Roman"/>
                <w:lang w:val="ro-MD"/>
              </w:rPr>
              <w:t xml:space="preserve">57 de dosare sunt finisate fără </w:t>
            </w:r>
            <w:r w:rsidR="00F350B7" w:rsidRPr="00DD5F1D">
              <w:rPr>
                <w:rFonts w:ascii="Times New Roman" w:hAnsi="Times New Roman" w:cs="Times New Roman"/>
                <w:lang w:val="ro-MD"/>
              </w:rPr>
              <w:t xml:space="preserve">anumite </w:t>
            </w:r>
            <w:r w:rsidRPr="00DD5F1D">
              <w:rPr>
                <w:rFonts w:ascii="Times New Roman" w:hAnsi="Times New Roman" w:cs="Times New Roman"/>
                <w:lang w:val="ro-MD"/>
              </w:rPr>
              <w:t>obligații față de Casa Națională de Asigurări Sociale</w:t>
            </w:r>
          </w:p>
        </w:tc>
      </w:tr>
      <w:tr w:rsidR="000E2AC7" w:rsidRPr="00DD5F1D" w14:paraId="180A608F" w14:textId="77777777" w:rsidTr="000E2AC7">
        <w:trPr>
          <w:jc w:val="center"/>
        </w:trPr>
        <w:tc>
          <w:tcPr>
            <w:tcW w:w="3729" w:type="dxa"/>
          </w:tcPr>
          <w:p w14:paraId="32C1D6CD" w14:textId="77777777" w:rsidR="000E2AC7" w:rsidRPr="00DD5F1D" w:rsidRDefault="000E2AC7" w:rsidP="000E2AC7">
            <w:pPr>
              <w:jc w:val="both"/>
              <w:rPr>
                <w:rFonts w:ascii="Times New Roman" w:hAnsi="Times New Roman" w:cs="Times New Roman"/>
                <w:b/>
                <w:i/>
                <w:lang w:val="ro-MD"/>
              </w:rPr>
            </w:pPr>
            <w:r w:rsidRPr="00DD5F1D">
              <w:rPr>
                <w:rFonts w:ascii="Times New Roman" w:hAnsi="Times New Roman" w:cs="Times New Roman"/>
                <w:i/>
                <w:lang w:val="ro-MD"/>
              </w:rPr>
              <w:t xml:space="preserve">      a) favorabile</w:t>
            </w:r>
          </w:p>
        </w:tc>
        <w:tc>
          <w:tcPr>
            <w:tcW w:w="1190" w:type="dxa"/>
            <w:vAlign w:val="center"/>
          </w:tcPr>
          <w:p w14:paraId="515A3FD4"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91</w:t>
            </w:r>
          </w:p>
        </w:tc>
        <w:tc>
          <w:tcPr>
            <w:tcW w:w="1733" w:type="dxa"/>
          </w:tcPr>
          <w:p w14:paraId="0E4F7B30" w14:textId="77777777" w:rsidR="000E2AC7" w:rsidRPr="00DD5F1D" w:rsidRDefault="000E2AC7" w:rsidP="000E2AC7">
            <w:pPr>
              <w:rPr>
                <w:rFonts w:ascii="Times New Roman" w:hAnsi="Times New Roman" w:cs="Times New Roman"/>
                <w:b/>
                <w:lang w:val="ro-MD"/>
              </w:rPr>
            </w:pPr>
          </w:p>
        </w:tc>
        <w:tc>
          <w:tcPr>
            <w:tcW w:w="3266" w:type="dxa"/>
          </w:tcPr>
          <w:p w14:paraId="1A35ABBE" w14:textId="77777777" w:rsidR="000E2AC7" w:rsidRPr="00DD5F1D" w:rsidRDefault="000E2AC7" w:rsidP="000E2AC7">
            <w:pPr>
              <w:rPr>
                <w:rFonts w:ascii="Times New Roman" w:hAnsi="Times New Roman" w:cs="Times New Roman"/>
                <w:b/>
                <w:lang w:val="ro-MD"/>
              </w:rPr>
            </w:pPr>
          </w:p>
        </w:tc>
      </w:tr>
      <w:tr w:rsidR="000E2AC7" w:rsidRPr="00DD5F1D" w14:paraId="77954B36" w14:textId="77777777" w:rsidTr="000E2AC7">
        <w:trPr>
          <w:jc w:val="center"/>
        </w:trPr>
        <w:tc>
          <w:tcPr>
            <w:tcW w:w="3729" w:type="dxa"/>
          </w:tcPr>
          <w:p w14:paraId="6126FAD4" w14:textId="77777777" w:rsidR="000E2AC7" w:rsidRPr="00DD5F1D" w:rsidRDefault="000E2AC7" w:rsidP="000E2AC7">
            <w:pPr>
              <w:jc w:val="both"/>
              <w:rPr>
                <w:rFonts w:ascii="Times New Roman" w:hAnsi="Times New Roman" w:cs="Times New Roman"/>
                <w:b/>
                <w:i/>
                <w:lang w:val="ro-MD"/>
              </w:rPr>
            </w:pPr>
            <w:r w:rsidRPr="00DD5F1D">
              <w:rPr>
                <w:rFonts w:ascii="Times New Roman" w:hAnsi="Times New Roman" w:cs="Times New Roman"/>
                <w:i/>
                <w:lang w:val="ro-MD"/>
              </w:rPr>
              <w:t xml:space="preserve">      b) nefavorabile, din care cauzate de:</w:t>
            </w:r>
          </w:p>
        </w:tc>
        <w:tc>
          <w:tcPr>
            <w:tcW w:w="1190" w:type="dxa"/>
            <w:vAlign w:val="center"/>
          </w:tcPr>
          <w:p w14:paraId="2F718FA7"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43</w:t>
            </w:r>
          </w:p>
        </w:tc>
        <w:tc>
          <w:tcPr>
            <w:tcW w:w="1733" w:type="dxa"/>
          </w:tcPr>
          <w:p w14:paraId="32A0BE14" w14:textId="77777777" w:rsidR="000E2AC7" w:rsidRPr="00DD5F1D" w:rsidRDefault="000E2AC7" w:rsidP="000E2AC7">
            <w:pPr>
              <w:rPr>
                <w:rFonts w:ascii="Times New Roman" w:hAnsi="Times New Roman" w:cs="Times New Roman"/>
                <w:b/>
                <w:lang w:val="ro-MD"/>
              </w:rPr>
            </w:pPr>
          </w:p>
        </w:tc>
        <w:tc>
          <w:tcPr>
            <w:tcW w:w="3266" w:type="dxa"/>
          </w:tcPr>
          <w:p w14:paraId="5BA8D8E2" w14:textId="77777777" w:rsidR="000E2AC7" w:rsidRPr="00DD5F1D" w:rsidRDefault="000E2AC7" w:rsidP="000E2AC7">
            <w:pPr>
              <w:rPr>
                <w:rFonts w:ascii="Times New Roman" w:hAnsi="Times New Roman" w:cs="Times New Roman"/>
                <w:b/>
                <w:lang w:val="ro-MD"/>
              </w:rPr>
            </w:pPr>
          </w:p>
        </w:tc>
      </w:tr>
      <w:tr w:rsidR="000E2AC7" w:rsidRPr="00DD5F1D" w14:paraId="607C1577" w14:textId="77777777" w:rsidTr="000E2AC7">
        <w:trPr>
          <w:jc w:val="center"/>
        </w:trPr>
        <w:tc>
          <w:tcPr>
            <w:tcW w:w="3729" w:type="dxa"/>
          </w:tcPr>
          <w:p w14:paraId="35735326" w14:textId="77777777" w:rsidR="000E2AC7" w:rsidRPr="00DD5F1D" w:rsidRDefault="000E2AC7" w:rsidP="000E2AC7">
            <w:pPr>
              <w:jc w:val="both"/>
              <w:rPr>
                <w:rFonts w:ascii="Times New Roman" w:hAnsi="Times New Roman" w:cs="Times New Roman"/>
                <w:b/>
                <w:i/>
                <w:lang w:val="ro-MD"/>
              </w:rPr>
            </w:pPr>
            <w:r w:rsidRPr="00DD5F1D">
              <w:rPr>
                <w:rFonts w:ascii="Times New Roman" w:hAnsi="Times New Roman" w:cs="Times New Roman"/>
                <w:i/>
                <w:lang w:val="ro-MD"/>
              </w:rPr>
              <w:t>-recalcularea pensiilor militarilor (confirmarea vechimii în muncă în izolatoare HG 78/1994 2:1)</w:t>
            </w:r>
          </w:p>
        </w:tc>
        <w:tc>
          <w:tcPr>
            <w:tcW w:w="1190" w:type="dxa"/>
            <w:vAlign w:val="center"/>
          </w:tcPr>
          <w:p w14:paraId="2449AE73"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12</w:t>
            </w:r>
          </w:p>
        </w:tc>
        <w:tc>
          <w:tcPr>
            <w:tcW w:w="1733" w:type="dxa"/>
            <w:vAlign w:val="center"/>
          </w:tcPr>
          <w:p w14:paraId="39B63CDB" w14:textId="77777777" w:rsidR="000E2AC7" w:rsidRPr="00DD5F1D" w:rsidRDefault="000E2AC7" w:rsidP="000E2AC7">
            <w:pPr>
              <w:jc w:val="center"/>
              <w:rPr>
                <w:rFonts w:ascii="Times New Roman" w:hAnsi="Times New Roman" w:cs="Times New Roman"/>
                <w:lang w:val="ro-MD"/>
              </w:rPr>
            </w:pPr>
            <w:r w:rsidRPr="00DD5F1D">
              <w:rPr>
                <w:rFonts w:ascii="Times New Roman" w:hAnsi="Times New Roman" w:cs="Times New Roman"/>
                <w:lang w:val="ro-MD"/>
              </w:rPr>
              <w:t>66500,00 lei</w:t>
            </w:r>
          </w:p>
        </w:tc>
        <w:tc>
          <w:tcPr>
            <w:tcW w:w="3266" w:type="dxa"/>
            <w:vMerge w:val="restart"/>
          </w:tcPr>
          <w:p w14:paraId="1F49778D" w14:textId="77777777" w:rsidR="000E2AC7" w:rsidRPr="00DD5F1D" w:rsidRDefault="000E2AC7" w:rsidP="000E2AC7">
            <w:pPr>
              <w:jc w:val="both"/>
              <w:rPr>
                <w:rFonts w:ascii="Times New Roman" w:hAnsi="Times New Roman" w:cs="Times New Roman"/>
                <w:b/>
                <w:lang w:val="ro-MD"/>
              </w:rPr>
            </w:pPr>
            <w:r w:rsidRPr="00DD5F1D">
              <w:rPr>
                <w:rFonts w:ascii="Times New Roman" w:hAnsi="Times New Roman" w:cs="Times New Roman"/>
                <w:lang w:val="ro-MD"/>
              </w:rPr>
              <w:t>Prin HG 1048/2023 au fost operate modificări în HG 78/1994 prin care vechimea în muncă din cadrul izolatorului provizoriu și a batalioanelor de escortă se ia în calcul 2/1</w:t>
            </w:r>
          </w:p>
        </w:tc>
      </w:tr>
      <w:tr w:rsidR="000E2AC7" w:rsidRPr="00DD5F1D" w14:paraId="312A1184" w14:textId="77777777" w:rsidTr="000E2AC7">
        <w:trPr>
          <w:jc w:val="center"/>
        </w:trPr>
        <w:tc>
          <w:tcPr>
            <w:tcW w:w="3729" w:type="dxa"/>
          </w:tcPr>
          <w:p w14:paraId="13506DBF" w14:textId="77777777" w:rsidR="000E2AC7" w:rsidRPr="00DD5F1D" w:rsidRDefault="000E2AC7" w:rsidP="000E2AC7">
            <w:pPr>
              <w:jc w:val="both"/>
              <w:rPr>
                <w:rFonts w:ascii="Times New Roman" w:hAnsi="Times New Roman" w:cs="Times New Roman"/>
                <w:i/>
                <w:lang w:val="ro-MD"/>
              </w:rPr>
            </w:pPr>
            <w:r w:rsidRPr="00DD5F1D">
              <w:rPr>
                <w:rFonts w:ascii="Times New Roman" w:hAnsi="Times New Roman" w:cs="Times New Roman"/>
                <w:i/>
                <w:lang w:val="ro-MD"/>
              </w:rPr>
              <w:t>-stabilirea pensiilor militarilor (confirmarea vechimii în muncă în izolatoare HG 78/1994 2:1)</w:t>
            </w:r>
          </w:p>
        </w:tc>
        <w:tc>
          <w:tcPr>
            <w:tcW w:w="1190" w:type="dxa"/>
            <w:vAlign w:val="center"/>
          </w:tcPr>
          <w:p w14:paraId="0F8EE100"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8</w:t>
            </w:r>
          </w:p>
        </w:tc>
        <w:tc>
          <w:tcPr>
            <w:tcW w:w="1733" w:type="dxa"/>
            <w:vAlign w:val="center"/>
          </w:tcPr>
          <w:p w14:paraId="775A81B5" w14:textId="77777777" w:rsidR="000E2AC7" w:rsidRPr="00DD5F1D" w:rsidRDefault="000E2AC7" w:rsidP="000E2AC7">
            <w:pPr>
              <w:jc w:val="center"/>
              <w:rPr>
                <w:rFonts w:ascii="Times New Roman" w:hAnsi="Times New Roman" w:cs="Times New Roman"/>
                <w:lang w:val="ro-MD"/>
              </w:rPr>
            </w:pPr>
            <w:r w:rsidRPr="00DD5F1D">
              <w:rPr>
                <w:rFonts w:ascii="Times New Roman" w:hAnsi="Times New Roman" w:cs="Times New Roman"/>
                <w:lang w:val="ro-MD"/>
              </w:rPr>
              <w:t>32000,00 lei</w:t>
            </w:r>
          </w:p>
        </w:tc>
        <w:tc>
          <w:tcPr>
            <w:tcW w:w="3266" w:type="dxa"/>
            <w:vMerge/>
          </w:tcPr>
          <w:p w14:paraId="662EEC3F" w14:textId="77777777" w:rsidR="000E2AC7" w:rsidRPr="00DD5F1D" w:rsidRDefault="000E2AC7" w:rsidP="000E2AC7">
            <w:pPr>
              <w:rPr>
                <w:rFonts w:ascii="Times New Roman" w:hAnsi="Times New Roman" w:cs="Times New Roman"/>
                <w:b/>
                <w:lang w:val="ro-MD"/>
              </w:rPr>
            </w:pPr>
          </w:p>
        </w:tc>
      </w:tr>
      <w:tr w:rsidR="000E2AC7" w:rsidRPr="00DD5F1D" w14:paraId="442669BA" w14:textId="77777777" w:rsidTr="000E2AC7">
        <w:trPr>
          <w:jc w:val="center"/>
        </w:trPr>
        <w:tc>
          <w:tcPr>
            <w:tcW w:w="3729" w:type="dxa"/>
          </w:tcPr>
          <w:p w14:paraId="35EECC9F" w14:textId="77777777" w:rsidR="000E2AC7" w:rsidRPr="00DD5F1D" w:rsidRDefault="000E2AC7" w:rsidP="000E2AC7">
            <w:pPr>
              <w:jc w:val="both"/>
              <w:rPr>
                <w:rFonts w:ascii="Times New Roman" w:hAnsi="Times New Roman" w:cs="Times New Roman"/>
                <w:i/>
                <w:lang w:val="ro-MD"/>
              </w:rPr>
            </w:pPr>
            <w:r w:rsidRPr="00DD5F1D">
              <w:rPr>
                <w:rFonts w:ascii="Times New Roman" w:hAnsi="Times New Roman" w:cs="Times New Roman"/>
                <w:i/>
                <w:lang w:val="ro-MD"/>
              </w:rPr>
              <w:t>-stabilirea pensiei de funcționar public</w:t>
            </w:r>
          </w:p>
        </w:tc>
        <w:tc>
          <w:tcPr>
            <w:tcW w:w="1190" w:type="dxa"/>
            <w:vAlign w:val="center"/>
          </w:tcPr>
          <w:p w14:paraId="252CB72C"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5</w:t>
            </w:r>
          </w:p>
        </w:tc>
        <w:tc>
          <w:tcPr>
            <w:tcW w:w="1733" w:type="dxa"/>
            <w:vAlign w:val="center"/>
          </w:tcPr>
          <w:p w14:paraId="3F7BCA6F" w14:textId="77777777" w:rsidR="000E2AC7" w:rsidRPr="00DD5F1D" w:rsidRDefault="000E2AC7" w:rsidP="000E2AC7">
            <w:pPr>
              <w:jc w:val="center"/>
              <w:rPr>
                <w:rFonts w:ascii="Times New Roman" w:hAnsi="Times New Roman" w:cs="Times New Roman"/>
                <w:lang w:val="ro-MD"/>
              </w:rPr>
            </w:pPr>
          </w:p>
        </w:tc>
        <w:tc>
          <w:tcPr>
            <w:tcW w:w="3266" w:type="dxa"/>
          </w:tcPr>
          <w:p w14:paraId="0B11C7B0" w14:textId="77777777" w:rsidR="000E2AC7" w:rsidRPr="00DD5F1D" w:rsidRDefault="000E2AC7" w:rsidP="000E2AC7">
            <w:pPr>
              <w:rPr>
                <w:rFonts w:ascii="Times New Roman" w:hAnsi="Times New Roman" w:cs="Times New Roman"/>
                <w:b/>
                <w:lang w:val="ro-MD"/>
              </w:rPr>
            </w:pPr>
          </w:p>
        </w:tc>
      </w:tr>
      <w:tr w:rsidR="000E2AC7" w:rsidRPr="00DD5F1D" w14:paraId="6C94AC02" w14:textId="77777777" w:rsidTr="000E2AC7">
        <w:trPr>
          <w:jc w:val="center"/>
        </w:trPr>
        <w:tc>
          <w:tcPr>
            <w:tcW w:w="3729" w:type="dxa"/>
          </w:tcPr>
          <w:p w14:paraId="10B2E6A8" w14:textId="77777777" w:rsidR="000E2AC7" w:rsidRPr="00DD5F1D" w:rsidRDefault="000E2AC7" w:rsidP="000E2AC7">
            <w:pPr>
              <w:jc w:val="both"/>
              <w:rPr>
                <w:rFonts w:ascii="Times New Roman" w:hAnsi="Times New Roman" w:cs="Times New Roman"/>
                <w:i/>
                <w:lang w:val="ro-MD"/>
              </w:rPr>
            </w:pPr>
            <w:r w:rsidRPr="00DD5F1D">
              <w:rPr>
                <w:rFonts w:ascii="Times New Roman" w:hAnsi="Times New Roman" w:cs="Times New Roman"/>
                <w:i/>
                <w:lang w:val="ro-MD"/>
              </w:rPr>
              <w:t>-recalcularea pensiei de procuror</w:t>
            </w:r>
          </w:p>
        </w:tc>
        <w:tc>
          <w:tcPr>
            <w:tcW w:w="1190" w:type="dxa"/>
            <w:vAlign w:val="center"/>
          </w:tcPr>
          <w:p w14:paraId="3A476597"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5</w:t>
            </w:r>
          </w:p>
        </w:tc>
        <w:tc>
          <w:tcPr>
            <w:tcW w:w="1733" w:type="dxa"/>
            <w:vAlign w:val="center"/>
          </w:tcPr>
          <w:p w14:paraId="60113249" w14:textId="77777777" w:rsidR="000E2AC7" w:rsidRPr="00DD5F1D" w:rsidRDefault="000E2AC7" w:rsidP="000E2AC7">
            <w:pPr>
              <w:jc w:val="center"/>
              <w:rPr>
                <w:rFonts w:ascii="Times New Roman" w:hAnsi="Times New Roman" w:cs="Times New Roman"/>
                <w:lang w:val="ro-MD"/>
              </w:rPr>
            </w:pPr>
          </w:p>
        </w:tc>
        <w:tc>
          <w:tcPr>
            <w:tcW w:w="3266" w:type="dxa"/>
          </w:tcPr>
          <w:p w14:paraId="0EC311F5" w14:textId="77777777" w:rsidR="000E2AC7" w:rsidRPr="00DD5F1D" w:rsidRDefault="000E2AC7" w:rsidP="000E2AC7">
            <w:pPr>
              <w:rPr>
                <w:rFonts w:ascii="Times New Roman" w:hAnsi="Times New Roman" w:cs="Times New Roman"/>
                <w:b/>
                <w:lang w:val="ro-MD"/>
              </w:rPr>
            </w:pPr>
          </w:p>
        </w:tc>
      </w:tr>
      <w:tr w:rsidR="000E2AC7" w:rsidRPr="00DD5F1D" w14:paraId="3038223E" w14:textId="77777777" w:rsidTr="000E2AC7">
        <w:trPr>
          <w:jc w:val="center"/>
        </w:trPr>
        <w:tc>
          <w:tcPr>
            <w:tcW w:w="3729" w:type="dxa"/>
          </w:tcPr>
          <w:p w14:paraId="1E97B7EC" w14:textId="77777777" w:rsidR="000E2AC7" w:rsidRPr="00DD5F1D" w:rsidRDefault="000E2AC7" w:rsidP="000E2AC7">
            <w:pPr>
              <w:jc w:val="both"/>
              <w:rPr>
                <w:rFonts w:ascii="Times New Roman" w:hAnsi="Times New Roman" w:cs="Times New Roman"/>
                <w:b/>
                <w:i/>
                <w:lang w:val="ro-MD"/>
              </w:rPr>
            </w:pPr>
            <w:r w:rsidRPr="00DD5F1D">
              <w:rPr>
                <w:rFonts w:ascii="Times New Roman" w:hAnsi="Times New Roman" w:cs="Times New Roman"/>
                <w:i/>
                <w:lang w:val="ro-MD"/>
              </w:rPr>
              <w:t>-recalcularea pensiei (L 156/1998 confirmarea stagiului de cotizare)</w:t>
            </w:r>
          </w:p>
        </w:tc>
        <w:tc>
          <w:tcPr>
            <w:tcW w:w="1190" w:type="dxa"/>
            <w:vAlign w:val="center"/>
          </w:tcPr>
          <w:p w14:paraId="3D77A17D"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5</w:t>
            </w:r>
          </w:p>
        </w:tc>
        <w:tc>
          <w:tcPr>
            <w:tcW w:w="1733" w:type="dxa"/>
            <w:vAlign w:val="center"/>
          </w:tcPr>
          <w:p w14:paraId="317B2090" w14:textId="77777777" w:rsidR="000E2AC7" w:rsidRPr="00DD5F1D" w:rsidRDefault="000E2AC7" w:rsidP="000E2AC7">
            <w:pPr>
              <w:jc w:val="center"/>
              <w:rPr>
                <w:rFonts w:ascii="Times New Roman" w:hAnsi="Times New Roman" w:cs="Times New Roman"/>
                <w:lang w:val="ro-MD"/>
              </w:rPr>
            </w:pPr>
            <w:r w:rsidRPr="00DD5F1D">
              <w:rPr>
                <w:rFonts w:ascii="Times New Roman" w:hAnsi="Times New Roman" w:cs="Times New Roman"/>
                <w:lang w:val="ro-MD"/>
              </w:rPr>
              <w:t>3000, 00 lei</w:t>
            </w:r>
          </w:p>
        </w:tc>
        <w:tc>
          <w:tcPr>
            <w:tcW w:w="3266" w:type="dxa"/>
          </w:tcPr>
          <w:p w14:paraId="5B9CFA38" w14:textId="77777777" w:rsidR="000E2AC7" w:rsidRPr="00DD5F1D" w:rsidRDefault="000E2AC7" w:rsidP="000E2AC7">
            <w:pPr>
              <w:rPr>
                <w:rFonts w:ascii="Times New Roman" w:hAnsi="Times New Roman" w:cs="Times New Roman"/>
                <w:b/>
                <w:lang w:val="ro-MD"/>
              </w:rPr>
            </w:pPr>
          </w:p>
        </w:tc>
      </w:tr>
      <w:tr w:rsidR="000E2AC7" w:rsidRPr="00DD5F1D" w14:paraId="20E944C1" w14:textId="77777777" w:rsidTr="000E2AC7">
        <w:trPr>
          <w:jc w:val="center"/>
        </w:trPr>
        <w:tc>
          <w:tcPr>
            <w:tcW w:w="3729" w:type="dxa"/>
          </w:tcPr>
          <w:p w14:paraId="74866D93" w14:textId="77777777" w:rsidR="000E2AC7" w:rsidRPr="00DD5F1D" w:rsidRDefault="000E2AC7" w:rsidP="000E2AC7">
            <w:pPr>
              <w:jc w:val="both"/>
              <w:rPr>
                <w:rFonts w:ascii="Times New Roman" w:hAnsi="Times New Roman" w:cs="Times New Roman"/>
                <w:b/>
                <w:i/>
                <w:lang w:val="ro-MD"/>
              </w:rPr>
            </w:pPr>
            <w:r w:rsidRPr="00DD5F1D">
              <w:rPr>
                <w:rFonts w:ascii="Times New Roman" w:hAnsi="Times New Roman" w:cs="Times New Roman"/>
                <w:i/>
                <w:lang w:val="ro-MD"/>
              </w:rPr>
              <w:t>-stabilirea/recalcularea indemnizației pentru îngrijirea copilului/maternitate</w:t>
            </w:r>
          </w:p>
        </w:tc>
        <w:tc>
          <w:tcPr>
            <w:tcW w:w="1190" w:type="dxa"/>
            <w:vAlign w:val="center"/>
          </w:tcPr>
          <w:p w14:paraId="6426A46D"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4</w:t>
            </w:r>
          </w:p>
        </w:tc>
        <w:tc>
          <w:tcPr>
            <w:tcW w:w="1733" w:type="dxa"/>
            <w:vAlign w:val="center"/>
          </w:tcPr>
          <w:p w14:paraId="397EC589" w14:textId="77777777" w:rsidR="000E2AC7" w:rsidRPr="00DD5F1D" w:rsidRDefault="000E2AC7" w:rsidP="000E2AC7">
            <w:pPr>
              <w:jc w:val="center"/>
              <w:rPr>
                <w:rFonts w:ascii="Times New Roman" w:hAnsi="Times New Roman" w:cs="Times New Roman"/>
                <w:lang w:val="ro-MD"/>
              </w:rPr>
            </w:pPr>
            <w:r w:rsidRPr="00DD5F1D">
              <w:rPr>
                <w:rFonts w:ascii="Times New Roman" w:hAnsi="Times New Roman" w:cs="Times New Roman"/>
                <w:lang w:val="ro-MD"/>
              </w:rPr>
              <w:t>8000,00 lei</w:t>
            </w:r>
          </w:p>
        </w:tc>
        <w:tc>
          <w:tcPr>
            <w:tcW w:w="3266" w:type="dxa"/>
          </w:tcPr>
          <w:p w14:paraId="4F6CEDBD" w14:textId="77777777" w:rsidR="000E2AC7" w:rsidRPr="00DD5F1D" w:rsidRDefault="000E2AC7" w:rsidP="000E2AC7">
            <w:pPr>
              <w:rPr>
                <w:rFonts w:ascii="Times New Roman" w:hAnsi="Times New Roman" w:cs="Times New Roman"/>
                <w:b/>
                <w:lang w:val="ro-MD"/>
              </w:rPr>
            </w:pPr>
          </w:p>
        </w:tc>
      </w:tr>
      <w:tr w:rsidR="000E2AC7" w:rsidRPr="00DD5F1D" w14:paraId="0D626F2F" w14:textId="77777777" w:rsidTr="000E2AC7">
        <w:trPr>
          <w:jc w:val="center"/>
        </w:trPr>
        <w:tc>
          <w:tcPr>
            <w:tcW w:w="3729" w:type="dxa"/>
          </w:tcPr>
          <w:p w14:paraId="2FFF5277" w14:textId="77777777" w:rsidR="000E2AC7" w:rsidRPr="00DD5F1D" w:rsidRDefault="000E2AC7" w:rsidP="000E2AC7">
            <w:pPr>
              <w:jc w:val="both"/>
              <w:rPr>
                <w:rFonts w:ascii="Times New Roman" w:hAnsi="Times New Roman" w:cs="Times New Roman"/>
                <w:b/>
                <w:i/>
                <w:lang w:val="ro-MD"/>
              </w:rPr>
            </w:pPr>
            <w:r w:rsidRPr="00DD5F1D">
              <w:rPr>
                <w:rFonts w:ascii="Times New Roman" w:hAnsi="Times New Roman" w:cs="Times New Roman"/>
                <w:i/>
                <w:lang w:val="ro-MD"/>
              </w:rPr>
              <w:t>-recalcularea pensiei/indemnizației viagere ca judecător</w:t>
            </w:r>
          </w:p>
        </w:tc>
        <w:tc>
          <w:tcPr>
            <w:tcW w:w="1190" w:type="dxa"/>
            <w:vAlign w:val="center"/>
          </w:tcPr>
          <w:p w14:paraId="710B7B77"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2</w:t>
            </w:r>
          </w:p>
        </w:tc>
        <w:tc>
          <w:tcPr>
            <w:tcW w:w="1733" w:type="dxa"/>
            <w:vAlign w:val="center"/>
          </w:tcPr>
          <w:p w14:paraId="608C7512" w14:textId="77777777" w:rsidR="000E2AC7" w:rsidRPr="00DD5F1D" w:rsidRDefault="000E2AC7" w:rsidP="000E2AC7">
            <w:pPr>
              <w:jc w:val="center"/>
              <w:rPr>
                <w:rFonts w:ascii="Times New Roman" w:hAnsi="Times New Roman" w:cs="Times New Roman"/>
                <w:lang w:val="ro-MD"/>
              </w:rPr>
            </w:pPr>
          </w:p>
        </w:tc>
        <w:tc>
          <w:tcPr>
            <w:tcW w:w="3266" w:type="dxa"/>
          </w:tcPr>
          <w:p w14:paraId="077422A9" w14:textId="77777777" w:rsidR="000E2AC7" w:rsidRPr="00DD5F1D" w:rsidRDefault="000E2AC7" w:rsidP="000E2AC7">
            <w:pPr>
              <w:rPr>
                <w:rFonts w:ascii="Times New Roman" w:hAnsi="Times New Roman" w:cs="Times New Roman"/>
                <w:b/>
                <w:lang w:val="ro-MD"/>
              </w:rPr>
            </w:pPr>
          </w:p>
        </w:tc>
      </w:tr>
      <w:tr w:rsidR="000E2AC7" w:rsidRPr="00DD5F1D" w14:paraId="7B715295" w14:textId="77777777" w:rsidTr="000E2AC7">
        <w:trPr>
          <w:jc w:val="center"/>
        </w:trPr>
        <w:tc>
          <w:tcPr>
            <w:tcW w:w="3729" w:type="dxa"/>
          </w:tcPr>
          <w:p w14:paraId="145023FC" w14:textId="77777777" w:rsidR="000E2AC7" w:rsidRPr="00DD5F1D" w:rsidRDefault="000E2AC7" w:rsidP="000E2AC7">
            <w:pPr>
              <w:jc w:val="both"/>
              <w:rPr>
                <w:rFonts w:ascii="Times New Roman" w:hAnsi="Times New Roman" w:cs="Times New Roman"/>
                <w:b/>
                <w:i/>
                <w:lang w:val="ro-MD"/>
              </w:rPr>
            </w:pPr>
            <w:r w:rsidRPr="00DD5F1D">
              <w:rPr>
                <w:rFonts w:ascii="Times New Roman" w:hAnsi="Times New Roman" w:cs="Times New Roman"/>
                <w:i/>
                <w:lang w:val="ro-MD"/>
              </w:rPr>
              <w:t>-achitarea costului biletului de tratament (militar)</w:t>
            </w:r>
          </w:p>
        </w:tc>
        <w:tc>
          <w:tcPr>
            <w:tcW w:w="1190" w:type="dxa"/>
            <w:vAlign w:val="center"/>
          </w:tcPr>
          <w:p w14:paraId="61814014"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1</w:t>
            </w:r>
          </w:p>
        </w:tc>
        <w:tc>
          <w:tcPr>
            <w:tcW w:w="1733" w:type="dxa"/>
            <w:vAlign w:val="center"/>
          </w:tcPr>
          <w:p w14:paraId="36842EAF" w14:textId="77777777" w:rsidR="000E2AC7" w:rsidRPr="00DD5F1D" w:rsidRDefault="000E2AC7" w:rsidP="000E2AC7">
            <w:pPr>
              <w:jc w:val="center"/>
              <w:rPr>
                <w:rFonts w:ascii="Times New Roman" w:hAnsi="Times New Roman" w:cs="Times New Roman"/>
                <w:b/>
                <w:lang w:val="ro-MD"/>
              </w:rPr>
            </w:pPr>
          </w:p>
        </w:tc>
        <w:tc>
          <w:tcPr>
            <w:tcW w:w="3266" w:type="dxa"/>
          </w:tcPr>
          <w:p w14:paraId="07FFCD3D" w14:textId="77777777" w:rsidR="000E2AC7" w:rsidRPr="00DD5F1D" w:rsidRDefault="000E2AC7" w:rsidP="000E2AC7">
            <w:pPr>
              <w:rPr>
                <w:rFonts w:ascii="Times New Roman" w:hAnsi="Times New Roman" w:cs="Times New Roman"/>
                <w:b/>
                <w:lang w:val="ro-MD"/>
              </w:rPr>
            </w:pPr>
          </w:p>
        </w:tc>
      </w:tr>
      <w:tr w:rsidR="000E2AC7" w:rsidRPr="00DD5F1D" w14:paraId="68ADDB37" w14:textId="77777777" w:rsidTr="000E2AC7">
        <w:trPr>
          <w:jc w:val="center"/>
        </w:trPr>
        <w:tc>
          <w:tcPr>
            <w:tcW w:w="3729" w:type="dxa"/>
          </w:tcPr>
          <w:p w14:paraId="457A0B86" w14:textId="77777777" w:rsidR="000E2AC7" w:rsidRPr="00DD5F1D" w:rsidRDefault="000E2AC7" w:rsidP="000E2AC7">
            <w:pPr>
              <w:jc w:val="both"/>
              <w:rPr>
                <w:rFonts w:ascii="Times New Roman" w:hAnsi="Times New Roman" w:cs="Times New Roman"/>
                <w:b/>
                <w:i/>
                <w:lang w:val="ro-MD"/>
              </w:rPr>
            </w:pPr>
            <w:r w:rsidRPr="00DD5F1D">
              <w:rPr>
                <w:rFonts w:ascii="Times New Roman" w:hAnsi="Times New Roman" w:cs="Times New Roman"/>
                <w:i/>
                <w:lang w:val="ro-MD"/>
              </w:rPr>
              <w:t>-executarea hotărârii judecătorești</w:t>
            </w:r>
          </w:p>
        </w:tc>
        <w:tc>
          <w:tcPr>
            <w:tcW w:w="1190" w:type="dxa"/>
            <w:vAlign w:val="center"/>
          </w:tcPr>
          <w:p w14:paraId="7618F502"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1</w:t>
            </w:r>
          </w:p>
        </w:tc>
        <w:tc>
          <w:tcPr>
            <w:tcW w:w="1733" w:type="dxa"/>
            <w:vAlign w:val="center"/>
          </w:tcPr>
          <w:p w14:paraId="367C4C0E"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lang w:val="ro-MD"/>
              </w:rPr>
              <w:t>6875,46 lei</w:t>
            </w:r>
          </w:p>
        </w:tc>
        <w:tc>
          <w:tcPr>
            <w:tcW w:w="3266" w:type="dxa"/>
          </w:tcPr>
          <w:p w14:paraId="597E9884" w14:textId="77777777" w:rsidR="000E2AC7" w:rsidRPr="00DD5F1D" w:rsidRDefault="000E2AC7" w:rsidP="000E2AC7">
            <w:pPr>
              <w:rPr>
                <w:rFonts w:ascii="Times New Roman" w:hAnsi="Times New Roman" w:cs="Times New Roman"/>
                <w:b/>
                <w:lang w:val="ro-MD"/>
              </w:rPr>
            </w:pPr>
          </w:p>
        </w:tc>
      </w:tr>
      <w:tr w:rsidR="000E2AC7" w:rsidRPr="00DD5F1D" w14:paraId="64D0A14F" w14:textId="77777777" w:rsidTr="000E2AC7">
        <w:trPr>
          <w:jc w:val="center"/>
        </w:trPr>
        <w:tc>
          <w:tcPr>
            <w:tcW w:w="3729" w:type="dxa"/>
          </w:tcPr>
          <w:p w14:paraId="70BFAFF5" w14:textId="6ADA59F8" w:rsidR="000E2AC7" w:rsidRPr="00DD5F1D" w:rsidRDefault="000E2AC7" w:rsidP="000E2AC7">
            <w:pPr>
              <w:jc w:val="both"/>
              <w:rPr>
                <w:rFonts w:ascii="Times New Roman" w:hAnsi="Times New Roman" w:cs="Times New Roman"/>
                <w:lang w:val="ro-MD"/>
              </w:rPr>
            </w:pPr>
            <w:r w:rsidRPr="00DD5F1D">
              <w:rPr>
                <w:rFonts w:ascii="Times New Roman" w:hAnsi="Times New Roman" w:cs="Times New Roman"/>
                <w:lang w:val="ro-MD"/>
              </w:rPr>
              <w:t xml:space="preserve">Litigii în instanța de judecată existente la 31.12.2023 (de fond, </w:t>
            </w:r>
            <w:r w:rsidR="00F350B7" w:rsidRPr="00DD5F1D">
              <w:rPr>
                <w:rFonts w:ascii="Times New Roman" w:hAnsi="Times New Roman" w:cs="Times New Roman"/>
                <w:lang w:val="ro-MD"/>
              </w:rPr>
              <w:t xml:space="preserve">de </w:t>
            </w:r>
            <w:r w:rsidRPr="00DD5F1D">
              <w:rPr>
                <w:rFonts w:ascii="Times New Roman" w:hAnsi="Times New Roman" w:cs="Times New Roman"/>
                <w:lang w:val="ro-MD"/>
              </w:rPr>
              <w:t xml:space="preserve">apel și </w:t>
            </w:r>
            <w:r w:rsidR="00F350B7" w:rsidRPr="00DD5F1D">
              <w:rPr>
                <w:rFonts w:ascii="Times New Roman" w:hAnsi="Times New Roman" w:cs="Times New Roman"/>
                <w:lang w:val="ro-MD"/>
              </w:rPr>
              <w:t xml:space="preserve">de </w:t>
            </w:r>
            <w:r w:rsidRPr="00DD5F1D">
              <w:rPr>
                <w:rFonts w:ascii="Times New Roman" w:hAnsi="Times New Roman" w:cs="Times New Roman"/>
                <w:lang w:val="ro-MD"/>
              </w:rPr>
              <w:t>recurs)</w:t>
            </w:r>
          </w:p>
        </w:tc>
        <w:tc>
          <w:tcPr>
            <w:tcW w:w="1190" w:type="dxa"/>
            <w:vAlign w:val="center"/>
          </w:tcPr>
          <w:p w14:paraId="04CE4830" w14:textId="77777777" w:rsidR="000E2AC7" w:rsidRPr="00DD5F1D" w:rsidRDefault="000E2AC7" w:rsidP="000E2AC7">
            <w:pPr>
              <w:jc w:val="center"/>
              <w:rPr>
                <w:rFonts w:ascii="Times New Roman" w:hAnsi="Times New Roman" w:cs="Times New Roman"/>
                <w:b/>
                <w:lang w:val="ro-MD"/>
              </w:rPr>
            </w:pPr>
            <w:r w:rsidRPr="00DD5F1D">
              <w:rPr>
                <w:rFonts w:ascii="Times New Roman" w:hAnsi="Times New Roman" w:cs="Times New Roman"/>
                <w:b/>
                <w:lang w:val="ro-MD"/>
              </w:rPr>
              <w:t>1342</w:t>
            </w:r>
          </w:p>
        </w:tc>
        <w:tc>
          <w:tcPr>
            <w:tcW w:w="1733" w:type="dxa"/>
          </w:tcPr>
          <w:p w14:paraId="78B4086A" w14:textId="77777777" w:rsidR="000E2AC7" w:rsidRPr="00DD5F1D" w:rsidRDefault="000E2AC7" w:rsidP="000E2AC7">
            <w:pPr>
              <w:rPr>
                <w:rFonts w:ascii="Times New Roman" w:hAnsi="Times New Roman" w:cs="Times New Roman"/>
                <w:b/>
                <w:lang w:val="ro-MD"/>
              </w:rPr>
            </w:pPr>
          </w:p>
        </w:tc>
        <w:tc>
          <w:tcPr>
            <w:tcW w:w="3266" w:type="dxa"/>
          </w:tcPr>
          <w:p w14:paraId="2DB3C671" w14:textId="77777777" w:rsidR="000E2AC7" w:rsidRPr="00DD5F1D" w:rsidRDefault="000E2AC7" w:rsidP="000E2AC7">
            <w:pPr>
              <w:rPr>
                <w:rFonts w:ascii="Times New Roman" w:hAnsi="Times New Roman" w:cs="Times New Roman"/>
                <w:b/>
                <w:lang w:val="ro-MD"/>
              </w:rPr>
            </w:pPr>
          </w:p>
        </w:tc>
      </w:tr>
    </w:tbl>
    <w:p w14:paraId="1BD534CF" w14:textId="77777777" w:rsidR="00EA247D" w:rsidRDefault="000E2AC7" w:rsidP="000E2AC7">
      <w:pPr>
        <w:spacing w:after="0" w:line="276" w:lineRule="auto"/>
        <w:jc w:val="both"/>
        <w:rPr>
          <w:rFonts w:ascii="Times New Roman" w:eastAsia="Times New Roman" w:hAnsi="Times New Roman" w:cs="Times New Roman"/>
          <w:i/>
          <w:sz w:val="24"/>
          <w:szCs w:val="24"/>
          <w:lang w:val="ro-MD"/>
        </w:rPr>
        <w:sectPr w:rsidR="00EA247D" w:rsidSect="00CF4DFD">
          <w:pgSz w:w="12240" w:h="15840"/>
          <w:pgMar w:top="1140" w:right="851" w:bottom="1140" w:left="1355" w:header="720" w:footer="720" w:gutter="0"/>
          <w:cols w:space="720"/>
          <w:titlePg/>
          <w:docGrid w:linePitch="360"/>
        </w:sectPr>
      </w:pPr>
      <w:r w:rsidRPr="00DD5F1D">
        <w:rPr>
          <w:rFonts w:ascii="Times New Roman" w:eastAsia="Times New Roman" w:hAnsi="Times New Roman" w:cs="Times New Roman"/>
          <w:b/>
          <w:i/>
          <w:sz w:val="24"/>
          <w:szCs w:val="24"/>
          <w:lang w:val="ro-MD"/>
        </w:rPr>
        <w:t>Sursa:</w:t>
      </w:r>
      <w:r w:rsidRPr="00DD5F1D">
        <w:rPr>
          <w:rFonts w:ascii="Times New Roman" w:eastAsia="Times New Roman" w:hAnsi="Times New Roman" w:cs="Times New Roman"/>
          <w:i/>
          <w:sz w:val="24"/>
          <w:szCs w:val="24"/>
          <w:lang w:val="ro-MD"/>
        </w:rPr>
        <w:t xml:space="preserve"> Date prezentate de CNAS</w:t>
      </w:r>
      <w:r w:rsidR="00F350B7" w:rsidRPr="00DD5F1D">
        <w:rPr>
          <w:rFonts w:ascii="Times New Roman" w:eastAsia="Times New Roman" w:hAnsi="Times New Roman" w:cs="Times New Roman"/>
          <w:i/>
          <w:sz w:val="24"/>
          <w:szCs w:val="24"/>
          <w:lang w:val="ro-MD"/>
        </w:rPr>
        <w:t>.</w:t>
      </w:r>
    </w:p>
    <w:p w14:paraId="6D9F5960" w14:textId="77777777" w:rsidR="00FA0814" w:rsidRPr="00DD5F1D" w:rsidRDefault="00503FEE" w:rsidP="000A307A">
      <w:pPr>
        <w:pStyle w:val="2"/>
        <w:jc w:val="right"/>
        <w:rPr>
          <w:rFonts w:ascii="Times New Roman" w:hAnsi="Times New Roman" w:cs="Times New Roman"/>
          <w:b/>
          <w:color w:val="000000" w:themeColor="text1"/>
          <w:sz w:val="24"/>
          <w:szCs w:val="24"/>
          <w:lang w:val="ro-MD"/>
        </w:rPr>
      </w:pPr>
      <w:r w:rsidRPr="00DD5F1D">
        <w:rPr>
          <w:rFonts w:ascii="Times New Roman" w:eastAsia="Times New Roman" w:hAnsi="Times New Roman" w:cs="Times New Roman"/>
          <w:b/>
          <w:color w:val="000000" w:themeColor="text1"/>
          <w:sz w:val="24"/>
          <w:szCs w:val="24"/>
          <w:lang w:val="ro-MD"/>
        </w:rPr>
        <w:t xml:space="preserve">Anexa nr. </w:t>
      </w:r>
      <w:r w:rsidR="000E2AC7" w:rsidRPr="00DD5F1D">
        <w:rPr>
          <w:rFonts w:ascii="Times New Roman" w:eastAsia="Times New Roman" w:hAnsi="Times New Roman" w:cs="Times New Roman"/>
          <w:b/>
          <w:color w:val="000000" w:themeColor="text1"/>
          <w:sz w:val="24"/>
          <w:szCs w:val="24"/>
          <w:lang w:val="ro-MD"/>
        </w:rPr>
        <w:t>5</w:t>
      </w:r>
    </w:p>
    <w:p w14:paraId="1534B3A9" w14:textId="74312AED" w:rsidR="00251419" w:rsidRPr="00DD5F1D" w:rsidRDefault="00E706B5" w:rsidP="00251419">
      <w:pPr>
        <w:pStyle w:val="aa"/>
        <w:spacing w:after="0" w:line="276" w:lineRule="auto"/>
        <w:ind w:left="0"/>
        <w:jc w:val="both"/>
        <w:rPr>
          <w:rFonts w:ascii="Times New Roman" w:eastAsia="Times New Roman" w:hAnsi="Times New Roman" w:cs="Times New Roman"/>
          <w:b/>
          <w:sz w:val="24"/>
          <w:szCs w:val="24"/>
          <w:lang w:val="ro-MD"/>
        </w:rPr>
      </w:pPr>
      <w:r w:rsidRPr="00DD5F1D">
        <w:rPr>
          <w:rFonts w:ascii="Times New Roman" w:eastAsia="Times New Roman" w:hAnsi="Times New Roman" w:cs="Times New Roman"/>
          <w:b/>
          <w:color w:val="000000" w:themeColor="text1"/>
          <w:sz w:val="24"/>
          <w:szCs w:val="24"/>
          <w:lang w:val="ro-MD"/>
        </w:rPr>
        <w:t>V</w:t>
      </w:r>
      <w:r w:rsidR="00251419" w:rsidRPr="00DD5F1D">
        <w:rPr>
          <w:rFonts w:ascii="Times New Roman" w:eastAsia="Times New Roman" w:hAnsi="Times New Roman" w:cs="Times New Roman"/>
          <w:b/>
          <w:color w:val="000000" w:themeColor="text1"/>
          <w:sz w:val="24"/>
          <w:szCs w:val="24"/>
          <w:lang w:val="ro-MD"/>
        </w:rPr>
        <w:t>enituril</w:t>
      </w:r>
      <w:r w:rsidRPr="00DD5F1D">
        <w:rPr>
          <w:rFonts w:ascii="Times New Roman" w:eastAsia="Times New Roman" w:hAnsi="Times New Roman" w:cs="Times New Roman"/>
          <w:b/>
          <w:color w:val="000000" w:themeColor="text1"/>
          <w:sz w:val="24"/>
          <w:szCs w:val="24"/>
          <w:lang w:val="ro-MD"/>
        </w:rPr>
        <w:t>e</w:t>
      </w:r>
      <w:r w:rsidR="00251419" w:rsidRPr="00DD5F1D">
        <w:rPr>
          <w:rFonts w:ascii="Times New Roman" w:eastAsia="Times New Roman" w:hAnsi="Times New Roman" w:cs="Times New Roman"/>
          <w:b/>
          <w:color w:val="000000" w:themeColor="text1"/>
          <w:sz w:val="24"/>
          <w:szCs w:val="24"/>
          <w:lang w:val="ro-MD"/>
        </w:rPr>
        <w:t xml:space="preserve"> la bugetul asigurărilor sociale de stat au fost în creștere constantă, inclusiv transferurile </w:t>
      </w:r>
      <w:r w:rsidR="00251419" w:rsidRPr="00DD5F1D">
        <w:rPr>
          <w:rFonts w:ascii="Times New Roman" w:eastAsia="Times New Roman" w:hAnsi="Times New Roman" w:cs="Times New Roman"/>
          <w:b/>
          <w:sz w:val="24"/>
          <w:szCs w:val="24"/>
          <w:lang w:val="ro-MD"/>
        </w:rPr>
        <w:t>primite de la bugetul de stat.</w:t>
      </w:r>
    </w:p>
    <w:p w14:paraId="21DD1092" w14:textId="76D81FB2" w:rsidR="00251419" w:rsidRPr="00DD5F1D" w:rsidRDefault="00251419" w:rsidP="00251419">
      <w:pPr>
        <w:pStyle w:val="Default"/>
        <w:spacing w:line="276" w:lineRule="auto"/>
        <w:jc w:val="both"/>
        <w:rPr>
          <w:color w:val="auto"/>
          <w:lang w:val="ro-MD"/>
        </w:rPr>
      </w:pPr>
      <w:r w:rsidRPr="00DD5F1D">
        <w:rPr>
          <w:rFonts w:eastAsia="Times New Roman"/>
          <w:color w:val="auto"/>
          <w:lang w:val="ro-MD"/>
        </w:rPr>
        <w:t xml:space="preserve">În anul 2023, veniturile totale ale bugetului asigurărilor sociale de stat sunt </w:t>
      </w:r>
      <w:r w:rsidRPr="00DD5F1D">
        <w:rPr>
          <w:color w:val="auto"/>
          <w:lang w:val="ro-MD"/>
        </w:rPr>
        <w:t>cu 0,7%, sau cu 266,2 mil. lei, mai puțin față de prevederile anuale. Totodată, acestea au înregistrat o creștere de 4 808,3 mil. lei</w:t>
      </w:r>
      <w:r w:rsidR="00F350B7" w:rsidRPr="00DD5F1D">
        <w:rPr>
          <w:color w:val="auto"/>
          <w:lang w:val="ro-MD"/>
        </w:rPr>
        <w:t>,</w:t>
      </w:r>
      <w:r w:rsidRPr="00DD5F1D">
        <w:rPr>
          <w:color w:val="auto"/>
          <w:lang w:val="ro-MD"/>
        </w:rPr>
        <w:t xml:space="preserve"> comparativ cu anul precedent</w:t>
      </w:r>
      <w:r w:rsidRPr="00DD5F1D">
        <w:rPr>
          <w:rStyle w:val="a5"/>
          <w:rFonts w:eastAsia="Times New Roman"/>
          <w:color w:val="auto"/>
          <w:lang w:val="ro-MD"/>
        </w:rPr>
        <w:footnoteReference w:id="153"/>
      </w:r>
      <w:r w:rsidRPr="00DD5F1D">
        <w:rPr>
          <w:color w:val="auto"/>
          <w:lang w:val="ro-MD"/>
        </w:rPr>
        <w:t xml:space="preserve">. În structura veniturilor bugetului asigurărilor sociale de stat pe anul 2023, resursele generale ale acestui buget au constituit 57,2%, iar transferurile de la bugetul de stat – 42,8%. </w:t>
      </w:r>
    </w:p>
    <w:p w14:paraId="38D17107" w14:textId="77777777" w:rsidR="00251419" w:rsidRPr="00DD5F1D" w:rsidRDefault="00251419" w:rsidP="00251419">
      <w:pPr>
        <w:pStyle w:val="Default"/>
        <w:spacing w:line="276" w:lineRule="auto"/>
        <w:jc w:val="both"/>
        <w:rPr>
          <w:color w:val="auto"/>
          <w:lang w:val="ro-MD"/>
        </w:rPr>
      </w:pPr>
      <w:r w:rsidRPr="00DD5F1D">
        <w:rPr>
          <w:color w:val="auto"/>
          <w:lang w:val="ro-MD"/>
        </w:rPr>
        <w:t>Resursele generale ale bugetului asigurărilor sociale de stat sunt constituite din contribuții de asigurări sociale de stat obligatorii – 21 524,2 mil. lei, și alte venituri acumulate în sumă de 568,6 mil. lei. Ponderea contribuțiilor și primelor de asigurări sociale de stat în totalul veniturilor bugetului asigurărilor sociale de stat este de 55,7% și sunt cu 2 950,8 mil. lei mai mult, comparativ cu anul precedent.</w:t>
      </w:r>
    </w:p>
    <w:p w14:paraId="55E9F807" w14:textId="663BE240" w:rsidR="00251419" w:rsidRPr="00DD5F1D" w:rsidRDefault="00251419" w:rsidP="00251419">
      <w:pPr>
        <w:spacing w:after="0" w:line="276" w:lineRule="auto"/>
        <w:jc w:val="both"/>
        <w:rPr>
          <w:rFonts w:ascii="Times New Roman" w:eastAsia="Times New Roman" w:hAnsi="Times New Roman" w:cs="Times New Roman"/>
          <w:b/>
          <w:sz w:val="24"/>
          <w:szCs w:val="24"/>
          <w:lang w:val="ro-MD"/>
        </w:rPr>
      </w:pPr>
      <w:r w:rsidRPr="00DD5F1D">
        <w:rPr>
          <w:rFonts w:ascii="Times New Roman" w:eastAsia="Times New Roman" w:hAnsi="Times New Roman" w:cs="Times New Roman"/>
          <w:iCs/>
          <w:sz w:val="24"/>
          <w:szCs w:val="24"/>
          <w:lang w:val="ro-MD"/>
        </w:rPr>
        <w:t xml:space="preserve">. </w:t>
      </w:r>
      <w:r w:rsidRPr="00DD5F1D">
        <w:rPr>
          <w:rFonts w:ascii="Times New Roman" w:hAnsi="Times New Roman" w:cs="Times New Roman"/>
          <w:sz w:val="24"/>
          <w:szCs w:val="24"/>
          <w:lang w:val="ro-MD"/>
        </w:rPr>
        <w:t>Astfel, pe parcursul a 5 ani consecutivi (2019-2023) se atestă o creștere constantă a tuturor veniturilor la bugetul asigurărilor sociale de stat, mai cu seamă a transferurilor curente cu destinație generală între bugetul de stat și bugetul asigurărilor sociale de stat.</w:t>
      </w:r>
    </w:p>
    <w:p w14:paraId="0BDD0042" w14:textId="608D4BB8" w:rsidR="00251419" w:rsidRPr="00DD5F1D" w:rsidRDefault="00251419" w:rsidP="00251419">
      <w:pPr>
        <w:pStyle w:val="Default"/>
        <w:spacing w:after="240" w:line="276" w:lineRule="auto"/>
        <w:jc w:val="both"/>
        <w:rPr>
          <w:color w:val="auto"/>
          <w:lang w:val="ro-MD"/>
        </w:rPr>
      </w:pPr>
      <w:r w:rsidRPr="00DD5F1D">
        <w:rPr>
          <w:b/>
          <w:color w:val="auto"/>
          <w:lang w:val="ro-MD"/>
        </w:rPr>
        <w:t>Contribuțiile de asigurări sociale de stat</w:t>
      </w:r>
      <w:r w:rsidRPr="00DD5F1D">
        <w:rPr>
          <w:color w:val="auto"/>
          <w:lang w:val="ro-MD"/>
        </w:rPr>
        <w:t xml:space="preserve"> în anul 2023 au fost calculate și achitate conform tarifelor prevăzute</w:t>
      </w:r>
      <w:r w:rsidRPr="00DD5F1D">
        <w:rPr>
          <w:rStyle w:val="a5"/>
          <w:color w:val="auto"/>
          <w:lang w:val="ro-MD"/>
        </w:rPr>
        <w:footnoteReference w:id="154"/>
      </w:r>
      <w:r w:rsidRPr="00DD5F1D">
        <w:rPr>
          <w:color w:val="auto"/>
          <w:lang w:val="ro-MD"/>
        </w:rPr>
        <w:t>. Taxa fixă anuală a contribuțiilor de asigurări sociale obligatorii în anul 2023 a constituit 14700 lei</w:t>
      </w:r>
      <w:r w:rsidRPr="00DD5F1D">
        <w:rPr>
          <w:rStyle w:val="a5"/>
          <w:color w:val="auto"/>
          <w:lang w:val="ro-MD"/>
        </w:rPr>
        <w:footnoteReference w:id="155"/>
      </w:r>
      <w:r w:rsidRPr="00DD5F1D">
        <w:rPr>
          <w:color w:val="auto"/>
          <w:lang w:val="ro-MD"/>
        </w:rPr>
        <w:t>, pentru proprietarii sau arendașii de terenuri agricole ce prelucrează terenurile în mod individual – de 3 744 lei</w:t>
      </w:r>
      <w:r w:rsidRPr="00DD5F1D">
        <w:rPr>
          <w:rStyle w:val="a5"/>
          <w:color w:val="auto"/>
          <w:lang w:val="ro-MD"/>
        </w:rPr>
        <w:footnoteReference w:id="156"/>
      </w:r>
      <w:r w:rsidR="00E706B5" w:rsidRPr="00DD5F1D">
        <w:rPr>
          <w:color w:val="auto"/>
          <w:lang w:val="ro-MD"/>
        </w:rPr>
        <w:t>, precum</w:t>
      </w:r>
      <w:r w:rsidR="00503FEE" w:rsidRPr="00DD5F1D">
        <w:rPr>
          <w:color w:val="auto"/>
          <w:lang w:val="ro-MD"/>
        </w:rPr>
        <w:t xml:space="preserve"> și alte categorii de plătitori. </w:t>
      </w:r>
      <w:r w:rsidRPr="00DD5F1D">
        <w:rPr>
          <w:lang w:val="ro-MD"/>
        </w:rPr>
        <w:t>Se atestă că, contribuțiile de asigurări sociale de stat în 2023, acumulate în sumă de 21</w:t>
      </w:r>
      <w:r w:rsidR="00F350B7" w:rsidRPr="00DD5F1D">
        <w:rPr>
          <w:lang w:val="ro-MD"/>
        </w:rPr>
        <w:t xml:space="preserve"> </w:t>
      </w:r>
      <w:r w:rsidRPr="00DD5F1D">
        <w:rPr>
          <w:lang w:val="ro-MD"/>
        </w:rPr>
        <w:t>524,2 mil. lei</w:t>
      </w:r>
      <w:r w:rsidRPr="00DD5F1D">
        <w:rPr>
          <w:rStyle w:val="a5"/>
          <w:lang w:val="ro-MD"/>
        </w:rPr>
        <w:footnoteReference w:id="157"/>
      </w:r>
      <w:r w:rsidRPr="00DD5F1D">
        <w:rPr>
          <w:lang w:val="ro-MD"/>
        </w:rPr>
        <w:t>, au fost executate la nivel de 100,1% față de indicele planificat. În comparație cu anul 2022, încasările au crescut cu 2 950,8 mil. lei, sau cu 15,9%. Ponderea contribuțiilor de asigurări sociale de stat obligatorii virate de angajatori în total</w:t>
      </w:r>
      <w:r w:rsidR="00F350B7" w:rsidRPr="00DD5F1D">
        <w:rPr>
          <w:lang w:val="ro-MD"/>
        </w:rPr>
        <w:t>ul</w:t>
      </w:r>
      <w:r w:rsidRPr="00DD5F1D">
        <w:rPr>
          <w:lang w:val="ro-MD"/>
        </w:rPr>
        <w:t xml:space="preserve"> contribuții</w:t>
      </w:r>
      <w:r w:rsidR="00F350B7" w:rsidRPr="00DD5F1D">
        <w:rPr>
          <w:lang w:val="ro-MD"/>
        </w:rPr>
        <w:t>lor</w:t>
      </w:r>
      <w:r w:rsidRPr="00DD5F1D">
        <w:rPr>
          <w:lang w:val="ro-MD"/>
        </w:rPr>
        <w:t xml:space="preserve"> constituie 98,8%. De asemenea, în suma totală a contribuțiilor acumulate, 49,4 mil. lei au constituit majorările de întârziere pentru neplata în termen a contribuțiilor.</w:t>
      </w:r>
    </w:p>
    <w:p w14:paraId="385FA40B" w14:textId="77777777" w:rsidR="00251419" w:rsidRPr="00DD5F1D" w:rsidRDefault="00251419" w:rsidP="00251419">
      <w:pPr>
        <w:spacing w:before="240" w:after="0" w:line="276" w:lineRule="auto"/>
        <w:jc w:val="both"/>
        <w:rPr>
          <w:rFonts w:ascii="Times New Roman" w:hAnsi="Times New Roman" w:cs="Times New Roman"/>
          <w:sz w:val="24"/>
          <w:szCs w:val="24"/>
          <w:lang w:val="ro-MD"/>
        </w:rPr>
      </w:pPr>
      <w:r w:rsidRPr="00DD5F1D">
        <w:rPr>
          <w:rFonts w:ascii="Times New Roman" w:hAnsi="Times New Roman" w:cs="Times New Roman"/>
          <w:b/>
          <w:sz w:val="24"/>
          <w:szCs w:val="24"/>
          <w:lang w:val="ro-MD"/>
        </w:rPr>
        <w:t xml:space="preserve">„Alte venituri” </w:t>
      </w:r>
      <w:r w:rsidRPr="00DD5F1D">
        <w:rPr>
          <w:rFonts w:ascii="Times New Roman" w:hAnsi="Times New Roman" w:cs="Times New Roman"/>
          <w:sz w:val="24"/>
          <w:szCs w:val="24"/>
          <w:lang w:val="ro-MD"/>
        </w:rPr>
        <w:t>au fost acumulate în sumă totală de 568,6 mil. lei, cu 22,9 mil. lei, sau cu 4,2%, mai mult față de planul stabilit, iar suma efectivă a altor venituri a constituit 573,4 mil. lei.</w:t>
      </w:r>
      <w:r w:rsidRPr="00DD5F1D">
        <w:rPr>
          <w:rFonts w:ascii="Times New Roman" w:hAnsi="Times New Roman" w:cs="Times New Roman"/>
          <w:lang w:val="ro-MD"/>
        </w:rPr>
        <w:t xml:space="preserve"> </w:t>
      </w:r>
      <w:r w:rsidRPr="00DD5F1D">
        <w:rPr>
          <w:rFonts w:ascii="Times New Roman" w:hAnsi="Times New Roman" w:cs="Times New Roman"/>
          <w:sz w:val="24"/>
          <w:szCs w:val="24"/>
          <w:lang w:val="ro-MD"/>
        </w:rPr>
        <w:t>Față de anul 2022, încasările din alte venituri au fost în creștere cu 139,9 mil. lei, sau cu 32,6%, creșterea datorându-se sumei încasate din impozitul unic реrсерut de lа rezidenții раrcurilor pentru tehnologia informațională, de 555,2 mil.lei, care а fost cu 134,4 mil.lei, sau cu 31,9%, mai mаrе față de anul precedent. Astfel, veniturile în bugetul asigurărilor sociale de stat sunt reflectate cu sumele</w:t>
      </w:r>
      <w:r w:rsidRPr="00DD5F1D">
        <w:rPr>
          <w:rStyle w:val="a5"/>
          <w:rFonts w:ascii="Times New Roman" w:hAnsi="Times New Roman" w:cs="Times New Roman"/>
          <w:sz w:val="24"/>
          <w:szCs w:val="24"/>
          <w:lang w:val="ro-MD"/>
        </w:rPr>
        <w:footnoteReference w:id="158"/>
      </w:r>
      <w:r w:rsidRPr="00DD5F1D">
        <w:rPr>
          <w:rFonts w:ascii="Times New Roman" w:hAnsi="Times New Roman" w:cs="Times New Roman"/>
          <w:sz w:val="24"/>
          <w:szCs w:val="24"/>
          <w:lang w:val="ro-MD"/>
        </w:rPr>
        <w:t>:</w:t>
      </w:r>
    </w:p>
    <w:p w14:paraId="4824F916" w14:textId="77777777" w:rsidR="00251419" w:rsidRPr="00DD5F1D" w:rsidRDefault="00251419" w:rsidP="00251419">
      <w:pPr>
        <w:pStyle w:val="aa"/>
        <w:numPr>
          <w:ilvl w:val="0"/>
          <w:numId w:val="7"/>
        </w:num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10,8 mil. lei, cu executarea prevederilor anuale la nivel de 167,3%, venituri din proprietate, care reprezintă dobânzile încasate la soldurile mijloacelor bănești la conturile bancare ale bugetului asigurărilor sociale de stat;</w:t>
      </w:r>
    </w:p>
    <w:p w14:paraId="4D749895" w14:textId="77777777" w:rsidR="00251419" w:rsidRPr="00DD5F1D" w:rsidRDefault="00251419" w:rsidP="00251419">
      <w:pPr>
        <w:pStyle w:val="aa"/>
        <w:numPr>
          <w:ilvl w:val="0"/>
          <w:numId w:val="7"/>
        </w:num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0,1 mil. lei sunt din vânzarea mărfurilor și serviciilor, care reprezintă mijloacele încasate în bugetul asigurărilor sociale de stat conform documentelor executorii privind răspunderea subsidiară, suma efectivă constituind 1,5 mil.lei;</w:t>
      </w:r>
    </w:p>
    <w:p w14:paraId="0D0E72EF" w14:textId="7E20E594" w:rsidR="00E706B5" w:rsidRPr="00DD5F1D" w:rsidRDefault="00251419" w:rsidP="00251419">
      <w:pPr>
        <w:pStyle w:val="aa"/>
        <w:numPr>
          <w:ilvl w:val="0"/>
          <w:numId w:val="7"/>
        </w:num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1,4 mil. lei, ce reprezintă 126,7%</w:t>
      </w:r>
      <w:r w:rsidRPr="00DD5F1D">
        <w:rPr>
          <w:rFonts w:ascii="Times New Roman" w:hAnsi="Times New Roman" w:cs="Times New Roman"/>
          <w:lang w:val="ro-MD"/>
        </w:rPr>
        <w:t xml:space="preserve"> </w:t>
      </w:r>
      <w:r w:rsidRPr="00DD5F1D">
        <w:rPr>
          <w:rFonts w:ascii="Times New Roman" w:hAnsi="Times New Roman" w:cs="Times New Roman"/>
          <w:sz w:val="24"/>
          <w:szCs w:val="24"/>
          <w:lang w:val="ro-MD"/>
        </w:rPr>
        <w:t>față de prevederile anuale, sunt amenzile, din care 1,3  mil. lei – amenzi aferente plăților la bugetul asigurărilor sociale de stat. Suma efectivă a amenzilor în anul 2023 a fost de 3,2 mil. lei</w:t>
      </w:r>
      <w:r w:rsidR="000A5CAC" w:rsidRPr="00DD5F1D">
        <w:rPr>
          <w:rFonts w:ascii="Times New Roman" w:hAnsi="Times New Roman" w:cs="Times New Roman"/>
          <w:sz w:val="24"/>
          <w:szCs w:val="24"/>
          <w:lang w:val="ro-MD"/>
        </w:rPr>
        <w:t>;</w:t>
      </w:r>
    </w:p>
    <w:p w14:paraId="7E5BF664" w14:textId="77777777" w:rsidR="00251419" w:rsidRPr="00DD5F1D" w:rsidRDefault="00E706B5" w:rsidP="00251419">
      <w:pPr>
        <w:pStyle w:val="aa"/>
        <w:numPr>
          <w:ilvl w:val="0"/>
          <w:numId w:val="7"/>
        </w:num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a</w:t>
      </w:r>
      <w:r w:rsidR="00251419" w:rsidRPr="00DD5F1D">
        <w:rPr>
          <w:rFonts w:ascii="Times New Roman" w:hAnsi="Times New Roman" w:cs="Times New Roman"/>
          <w:sz w:val="24"/>
          <w:szCs w:val="24"/>
          <w:lang w:val="ro-MD"/>
        </w:rPr>
        <w:t>lte venituri și venituri neidentificate au fost executate în sumă de 556,2 mil. lei, sau la nivel de 103,4% față de planul anual stabilit, iar conform indicatorului efectiv acestea au constituit 557,8 mil. lei.</w:t>
      </w:r>
    </w:p>
    <w:p w14:paraId="290843AE" w14:textId="77777777" w:rsidR="00251419" w:rsidRPr="00DD5F1D" w:rsidRDefault="00251419" w:rsidP="00251419">
      <w:pPr>
        <w:pStyle w:val="aa"/>
        <w:ind w:left="0"/>
        <w:jc w:val="both"/>
        <w:rPr>
          <w:rFonts w:ascii="Times New Roman" w:hAnsi="Times New Roman" w:cs="Times New Roman"/>
          <w:b/>
          <w:sz w:val="24"/>
          <w:lang w:val="ro-MD"/>
        </w:rPr>
      </w:pPr>
      <w:r w:rsidRPr="00DD5F1D">
        <w:rPr>
          <w:rFonts w:ascii="Times New Roman" w:hAnsi="Times New Roman" w:cs="Times New Roman"/>
          <w:b/>
          <w:sz w:val="24"/>
          <w:lang w:val="ro-MD"/>
        </w:rPr>
        <w:t>Cheltuielile bugetului asigurărilor sociale de stat executate în anul 2023 au fost la nivelul de 99,1% față de planul anual.</w:t>
      </w:r>
    </w:p>
    <w:p w14:paraId="3D192CAC" w14:textId="77777777" w:rsidR="00251419" w:rsidRPr="00DD5F1D" w:rsidRDefault="00251419" w:rsidP="00251419">
      <w:pPr>
        <w:spacing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Conform Raportului privind executarea bugetului asigurărilor sociale de stat pe anul 2023, cheltuielile bugetului asigurărilor sociale de stat au fost executate în sumă de 38 508,1 mil. lei, cu 341,4 mil. lei mai puțin decât nivelul planificat. Comparativ cu anul precedent, cheltuielile bugetului asigurărilor sociale de stat executate au crescut cu 4 779,8 mil. lei, sau cu 14,2%.</w:t>
      </w:r>
    </w:p>
    <w:p w14:paraId="09D3A0BF" w14:textId="77777777" w:rsidR="00251419" w:rsidRPr="00DD5F1D" w:rsidRDefault="00251419" w:rsidP="00251419">
      <w:pPr>
        <w:spacing w:after="0" w:line="276" w:lineRule="auto"/>
        <w:jc w:val="both"/>
        <w:rPr>
          <w:rFonts w:ascii="Times New Roman" w:eastAsia="Times New Roman" w:hAnsi="Times New Roman" w:cs="Times New Roman"/>
          <w:i/>
          <w:iCs/>
          <w:sz w:val="24"/>
          <w:szCs w:val="24"/>
          <w:lang w:val="ro-MD"/>
        </w:rPr>
      </w:pPr>
      <w:r w:rsidRPr="00DD5F1D">
        <w:rPr>
          <w:rFonts w:ascii="Times New Roman" w:eastAsia="Times New Roman" w:hAnsi="Times New Roman" w:cs="Times New Roman"/>
          <w:i/>
          <w:iCs/>
          <w:sz w:val="24"/>
          <w:szCs w:val="24"/>
          <w:lang w:val="ro-MD"/>
        </w:rPr>
        <w:t>Realizarea cheltuielilor bugetului asigurărilor sociale de stat în anul 2023, în comparație cu anii 2019-2022, se prezintă în tabelul ce urmează.</w:t>
      </w:r>
    </w:p>
    <w:p w14:paraId="16CA8632" w14:textId="77777777" w:rsidR="00251419" w:rsidRPr="00DD5F1D" w:rsidRDefault="00251419" w:rsidP="00251419">
      <w:pPr>
        <w:spacing w:after="0" w:line="276" w:lineRule="auto"/>
        <w:jc w:val="center"/>
        <w:rPr>
          <w:rFonts w:ascii="Times New Roman" w:hAnsi="Times New Roman" w:cs="Times New Roman"/>
          <w:b/>
          <w:sz w:val="24"/>
          <w:szCs w:val="24"/>
          <w:lang w:val="ro-MD"/>
        </w:rPr>
      </w:pPr>
      <w:r w:rsidRPr="00DD5F1D">
        <w:rPr>
          <w:rFonts w:ascii="Times New Roman" w:hAnsi="Times New Roman" w:cs="Times New Roman"/>
          <w:b/>
          <w:sz w:val="24"/>
          <w:szCs w:val="24"/>
          <w:lang w:val="ro-MD"/>
        </w:rPr>
        <w:t xml:space="preserve">Dinamica cheltuielilor bugetului asigurărilor sociale de stat în anii 2019-2023 </w:t>
      </w:r>
    </w:p>
    <w:p w14:paraId="728AF897" w14:textId="77777777" w:rsidR="00251419" w:rsidRPr="00DD5F1D" w:rsidRDefault="00251419" w:rsidP="00251419">
      <w:pPr>
        <w:spacing w:after="0" w:line="276" w:lineRule="auto"/>
        <w:jc w:val="right"/>
        <w:rPr>
          <w:rFonts w:ascii="Times New Roman" w:eastAsia="Times New Roman" w:hAnsi="Times New Roman" w:cs="Times New Roman"/>
          <w:b/>
          <w:sz w:val="24"/>
          <w:szCs w:val="24"/>
          <w:lang w:val="ro-MD"/>
        </w:rPr>
      </w:pPr>
      <w:r w:rsidRPr="00DD5F1D">
        <w:rPr>
          <w:rFonts w:ascii="Times New Roman" w:hAnsi="Times New Roman" w:cs="Times New Roman"/>
          <w:b/>
          <w:i/>
          <w:sz w:val="24"/>
          <w:szCs w:val="24"/>
          <w:lang w:val="ro-MD"/>
        </w:rPr>
        <w:t>(mil. lei)</w:t>
      </w:r>
    </w:p>
    <w:tbl>
      <w:tblPr>
        <w:tblW w:w="5000" w:type="pct"/>
        <w:tblLook w:val="04A0" w:firstRow="1" w:lastRow="0" w:firstColumn="1" w:lastColumn="0" w:noHBand="0" w:noVBand="1"/>
      </w:tblPr>
      <w:tblGrid>
        <w:gridCol w:w="907"/>
        <w:gridCol w:w="742"/>
        <w:gridCol w:w="742"/>
        <w:gridCol w:w="742"/>
        <w:gridCol w:w="742"/>
        <w:gridCol w:w="746"/>
        <w:gridCol w:w="662"/>
        <w:gridCol w:w="585"/>
        <w:gridCol w:w="12"/>
        <w:gridCol w:w="730"/>
        <w:gridCol w:w="662"/>
        <w:gridCol w:w="742"/>
        <w:gridCol w:w="634"/>
        <w:gridCol w:w="742"/>
        <w:gridCol w:w="634"/>
      </w:tblGrid>
      <w:tr w:rsidR="00251419" w:rsidRPr="00DD5F1D" w14:paraId="1C225429" w14:textId="77777777" w:rsidTr="00A4476B">
        <w:trPr>
          <w:trHeight w:val="288"/>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F9D2F"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Indicatori</w:t>
            </w:r>
          </w:p>
        </w:tc>
        <w:tc>
          <w:tcPr>
            <w:tcW w:w="1852"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EDF64E"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Anul</w:t>
            </w:r>
          </w:p>
        </w:tc>
        <w:tc>
          <w:tcPr>
            <w:tcW w:w="628" w:type="pct"/>
            <w:gridSpan w:val="3"/>
            <w:tcBorders>
              <w:top w:val="single" w:sz="4" w:space="0" w:color="auto"/>
              <w:left w:val="nil"/>
              <w:bottom w:val="single" w:sz="4" w:space="0" w:color="auto"/>
              <w:right w:val="single" w:sz="4" w:space="0" w:color="auto"/>
            </w:tcBorders>
            <w:shd w:val="clear" w:color="auto" w:fill="auto"/>
            <w:vAlign w:val="center"/>
            <w:hideMark/>
          </w:tcPr>
          <w:p w14:paraId="600EED32"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Devieri,</w:t>
            </w:r>
          </w:p>
        </w:tc>
        <w:tc>
          <w:tcPr>
            <w:tcW w:w="694" w:type="pct"/>
            <w:gridSpan w:val="2"/>
            <w:tcBorders>
              <w:top w:val="single" w:sz="4" w:space="0" w:color="auto"/>
              <w:left w:val="nil"/>
              <w:bottom w:val="single" w:sz="4" w:space="0" w:color="auto"/>
              <w:right w:val="single" w:sz="4" w:space="0" w:color="auto"/>
            </w:tcBorders>
            <w:shd w:val="clear" w:color="auto" w:fill="auto"/>
            <w:vAlign w:val="center"/>
            <w:hideMark/>
          </w:tcPr>
          <w:p w14:paraId="37AE6F5B"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Devieri, </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39F2C7E2"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Devieri, </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31EAEA11"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Devieri, </w:t>
            </w:r>
          </w:p>
        </w:tc>
      </w:tr>
      <w:tr w:rsidR="00251419" w:rsidRPr="00DD5F1D" w14:paraId="39A4D10F" w14:textId="77777777" w:rsidTr="00A4476B">
        <w:trPr>
          <w:trHeight w:val="288"/>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6C037565"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1852" w:type="pct"/>
            <w:gridSpan w:val="5"/>
            <w:vMerge/>
            <w:tcBorders>
              <w:top w:val="single" w:sz="4" w:space="0" w:color="auto"/>
              <w:left w:val="single" w:sz="4" w:space="0" w:color="auto"/>
              <w:bottom w:val="single" w:sz="4" w:space="0" w:color="auto"/>
              <w:right w:val="single" w:sz="4" w:space="0" w:color="auto"/>
            </w:tcBorders>
            <w:vAlign w:val="center"/>
            <w:hideMark/>
          </w:tcPr>
          <w:p w14:paraId="5BBB8EFD"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628" w:type="pct"/>
            <w:gridSpan w:val="3"/>
            <w:tcBorders>
              <w:top w:val="single" w:sz="4" w:space="0" w:color="auto"/>
              <w:left w:val="nil"/>
              <w:bottom w:val="single" w:sz="4" w:space="0" w:color="auto"/>
              <w:right w:val="single" w:sz="4" w:space="0" w:color="auto"/>
            </w:tcBorders>
            <w:shd w:val="clear" w:color="auto" w:fill="auto"/>
            <w:vAlign w:val="center"/>
            <w:hideMark/>
          </w:tcPr>
          <w:p w14:paraId="45695DF2"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2023-2022</w:t>
            </w:r>
          </w:p>
        </w:tc>
        <w:tc>
          <w:tcPr>
            <w:tcW w:w="694" w:type="pct"/>
            <w:gridSpan w:val="2"/>
            <w:tcBorders>
              <w:top w:val="single" w:sz="4" w:space="0" w:color="auto"/>
              <w:left w:val="nil"/>
              <w:bottom w:val="single" w:sz="4" w:space="0" w:color="auto"/>
              <w:right w:val="single" w:sz="4" w:space="0" w:color="auto"/>
            </w:tcBorders>
            <w:shd w:val="clear" w:color="auto" w:fill="auto"/>
            <w:vAlign w:val="center"/>
            <w:hideMark/>
          </w:tcPr>
          <w:p w14:paraId="7645E52D"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2023-2021</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7275EE80"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2023-2020</w:t>
            </w:r>
          </w:p>
        </w:tc>
        <w:tc>
          <w:tcPr>
            <w:tcW w:w="686" w:type="pct"/>
            <w:gridSpan w:val="2"/>
            <w:tcBorders>
              <w:top w:val="single" w:sz="4" w:space="0" w:color="auto"/>
              <w:left w:val="nil"/>
              <w:bottom w:val="single" w:sz="4" w:space="0" w:color="auto"/>
              <w:right w:val="single" w:sz="4" w:space="0" w:color="auto"/>
            </w:tcBorders>
            <w:shd w:val="clear" w:color="auto" w:fill="auto"/>
            <w:vAlign w:val="center"/>
            <w:hideMark/>
          </w:tcPr>
          <w:p w14:paraId="314B87C8"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2023-2019</w:t>
            </w:r>
          </w:p>
        </w:tc>
      </w:tr>
      <w:tr w:rsidR="00251419" w:rsidRPr="00DD5F1D" w14:paraId="7669010E" w14:textId="77777777" w:rsidTr="00A4476B">
        <w:trPr>
          <w:trHeight w:val="288"/>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02F4F848"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370" w:type="pct"/>
            <w:tcBorders>
              <w:top w:val="nil"/>
              <w:left w:val="nil"/>
              <w:bottom w:val="single" w:sz="4" w:space="0" w:color="auto"/>
              <w:right w:val="single" w:sz="4" w:space="0" w:color="auto"/>
            </w:tcBorders>
            <w:shd w:val="clear" w:color="auto" w:fill="auto"/>
            <w:vAlign w:val="center"/>
            <w:hideMark/>
          </w:tcPr>
          <w:p w14:paraId="0AE58EBE"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2019</w:t>
            </w:r>
          </w:p>
        </w:tc>
        <w:tc>
          <w:tcPr>
            <w:tcW w:w="370" w:type="pct"/>
            <w:tcBorders>
              <w:top w:val="nil"/>
              <w:left w:val="nil"/>
              <w:bottom w:val="single" w:sz="4" w:space="0" w:color="auto"/>
              <w:right w:val="single" w:sz="4" w:space="0" w:color="auto"/>
            </w:tcBorders>
            <w:shd w:val="clear" w:color="auto" w:fill="auto"/>
            <w:vAlign w:val="center"/>
            <w:hideMark/>
          </w:tcPr>
          <w:p w14:paraId="23A1C56D"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2020</w:t>
            </w:r>
          </w:p>
        </w:tc>
        <w:tc>
          <w:tcPr>
            <w:tcW w:w="370" w:type="pct"/>
            <w:tcBorders>
              <w:top w:val="nil"/>
              <w:left w:val="nil"/>
              <w:bottom w:val="single" w:sz="4" w:space="0" w:color="auto"/>
              <w:right w:val="single" w:sz="4" w:space="0" w:color="auto"/>
            </w:tcBorders>
            <w:shd w:val="clear" w:color="auto" w:fill="auto"/>
            <w:vAlign w:val="center"/>
            <w:hideMark/>
          </w:tcPr>
          <w:p w14:paraId="101FAC20"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2021</w:t>
            </w:r>
          </w:p>
        </w:tc>
        <w:tc>
          <w:tcPr>
            <w:tcW w:w="370" w:type="pct"/>
            <w:tcBorders>
              <w:top w:val="nil"/>
              <w:left w:val="nil"/>
              <w:bottom w:val="single" w:sz="4" w:space="0" w:color="auto"/>
              <w:right w:val="single" w:sz="4" w:space="0" w:color="auto"/>
            </w:tcBorders>
            <w:shd w:val="clear" w:color="auto" w:fill="auto"/>
            <w:vAlign w:val="center"/>
            <w:hideMark/>
          </w:tcPr>
          <w:p w14:paraId="2A1B016F"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2022</w:t>
            </w:r>
          </w:p>
        </w:tc>
        <w:tc>
          <w:tcPr>
            <w:tcW w:w="370" w:type="pct"/>
            <w:tcBorders>
              <w:top w:val="nil"/>
              <w:left w:val="nil"/>
              <w:bottom w:val="single" w:sz="4" w:space="0" w:color="auto"/>
              <w:right w:val="single" w:sz="4" w:space="0" w:color="auto"/>
            </w:tcBorders>
            <w:shd w:val="clear" w:color="auto" w:fill="auto"/>
            <w:vAlign w:val="center"/>
            <w:hideMark/>
          </w:tcPr>
          <w:p w14:paraId="6912CB30"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2023</w:t>
            </w:r>
          </w:p>
        </w:tc>
        <w:tc>
          <w:tcPr>
            <w:tcW w:w="330" w:type="pct"/>
            <w:tcBorders>
              <w:top w:val="nil"/>
              <w:left w:val="nil"/>
              <w:bottom w:val="single" w:sz="4" w:space="0" w:color="auto"/>
              <w:right w:val="single" w:sz="4" w:space="0" w:color="auto"/>
            </w:tcBorders>
            <w:shd w:val="clear" w:color="auto" w:fill="auto"/>
            <w:vAlign w:val="center"/>
            <w:hideMark/>
          </w:tcPr>
          <w:p w14:paraId="1109DA0D"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w:t>
            </w:r>
          </w:p>
        </w:tc>
        <w:tc>
          <w:tcPr>
            <w:tcW w:w="292" w:type="pct"/>
            <w:tcBorders>
              <w:top w:val="nil"/>
              <w:left w:val="nil"/>
              <w:bottom w:val="single" w:sz="4" w:space="0" w:color="auto"/>
              <w:right w:val="single" w:sz="4" w:space="0" w:color="auto"/>
            </w:tcBorders>
            <w:shd w:val="clear" w:color="auto" w:fill="auto"/>
            <w:vAlign w:val="center"/>
            <w:hideMark/>
          </w:tcPr>
          <w:p w14:paraId="41FEEC34"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w:t>
            </w:r>
          </w:p>
        </w:tc>
        <w:tc>
          <w:tcPr>
            <w:tcW w:w="370" w:type="pct"/>
            <w:gridSpan w:val="2"/>
            <w:tcBorders>
              <w:top w:val="nil"/>
              <w:left w:val="nil"/>
              <w:bottom w:val="single" w:sz="4" w:space="0" w:color="auto"/>
              <w:right w:val="single" w:sz="4" w:space="0" w:color="auto"/>
            </w:tcBorders>
            <w:shd w:val="clear" w:color="auto" w:fill="auto"/>
            <w:vAlign w:val="center"/>
            <w:hideMark/>
          </w:tcPr>
          <w:p w14:paraId="6BB86BAB"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w:t>
            </w:r>
          </w:p>
        </w:tc>
        <w:tc>
          <w:tcPr>
            <w:tcW w:w="330" w:type="pct"/>
            <w:tcBorders>
              <w:top w:val="nil"/>
              <w:left w:val="nil"/>
              <w:bottom w:val="single" w:sz="4" w:space="0" w:color="auto"/>
              <w:right w:val="single" w:sz="4" w:space="0" w:color="auto"/>
            </w:tcBorders>
            <w:shd w:val="clear" w:color="auto" w:fill="auto"/>
            <w:vAlign w:val="center"/>
            <w:hideMark/>
          </w:tcPr>
          <w:p w14:paraId="1D0764BA"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w:t>
            </w:r>
          </w:p>
        </w:tc>
        <w:tc>
          <w:tcPr>
            <w:tcW w:w="370" w:type="pct"/>
            <w:tcBorders>
              <w:top w:val="nil"/>
              <w:left w:val="nil"/>
              <w:bottom w:val="single" w:sz="4" w:space="0" w:color="auto"/>
              <w:right w:val="single" w:sz="4" w:space="0" w:color="auto"/>
            </w:tcBorders>
            <w:shd w:val="clear" w:color="auto" w:fill="auto"/>
            <w:vAlign w:val="center"/>
            <w:hideMark/>
          </w:tcPr>
          <w:p w14:paraId="3FAFF2BC"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w:t>
            </w:r>
          </w:p>
        </w:tc>
        <w:tc>
          <w:tcPr>
            <w:tcW w:w="316" w:type="pct"/>
            <w:tcBorders>
              <w:top w:val="nil"/>
              <w:left w:val="nil"/>
              <w:bottom w:val="single" w:sz="4" w:space="0" w:color="auto"/>
              <w:right w:val="single" w:sz="4" w:space="0" w:color="auto"/>
            </w:tcBorders>
            <w:shd w:val="clear" w:color="auto" w:fill="auto"/>
            <w:vAlign w:val="center"/>
            <w:hideMark/>
          </w:tcPr>
          <w:p w14:paraId="5BFFF4DB"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w:t>
            </w:r>
          </w:p>
        </w:tc>
        <w:tc>
          <w:tcPr>
            <w:tcW w:w="370" w:type="pct"/>
            <w:tcBorders>
              <w:top w:val="nil"/>
              <w:left w:val="nil"/>
              <w:bottom w:val="single" w:sz="4" w:space="0" w:color="auto"/>
              <w:right w:val="single" w:sz="4" w:space="0" w:color="auto"/>
            </w:tcBorders>
            <w:shd w:val="clear" w:color="auto" w:fill="auto"/>
            <w:vAlign w:val="center"/>
            <w:hideMark/>
          </w:tcPr>
          <w:p w14:paraId="0561583E"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w:t>
            </w:r>
          </w:p>
        </w:tc>
        <w:tc>
          <w:tcPr>
            <w:tcW w:w="316" w:type="pct"/>
            <w:tcBorders>
              <w:top w:val="nil"/>
              <w:left w:val="nil"/>
              <w:bottom w:val="single" w:sz="4" w:space="0" w:color="auto"/>
              <w:right w:val="single" w:sz="4" w:space="0" w:color="auto"/>
            </w:tcBorders>
            <w:shd w:val="clear" w:color="auto" w:fill="auto"/>
            <w:vAlign w:val="center"/>
            <w:hideMark/>
          </w:tcPr>
          <w:p w14:paraId="0282FE78"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w:t>
            </w:r>
          </w:p>
        </w:tc>
      </w:tr>
      <w:tr w:rsidR="00251419" w:rsidRPr="00DD5F1D" w14:paraId="75BE77F0" w14:textId="77777777" w:rsidTr="00A4476B">
        <w:trPr>
          <w:trHeight w:val="288"/>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355A7086"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699B8797"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0EAD8D91"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331CA1C2"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6C765E26"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5</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1406CD5F"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14:paraId="640168D6"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7=6-5</w:t>
            </w:r>
          </w:p>
        </w:tc>
        <w:tc>
          <w:tcPr>
            <w:tcW w:w="292" w:type="pct"/>
            <w:tcBorders>
              <w:top w:val="nil"/>
              <w:left w:val="nil"/>
              <w:bottom w:val="single" w:sz="4" w:space="0" w:color="auto"/>
              <w:right w:val="single" w:sz="4" w:space="0" w:color="auto"/>
            </w:tcBorders>
            <w:shd w:val="clear" w:color="auto" w:fill="auto"/>
            <w:vAlign w:val="center"/>
            <w:hideMark/>
          </w:tcPr>
          <w:p w14:paraId="251FC3D8"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8=6*</w:t>
            </w:r>
          </w:p>
        </w:tc>
        <w:tc>
          <w:tcPr>
            <w:tcW w:w="37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A8F0BD"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9=6-4</w:t>
            </w:r>
          </w:p>
        </w:tc>
        <w:tc>
          <w:tcPr>
            <w:tcW w:w="330" w:type="pct"/>
            <w:tcBorders>
              <w:top w:val="nil"/>
              <w:left w:val="nil"/>
              <w:bottom w:val="single" w:sz="4" w:space="0" w:color="auto"/>
              <w:right w:val="single" w:sz="4" w:space="0" w:color="auto"/>
            </w:tcBorders>
            <w:shd w:val="clear" w:color="auto" w:fill="auto"/>
            <w:vAlign w:val="center"/>
            <w:hideMark/>
          </w:tcPr>
          <w:p w14:paraId="42285023"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10=6*</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1F972183"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11=6-3</w:t>
            </w:r>
          </w:p>
        </w:tc>
        <w:tc>
          <w:tcPr>
            <w:tcW w:w="316" w:type="pct"/>
            <w:tcBorders>
              <w:top w:val="nil"/>
              <w:left w:val="nil"/>
              <w:bottom w:val="single" w:sz="4" w:space="0" w:color="auto"/>
              <w:right w:val="single" w:sz="4" w:space="0" w:color="auto"/>
            </w:tcBorders>
            <w:shd w:val="clear" w:color="auto" w:fill="auto"/>
            <w:vAlign w:val="center"/>
            <w:hideMark/>
          </w:tcPr>
          <w:p w14:paraId="03ED6D6B"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12=6*</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468B58A5"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13=6-2</w:t>
            </w:r>
          </w:p>
        </w:tc>
        <w:tc>
          <w:tcPr>
            <w:tcW w:w="316" w:type="pct"/>
            <w:tcBorders>
              <w:top w:val="nil"/>
              <w:left w:val="nil"/>
              <w:bottom w:val="single" w:sz="4" w:space="0" w:color="auto"/>
              <w:right w:val="single" w:sz="4" w:space="0" w:color="auto"/>
            </w:tcBorders>
            <w:shd w:val="clear" w:color="auto" w:fill="auto"/>
            <w:vAlign w:val="center"/>
            <w:hideMark/>
          </w:tcPr>
          <w:p w14:paraId="6AD48350"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14=6*</w:t>
            </w:r>
          </w:p>
        </w:tc>
      </w:tr>
      <w:tr w:rsidR="00251419" w:rsidRPr="00DD5F1D" w14:paraId="5E97DD98" w14:textId="77777777" w:rsidTr="00A4476B">
        <w:trPr>
          <w:trHeight w:val="288"/>
        </w:trPr>
        <w:tc>
          <w:tcPr>
            <w:tcW w:w="453" w:type="pct"/>
            <w:vMerge/>
            <w:tcBorders>
              <w:top w:val="nil"/>
              <w:left w:val="single" w:sz="4" w:space="0" w:color="auto"/>
              <w:bottom w:val="single" w:sz="4" w:space="0" w:color="auto"/>
              <w:right w:val="single" w:sz="4" w:space="0" w:color="auto"/>
            </w:tcBorders>
            <w:vAlign w:val="center"/>
            <w:hideMark/>
          </w:tcPr>
          <w:p w14:paraId="270C3756"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370" w:type="pct"/>
            <w:vMerge/>
            <w:tcBorders>
              <w:top w:val="nil"/>
              <w:left w:val="single" w:sz="4" w:space="0" w:color="auto"/>
              <w:bottom w:val="single" w:sz="4" w:space="0" w:color="auto"/>
              <w:right w:val="single" w:sz="4" w:space="0" w:color="auto"/>
            </w:tcBorders>
            <w:vAlign w:val="center"/>
            <w:hideMark/>
          </w:tcPr>
          <w:p w14:paraId="1AB3AF8B"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370" w:type="pct"/>
            <w:vMerge/>
            <w:tcBorders>
              <w:top w:val="nil"/>
              <w:left w:val="single" w:sz="4" w:space="0" w:color="auto"/>
              <w:bottom w:val="single" w:sz="4" w:space="0" w:color="auto"/>
              <w:right w:val="single" w:sz="4" w:space="0" w:color="auto"/>
            </w:tcBorders>
            <w:vAlign w:val="center"/>
            <w:hideMark/>
          </w:tcPr>
          <w:p w14:paraId="7A621E0A"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370" w:type="pct"/>
            <w:vMerge/>
            <w:tcBorders>
              <w:top w:val="nil"/>
              <w:left w:val="single" w:sz="4" w:space="0" w:color="auto"/>
              <w:bottom w:val="single" w:sz="4" w:space="0" w:color="auto"/>
              <w:right w:val="single" w:sz="4" w:space="0" w:color="auto"/>
            </w:tcBorders>
            <w:vAlign w:val="center"/>
            <w:hideMark/>
          </w:tcPr>
          <w:p w14:paraId="21276ED4"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370" w:type="pct"/>
            <w:vMerge/>
            <w:tcBorders>
              <w:top w:val="nil"/>
              <w:left w:val="single" w:sz="4" w:space="0" w:color="auto"/>
              <w:bottom w:val="single" w:sz="4" w:space="0" w:color="auto"/>
              <w:right w:val="single" w:sz="4" w:space="0" w:color="auto"/>
            </w:tcBorders>
            <w:vAlign w:val="center"/>
            <w:hideMark/>
          </w:tcPr>
          <w:p w14:paraId="00D384F9"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370" w:type="pct"/>
            <w:vMerge/>
            <w:tcBorders>
              <w:top w:val="nil"/>
              <w:left w:val="single" w:sz="4" w:space="0" w:color="auto"/>
              <w:bottom w:val="single" w:sz="4" w:space="0" w:color="auto"/>
              <w:right w:val="single" w:sz="4" w:space="0" w:color="auto"/>
            </w:tcBorders>
            <w:vAlign w:val="center"/>
            <w:hideMark/>
          </w:tcPr>
          <w:p w14:paraId="4DA102A6"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330" w:type="pct"/>
            <w:vMerge/>
            <w:tcBorders>
              <w:top w:val="nil"/>
              <w:left w:val="single" w:sz="4" w:space="0" w:color="auto"/>
              <w:bottom w:val="single" w:sz="4" w:space="0" w:color="auto"/>
              <w:right w:val="single" w:sz="4" w:space="0" w:color="auto"/>
            </w:tcBorders>
            <w:vAlign w:val="center"/>
            <w:hideMark/>
          </w:tcPr>
          <w:p w14:paraId="34EF6B01"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292" w:type="pct"/>
            <w:tcBorders>
              <w:top w:val="nil"/>
              <w:left w:val="nil"/>
              <w:bottom w:val="single" w:sz="4" w:space="0" w:color="auto"/>
              <w:right w:val="single" w:sz="4" w:space="0" w:color="auto"/>
            </w:tcBorders>
            <w:shd w:val="clear" w:color="auto" w:fill="auto"/>
            <w:vAlign w:val="center"/>
            <w:hideMark/>
          </w:tcPr>
          <w:p w14:paraId="5FE8DC5A"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100/5</w:t>
            </w:r>
          </w:p>
        </w:tc>
        <w:tc>
          <w:tcPr>
            <w:tcW w:w="370" w:type="pct"/>
            <w:gridSpan w:val="2"/>
            <w:vMerge/>
            <w:tcBorders>
              <w:top w:val="nil"/>
              <w:left w:val="single" w:sz="4" w:space="0" w:color="auto"/>
              <w:bottom w:val="single" w:sz="4" w:space="0" w:color="auto"/>
              <w:right w:val="single" w:sz="4" w:space="0" w:color="auto"/>
            </w:tcBorders>
            <w:vAlign w:val="center"/>
            <w:hideMark/>
          </w:tcPr>
          <w:p w14:paraId="035A647B"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330" w:type="pct"/>
            <w:tcBorders>
              <w:top w:val="nil"/>
              <w:left w:val="nil"/>
              <w:bottom w:val="single" w:sz="4" w:space="0" w:color="auto"/>
              <w:right w:val="single" w:sz="4" w:space="0" w:color="auto"/>
            </w:tcBorders>
            <w:shd w:val="clear" w:color="auto" w:fill="auto"/>
            <w:vAlign w:val="center"/>
            <w:hideMark/>
          </w:tcPr>
          <w:p w14:paraId="3DCD78DB"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100/4</w:t>
            </w:r>
          </w:p>
        </w:tc>
        <w:tc>
          <w:tcPr>
            <w:tcW w:w="370" w:type="pct"/>
            <w:vMerge/>
            <w:tcBorders>
              <w:top w:val="nil"/>
              <w:left w:val="single" w:sz="4" w:space="0" w:color="auto"/>
              <w:bottom w:val="single" w:sz="4" w:space="0" w:color="auto"/>
              <w:right w:val="single" w:sz="4" w:space="0" w:color="auto"/>
            </w:tcBorders>
            <w:vAlign w:val="center"/>
            <w:hideMark/>
          </w:tcPr>
          <w:p w14:paraId="0EA24FEA"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316" w:type="pct"/>
            <w:tcBorders>
              <w:top w:val="nil"/>
              <w:left w:val="nil"/>
              <w:bottom w:val="single" w:sz="4" w:space="0" w:color="auto"/>
              <w:right w:val="single" w:sz="4" w:space="0" w:color="auto"/>
            </w:tcBorders>
            <w:shd w:val="clear" w:color="auto" w:fill="auto"/>
            <w:vAlign w:val="center"/>
            <w:hideMark/>
          </w:tcPr>
          <w:p w14:paraId="03E07C22"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100/3</w:t>
            </w:r>
          </w:p>
        </w:tc>
        <w:tc>
          <w:tcPr>
            <w:tcW w:w="370" w:type="pct"/>
            <w:vMerge/>
            <w:tcBorders>
              <w:top w:val="nil"/>
              <w:left w:val="single" w:sz="4" w:space="0" w:color="auto"/>
              <w:bottom w:val="single" w:sz="4" w:space="0" w:color="auto"/>
              <w:right w:val="single" w:sz="4" w:space="0" w:color="auto"/>
            </w:tcBorders>
            <w:vAlign w:val="center"/>
            <w:hideMark/>
          </w:tcPr>
          <w:p w14:paraId="5606D9B3"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p>
        </w:tc>
        <w:tc>
          <w:tcPr>
            <w:tcW w:w="316" w:type="pct"/>
            <w:tcBorders>
              <w:top w:val="nil"/>
              <w:left w:val="nil"/>
              <w:bottom w:val="single" w:sz="4" w:space="0" w:color="auto"/>
              <w:right w:val="single" w:sz="4" w:space="0" w:color="auto"/>
            </w:tcBorders>
            <w:shd w:val="clear" w:color="auto" w:fill="auto"/>
            <w:vAlign w:val="center"/>
            <w:hideMark/>
          </w:tcPr>
          <w:p w14:paraId="5FDA8E74" w14:textId="77777777" w:rsidR="00251419" w:rsidRPr="00DD5F1D" w:rsidRDefault="00251419" w:rsidP="00A4476B">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100/2</w:t>
            </w:r>
          </w:p>
        </w:tc>
      </w:tr>
      <w:tr w:rsidR="00251419" w:rsidRPr="00DD5F1D" w14:paraId="7B0A599F" w14:textId="77777777" w:rsidTr="00A4476B">
        <w:trPr>
          <w:trHeight w:val="456"/>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31CE7D0"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Cheltuieli precizate</w:t>
            </w:r>
          </w:p>
        </w:tc>
        <w:tc>
          <w:tcPr>
            <w:tcW w:w="370" w:type="pct"/>
            <w:tcBorders>
              <w:top w:val="nil"/>
              <w:left w:val="nil"/>
              <w:bottom w:val="single" w:sz="4" w:space="0" w:color="auto"/>
              <w:right w:val="single" w:sz="4" w:space="0" w:color="auto"/>
            </w:tcBorders>
            <w:shd w:val="clear" w:color="auto" w:fill="auto"/>
            <w:vAlign w:val="center"/>
            <w:hideMark/>
          </w:tcPr>
          <w:p w14:paraId="06F5D701"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21866,5</w:t>
            </w:r>
          </w:p>
        </w:tc>
        <w:tc>
          <w:tcPr>
            <w:tcW w:w="370" w:type="pct"/>
            <w:tcBorders>
              <w:top w:val="nil"/>
              <w:left w:val="nil"/>
              <w:bottom w:val="single" w:sz="4" w:space="0" w:color="auto"/>
              <w:right w:val="single" w:sz="4" w:space="0" w:color="auto"/>
            </w:tcBorders>
            <w:shd w:val="clear" w:color="auto" w:fill="auto"/>
            <w:vAlign w:val="center"/>
            <w:hideMark/>
          </w:tcPr>
          <w:p w14:paraId="2045FCF0"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24549,9</w:t>
            </w:r>
          </w:p>
        </w:tc>
        <w:tc>
          <w:tcPr>
            <w:tcW w:w="370" w:type="pct"/>
            <w:tcBorders>
              <w:top w:val="nil"/>
              <w:left w:val="nil"/>
              <w:bottom w:val="single" w:sz="4" w:space="0" w:color="auto"/>
              <w:right w:val="single" w:sz="4" w:space="0" w:color="auto"/>
            </w:tcBorders>
            <w:shd w:val="clear" w:color="auto" w:fill="auto"/>
            <w:vAlign w:val="center"/>
            <w:hideMark/>
          </w:tcPr>
          <w:p w14:paraId="380536CE"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27606,4</w:t>
            </w:r>
          </w:p>
        </w:tc>
        <w:tc>
          <w:tcPr>
            <w:tcW w:w="370" w:type="pct"/>
            <w:tcBorders>
              <w:top w:val="nil"/>
              <w:left w:val="nil"/>
              <w:bottom w:val="single" w:sz="4" w:space="0" w:color="auto"/>
              <w:right w:val="single" w:sz="4" w:space="0" w:color="auto"/>
            </w:tcBorders>
            <w:shd w:val="clear" w:color="auto" w:fill="auto"/>
            <w:vAlign w:val="center"/>
            <w:hideMark/>
          </w:tcPr>
          <w:p w14:paraId="3B144D32"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34180,7</w:t>
            </w:r>
          </w:p>
        </w:tc>
        <w:tc>
          <w:tcPr>
            <w:tcW w:w="370" w:type="pct"/>
            <w:tcBorders>
              <w:top w:val="nil"/>
              <w:left w:val="nil"/>
              <w:bottom w:val="single" w:sz="4" w:space="0" w:color="auto"/>
              <w:right w:val="single" w:sz="4" w:space="0" w:color="auto"/>
            </w:tcBorders>
            <w:shd w:val="clear" w:color="auto" w:fill="auto"/>
            <w:vAlign w:val="center"/>
            <w:hideMark/>
          </w:tcPr>
          <w:p w14:paraId="14E25CEB"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38849,5</w:t>
            </w:r>
          </w:p>
        </w:tc>
        <w:tc>
          <w:tcPr>
            <w:tcW w:w="330" w:type="pct"/>
            <w:tcBorders>
              <w:top w:val="nil"/>
              <w:left w:val="nil"/>
              <w:bottom w:val="single" w:sz="4" w:space="0" w:color="auto"/>
              <w:right w:val="single" w:sz="4" w:space="0" w:color="auto"/>
            </w:tcBorders>
            <w:shd w:val="clear" w:color="auto" w:fill="auto"/>
            <w:vAlign w:val="center"/>
            <w:hideMark/>
          </w:tcPr>
          <w:p w14:paraId="4B137079"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4668,8</w:t>
            </w:r>
          </w:p>
        </w:tc>
        <w:tc>
          <w:tcPr>
            <w:tcW w:w="292" w:type="pct"/>
            <w:tcBorders>
              <w:top w:val="nil"/>
              <w:left w:val="nil"/>
              <w:bottom w:val="single" w:sz="4" w:space="0" w:color="auto"/>
              <w:right w:val="single" w:sz="4" w:space="0" w:color="auto"/>
            </w:tcBorders>
            <w:shd w:val="clear" w:color="auto" w:fill="auto"/>
            <w:vAlign w:val="center"/>
            <w:hideMark/>
          </w:tcPr>
          <w:p w14:paraId="43CEA846"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113,7</w:t>
            </w:r>
          </w:p>
        </w:tc>
        <w:tc>
          <w:tcPr>
            <w:tcW w:w="370" w:type="pct"/>
            <w:gridSpan w:val="2"/>
            <w:tcBorders>
              <w:top w:val="nil"/>
              <w:left w:val="nil"/>
              <w:bottom w:val="single" w:sz="4" w:space="0" w:color="auto"/>
              <w:right w:val="single" w:sz="4" w:space="0" w:color="auto"/>
            </w:tcBorders>
            <w:shd w:val="clear" w:color="auto" w:fill="auto"/>
            <w:vAlign w:val="center"/>
            <w:hideMark/>
          </w:tcPr>
          <w:p w14:paraId="6A1A68DB"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11243,1</w:t>
            </w:r>
          </w:p>
        </w:tc>
        <w:tc>
          <w:tcPr>
            <w:tcW w:w="330" w:type="pct"/>
            <w:tcBorders>
              <w:top w:val="nil"/>
              <w:left w:val="nil"/>
              <w:bottom w:val="single" w:sz="4" w:space="0" w:color="auto"/>
              <w:right w:val="single" w:sz="4" w:space="0" w:color="auto"/>
            </w:tcBorders>
            <w:shd w:val="clear" w:color="auto" w:fill="auto"/>
            <w:vAlign w:val="center"/>
            <w:hideMark/>
          </w:tcPr>
          <w:p w14:paraId="12359B30"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140,7</w:t>
            </w:r>
          </w:p>
        </w:tc>
        <w:tc>
          <w:tcPr>
            <w:tcW w:w="370" w:type="pct"/>
            <w:tcBorders>
              <w:top w:val="nil"/>
              <w:left w:val="nil"/>
              <w:bottom w:val="single" w:sz="4" w:space="0" w:color="auto"/>
              <w:right w:val="single" w:sz="4" w:space="0" w:color="auto"/>
            </w:tcBorders>
            <w:shd w:val="clear" w:color="auto" w:fill="auto"/>
            <w:vAlign w:val="center"/>
            <w:hideMark/>
          </w:tcPr>
          <w:p w14:paraId="2D8F3D0E"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14299,6</w:t>
            </w:r>
          </w:p>
        </w:tc>
        <w:tc>
          <w:tcPr>
            <w:tcW w:w="316" w:type="pct"/>
            <w:tcBorders>
              <w:top w:val="nil"/>
              <w:left w:val="nil"/>
              <w:bottom w:val="single" w:sz="4" w:space="0" w:color="auto"/>
              <w:right w:val="single" w:sz="4" w:space="0" w:color="auto"/>
            </w:tcBorders>
            <w:shd w:val="clear" w:color="auto" w:fill="auto"/>
            <w:vAlign w:val="center"/>
            <w:hideMark/>
          </w:tcPr>
          <w:p w14:paraId="6B2619E6"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158,2</w:t>
            </w:r>
          </w:p>
        </w:tc>
        <w:tc>
          <w:tcPr>
            <w:tcW w:w="370" w:type="pct"/>
            <w:tcBorders>
              <w:top w:val="nil"/>
              <w:left w:val="nil"/>
              <w:bottom w:val="single" w:sz="4" w:space="0" w:color="auto"/>
              <w:right w:val="single" w:sz="4" w:space="0" w:color="auto"/>
            </w:tcBorders>
            <w:shd w:val="clear" w:color="auto" w:fill="auto"/>
            <w:vAlign w:val="center"/>
            <w:hideMark/>
          </w:tcPr>
          <w:p w14:paraId="2FBC8843"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16983,0</w:t>
            </w:r>
          </w:p>
        </w:tc>
        <w:tc>
          <w:tcPr>
            <w:tcW w:w="316" w:type="pct"/>
            <w:tcBorders>
              <w:top w:val="nil"/>
              <w:left w:val="nil"/>
              <w:bottom w:val="single" w:sz="4" w:space="0" w:color="auto"/>
              <w:right w:val="single" w:sz="4" w:space="0" w:color="auto"/>
            </w:tcBorders>
            <w:shd w:val="clear" w:color="auto" w:fill="auto"/>
            <w:vAlign w:val="center"/>
            <w:hideMark/>
          </w:tcPr>
          <w:p w14:paraId="6EC447FB"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177,7</w:t>
            </w:r>
          </w:p>
        </w:tc>
      </w:tr>
      <w:tr w:rsidR="00251419" w:rsidRPr="00DD5F1D" w14:paraId="3B75DA83" w14:textId="77777777" w:rsidTr="00A4476B">
        <w:trPr>
          <w:trHeight w:val="684"/>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571D2943"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Cheltuieli executate, inclusiv:</w:t>
            </w:r>
          </w:p>
        </w:tc>
        <w:tc>
          <w:tcPr>
            <w:tcW w:w="370" w:type="pct"/>
            <w:tcBorders>
              <w:top w:val="nil"/>
              <w:left w:val="nil"/>
              <w:bottom w:val="single" w:sz="4" w:space="0" w:color="auto"/>
              <w:right w:val="single" w:sz="4" w:space="0" w:color="auto"/>
            </w:tcBorders>
            <w:shd w:val="clear" w:color="auto" w:fill="auto"/>
            <w:vAlign w:val="center"/>
            <w:hideMark/>
          </w:tcPr>
          <w:p w14:paraId="14C4DCF7"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21589,8</w:t>
            </w:r>
          </w:p>
        </w:tc>
        <w:tc>
          <w:tcPr>
            <w:tcW w:w="370" w:type="pct"/>
            <w:tcBorders>
              <w:top w:val="nil"/>
              <w:left w:val="nil"/>
              <w:bottom w:val="single" w:sz="4" w:space="0" w:color="auto"/>
              <w:right w:val="single" w:sz="4" w:space="0" w:color="auto"/>
            </w:tcBorders>
            <w:shd w:val="clear" w:color="auto" w:fill="auto"/>
            <w:vAlign w:val="center"/>
            <w:hideMark/>
          </w:tcPr>
          <w:p w14:paraId="5F5D993D"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24230,7</w:t>
            </w:r>
          </w:p>
        </w:tc>
        <w:tc>
          <w:tcPr>
            <w:tcW w:w="370" w:type="pct"/>
            <w:tcBorders>
              <w:top w:val="nil"/>
              <w:left w:val="nil"/>
              <w:bottom w:val="single" w:sz="4" w:space="0" w:color="auto"/>
              <w:right w:val="single" w:sz="4" w:space="0" w:color="auto"/>
            </w:tcBorders>
            <w:shd w:val="clear" w:color="auto" w:fill="auto"/>
            <w:vAlign w:val="center"/>
            <w:hideMark/>
          </w:tcPr>
          <w:p w14:paraId="24CCAB21"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27172,1</w:t>
            </w:r>
          </w:p>
        </w:tc>
        <w:tc>
          <w:tcPr>
            <w:tcW w:w="370" w:type="pct"/>
            <w:tcBorders>
              <w:top w:val="nil"/>
              <w:left w:val="nil"/>
              <w:bottom w:val="single" w:sz="4" w:space="0" w:color="auto"/>
              <w:right w:val="single" w:sz="4" w:space="0" w:color="auto"/>
            </w:tcBorders>
            <w:shd w:val="clear" w:color="auto" w:fill="auto"/>
            <w:vAlign w:val="center"/>
            <w:hideMark/>
          </w:tcPr>
          <w:p w14:paraId="5ACDCF07"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33728,2</w:t>
            </w:r>
          </w:p>
        </w:tc>
        <w:tc>
          <w:tcPr>
            <w:tcW w:w="370" w:type="pct"/>
            <w:tcBorders>
              <w:top w:val="nil"/>
              <w:left w:val="nil"/>
              <w:bottom w:val="single" w:sz="4" w:space="0" w:color="auto"/>
              <w:right w:val="single" w:sz="4" w:space="0" w:color="auto"/>
            </w:tcBorders>
            <w:shd w:val="clear" w:color="auto" w:fill="auto"/>
            <w:vAlign w:val="center"/>
            <w:hideMark/>
          </w:tcPr>
          <w:p w14:paraId="248C28AB"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38508,1</w:t>
            </w:r>
          </w:p>
        </w:tc>
        <w:tc>
          <w:tcPr>
            <w:tcW w:w="330" w:type="pct"/>
            <w:tcBorders>
              <w:top w:val="nil"/>
              <w:left w:val="nil"/>
              <w:bottom w:val="single" w:sz="4" w:space="0" w:color="auto"/>
              <w:right w:val="single" w:sz="4" w:space="0" w:color="auto"/>
            </w:tcBorders>
            <w:shd w:val="clear" w:color="auto" w:fill="auto"/>
            <w:vAlign w:val="center"/>
            <w:hideMark/>
          </w:tcPr>
          <w:p w14:paraId="3000FBE4"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4779,9</w:t>
            </w:r>
          </w:p>
        </w:tc>
        <w:tc>
          <w:tcPr>
            <w:tcW w:w="292" w:type="pct"/>
            <w:tcBorders>
              <w:top w:val="nil"/>
              <w:left w:val="nil"/>
              <w:bottom w:val="single" w:sz="4" w:space="0" w:color="auto"/>
              <w:right w:val="single" w:sz="4" w:space="0" w:color="auto"/>
            </w:tcBorders>
            <w:shd w:val="clear" w:color="auto" w:fill="auto"/>
            <w:vAlign w:val="center"/>
            <w:hideMark/>
          </w:tcPr>
          <w:p w14:paraId="30CC3684"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114,2</w:t>
            </w:r>
          </w:p>
        </w:tc>
        <w:tc>
          <w:tcPr>
            <w:tcW w:w="370" w:type="pct"/>
            <w:gridSpan w:val="2"/>
            <w:tcBorders>
              <w:top w:val="nil"/>
              <w:left w:val="nil"/>
              <w:bottom w:val="single" w:sz="4" w:space="0" w:color="auto"/>
              <w:right w:val="single" w:sz="4" w:space="0" w:color="auto"/>
            </w:tcBorders>
            <w:shd w:val="clear" w:color="auto" w:fill="auto"/>
            <w:vAlign w:val="center"/>
            <w:hideMark/>
          </w:tcPr>
          <w:p w14:paraId="255433E1"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11336</w:t>
            </w:r>
          </w:p>
        </w:tc>
        <w:tc>
          <w:tcPr>
            <w:tcW w:w="330" w:type="pct"/>
            <w:tcBorders>
              <w:top w:val="nil"/>
              <w:left w:val="nil"/>
              <w:bottom w:val="single" w:sz="4" w:space="0" w:color="auto"/>
              <w:right w:val="single" w:sz="4" w:space="0" w:color="auto"/>
            </w:tcBorders>
            <w:shd w:val="clear" w:color="auto" w:fill="auto"/>
            <w:vAlign w:val="center"/>
            <w:hideMark/>
          </w:tcPr>
          <w:p w14:paraId="2A5714FB"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141,7</w:t>
            </w:r>
          </w:p>
        </w:tc>
        <w:tc>
          <w:tcPr>
            <w:tcW w:w="370" w:type="pct"/>
            <w:tcBorders>
              <w:top w:val="nil"/>
              <w:left w:val="nil"/>
              <w:bottom w:val="single" w:sz="4" w:space="0" w:color="auto"/>
              <w:right w:val="single" w:sz="4" w:space="0" w:color="auto"/>
            </w:tcBorders>
            <w:shd w:val="clear" w:color="auto" w:fill="auto"/>
            <w:vAlign w:val="center"/>
            <w:hideMark/>
          </w:tcPr>
          <w:p w14:paraId="69CCBDA5"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14277,4</w:t>
            </w:r>
          </w:p>
        </w:tc>
        <w:tc>
          <w:tcPr>
            <w:tcW w:w="316" w:type="pct"/>
            <w:tcBorders>
              <w:top w:val="nil"/>
              <w:left w:val="nil"/>
              <w:bottom w:val="single" w:sz="4" w:space="0" w:color="auto"/>
              <w:right w:val="single" w:sz="4" w:space="0" w:color="auto"/>
            </w:tcBorders>
            <w:shd w:val="clear" w:color="auto" w:fill="auto"/>
            <w:vAlign w:val="center"/>
            <w:hideMark/>
          </w:tcPr>
          <w:p w14:paraId="6E944253"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158,9</w:t>
            </w:r>
          </w:p>
        </w:tc>
        <w:tc>
          <w:tcPr>
            <w:tcW w:w="370" w:type="pct"/>
            <w:tcBorders>
              <w:top w:val="nil"/>
              <w:left w:val="nil"/>
              <w:bottom w:val="single" w:sz="4" w:space="0" w:color="auto"/>
              <w:right w:val="single" w:sz="4" w:space="0" w:color="auto"/>
            </w:tcBorders>
            <w:shd w:val="clear" w:color="auto" w:fill="auto"/>
            <w:vAlign w:val="center"/>
            <w:hideMark/>
          </w:tcPr>
          <w:p w14:paraId="48C14CC2"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16918,3</w:t>
            </w:r>
          </w:p>
        </w:tc>
        <w:tc>
          <w:tcPr>
            <w:tcW w:w="316" w:type="pct"/>
            <w:tcBorders>
              <w:top w:val="nil"/>
              <w:left w:val="nil"/>
              <w:bottom w:val="single" w:sz="4" w:space="0" w:color="auto"/>
              <w:right w:val="single" w:sz="4" w:space="0" w:color="auto"/>
            </w:tcBorders>
            <w:shd w:val="clear" w:color="auto" w:fill="auto"/>
            <w:vAlign w:val="center"/>
            <w:hideMark/>
          </w:tcPr>
          <w:p w14:paraId="3AAA89D1"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178,4</w:t>
            </w:r>
          </w:p>
        </w:tc>
      </w:tr>
      <w:tr w:rsidR="00251419" w:rsidRPr="00DD5F1D" w14:paraId="4D5D309D" w14:textId="77777777" w:rsidTr="00A4476B">
        <w:trPr>
          <w:trHeight w:val="456"/>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34CA749"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Prestaţii sociale</w:t>
            </w:r>
          </w:p>
        </w:tc>
        <w:tc>
          <w:tcPr>
            <w:tcW w:w="370" w:type="pct"/>
            <w:tcBorders>
              <w:top w:val="nil"/>
              <w:left w:val="nil"/>
              <w:bottom w:val="single" w:sz="4" w:space="0" w:color="auto"/>
              <w:right w:val="single" w:sz="4" w:space="0" w:color="auto"/>
            </w:tcBorders>
            <w:shd w:val="clear" w:color="auto" w:fill="auto"/>
            <w:vAlign w:val="center"/>
            <w:hideMark/>
          </w:tcPr>
          <w:p w14:paraId="1EBA713D"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21206,2</w:t>
            </w:r>
          </w:p>
        </w:tc>
        <w:tc>
          <w:tcPr>
            <w:tcW w:w="370" w:type="pct"/>
            <w:tcBorders>
              <w:top w:val="nil"/>
              <w:left w:val="nil"/>
              <w:bottom w:val="single" w:sz="4" w:space="0" w:color="auto"/>
              <w:right w:val="single" w:sz="4" w:space="0" w:color="auto"/>
            </w:tcBorders>
            <w:shd w:val="clear" w:color="auto" w:fill="auto"/>
            <w:vAlign w:val="center"/>
            <w:hideMark/>
          </w:tcPr>
          <w:p w14:paraId="71970334"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23837,8</w:t>
            </w:r>
          </w:p>
        </w:tc>
        <w:tc>
          <w:tcPr>
            <w:tcW w:w="370" w:type="pct"/>
            <w:tcBorders>
              <w:top w:val="nil"/>
              <w:left w:val="nil"/>
              <w:bottom w:val="single" w:sz="4" w:space="0" w:color="auto"/>
              <w:right w:val="single" w:sz="4" w:space="0" w:color="auto"/>
            </w:tcBorders>
            <w:shd w:val="clear" w:color="auto" w:fill="auto"/>
            <w:vAlign w:val="center"/>
            <w:hideMark/>
          </w:tcPr>
          <w:p w14:paraId="4962DE1F"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26756,3</w:t>
            </w:r>
          </w:p>
        </w:tc>
        <w:tc>
          <w:tcPr>
            <w:tcW w:w="370" w:type="pct"/>
            <w:tcBorders>
              <w:top w:val="nil"/>
              <w:left w:val="nil"/>
              <w:bottom w:val="single" w:sz="4" w:space="0" w:color="auto"/>
              <w:right w:val="single" w:sz="4" w:space="0" w:color="auto"/>
            </w:tcBorders>
            <w:shd w:val="clear" w:color="auto" w:fill="auto"/>
            <w:vAlign w:val="center"/>
            <w:hideMark/>
          </w:tcPr>
          <w:p w14:paraId="70F02B64"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33294,2</w:t>
            </w:r>
          </w:p>
        </w:tc>
        <w:tc>
          <w:tcPr>
            <w:tcW w:w="370" w:type="pct"/>
            <w:tcBorders>
              <w:top w:val="nil"/>
              <w:left w:val="nil"/>
              <w:bottom w:val="single" w:sz="4" w:space="0" w:color="auto"/>
              <w:right w:val="single" w:sz="4" w:space="0" w:color="auto"/>
            </w:tcBorders>
            <w:shd w:val="clear" w:color="auto" w:fill="auto"/>
            <w:vAlign w:val="center"/>
            <w:hideMark/>
          </w:tcPr>
          <w:p w14:paraId="48BD9D41"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38000,2</w:t>
            </w:r>
          </w:p>
        </w:tc>
        <w:tc>
          <w:tcPr>
            <w:tcW w:w="330" w:type="pct"/>
            <w:tcBorders>
              <w:top w:val="nil"/>
              <w:left w:val="nil"/>
              <w:bottom w:val="single" w:sz="4" w:space="0" w:color="auto"/>
              <w:right w:val="single" w:sz="4" w:space="0" w:color="auto"/>
            </w:tcBorders>
            <w:shd w:val="clear" w:color="auto" w:fill="auto"/>
            <w:vAlign w:val="center"/>
            <w:hideMark/>
          </w:tcPr>
          <w:p w14:paraId="2D469F41"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4706</w:t>
            </w:r>
          </w:p>
        </w:tc>
        <w:tc>
          <w:tcPr>
            <w:tcW w:w="292" w:type="pct"/>
            <w:tcBorders>
              <w:top w:val="nil"/>
              <w:left w:val="nil"/>
              <w:bottom w:val="single" w:sz="4" w:space="0" w:color="auto"/>
              <w:right w:val="single" w:sz="4" w:space="0" w:color="auto"/>
            </w:tcBorders>
            <w:shd w:val="clear" w:color="auto" w:fill="auto"/>
            <w:vAlign w:val="center"/>
            <w:hideMark/>
          </w:tcPr>
          <w:p w14:paraId="095855E3"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114,1</w:t>
            </w:r>
          </w:p>
        </w:tc>
        <w:tc>
          <w:tcPr>
            <w:tcW w:w="370" w:type="pct"/>
            <w:gridSpan w:val="2"/>
            <w:tcBorders>
              <w:top w:val="nil"/>
              <w:left w:val="nil"/>
              <w:bottom w:val="single" w:sz="4" w:space="0" w:color="auto"/>
              <w:right w:val="single" w:sz="4" w:space="0" w:color="auto"/>
            </w:tcBorders>
            <w:shd w:val="clear" w:color="auto" w:fill="auto"/>
            <w:vAlign w:val="center"/>
            <w:hideMark/>
          </w:tcPr>
          <w:p w14:paraId="1CE38DB4"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11243,9</w:t>
            </w:r>
          </w:p>
        </w:tc>
        <w:tc>
          <w:tcPr>
            <w:tcW w:w="330" w:type="pct"/>
            <w:tcBorders>
              <w:top w:val="nil"/>
              <w:left w:val="nil"/>
              <w:bottom w:val="single" w:sz="4" w:space="0" w:color="auto"/>
              <w:right w:val="single" w:sz="4" w:space="0" w:color="auto"/>
            </w:tcBorders>
            <w:shd w:val="clear" w:color="auto" w:fill="auto"/>
            <w:vAlign w:val="center"/>
            <w:hideMark/>
          </w:tcPr>
          <w:p w14:paraId="60BFFA9F"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142,0</w:t>
            </w:r>
          </w:p>
        </w:tc>
        <w:tc>
          <w:tcPr>
            <w:tcW w:w="370" w:type="pct"/>
            <w:tcBorders>
              <w:top w:val="nil"/>
              <w:left w:val="nil"/>
              <w:bottom w:val="single" w:sz="4" w:space="0" w:color="auto"/>
              <w:right w:val="single" w:sz="4" w:space="0" w:color="auto"/>
            </w:tcBorders>
            <w:shd w:val="clear" w:color="auto" w:fill="auto"/>
            <w:vAlign w:val="center"/>
            <w:hideMark/>
          </w:tcPr>
          <w:p w14:paraId="3FFE837F"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14162,4</w:t>
            </w:r>
          </w:p>
        </w:tc>
        <w:tc>
          <w:tcPr>
            <w:tcW w:w="316" w:type="pct"/>
            <w:tcBorders>
              <w:top w:val="nil"/>
              <w:left w:val="nil"/>
              <w:bottom w:val="single" w:sz="4" w:space="0" w:color="auto"/>
              <w:right w:val="single" w:sz="4" w:space="0" w:color="auto"/>
            </w:tcBorders>
            <w:shd w:val="clear" w:color="auto" w:fill="auto"/>
            <w:vAlign w:val="center"/>
            <w:hideMark/>
          </w:tcPr>
          <w:p w14:paraId="220781E5"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159,4</w:t>
            </w:r>
          </w:p>
        </w:tc>
        <w:tc>
          <w:tcPr>
            <w:tcW w:w="370" w:type="pct"/>
            <w:tcBorders>
              <w:top w:val="nil"/>
              <w:left w:val="nil"/>
              <w:bottom w:val="single" w:sz="4" w:space="0" w:color="auto"/>
              <w:right w:val="single" w:sz="4" w:space="0" w:color="auto"/>
            </w:tcBorders>
            <w:shd w:val="clear" w:color="auto" w:fill="auto"/>
            <w:vAlign w:val="center"/>
            <w:hideMark/>
          </w:tcPr>
          <w:p w14:paraId="150EF11B"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16794,0</w:t>
            </w:r>
          </w:p>
        </w:tc>
        <w:tc>
          <w:tcPr>
            <w:tcW w:w="316" w:type="pct"/>
            <w:tcBorders>
              <w:top w:val="nil"/>
              <w:left w:val="nil"/>
              <w:bottom w:val="single" w:sz="4" w:space="0" w:color="auto"/>
              <w:right w:val="single" w:sz="4" w:space="0" w:color="auto"/>
            </w:tcBorders>
            <w:shd w:val="clear" w:color="auto" w:fill="auto"/>
            <w:vAlign w:val="center"/>
            <w:hideMark/>
          </w:tcPr>
          <w:p w14:paraId="79445426"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179,2</w:t>
            </w:r>
          </w:p>
        </w:tc>
      </w:tr>
      <w:tr w:rsidR="00251419" w:rsidRPr="00DD5F1D" w14:paraId="7CB88767" w14:textId="77777777" w:rsidTr="00A4476B">
        <w:trPr>
          <w:trHeight w:val="456"/>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0B1EC5CA"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Bunuri şi servicii</w:t>
            </w:r>
          </w:p>
        </w:tc>
        <w:tc>
          <w:tcPr>
            <w:tcW w:w="370" w:type="pct"/>
            <w:tcBorders>
              <w:top w:val="nil"/>
              <w:left w:val="nil"/>
              <w:bottom w:val="single" w:sz="4" w:space="0" w:color="auto"/>
              <w:right w:val="single" w:sz="4" w:space="0" w:color="auto"/>
            </w:tcBorders>
            <w:shd w:val="clear" w:color="auto" w:fill="auto"/>
            <w:vAlign w:val="center"/>
            <w:hideMark/>
          </w:tcPr>
          <w:p w14:paraId="36968630"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235,8</w:t>
            </w:r>
          </w:p>
        </w:tc>
        <w:tc>
          <w:tcPr>
            <w:tcW w:w="370" w:type="pct"/>
            <w:tcBorders>
              <w:top w:val="nil"/>
              <w:left w:val="nil"/>
              <w:bottom w:val="single" w:sz="4" w:space="0" w:color="auto"/>
              <w:right w:val="single" w:sz="4" w:space="0" w:color="auto"/>
            </w:tcBorders>
            <w:shd w:val="clear" w:color="auto" w:fill="auto"/>
            <w:vAlign w:val="center"/>
            <w:hideMark/>
          </w:tcPr>
          <w:p w14:paraId="47A6B4EE"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230,3</w:t>
            </w:r>
          </w:p>
        </w:tc>
        <w:tc>
          <w:tcPr>
            <w:tcW w:w="370" w:type="pct"/>
            <w:tcBorders>
              <w:top w:val="nil"/>
              <w:left w:val="nil"/>
              <w:bottom w:val="single" w:sz="4" w:space="0" w:color="auto"/>
              <w:right w:val="single" w:sz="4" w:space="0" w:color="auto"/>
            </w:tcBorders>
            <w:shd w:val="clear" w:color="auto" w:fill="auto"/>
            <w:vAlign w:val="center"/>
            <w:hideMark/>
          </w:tcPr>
          <w:p w14:paraId="6177F1F7"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235,4</w:t>
            </w:r>
          </w:p>
        </w:tc>
        <w:tc>
          <w:tcPr>
            <w:tcW w:w="370" w:type="pct"/>
            <w:tcBorders>
              <w:top w:val="nil"/>
              <w:left w:val="nil"/>
              <w:bottom w:val="single" w:sz="4" w:space="0" w:color="auto"/>
              <w:right w:val="single" w:sz="4" w:space="0" w:color="auto"/>
            </w:tcBorders>
            <w:shd w:val="clear" w:color="auto" w:fill="auto"/>
            <w:vAlign w:val="center"/>
            <w:hideMark/>
          </w:tcPr>
          <w:p w14:paraId="518A72F6"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243,3</w:t>
            </w:r>
          </w:p>
        </w:tc>
        <w:tc>
          <w:tcPr>
            <w:tcW w:w="370" w:type="pct"/>
            <w:tcBorders>
              <w:top w:val="nil"/>
              <w:left w:val="nil"/>
              <w:bottom w:val="single" w:sz="4" w:space="0" w:color="auto"/>
              <w:right w:val="single" w:sz="4" w:space="0" w:color="auto"/>
            </w:tcBorders>
            <w:shd w:val="clear" w:color="auto" w:fill="auto"/>
            <w:vAlign w:val="center"/>
            <w:hideMark/>
          </w:tcPr>
          <w:p w14:paraId="4769263A"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290,2</w:t>
            </w:r>
          </w:p>
        </w:tc>
        <w:tc>
          <w:tcPr>
            <w:tcW w:w="330" w:type="pct"/>
            <w:tcBorders>
              <w:top w:val="nil"/>
              <w:left w:val="nil"/>
              <w:bottom w:val="single" w:sz="4" w:space="0" w:color="auto"/>
              <w:right w:val="single" w:sz="4" w:space="0" w:color="auto"/>
            </w:tcBorders>
            <w:shd w:val="clear" w:color="auto" w:fill="auto"/>
            <w:vAlign w:val="center"/>
            <w:hideMark/>
          </w:tcPr>
          <w:p w14:paraId="27EC5743"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46,9</w:t>
            </w:r>
          </w:p>
        </w:tc>
        <w:tc>
          <w:tcPr>
            <w:tcW w:w="292" w:type="pct"/>
            <w:tcBorders>
              <w:top w:val="nil"/>
              <w:left w:val="nil"/>
              <w:bottom w:val="single" w:sz="4" w:space="0" w:color="auto"/>
              <w:right w:val="single" w:sz="4" w:space="0" w:color="auto"/>
            </w:tcBorders>
            <w:shd w:val="clear" w:color="auto" w:fill="auto"/>
            <w:vAlign w:val="center"/>
            <w:hideMark/>
          </w:tcPr>
          <w:p w14:paraId="30DC772A"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119,3</w:t>
            </w:r>
          </w:p>
        </w:tc>
        <w:tc>
          <w:tcPr>
            <w:tcW w:w="370" w:type="pct"/>
            <w:gridSpan w:val="2"/>
            <w:tcBorders>
              <w:top w:val="nil"/>
              <w:left w:val="nil"/>
              <w:bottom w:val="single" w:sz="4" w:space="0" w:color="auto"/>
              <w:right w:val="single" w:sz="4" w:space="0" w:color="auto"/>
            </w:tcBorders>
            <w:shd w:val="clear" w:color="auto" w:fill="auto"/>
            <w:vAlign w:val="center"/>
            <w:hideMark/>
          </w:tcPr>
          <w:p w14:paraId="14D44739"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54,8</w:t>
            </w:r>
          </w:p>
        </w:tc>
        <w:tc>
          <w:tcPr>
            <w:tcW w:w="330" w:type="pct"/>
            <w:tcBorders>
              <w:top w:val="nil"/>
              <w:left w:val="nil"/>
              <w:bottom w:val="single" w:sz="4" w:space="0" w:color="auto"/>
              <w:right w:val="single" w:sz="4" w:space="0" w:color="auto"/>
            </w:tcBorders>
            <w:shd w:val="clear" w:color="auto" w:fill="auto"/>
            <w:vAlign w:val="center"/>
            <w:hideMark/>
          </w:tcPr>
          <w:p w14:paraId="2EBD1BB1"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123,3</w:t>
            </w:r>
          </w:p>
        </w:tc>
        <w:tc>
          <w:tcPr>
            <w:tcW w:w="370" w:type="pct"/>
            <w:tcBorders>
              <w:top w:val="nil"/>
              <w:left w:val="nil"/>
              <w:bottom w:val="single" w:sz="4" w:space="0" w:color="auto"/>
              <w:right w:val="single" w:sz="4" w:space="0" w:color="auto"/>
            </w:tcBorders>
            <w:shd w:val="clear" w:color="auto" w:fill="auto"/>
            <w:vAlign w:val="center"/>
            <w:hideMark/>
          </w:tcPr>
          <w:p w14:paraId="27DC21CE"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59,9</w:t>
            </w:r>
          </w:p>
        </w:tc>
        <w:tc>
          <w:tcPr>
            <w:tcW w:w="316" w:type="pct"/>
            <w:tcBorders>
              <w:top w:val="nil"/>
              <w:left w:val="nil"/>
              <w:bottom w:val="single" w:sz="4" w:space="0" w:color="auto"/>
              <w:right w:val="single" w:sz="4" w:space="0" w:color="auto"/>
            </w:tcBorders>
            <w:shd w:val="clear" w:color="auto" w:fill="auto"/>
            <w:vAlign w:val="center"/>
            <w:hideMark/>
          </w:tcPr>
          <w:p w14:paraId="4309A0C5"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126,0</w:t>
            </w:r>
          </w:p>
        </w:tc>
        <w:tc>
          <w:tcPr>
            <w:tcW w:w="370" w:type="pct"/>
            <w:tcBorders>
              <w:top w:val="nil"/>
              <w:left w:val="nil"/>
              <w:bottom w:val="single" w:sz="4" w:space="0" w:color="auto"/>
              <w:right w:val="single" w:sz="4" w:space="0" w:color="auto"/>
            </w:tcBorders>
            <w:shd w:val="clear" w:color="auto" w:fill="auto"/>
            <w:vAlign w:val="center"/>
            <w:hideMark/>
          </w:tcPr>
          <w:p w14:paraId="63698399"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54,4</w:t>
            </w:r>
          </w:p>
        </w:tc>
        <w:tc>
          <w:tcPr>
            <w:tcW w:w="316" w:type="pct"/>
            <w:tcBorders>
              <w:top w:val="nil"/>
              <w:left w:val="nil"/>
              <w:bottom w:val="single" w:sz="4" w:space="0" w:color="auto"/>
              <w:right w:val="single" w:sz="4" w:space="0" w:color="auto"/>
            </w:tcBorders>
            <w:shd w:val="clear" w:color="auto" w:fill="auto"/>
            <w:vAlign w:val="center"/>
            <w:hideMark/>
          </w:tcPr>
          <w:p w14:paraId="61EA8336"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123,1</w:t>
            </w:r>
          </w:p>
        </w:tc>
      </w:tr>
      <w:tr w:rsidR="00251419" w:rsidRPr="00DD5F1D" w14:paraId="143B2CC5" w14:textId="77777777" w:rsidTr="00A4476B">
        <w:trPr>
          <w:trHeight w:val="684"/>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4E2F83FC"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Cheltuieli de personal</w:t>
            </w:r>
          </w:p>
        </w:tc>
        <w:tc>
          <w:tcPr>
            <w:tcW w:w="370" w:type="pct"/>
            <w:tcBorders>
              <w:top w:val="nil"/>
              <w:left w:val="nil"/>
              <w:bottom w:val="single" w:sz="4" w:space="0" w:color="auto"/>
              <w:right w:val="single" w:sz="4" w:space="0" w:color="auto"/>
            </w:tcBorders>
            <w:shd w:val="clear" w:color="auto" w:fill="auto"/>
            <w:vAlign w:val="center"/>
            <w:hideMark/>
          </w:tcPr>
          <w:p w14:paraId="0FE74745"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142,9</w:t>
            </w:r>
          </w:p>
        </w:tc>
        <w:tc>
          <w:tcPr>
            <w:tcW w:w="370" w:type="pct"/>
            <w:tcBorders>
              <w:top w:val="nil"/>
              <w:left w:val="nil"/>
              <w:bottom w:val="single" w:sz="4" w:space="0" w:color="auto"/>
              <w:right w:val="single" w:sz="4" w:space="0" w:color="auto"/>
            </w:tcBorders>
            <w:shd w:val="clear" w:color="auto" w:fill="auto"/>
            <w:vAlign w:val="center"/>
            <w:hideMark/>
          </w:tcPr>
          <w:p w14:paraId="36A5EB0C"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158,0</w:t>
            </w:r>
          </w:p>
        </w:tc>
        <w:tc>
          <w:tcPr>
            <w:tcW w:w="370" w:type="pct"/>
            <w:tcBorders>
              <w:top w:val="nil"/>
              <w:left w:val="nil"/>
              <w:bottom w:val="single" w:sz="4" w:space="0" w:color="auto"/>
              <w:right w:val="single" w:sz="4" w:space="0" w:color="auto"/>
            </w:tcBorders>
            <w:shd w:val="clear" w:color="auto" w:fill="auto"/>
            <w:vAlign w:val="center"/>
            <w:hideMark/>
          </w:tcPr>
          <w:p w14:paraId="1637020E"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175,4</w:t>
            </w:r>
          </w:p>
        </w:tc>
        <w:tc>
          <w:tcPr>
            <w:tcW w:w="370" w:type="pct"/>
            <w:tcBorders>
              <w:top w:val="nil"/>
              <w:left w:val="nil"/>
              <w:bottom w:val="single" w:sz="4" w:space="0" w:color="auto"/>
              <w:right w:val="single" w:sz="4" w:space="0" w:color="auto"/>
            </w:tcBorders>
            <w:shd w:val="clear" w:color="auto" w:fill="auto"/>
            <w:vAlign w:val="center"/>
            <w:hideMark/>
          </w:tcPr>
          <w:p w14:paraId="57568CA1"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185,7</w:t>
            </w:r>
          </w:p>
        </w:tc>
        <w:tc>
          <w:tcPr>
            <w:tcW w:w="370" w:type="pct"/>
            <w:tcBorders>
              <w:top w:val="nil"/>
              <w:left w:val="nil"/>
              <w:bottom w:val="single" w:sz="4" w:space="0" w:color="auto"/>
              <w:right w:val="single" w:sz="4" w:space="0" w:color="auto"/>
            </w:tcBorders>
            <w:shd w:val="clear" w:color="auto" w:fill="auto"/>
            <w:vAlign w:val="center"/>
            <w:hideMark/>
          </w:tcPr>
          <w:p w14:paraId="2E5DE983"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209,3</w:t>
            </w:r>
          </w:p>
        </w:tc>
        <w:tc>
          <w:tcPr>
            <w:tcW w:w="330" w:type="pct"/>
            <w:tcBorders>
              <w:top w:val="nil"/>
              <w:left w:val="nil"/>
              <w:bottom w:val="single" w:sz="4" w:space="0" w:color="auto"/>
              <w:right w:val="single" w:sz="4" w:space="0" w:color="auto"/>
            </w:tcBorders>
            <w:shd w:val="clear" w:color="auto" w:fill="auto"/>
            <w:vAlign w:val="center"/>
            <w:hideMark/>
          </w:tcPr>
          <w:p w14:paraId="63D40514"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23,6</w:t>
            </w:r>
          </w:p>
        </w:tc>
        <w:tc>
          <w:tcPr>
            <w:tcW w:w="292" w:type="pct"/>
            <w:tcBorders>
              <w:top w:val="nil"/>
              <w:left w:val="nil"/>
              <w:bottom w:val="single" w:sz="4" w:space="0" w:color="auto"/>
              <w:right w:val="single" w:sz="4" w:space="0" w:color="auto"/>
            </w:tcBorders>
            <w:shd w:val="clear" w:color="auto" w:fill="auto"/>
            <w:vAlign w:val="center"/>
            <w:hideMark/>
          </w:tcPr>
          <w:p w14:paraId="57D3BCD6"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112,7</w:t>
            </w:r>
          </w:p>
        </w:tc>
        <w:tc>
          <w:tcPr>
            <w:tcW w:w="370" w:type="pct"/>
            <w:gridSpan w:val="2"/>
            <w:tcBorders>
              <w:top w:val="nil"/>
              <w:left w:val="nil"/>
              <w:bottom w:val="single" w:sz="4" w:space="0" w:color="auto"/>
              <w:right w:val="single" w:sz="4" w:space="0" w:color="auto"/>
            </w:tcBorders>
            <w:shd w:val="clear" w:color="auto" w:fill="auto"/>
            <w:vAlign w:val="center"/>
            <w:hideMark/>
          </w:tcPr>
          <w:p w14:paraId="71003F25"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33,9</w:t>
            </w:r>
          </w:p>
        </w:tc>
        <w:tc>
          <w:tcPr>
            <w:tcW w:w="330" w:type="pct"/>
            <w:tcBorders>
              <w:top w:val="nil"/>
              <w:left w:val="nil"/>
              <w:bottom w:val="single" w:sz="4" w:space="0" w:color="auto"/>
              <w:right w:val="single" w:sz="4" w:space="0" w:color="auto"/>
            </w:tcBorders>
            <w:shd w:val="clear" w:color="auto" w:fill="auto"/>
            <w:vAlign w:val="center"/>
            <w:hideMark/>
          </w:tcPr>
          <w:p w14:paraId="318373BD"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119,3</w:t>
            </w:r>
          </w:p>
        </w:tc>
        <w:tc>
          <w:tcPr>
            <w:tcW w:w="370" w:type="pct"/>
            <w:tcBorders>
              <w:top w:val="nil"/>
              <w:left w:val="nil"/>
              <w:bottom w:val="single" w:sz="4" w:space="0" w:color="auto"/>
              <w:right w:val="single" w:sz="4" w:space="0" w:color="auto"/>
            </w:tcBorders>
            <w:shd w:val="clear" w:color="auto" w:fill="auto"/>
            <w:vAlign w:val="center"/>
            <w:hideMark/>
          </w:tcPr>
          <w:p w14:paraId="1AFBF8E6"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51,3</w:t>
            </w:r>
          </w:p>
        </w:tc>
        <w:tc>
          <w:tcPr>
            <w:tcW w:w="316" w:type="pct"/>
            <w:tcBorders>
              <w:top w:val="nil"/>
              <w:left w:val="nil"/>
              <w:bottom w:val="single" w:sz="4" w:space="0" w:color="auto"/>
              <w:right w:val="single" w:sz="4" w:space="0" w:color="auto"/>
            </w:tcBorders>
            <w:shd w:val="clear" w:color="auto" w:fill="auto"/>
            <w:vAlign w:val="center"/>
            <w:hideMark/>
          </w:tcPr>
          <w:p w14:paraId="4F883DDC"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132,5</w:t>
            </w:r>
          </w:p>
        </w:tc>
        <w:tc>
          <w:tcPr>
            <w:tcW w:w="370" w:type="pct"/>
            <w:tcBorders>
              <w:top w:val="nil"/>
              <w:left w:val="nil"/>
              <w:bottom w:val="single" w:sz="4" w:space="0" w:color="auto"/>
              <w:right w:val="single" w:sz="4" w:space="0" w:color="auto"/>
            </w:tcBorders>
            <w:shd w:val="clear" w:color="auto" w:fill="auto"/>
            <w:vAlign w:val="center"/>
            <w:hideMark/>
          </w:tcPr>
          <w:p w14:paraId="38BA0481"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66,4</w:t>
            </w:r>
          </w:p>
        </w:tc>
        <w:tc>
          <w:tcPr>
            <w:tcW w:w="316" w:type="pct"/>
            <w:tcBorders>
              <w:top w:val="nil"/>
              <w:left w:val="nil"/>
              <w:bottom w:val="single" w:sz="4" w:space="0" w:color="auto"/>
              <w:right w:val="single" w:sz="4" w:space="0" w:color="auto"/>
            </w:tcBorders>
            <w:shd w:val="clear" w:color="auto" w:fill="auto"/>
            <w:vAlign w:val="center"/>
            <w:hideMark/>
          </w:tcPr>
          <w:p w14:paraId="534B8BB3"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146,5</w:t>
            </w:r>
          </w:p>
        </w:tc>
      </w:tr>
      <w:tr w:rsidR="00251419" w:rsidRPr="00DD5F1D" w14:paraId="6E179C54" w14:textId="77777777" w:rsidTr="00A4476B">
        <w:trPr>
          <w:trHeight w:val="456"/>
        </w:trPr>
        <w:tc>
          <w:tcPr>
            <w:tcW w:w="453" w:type="pct"/>
            <w:tcBorders>
              <w:top w:val="nil"/>
              <w:left w:val="single" w:sz="4" w:space="0" w:color="auto"/>
              <w:bottom w:val="single" w:sz="4" w:space="0" w:color="auto"/>
              <w:right w:val="single" w:sz="4" w:space="0" w:color="auto"/>
            </w:tcBorders>
            <w:shd w:val="clear" w:color="auto" w:fill="auto"/>
            <w:vAlign w:val="center"/>
            <w:hideMark/>
          </w:tcPr>
          <w:p w14:paraId="3D3133C5" w14:textId="77777777" w:rsidR="00251419" w:rsidRPr="00DD5F1D" w:rsidRDefault="00251419" w:rsidP="00A4476B">
            <w:pPr>
              <w:spacing w:after="0" w:line="240" w:lineRule="auto"/>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Alte cheltuieli</w:t>
            </w:r>
          </w:p>
        </w:tc>
        <w:tc>
          <w:tcPr>
            <w:tcW w:w="370" w:type="pct"/>
            <w:tcBorders>
              <w:top w:val="nil"/>
              <w:left w:val="nil"/>
              <w:bottom w:val="single" w:sz="4" w:space="0" w:color="auto"/>
              <w:right w:val="single" w:sz="4" w:space="0" w:color="auto"/>
            </w:tcBorders>
            <w:shd w:val="clear" w:color="auto" w:fill="auto"/>
            <w:noWrap/>
            <w:vAlign w:val="bottom"/>
            <w:hideMark/>
          </w:tcPr>
          <w:p w14:paraId="239BDADE"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4,9</w:t>
            </w:r>
          </w:p>
        </w:tc>
        <w:tc>
          <w:tcPr>
            <w:tcW w:w="370" w:type="pct"/>
            <w:tcBorders>
              <w:top w:val="nil"/>
              <w:left w:val="nil"/>
              <w:bottom w:val="single" w:sz="4" w:space="0" w:color="auto"/>
              <w:right w:val="single" w:sz="4" w:space="0" w:color="auto"/>
            </w:tcBorders>
            <w:shd w:val="clear" w:color="auto" w:fill="auto"/>
            <w:noWrap/>
            <w:vAlign w:val="bottom"/>
            <w:hideMark/>
          </w:tcPr>
          <w:p w14:paraId="2D28495F"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4,6</w:t>
            </w:r>
          </w:p>
        </w:tc>
        <w:tc>
          <w:tcPr>
            <w:tcW w:w="370" w:type="pct"/>
            <w:tcBorders>
              <w:top w:val="nil"/>
              <w:left w:val="nil"/>
              <w:bottom w:val="single" w:sz="4" w:space="0" w:color="auto"/>
              <w:right w:val="single" w:sz="4" w:space="0" w:color="auto"/>
            </w:tcBorders>
            <w:shd w:val="clear" w:color="auto" w:fill="auto"/>
            <w:noWrap/>
            <w:vAlign w:val="bottom"/>
            <w:hideMark/>
          </w:tcPr>
          <w:p w14:paraId="7D93895D"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4,9</w:t>
            </w:r>
          </w:p>
        </w:tc>
        <w:tc>
          <w:tcPr>
            <w:tcW w:w="370" w:type="pct"/>
            <w:tcBorders>
              <w:top w:val="nil"/>
              <w:left w:val="nil"/>
              <w:bottom w:val="single" w:sz="4" w:space="0" w:color="auto"/>
              <w:right w:val="single" w:sz="4" w:space="0" w:color="auto"/>
            </w:tcBorders>
            <w:shd w:val="clear" w:color="auto" w:fill="auto"/>
            <w:noWrap/>
            <w:vAlign w:val="bottom"/>
            <w:hideMark/>
          </w:tcPr>
          <w:p w14:paraId="2009BC68"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4,9</w:t>
            </w:r>
          </w:p>
        </w:tc>
        <w:tc>
          <w:tcPr>
            <w:tcW w:w="370" w:type="pct"/>
            <w:tcBorders>
              <w:top w:val="nil"/>
              <w:left w:val="nil"/>
              <w:bottom w:val="single" w:sz="4" w:space="0" w:color="auto"/>
              <w:right w:val="single" w:sz="4" w:space="0" w:color="auto"/>
            </w:tcBorders>
            <w:shd w:val="clear" w:color="auto" w:fill="auto"/>
            <w:vAlign w:val="center"/>
            <w:hideMark/>
          </w:tcPr>
          <w:p w14:paraId="308DB2EE"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8,2</w:t>
            </w:r>
          </w:p>
        </w:tc>
        <w:tc>
          <w:tcPr>
            <w:tcW w:w="330" w:type="pct"/>
            <w:tcBorders>
              <w:top w:val="nil"/>
              <w:left w:val="nil"/>
              <w:bottom w:val="single" w:sz="4" w:space="0" w:color="auto"/>
              <w:right w:val="single" w:sz="4" w:space="0" w:color="auto"/>
            </w:tcBorders>
            <w:shd w:val="clear" w:color="auto" w:fill="auto"/>
            <w:vAlign w:val="center"/>
            <w:hideMark/>
          </w:tcPr>
          <w:p w14:paraId="4716236F"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3,3</w:t>
            </w:r>
          </w:p>
        </w:tc>
        <w:tc>
          <w:tcPr>
            <w:tcW w:w="292" w:type="pct"/>
            <w:tcBorders>
              <w:top w:val="nil"/>
              <w:left w:val="nil"/>
              <w:bottom w:val="single" w:sz="4" w:space="0" w:color="auto"/>
              <w:right w:val="single" w:sz="4" w:space="0" w:color="auto"/>
            </w:tcBorders>
            <w:shd w:val="clear" w:color="auto" w:fill="auto"/>
            <w:vAlign w:val="center"/>
            <w:hideMark/>
          </w:tcPr>
          <w:p w14:paraId="375A4466"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165,0</w:t>
            </w:r>
          </w:p>
        </w:tc>
        <w:tc>
          <w:tcPr>
            <w:tcW w:w="370" w:type="pct"/>
            <w:gridSpan w:val="2"/>
            <w:tcBorders>
              <w:top w:val="nil"/>
              <w:left w:val="nil"/>
              <w:bottom w:val="single" w:sz="4" w:space="0" w:color="auto"/>
              <w:right w:val="single" w:sz="4" w:space="0" w:color="auto"/>
            </w:tcBorders>
            <w:shd w:val="clear" w:color="auto" w:fill="auto"/>
            <w:vAlign w:val="center"/>
            <w:hideMark/>
          </w:tcPr>
          <w:p w14:paraId="1CFEC630"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3,3</w:t>
            </w:r>
          </w:p>
        </w:tc>
        <w:tc>
          <w:tcPr>
            <w:tcW w:w="330" w:type="pct"/>
            <w:tcBorders>
              <w:top w:val="nil"/>
              <w:left w:val="nil"/>
              <w:bottom w:val="single" w:sz="4" w:space="0" w:color="auto"/>
              <w:right w:val="single" w:sz="4" w:space="0" w:color="auto"/>
            </w:tcBorders>
            <w:shd w:val="clear" w:color="auto" w:fill="auto"/>
            <w:vAlign w:val="center"/>
            <w:hideMark/>
          </w:tcPr>
          <w:p w14:paraId="7505DDB3"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167,3</w:t>
            </w:r>
          </w:p>
        </w:tc>
        <w:tc>
          <w:tcPr>
            <w:tcW w:w="370" w:type="pct"/>
            <w:tcBorders>
              <w:top w:val="nil"/>
              <w:left w:val="nil"/>
              <w:bottom w:val="single" w:sz="4" w:space="0" w:color="auto"/>
              <w:right w:val="single" w:sz="4" w:space="0" w:color="auto"/>
            </w:tcBorders>
            <w:shd w:val="clear" w:color="auto" w:fill="auto"/>
            <w:vAlign w:val="center"/>
            <w:hideMark/>
          </w:tcPr>
          <w:p w14:paraId="7D171A0E"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3,6</w:t>
            </w:r>
          </w:p>
        </w:tc>
        <w:tc>
          <w:tcPr>
            <w:tcW w:w="316" w:type="pct"/>
            <w:tcBorders>
              <w:top w:val="nil"/>
              <w:left w:val="nil"/>
              <w:bottom w:val="single" w:sz="4" w:space="0" w:color="auto"/>
              <w:right w:val="single" w:sz="4" w:space="0" w:color="auto"/>
            </w:tcBorders>
            <w:shd w:val="clear" w:color="auto" w:fill="auto"/>
            <w:vAlign w:val="center"/>
            <w:hideMark/>
          </w:tcPr>
          <w:p w14:paraId="7A4F7901"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178,3</w:t>
            </w:r>
          </w:p>
        </w:tc>
        <w:tc>
          <w:tcPr>
            <w:tcW w:w="370" w:type="pct"/>
            <w:tcBorders>
              <w:top w:val="nil"/>
              <w:left w:val="nil"/>
              <w:bottom w:val="single" w:sz="4" w:space="0" w:color="auto"/>
              <w:right w:val="single" w:sz="4" w:space="0" w:color="auto"/>
            </w:tcBorders>
            <w:shd w:val="clear" w:color="auto" w:fill="auto"/>
            <w:vAlign w:val="center"/>
            <w:hideMark/>
          </w:tcPr>
          <w:p w14:paraId="55E2072F"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3,3</w:t>
            </w:r>
          </w:p>
        </w:tc>
        <w:tc>
          <w:tcPr>
            <w:tcW w:w="316" w:type="pct"/>
            <w:tcBorders>
              <w:top w:val="nil"/>
              <w:left w:val="nil"/>
              <w:bottom w:val="single" w:sz="4" w:space="0" w:color="auto"/>
              <w:right w:val="single" w:sz="4" w:space="0" w:color="auto"/>
            </w:tcBorders>
            <w:shd w:val="clear" w:color="auto" w:fill="auto"/>
            <w:vAlign w:val="center"/>
            <w:hideMark/>
          </w:tcPr>
          <w:p w14:paraId="5B3A7E99" w14:textId="77777777" w:rsidR="00251419" w:rsidRPr="00DD5F1D" w:rsidRDefault="00251419" w:rsidP="00A4476B">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167,3</w:t>
            </w:r>
          </w:p>
        </w:tc>
      </w:tr>
    </w:tbl>
    <w:p w14:paraId="1AD5402C" w14:textId="77777777" w:rsidR="00251419" w:rsidRPr="00DD5F1D" w:rsidRDefault="00251419" w:rsidP="00251419">
      <w:pPr>
        <w:spacing w:line="276" w:lineRule="auto"/>
        <w:jc w:val="both"/>
        <w:rPr>
          <w:rFonts w:ascii="Times New Roman" w:hAnsi="Times New Roman" w:cs="Times New Roman"/>
          <w:sz w:val="24"/>
          <w:szCs w:val="24"/>
          <w:lang w:val="ro-MD"/>
        </w:rPr>
      </w:pPr>
      <w:r w:rsidRPr="00DD5F1D">
        <w:rPr>
          <w:rFonts w:ascii="Times New Roman" w:hAnsi="Times New Roman" w:cs="Times New Roman"/>
          <w:b/>
          <w:i/>
          <w:lang w:val="ro-MD"/>
        </w:rPr>
        <w:t>Sursa:</w:t>
      </w:r>
      <w:r w:rsidRPr="00DD5F1D">
        <w:rPr>
          <w:rFonts w:ascii="Times New Roman" w:hAnsi="Times New Roman" w:cs="Times New Roman"/>
          <w:lang w:val="ro-MD"/>
        </w:rPr>
        <w:t xml:space="preserve"> </w:t>
      </w:r>
      <w:r w:rsidRPr="00DD5F1D">
        <w:rPr>
          <w:rFonts w:ascii="Times New Roman" w:hAnsi="Times New Roman" w:cs="Times New Roman"/>
          <w:i/>
          <w:lang w:val="ro-MD"/>
        </w:rPr>
        <w:t>Informații generalizate de echipa de audit din Rapoartele privind executarea bugetului asigurărilor sociale de stat pe anii 2019-2023</w:t>
      </w:r>
      <w:r w:rsidRPr="00DD5F1D">
        <w:rPr>
          <w:rFonts w:ascii="Times New Roman" w:hAnsi="Times New Roman" w:cs="Times New Roman"/>
          <w:i/>
          <w:sz w:val="20"/>
          <w:lang w:val="ro-MD"/>
        </w:rPr>
        <w:t>.</w:t>
      </w:r>
    </w:p>
    <w:p w14:paraId="020BA2FE" w14:textId="77777777" w:rsidR="00251419" w:rsidRPr="00DD5F1D" w:rsidRDefault="00251419" w:rsidP="00251419">
      <w:pPr>
        <w:spacing w:after="0" w:line="276" w:lineRule="auto"/>
        <w:jc w:val="both"/>
        <w:rPr>
          <w:rFonts w:ascii="Times New Roman" w:eastAsia="Times New Roman" w:hAnsi="Times New Roman" w:cs="Times New Roman"/>
          <w:sz w:val="24"/>
          <w:szCs w:val="24"/>
          <w:lang w:val="ro-MD"/>
        </w:rPr>
      </w:pPr>
      <w:r w:rsidRPr="00DD5F1D">
        <w:rPr>
          <w:rFonts w:ascii="Times New Roman" w:hAnsi="Times New Roman" w:cs="Times New Roman"/>
          <w:sz w:val="24"/>
          <w:szCs w:val="24"/>
          <w:lang w:val="ro-MD"/>
        </w:rPr>
        <w:t xml:space="preserve">Cea mai mare pondere în structura cheltuielilor </w:t>
      </w:r>
      <w:r w:rsidRPr="00DD5F1D">
        <w:rPr>
          <w:rFonts w:ascii="Times New Roman" w:eastAsia="Times New Roman" w:hAnsi="Times New Roman" w:cs="Times New Roman"/>
          <w:sz w:val="24"/>
          <w:szCs w:val="24"/>
          <w:lang w:val="ro-MD"/>
        </w:rPr>
        <w:t xml:space="preserve">bugetului asigurărilor sociale de stat o dețin </w:t>
      </w:r>
      <w:r w:rsidRPr="00DD5F1D">
        <w:rPr>
          <w:rFonts w:ascii="Times New Roman" w:eastAsia="Times New Roman" w:hAnsi="Times New Roman" w:cs="Times New Roman"/>
          <w:b/>
          <w:sz w:val="24"/>
          <w:szCs w:val="24"/>
          <w:lang w:val="ro-MD"/>
        </w:rPr>
        <w:t>prestațiile sociale</w:t>
      </w:r>
      <w:r w:rsidRPr="00DD5F1D">
        <w:rPr>
          <w:rFonts w:ascii="Times New Roman" w:eastAsia="Times New Roman" w:hAnsi="Times New Roman" w:cs="Times New Roman"/>
          <w:sz w:val="24"/>
          <w:szCs w:val="24"/>
          <w:lang w:val="ro-MD"/>
        </w:rPr>
        <w:t xml:space="preserve">, de 98,7%, fiind înregistrate în anul 2023 cheltuieli în sumă de 38 000,2 mil. lei. Comparativ cu anul 2022, cheltuielile executate au crescut cu </w:t>
      </w:r>
      <w:r w:rsidRPr="00DD5F1D">
        <w:rPr>
          <w:rFonts w:ascii="Times New Roman" w:eastAsia="Times New Roman" w:hAnsi="Times New Roman" w:cs="Times New Roman"/>
          <w:i/>
          <w:iCs/>
          <w:sz w:val="24"/>
          <w:szCs w:val="24"/>
          <w:lang w:val="ro-MD"/>
        </w:rPr>
        <w:t xml:space="preserve">4 706,0 mil. lei, </w:t>
      </w:r>
      <w:r w:rsidRPr="00DD5F1D">
        <w:rPr>
          <w:rFonts w:ascii="Times New Roman" w:eastAsia="Times New Roman" w:hAnsi="Times New Roman" w:cs="Times New Roman"/>
          <w:sz w:val="24"/>
          <w:szCs w:val="24"/>
          <w:lang w:val="ro-MD"/>
        </w:rPr>
        <w:t xml:space="preserve">sau cu </w:t>
      </w:r>
      <w:r w:rsidRPr="00DD5F1D">
        <w:rPr>
          <w:rFonts w:ascii="Times New Roman" w:eastAsia="Times New Roman" w:hAnsi="Times New Roman" w:cs="Times New Roman"/>
          <w:i/>
          <w:iCs/>
          <w:sz w:val="24"/>
          <w:szCs w:val="24"/>
          <w:lang w:val="ro-MD"/>
        </w:rPr>
        <w:t>14,1 puncte procentuale.</w:t>
      </w:r>
      <w:r w:rsidRPr="00DD5F1D">
        <w:rPr>
          <w:rFonts w:ascii="Times New Roman" w:eastAsia="Times New Roman" w:hAnsi="Times New Roman" w:cs="Times New Roman"/>
          <w:sz w:val="24"/>
          <w:szCs w:val="24"/>
          <w:lang w:val="ro-MD"/>
        </w:rPr>
        <w:t xml:space="preserve"> Asupra creșterii cheltuielilor a influențat creșterea mărimii medii a pensiei, ca urmare a unui șir de măsuri prevăzute de legislație în domeniul pensiilor publice și implementate pe parcursul anului 2023. </w:t>
      </w:r>
    </w:p>
    <w:p w14:paraId="137896EF" w14:textId="77777777" w:rsidR="00251419" w:rsidRPr="00DD5F1D" w:rsidRDefault="00251419" w:rsidP="00251419">
      <w:pPr>
        <w:spacing w:before="240" w:after="0"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De asemenea, cu referire la indemnizațiile de asigurări sociale s-a înregistrat o creștere a cuantumului indemnizației unice la nașterea copilului, până la 10 932 lei</w:t>
      </w:r>
      <w:r w:rsidRPr="00DD5F1D">
        <w:rPr>
          <w:rStyle w:val="a5"/>
          <w:rFonts w:ascii="Times New Roman" w:hAnsi="Times New Roman" w:cs="Times New Roman"/>
          <w:sz w:val="24"/>
          <w:szCs w:val="24"/>
          <w:lang w:val="ro-MD"/>
        </w:rPr>
        <w:footnoteReference w:id="159"/>
      </w:r>
      <w:r w:rsidRPr="00DD5F1D">
        <w:rPr>
          <w:rFonts w:ascii="Times New Roman" w:hAnsi="Times New Roman" w:cs="Times New Roman"/>
          <w:sz w:val="24"/>
          <w:szCs w:val="24"/>
          <w:lang w:val="ro-MD"/>
        </w:rPr>
        <w:t>.</w:t>
      </w:r>
    </w:p>
    <w:p w14:paraId="14430C32" w14:textId="77777777" w:rsidR="00251419" w:rsidRPr="00DD5F1D" w:rsidRDefault="00251419" w:rsidP="00251419">
      <w:pPr>
        <w:spacing w:after="0" w:line="276" w:lineRule="auto"/>
        <w:jc w:val="both"/>
        <w:rPr>
          <w:rFonts w:ascii="Times New Roman" w:hAnsi="Times New Roman" w:cs="Times New Roman"/>
          <w:sz w:val="12"/>
          <w:szCs w:val="12"/>
          <w:lang w:val="ro-MD"/>
        </w:rPr>
      </w:pPr>
    </w:p>
    <w:p w14:paraId="6B379B93" w14:textId="7A7A1B1F" w:rsidR="00251419" w:rsidRPr="00DD5F1D" w:rsidRDefault="00251419" w:rsidP="00251419">
      <w:pPr>
        <w:spacing w:after="0" w:line="276" w:lineRule="auto"/>
        <w:jc w:val="both"/>
        <w:rPr>
          <w:rFonts w:ascii="Times New Roman" w:hAnsi="Times New Roman" w:cs="Times New Roman"/>
          <w:sz w:val="16"/>
          <w:szCs w:val="16"/>
          <w:lang w:val="ro-MD"/>
        </w:rPr>
      </w:pPr>
      <w:r w:rsidRPr="00DD5F1D">
        <w:rPr>
          <w:rFonts w:ascii="Times New Roman" w:hAnsi="Times New Roman" w:cs="Times New Roman"/>
          <w:sz w:val="24"/>
          <w:szCs w:val="24"/>
          <w:lang w:val="ro-MD"/>
        </w:rPr>
        <w:t xml:space="preserve">Cheltuielile executate pentru </w:t>
      </w:r>
      <w:r w:rsidRPr="00DD5F1D">
        <w:rPr>
          <w:rFonts w:ascii="Times New Roman" w:hAnsi="Times New Roman" w:cs="Times New Roman"/>
          <w:b/>
          <w:sz w:val="24"/>
          <w:szCs w:val="24"/>
          <w:lang w:val="ro-MD"/>
        </w:rPr>
        <w:t>bunuri și servicii</w:t>
      </w:r>
      <w:r w:rsidRPr="00DD5F1D">
        <w:rPr>
          <w:rFonts w:ascii="Times New Roman" w:hAnsi="Times New Roman" w:cs="Times New Roman"/>
          <w:sz w:val="24"/>
          <w:szCs w:val="24"/>
          <w:lang w:val="ro-MD"/>
        </w:rPr>
        <w:t xml:space="preserve"> au constituit 290,2 mil. lei, </w:t>
      </w:r>
      <w:r w:rsidR="002D224F" w:rsidRPr="00DD5F1D">
        <w:rPr>
          <w:rFonts w:ascii="Times New Roman" w:hAnsi="Times New Roman" w:cs="Times New Roman"/>
          <w:sz w:val="24"/>
          <w:szCs w:val="24"/>
          <w:lang w:val="ro-MD"/>
        </w:rPr>
        <w:t xml:space="preserve">sau </w:t>
      </w:r>
      <w:r w:rsidRPr="00DD5F1D">
        <w:rPr>
          <w:rFonts w:ascii="Times New Roman" w:hAnsi="Times New Roman" w:cs="Times New Roman"/>
          <w:sz w:val="24"/>
          <w:szCs w:val="24"/>
          <w:lang w:val="ro-MD"/>
        </w:rPr>
        <w:t xml:space="preserve">mai </w:t>
      </w:r>
      <w:r w:rsidR="002D224F" w:rsidRPr="00DD5F1D">
        <w:rPr>
          <w:rFonts w:ascii="Times New Roman" w:hAnsi="Times New Roman" w:cs="Times New Roman"/>
          <w:sz w:val="24"/>
          <w:szCs w:val="24"/>
          <w:lang w:val="ro-MD"/>
        </w:rPr>
        <w:t>mult</w:t>
      </w:r>
      <w:r w:rsidRPr="00DD5F1D">
        <w:rPr>
          <w:rFonts w:ascii="Times New Roman" w:hAnsi="Times New Roman" w:cs="Times New Roman"/>
          <w:sz w:val="24"/>
          <w:szCs w:val="24"/>
          <w:lang w:val="ro-MD"/>
        </w:rPr>
        <w:t xml:space="preserve"> cu 46,9 mil</w:t>
      </w:r>
      <w:r w:rsidR="000A5CAC" w:rsidRPr="00DD5F1D">
        <w:rPr>
          <w:rFonts w:ascii="Times New Roman" w:hAnsi="Times New Roman" w:cs="Times New Roman"/>
          <w:sz w:val="24"/>
          <w:szCs w:val="24"/>
          <w:lang w:val="ro-MD"/>
        </w:rPr>
        <w:t>.</w:t>
      </w:r>
      <w:r w:rsidR="002D224F" w:rsidRPr="00DD5F1D">
        <w:rPr>
          <w:rFonts w:ascii="Times New Roman" w:hAnsi="Times New Roman" w:cs="Times New Roman"/>
          <w:sz w:val="24"/>
          <w:szCs w:val="24"/>
          <w:lang w:val="ro-MD"/>
        </w:rPr>
        <w:t xml:space="preserve"> lei</w:t>
      </w:r>
      <w:r w:rsidRPr="00DD5F1D">
        <w:rPr>
          <w:rFonts w:ascii="Times New Roman" w:hAnsi="Times New Roman" w:cs="Times New Roman"/>
          <w:sz w:val="24"/>
          <w:szCs w:val="24"/>
          <w:lang w:val="ro-MD"/>
        </w:rPr>
        <w:t>, față de anul precedent. La categoria dată se atribuie cheltuielile destinate întreținerii CNAS și a sistemelor informaționale ale CNAS: serviciile energetice și comunale, informaționale și de telecomunicații, de locațiune, de transport, de reparații curente, formarea profesională, deplasările de serviciu, serviciile poștale și de distribuire a drepturilor sociale, alte servicii.</w:t>
      </w:r>
    </w:p>
    <w:p w14:paraId="4F584632" w14:textId="77777777" w:rsidR="00251419" w:rsidRPr="00DD5F1D" w:rsidRDefault="00251419" w:rsidP="00251419">
      <w:pPr>
        <w:spacing w:after="0" w:line="276" w:lineRule="auto"/>
        <w:jc w:val="both"/>
        <w:rPr>
          <w:rFonts w:ascii="Times New Roman" w:hAnsi="Times New Roman" w:cs="Times New Roman"/>
          <w:sz w:val="16"/>
          <w:szCs w:val="16"/>
          <w:lang w:val="ro-MD"/>
        </w:rPr>
      </w:pPr>
    </w:p>
    <w:p w14:paraId="5432757A" w14:textId="7FF628DC" w:rsidR="00F87466" w:rsidRPr="00DD5F1D" w:rsidRDefault="00251419" w:rsidP="00F87466">
      <w:pPr>
        <w:spacing w:line="276" w:lineRule="auto"/>
        <w:jc w:val="both"/>
        <w:rPr>
          <w:rFonts w:ascii="Times New Roman" w:hAnsi="Times New Roman" w:cs="Times New Roman"/>
          <w:sz w:val="24"/>
          <w:szCs w:val="24"/>
          <w:lang w:val="ro-MD"/>
        </w:rPr>
      </w:pPr>
      <w:r w:rsidRPr="00DD5F1D">
        <w:rPr>
          <w:rFonts w:ascii="Times New Roman" w:hAnsi="Times New Roman" w:cs="Times New Roman"/>
          <w:sz w:val="24"/>
          <w:szCs w:val="24"/>
          <w:lang w:val="ro-MD"/>
        </w:rPr>
        <w:t xml:space="preserve">Mijloacele aprobate pentru cheltuielile de personal au fost utilizate în baza actelor normative ce reglementează salarizarea în sectorul bugetar. Pentru </w:t>
      </w:r>
      <w:r w:rsidRPr="00DD5F1D">
        <w:rPr>
          <w:rFonts w:ascii="Times New Roman" w:hAnsi="Times New Roman" w:cs="Times New Roman"/>
          <w:b/>
          <w:sz w:val="24"/>
          <w:szCs w:val="24"/>
          <w:lang w:val="ro-MD"/>
        </w:rPr>
        <w:t>cheltuielile de personal</w:t>
      </w:r>
      <w:r w:rsidRPr="00DD5F1D">
        <w:rPr>
          <w:rFonts w:ascii="Times New Roman" w:hAnsi="Times New Roman" w:cs="Times New Roman"/>
          <w:sz w:val="24"/>
          <w:szCs w:val="24"/>
          <w:lang w:val="ro-MD"/>
        </w:rPr>
        <w:t xml:space="preserve"> au fost prevăzute 214,4 mil. lei, care au fost executate în sumă de 209,3 mil. lei, ceea ce constituie 97,6% din suma planificată.</w:t>
      </w:r>
      <w:r w:rsidR="00F87466" w:rsidRPr="00DD5F1D">
        <w:rPr>
          <w:rFonts w:ascii="Times New Roman" w:hAnsi="Times New Roman" w:cs="Times New Roman"/>
          <w:sz w:val="24"/>
          <w:szCs w:val="24"/>
          <w:lang w:val="ro-MD"/>
        </w:rPr>
        <w:t xml:space="preserve"> </w:t>
      </w:r>
      <w:r w:rsidR="002D224F" w:rsidRPr="00DD5F1D">
        <w:rPr>
          <w:rFonts w:ascii="Times New Roman" w:hAnsi="Times New Roman" w:cs="Times New Roman"/>
          <w:sz w:val="24"/>
          <w:szCs w:val="24"/>
          <w:lang w:val="ro-MD"/>
        </w:rPr>
        <w:t>Efectivul</w:t>
      </w:r>
      <w:r w:rsidR="000A5CAC" w:rsidRPr="00DD5F1D">
        <w:rPr>
          <w:rFonts w:ascii="Times New Roman" w:hAnsi="Times New Roman" w:cs="Times New Roman"/>
          <w:sz w:val="24"/>
          <w:szCs w:val="24"/>
          <w:lang w:val="ro-MD"/>
        </w:rPr>
        <w:t xml:space="preserve"> </w:t>
      </w:r>
      <w:r w:rsidR="002D224F" w:rsidRPr="00DD5F1D">
        <w:rPr>
          <w:rFonts w:ascii="Times New Roman" w:hAnsi="Times New Roman" w:cs="Times New Roman"/>
          <w:sz w:val="24"/>
          <w:szCs w:val="24"/>
          <w:lang w:val="ro-MD"/>
        </w:rPr>
        <w:t>limită al CNAS la data de 01 ianuarie 2023 a constituit 1</w:t>
      </w:r>
      <w:r w:rsidR="000A5CAC" w:rsidRPr="00DD5F1D">
        <w:rPr>
          <w:rFonts w:ascii="Times New Roman" w:hAnsi="Times New Roman" w:cs="Times New Roman"/>
          <w:sz w:val="24"/>
          <w:szCs w:val="24"/>
          <w:lang w:val="ro-MD"/>
        </w:rPr>
        <w:t xml:space="preserve"> </w:t>
      </w:r>
      <w:r w:rsidR="002D224F" w:rsidRPr="00DD5F1D">
        <w:rPr>
          <w:rFonts w:ascii="Times New Roman" w:hAnsi="Times New Roman" w:cs="Times New Roman"/>
          <w:sz w:val="24"/>
          <w:szCs w:val="24"/>
          <w:lang w:val="ro-MD"/>
        </w:rPr>
        <w:t xml:space="preserve">126 </w:t>
      </w:r>
      <w:r w:rsidR="000A5CAC" w:rsidRPr="00DD5F1D">
        <w:rPr>
          <w:rFonts w:ascii="Times New Roman" w:hAnsi="Times New Roman" w:cs="Times New Roman"/>
          <w:sz w:val="24"/>
          <w:szCs w:val="24"/>
          <w:lang w:val="ro-MD"/>
        </w:rPr>
        <w:t xml:space="preserve">de </w:t>
      </w:r>
      <w:r w:rsidR="002D224F" w:rsidRPr="00DD5F1D">
        <w:rPr>
          <w:rFonts w:ascii="Times New Roman" w:hAnsi="Times New Roman" w:cs="Times New Roman"/>
          <w:sz w:val="24"/>
          <w:szCs w:val="24"/>
          <w:lang w:val="ro-MD"/>
        </w:rPr>
        <w:t xml:space="preserve">unități. Gradul de ocupare a funcţiilor publice/posturilor în cadrul CNAS reprezintă 82,54% comparativ cu 82,72% pentru anul 2022. Fluctuația de personal pentru anul 2023 </w:t>
      </w:r>
      <w:r w:rsidR="00F87466" w:rsidRPr="00DD5F1D">
        <w:rPr>
          <w:rFonts w:ascii="Times New Roman" w:hAnsi="Times New Roman" w:cs="Times New Roman"/>
          <w:sz w:val="24"/>
          <w:szCs w:val="24"/>
          <w:lang w:val="ro-MD"/>
        </w:rPr>
        <w:t xml:space="preserve">a </w:t>
      </w:r>
      <w:r w:rsidR="002D224F" w:rsidRPr="00DD5F1D">
        <w:rPr>
          <w:rFonts w:ascii="Times New Roman" w:hAnsi="Times New Roman" w:cs="Times New Roman"/>
          <w:sz w:val="24"/>
          <w:szCs w:val="24"/>
          <w:lang w:val="ro-MD"/>
        </w:rPr>
        <w:t>constitui</w:t>
      </w:r>
      <w:r w:rsidR="00F87466" w:rsidRPr="00DD5F1D">
        <w:rPr>
          <w:rFonts w:ascii="Times New Roman" w:hAnsi="Times New Roman" w:cs="Times New Roman"/>
          <w:sz w:val="24"/>
          <w:szCs w:val="24"/>
          <w:lang w:val="ro-MD"/>
        </w:rPr>
        <w:t>t</w:t>
      </w:r>
      <w:r w:rsidR="002D224F" w:rsidRPr="00DD5F1D">
        <w:rPr>
          <w:rFonts w:ascii="Times New Roman" w:hAnsi="Times New Roman" w:cs="Times New Roman"/>
          <w:sz w:val="24"/>
          <w:szCs w:val="24"/>
          <w:lang w:val="ro-MD"/>
        </w:rPr>
        <w:t xml:space="preserve"> </w:t>
      </w:r>
      <w:r w:rsidR="00F87466" w:rsidRPr="00DD5F1D">
        <w:rPr>
          <w:rFonts w:ascii="Times New Roman" w:hAnsi="Times New Roman" w:cs="Times New Roman"/>
          <w:sz w:val="24"/>
          <w:szCs w:val="24"/>
          <w:lang w:val="ro-MD"/>
        </w:rPr>
        <w:t>11,73%.</w:t>
      </w:r>
    </w:p>
    <w:p w14:paraId="3A1A32A2" w14:textId="77777777" w:rsidR="00F87466" w:rsidRPr="00DD5F1D" w:rsidRDefault="00F87466" w:rsidP="00F87466">
      <w:pPr>
        <w:rPr>
          <w:rFonts w:ascii="Times New Roman" w:hAnsi="Times New Roman" w:cs="Times New Roman"/>
          <w:b/>
          <w:color w:val="000000" w:themeColor="text1"/>
          <w:sz w:val="24"/>
          <w:szCs w:val="24"/>
          <w:lang w:val="ro-MD"/>
        </w:rPr>
      </w:pPr>
    </w:p>
    <w:p w14:paraId="6A692484" w14:textId="6A187846" w:rsidR="00F87466" w:rsidRPr="00DD5F1D" w:rsidRDefault="00F87466" w:rsidP="00F87466">
      <w:pPr>
        <w:rPr>
          <w:rFonts w:ascii="Times New Roman" w:hAnsi="Times New Roman" w:cs="Times New Roman"/>
          <w:b/>
          <w:color w:val="000000" w:themeColor="text1"/>
          <w:sz w:val="24"/>
          <w:szCs w:val="24"/>
          <w:lang w:val="ro-MD"/>
        </w:rPr>
      </w:pPr>
    </w:p>
    <w:p w14:paraId="47CB1209" w14:textId="77777777" w:rsidR="00F87466" w:rsidRPr="00DD5F1D" w:rsidRDefault="00F87466" w:rsidP="00F87466">
      <w:pPr>
        <w:rPr>
          <w:lang w:val="ro-MD"/>
        </w:rPr>
      </w:pPr>
    </w:p>
    <w:p w14:paraId="7A08CF97" w14:textId="77777777" w:rsidR="00F87466" w:rsidRPr="00DD5F1D" w:rsidRDefault="00F87466" w:rsidP="00F87466">
      <w:pPr>
        <w:rPr>
          <w:rFonts w:ascii="Times New Roman" w:hAnsi="Times New Roman" w:cs="Times New Roman"/>
          <w:b/>
          <w:color w:val="000000" w:themeColor="text1"/>
          <w:sz w:val="24"/>
          <w:szCs w:val="24"/>
          <w:lang w:val="ro-MD"/>
        </w:rPr>
      </w:pPr>
    </w:p>
    <w:p w14:paraId="180AE25C" w14:textId="77777777" w:rsidR="00CF4DFD" w:rsidRPr="00DD5F1D" w:rsidRDefault="00CF4DFD" w:rsidP="00F87466">
      <w:pPr>
        <w:pStyle w:val="2"/>
        <w:jc w:val="right"/>
        <w:rPr>
          <w:rFonts w:ascii="Times New Roman" w:hAnsi="Times New Roman" w:cs="Times New Roman"/>
          <w:b/>
          <w:color w:val="000000" w:themeColor="text1"/>
          <w:sz w:val="24"/>
          <w:szCs w:val="24"/>
          <w:lang w:val="ro-MD"/>
        </w:rPr>
      </w:pPr>
      <w:r w:rsidRPr="00DD5F1D">
        <w:rPr>
          <w:rFonts w:ascii="Times New Roman" w:hAnsi="Times New Roman" w:cs="Times New Roman"/>
          <w:b/>
          <w:color w:val="000000" w:themeColor="text1"/>
          <w:sz w:val="24"/>
          <w:szCs w:val="24"/>
          <w:lang w:val="ro-MD"/>
        </w:rPr>
        <w:br w:type="page"/>
      </w:r>
    </w:p>
    <w:p w14:paraId="19EE7A25" w14:textId="77777777" w:rsidR="00CF4DFD" w:rsidRPr="00DD5F1D" w:rsidRDefault="00CF4DFD" w:rsidP="00F87466">
      <w:pPr>
        <w:pStyle w:val="2"/>
        <w:jc w:val="right"/>
        <w:rPr>
          <w:rFonts w:ascii="Times New Roman" w:hAnsi="Times New Roman" w:cs="Times New Roman"/>
          <w:b/>
          <w:color w:val="000000" w:themeColor="text1"/>
          <w:sz w:val="24"/>
          <w:szCs w:val="24"/>
          <w:lang w:val="ro-MD"/>
        </w:rPr>
        <w:sectPr w:rsidR="00CF4DFD" w:rsidRPr="00DD5F1D" w:rsidSect="00CF4DFD">
          <w:pgSz w:w="12240" w:h="15840"/>
          <w:pgMar w:top="1140" w:right="851" w:bottom="1140" w:left="1355" w:header="720" w:footer="720" w:gutter="0"/>
          <w:cols w:space="720"/>
          <w:titlePg/>
          <w:docGrid w:linePitch="360"/>
        </w:sectPr>
      </w:pPr>
    </w:p>
    <w:p w14:paraId="555FB7F1" w14:textId="3597C1B1" w:rsidR="00AF491C" w:rsidRPr="00DD5F1D" w:rsidRDefault="00AF491C" w:rsidP="00F87466">
      <w:pPr>
        <w:pStyle w:val="2"/>
        <w:jc w:val="right"/>
        <w:rPr>
          <w:rFonts w:ascii="Times New Roman" w:hAnsi="Times New Roman" w:cs="Times New Roman"/>
          <w:color w:val="auto"/>
          <w:sz w:val="24"/>
          <w:szCs w:val="24"/>
          <w:lang w:val="ro-MD"/>
        </w:rPr>
      </w:pPr>
      <w:r w:rsidRPr="00DD5F1D">
        <w:rPr>
          <w:rFonts w:ascii="Times New Roman" w:hAnsi="Times New Roman" w:cs="Times New Roman"/>
          <w:b/>
          <w:color w:val="000000" w:themeColor="text1"/>
          <w:sz w:val="24"/>
          <w:szCs w:val="24"/>
          <w:lang w:val="ro-MD"/>
        </w:rPr>
        <w:t xml:space="preserve">Anexa nr. </w:t>
      </w:r>
      <w:r w:rsidR="000E2AC7" w:rsidRPr="00DD5F1D">
        <w:rPr>
          <w:rFonts w:ascii="Times New Roman" w:hAnsi="Times New Roman" w:cs="Times New Roman"/>
          <w:b/>
          <w:color w:val="000000" w:themeColor="text1"/>
          <w:sz w:val="24"/>
          <w:szCs w:val="24"/>
          <w:lang w:val="ro-MD"/>
        </w:rPr>
        <w:t>6</w:t>
      </w:r>
    </w:p>
    <w:p w14:paraId="54207456" w14:textId="77777777" w:rsidR="00AF491C" w:rsidRPr="00DD5F1D" w:rsidRDefault="00AF491C" w:rsidP="00AF491C">
      <w:pPr>
        <w:tabs>
          <w:tab w:val="left" w:pos="936"/>
        </w:tabs>
        <w:jc w:val="right"/>
        <w:rPr>
          <w:rFonts w:ascii="Times New Roman" w:hAnsi="Times New Roman" w:cs="Times New Roman"/>
          <w:b/>
          <w:sz w:val="24"/>
          <w:szCs w:val="24"/>
          <w:lang w:val="ro-MD"/>
        </w:rPr>
      </w:pPr>
      <w:r w:rsidRPr="00DD5F1D">
        <w:rPr>
          <w:rFonts w:ascii="Times New Roman" w:hAnsi="Times New Roman" w:cs="Times New Roman"/>
          <w:b/>
          <w:sz w:val="24"/>
          <w:szCs w:val="24"/>
          <w:lang w:val="ro-MD"/>
        </w:rPr>
        <w:t>Informații privind dinamica numărului de salariați, bazei de calcul și sumei contribuțiilor calculate în anii 2021-2023</w:t>
      </w:r>
    </w:p>
    <w:tbl>
      <w:tblPr>
        <w:tblW w:w="5214" w:type="pct"/>
        <w:tblInd w:w="-5" w:type="dxa"/>
        <w:tblLayout w:type="fixed"/>
        <w:tblLook w:val="04A0" w:firstRow="1" w:lastRow="0" w:firstColumn="1" w:lastColumn="0" w:noHBand="0" w:noVBand="1"/>
      </w:tblPr>
      <w:tblGrid>
        <w:gridCol w:w="2410"/>
        <w:gridCol w:w="1952"/>
        <w:gridCol w:w="876"/>
        <w:gridCol w:w="856"/>
        <w:gridCol w:w="851"/>
        <w:gridCol w:w="709"/>
        <w:gridCol w:w="851"/>
        <w:gridCol w:w="709"/>
        <w:gridCol w:w="763"/>
        <w:gridCol w:w="512"/>
        <w:gridCol w:w="715"/>
        <w:gridCol w:w="560"/>
        <w:gridCol w:w="709"/>
        <w:gridCol w:w="526"/>
        <w:gridCol w:w="608"/>
        <w:gridCol w:w="523"/>
      </w:tblGrid>
      <w:tr w:rsidR="00DE3C1C" w:rsidRPr="00DD5F1D" w14:paraId="20A03C7C" w14:textId="77777777" w:rsidTr="00DE6156">
        <w:trPr>
          <w:trHeight w:val="512"/>
        </w:trPr>
        <w:tc>
          <w:tcPr>
            <w:tcW w:w="8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BF4A2" w14:textId="77777777" w:rsidR="00DE3C1C" w:rsidRPr="00DD5F1D" w:rsidRDefault="00DE3C1C" w:rsidP="000E2AC7">
            <w:pPr>
              <w:spacing w:after="0" w:line="240" w:lineRule="auto"/>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Categoriile de plătitori și de asigurați</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4F28C" w14:textId="77777777" w:rsidR="00DE3C1C" w:rsidRPr="00DD5F1D" w:rsidRDefault="00DE3C1C" w:rsidP="000E2AC7">
            <w:pPr>
              <w:spacing w:after="0" w:line="240" w:lineRule="auto"/>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Tarifele și baza de calcul al contribuției de asigurări sociale de stat obligatorii</w:t>
            </w:r>
          </w:p>
        </w:tc>
        <w:tc>
          <w:tcPr>
            <w:tcW w:w="116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7B0ADCD" w14:textId="77777777" w:rsidR="00DE3C1C" w:rsidRPr="00DD5F1D" w:rsidRDefault="00DE3C1C" w:rsidP="000E2AC7">
            <w:pPr>
              <w:spacing w:after="0" w:line="240" w:lineRule="auto"/>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31.12.2022</w:t>
            </w:r>
          </w:p>
        </w:tc>
        <w:tc>
          <w:tcPr>
            <w:tcW w:w="100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008810C" w14:textId="77777777" w:rsidR="00DE3C1C" w:rsidRPr="00DD5F1D" w:rsidRDefault="00DE3C1C" w:rsidP="000E2AC7">
            <w:pPr>
              <w:spacing w:after="0" w:line="240" w:lineRule="auto"/>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31.12.2023</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14:paraId="614B483A" w14:textId="77777777" w:rsidR="00DE3C1C" w:rsidRPr="00DD5F1D" w:rsidRDefault="00DE3C1C" w:rsidP="000E2AC7">
            <w:pPr>
              <w:spacing w:after="0" w:line="240" w:lineRule="auto"/>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Dinamica nr. contribuabili 2023/2022</w:t>
            </w:r>
          </w:p>
        </w:tc>
        <w:tc>
          <w:tcPr>
            <w:tcW w:w="437" w:type="pct"/>
            <w:gridSpan w:val="2"/>
            <w:tcBorders>
              <w:top w:val="single" w:sz="4" w:space="0" w:color="auto"/>
              <w:left w:val="nil"/>
              <w:bottom w:val="single" w:sz="4" w:space="0" w:color="auto"/>
              <w:right w:val="single" w:sz="4" w:space="0" w:color="auto"/>
            </w:tcBorders>
            <w:shd w:val="clear" w:color="auto" w:fill="auto"/>
            <w:vAlign w:val="center"/>
            <w:hideMark/>
          </w:tcPr>
          <w:p w14:paraId="201ED2FB" w14:textId="77777777" w:rsidR="00DE3C1C" w:rsidRPr="00DD5F1D" w:rsidRDefault="00DE3C1C" w:rsidP="000E2AC7">
            <w:pPr>
              <w:spacing w:after="0" w:line="240" w:lineRule="auto"/>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Dinamica baza de calcul 2023/2022</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14:paraId="5990BC9A" w14:textId="77777777" w:rsidR="00DE3C1C" w:rsidRPr="00DD5F1D" w:rsidRDefault="00DE3C1C" w:rsidP="000E2AC7">
            <w:pPr>
              <w:spacing w:after="0" w:line="240" w:lineRule="auto"/>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Dinamica suma contribuțiilor 2023/2022</w:t>
            </w:r>
          </w:p>
        </w:tc>
      </w:tr>
      <w:tr w:rsidR="00372068" w:rsidRPr="00DD5F1D" w14:paraId="0912E5CC" w14:textId="77777777" w:rsidTr="001C4042">
        <w:trPr>
          <w:cantSplit/>
          <w:trHeight w:val="1368"/>
        </w:trPr>
        <w:tc>
          <w:tcPr>
            <w:tcW w:w="853" w:type="pct"/>
            <w:vMerge/>
            <w:tcBorders>
              <w:top w:val="single" w:sz="4" w:space="0" w:color="auto"/>
              <w:left w:val="single" w:sz="4" w:space="0" w:color="auto"/>
              <w:bottom w:val="single" w:sz="4" w:space="0" w:color="auto"/>
              <w:right w:val="single" w:sz="4" w:space="0" w:color="auto"/>
            </w:tcBorders>
            <w:vAlign w:val="center"/>
            <w:hideMark/>
          </w:tcPr>
          <w:p w14:paraId="3E3D2109" w14:textId="77777777" w:rsidR="00DE3C1C" w:rsidRPr="00DD5F1D" w:rsidRDefault="00DE3C1C" w:rsidP="000E2AC7">
            <w:pPr>
              <w:spacing w:after="0" w:line="240" w:lineRule="auto"/>
              <w:jc w:val="center"/>
              <w:rPr>
                <w:rFonts w:ascii="Times New Roman" w:eastAsia="Times New Roman" w:hAnsi="Times New Roman" w:cs="Times New Roman"/>
                <w:b/>
                <w:bCs/>
                <w:sz w:val="12"/>
                <w:szCs w:val="16"/>
                <w:lang w:val="ro-MD"/>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14:paraId="4A2934C1" w14:textId="77777777" w:rsidR="00DE3C1C" w:rsidRPr="00DD5F1D" w:rsidRDefault="00DE3C1C" w:rsidP="000E2AC7">
            <w:pPr>
              <w:spacing w:after="0" w:line="240" w:lineRule="auto"/>
              <w:jc w:val="center"/>
              <w:rPr>
                <w:rFonts w:ascii="Times New Roman" w:eastAsia="Times New Roman" w:hAnsi="Times New Roman" w:cs="Times New Roman"/>
                <w:b/>
                <w:bCs/>
                <w:sz w:val="12"/>
                <w:szCs w:val="16"/>
                <w:lang w:val="ro-MD"/>
              </w:rPr>
            </w:pPr>
          </w:p>
        </w:tc>
        <w:tc>
          <w:tcPr>
            <w:tcW w:w="310" w:type="pct"/>
            <w:tcBorders>
              <w:top w:val="nil"/>
              <w:left w:val="nil"/>
              <w:bottom w:val="single" w:sz="4" w:space="0" w:color="auto"/>
              <w:right w:val="single" w:sz="4" w:space="0" w:color="auto"/>
            </w:tcBorders>
            <w:shd w:val="clear" w:color="auto" w:fill="auto"/>
            <w:textDirection w:val="btLr"/>
            <w:vAlign w:val="center"/>
            <w:hideMark/>
          </w:tcPr>
          <w:p w14:paraId="0AC40270"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Numărul mediu al contribuabililor (salariaților)</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1C9E4321"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Suma bazei de calcul a contribuțiilor conform tarifelor, mii lei</w:t>
            </w:r>
          </w:p>
        </w:tc>
        <w:tc>
          <w:tcPr>
            <w:tcW w:w="301" w:type="pct"/>
            <w:tcBorders>
              <w:top w:val="nil"/>
              <w:left w:val="nil"/>
              <w:bottom w:val="single" w:sz="4" w:space="0" w:color="auto"/>
              <w:right w:val="single" w:sz="4" w:space="0" w:color="auto"/>
            </w:tcBorders>
            <w:shd w:val="clear" w:color="auto" w:fill="auto"/>
            <w:textDirection w:val="btLr"/>
            <w:vAlign w:val="center"/>
            <w:hideMark/>
          </w:tcPr>
          <w:p w14:paraId="7E82048E"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Suma contribuțiilor calculate, mii lei</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5CF5A4EF"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salariul mediu lunar asigurat luat ca baza pentru calculul pensiilor/ îndemnizațiilor</w:t>
            </w:r>
          </w:p>
        </w:tc>
        <w:tc>
          <w:tcPr>
            <w:tcW w:w="301" w:type="pct"/>
            <w:tcBorders>
              <w:top w:val="nil"/>
              <w:left w:val="nil"/>
              <w:bottom w:val="single" w:sz="4" w:space="0" w:color="auto"/>
              <w:right w:val="single" w:sz="4" w:space="0" w:color="auto"/>
            </w:tcBorders>
            <w:shd w:val="clear" w:color="auto" w:fill="auto"/>
            <w:textDirection w:val="btLr"/>
            <w:vAlign w:val="center"/>
            <w:hideMark/>
          </w:tcPr>
          <w:p w14:paraId="56C54DA6"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Numărul mediu al contribuabililor (salariaților)</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6A40B790"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Suma bazei de calcul a contribuțiilor conform tarifelor, mii lei</w:t>
            </w:r>
          </w:p>
        </w:tc>
        <w:tc>
          <w:tcPr>
            <w:tcW w:w="270" w:type="pct"/>
            <w:tcBorders>
              <w:top w:val="nil"/>
              <w:left w:val="nil"/>
              <w:bottom w:val="single" w:sz="4" w:space="0" w:color="auto"/>
              <w:right w:val="single" w:sz="4" w:space="0" w:color="auto"/>
            </w:tcBorders>
            <w:shd w:val="clear" w:color="auto" w:fill="auto"/>
            <w:textDirection w:val="btLr"/>
            <w:vAlign w:val="center"/>
            <w:hideMark/>
          </w:tcPr>
          <w:p w14:paraId="4FCEFC7B"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Suma contribuțiilor calculate, mii lei</w:t>
            </w:r>
          </w:p>
        </w:tc>
        <w:tc>
          <w:tcPr>
            <w:tcW w:w="181" w:type="pct"/>
            <w:tcBorders>
              <w:top w:val="nil"/>
              <w:left w:val="nil"/>
              <w:bottom w:val="single" w:sz="4" w:space="0" w:color="auto"/>
              <w:right w:val="single" w:sz="4" w:space="0" w:color="auto"/>
            </w:tcBorders>
            <w:shd w:val="clear" w:color="auto" w:fill="auto"/>
            <w:textDirection w:val="btLr"/>
            <w:vAlign w:val="center"/>
            <w:hideMark/>
          </w:tcPr>
          <w:p w14:paraId="52B8ED79"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salariul mediu lunar asigurat luat ca baza pentru calculul pensiilor/ îndemnizațiilor</w:t>
            </w:r>
          </w:p>
        </w:tc>
        <w:tc>
          <w:tcPr>
            <w:tcW w:w="253" w:type="pct"/>
            <w:tcBorders>
              <w:top w:val="nil"/>
              <w:left w:val="nil"/>
              <w:bottom w:val="single" w:sz="4" w:space="0" w:color="auto"/>
              <w:right w:val="single" w:sz="4" w:space="0" w:color="auto"/>
            </w:tcBorders>
            <w:shd w:val="clear" w:color="auto" w:fill="auto"/>
            <w:textDirection w:val="btLr"/>
            <w:vAlign w:val="center"/>
            <w:hideMark/>
          </w:tcPr>
          <w:p w14:paraId="1B7B1F4A"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Număr</w:t>
            </w:r>
          </w:p>
        </w:tc>
        <w:tc>
          <w:tcPr>
            <w:tcW w:w="198" w:type="pct"/>
            <w:tcBorders>
              <w:top w:val="nil"/>
              <w:left w:val="nil"/>
              <w:bottom w:val="single" w:sz="4" w:space="0" w:color="auto"/>
              <w:right w:val="single" w:sz="4" w:space="0" w:color="auto"/>
            </w:tcBorders>
            <w:shd w:val="clear" w:color="auto" w:fill="auto"/>
            <w:textDirection w:val="btLr"/>
            <w:vAlign w:val="center"/>
            <w:hideMark/>
          </w:tcPr>
          <w:p w14:paraId="5D6C15AD"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168865BE"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Sumă</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9B3DFFA"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w:t>
            </w:r>
          </w:p>
        </w:tc>
        <w:tc>
          <w:tcPr>
            <w:tcW w:w="215" w:type="pct"/>
            <w:tcBorders>
              <w:top w:val="nil"/>
              <w:left w:val="nil"/>
              <w:bottom w:val="single" w:sz="4" w:space="0" w:color="auto"/>
              <w:right w:val="single" w:sz="4" w:space="0" w:color="auto"/>
            </w:tcBorders>
            <w:shd w:val="clear" w:color="auto" w:fill="auto"/>
            <w:textDirection w:val="btLr"/>
            <w:vAlign w:val="center"/>
            <w:hideMark/>
          </w:tcPr>
          <w:p w14:paraId="54A424E7"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Sumă</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8289CC4" w14:textId="77777777" w:rsidR="00DE3C1C" w:rsidRPr="00DD5F1D" w:rsidRDefault="00DE3C1C" w:rsidP="000E2AC7">
            <w:pPr>
              <w:spacing w:after="0" w:line="240" w:lineRule="auto"/>
              <w:ind w:left="113" w:right="113"/>
              <w:jc w:val="center"/>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w:t>
            </w:r>
          </w:p>
        </w:tc>
      </w:tr>
      <w:tr w:rsidR="00A854D1" w:rsidRPr="00DD5F1D" w14:paraId="661F35DF" w14:textId="77777777" w:rsidTr="001C4042">
        <w:trPr>
          <w:cantSplit/>
          <w:trHeight w:val="926"/>
        </w:trPr>
        <w:tc>
          <w:tcPr>
            <w:tcW w:w="853" w:type="pct"/>
            <w:vMerge w:val="restart"/>
            <w:tcBorders>
              <w:top w:val="nil"/>
              <w:left w:val="single" w:sz="4" w:space="0" w:color="auto"/>
              <w:bottom w:val="single" w:sz="4" w:space="0" w:color="auto"/>
              <w:right w:val="single" w:sz="4" w:space="0" w:color="auto"/>
            </w:tcBorders>
            <w:shd w:val="clear" w:color="auto" w:fill="auto"/>
            <w:hideMark/>
          </w:tcPr>
          <w:p w14:paraId="729BC2A4" w14:textId="178AC6CC"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xml:space="preserve">1.1. Angajatorul, persoana juridică sau fizică asimilată </w:t>
            </w:r>
            <w:r w:rsidR="00A854D1" w:rsidRPr="00DD5F1D">
              <w:rPr>
                <w:rFonts w:ascii="Times New Roman" w:eastAsia="Times New Roman" w:hAnsi="Times New Roman" w:cs="Times New Roman"/>
                <w:sz w:val="12"/>
                <w:szCs w:val="16"/>
                <w:lang w:val="ro-MD"/>
              </w:rPr>
              <w:t>angajatorului: pentru</w:t>
            </w:r>
            <w:r w:rsidRPr="00DD5F1D">
              <w:rPr>
                <w:rFonts w:ascii="Times New Roman" w:eastAsia="Times New Roman" w:hAnsi="Times New Roman" w:cs="Times New Roman"/>
                <w:sz w:val="12"/>
                <w:szCs w:val="16"/>
                <w:lang w:val="ro-MD"/>
              </w:rPr>
              <w:t xml:space="preserve"> persoanele angajate prin contract individual de muncă, persoanele aflate în raporturi de serviciu în baza actului administrativ ori prin alte tipuri de contracte civile în vederea executării de lucrări sau prestării de servicii, cu excepția celor specificate la pct. 1.2–1.5; pentru angajații și/sau alte persoane fizice, în baza contractelor civile, în vederea executării de lucrări sau prestării de servicii, în cazul rezidenților parcurilor pentru tehnologia </w:t>
            </w:r>
            <w:r w:rsidR="00A854D1" w:rsidRPr="00DD5F1D">
              <w:rPr>
                <w:rFonts w:ascii="Times New Roman" w:eastAsia="Times New Roman" w:hAnsi="Times New Roman" w:cs="Times New Roman"/>
                <w:sz w:val="12"/>
                <w:szCs w:val="16"/>
                <w:lang w:val="ro-MD"/>
              </w:rPr>
              <w:t>informației; pentru</w:t>
            </w:r>
            <w:r w:rsidRPr="00DD5F1D">
              <w:rPr>
                <w:rFonts w:ascii="Times New Roman" w:eastAsia="Times New Roman" w:hAnsi="Times New Roman" w:cs="Times New Roman"/>
                <w:sz w:val="12"/>
                <w:szCs w:val="16"/>
                <w:lang w:val="ro-MD"/>
              </w:rPr>
              <w:t xml:space="preserve"> cetățenii Republicii Moldova angajați prin contract în proiecte, în instituții și organizații internaționale, indiferent de sursa de finanțare a activităților, în cazul în care acordurile internaționale la care Republica Moldova este parte nu prevăd scutirea de plată a contribuțiilor de asigurări sociale de stat obligatorii; pentru persoanele care desfășoară activitate în funcții elective ori sunt numite în cadrul autorităților executive; pentru judecători, procurori, Avocați ai Poporului</w:t>
            </w:r>
          </w:p>
        </w:tc>
        <w:tc>
          <w:tcPr>
            <w:tcW w:w="691" w:type="pct"/>
            <w:tcBorders>
              <w:top w:val="nil"/>
              <w:left w:val="nil"/>
              <w:bottom w:val="single" w:sz="4" w:space="0" w:color="auto"/>
              <w:right w:val="single" w:sz="4" w:space="0" w:color="auto"/>
            </w:tcBorders>
            <w:shd w:val="clear" w:color="auto" w:fill="auto"/>
            <w:hideMark/>
          </w:tcPr>
          <w:p w14:paraId="5C86F534"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29% la suma salariilor și recompenselor calculate lunar pentru toți angajații pentru angajatorii autorităților/instituțiilor bugetare și autorităților/ instituțiilor publice la autogestiune, cu excepția instituțiilor de învățământ superior și a instituțiilor medico-sanitare</w:t>
            </w:r>
          </w:p>
        </w:tc>
        <w:tc>
          <w:tcPr>
            <w:tcW w:w="310" w:type="pct"/>
            <w:tcBorders>
              <w:top w:val="nil"/>
              <w:left w:val="nil"/>
              <w:bottom w:val="single" w:sz="4" w:space="0" w:color="auto"/>
              <w:right w:val="single" w:sz="4" w:space="0" w:color="auto"/>
            </w:tcBorders>
            <w:shd w:val="clear" w:color="auto" w:fill="auto"/>
            <w:noWrap/>
            <w:vAlign w:val="center"/>
            <w:hideMark/>
          </w:tcPr>
          <w:p w14:paraId="635A6626"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181845</w:t>
            </w:r>
          </w:p>
        </w:tc>
        <w:tc>
          <w:tcPr>
            <w:tcW w:w="303" w:type="pct"/>
            <w:tcBorders>
              <w:top w:val="nil"/>
              <w:left w:val="nil"/>
              <w:bottom w:val="single" w:sz="4" w:space="0" w:color="auto"/>
              <w:right w:val="single" w:sz="4" w:space="0" w:color="auto"/>
            </w:tcBorders>
            <w:shd w:val="clear" w:color="auto" w:fill="auto"/>
            <w:noWrap/>
            <w:vAlign w:val="center"/>
            <w:hideMark/>
          </w:tcPr>
          <w:p w14:paraId="1E0DB538" w14:textId="63A41E70"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19146</w:t>
            </w:r>
            <w:r w:rsidR="00DE3C1C" w:rsidRPr="00DD5F1D">
              <w:rPr>
                <w:rFonts w:ascii="Times New Roman" w:eastAsia="Times New Roman" w:hAnsi="Times New Roman" w:cs="Times New Roman"/>
                <w:sz w:val="12"/>
                <w:szCs w:val="16"/>
                <w:lang w:val="ro-MD"/>
              </w:rPr>
              <w:t>426,2</w:t>
            </w:r>
          </w:p>
        </w:tc>
        <w:tc>
          <w:tcPr>
            <w:tcW w:w="301" w:type="pct"/>
            <w:tcBorders>
              <w:top w:val="nil"/>
              <w:left w:val="nil"/>
              <w:bottom w:val="single" w:sz="4" w:space="0" w:color="auto"/>
              <w:right w:val="single" w:sz="4" w:space="0" w:color="auto"/>
            </w:tcBorders>
            <w:shd w:val="clear" w:color="auto" w:fill="auto"/>
            <w:noWrap/>
            <w:vAlign w:val="center"/>
            <w:hideMark/>
          </w:tcPr>
          <w:p w14:paraId="0EEDF106" w14:textId="43054B6D"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5552</w:t>
            </w:r>
            <w:r w:rsidR="00DE3C1C" w:rsidRPr="00DD5F1D">
              <w:rPr>
                <w:rFonts w:ascii="Times New Roman" w:eastAsia="Times New Roman" w:hAnsi="Times New Roman" w:cs="Times New Roman"/>
                <w:sz w:val="12"/>
                <w:szCs w:val="16"/>
                <w:lang w:val="ro-MD"/>
              </w:rPr>
              <w:t>461,0</w:t>
            </w:r>
          </w:p>
        </w:tc>
        <w:tc>
          <w:tcPr>
            <w:tcW w:w="251" w:type="pct"/>
            <w:tcBorders>
              <w:top w:val="nil"/>
              <w:left w:val="nil"/>
              <w:bottom w:val="single" w:sz="4" w:space="0" w:color="auto"/>
              <w:right w:val="single" w:sz="4" w:space="0" w:color="auto"/>
            </w:tcBorders>
            <w:shd w:val="clear" w:color="auto" w:fill="auto"/>
            <w:noWrap/>
            <w:vAlign w:val="center"/>
            <w:hideMark/>
          </w:tcPr>
          <w:p w14:paraId="59443830" w14:textId="57A972E5"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8</w:t>
            </w:r>
            <w:r w:rsidR="00BE444C" w:rsidRPr="00DD5F1D">
              <w:rPr>
                <w:rFonts w:ascii="Times New Roman" w:eastAsia="Times New Roman" w:hAnsi="Times New Roman" w:cs="Times New Roman"/>
                <w:sz w:val="12"/>
                <w:szCs w:val="16"/>
                <w:lang w:val="ro-MD"/>
              </w:rPr>
              <w:t>,7</w:t>
            </w:r>
          </w:p>
        </w:tc>
        <w:tc>
          <w:tcPr>
            <w:tcW w:w="301" w:type="pct"/>
            <w:tcBorders>
              <w:top w:val="nil"/>
              <w:left w:val="nil"/>
              <w:bottom w:val="single" w:sz="4" w:space="0" w:color="auto"/>
              <w:right w:val="single" w:sz="4" w:space="0" w:color="auto"/>
            </w:tcBorders>
            <w:shd w:val="clear" w:color="auto" w:fill="auto"/>
            <w:noWrap/>
            <w:vAlign w:val="center"/>
            <w:hideMark/>
          </w:tcPr>
          <w:p w14:paraId="292C6E71"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181419</w:t>
            </w:r>
          </w:p>
        </w:tc>
        <w:tc>
          <w:tcPr>
            <w:tcW w:w="251" w:type="pct"/>
            <w:tcBorders>
              <w:top w:val="nil"/>
              <w:left w:val="nil"/>
              <w:bottom w:val="single" w:sz="4" w:space="0" w:color="auto"/>
              <w:right w:val="single" w:sz="4" w:space="0" w:color="auto"/>
            </w:tcBorders>
            <w:shd w:val="clear" w:color="auto" w:fill="auto"/>
            <w:noWrap/>
            <w:vAlign w:val="center"/>
            <w:hideMark/>
          </w:tcPr>
          <w:p w14:paraId="2895B932" w14:textId="1357C4DD" w:rsidR="00DE3C1C" w:rsidRPr="00DD5F1D" w:rsidRDefault="00BE444C" w:rsidP="00A854D1">
            <w:pPr>
              <w:spacing w:after="0" w:line="240" w:lineRule="auto"/>
              <w:ind w:left="-192"/>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22269854,6</w:t>
            </w:r>
          </w:p>
        </w:tc>
        <w:tc>
          <w:tcPr>
            <w:tcW w:w="270" w:type="pct"/>
            <w:tcBorders>
              <w:top w:val="nil"/>
              <w:left w:val="nil"/>
              <w:bottom w:val="single" w:sz="4" w:space="0" w:color="auto"/>
              <w:right w:val="single" w:sz="4" w:space="0" w:color="auto"/>
            </w:tcBorders>
            <w:shd w:val="clear" w:color="auto" w:fill="auto"/>
            <w:noWrap/>
            <w:vAlign w:val="center"/>
            <w:hideMark/>
          </w:tcPr>
          <w:p w14:paraId="12EE8C55" w14:textId="50FD576F"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6458258,2</w:t>
            </w:r>
          </w:p>
        </w:tc>
        <w:tc>
          <w:tcPr>
            <w:tcW w:w="181" w:type="pct"/>
            <w:tcBorders>
              <w:top w:val="nil"/>
              <w:left w:val="nil"/>
              <w:bottom w:val="single" w:sz="4" w:space="0" w:color="auto"/>
              <w:right w:val="single" w:sz="4" w:space="0" w:color="auto"/>
            </w:tcBorders>
            <w:shd w:val="clear" w:color="auto" w:fill="auto"/>
            <w:noWrap/>
            <w:vAlign w:val="center"/>
            <w:hideMark/>
          </w:tcPr>
          <w:p w14:paraId="648A5232" w14:textId="4A205D47"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10,2</w:t>
            </w:r>
          </w:p>
        </w:tc>
        <w:tc>
          <w:tcPr>
            <w:tcW w:w="253" w:type="pct"/>
            <w:tcBorders>
              <w:top w:val="nil"/>
              <w:left w:val="nil"/>
              <w:bottom w:val="single" w:sz="4" w:space="0" w:color="auto"/>
              <w:right w:val="single" w:sz="4" w:space="0" w:color="auto"/>
            </w:tcBorders>
            <w:shd w:val="clear" w:color="auto" w:fill="auto"/>
            <w:noWrap/>
            <w:vAlign w:val="center"/>
            <w:hideMark/>
          </w:tcPr>
          <w:p w14:paraId="298046A5"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-426</w:t>
            </w:r>
          </w:p>
        </w:tc>
        <w:tc>
          <w:tcPr>
            <w:tcW w:w="198" w:type="pct"/>
            <w:tcBorders>
              <w:top w:val="nil"/>
              <w:left w:val="nil"/>
              <w:bottom w:val="single" w:sz="4" w:space="0" w:color="auto"/>
              <w:right w:val="single" w:sz="4" w:space="0" w:color="auto"/>
            </w:tcBorders>
            <w:shd w:val="clear" w:color="auto" w:fill="auto"/>
            <w:noWrap/>
            <w:vAlign w:val="center"/>
            <w:hideMark/>
          </w:tcPr>
          <w:p w14:paraId="3922F2CC" w14:textId="7F79650D"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99,7</w:t>
            </w:r>
          </w:p>
        </w:tc>
        <w:tc>
          <w:tcPr>
            <w:tcW w:w="251" w:type="pct"/>
            <w:tcBorders>
              <w:top w:val="nil"/>
              <w:left w:val="nil"/>
              <w:bottom w:val="single" w:sz="4" w:space="0" w:color="auto"/>
              <w:right w:val="single" w:sz="4" w:space="0" w:color="auto"/>
            </w:tcBorders>
            <w:shd w:val="clear" w:color="auto" w:fill="auto"/>
            <w:noWrap/>
            <w:vAlign w:val="center"/>
            <w:hideMark/>
          </w:tcPr>
          <w:p w14:paraId="0CC94132" w14:textId="77777777" w:rsidR="00DE3C1C" w:rsidRPr="00DD5F1D" w:rsidRDefault="00DE3C1C" w:rsidP="00372068">
            <w:pPr>
              <w:spacing w:after="0" w:line="240" w:lineRule="auto"/>
              <w:ind w:left="-100" w:right="-52"/>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3123428,4</w:t>
            </w:r>
          </w:p>
        </w:tc>
        <w:tc>
          <w:tcPr>
            <w:tcW w:w="186" w:type="pct"/>
            <w:tcBorders>
              <w:top w:val="nil"/>
              <w:left w:val="nil"/>
              <w:bottom w:val="single" w:sz="4" w:space="0" w:color="auto"/>
              <w:right w:val="single" w:sz="4" w:space="0" w:color="auto"/>
            </w:tcBorders>
            <w:shd w:val="clear" w:color="auto" w:fill="auto"/>
            <w:noWrap/>
            <w:vAlign w:val="center"/>
            <w:hideMark/>
          </w:tcPr>
          <w:p w14:paraId="1FD6E0C6" w14:textId="768D9C17"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116,3</w:t>
            </w:r>
          </w:p>
        </w:tc>
        <w:tc>
          <w:tcPr>
            <w:tcW w:w="215" w:type="pct"/>
            <w:tcBorders>
              <w:top w:val="nil"/>
              <w:left w:val="nil"/>
              <w:bottom w:val="single" w:sz="4" w:space="0" w:color="auto"/>
              <w:right w:val="single" w:sz="4" w:space="0" w:color="auto"/>
            </w:tcBorders>
            <w:shd w:val="clear" w:color="auto" w:fill="auto"/>
            <w:noWrap/>
            <w:vAlign w:val="center"/>
            <w:hideMark/>
          </w:tcPr>
          <w:p w14:paraId="1179DBF5" w14:textId="77777777" w:rsidR="00DE3C1C" w:rsidRPr="00DD5F1D" w:rsidRDefault="00DE3C1C" w:rsidP="00A854D1">
            <w:pPr>
              <w:spacing w:after="0" w:line="240" w:lineRule="auto"/>
              <w:ind w:left="-206" w:right="-18"/>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905797,2</w:t>
            </w:r>
          </w:p>
        </w:tc>
        <w:tc>
          <w:tcPr>
            <w:tcW w:w="185" w:type="pct"/>
            <w:tcBorders>
              <w:top w:val="nil"/>
              <w:left w:val="nil"/>
              <w:bottom w:val="single" w:sz="4" w:space="0" w:color="auto"/>
              <w:right w:val="single" w:sz="4" w:space="0" w:color="auto"/>
            </w:tcBorders>
            <w:shd w:val="clear" w:color="auto" w:fill="auto"/>
            <w:noWrap/>
            <w:vAlign w:val="center"/>
            <w:hideMark/>
          </w:tcPr>
          <w:p w14:paraId="0AF7F92F" w14:textId="00FAC7EA"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116,3</w:t>
            </w:r>
          </w:p>
        </w:tc>
      </w:tr>
      <w:tr w:rsidR="00A854D1" w:rsidRPr="00DD5F1D" w14:paraId="6B887C12" w14:textId="77777777" w:rsidTr="001C4042">
        <w:trPr>
          <w:cantSplit/>
          <w:trHeight w:val="2218"/>
        </w:trPr>
        <w:tc>
          <w:tcPr>
            <w:tcW w:w="853" w:type="pct"/>
            <w:vMerge/>
            <w:tcBorders>
              <w:top w:val="nil"/>
              <w:left w:val="single" w:sz="4" w:space="0" w:color="auto"/>
              <w:bottom w:val="single" w:sz="4" w:space="0" w:color="auto"/>
              <w:right w:val="single" w:sz="4" w:space="0" w:color="auto"/>
            </w:tcBorders>
            <w:vAlign w:val="center"/>
            <w:hideMark/>
          </w:tcPr>
          <w:p w14:paraId="566295E2"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p>
        </w:tc>
        <w:tc>
          <w:tcPr>
            <w:tcW w:w="691" w:type="pct"/>
            <w:tcBorders>
              <w:top w:val="nil"/>
              <w:left w:val="nil"/>
              <w:bottom w:val="single" w:sz="4" w:space="0" w:color="auto"/>
              <w:right w:val="single" w:sz="4" w:space="0" w:color="auto"/>
            </w:tcBorders>
            <w:shd w:val="clear" w:color="auto" w:fill="auto"/>
            <w:vAlign w:val="center"/>
            <w:hideMark/>
          </w:tcPr>
          <w:p w14:paraId="1F1CF232"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24% la suma salariilor și recompenselor calculate lunar pentru toți angajații, pentru angajatorii sectorului privat, instituțiilor de învățământ superior și ai instituțiilor medico-sanitare</w:t>
            </w:r>
          </w:p>
        </w:tc>
        <w:tc>
          <w:tcPr>
            <w:tcW w:w="310" w:type="pct"/>
            <w:tcBorders>
              <w:top w:val="nil"/>
              <w:left w:val="nil"/>
              <w:bottom w:val="single" w:sz="4" w:space="0" w:color="auto"/>
              <w:right w:val="single" w:sz="4" w:space="0" w:color="auto"/>
            </w:tcBorders>
            <w:shd w:val="clear" w:color="auto" w:fill="auto"/>
            <w:noWrap/>
            <w:vAlign w:val="center"/>
            <w:hideMark/>
          </w:tcPr>
          <w:p w14:paraId="0A85E5CF"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552622</w:t>
            </w:r>
          </w:p>
        </w:tc>
        <w:tc>
          <w:tcPr>
            <w:tcW w:w="303" w:type="pct"/>
            <w:tcBorders>
              <w:top w:val="nil"/>
              <w:left w:val="nil"/>
              <w:bottom w:val="single" w:sz="4" w:space="0" w:color="auto"/>
              <w:right w:val="single" w:sz="4" w:space="0" w:color="auto"/>
            </w:tcBorders>
            <w:shd w:val="clear" w:color="auto" w:fill="auto"/>
            <w:noWrap/>
            <w:vAlign w:val="center"/>
            <w:hideMark/>
          </w:tcPr>
          <w:p w14:paraId="4DCDDB97" w14:textId="651AC96D"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52378</w:t>
            </w:r>
            <w:r w:rsidR="00DE3C1C" w:rsidRPr="00DD5F1D">
              <w:rPr>
                <w:rFonts w:ascii="Times New Roman" w:eastAsia="Times New Roman" w:hAnsi="Times New Roman" w:cs="Times New Roman"/>
                <w:sz w:val="12"/>
                <w:szCs w:val="16"/>
                <w:lang w:val="ro-MD"/>
              </w:rPr>
              <w:t>500,8</w:t>
            </w:r>
          </w:p>
        </w:tc>
        <w:tc>
          <w:tcPr>
            <w:tcW w:w="301" w:type="pct"/>
            <w:tcBorders>
              <w:top w:val="nil"/>
              <w:left w:val="nil"/>
              <w:bottom w:val="single" w:sz="4" w:space="0" w:color="auto"/>
              <w:right w:val="single" w:sz="4" w:space="0" w:color="auto"/>
            </w:tcBorders>
            <w:shd w:val="clear" w:color="auto" w:fill="auto"/>
            <w:noWrap/>
            <w:vAlign w:val="center"/>
            <w:hideMark/>
          </w:tcPr>
          <w:p w14:paraId="6D6DFBD5" w14:textId="47AA59E4"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12570</w:t>
            </w:r>
            <w:r w:rsidR="00DE3C1C" w:rsidRPr="00DD5F1D">
              <w:rPr>
                <w:rFonts w:ascii="Times New Roman" w:eastAsia="Times New Roman" w:hAnsi="Times New Roman" w:cs="Times New Roman"/>
                <w:sz w:val="12"/>
                <w:szCs w:val="16"/>
                <w:lang w:val="ro-MD"/>
              </w:rPr>
              <w:t>863,5</w:t>
            </w:r>
          </w:p>
        </w:tc>
        <w:tc>
          <w:tcPr>
            <w:tcW w:w="251" w:type="pct"/>
            <w:tcBorders>
              <w:top w:val="nil"/>
              <w:left w:val="nil"/>
              <w:bottom w:val="single" w:sz="4" w:space="0" w:color="auto"/>
              <w:right w:val="single" w:sz="4" w:space="0" w:color="auto"/>
            </w:tcBorders>
            <w:shd w:val="clear" w:color="auto" w:fill="auto"/>
            <w:noWrap/>
            <w:vAlign w:val="center"/>
            <w:hideMark/>
          </w:tcPr>
          <w:p w14:paraId="2F62FB43" w14:textId="48C28B2C"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7,9</w:t>
            </w:r>
          </w:p>
        </w:tc>
        <w:tc>
          <w:tcPr>
            <w:tcW w:w="301" w:type="pct"/>
            <w:tcBorders>
              <w:top w:val="nil"/>
              <w:left w:val="nil"/>
              <w:bottom w:val="single" w:sz="4" w:space="0" w:color="auto"/>
              <w:right w:val="single" w:sz="4" w:space="0" w:color="auto"/>
            </w:tcBorders>
            <w:shd w:val="clear" w:color="auto" w:fill="auto"/>
            <w:noWrap/>
            <w:vAlign w:val="center"/>
            <w:hideMark/>
          </w:tcPr>
          <w:p w14:paraId="034E0DF0"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554610</w:t>
            </w:r>
          </w:p>
        </w:tc>
        <w:tc>
          <w:tcPr>
            <w:tcW w:w="251" w:type="pct"/>
            <w:tcBorders>
              <w:top w:val="nil"/>
              <w:left w:val="nil"/>
              <w:bottom w:val="single" w:sz="4" w:space="0" w:color="auto"/>
              <w:right w:val="single" w:sz="4" w:space="0" w:color="auto"/>
            </w:tcBorders>
            <w:shd w:val="clear" w:color="auto" w:fill="auto"/>
            <w:noWrap/>
            <w:vAlign w:val="center"/>
            <w:hideMark/>
          </w:tcPr>
          <w:p w14:paraId="6479666F" w14:textId="607CB593" w:rsidR="00DE3C1C" w:rsidRPr="00DD5F1D" w:rsidRDefault="00BE444C" w:rsidP="00A854D1">
            <w:pPr>
              <w:spacing w:after="0" w:line="240" w:lineRule="auto"/>
              <w:ind w:left="-107"/>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61360</w:t>
            </w:r>
            <w:r w:rsidR="00DE3C1C" w:rsidRPr="00DD5F1D">
              <w:rPr>
                <w:rFonts w:ascii="Times New Roman" w:eastAsia="Times New Roman" w:hAnsi="Times New Roman" w:cs="Times New Roman"/>
                <w:sz w:val="12"/>
                <w:szCs w:val="16"/>
                <w:lang w:val="ro-MD"/>
              </w:rPr>
              <w:t>131,7</w:t>
            </w:r>
          </w:p>
        </w:tc>
        <w:tc>
          <w:tcPr>
            <w:tcW w:w="270" w:type="pct"/>
            <w:tcBorders>
              <w:top w:val="nil"/>
              <w:left w:val="nil"/>
              <w:bottom w:val="single" w:sz="4" w:space="0" w:color="auto"/>
              <w:right w:val="single" w:sz="4" w:space="0" w:color="auto"/>
            </w:tcBorders>
            <w:shd w:val="clear" w:color="auto" w:fill="auto"/>
            <w:noWrap/>
            <w:vAlign w:val="center"/>
            <w:hideMark/>
          </w:tcPr>
          <w:p w14:paraId="205B9DA6" w14:textId="0CA6AF4E" w:rsidR="00DE3C1C" w:rsidRPr="00DD5F1D" w:rsidRDefault="00BE444C" w:rsidP="00A854D1">
            <w:pPr>
              <w:spacing w:after="0" w:line="240" w:lineRule="auto"/>
              <w:ind w:left="-105"/>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14726436,2</w:t>
            </w:r>
          </w:p>
        </w:tc>
        <w:tc>
          <w:tcPr>
            <w:tcW w:w="181" w:type="pct"/>
            <w:tcBorders>
              <w:top w:val="nil"/>
              <w:left w:val="nil"/>
              <w:bottom w:val="single" w:sz="4" w:space="0" w:color="auto"/>
              <w:right w:val="single" w:sz="4" w:space="0" w:color="auto"/>
            </w:tcBorders>
            <w:shd w:val="clear" w:color="auto" w:fill="auto"/>
            <w:noWrap/>
            <w:vAlign w:val="center"/>
            <w:hideMark/>
          </w:tcPr>
          <w:p w14:paraId="75BBB44E" w14:textId="7473FB55"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9,2</w:t>
            </w:r>
          </w:p>
        </w:tc>
        <w:tc>
          <w:tcPr>
            <w:tcW w:w="253" w:type="pct"/>
            <w:tcBorders>
              <w:top w:val="nil"/>
              <w:left w:val="nil"/>
              <w:bottom w:val="single" w:sz="4" w:space="0" w:color="auto"/>
              <w:right w:val="single" w:sz="4" w:space="0" w:color="auto"/>
            </w:tcBorders>
            <w:shd w:val="clear" w:color="auto" w:fill="auto"/>
            <w:noWrap/>
            <w:vAlign w:val="center"/>
            <w:hideMark/>
          </w:tcPr>
          <w:p w14:paraId="3D010DB8"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1988</w:t>
            </w:r>
          </w:p>
        </w:tc>
        <w:tc>
          <w:tcPr>
            <w:tcW w:w="198" w:type="pct"/>
            <w:tcBorders>
              <w:top w:val="nil"/>
              <w:left w:val="nil"/>
              <w:bottom w:val="single" w:sz="4" w:space="0" w:color="auto"/>
              <w:right w:val="single" w:sz="4" w:space="0" w:color="auto"/>
            </w:tcBorders>
            <w:shd w:val="clear" w:color="auto" w:fill="auto"/>
            <w:noWrap/>
            <w:vAlign w:val="center"/>
            <w:hideMark/>
          </w:tcPr>
          <w:p w14:paraId="6C782F92" w14:textId="7686B161"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100,4</w:t>
            </w:r>
          </w:p>
        </w:tc>
        <w:tc>
          <w:tcPr>
            <w:tcW w:w="251" w:type="pct"/>
            <w:tcBorders>
              <w:top w:val="nil"/>
              <w:left w:val="nil"/>
              <w:bottom w:val="single" w:sz="4" w:space="0" w:color="auto"/>
              <w:right w:val="single" w:sz="4" w:space="0" w:color="auto"/>
            </w:tcBorders>
            <w:shd w:val="clear" w:color="auto" w:fill="auto"/>
            <w:noWrap/>
            <w:vAlign w:val="center"/>
            <w:hideMark/>
          </w:tcPr>
          <w:p w14:paraId="59C5EB2C" w14:textId="77777777" w:rsidR="00DE3C1C" w:rsidRPr="00DD5F1D" w:rsidRDefault="00DE3C1C" w:rsidP="00372068">
            <w:pPr>
              <w:spacing w:after="0" w:line="240" w:lineRule="auto"/>
              <w:ind w:left="-100"/>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8981630,9</w:t>
            </w:r>
          </w:p>
        </w:tc>
        <w:tc>
          <w:tcPr>
            <w:tcW w:w="186" w:type="pct"/>
            <w:tcBorders>
              <w:top w:val="nil"/>
              <w:left w:val="nil"/>
              <w:bottom w:val="single" w:sz="4" w:space="0" w:color="auto"/>
              <w:right w:val="single" w:sz="4" w:space="0" w:color="auto"/>
            </w:tcBorders>
            <w:shd w:val="clear" w:color="auto" w:fill="auto"/>
            <w:noWrap/>
            <w:vAlign w:val="center"/>
            <w:hideMark/>
          </w:tcPr>
          <w:p w14:paraId="18DBEFFF" w14:textId="6D8D54C3"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117,1</w:t>
            </w:r>
          </w:p>
        </w:tc>
        <w:tc>
          <w:tcPr>
            <w:tcW w:w="215" w:type="pct"/>
            <w:tcBorders>
              <w:top w:val="nil"/>
              <w:left w:val="nil"/>
              <w:bottom w:val="single" w:sz="4" w:space="0" w:color="auto"/>
              <w:right w:val="single" w:sz="4" w:space="0" w:color="auto"/>
            </w:tcBorders>
            <w:shd w:val="clear" w:color="auto" w:fill="auto"/>
            <w:noWrap/>
            <w:vAlign w:val="center"/>
            <w:hideMark/>
          </w:tcPr>
          <w:p w14:paraId="4892CA86" w14:textId="77777777" w:rsidR="00DE3C1C" w:rsidRPr="00DD5F1D" w:rsidRDefault="00DE3C1C" w:rsidP="001C4042">
            <w:pPr>
              <w:spacing w:after="0" w:line="240" w:lineRule="auto"/>
              <w:ind w:left="-206" w:right="-18"/>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2155572,7</w:t>
            </w:r>
          </w:p>
        </w:tc>
        <w:tc>
          <w:tcPr>
            <w:tcW w:w="185" w:type="pct"/>
            <w:tcBorders>
              <w:top w:val="nil"/>
              <w:left w:val="nil"/>
              <w:bottom w:val="single" w:sz="4" w:space="0" w:color="auto"/>
              <w:right w:val="single" w:sz="4" w:space="0" w:color="auto"/>
            </w:tcBorders>
            <w:shd w:val="clear" w:color="auto" w:fill="auto"/>
            <w:noWrap/>
            <w:vAlign w:val="center"/>
            <w:hideMark/>
          </w:tcPr>
          <w:p w14:paraId="42705C0F" w14:textId="780A4836"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117,1</w:t>
            </w:r>
          </w:p>
        </w:tc>
      </w:tr>
      <w:tr w:rsidR="00A854D1" w:rsidRPr="00DD5F1D" w14:paraId="6482FCA5" w14:textId="77777777" w:rsidTr="001C4042">
        <w:trPr>
          <w:cantSplit/>
          <w:trHeight w:val="863"/>
        </w:trPr>
        <w:tc>
          <w:tcPr>
            <w:tcW w:w="853" w:type="pct"/>
            <w:vMerge w:val="restart"/>
            <w:tcBorders>
              <w:top w:val="nil"/>
              <w:left w:val="single" w:sz="4" w:space="0" w:color="auto"/>
              <w:bottom w:val="single" w:sz="4" w:space="0" w:color="auto"/>
              <w:right w:val="single" w:sz="4" w:space="0" w:color="auto"/>
            </w:tcBorders>
            <w:shd w:val="clear" w:color="auto" w:fill="auto"/>
            <w:vAlign w:val="center"/>
            <w:hideMark/>
          </w:tcPr>
          <w:p w14:paraId="6E0CA976"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1.2. Angajatorul pentru persoanele angajate prin contract individual de muncă ori prin alte contracte în vederea executării de lucrări sau prestării de servicii, care activează în condiții speciale de muncă conform anexei nr. 2</w:t>
            </w:r>
          </w:p>
        </w:tc>
        <w:tc>
          <w:tcPr>
            <w:tcW w:w="691" w:type="pct"/>
            <w:tcBorders>
              <w:top w:val="nil"/>
              <w:left w:val="nil"/>
              <w:bottom w:val="single" w:sz="4" w:space="0" w:color="auto"/>
              <w:right w:val="single" w:sz="4" w:space="0" w:color="auto"/>
            </w:tcBorders>
            <w:shd w:val="clear" w:color="auto" w:fill="auto"/>
            <w:hideMark/>
          </w:tcPr>
          <w:p w14:paraId="76CDF57F"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39% la suma salariilor și recompenselor calculate lunar pentru toți angajații, pentru angajatorii autorităților/ instituțiilor bugetare și autorităților/ instituțiilor publice la autogestiune, cu excepția angajatorilor sectorului privat</w:t>
            </w:r>
          </w:p>
        </w:tc>
        <w:tc>
          <w:tcPr>
            <w:tcW w:w="310" w:type="pct"/>
            <w:tcBorders>
              <w:top w:val="nil"/>
              <w:left w:val="nil"/>
              <w:bottom w:val="single" w:sz="4" w:space="0" w:color="auto"/>
              <w:right w:val="single" w:sz="4" w:space="0" w:color="auto"/>
            </w:tcBorders>
            <w:shd w:val="clear" w:color="auto" w:fill="auto"/>
            <w:noWrap/>
            <w:vAlign w:val="center"/>
            <w:hideMark/>
          </w:tcPr>
          <w:p w14:paraId="25216AF0"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w:t>
            </w:r>
          </w:p>
        </w:tc>
        <w:tc>
          <w:tcPr>
            <w:tcW w:w="303" w:type="pct"/>
            <w:tcBorders>
              <w:top w:val="nil"/>
              <w:left w:val="nil"/>
              <w:bottom w:val="single" w:sz="4" w:space="0" w:color="auto"/>
              <w:right w:val="single" w:sz="4" w:space="0" w:color="auto"/>
            </w:tcBorders>
            <w:shd w:val="clear" w:color="auto" w:fill="auto"/>
            <w:noWrap/>
            <w:vAlign w:val="center"/>
            <w:hideMark/>
          </w:tcPr>
          <w:p w14:paraId="0E10476A"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764,40</w:t>
            </w:r>
          </w:p>
        </w:tc>
        <w:tc>
          <w:tcPr>
            <w:tcW w:w="301" w:type="pct"/>
            <w:tcBorders>
              <w:top w:val="nil"/>
              <w:left w:val="nil"/>
              <w:bottom w:val="single" w:sz="4" w:space="0" w:color="auto"/>
              <w:right w:val="single" w:sz="4" w:space="0" w:color="auto"/>
            </w:tcBorders>
            <w:shd w:val="clear" w:color="auto" w:fill="auto"/>
            <w:noWrap/>
            <w:vAlign w:val="center"/>
            <w:hideMark/>
          </w:tcPr>
          <w:p w14:paraId="21907943"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298,00</w:t>
            </w:r>
          </w:p>
        </w:tc>
        <w:tc>
          <w:tcPr>
            <w:tcW w:w="251" w:type="pct"/>
            <w:tcBorders>
              <w:top w:val="nil"/>
              <w:left w:val="nil"/>
              <w:bottom w:val="single" w:sz="4" w:space="0" w:color="auto"/>
              <w:right w:val="single" w:sz="4" w:space="0" w:color="auto"/>
            </w:tcBorders>
            <w:shd w:val="clear" w:color="auto" w:fill="auto"/>
            <w:noWrap/>
            <w:vAlign w:val="center"/>
            <w:hideMark/>
          </w:tcPr>
          <w:p w14:paraId="3E88CB51"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31,84</w:t>
            </w:r>
          </w:p>
        </w:tc>
        <w:tc>
          <w:tcPr>
            <w:tcW w:w="301" w:type="pct"/>
            <w:tcBorders>
              <w:top w:val="nil"/>
              <w:left w:val="nil"/>
              <w:bottom w:val="single" w:sz="4" w:space="0" w:color="auto"/>
              <w:right w:val="single" w:sz="4" w:space="0" w:color="auto"/>
            </w:tcBorders>
            <w:shd w:val="clear" w:color="auto" w:fill="auto"/>
            <w:noWrap/>
            <w:vAlign w:val="center"/>
            <w:hideMark/>
          </w:tcPr>
          <w:p w14:paraId="20ECC34F"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w:t>
            </w:r>
          </w:p>
        </w:tc>
        <w:tc>
          <w:tcPr>
            <w:tcW w:w="251" w:type="pct"/>
            <w:tcBorders>
              <w:top w:val="nil"/>
              <w:left w:val="nil"/>
              <w:bottom w:val="single" w:sz="4" w:space="0" w:color="auto"/>
              <w:right w:val="single" w:sz="4" w:space="0" w:color="auto"/>
            </w:tcBorders>
            <w:shd w:val="clear" w:color="auto" w:fill="auto"/>
            <w:noWrap/>
            <w:vAlign w:val="center"/>
            <w:hideMark/>
          </w:tcPr>
          <w:p w14:paraId="360D8238"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10,10</w:t>
            </w:r>
          </w:p>
        </w:tc>
        <w:tc>
          <w:tcPr>
            <w:tcW w:w="270" w:type="pct"/>
            <w:tcBorders>
              <w:top w:val="nil"/>
              <w:left w:val="nil"/>
              <w:bottom w:val="single" w:sz="4" w:space="0" w:color="auto"/>
              <w:right w:val="single" w:sz="4" w:space="0" w:color="auto"/>
            </w:tcBorders>
            <w:shd w:val="clear" w:color="auto" w:fill="auto"/>
            <w:noWrap/>
            <w:vAlign w:val="center"/>
            <w:hideMark/>
          </w:tcPr>
          <w:p w14:paraId="3F4973FD"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3,90</w:t>
            </w:r>
          </w:p>
        </w:tc>
        <w:tc>
          <w:tcPr>
            <w:tcW w:w="181" w:type="pct"/>
            <w:tcBorders>
              <w:top w:val="nil"/>
              <w:left w:val="nil"/>
              <w:bottom w:val="single" w:sz="4" w:space="0" w:color="auto"/>
              <w:right w:val="single" w:sz="4" w:space="0" w:color="auto"/>
            </w:tcBorders>
            <w:shd w:val="clear" w:color="auto" w:fill="auto"/>
            <w:noWrap/>
            <w:vAlign w:val="center"/>
            <w:hideMark/>
          </w:tcPr>
          <w:p w14:paraId="7FF37BFC"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0,83</w:t>
            </w:r>
          </w:p>
        </w:tc>
        <w:tc>
          <w:tcPr>
            <w:tcW w:w="253" w:type="pct"/>
            <w:tcBorders>
              <w:top w:val="nil"/>
              <w:left w:val="nil"/>
              <w:bottom w:val="single" w:sz="4" w:space="0" w:color="auto"/>
              <w:right w:val="single" w:sz="4" w:space="0" w:color="auto"/>
            </w:tcBorders>
            <w:shd w:val="clear" w:color="auto" w:fill="auto"/>
            <w:noWrap/>
            <w:vAlign w:val="center"/>
            <w:hideMark/>
          </w:tcPr>
          <w:p w14:paraId="3AE872E6"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w:t>
            </w:r>
          </w:p>
        </w:tc>
        <w:tc>
          <w:tcPr>
            <w:tcW w:w="198" w:type="pct"/>
            <w:tcBorders>
              <w:top w:val="nil"/>
              <w:left w:val="nil"/>
              <w:bottom w:val="single" w:sz="4" w:space="0" w:color="auto"/>
              <w:right w:val="single" w:sz="4" w:space="0" w:color="auto"/>
            </w:tcBorders>
            <w:shd w:val="clear" w:color="auto" w:fill="auto"/>
            <w:noWrap/>
            <w:vAlign w:val="center"/>
            <w:hideMark/>
          </w:tcPr>
          <w:p w14:paraId="028CC13E" w14:textId="3CFA0049"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50,0</w:t>
            </w:r>
          </w:p>
        </w:tc>
        <w:tc>
          <w:tcPr>
            <w:tcW w:w="251" w:type="pct"/>
            <w:tcBorders>
              <w:top w:val="nil"/>
              <w:left w:val="nil"/>
              <w:bottom w:val="single" w:sz="4" w:space="0" w:color="auto"/>
              <w:right w:val="single" w:sz="4" w:space="0" w:color="auto"/>
            </w:tcBorders>
            <w:shd w:val="clear" w:color="auto" w:fill="auto"/>
            <w:noWrap/>
            <w:vAlign w:val="center"/>
            <w:hideMark/>
          </w:tcPr>
          <w:p w14:paraId="6CDE1946"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-754,3</w:t>
            </w:r>
          </w:p>
        </w:tc>
        <w:tc>
          <w:tcPr>
            <w:tcW w:w="186" w:type="pct"/>
            <w:tcBorders>
              <w:top w:val="nil"/>
              <w:left w:val="nil"/>
              <w:bottom w:val="single" w:sz="4" w:space="0" w:color="auto"/>
              <w:right w:val="single" w:sz="4" w:space="0" w:color="auto"/>
            </w:tcBorders>
            <w:shd w:val="clear" w:color="auto" w:fill="auto"/>
            <w:noWrap/>
            <w:vAlign w:val="center"/>
            <w:hideMark/>
          </w:tcPr>
          <w:p w14:paraId="1F7C83A7" w14:textId="3C78079B"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1,32</w:t>
            </w:r>
          </w:p>
        </w:tc>
        <w:tc>
          <w:tcPr>
            <w:tcW w:w="215" w:type="pct"/>
            <w:tcBorders>
              <w:top w:val="nil"/>
              <w:left w:val="nil"/>
              <w:bottom w:val="single" w:sz="4" w:space="0" w:color="auto"/>
              <w:right w:val="single" w:sz="4" w:space="0" w:color="auto"/>
            </w:tcBorders>
            <w:shd w:val="clear" w:color="auto" w:fill="auto"/>
            <w:noWrap/>
            <w:vAlign w:val="center"/>
            <w:hideMark/>
          </w:tcPr>
          <w:p w14:paraId="06D35365"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-294,1</w:t>
            </w:r>
          </w:p>
        </w:tc>
        <w:tc>
          <w:tcPr>
            <w:tcW w:w="185" w:type="pct"/>
            <w:tcBorders>
              <w:top w:val="nil"/>
              <w:left w:val="nil"/>
              <w:bottom w:val="single" w:sz="4" w:space="0" w:color="auto"/>
              <w:right w:val="single" w:sz="4" w:space="0" w:color="auto"/>
            </w:tcBorders>
            <w:shd w:val="clear" w:color="auto" w:fill="auto"/>
            <w:noWrap/>
            <w:vAlign w:val="center"/>
            <w:hideMark/>
          </w:tcPr>
          <w:p w14:paraId="7433063B" w14:textId="051476D6"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1,31</w:t>
            </w:r>
          </w:p>
        </w:tc>
      </w:tr>
      <w:tr w:rsidR="00A854D1" w:rsidRPr="00DD5F1D" w14:paraId="061F0BAD" w14:textId="77777777" w:rsidTr="001C4042">
        <w:trPr>
          <w:cantSplit/>
          <w:trHeight w:val="451"/>
        </w:trPr>
        <w:tc>
          <w:tcPr>
            <w:tcW w:w="853" w:type="pct"/>
            <w:vMerge/>
            <w:tcBorders>
              <w:top w:val="nil"/>
              <w:left w:val="single" w:sz="4" w:space="0" w:color="auto"/>
              <w:bottom w:val="single" w:sz="4" w:space="0" w:color="auto"/>
              <w:right w:val="single" w:sz="4" w:space="0" w:color="auto"/>
            </w:tcBorders>
            <w:vAlign w:val="center"/>
            <w:hideMark/>
          </w:tcPr>
          <w:p w14:paraId="10231F7C"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p>
        </w:tc>
        <w:tc>
          <w:tcPr>
            <w:tcW w:w="691" w:type="pct"/>
            <w:tcBorders>
              <w:top w:val="nil"/>
              <w:left w:val="nil"/>
              <w:bottom w:val="single" w:sz="4" w:space="0" w:color="auto"/>
              <w:right w:val="single" w:sz="4" w:space="0" w:color="auto"/>
            </w:tcBorders>
            <w:shd w:val="clear" w:color="auto" w:fill="auto"/>
            <w:hideMark/>
          </w:tcPr>
          <w:p w14:paraId="2E7B8DD9"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32% la suma salariilor și recompenselor calculate lunar pentru toți angajații pentru angajatorii sectorului privat</w:t>
            </w:r>
          </w:p>
        </w:tc>
        <w:tc>
          <w:tcPr>
            <w:tcW w:w="310" w:type="pct"/>
            <w:tcBorders>
              <w:top w:val="nil"/>
              <w:left w:val="nil"/>
              <w:bottom w:val="single" w:sz="4" w:space="0" w:color="auto"/>
              <w:right w:val="single" w:sz="4" w:space="0" w:color="auto"/>
            </w:tcBorders>
            <w:shd w:val="clear" w:color="auto" w:fill="auto"/>
            <w:noWrap/>
            <w:vAlign w:val="center"/>
            <w:hideMark/>
          </w:tcPr>
          <w:p w14:paraId="598E3589"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607</w:t>
            </w:r>
          </w:p>
        </w:tc>
        <w:tc>
          <w:tcPr>
            <w:tcW w:w="303" w:type="pct"/>
            <w:tcBorders>
              <w:top w:val="nil"/>
              <w:left w:val="nil"/>
              <w:bottom w:val="single" w:sz="4" w:space="0" w:color="auto"/>
              <w:right w:val="single" w:sz="4" w:space="0" w:color="auto"/>
            </w:tcBorders>
            <w:shd w:val="clear" w:color="auto" w:fill="auto"/>
            <w:noWrap/>
            <w:vAlign w:val="center"/>
            <w:hideMark/>
          </w:tcPr>
          <w:p w14:paraId="3FA8A24F" w14:textId="4C48E18B"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244278,6</w:t>
            </w:r>
          </w:p>
        </w:tc>
        <w:tc>
          <w:tcPr>
            <w:tcW w:w="301" w:type="pct"/>
            <w:tcBorders>
              <w:top w:val="nil"/>
              <w:left w:val="nil"/>
              <w:bottom w:val="single" w:sz="4" w:space="0" w:color="auto"/>
              <w:right w:val="single" w:sz="4" w:space="0" w:color="auto"/>
            </w:tcBorders>
            <w:shd w:val="clear" w:color="auto" w:fill="auto"/>
            <w:noWrap/>
            <w:vAlign w:val="center"/>
            <w:hideMark/>
          </w:tcPr>
          <w:p w14:paraId="43678CDC" w14:textId="3B878C9C"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78169,7</w:t>
            </w:r>
          </w:p>
        </w:tc>
        <w:tc>
          <w:tcPr>
            <w:tcW w:w="251" w:type="pct"/>
            <w:tcBorders>
              <w:top w:val="nil"/>
              <w:left w:val="nil"/>
              <w:bottom w:val="single" w:sz="4" w:space="0" w:color="auto"/>
              <w:right w:val="single" w:sz="4" w:space="0" w:color="auto"/>
            </w:tcBorders>
            <w:shd w:val="clear" w:color="auto" w:fill="auto"/>
            <w:noWrap/>
            <w:vAlign w:val="center"/>
            <w:hideMark/>
          </w:tcPr>
          <w:p w14:paraId="7693BDCB"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33,54</w:t>
            </w:r>
          </w:p>
        </w:tc>
        <w:tc>
          <w:tcPr>
            <w:tcW w:w="301" w:type="pct"/>
            <w:tcBorders>
              <w:top w:val="nil"/>
              <w:left w:val="nil"/>
              <w:bottom w:val="single" w:sz="4" w:space="0" w:color="auto"/>
              <w:right w:val="single" w:sz="4" w:space="0" w:color="auto"/>
            </w:tcBorders>
            <w:shd w:val="clear" w:color="auto" w:fill="auto"/>
            <w:noWrap/>
            <w:vAlign w:val="center"/>
            <w:hideMark/>
          </w:tcPr>
          <w:p w14:paraId="1CE507D7"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495</w:t>
            </w:r>
          </w:p>
        </w:tc>
        <w:tc>
          <w:tcPr>
            <w:tcW w:w="251" w:type="pct"/>
            <w:tcBorders>
              <w:top w:val="nil"/>
              <w:left w:val="nil"/>
              <w:bottom w:val="single" w:sz="4" w:space="0" w:color="auto"/>
              <w:right w:val="single" w:sz="4" w:space="0" w:color="auto"/>
            </w:tcBorders>
            <w:shd w:val="clear" w:color="auto" w:fill="auto"/>
            <w:noWrap/>
            <w:vAlign w:val="center"/>
            <w:hideMark/>
          </w:tcPr>
          <w:p w14:paraId="196A7695" w14:textId="23EFBF55"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213358,5</w:t>
            </w:r>
          </w:p>
        </w:tc>
        <w:tc>
          <w:tcPr>
            <w:tcW w:w="270" w:type="pct"/>
            <w:tcBorders>
              <w:top w:val="nil"/>
              <w:left w:val="nil"/>
              <w:bottom w:val="single" w:sz="4" w:space="0" w:color="auto"/>
              <w:right w:val="single" w:sz="4" w:space="0" w:color="auto"/>
            </w:tcBorders>
            <w:shd w:val="clear" w:color="auto" w:fill="auto"/>
            <w:noWrap/>
            <w:vAlign w:val="center"/>
            <w:hideMark/>
          </w:tcPr>
          <w:p w14:paraId="245403CE" w14:textId="11AA33BA"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6</w:t>
            </w:r>
            <w:r w:rsidR="00BE444C" w:rsidRPr="00DD5F1D">
              <w:rPr>
                <w:rFonts w:ascii="Times New Roman" w:eastAsia="Times New Roman" w:hAnsi="Times New Roman" w:cs="Times New Roman"/>
                <w:sz w:val="12"/>
                <w:szCs w:val="16"/>
                <w:lang w:val="ro-MD"/>
              </w:rPr>
              <w:t>8274,7</w:t>
            </w:r>
          </w:p>
        </w:tc>
        <w:tc>
          <w:tcPr>
            <w:tcW w:w="181" w:type="pct"/>
            <w:tcBorders>
              <w:top w:val="nil"/>
              <w:left w:val="nil"/>
              <w:bottom w:val="single" w:sz="4" w:space="0" w:color="auto"/>
              <w:right w:val="single" w:sz="4" w:space="0" w:color="auto"/>
            </w:tcBorders>
            <w:shd w:val="clear" w:color="auto" w:fill="auto"/>
            <w:noWrap/>
            <w:vAlign w:val="center"/>
            <w:hideMark/>
          </w:tcPr>
          <w:p w14:paraId="4622A8DD" w14:textId="10C6DB3F"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35,9</w:t>
            </w:r>
          </w:p>
        </w:tc>
        <w:tc>
          <w:tcPr>
            <w:tcW w:w="253" w:type="pct"/>
            <w:tcBorders>
              <w:top w:val="nil"/>
              <w:left w:val="nil"/>
              <w:bottom w:val="single" w:sz="4" w:space="0" w:color="auto"/>
              <w:right w:val="single" w:sz="4" w:space="0" w:color="auto"/>
            </w:tcBorders>
            <w:shd w:val="clear" w:color="auto" w:fill="auto"/>
            <w:noWrap/>
            <w:vAlign w:val="center"/>
            <w:hideMark/>
          </w:tcPr>
          <w:p w14:paraId="3AB4F483"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-112</w:t>
            </w:r>
          </w:p>
        </w:tc>
        <w:tc>
          <w:tcPr>
            <w:tcW w:w="198" w:type="pct"/>
            <w:tcBorders>
              <w:top w:val="nil"/>
              <w:left w:val="nil"/>
              <w:bottom w:val="single" w:sz="4" w:space="0" w:color="auto"/>
              <w:right w:val="single" w:sz="4" w:space="0" w:color="auto"/>
            </w:tcBorders>
            <w:shd w:val="clear" w:color="auto" w:fill="auto"/>
            <w:noWrap/>
            <w:vAlign w:val="center"/>
            <w:hideMark/>
          </w:tcPr>
          <w:p w14:paraId="4B151158" w14:textId="7110E5CA"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81,6</w:t>
            </w:r>
          </w:p>
        </w:tc>
        <w:tc>
          <w:tcPr>
            <w:tcW w:w="251" w:type="pct"/>
            <w:tcBorders>
              <w:top w:val="nil"/>
              <w:left w:val="nil"/>
              <w:bottom w:val="single" w:sz="4" w:space="0" w:color="auto"/>
              <w:right w:val="single" w:sz="4" w:space="0" w:color="auto"/>
            </w:tcBorders>
            <w:shd w:val="clear" w:color="auto" w:fill="auto"/>
            <w:noWrap/>
            <w:vAlign w:val="center"/>
            <w:hideMark/>
          </w:tcPr>
          <w:p w14:paraId="024728F3"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-30920,1</w:t>
            </w:r>
          </w:p>
        </w:tc>
        <w:tc>
          <w:tcPr>
            <w:tcW w:w="186" w:type="pct"/>
            <w:tcBorders>
              <w:top w:val="nil"/>
              <w:left w:val="nil"/>
              <w:bottom w:val="single" w:sz="4" w:space="0" w:color="auto"/>
              <w:right w:val="single" w:sz="4" w:space="0" w:color="auto"/>
            </w:tcBorders>
            <w:shd w:val="clear" w:color="auto" w:fill="auto"/>
            <w:noWrap/>
            <w:vAlign w:val="center"/>
            <w:hideMark/>
          </w:tcPr>
          <w:p w14:paraId="7EFAACCB" w14:textId="3DFDB34F"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87,3</w:t>
            </w:r>
          </w:p>
        </w:tc>
        <w:tc>
          <w:tcPr>
            <w:tcW w:w="215" w:type="pct"/>
            <w:tcBorders>
              <w:top w:val="nil"/>
              <w:left w:val="nil"/>
              <w:bottom w:val="single" w:sz="4" w:space="0" w:color="auto"/>
              <w:right w:val="single" w:sz="4" w:space="0" w:color="auto"/>
            </w:tcBorders>
            <w:shd w:val="clear" w:color="auto" w:fill="auto"/>
            <w:noWrap/>
            <w:vAlign w:val="center"/>
            <w:hideMark/>
          </w:tcPr>
          <w:p w14:paraId="71C3E2A1"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-9895,0</w:t>
            </w:r>
          </w:p>
        </w:tc>
        <w:tc>
          <w:tcPr>
            <w:tcW w:w="185" w:type="pct"/>
            <w:tcBorders>
              <w:top w:val="nil"/>
              <w:left w:val="nil"/>
              <w:bottom w:val="single" w:sz="4" w:space="0" w:color="auto"/>
              <w:right w:val="single" w:sz="4" w:space="0" w:color="auto"/>
            </w:tcBorders>
            <w:shd w:val="clear" w:color="auto" w:fill="auto"/>
            <w:noWrap/>
            <w:vAlign w:val="center"/>
            <w:hideMark/>
          </w:tcPr>
          <w:p w14:paraId="02DA2737" w14:textId="0B18FF87"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87,3</w:t>
            </w:r>
          </w:p>
        </w:tc>
      </w:tr>
      <w:tr w:rsidR="00A854D1" w:rsidRPr="00DD5F1D" w14:paraId="73DC4785" w14:textId="77777777" w:rsidTr="001C4042">
        <w:trPr>
          <w:cantSplit/>
          <w:trHeight w:val="743"/>
        </w:trPr>
        <w:tc>
          <w:tcPr>
            <w:tcW w:w="853" w:type="pct"/>
            <w:tcBorders>
              <w:top w:val="nil"/>
              <w:left w:val="single" w:sz="4" w:space="0" w:color="auto"/>
              <w:bottom w:val="single" w:sz="4" w:space="0" w:color="auto"/>
              <w:right w:val="single" w:sz="4" w:space="0" w:color="auto"/>
            </w:tcBorders>
            <w:shd w:val="clear" w:color="auto" w:fill="auto"/>
            <w:hideMark/>
          </w:tcPr>
          <w:p w14:paraId="700FA325"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1.3. Persoanele care exercită independent profesiunea de medic în una dintre formele de organizare a activității profesionale prevăzute de Legea ocrotirii sănătății nr. 411/1995</w:t>
            </w:r>
          </w:p>
        </w:tc>
        <w:tc>
          <w:tcPr>
            <w:tcW w:w="691" w:type="pct"/>
            <w:tcBorders>
              <w:top w:val="nil"/>
              <w:left w:val="nil"/>
              <w:bottom w:val="single" w:sz="4" w:space="0" w:color="auto"/>
              <w:right w:val="single" w:sz="4" w:space="0" w:color="auto"/>
            </w:tcBorders>
            <w:shd w:val="clear" w:color="auto" w:fill="auto"/>
            <w:hideMark/>
          </w:tcPr>
          <w:p w14:paraId="22F2B539"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24% la venitul medicului de familie titular al practicii medicului de familie, determinat în conformitate cu prevederile legislației</w:t>
            </w:r>
          </w:p>
        </w:tc>
        <w:tc>
          <w:tcPr>
            <w:tcW w:w="310" w:type="pct"/>
            <w:tcBorders>
              <w:top w:val="nil"/>
              <w:left w:val="nil"/>
              <w:bottom w:val="single" w:sz="4" w:space="0" w:color="auto"/>
              <w:right w:val="single" w:sz="4" w:space="0" w:color="auto"/>
            </w:tcBorders>
            <w:shd w:val="clear" w:color="auto" w:fill="auto"/>
            <w:noWrap/>
            <w:vAlign w:val="center"/>
            <w:hideMark/>
          </w:tcPr>
          <w:p w14:paraId="0606EAC4"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39</w:t>
            </w:r>
          </w:p>
        </w:tc>
        <w:tc>
          <w:tcPr>
            <w:tcW w:w="303" w:type="pct"/>
            <w:tcBorders>
              <w:top w:val="nil"/>
              <w:left w:val="nil"/>
              <w:bottom w:val="single" w:sz="4" w:space="0" w:color="auto"/>
              <w:right w:val="single" w:sz="4" w:space="0" w:color="auto"/>
            </w:tcBorders>
            <w:shd w:val="clear" w:color="auto" w:fill="auto"/>
            <w:noWrap/>
            <w:vAlign w:val="center"/>
            <w:hideMark/>
          </w:tcPr>
          <w:p w14:paraId="52692144" w14:textId="55950AC5"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13</w:t>
            </w:r>
            <w:r w:rsidR="00BE444C" w:rsidRPr="00DD5F1D">
              <w:rPr>
                <w:rFonts w:ascii="Times New Roman" w:eastAsia="Times New Roman" w:hAnsi="Times New Roman" w:cs="Times New Roman"/>
                <w:sz w:val="12"/>
                <w:szCs w:val="16"/>
                <w:lang w:val="ro-MD"/>
              </w:rPr>
              <w:t>829,7</w:t>
            </w:r>
          </w:p>
        </w:tc>
        <w:tc>
          <w:tcPr>
            <w:tcW w:w="301" w:type="pct"/>
            <w:tcBorders>
              <w:top w:val="nil"/>
              <w:left w:val="nil"/>
              <w:bottom w:val="single" w:sz="4" w:space="0" w:color="auto"/>
              <w:right w:val="single" w:sz="4" w:space="0" w:color="auto"/>
            </w:tcBorders>
            <w:shd w:val="clear" w:color="auto" w:fill="auto"/>
            <w:noWrap/>
            <w:vAlign w:val="center"/>
            <w:hideMark/>
          </w:tcPr>
          <w:p w14:paraId="262E1328" w14:textId="3E84DCC1"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w:t>
            </w:r>
            <w:r w:rsidR="00BE444C" w:rsidRPr="00DD5F1D">
              <w:rPr>
                <w:rFonts w:ascii="Times New Roman" w:eastAsia="Times New Roman" w:hAnsi="Times New Roman" w:cs="Times New Roman"/>
                <w:sz w:val="12"/>
                <w:szCs w:val="16"/>
                <w:lang w:val="ro-MD"/>
              </w:rPr>
              <w:t>320,2</w:t>
            </w:r>
          </w:p>
        </w:tc>
        <w:tc>
          <w:tcPr>
            <w:tcW w:w="251" w:type="pct"/>
            <w:tcBorders>
              <w:top w:val="nil"/>
              <w:left w:val="nil"/>
              <w:bottom w:val="single" w:sz="4" w:space="0" w:color="auto"/>
              <w:right w:val="single" w:sz="4" w:space="0" w:color="auto"/>
            </w:tcBorders>
            <w:shd w:val="clear" w:color="auto" w:fill="auto"/>
            <w:noWrap/>
            <w:vAlign w:val="center"/>
            <w:hideMark/>
          </w:tcPr>
          <w:p w14:paraId="50A1BD1F" w14:textId="3314BE3B"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29,5</w:t>
            </w:r>
          </w:p>
        </w:tc>
        <w:tc>
          <w:tcPr>
            <w:tcW w:w="301" w:type="pct"/>
            <w:tcBorders>
              <w:top w:val="nil"/>
              <w:left w:val="nil"/>
              <w:bottom w:val="single" w:sz="4" w:space="0" w:color="auto"/>
              <w:right w:val="single" w:sz="4" w:space="0" w:color="auto"/>
            </w:tcBorders>
            <w:shd w:val="clear" w:color="auto" w:fill="auto"/>
            <w:noWrap/>
            <w:vAlign w:val="center"/>
            <w:hideMark/>
          </w:tcPr>
          <w:p w14:paraId="67E13510"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32</w:t>
            </w:r>
          </w:p>
        </w:tc>
        <w:tc>
          <w:tcPr>
            <w:tcW w:w="251" w:type="pct"/>
            <w:tcBorders>
              <w:top w:val="nil"/>
              <w:left w:val="nil"/>
              <w:bottom w:val="single" w:sz="4" w:space="0" w:color="auto"/>
              <w:right w:val="single" w:sz="4" w:space="0" w:color="auto"/>
            </w:tcBorders>
            <w:shd w:val="clear" w:color="auto" w:fill="auto"/>
            <w:noWrap/>
            <w:vAlign w:val="center"/>
            <w:hideMark/>
          </w:tcPr>
          <w:p w14:paraId="45BD88BE" w14:textId="03CE04E5"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15323,0</w:t>
            </w:r>
          </w:p>
        </w:tc>
        <w:tc>
          <w:tcPr>
            <w:tcW w:w="270" w:type="pct"/>
            <w:tcBorders>
              <w:top w:val="nil"/>
              <w:left w:val="nil"/>
              <w:bottom w:val="single" w:sz="4" w:space="0" w:color="auto"/>
              <w:right w:val="single" w:sz="4" w:space="0" w:color="auto"/>
            </w:tcBorders>
            <w:shd w:val="clear" w:color="auto" w:fill="auto"/>
            <w:noWrap/>
            <w:vAlign w:val="center"/>
            <w:hideMark/>
          </w:tcPr>
          <w:p w14:paraId="1333CA60" w14:textId="0F35A163"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3677,5</w:t>
            </w:r>
          </w:p>
        </w:tc>
        <w:tc>
          <w:tcPr>
            <w:tcW w:w="181" w:type="pct"/>
            <w:tcBorders>
              <w:top w:val="nil"/>
              <w:left w:val="nil"/>
              <w:bottom w:val="single" w:sz="4" w:space="0" w:color="auto"/>
              <w:right w:val="single" w:sz="4" w:space="0" w:color="auto"/>
            </w:tcBorders>
            <w:shd w:val="clear" w:color="auto" w:fill="auto"/>
            <w:noWrap/>
            <w:vAlign w:val="center"/>
            <w:hideMark/>
          </w:tcPr>
          <w:p w14:paraId="44E78730" w14:textId="41105A32"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39,9</w:t>
            </w:r>
          </w:p>
        </w:tc>
        <w:tc>
          <w:tcPr>
            <w:tcW w:w="253" w:type="pct"/>
            <w:tcBorders>
              <w:top w:val="nil"/>
              <w:left w:val="nil"/>
              <w:bottom w:val="single" w:sz="4" w:space="0" w:color="auto"/>
              <w:right w:val="single" w:sz="4" w:space="0" w:color="auto"/>
            </w:tcBorders>
            <w:shd w:val="clear" w:color="auto" w:fill="auto"/>
            <w:noWrap/>
            <w:vAlign w:val="center"/>
            <w:hideMark/>
          </w:tcPr>
          <w:p w14:paraId="013A0CC4"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-7</w:t>
            </w:r>
          </w:p>
        </w:tc>
        <w:tc>
          <w:tcPr>
            <w:tcW w:w="198" w:type="pct"/>
            <w:tcBorders>
              <w:top w:val="nil"/>
              <w:left w:val="nil"/>
              <w:bottom w:val="single" w:sz="4" w:space="0" w:color="auto"/>
              <w:right w:val="single" w:sz="4" w:space="0" w:color="auto"/>
            </w:tcBorders>
            <w:shd w:val="clear" w:color="auto" w:fill="auto"/>
            <w:noWrap/>
            <w:vAlign w:val="center"/>
            <w:hideMark/>
          </w:tcPr>
          <w:p w14:paraId="2B0863E4" w14:textId="45368360"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82,0</w:t>
            </w:r>
          </w:p>
        </w:tc>
        <w:tc>
          <w:tcPr>
            <w:tcW w:w="251" w:type="pct"/>
            <w:tcBorders>
              <w:top w:val="nil"/>
              <w:left w:val="nil"/>
              <w:bottom w:val="single" w:sz="4" w:space="0" w:color="auto"/>
              <w:right w:val="single" w:sz="4" w:space="0" w:color="auto"/>
            </w:tcBorders>
            <w:shd w:val="clear" w:color="auto" w:fill="auto"/>
            <w:noWrap/>
            <w:vAlign w:val="center"/>
            <w:hideMark/>
          </w:tcPr>
          <w:p w14:paraId="7BECED81"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1493,3</w:t>
            </w:r>
          </w:p>
        </w:tc>
        <w:tc>
          <w:tcPr>
            <w:tcW w:w="186" w:type="pct"/>
            <w:tcBorders>
              <w:top w:val="nil"/>
              <w:left w:val="nil"/>
              <w:bottom w:val="single" w:sz="4" w:space="0" w:color="auto"/>
              <w:right w:val="single" w:sz="4" w:space="0" w:color="auto"/>
            </w:tcBorders>
            <w:shd w:val="clear" w:color="auto" w:fill="auto"/>
            <w:noWrap/>
            <w:vAlign w:val="center"/>
            <w:hideMark/>
          </w:tcPr>
          <w:p w14:paraId="4B6064BD" w14:textId="16652564"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110,8</w:t>
            </w:r>
          </w:p>
        </w:tc>
        <w:tc>
          <w:tcPr>
            <w:tcW w:w="215" w:type="pct"/>
            <w:tcBorders>
              <w:top w:val="nil"/>
              <w:left w:val="nil"/>
              <w:bottom w:val="single" w:sz="4" w:space="0" w:color="auto"/>
              <w:right w:val="single" w:sz="4" w:space="0" w:color="auto"/>
            </w:tcBorders>
            <w:shd w:val="clear" w:color="auto" w:fill="auto"/>
            <w:noWrap/>
            <w:vAlign w:val="center"/>
            <w:hideMark/>
          </w:tcPr>
          <w:p w14:paraId="4C057410"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357,3</w:t>
            </w:r>
          </w:p>
        </w:tc>
        <w:tc>
          <w:tcPr>
            <w:tcW w:w="185" w:type="pct"/>
            <w:tcBorders>
              <w:top w:val="nil"/>
              <w:left w:val="nil"/>
              <w:bottom w:val="single" w:sz="4" w:space="0" w:color="auto"/>
              <w:right w:val="single" w:sz="4" w:space="0" w:color="auto"/>
            </w:tcBorders>
            <w:shd w:val="clear" w:color="auto" w:fill="auto"/>
            <w:noWrap/>
            <w:vAlign w:val="center"/>
            <w:hideMark/>
          </w:tcPr>
          <w:p w14:paraId="084255A5" w14:textId="165AB60E"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110,7</w:t>
            </w:r>
          </w:p>
        </w:tc>
      </w:tr>
      <w:tr w:rsidR="00A854D1" w:rsidRPr="00DD5F1D" w14:paraId="2C8B12A0" w14:textId="77777777" w:rsidTr="001C4042">
        <w:trPr>
          <w:cantSplit/>
          <w:trHeight w:val="558"/>
        </w:trPr>
        <w:tc>
          <w:tcPr>
            <w:tcW w:w="853" w:type="pct"/>
            <w:tcBorders>
              <w:top w:val="nil"/>
              <w:left w:val="single" w:sz="4" w:space="0" w:color="auto"/>
              <w:bottom w:val="single" w:sz="4" w:space="0" w:color="auto"/>
              <w:right w:val="single" w:sz="4" w:space="0" w:color="auto"/>
            </w:tcBorders>
            <w:shd w:val="clear" w:color="auto" w:fill="auto"/>
            <w:hideMark/>
          </w:tcPr>
          <w:p w14:paraId="64B0BC70"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1.4. Rezidenții parcurilor pentru tehnologia informației</w:t>
            </w:r>
          </w:p>
        </w:tc>
        <w:tc>
          <w:tcPr>
            <w:tcW w:w="691" w:type="pct"/>
            <w:tcBorders>
              <w:top w:val="nil"/>
              <w:left w:val="nil"/>
              <w:bottom w:val="single" w:sz="4" w:space="0" w:color="auto"/>
              <w:right w:val="single" w:sz="4" w:space="0" w:color="auto"/>
            </w:tcBorders>
            <w:shd w:val="clear" w:color="auto" w:fill="auto"/>
            <w:hideMark/>
          </w:tcPr>
          <w:p w14:paraId="6B3A1018"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În conformitate cu prevederile Legii nr. 77/2016 cu privire la parcurile pentru tehnologia informației</w:t>
            </w:r>
          </w:p>
        </w:tc>
        <w:tc>
          <w:tcPr>
            <w:tcW w:w="310" w:type="pct"/>
            <w:tcBorders>
              <w:top w:val="nil"/>
              <w:left w:val="nil"/>
              <w:bottom w:val="single" w:sz="4" w:space="0" w:color="auto"/>
              <w:right w:val="single" w:sz="4" w:space="0" w:color="auto"/>
            </w:tcBorders>
            <w:shd w:val="clear" w:color="auto" w:fill="auto"/>
            <w:noWrap/>
            <w:vAlign w:val="center"/>
            <w:hideMark/>
          </w:tcPr>
          <w:p w14:paraId="2BFE1501"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18072</w:t>
            </w:r>
          </w:p>
        </w:tc>
        <w:tc>
          <w:tcPr>
            <w:tcW w:w="303" w:type="pct"/>
            <w:tcBorders>
              <w:top w:val="nil"/>
              <w:left w:val="nil"/>
              <w:bottom w:val="single" w:sz="4" w:space="0" w:color="auto"/>
              <w:right w:val="single" w:sz="4" w:space="0" w:color="auto"/>
            </w:tcBorders>
            <w:shd w:val="clear" w:color="auto" w:fill="auto"/>
            <w:noWrap/>
            <w:vAlign w:val="center"/>
            <w:hideMark/>
          </w:tcPr>
          <w:p w14:paraId="4D78A27A"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301" w:type="pct"/>
            <w:tcBorders>
              <w:top w:val="nil"/>
              <w:left w:val="nil"/>
              <w:bottom w:val="single" w:sz="4" w:space="0" w:color="auto"/>
              <w:right w:val="single" w:sz="4" w:space="0" w:color="auto"/>
            </w:tcBorders>
            <w:shd w:val="clear" w:color="auto" w:fill="auto"/>
            <w:noWrap/>
            <w:vAlign w:val="center"/>
            <w:hideMark/>
          </w:tcPr>
          <w:p w14:paraId="27FDF75E" w14:textId="2A97D786"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432271,7</w:t>
            </w:r>
          </w:p>
        </w:tc>
        <w:tc>
          <w:tcPr>
            <w:tcW w:w="251" w:type="pct"/>
            <w:tcBorders>
              <w:top w:val="nil"/>
              <w:left w:val="nil"/>
              <w:bottom w:val="single" w:sz="4" w:space="0" w:color="auto"/>
              <w:right w:val="single" w:sz="4" w:space="0" w:color="auto"/>
            </w:tcBorders>
            <w:shd w:val="clear" w:color="auto" w:fill="auto"/>
            <w:noWrap/>
            <w:vAlign w:val="center"/>
            <w:hideMark/>
          </w:tcPr>
          <w:p w14:paraId="55078AD8"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8,31</w:t>
            </w:r>
          </w:p>
        </w:tc>
        <w:tc>
          <w:tcPr>
            <w:tcW w:w="301" w:type="pct"/>
            <w:tcBorders>
              <w:top w:val="nil"/>
              <w:left w:val="nil"/>
              <w:bottom w:val="single" w:sz="4" w:space="0" w:color="auto"/>
              <w:right w:val="single" w:sz="4" w:space="0" w:color="auto"/>
            </w:tcBorders>
            <w:shd w:val="clear" w:color="auto" w:fill="auto"/>
            <w:noWrap/>
            <w:vAlign w:val="center"/>
            <w:hideMark/>
          </w:tcPr>
          <w:p w14:paraId="1D665511"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20737</w:t>
            </w:r>
          </w:p>
        </w:tc>
        <w:tc>
          <w:tcPr>
            <w:tcW w:w="251" w:type="pct"/>
            <w:tcBorders>
              <w:top w:val="nil"/>
              <w:left w:val="nil"/>
              <w:bottom w:val="single" w:sz="4" w:space="0" w:color="auto"/>
              <w:right w:val="nil"/>
            </w:tcBorders>
            <w:shd w:val="clear" w:color="auto" w:fill="auto"/>
            <w:noWrap/>
            <w:vAlign w:val="center"/>
            <w:hideMark/>
          </w:tcPr>
          <w:p w14:paraId="79DA236C"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p>
        </w:tc>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08DD38E" w14:textId="2E3720B2"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555450,2</w:t>
            </w:r>
          </w:p>
        </w:tc>
        <w:tc>
          <w:tcPr>
            <w:tcW w:w="181" w:type="pct"/>
            <w:tcBorders>
              <w:top w:val="nil"/>
              <w:left w:val="nil"/>
              <w:bottom w:val="single" w:sz="4" w:space="0" w:color="auto"/>
              <w:right w:val="single" w:sz="4" w:space="0" w:color="auto"/>
            </w:tcBorders>
            <w:shd w:val="clear" w:color="auto" w:fill="auto"/>
            <w:noWrap/>
            <w:vAlign w:val="center"/>
            <w:hideMark/>
          </w:tcPr>
          <w:p w14:paraId="1BF9C907" w14:textId="09FBECA6"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9,3</w:t>
            </w:r>
          </w:p>
        </w:tc>
        <w:tc>
          <w:tcPr>
            <w:tcW w:w="253" w:type="pct"/>
            <w:tcBorders>
              <w:top w:val="nil"/>
              <w:left w:val="nil"/>
              <w:bottom w:val="single" w:sz="4" w:space="0" w:color="auto"/>
              <w:right w:val="single" w:sz="4" w:space="0" w:color="auto"/>
            </w:tcBorders>
            <w:shd w:val="clear" w:color="auto" w:fill="auto"/>
            <w:noWrap/>
            <w:vAlign w:val="center"/>
            <w:hideMark/>
          </w:tcPr>
          <w:p w14:paraId="58A1CE3C"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2665</w:t>
            </w:r>
          </w:p>
        </w:tc>
        <w:tc>
          <w:tcPr>
            <w:tcW w:w="198" w:type="pct"/>
            <w:tcBorders>
              <w:top w:val="nil"/>
              <w:left w:val="nil"/>
              <w:bottom w:val="single" w:sz="4" w:space="0" w:color="auto"/>
              <w:right w:val="single" w:sz="4" w:space="0" w:color="auto"/>
            </w:tcBorders>
            <w:shd w:val="clear" w:color="auto" w:fill="auto"/>
            <w:noWrap/>
            <w:vAlign w:val="center"/>
            <w:hideMark/>
          </w:tcPr>
          <w:p w14:paraId="5271B295" w14:textId="41886581"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114,7</w:t>
            </w:r>
          </w:p>
        </w:tc>
        <w:tc>
          <w:tcPr>
            <w:tcW w:w="251" w:type="pct"/>
            <w:tcBorders>
              <w:top w:val="nil"/>
              <w:left w:val="nil"/>
              <w:bottom w:val="single" w:sz="4" w:space="0" w:color="auto"/>
              <w:right w:val="single" w:sz="4" w:space="0" w:color="auto"/>
            </w:tcBorders>
            <w:shd w:val="clear" w:color="auto" w:fill="auto"/>
            <w:noWrap/>
            <w:vAlign w:val="center"/>
            <w:hideMark/>
          </w:tcPr>
          <w:p w14:paraId="6EDCCF59"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0,0</w:t>
            </w:r>
          </w:p>
        </w:tc>
        <w:tc>
          <w:tcPr>
            <w:tcW w:w="186" w:type="pct"/>
            <w:tcBorders>
              <w:top w:val="nil"/>
              <w:left w:val="nil"/>
              <w:bottom w:val="single" w:sz="4" w:space="0" w:color="auto"/>
              <w:right w:val="single" w:sz="4" w:space="0" w:color="auto"/>
            </w:tcBorders>
            <w:shd w:val="clear" w:color="auto" w:fill="auto"/>
            <w:noWrap/>
            <w:vAlign w:val="center"/>
            <w:hideMark/>
          </w:tcPr>
          <w:p w14:paraId="280B85A4" w14:textId="66D286C6"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p>
        </w:tc>
        <w:tc>
          <w:tcPr>
            <w:tcW w:w="215" w:type="pct"/>
            <w:tcBorders>
              <w:top w:val="nil"/>
              <w:left w:val="nil"/>
              <w:bottom w:val="single" w:sz="4" w:space="0" w:color="auto"/>
              <w:right w:val="single" w:sz="4" w:space="0" w:color="auto"/>
            </w:tcBorders>
            <w:shd w:val="clear" w:color="auto" w:fill="auto"/>
            <w:noWrap/>
            <w:vAlign w:val="center"/>
            <w:hideMark/>
          </w:tcPr>
          <w:p w14:paraId="5D12A53D" w14:textId="77777777" w:rsidR="00DE3C1C" w:rsidRPr="00DD5F1D" w:rsidRDefault="00DE3C1C" w:rsidP="00372068">
            <w:pPr>
              <w:spacing w:after="0" w:line="240" w:lineRule="auto"/>
              <w:ind w:left="-65" w:right="-27"/>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123178,5</w:t>
            </w:r>
          </w:p>
        </w:tc>
        <w:tc>
          <w:tcPr>
            <w:tcW w:w="185" w:type="pct"/>
            <w:tcBorders>
              <w:top w:val="nil"/>
              <w:left w:val="nil"/>
              <w:bottom w:val="single" w:sz="4" w:space="0" w:color="auto"/>
              <w:right w:val="single" w:sz="4" w:space="0" w:color="auto"/>
            </w:tcBorders>
            <w:shd w:val="clear" w:color="auto" w:fill="auto"/>
            <w:noWrap/>
            <w:vAlign w:val="center"/>
            <w:hideMark/>
          </w:tcPr>
          <w:p w14:paraId="2F5A0BFF" w14:textId="3192F83F" w:rsidR="00DE3C1C" w:rsidRPr="00DD5F1D" w:rsidRDefault="00BE444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128,5</w:t>
            </w:r>
          </w:p>
        </w:tc>
      </w:tr>
      <w:tr w:rsidR="00A854D1" w:rsidRPr="00DD5F1D" w14:paraId="0A489A40" w14:textId="77777777" w:rsidTr="001C4042">
        <w:trPr>
          <w:cantSplit/>
          <w:trHeight w:val="1275"/>
        </w:trPr>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6478F"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1.5. Angajatorii din agricultură (persoane fizice și juridice) care practică în decursul perioadei de gestiune nu mai puțin de 95% din activitățile stipulate în grupele 01.1–01.6 din Clasificatorul activităților din economia Moldovei pentru persoanele angajate prin contract individual de muncă ori prin alte contracte în vederea executării de lucrări sau prestării de servicii:</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42511" w14:textId="1EF8B326"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24% la suma salariilor și recompenselor calculate lunar pentru toți angajații               18% la suma salariilor și recompenselor calculate lu</w:t>
            </w:r>
            <w:r w:rsidR="00337CC2" w:rsidRPr="00DD5F1D">
              <w:rPr>
                <w:rFonts w:ascii="Times New Roman" w:eastAsia="Times New Roman" w:hAnsi="Times New Roman" w:cs="Times New Roman"/>
                <w:sz w:val="12"/>
                <w:szCs w:val="16"/>
                <w:lang w:val="ro-MD"/>
              </w:rPr>
              <w:t xml:space="preserve">nar pentru toți angajații  - din </w:t>
            </w:r>
            <w:r w:rsidRPr="00DD5F1D">
              <w:rPr>
                <w:rFonts w:ascii="Times New Roman" w:eastAsia="Times New Roman" w:hAnsi="Times New Roman" w:cs="Times New Roman"/>
                <w:sz w:val="12"/>
                <w:szCs w:val="16"/>
                <w:lang w:val="ro-MD"/>
              </w:rPr>
              <w:t>mijloacele angajatorului                         6% la suma salariilor și recompenselor calculate lunar pentru toți angajații - de la bugetul de stat</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6EBBD"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22344</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E9EC2" w14:textId="3A090423"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1446843,3</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D3DF0" w14:textId="688F4E66"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347250,9</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E247"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5,40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7936"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23306</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E808" w14:textId="305DDE31" w:rsidR="00DE3C1C" w:rsidRPr="00DD5F1D" w:rsidRDefault="00337CC2" w:rsidP="00A854D1">
            <w:pPr>
              <w:spacing w:after="0" w:line="240" w:lineRule="auto"/>
              <w:ind w:left="-107"/>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w:t>
            </w:r>
            <w:r w:rsidR="00DE3C1C" w:rsidRPr="00DD5F1D">
              <w:rPr>
                <w:rFonts w:ascii="Times New Roman" w:eastAsia="Times New Roman" w:hAnsi="Times New Roman" w:cs="Times New Roman"/>
                <w:sz w:val="12"/>
                <w:szCs w:val="16"/>
                <w:lang w:val="ro-MD"/>
              </w:rPr>
              <w:t>5</w:t>
            </w:r>
            <w:r w:rsidRPr="00DD5F1D">
              <w:rPr>
                <w:rFonts w:ascii="Times New Roman" w:eastAsia="Times New Roman" w:hAnsi="Times New Roman" w:cs="Times New Roman"/>
                <w:sz w:val="12"/>
                <w:szCs w:val="16"/>
                <w:lang w:val="ro-MD"/>
              </w:rPr>
              <w:t>78826,9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E4575" w14:textId="6AC33FB5"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378918,4</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B8F71" w14:textId="09C07BD2"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5,6</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B84A"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962</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CF1B6" w14:textId="0DECA3D2"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104,3</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18C22"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131983,6</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9FD52" w14:textId="6FB0077C"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109,1</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80E20" w14:textId="77777777" w:rsidR="00DE3C1C" w:rsidRPr="00DD5F1D" w:rsidRDefault="00DE3C1C" w:rsidP="00372068">
            <w:pPr>
              <w:spacing w:after="0" w:line="240" w:lineRule="auto"/>
              <w:ind w:left="-206"/>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31667,5</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2CB93" w14:textId="64430AAF"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109,1</w:t>
            </w:r>
          </w:p>
        </w:tc>
      </w:tr>
      <w:tr w:rsidR="00A854D1" w:rsidRPr="00DD5F1D" w14:paraId="792FB531" w14:textId="77777777" w:rsidTr="001C4042">
        <w:trPr>
          <w:cantSplit/>
          <w:trHeight w:val="569"/>
        </w:trPr>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2468B" w14:textId="2C7F412A"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xml:space="preserve">1.6. Persoanele fizice, cu excepția pensionarilor, persoanelor cu dizabilități, precum și a persoanelor care se încadrează în categoriile de plătitori prevăzute la pct. 1.1–1.5, care se regăsesc în una dintre situațiile: – fondatori ai întreprinderilor individuale, inclusiv fondatori ai gospodăriilor țărănești (de fermier); – persoane fizice care desfășoară activități independente în domeniul comerțului cu amănuntul, cu excepția comerțului cu mărfuri supuse accizelor; – persoanele fizice care exercită </w:t>
            </w:r>
            <w:r w:rsidR="00A854D1" w:rsidRPr="00DD5F1D">
              <w:rPr>
                <w:rFonts w:ascii="Times New Roman" w:eastAsia="Times New Roman" w:hAnsi="Times New Roman" w:cs="Times New Roman"/>
                <w:sz w:val="12"/>
                <w:szCs w:val="16"/>
                <w:lang w:val="ro-MD"/>
              </w:rPr>
              <w:t>activități</w:t>
            </w:r>
            <w:r w:rsidRPr="00DD5F1D">
              <w:rPr>
                <w:rFonts w:ascii="Times New Roman" w:eastAsia="Times New Roman" w:hAnsi="Times New Roman" w:cs="Times New Roman"/>
                <w:sz w:val="12"/>
                <w:szCs w:val="16"/>
                <w:lang w:val="ro-MD"/>
              </w:rPr>
              <w:t xml:space="preserve"> în domeniul achizițiilor de produse din fitotehnie și/sau horticultură și/sau de obiecte ale regnului vegetal</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55690C4D"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Taxă fixă în conformitate cu legea bugetului asigurărilor sociale de stat anuală- 14700 lei</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60D701F1"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13534</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33726AA5"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47720B97" w14:textId="3AFA4FB3"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79</w:t>
            </w:r>
            <w:r w:rsidR="00337CC2" w:rsidRPr="00DD5F1D">
              <w:rPr>
                <w:rFonts w:ascii="Times New Roman" w:eastAsia="Times New Roman" w:hAnsi="Times New Roman" w:cs="Times New Roman"/>
                <w:sz w:val="12"/>
                <w:szCs w:val="16"/>
                <w:lang w:val="ro-MD"/>
              </w:rPr>
              <w:t>616,5</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14:paraId="7D337CEA" w14:textId="730DE423"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w:t>
            </w:r>
            <w:r w:rsidR="00337CC2" w:rsidRPr="00DD5F1D">
              <w:rPr>
                <w:rFonts w:ascii="Times New Roman" w:eastAsia="Times New Roman" w:hAnsi="Times New Roman" w:cs="Times New Roman"/>
                <w:sz w:val="12"/>
                <w:szCs w:val="16"/>
                <w:lang w:val="ro-MD"/>
              </w:rPr>
              <w:t>,0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3B4C0DC7"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12923</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14:paraId="6FB94D01"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14:paraId="32CC04AB" w14:textId="1156CE3F"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105504,2</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57DBDDC6" w14:textId="6F7B58FD"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2,8</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28D7E3FA"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-611</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7D51A8A3" w14:textId="76C48E08"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95,5</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14:paraId="40BF659C"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0,0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14:paraId="09A9D6D6" w14:textId="64F31120"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53A375F4" w14:textId="77777777" w:rsidR="00DE3C1C" w:rsidRPr="00DD5F1D" w:rsidRDefault="00DE3C1C" w:rsidP="00A854D1">
            <w:pPr>
              <w:spacing w:after="0" w:line="240" w:lineRule="auto"/>
              <w:ind w:left="-65"/>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25887,7</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14:paraId="40F103E8" w14:textId="02761043"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132,5</w:t>
            </w:r>
          </w:p>
        </w:tc>
      </w:tr>
      <w:tr w:rsidR="00A854D1" w:rsidRPr="00DD5F1D" w14:paraId="0D0292ED" w14:textId="77777777" w:rsidTr="001C4042">
        <w:trPr>
          <w:cantSplit/>
          <w:trHeight w:val="735"/>
        </w:trPr>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717CE" w14:textId="795C6074"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1.6</w:t>
            </w:r>
            <w:r w:rsidRPr="00DD5F1D">
              <w:rPr>
                <w:rFonts w:ascii="Times New Roman" w:eastAsia="Times New Roman" w:hAnsi="Times New Roman" w:cs="Times New Roman"/>
                <w:sz w:val="12"/>
                <w:szCs w:val="16"/>
                <w:vertAlign w:val="superscript"/>
                <w:lang w:val="ro-MD"/>
              </w:rPr>
              <w:t>1</w:t>
            </w:r>
            <w:r w:rsidRPr="00DD5F1D">
              <w:rPr>
                <w:rFonts w:ascii="Times New Roman" w:eastAsia="Times New Roman" w:hAnsi="Times New Roman" w:cs="Times New Roman"/>
                <w:sz w:val="12"/>
                <w:szCs w:val="16"/>
                <w:lang w:val="ro-MD"/>
              </w:rPr>
              <w:t>. Liber-</w:t>
            </w:r>
            <w:r w:rsidR="00A854D1" w:rsidRPr="00DD5F1D">
              <w:rPr>
                <w:rFonts w:ascii="Times New Roman" w:eastAsia="Times New Roman" w:hAnsi="Times New Roman" w:cs="Times New Roman"/>
                <w:sz w:val="12"/>
                <w:szCs w:val="16"/>
                <w:lang w:val="ro-MD"/>
              </w:rPr>
              <w:t>profesioniștii</w:t>
            </w:r>
            <w:r w:rsidRPr="00DD5F1D">
              <w:rPr>
                <w:rFonts w:ascii="Times New Roman" w:eastAsia="Times New Roman" w:hAnsi="Times New Roman" w:cs="Times New Roman"/>
                <w:sz w:val="12"/>
                <w:szCs w:val="16"/>
                <w:lang w:val="ro-MD"/>
              </w:rPr>
              <w:t xml:space="preserve"> ce practică activitate în sectorul </w:t>
            </w:r>
            <w:r w:rsidR="00A854D1" w:rsidRPr="00DD5F1D">
              <w:rPr>
                <w:rFonts w:ascii="Times New Roman" w:eastAsia="Times New Roman" w:hAnsi="Times New Roman" w:cs="Times New Roman"/>
                <w:sz w:val="12"/>
                <w:szCs w:val="16"/>
                <w:lang w:val="ro-MD"/>
              </w:rPr>
              <w:t>justiției</w:t>
            </w:r>
            <w:r w:rsidRPr="00DD5F1D">
              <w:rPr>
                <w:rFonts w:ascii="Times New Roman" w:eastAsia="Times New Roman" w:hAnsi="Times New Roman" w:cs="Times New Roman"/>
                <w:sz w:val="12"/>
                <w:szCs w:val="16"/>
                <w:lang w:val="ro-MD"/>
              </w:rPr>
              <w:t xml:space="preserve">, cu </w:t>
            </w:r>
            <w:r w:rsidR="00A854D1" w:rsidRPr="00DD5F1D">
              <w:rPr>
                <w:rFonts w:ascii="Times New Roman" w:eastAsia="Times New Roman" w:hAnsi="Times New Roman" w:cs="Times New Roman"/>
                <w:sz w:val="12"/>
                <w:szCs w:val="16"/>
                <w:lang w:val="ro-MD"/>
              </w:rPr>
              <w:t>excepția</w:t>
            </w:r>
            <w:r w:rsidRPr="00DD5F1D">
              <w:rPr>
                <w:rFonts w:ascii="Times New Roman" w:eastAsia="Times New Roman" w:hAnsi="Times New Roman" w:cs="Times New Roman"/>
                <w:sz w:val="12"/>
                <w:szCs w:val="16"/>
                <w:lang w:val="ro-MD"/>
              </w:rPr>
              <w:t xml:space="preserve"> pensionarilor, persoanelor cu dizabilități, precum și a persoanelor care se încadrează în categoriile de plătitori prevăzute la pct. 1.1–1.6</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90F2D"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Taxa fixă în conformitate cu legea bugetului asigurărilor sociale de stat anuală 27772 lei în anul 2023</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57FCD"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1587</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489C8"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67AE0" w14:textId="66634258"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34954,1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A637" w14:textId="4DB5B2FB"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7,6</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9405B"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1547</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6BB9F"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8B76D" w14:textId="3FBBE4E7"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38</w:t>
            </w:r>
            <w:r w:rsidR="00DE3C1C" w:rsidRPr="00DD5F1D">
              <w:rPr>
                <w:rFonts w:ascii="Times New Roman" w:eastAsia="Times New Roman" w:hAnsi="Times New Roman" w:cs="Times New Roman"/>
                <w:sz w:val="12"/>
                <w:szCs w:val="16"/>
                <w:lang w:val="ro-MD"/>
              </w:rPr>
              <w:t>635</w:t>
            </w:r>
            <w:r w:rsidRPr="00DD5F1D">
              <w:rPr>
                <w:rFonts w:ascii="Times New Roman" w:eastAsia="Times New Roman" w:hAnsi="Times New Roman" w:cs="Times New Roman"/>
                <w:sz w:val="12"/>
                <w:szCs w:val="16"/>
                <w:lang w:val="ro-MD"/>
              </w:rPr>
              <w:t>,2</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1A353" w14:textId="6B76F145"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8,6</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348A6"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-40</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6C334" w14:textId="687DEF13"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97,5</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6387"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0,0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61060" w14:textId="78F43741"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F2703"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3681,1</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8CE8" w14:textId="1D23DEFF" w:rsidR="00DE3C1C" w:rsidRPr="00DD5F1D" w:rsidRDefault="00337CC2"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110,5</w:t>
            </w:r>
          </w:p>
        </w:tc>
      </w:tr>
      <w:tr w:rsidR="00A854D1" w:rsidRPr="00DD5F1D" w14:paraId="23585C97" w14:textId="77777777" w:rsidTr="001C4042">
        <w:trPr>
          <w:cantSplit/>
          <w:trHeight w:val="745"/>
        </w:trPr>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B3E21"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1.7. Titularii patentei de întreprinzător, cu excepția pensionarilor, persoanelor cu dizabilități, precum și a persoanelor care se încadrează în categoriile de plătitori prevăzute la pct. 1.1–1.6</w:t>
            </w:r>
            <w:r w:rsidRPr="00DD5F1D">
              <w:rPr>
                <w:rFonts w:ascii="Times New Roman" w:eastAsia="Times New Roman" w:hAnsi="Times New Roman" w:cs="Times New Roman"/>
                <w:sz w:val="12"/>
                <w:szCs w:val="16"/>
                <w:vertAlign w:val="superscript"/>
                <w:lang w:val="ro-MD"/>
              </w:rPr>
              <w:t>1</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2E1B3C06"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Taxă fixă în conformitate cu legea bugetului asigurărilor sociale de stat anuală, dar nu mai puțin de 1/12 din această sumă lunar, în funcție de durata activității desfășurate pe bază de patentă - 14700 lei anual</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3E399866"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4719</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4298587F"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6987D900" w14:textId="7250242E"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39485,6</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14:paraId="1B9CBF2D" w14:textId="6B49C4BA"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2,9</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675EE395"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6246</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14:paraId="3E4DBAD9"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14:paraId="4705EA01" w14:textId="66D4E21A"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47</w:t>
            </w:r>
            <w:r w:rsidR="00DE3C1C" w:rsidRPr="00DD5F1D">
              <w:rPr>
                <w:rFonts w:ascii="Times New Roman" w:eastAsia="Times New Roman" w:hAnsi="Times New Roman" w:cs="Times New Roman"/>
                <w:sz w:val="12"/>
                <w:szCs w:val="16"/>
                <w:lang w:val="ro-MD"/>
              </w:rPr>
              <w:t>034,4</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8EEF3AA" w14:textId="18C2DED3"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2,6</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1206AFA8"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1527</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258D6CEA" w14:textId="0725886D"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132,3</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14:paraId="3D981F48"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0,0</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0FF4D192" w14:textId="4BF8BCA3"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3E187B4C"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7548,8</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14:paraId="4C3EE15C" w14:textId="4546950C"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119,1</w:t>
            </w:r>
          </w:p>
        </w:tc>
      </w:tr>
      <w:tr w:rsidR="00A854D1" w:rsidRPr="00DD5F1D" w14:paraId="7825FC76" w14:textId="77777777" w:rsidTr="001C4042">
        <w:trPr>
          <w:cantSplit/>
          <w:trHeight w:val="332"/>
        </w:trPr>
        <w:tc>
          <w:tcPr>
            <w:tcW w:w="853" w:type="pct"/>
            <w:tcBorders>
              <w:top w:val="nil"/>
              <w:left w:val="single" w:sz="4" w:space="0" w:color="auto"/>
              <w:bottom w:val="single" w:sz="4" w:space="0" w:color="auto"/>
              <w:right w:val="single" w:sz="4" w:space="0" w:color="auto"/>
            </w:tcBorders>
            <w:shd w:val="clear" w:color="auto" w:fill="auto"/>
            <w:vAlign w:val="center"/>
            <w:hideMark/>
          </w:tcPr>
          <w:p w14:paraId="0FE4E25A"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1.8. Angajatorul din domeniul transportului rutier de persoane în regim de taxi – pentru persoanele angajate prin contract individual de muncă care efectuează transport rutier de persoane în regim de taxi</w:t>
            </w:r>
          </w:p>
        </w:tc>
        <w:tc>
          <w:tcPr>
            <w:tcW w:w="691" w:type="pct"/>
            <w:tcBorders>
              <w:top w:val="nil"/>
              <w:left w:val="nil"/>
              <w:bottom w:val="single" w:sz="4" w:space="0" w:color="auto"/>
              <w:right w:val="single" w:sz="4" w:space="0" w:color="auto"/>
            </w:tcBorders>
            <w:shd w:val="clear" w:color="auto" w:fill="auto"/>
            <w:vAlign w:val="center"/>
            <w:hideMark/>
          </w:tcPr>
          <w:p w14:paraId="5ACC53D6"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Taxă fixă în conformitate cu legea bugetului asigurărilor sociale de stat anuală -14700 lei</w:t>
            </w:r>
          </w:p>
        </w:tc>
        <w:tc>
          <w:tcPr>
            <w:tcW w:w="310" w:type="pct"/>
            <w:tcBorders>
              <w:top w:val="nil"/>
              <w:left w:val="nil"/>
              <w:bottom w:val="single" w:sz="4" w:space="0" w:color="auto"/>
              <w:right w:val="single" w:sz="4" w:space="0" w:color="auto"/>
            </w:tcBorders>
            <w:shd w:val="clear" w:color="auto" w:fill="auto"/>
            <w:noWrap/>
            <w:vAlign w:val="center"/>
            <w:hideMark/>
          </w:tcPr>
          <w:p w14:paraId="4586D6F6"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3077</w:t>
            </w:r>
          </w:p>
        </w:tc>
        <w:tc>
          <w:tcPr>
            <w:tcW w:w="303" w:type="pct"/>
            <w:tcBorders>
              <w:top w:val="nil"/>
              <w:left w:val="nil"/>
              <w:bottom w:val="single" w:sz="4" w:space="0" w:color="auto"/>
              <w:right w:val="single" w:sz="4" w:space="0" w:color="auto"/>
            </w:tcBorders>
            <w:shd w:val="clear" w:color="auto" w:fill="auto"/>
            <w:noWrap/>
            <w:vAlign w:val="center"/>
            <w:hideMark/>
          </w:tcPr>
          <w:p w14:paraId="60F17A73"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301" w:type="pct"/>
            <w:tcBorders>
              <w:top w:val="nil"/>
              <w:left w:val="nil"/>
              <w:bottom w:val="single" w:sz="4" w:space="0" w:color="auto"/>
              <w:right w:val="single" w:sz="4" w:space="0" w:color="auto"/>
            </w:tcBorders>
            <w:shd w:val="clear" w:color="auto" w:fill="auto"/>
            <w:noWrap/>
            <w:vAlign w:val="center"/>
            <w:hideMark/>
          </w:tcPr>
          <w:p w14:paraId="2AF37AE0" w14:textId="50578AD2"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35131,0</w:t>
            </w:r>
          </w:p>
        </w:tc>
        <w:tc>
          <w:tcPr>
            <w:tcW w:w="251" w:type="pct"/>
            <w:tcBorders>
              <w:top w:val="nil"/>
              <w:left w:val="nil"/>
              <w:bottom w:val="single" w:sz="4" w:space="0" w:color="auto"/>
              <w:right w:val="single" w:sz="4" w:space="0" w:color="auto"/>
            </w:tcBorders>
            <w:shd w:val="clear" w:color="auto" w:fill="auto"/>
            <w:noWrap/>
            <w:vAlign w:val="center"/>
            <w:hideMark/>
          </w:tcPr>
          <w:p w14:paraId="59BDA8D5" w14:textId="158A58C3"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3,9</w:t>
            </w:r>
          </w:p>
        </w:tc>
        <w:tc>
          <w:tcPr>
            <w:tcW w:w="301" w:type="pct"/>
            <w:tcBorders>
              <w:top w:val="nil"/>
              <w:left w:val="nil"/>
              <w:bottom w:val="single" w:sz="4" w:space="0" w:color="auto"/>
              <w:right w:val="single" w:sz="4" w:space="0" w:color="auto"/>
            </w:tcBorders>
            <w:shd w:val="clear" w:color="auto" w:fill="auto"/>
            <w:noWrap/>
            <w:vAlign w:val="center"/>
            <w:hideMark/>
          </w:tcPr>
          <w:p w14:paraId="5C02DBD4"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2888</w:t>
            </w:r>
          </w:p>
        </w:tc>
        <w:tc>
          <w:tcPr>
            <w:tcW w:w="251" w:type="pct"/>
            <w:tcBorders>
              <w:top w:val="nil"/>
              <w:left w:val="nil"/>
              <w:bottom w:val="single" w:sz="4" w:space="0" w:color="auto"/>
              <w:right w:val="single" w:sz="4" w:space="0" w:color="auto"/>
            </w:tcBorders>
            <w:shd w:val="clear" w:color="auto" w:fill="auto"/>
            <w:noWrap/>
            <w:vAlign w:val="center"/>
            <w:hideMark/>
          </w:tcPr>
          <w:p w14:paraId="74B835CB"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270" w:type="pct"/>
            <w:tcBorders>
              <w:top w:val="nil"/>
              <w:left w:val="nil"/>
              <w:bottom w:val="single" w:sz="4" w:space="0" w:color="auto"/>
              <w:right w:val="single" w:sz="4" w:space="0" w:color="auto"/>
            </w:tcBorders>
            <w:shd w:val="clear" w:color="auto" w:fill="auto"/>
            <w:noWrap/>
            <w:vAlign w:val="center"/>
            <w:hideMark/>
          </w:tcPr>
          <w:p w14:paraId="59F4AE85" w14:textId="66A10FD7"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40700,8</w:t>
            </w:r>
          </w:p>
        </w:tc>
        <w:tc>
          <w:tcPr>
            <w:tcW w:w="181" w:type="pct"/>
            <w:tcBorders>
              <w:top w:val="nil"/>
              <w:left w:val="nil"/>
              <w:bottom w:val="single" w:sz="4" w:space="0" w:color="auto"/>
              <w:right w:val="single" w:sz="4" w:space="0" w:color="auto"/>
            </w:tcBorders>
            <w:shd w:val="clear" w:color="auto" w:fill="auto"/>
            <w:noWrap/>
            <w:vAlign w:val="center"/>
            <w:hideMark/>
          </w:tcPr>
          <w:p w14:paraId="1AD8153C" w14:textId="2A0E2907"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4,8</w:t>
            </w:r>
          </w:p>
        </w:tc>
        <w:tc>
          <w:tcPr>
            <w:tcW w:w="253" w:type="pct"/>
            <w:tcBorders>
              <w:top w:val="nil"/>
              <w:left w:val="nil"/>
              <w:bottom w:val="single" w:sz="4" w:space="0" w:color="auto"/>
              <w:right w:val="single" w:sz="4" w:space="0" w:color="auto"/>
            </w:tcBorders>
            <w:shd w:val="clear" w:color="auto" w:fill="auto"/>
            <w:noWrap/>
            <w:vAlign w:val="center"/>
            <w:hideMark/>
          </w:tcPr>
          <w:p w14:paraId="6EB36E5E"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-189</w:t>
            </w:r>
          </w:p>
        </w:tc>
        <w:tc>
          <w:tcPr>
            <w:tcW w:w="198" w:type="pct"/>
            <w:tcBorders>
              <w:top w:val="nil"/>
              <w:left w:val="nil"/>
              <w:bottom w:val="single" w:sz="4" w:space="0" w:color="auto"/>
              <w:right w:val="single" w:sz="4" w:space="0" w:color="auto"/>
            </w:tcBorders>
            <w:shd w:val="clear" w:color="auto" w:fill="auto"/>
            <w:noWrap/>
            <w:vAlign w:val="center"/>
            <w:hideMark/>
          </w:tcPr>
          <w:p w14:paraId="749E089A" w14:textId="2DC58BF7"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93,8</w:t>
            </w:r>
          </w:p>
        </w:tc>
        <w:tc>
          <w:tcPr>
            <w:tcW w:w="251" w:type="pct"/>
            <w:tcBorders>
              <w:top w:val="nil"/>
              <w:left w:val="nil"/>
              <w:bottom w:val="single" w:sz="4" w:space="0" w:color="auto"/>
              <w:right w:val="single" w:sz="4" w:space="0" w:color="auto"/>
            </w:tcBorders>
            <w:shd w:val="clear" w:color="auto" w:fill="auto"/>
            <w:noWrap/>
            <w:vAlign w:val="center"/>
            <w:hideMark/>
          </w:tcPr>
          <w:p w14:paraId="6DBCF0E8"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0,0</w:t>
            </w:r>
          </w:p>
        </w:tc>
        <w:tc>
          <w:tcPr>
            <w:tcW w:w="186" w:type="pct"/>
            <w:tcBorders>
              <w:top w:val="nil"/>
              <w:left w:val="nil"/>
              <w:bottom w:val="single" w:sz="4" w:space="0" w:color="auto"/>
              <w:right w:val="single" w:sz="4" w:space="0" w:color="auto"/>
            </w:tcBorders>
            <w:shd w:val="clear" w:color="auto" w:fill="auto"/>
            <w:noWrap/>
            <w:vAlign w:val="center"/>
          </w:tcPr>
          <w:p w14:paraId="0472E2F4" w14:textId="2069952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p>
        </w:tc>
        <w:tc>
          <w:tcPr>
            <w:tcW w:w="215" w:type="pct"/>
            <w:tcBorders>
              <w:top w:val="nil"/>
              <w:left w:val="nil"/>
              <w:bottom w:val="single" w:sz="4" w:space="0" w:color="auto"/>
              <w:right w:val="single" w:sz="4" w:space="0" w:color="auto"/>
            </w:tcBorders>
            <w:shd w:val="clear" w:color="auto" w:fill="auto"/>
            <w:noWrap/>
            <w:vAlign w:val="center"/>
            <w:hideMark/>
          </w:tcPr>
          <w:p w14:paraId="4679690E"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5569,8</w:t>
            </w:r>
          </w:p>
        </w:tc>
        <w:tc>
          <w:tcPr>
            <w:tcW w:w="185" w:type="pct"/>
            <w:tcBorders>
              <w:top w:val="nil"/>
              <w:left w:val="nil"/>
              <w:bottom w:val="single" w:sz="4" w:space="0" w:color="auto"/>
              <w:right w:val="single" w:sz="4" w:space="0" w:color="auto"/>
            </w:tcBorders>
            <w:shd w:val="clear" w:color="auto" w:fill="auto"/>
            <w:noWrap/>
            <w:vAlign w:val="center"/>
            <w:hideMark/>
          </w:tcPr>
          <w:p w14:paraId="3AC023B0" w14:textId="2C62E120" w:rsidR="00DE3C1C" w:rsidRPr="00DD5F1D" w:rsidRDefault="00945710"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115,8</w:t>
            </w:r>
          </w:p>
        </w:tc>
      </w:tr>
      <w:tr w:rsidR="00A854D1" w:rsidRPr="00DD5F1D" w14:paraId="6D5E8FBF" w14:textId="77777777" w:rsidTr="001C4042">
        <w:trPr>
          <w:cantSplit/>
          <w:trHeight w:val="200"/>
        </w:trPr>
        <w:tc>
          <w:tcPr>
            <w:tcW w:w="853" w:type="pct"/>
            <w:tcBorders>
              <w:top w:val="nil"/>
              <w:left w:val="single" w:sz="4" w:space="0" w:color="auto"/>
              <w:bottom w:val="single" w:sz="4" w:space="0" w:color="auto"/>
              <w:right w:val="single" w:sz="4" w:space="0" w:color="auto"/>
            </w:tcBorders>
            <w:shd w:val="clear" w:color="auto" w:fill="auto"/>
            <w:vAlign w:val="center"/>
            <w:hideMark/>
          </w:tcPr>
          <w:p w14:paraId="64533FCA"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1.9. Beneficiarii – pentru persoanele fizice care exercită activități în calitate de zilieri în temeiul Legii nr. 22/2018 privind exercitarea unei activități necalificate cu caracter ocazional desfășurate de zilieri, cu excepția pensionarilor, persoanelor cu dizabilități, precum şi a persoanelor care se încadrează în categoriile de plătitori prevăzute la pct.1.1–1.8</w:t>
            </w:r>
          </w:p>
        </w:tc>
        <w:tc>
          <w:tcPr>
            <w:tcW w:w="691" w:type="pct"/>
            <w:tcBorders>
              <w:top w:val="nil"/>
              <w:left w:val="nil"/>
              <w:bottom w:val="single" w:sz="4" w:space="0" w:color="auto"/>
              <w:right w:val="single" w:sz="4" w:space="0" w:color="auto"/>
            </w:tcBorders>
            <w:shd w:val="clear" w:color="auto" w:fill="auto"/>
            <w:vAlign w:val="center"/>
            <w:hideMark/>
          </w:tcPr>
          <w:p w14:paraId="68C30B36"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6% din remunerația zilnică</w:t>
            </w:r>
          </w:p>
        </w:tc>
        <w:tc>
          <w:tcPr>
            <w:tcW w:w="310" w:type="pct"/>
            <w:tcBorders>
              <w:top w:val="nil"/>
              <w:left w:val="nil"/>
              <w:bottom w:val="single" w:sz="4" w:space="0" w:color="auto"/>
              <w:right w:val="single" w:sz="4" w:space="0" w:color="auto"/>
            </w:tcBorders>
            <w:shd w:val="clear" w:color="auto" w:fill="auto"/>
            <w:noWrap/>
            <w:vAlign w:val="center"/>
            <w:hideMark/>
          </w:tcPr>
          <w:p w14:paraId="74730282"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5808</w:t>
            </w:r>
          </w:p>
        </w:tc>
        <w:tc>
          <w:tcPr>
            <w:tcW w:w="303" w:type="pct"/>
            <w:tcBorders>
              <w:top w:val="nil"/>
              <w:left w:val="nil"/>
              <w:bottom w:val="single" w:sz="4" w:space="0" w:color="auto"/>
              <w:right w:val="single" w:sz="4" w:space="0" w:color="auto"/>
            </w:tcBorders>
            <w:shd w:val="clear" w:color="auto" w:fill="auto"/>
            <w:noWrap/>
            <w:vAlign w:val="center"/>
            <w:hideMark/>
          </w:tcPr>
          <w:p w14:paraId="7B343C8B"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301" w:type="pct"/>
            <w:tcBorders>
              <w:top w:val="nil"/>
              <w:left w:val="nil"/>
              <w:bottom w:val="single" w:sz="4" w:space="0" w:color="auto"/>
              <w:right w:val="single" w:sz="4" w:space="0" w:color="auto"/>
            </w:tcBorders>
            <w:shd w:val="clear" w:color="auto" w:fill="auto"/>
            <w:noWrap/>
            <w:vAlign w:val="center"/>
            <w:hideMark/>
          </w:tcPr>
          <w:p w14:paraId="1E03A280" w14:textId="3596F6BD"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1929,1</w:t>
            </w:r>
          </w:p>
        </w:tc>
        <w:tc>
          <w:tcPr>
            <w:tcW w:w="251" w:type="pct"/>
            <w:tcBorders>
              <w:top w:val="nil"/>
              <w:left w:val="nil"/>
              <w:bottom w:val="single" w:sz="4" w:space="0" w:color="auto"/>
              <w:right w:val="single" w:sz="4" w:space="0" w:color="auto"/>
            </w:tcBorders>
            <w:shd w:val="clear" w:color="auto" w:fill="auto"/>
            <w:noWrap/>
            <w:vAlign w:val="center"/>
            <w:hideMark/>
          </w:tcPr>
          <w:p w14:paraId="0C7DC1AC" w14:textId="694BD442"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0,4</w:t>
            </w:r>
          </w:p>
        </w:tc>
        <w:tc>
          <w:tcPr>
            <w:tcW w:w="301" w:type="pct"/>
            <w:tcBorders>
              <w:top w:val="nil"/>
              <w:left w:val="nil"/>
              <w:bottom w:val="single" w:sz="4" w:space="0" w:color="auto"/>
              <w:right w:val="single" w:sz="4" w:space="0" w:color="auto"/>
            </w:tcBorders>
            <w:shd w:val="clear" w:color="auto" w:fill="auto"/>
            <w:noWrap/>
            <w:vAlign w:val="center"/>
            <w:hideMark/>
          </w:tcPr>
          <w:p w14:paraId="4F7BADAA"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6687</w:t>
            </w:r>
          </w:p>
        </w:tc>
        <w:tc>
          <w:tcPr>
            <w:tcW w:w="251" w:type="pct"/>
            <w:tcBorders>
              <w:top w:val="nil"/>
              <w:left w:val="nil"/>
              <w:bottom w:val="single" w:sz="4" w:space="0" w:color="auto"/>
              <w:right w:val="single" w:sz="4" w:space="0" w:color="auto"/>
            </w:tcBorders>
            <w:shd w:val="clear" w:color="auto" w:fill="auto"/>
            <w:noWrap/>
            <w:vAlign w:val="center"/>
            <w:hideMark/>
          </w:tcPr>
          <w:p w14:paraId="56C225DA" w14:textId="0180C898"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110146,9</w:t>
            </w:r>
          </w:p>
        </w:tc>
        <w:tc>
          <w:tcPr>
            <w:tcW w:w="270" w:type="pct"/>
            <w:tcBorders>
              <w:top w:val="nil"/>
              <w:left w:val="nil"/>
              <w:bottom w:val="single" w:sz="4" w:space="0" w:color="auto"/>
              <w:right w:val="single" w:sz="4" w:space="0" w:color="auto"/>
            </w:tcBorders>
            <w:shd w:val="clear" w:color="auto" w:fill="auto"/>
            <w:noWrap/>
            <w:vAlign w:val="center"/>
            <w:hideMark/>
          </w:tcPr>
          <w:p w14:paraId="713306E4" w14:textId="65B421DF"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6555,6</w:t>
            </w:r>
          </w:p>
        </w:tc>
        <w:tc>
          <w:tcPr>
            <w:tcW w:w="181" w:type="pct"/>
            <w:tcBorders>
              <w:top w:val="nil"/>
              <w:left w:val="nil"/>
              <w:bottom w:val="single" w:sz="4" w:space="0" w:color="auto"/>
              <w:right w:val="single" w:sz="4" w:space="0" w:color="auto"/>
            </w:tcBorders>
            <w:shd w:val="clear" w:color="auto" w:fill="auto"/>
            <w:noWrap/>
            <w:vAlign w:val="center"/>
            <w:hideMark/>
          </w:tcPr>
          <w:p w14:paraId="4D9C4BD8" w14:textId="79094BEA"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1,3</w:t>
            </w:r>
          </w:p>
        </w:tc>
        <w:tc>
          <w:tcPr>
            <w:tcW w:w="253" w:type="pct"/>
            <w:tcBorders>
              <w:top w:val="nil"/>
              <w:left w:val="nil"/>
              <w:bottom w:val="single" w:sz="4" w:space="0" w:color="auto"/>
              <w:right w:val="single" w:sz="4" w:space="0" w:color="auto"/>
            </w:tcBorders>
            <w:shd w:val="clear" w:color="auto" w:fill="auto"/>
            <w:noWrap/>
            <w:vAlign w:val="center"/>
            <w:hideMark/>
          </w:tcPr>
          <w:p w14:paraId="0016706B"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879</w:t>
            </w:r>
          </w:p>
        </w:tc>
        <w:tc>
          <w:tcPr>
            <w:tcW w:w="198" w:type="pct"/>
            <w:tcBorders>
              <w:top w:val="nil"/>
              <w:left w:val="nil"/>
              <w:bottom w:val="single" w:sz="4" w:space="0" w:color="auto"/>
              <w:right w:val="single" w:sz="4" w:space="0" w:color="auto"/>
            </w:tcBorders>
            <w:shd w:val="clear" w:color="auto" w:fill="auto"/>
            <w:noWrap/>
            <w:vAlign w:val="center"/>
            <w:hideMark/>
          </w:tcPr>
          <w:p w14:paraId="77E36F44" w14:textId="3F5FFA43"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115,1</w:t>
            </w:r>
          </w:p>
        </w:tc>
        <w:tc>
          <w:tcPr>
            <w:tcW w:w="251" w:type="pct"/>
            <w:tcBorders>
              <w:top w:val="nil"/>
              <w:left w:val="nil"/>
              <w:bottom w:val="single" w:sz="4" w:space="0" w:color="auto"/>
              <w:right w:val="single" w:sz="4" w:space="0" w:color="auto"/>
            </w:tcBorders>
            <w:shd w:val="clear" w:color="auto" w:fill="auto"/>
            <w:noWrap/>
            <w:vAlign w:val="center"/>
            <w:hideMark/>
          </w:tcPr>
          <w:p w14:paraId="6B307EF6"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110146,9</w:t>
            </w:r>
          </w:p>
        </w:tc>
        <w:tc>
          <w:tcPr>
            <w:tcW w:w="186" w:type="pct"/>
            <w:tcBorders>
              <w:top w:val="nil"/>
              <w:left w:val="nil"/>
              <w:bottom w:val="single" w:sz="4" w:space="0" w:color="auto"/>
              <w:right w:val="single" w:sz="4" w:space="0" w:color="auto"/>
            </w:tcBorders>
            <w:shd w:val="clear" w:color="auto" w:fill="auto"/>
            <w:noWrap/>
            <w:vAlign w:val="center"/>
          </w:tcPr>
          <w:p w14:paraId="3E838333" w14:textId="0D8BCE24"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p>
        </w:tc>
        <w:tc>
          <w:tcPr>
            <w:tcW w:w="215" w:type="pct"/>
            <w:tcBorders>
              <w:top w:val="nil"/>
              <w:left w:val="nil"/>
              <w:bottom w:val="single" w:sz="4" w:space="0" w:color="auto"/>
              <w:right w:val="single" w:sz="4" w:space="0" w:color="auto"/>
            </w:tcBorders>
            <w:shd w:val="clear" w:color="auto" w:fill="auto"/>
            <w:noWrap/>
            <w:vAlign w:val="center"/>
            <w:hideMark/>
          </w:tcPr>
          <w:p w14:paraId="564D21A7"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4626,5</w:t>
            </w:r>
          </w:p>
        </w:tc>
        <w:tc>
          <w:tcPr>
            <w:tcW w:w="185" w:type="pct"/>
            <w:tcBorders>
              <w:top w:val="nil"/>
              <w:left w:val="nil"/>
              <w:bottom w:val="single" w:sz="4" w:space="0" w:color="auto"/>
              <w:right w:val="single" w:sz="4" w:space="0" w:color="auto"/>
            </w:tcBorders>
            <w:shd w:val="clear" w:color="auto" w:fill="auto"/>
            <w:noWrap/>
            <w:vAlign w:val="center"/>
            <w:hideMark/>
          </w:tcPr>
          <w:p w14:paraId="6810F39C" w14:textId="379921EB"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339,8</w:t>
            </w:r>
          </w:p>
        </w:tc>
      </w:tr>
      <w:tr w:rsidR="00A854D1" w:rsidRPr="00DD5F1D" w14:paraId="4F3BAA67" w14:textId="77777777" w:rsidTr="001C4042">
        <w:trPr>
          <w:cantSplit/>
          <w:trHeight w:val="362"/>
        </w:trPr>
        <w:tc>
          <w:tcPr>
            <w:tcW w:w="853" w:type="pct"/>
            <w:tcBorders>
              <w:top w:val="nil"/>
              <w:left w:val="single" w:sz="4" w:space="0" w:color="auto"/>
              <w:bottom w:val="single" w:sz="4" w:space="0" w:color="auto"/>
              <w:right w:val="single" w:sz="4" w:space="0" w:color="auto"/>
            </w:tcBorders>
            <w:shd w:val="clear" w:color="auto" w:fill="auto"/>
            <w:vAlign w:val="center"/>
            <w:hideMark/>
          </w:tcPr>
          <w:p w14:paraId="5FBD77B0" w14:textId="7F4FDAE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xml:space="preserve">Persoane care au </w:t>
            </w:r>
            <w:r w:rsidR="00A854D1" w:rsidRPr="00DD5F1D">
              <w:rPr>
                <w:rFonts w:ascii="Times New Roman" w:eastAsia="Times New Roman" w:hAnsi="Times New Roman" w:cs="Times New Roman"/>
                <w:sz w:val="12"/>
                <w:szCs w:val="16"/>
                <w:lang w:val="ro-MD"/>
              </w:rPr>
              <w:t>încheiat</w:t>
            </w:r>
            <w:r w:rsidRPr="00DD5F1D">
              <w:rPr>
                <w:rFonts w:ascii="Times New Roman" w:eastAsia="Times New Roman" w:hAnsi="Times New Roman" w:cs="Times New Roman"/>
                <w:sz w:val="12"/>
                <w:szCs w:val="16"/>
                <w:lang w:val="ro-MD"/>
              </w:rPr>
              <w:t xml:space="preserve"> contract individual de asigurări sociale în conformitate cu legea BASS</w:t>
            </w:r>
          </w:p>
        </w:tc>
        <w:tc>
          <w:tcPr>
            <w:tcW w:w="691" w:type="pct"/>
            <w:tcBorders>
              <w:top w:val="nil"/>
              <w:left w:val="nil"/>
              <w:bottom w:val="single" w:sz="4" w:space="0" w:color="auto"/>
              <w:right w:val="single" w:sz="4" w:space="0" w:color="auto"/>
            </w:tcBorders>
            <w:shd w:val="clear" w:color="auto" w:fill="auto"/>
            <w:vAlign w:val="center"/>
            <w:hideMark/>
          </w:tcPr>
          <w:p w14:paraId="02A58AF6"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Taxă fixă în conformitate cu legea bugetului asigurărilor sociale de stat anuală - 14700 lei</w:t>
            </w:r>
          </w:p>
        </w:tc>
        <w:tc>
          <w:tcPr>
            <w:tcW w:w="310" w:type="pct"/>
            <w:tcBorders>
              <w:top w:val="nil"/>
              <w:left w:val="nil"/>
              <w:bottom w:val="single" w:sz="4" w:space="0" w:color="auto"/>
              <w:right w:val="single" w:sz="4" w:space="0" w:color="auto"/>
            </w:tcBorders>
            <w:shd w:val="clear" w:color="auto" w:fill="auto"/>
            <w:noWrap/>
            <w:vAlign w:val="center"/>
            <w:hideMark/>
          </w:tcPr>
          <w:p w14:paraId="2D3033AF"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164</w:t>
            </w:r>
          </w:p>
        </w:tc>
        <w:tc>
          <w:tcPr>
            <w:tcW w:w="303" w:type="pct"/>
            <w:tcBorders>
              <w:top w:val="nil"/>
              <w:left w:val="nil"/>
              <w:bottom w:val="single" w:sz="4" w:space="0" w:color="auto"/>
              <w:right w:val="single" w:sz="4" w:space="0" w:color="auto"/>
            </w:tcBorders>
            <w:shd w:val="clear" w:color="auto" w:fill="auto"/>
            <w:noWrap/>
            <w:vAlign w:val="center"/>
            <w:hideMark/>
          </w:tcPr>
          <w:p w14:paraId="2D3B8DFA"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301" w:type="pct"/>
            <w:tcBorders>
              <w:top w:val="nil"/>
              <w:left w:val="nil"/>
              <w:bottom w:val="single" w:sz="4" w:space="0" w:color="auto"/>
              <w:right w:val="single" w:sz="4" w:space="0" w:color="auto"/>
            </w:tcBorders>
            <w:shd w:val="clear" w:color="auto" w:fill="auto"/>
            <w:noWrap/>
            <w:vAlign w:val="center"/>
            <w:hideMark/>
          </w:tcPr>
          <w:p w14:paraId="60C27BA5" w14:textId="5D9AC48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w:t>
            </w:r>
            <w:r w:rsidR="00A854D1" w:rsidRPr="00DD5F1D">
              <w:rPr>
                <w:rFonts w:ascii="Times New Roman" w:eastAsia="Times New Roman" w:hAnsi="Times New Roman" w:cs="Times New Roman"/>
                <w:sz w:val="12"/>
                <w:szCs w:val="16"/>
                <w:lang w:val="ro-MD"/>
              </w:rPr>
              <w:t>528,3</w:t>
            </w:r>
          </w:p>
        </w:tc>
        <w:tc>
          <w:tcPr>
            <w:tcW w:w="251" w:type="pct"/>
            <w:tcBorders>
              <w:top w:val="nil"/>
              <w:left w:val="nil"/>
              <w:bottom w:val="single" w:sz="4" w:space="0" w:color="auto"/>
              <w:right w:val="single" w:sz="4" w:space="0" w:color="auto"/>
            </w:tcBorders>
            <w:shd w:val="clear" w:color="auto" w:fill="auto"/>
            <w:noWrap/>
            <w:vAlign w:val="center"/>
            <w:hideMark/>
          </w:tcPr>
          <w:p w14:paraId="200E6241" w14:textId="3110AF39"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w:t>
            </w:r>
            <w:r w:rsidR="00A854D1" w:rsidRPr="00DD5F1D">
              <w:rPr>
                <w:rFonts w:ascii="Times New Roman" w:eastAsia="Times New Roman" w:hAnsi="Times New Roman" w:cs="Times New Roman"/>
                <w:sz w:val="12"/>
                <w:szCs w:val="16"/>
                <w:lang w:val="ro-MD"/>
              </w:rPr>
              <w:t>,2</w:t>
            </w:r>
          </w:p>
        </w:tc>
        <w:tc>
          <w:tcPr>
            <w:tcW w:w="301" w:type="pct"/>
            <w:tcBorders>
              <w:top w:val="nil"/>
              <w:left w:val="nil"/>
              <w:bottom w:val="single" w:sz="4" w:space="0" w:color="auto"/>
              <w:right w:val="single" w:sz="4" w:space="0" w:color="auto"/>
            </w:tcBorders>
            <w:shd w:val="clear" w:color="auto" w:fill="auto"/>
            <w:noWrap/>
            <w:vAlign w:val="center"/>
            <w:hideMark/>
          </w:tcPr>
          <w:p w14:paraId="62DC0E02"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172</w:t>
            </w:r>
          </w:p>
        </w:tc>
        <w:tc>
          <w:tcPr>
            <w:tcW w:w="251" w:type="pct"/>
            <w:tcBorders>
              <w:top w:val="nil"/>
              <w:left w:val="nil"/>
              <w:bottom w:val="single" w:sz="4" w:space="0" w:color="auto"/>
              <w:right w:val="single" w:sz="4" w:space="0" w:color="auto"/>
            </w:tcBorders>
            <w:shd w:val="clear" w:color="auto" w:fill="auto"/>
            <w:noWrap/>
            <w:vAlign w:val="center"/>
            <w:hideMark/>
          </w:tcPr>
          <w:p w14:paraId="2F125DFC"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270" w:type="pct"/>
            <w:tcBorders>
              <w:top w:val="nil"/>
              <w:left w:val="nil"/>
              <w:bottom w:val="single" w:sz="4" w:space="0" w:color="auto"/>
              <w:right w:val="single" w:sz="4" w:space="0" w:color="auto"/>
            </w:tcBorders>
            <w:shd w:val="clear" w:color="auto" w:fill="auto"/>
            <w:noWrap/>
            <w:vAlign w:val="center"/>
            <w:hideMark/>
          </w:tcPr>
          <w:p w14:paraId="6EAC5EAA" w14:textId="42F4D8BD"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1703,4</w:t>
            </w:r>
          </w:p>
        </w:tc>
        <w:tc>
          <w:tcPr>
            <w:tcW w:w="181" w:type="pct"/>
            <w:tcBorders>
              <w:top w:val="nil"/>
              <w:left w:val="nil"/>
              <w:bottom w:val="single" w:sz="4" w:space="0" w:color="auto"/>
              <w:right w:val="single" w:sz="4" w:space="0" w:color="auto"/>
            </w:tcBorders>
            <w:shd w:val="clear" w:color="auto" w:fill="auto"/>
            <w:noWrap/>
            <w:vAlign w:val="center"/>
            <w:hideMark/>
          </w:tcPr>
          <w:p w14:paraId="65B8A2F5" w14:textId="0AAE631C"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3,4</w:t>
            </w:r>
          </w:p>
        </w:tc>
        <w:tc>
          <w:tcPr>
            <w:tcW w:w="253" w:type="pct"/>
            <w:tcBorders>
              <w:top w:val="nil"/>
              <w:left w:val="nil"/>
              <w:bottom w:val="single" w:sz="4" w:space="0" w:color="auto"/>
              <w:right w:val="single" w:sz="4" w:space="0" w:color="auto"/>
            </w:tcBorders>
            <w:shd w:val="clear" w:color="auto" w:fill="auto"/>
            <w:noWrap/>
            <w:vAlign w:val="center"/>
            <w:hideMark/>
          </w:tcPr>
          <w:p w14:paraId="77506CF0"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8</w:t>
            </w:r>
          </w:p>
        </w:tc>
        <w:tc>
          <w:tcPr>
            <w:tcW w:w="198" w:type="pct"/>
            <w:tcBorders>
              <w:top w:val="nil"/>
              <w:left w:val="nil"/>
              <w:bottom w:val="single" w:sz="4" w:space="0" w:color="auto"/>
              <w:right w:val="single" w:sz="4" w:space="0" w:color="auto"/>
            </w:tcBorders>
            <w:shd w:val="clear" w:color="auto" w:fill="auto"/>
            <w:noWrap/>
            <w:vAlign w:val="center"/>
            <w:hideMark/>
          </w:tcPr>
          <w:p w14:paraId="63702E85" w14:textId="048353F8"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104,8</w:t>
            </w:r>
          </w:p>
        </w:tc>
        <w:tc>
          <w:tcPr>
            <w:tcW w:w="251" w:type="pct"/>
            <w:tcBorders>
              <w:top w:val="nil"/>
              <w:left w:val="nil"/>
              <w:bottom w:val="single" w:sz="4" w:space="0" w:color="auto"/>
              <w:right w:val="single" w:sz="4" w:space="0" w:color="auto"/>
            </w:tcBorders>
            <w:shd w:val="clear" w:color="auto" w:fill="auto"/>
            <w:noWrap/>
            <w:vAlign w:val="center"/>
            <w:hideMark/>
          </w:tcPr>
          <w:p w14:paraId="61B57D8E"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0,0</w:t>
            </w:r>
          </w:p>
        </w:tc>
        <w:tc>
          <w:tcPr>
            <w:tcW w:w="186" w:type="pct"/>
            <w:tcBorders>
              <w:top w:val="nil"/>
              <w:left w:val="nil"/>
              <w:bottom w:val="single" w:sz="4" w:space="0" w:color="auto"/>
              <w:right w:val="single" w:sz="4" w:space="0" w:color="auto"/>
            </w:tcBorders>
            <w:shd w:val="clear" w:color="auto" w:fill="auto"/>
            <w:noWrap/>
            <w:vAlign w:val="center"/>
          </w:tcPr>
          <w:p w14:paraId="0A9E973E" w14:textId="476FEDCE"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p>
        </w:tc>
        <w:tc>
          <w:tcPr>
            <w:tcW w:w="215" w:type="pct"/>
            <w:tcBorders>
              <w:top w:val="nil"/>
              <w:left w:val="nil"/>
              <w:bottom w:val="single" w:sz="4" w:space="0" w:color="auto"/>
              <w:right w:val="single" w:sz="4" w:space="0" w:color="auto"/>
            </w:tcBorders>
            <w:shd w:val="clear" w:color="auto" w:fill="auto"/>
            <w:noWrap/>
            <w:vAlign w:val="center"/>
            <w:hideMark/>
          </w:tcPr>
          <w:p w14:paraId="011CD329"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175,1</w:t>
            </w:r>
          </w:p>
        </w:tc>
        <w:tc>
          <w:tcPr>
            <w:tcW w:w="185" w:type="pct"/>
            <w:tcBorders>
              <w:top w:val="nil"/>
              <w:left w:val="nil"/>
              <w:bottom w:val="single" w:sz="4" w:space="0" w:color="auto"/>
              <w:right w:val="single" w:sz="4" w:space="0" w:color="auto"/>
            </w:tcBorders>
            <w:shd w:val="clear" w:color="auto" w:fill="auto"/>
            <w:noWrap/>
            <w:vAlign w:val="center"/>
            <w:hideMark/>
          </w:tcPr>
          <w:p w14:paraId="49DD70C2" w14:textId="5506AE0E"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111,4</w:t>
            </w:r>
          </w:p>
        </w:tc>
      </w:tr>
      <w:tr w:rsidR="00A854D1" w:rsidRPr="00DD5F1D" w14:paraId="602584B2" w14:textId="77777777" w:rsidTr="001C4042">
        <w:trPr>
          <w:cantSplit/>
          <w:trHeight w:val="509"/>
        </w:trPr>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51440" w14:textId="7777777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Persoane fizice proprietari sau arendași de terenuri agricole care lucrează terenul în mod individual</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6A521" w14:textId="238B21A7" w:rsidR="00DE3C1C" w:rsidRPr="00DD5F1D" w:rsidRDefault="00DE3C1C" w:rsidP="00A854D1">
            <w:pPr>
              <w:spacing w:after="0" w:line="240" w:lineRule="auto"/>
              <w:jc w:val="both"/>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Taxa fixă în conformitate cu legea bugetului asigurărilor sociale de stat anuală în mărime de 3744 de lei pentru anul 2023</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735F4"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712</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B42D"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D05A" w14:textId="14DB55EC"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1375,2</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6FAC5" w14:textId="01ED8056"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0,6</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F0485"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339</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D61EC"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 </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25B07" w14:textId="1A3FACC1"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1375,2</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AC92D" w14:textId="40FFA396"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1,4</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48E93"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-373</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8554" w14:textId="04A4437F"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47,6</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BEE1"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0,0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0B601" w14:textId="2C02D08D"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2E603" w14:textId="77777777"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0,0</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EA390" w14:textId="221BEE8A"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sz w:val="12"/>
                <w:szCs w:val="16"/>
                <w:lang w:val="ro-MD"/>
              </w:rPr>
              <w:t>100,0</w:t>
            </w:r>
          </w:p>
        </w:tc>
      </w:tr>
      <w:tr w:rsidR="00372068" w:rsidRPr="00DD5F1D" w14:paraId="28C4CB60" w14:textId="77777777" w:rsidTr="001C4042">
        <w:trPr>
          <w:cantSplit/>
          <w:trHeight w:val="63"/>
        </w:trPr>
        <w:tc>
          <w:tcPr>
            <w:tcW w:w="853" w:type="pct"/>
            <w:tcBorders>
              <w:top w:val="single" w:sz="4" w:space="0" w:color="auto"/>
              <w:left w:val="single" w:sz="4" w:space="0" w:color="auto"/>
              <w:bottom w:val="single" w:sz="4" w:space="0" w:color="auto"/>
              <w:right w:val="single" w:sz="4" w:space="0" w:color="auto"/>
            </w:tcBorders>
            <w:shd w:val="clear" w:color="auto" w:fill="auto"/>
          </w:tcPr>
          <w:p w14:paraId="4337C0A7" w14:textId="77777777" w:rsidR="00DE3C1C" w:rsidRPr="00DD5F1D" w:rsidRDefault="00DE3C1C" w:rsidP="00DE3C1C">
            <w:pPr>
              <w:spacing w:after="0" w:line="240" w:lineRule="auto"/>
              <w:rPr>
                <w:rFonts w:ascii="Times New Roman" w:eastAsia="Times New Roman" w:hAnsi="Times New Roman" w:cs="Times New Roman"/>
                <w:sz w:val="12"/>
                <w:szCs w:val="16"/>
                <w:lang w:val="ro-MD"/>
              </w:rPr>
            </w:pP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4CE6A7D9" w14:textId="77777777" w:rsidR="00DE3C1C" w:rsidRPr="00DD5F1D" w:rsidRDefault="00DE3C1C" w:rsidP="00DE3C1C">
            <w:pPr>
              <w:spacing w:after="0" w:line="240" w:lineRule="auto"/>
              <w:rPr>
                <w:rFonts w:ascii="Times New Roman" w:eastAsia="Times New Roman" w:hAnsi="Times New Roman" w:cs="Times New Roman"/>
                <w:sz w:val="12"/>
                <w:szCs w:val="16"/>
                <w:lang w:val="ro-MD"/>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22039" w14:textId="192A78FD"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b/>
                <w:bCs/>
                <w:sz w:val="12"/>
                <w:szCs w:val="16"/>
                <w:lang w:val="ro-MD"/>
              </w:rPr>
              <w:t>805132</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B163A" w14:textId="1DF4B19C"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b/>
                <w:bCs/>
                <w:sz w:val="12"/>
                <w:szCs w:val="16"/>
                <w:lang w:val="ro-MD"/>
              </w:rPr>
              <w:t>73230643,0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70A203" w14:textId="70E397F4"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b/>
                <w:bCs/>
                <w:sz w:val="12"/>
                <w:szCs w:val="16"/>
                <w:lang w:val="ro-MD"/>
              </w:rPr>
              <w:t>19178654,8</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41924" w14:textId="451BE70B"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b/>
                <w:bCs/>
                <w:sz w:val="12"/>
                <w:szCs w:val="16"/>
                <w:lang w:val="ro-MD"/>
              </w:rPr>
              <w:t> </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561EE" w14:textId="5A7B5DB9"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b/>
                <w:bCs/>
                <w:sz w:val="12"/>
                <w:szCs w:val="16"/>
                <w:lang w:val="ro-MD"/>
              </w:rPr>
              <w:t>811402</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AB7DD" w14:textId="0F1F31AE" w:rsidR="00DE3C1C" w:rsidRPr="00DD5F1D" w:rsidRDefault="00A854D1" w:rsidP="00A854D1">
            <w:pPr>
              <w:spacing w:after="0" w:line="240" w:lineRule="auto"/>
              <w:ind w:left="-107"/>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b/>
                <w:bCs/>
                <w:sz w:val="12"/>
                <w:szCs w:val="16"/>
                <w:lang w:val="ro-MD"/>
              </w:rPr>
              <w:t>85547651,7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C48F1" w14:textId="4A364452" w:rsidR="00DE3C1C" w:rsidRPr="00DD5F1D" w:rsidRDefault="00A854D1" w:rsidP="00A854D1">
            <w:pPr>
              <w:spacing w:after="0" w:line="240" w:lineRule="auto"/>
              <w:ind w:left="-105"/>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b/>
                <w:bCs/>
                <w:sz w:val="12"/>
                <w:szCs w:val="16"/>
                <w:lang w:val="ro-MD"/>
              </w:rPr>
              <w:t>22432527,9</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70D1B" w14:textId="5B44AE4B" w:rsidR="00DE3C1C" w:rsidRPr="00DD5F1D" w:rsidRDefault="00DE3C1C"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b/>
                <w:bCs/>
                <w:sz w:val="12"/>
                <w:szCs w:val="16"/>
                <w:lang w:val="ro-MD"/>
              </w:rPr>
              <w:t> </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EB08F" w14:textId="50A803FA" w:rsidR="00DE3C1C" w:rsidRPr="00DD5F1D" w:rsidRDefault="00A854D1" w:rsidP="00A854D1">
            <w:pPr>
              <w:spacing w:after="0" w:line="240" w:lineRule="auto"/>
              <w:jc w:val="right"/>
              <w:rPr>
                <w:rFonts w:ascii="Times New Roman" w:eastAsia="Times New Roman" w:hAnsi="Times New Roman" w:cs="Times New Roman"/>
                <w:sz w:val="12"/>
                <w:szCs w:val="16"/>
                <w:lang w:val="ro-MD"/>
              </w:rPr>
            </w:pPr>
            <w:r w:rsidRPr="00DD5F1D">
              <w:rPr>
                <w:rFonts w:ascii="Times New Roman" w:eastAsia="Times New Roman" w:hAnsi="Times New Roman" w:cs="Times New Roman"/>
                <w:b/>
                <w:bCs/>
                <w:sz w:val="12"/>
                <w:szCs w:val="16"/>
                <w:lang w:val="ro-MD"/>
              </w:rPr>
              <w:t>6270,</w:t>
            </w:r>
            <w:r w:rsidR="00DE3C1C" w:rsidRPr="00DD5F1D">
              <w:rPr>
                <w:rFonts w:ascii="Times New Roman" w:eastAsia="Times New Roman" w:hAnsi="Times New Roman" w:cs="Times New Roman"/>
                <w:b/>
                <w:bCs/>
                <w:sz w:val="12"/>
                <w:szCs w:val="16"/>
                <w:lang w:val="ro-MD"/>
              </w:rPr>
              <w:t>0</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81912" w14:textId="1EE51849" w:rsidR="00DE3C1C" w:rsidRPr="00DD5F1D" w:rsidRDefault="00A854D1" w:rsidP="00A854D1">
            <w:pPr>
              <w:spacing w:after="0" w:line="240" w:lineRule="auto"/>
              <w:ind w:left="-107"/>
              <w:jc w:val="right"/>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100,7</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68714" w14:textId="30D4E35C" w:rsidR="00DE3C1C" w:rsidRPr="00DD5F1D" w:rsidRDefault="00DE3C1C" w:rsidP="00A854D1">
            <w:pPr>
              <w:spacing w:after="0" w:line="240" w:lineRule="auto"/>
              <w:ind w:left="-107"/>
              <w:jc w:val="right"/>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12317008,7</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78E54E" w14:textId="28818F79" w:rsidR="00DE3C1C" w:rsidRPr="00DD5F1D" w:rsidRDefault="00A854D1" w:rsidP="00A854D1">
            <w:pPr>
              <w:spacing w:after="0" w:line="240" w:lineRule="auto"/>
              <w:ind w:left="-107"/>
              <w:jc w:val="right"/>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116,8</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1AF6A" w14:textId="4634FF36" w:rsidR="00DE3C1C" w:rsidRPr="00DD5F1D" w:rsidRDefault="00DE3C1C" w:rsidP="00A854D1">
            <w:pPr>
              <w:spacing w:after="0" w:line="240" w:lineRule="auto"/>
              <w:ind w:left="-107" w:right="-18"/>
              <w:jc w:val="right"/>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3253873,1</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33353" w14:textId="72700108" w:rsidR="00DE3C1C" w:rsidRPr="00DD5F1D" w:rsidRDefault="00A854D1" w:rsidP="00A854D1">
            <w:pPr>
              <w:spacing w:after="0" w:line="240" w:lineRule="auto"/>
              <w:ind w:left="-107"/>
              <w:jc w:val="right"/>
              <w:rPr>
                <w:rFonts w:ascii="Times New Roman" w:eastAsia="Times New Roman" w:hAnsi="Times New Roman" w:cs="Times New Roman"/>
                <w:b/>
                <w:bCs/>
                <w:sz w:val="12"/>
                <w:szCs w:val="16"/>
                <w:lang w:val="ro-MD"/>
              </w:rPr>
            </w:pPr>
            <w:r w:rsidRPr="00DD5F1D">
              <w:rPr>
                <w:rFonts w:ascii="Times New Roman" w:eastAsia="Times New Roman" w:hAnsi="Times New Roman" w:cs="Times New Roman"/>
                <w:b/>
                <w:bCs/>
                <w:sz w:val="12"/>
                <w:szCs w:val="16"/>
                <w:lang w:val="ro-MD"/>
              </w:rPr>
              <w:t>116,9</w:t>
            </w:r>
          </w:p>
        </w:tc>
      </w:tr>
    </w:tbl>
    <w:p w14:paraId="3ECCAB7F" w14:textId="5271BE57" w:rsidR="00AF491C" w:rsidRPr="00DD5F1D" w:rsidRDefault="00AF491C" w:rsidP="00AF491C">
      <w:pPr>
        <w:tabs>
          <w:tab w:val="left" w:pos="936"/>
        </w:tabs>
        <w:rPr>
          <w:rFonts w:ascii="Times New Roman" w:hAnsi="Times New Roman" w:cs="Times New Roman"/>
          <w:i/>
          <w:sz w:val="24"/>
          <w:szCs w:val="24"/>
          <w:lang w:val="ro-MD"/>
        </w:rPr>
      </w:pPr>
      <w:r w:rsidRPr="00DD5F1D">
        <w:rPr>
          <w:rFonts w:ascii="Times New Roman" w:hAnsi="Times New Roman" w:cs="Times New Roman"/>
          <w:b/>
          <w:i/>
          <w:sz w:val="20"/>
          <w:szCs w:val="20"/>
          <w:lang w:val="ro-MD"/>
        </w:rPr>
        <w:t>Sursa</w:t>
      </w:r>
      <w:r w:rsidRPr="00DD5F1D">
        <w:rPr>
          <w:rFonts w:ascii="Times New Roman" w:hAnsi="Times New Roman" w:cs="Times New Roman"/>
          <w:i/>
          <w:sz w:val="20"/>
          <w:szCs w:val="20"/>
          <w:lang w:val="ro-MD"/>
        </w:rPr>
        <w:t>: Dările de seamă generalizatoare privind calcularea, utilizarea și transferarea contribuțiilor de asigurări sociale de stat pentru anul 2023</w:t>
      </w:r>
      <w:r w:rsidR="000A5CAC" w:rsidRPr="00DD5F1D">
        <w:rPr>
          <w:rFonts w:ascii="Times New Roman" w:hAnsi="Times New Roman" w:cs="Times New Roman"/>
          <w:i/>
          <w:sz w:val="24"/>
          <w:szCs w:val="24"/>
          <w:lang w:val="ro-MD"/>
        </w:rPr>
        <w:t>.</w:t>
      </w:r>
      <w:r w:rsidRPr="00DD5F1D">
        <w:rPr>
          <w:rFonts w:ascii="Times New Roman" w:hAnsi="Times New Roman" w:cs="Times New Roman"/>
          <w:i/>
          <w:sz w:val="24"/>
          <w:szCs w:val="24"/>
          <w:lang w:val="ro-MD"/>
        </w:rPr>
        <w:tab/>
      </w:r>
    </w:p>
    <w:p w14:paraId="4CDBFD74" w14:textId="77777777" w:rsidR="007F4823" w:rsidRPr="00DD5F1D" w:rsidRDefault="007F4823" w:rsidP="007F4823">
      <w:pPr>
        <w:tabs>
          <w:tab w:val="left" w:pos="936"/>
        </w:tabs>
        <w:rPr>
          <w:rFonts w:ascii="Times New Roman" w:hAnsi="Times New Roman" w:cs="Times New Roman"/>
          <w:i/>
          <w:sz w:val="24"/>
          <w:szCs w:val="24"/>
          <w:lang w:val="ro-MD"/>
        </w:rPr>
      </w:pPr>
    </w:p>
    <w:p w14:paraId="390E2688" w14:textId="77777777" w:rsidR="007F4823" w:rsidRPr="00DD5F1D" w:rsidRDefault="007F4823" w:rsidP="009E3494">
      <w:pPr>
        <w:pStyle w:val="2"/>
        <w:jc w:val="right"/>
        <w:rPr>
          <w:rFonts w:ascii="Times New Roman" w:hAnsi="Times New Roman" w:cs="Times New Roman"/>
          <w:b/>
          <w:color w:val="000000" w:themeColor="text1"/>
          <w:sz w:val="24"/>
          <w:szCs w:val="24"/>
          <w:lang w:val="ro-MD"/>
        </w:rPr>
      </w:pPr>
      <w:r w:rsidRPr="00DD5F1D">
        <w:rPr>
          <w:rFonts w:ascii="Times New Roman" w:hAnsi="Times New Roman" w:cs="Times New Roman"/>
          <w:b/>
          <w:color w:val="000000" w:themeColor="text1"/>
          <w:sz w:val="24"/>
          <w:szCs w:val="24"/>
          <w:lang w:val="ro-MD"/>
        </w:rPr>
        <w:t xml:space="preserve">Anexa nr. </w:t>
      </w:r>
      <w:r w:rsidR="000E2AC7" w:rsidRPr="00DD5F1D">
        <w:rPr>
          <w:rFonts w:ascii="Times New Roman" w:hAnsi="Times New Roman" w:cs="Times New Roman"/>
          <w:b/>
          <w:color w:val="000000" w:themeColor="text1"/>
          <w:sz w:val="24"/>
          <w:szCs w:val="24"/>
          <w:lang w:val="ro-MD"/>
        </w:rPr>
        <w:t>7</w:t>
      </w:r>
    </w:p>
    <w:p w14:paraId="6EE90BB7" w14:textId="77777777" w:rsidR="007F4823" w:rsidRPr="00DD5F1D" w:rsidRDefault="007F4823" w:rsidP="007F4823">
      <w:pPr>
        <w:tabs>
          <w:tab w:val="left" w:pos="936"/>
        </w:tabs>
        <w:jc w:val="center"/>
        <w:rPr>
          <w:rFonts w:ascii="Times New Roman" w:hAnsi="Times New Roman" w:cs="Times New Roman"/>
          <w:b/>
          <w:i/>
          <w:sz w:val="24"/>
          <w:szCs w:val="24"/>
          <w:lang w:val="ro-MD"/>
        </w:rPr>
      </w:pPr>
      <w:r w:rsidRPr="00DD5F1D">
        <w:rPr>
          <w:rFonts w:ascii="Times New Roman" w:hAnsi="Times New Roman" w:cs="Times New Roman"/>
          <w:b/>
          <w:i/>
          <w:sz w:val="24"/>
          <w:szCs w:val="24"/>
          <w:lang w:val="ro-MD"/>
        </w:rPr>
        <w:t>Informații privind numărul total de beneficiari, inclusiv care lucrează pe tipuri de prestații sociale, pe anii 2020-2023</w:t>
      </w:r>
    </w:p>
    <w:tbl>
      <w:tblPr>
        <w:tblW w:w="5251" w:type="pct"/>
        <w:tblInd w:w="-5" w:type="dxa"/>
        <w:tblLayout w:type="fixed"/>
        <w:tblLook w:val="04A0" w:firstRow="1" w:lastRow="0" w:firstColumn="1" w:lastColumn="0" w:noHBand="0" w:noVBand="1"/>
      </w:tblPr>
      <w:tblGrid>
        <w:gridCol w:w="530"/>
        <w:gridCol w:w="2184"/>
        <w:gridCol w:w="1016"/>
        <w:gridCol w:w="805"/>
        <w:gridCol w:w="1178"/>
        <w:gridCol w:w="780"/>
        <w:gridCol w:w="1198"/>
        <w:gridCol w:w="908"/>
        <w:gridCol w:w="1073"/>
        <w:gridCol w:w="885"/>
        <w:gridCol w:w="982"/>
        <w:gridCol w:w="896"/>
        <w:gridCol w:w="879"/>
        <w:gridCol w:w="916"/>
      </w:tblGrid>
      <w:tr w:rsidR="007F4823" w:rsidRPr="00DD5F1D" w14:paraId="74D40933" w14:textId="77777777" w:rsidTr="000E2AC7">
        <w:trPr>
          <w:trHeight w:val="20"/>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3634A" w14:textId="01689410" w:rsidR="007F4823" w:rsidRPr="00DD5F1D" w:rsidRDefault="007F4823" w:rsidP="000A5CAC">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Nr. </w:t>
            </w:r>
            <w:r w:rsidR="000A5CAC" w:rsidRPr="00DD5F1D">
              <w:rPr>
                <w:rFonts w:ascii="Times New Roman" w:eastAsia="Times New Roman" w:hAnsi="Times New Roman" w:cs="Times New Roman"/>
                <w:b/>
                <w:bCs/>
                <w:sz w:val="16"/>
                <w:szCs w:val="16"/>
                <w:lang w:val="ro-MD"/>
              </w:rPr>
              <w:t>crt</w:t>
            </w:r>
            <w:r w:rsidRPr="00DD5F1D">
              <w:rPr>
                <w:rFonts w:ascii="Times New Roman" w:eastAsia="Times New Roman" w:hAnsi="Times New Roman" w:cs="Times New Roman"/>
                <w:b/>
                <w:bCs/>
                <w:sz w:val="16"/>
                <w:szCs w:val="16"/>
                <w:lang w:val="ro-MD"/>
              </w:rPr>
              <w:t>.</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4F8CE" w14:textId="77777777"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Tip</w:t>
            </w:r>
          </w:p>
        </w:tc>
        <w:tc>
          <w:tcPr>
            <w:tcW w:w="640" w:type="pct"/>
            <w:gridSpan w:val="2"/>
            <w:tcBorders>
              <w:top w:val="single" w:sz="4" w:space="0" w:color="auto"/>
              <w:left w:val="nil"/>
              <w:bottom w:val="single" w:sz="4" w:space="0" w:color="auto"/>
              <w:right w:val="single" w:sz="4" w:space="0" w:color="auto"/>
            </w:tcBorders>
            <w:shd w:val="clear" w:color="auto" w:fill="auto"/>
            <w:vAlign w:val="center"/>
            <w:hideMark/>
          </w:tcPr>
          <w:p w14:paraId="0FB9D879" w14:textId="608FD763"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La situația </w:t>
            </w:r>
            <w:r w:rsidR="00D86B83" w:rsidRPr="00DD5F1D">
              <w:rPr>
                <w:rFonts w:ascii="Times New Roman" w:eastAsia="Times New Roman" w:hAnsi="Times New Roman" w:cs="Times New Roman"/>
                <w:b/>
                <w:bCs/>
                <w:sz w:val="16"/>
                <w:szCs w:val="16"/>
                <w:lang w:val="ro-MD"/>
              </w:rPr>
              <w:t xml:space="preserve">din </w:t>
            </w:r>
            <w:r w:rsidRPr="00DD5F1D">
              <w:rPr>
                <w:rFonts w:ascii="Times New Roman" w:eastAsia="Times New Roman" w:hAnsi="Times New Roman" w:cs="Times New Roman"/>
                <w:b/>
                <w:bCs/>
                <w:sz w:val="16"/>
                <w:szCs w:val="16"/>
                <w:lang w:val="ro-MD"/>
              </w:rPr>
              <w:t>31.12.2020</w:t>
            </w:r>
          </w:p>
        </w:tc>
        <w:tc>
          <w:tcPr>
            <w:tcW w:w="688" w:type="pct"/>
            <w:gridSpan w:val="2"/>
            <w:tcBorders>
              <w:top w:val="single" w:sz="4" w:space="0" w:color="auto"/>
              <w:left w:val="nil"/>
              <w:bottom w:val="single" w:sz="4" w:space="0" w:color="auto"/>
              <w:right w:val="single" w:sz="4" w:space="0" w:color="auto"/>
            </w:tcBorders>
            <w:shd w:val="clear" w:color="auto" w:fill="auto"/>
            <w:vAlign w:val="center"/>
            <w:hideMark/>
          </w:tcPr>
          <w:p w14:paraId="67B24111" w14:textId="5B2CFCD6"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La situația </w:t>
            </w:r>
            <w:r w:rsidR="00D86B83" w:rsidRPr="00DD5F1D">
              <w:rPr>
                <w:rFonts w:ascii="Times New Roman" w:eastAsia="Times New Roman" w:hAnsi="Times New Roman" w:cs="Times New Roman"/>
                <w:b/>
                <w:bCs/>
                <w:sz w:val="16"/>
                <w:szCs w:val="16"/>
                <w:lang w:val="ro-MD"/>
              </w:rPr>
              <w:t xml:space="preserve">din </w:t>
            </w:r>
            <w:r w:rsidRPr="00DD5F1D">
              <w:rPr>
                <w:rFonts w:ascii="Times New Roman" w:eastAsia="Times New Roman" w:hAnsi="Times New Roman" w:cs="Times New Roman"/>
                <w:b/>
                <w:bCs/>
                <w:sz w:val="16"/>
                <w:szCs w:val="16"/>
                <w:lang w:val="ro-MD"/>
              </w:rPr>
              <w:t>31.12.2021</w:t>
            </w:r>
          </w:p>
        </w:tc>
        <w:tc>
          <w:tcPr>
            <w:tcW w:w="740" w:type="pct"/>
            <w:gridSpan w:val="2"/>
            <w:tcBorders>
              <w:top w:val="single" w:sz="4" w:space="0" w:color="auto"/>
              <w:left w:val="nil"/>
              <w:bottom w:val="single" w:sz="4" w:space="0" w:color="auto"/>
              <w:right w:val="single" w:sz="4" w:space="0" w:color="auto"/>
            </w:tcBorders>
            <w:shd w:val="clear" w:color="auto" w:fill="auto"/>
            <w:vAlign w:val="center"/>
            <w:hideMark/>
          </w:tcPr>
          <w:p w14:paraId="3C772256" w14:textId="31B61BC2" w:rsidR="007F4823" w:rsidRPr="00DD5F1D" w:rsidRDefault="00D86B8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La  situația din </w:t>
            </w:r>
            <w:r w:rsidR="007F4823" w:rsidRPr="00DD5F1D">
              <w:rPr>
                <w:rFonts w:ascii="Times New Roman" w:eastAsia="Times New Roman" w:hAnsi="Times New Roman" w:cs="Times New Roman"/>
                <w:b/>
                <w:bCs/>
                <w:sz w:val="16"/>
                <w:szCs w:val="16"/>
                <w:lang w:val="ro-MD"/>
              </w:rPr>
              <w:t>31.12.2022</w:t>
            </w:r>
          </w:p>
        </w:tc>
        <w:tc>
          <w:tcPr>
            <w:tcW w:w="688" w:type="pct"/>
            <w:gridSpan w:val="2"/>
            <w:tcBorders>
              <w:top w:val="single" w:sz="4" w:space="0" w:color="auto"/>
              <w:left w:val="nil"/>
              <w:bottom w:val="single" w:sz="4" w:space="0" w:color="auto"/>
              <w:right w:val="single" w:sz="4" w:space="0" w:color="auto"/>
            </w:tcBorders>
            <w:shd w:val="clear" w:color="auto" w:fill="auto"/>
            <w:vAlign w:val="center"/>
            <w:hideMark/>
          </w:tcPr>
          <w:p w14:paraId="416D0C11" w14:textId="546149FB"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La situația </w:t>
            </w:r>
            <w:r w:rsidR="000A5CAC" w:rsidRPr="00DD5F1D">
              <w:rPr>
                <w:rFonts w:ascii="Times New Roman" w:eastAsia="Times New Roman" w:hAnsi="Times New Roman" w:cs="Times New Roman"/>
                <w:b/>
                <w:bCs/>
                <w:sz w:val="16"/>
                <w:szCs w:val="16"/>
                <w:lang w:val="ro-MD"/>
              </w:rPr>
              <w:t xml:space="preserve">din </w:t>
            </w:r>
            <w:r w:rsidRPr="00DD5F1D">
              <w:rPr>
                <w:rFonts w:ascii="Times New Roman" w:eastAsia="Times New Roman" w:hAnsi="Times New Roman" w:cs="Times New Roman"/>
                <w:b/>
                <w:bCs/>
                <w:sz w:val="16"/>
                <w:szCs w:val="16"/>
                <w:lang w:val="ro-MD"/>
              </w:rPr>
              <w:t>31.12.2023</w:t>
            </w:r>
          </w:p>
        </w:tc>
        <w:tc>
          <w:tcPr>
            <w:tcW w:w="660" w:type="pct"/>
            <w:gridSpan w:val="2"/>
            <w:tcBorders>
              <w:top w:val="single" w:sz="4" w:space="0" w:color="auto"/>
              <w:left w:val="nil"/>
              <w:bottom w:val="single" w:sz="4" w:space="0" w:color="auto"/>
              <w:right w:val="single" w:sz="4" w:space="0" w:color="auto"/>
            </w:tcBorders>
            <w:shd w:val="clear" w:color="auto" w:fill="auto"/>
            <w:vAlign w:val="center"/>
            <w:hideMark/>
          </w:tcPr>
          <w:p w14:paraId="0F74C551" w14:textId="08D638FF"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Dinamica total beneficiari </w:t>
            </w:r>
            <w:r w:rsidR="000A5CAC" w:rsidRPr="00DD5F1D">
              <w:rPr>
                <w:rFonts w:ascii="Times New Roman" w:eastAsia="Times New Roman" w:hAnsi="Times New Roman" w:cs="Times New Roman"/>
                <w:b/>
                <w:bCs/>
                <w:sz w:val="16"/>
                <w:szCs w:val="16"/>
                <w:lang w:val="ro-MD"/>
              </w:rPr>
              <w:t xml:space="preserve">la </w:t>
            </w:r>
            <w:r w:rsidRPr="00DD5F1D">
              <w:rPr>
                <w:rFonts w:ascii="Times New Roman" w:eastAsia="Times New Roman" w:hAnsi="Times New Roman" w:cs="Times New Roman"/>
                <w:b/>
                <w:bCs/>
                <w:sz w:val="16"/>
                <w:szCs w:val="16"/>
                <w:lang w:val="ro-MD"/>
              </w:rPr>
              <w:t>31.12.2023/31.12.2022</w:t>
            </w:r>
          </w:p>
        </w:tc>
        <w:tc>
          <w:tcPr>
            <w:tcW w:w="631" w:type="pct"/>
            <w:gridSpan w:val="2"/>
            <w:tcBorders>
              <w:top w:val="single" w:sz="4" w:space="0" w:color="auto"/>
              <w:left w:val="nil"/>
              <w:bottom w:val="single" w:sz="4" w:space="0" w:color="auto"/>
              <w:right w:val="single" w:sz="4" w:space="0" w:color="auto"/>
            </w:tcBorders>
            <w:shd w:val="clear" w:color="auto" w:fill="auto"/>
            <w:vAlign w:val="center"/>
            <w:hideMark/>
          </w:tcPr>
          <w:p w14:paraId="0DC25F70" w14:textId="349F7F02"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Dinamica </w:t>
            </w:r>
            <w:r w:rsidR="00D86B83" w:rsidRPr="00DD5F1D">
              <w:rPr>
                <w:rFonts w:ascii="Times New Roman" w:eastAsia="Times New Roman" w:hAnsi="Times New Roman" w:cs="Times New Roman"/>
                <w:b/>
                <w:bCs/>
                <w:sz w:val="16"/>
                <w:szCs w:val="16"/>
                <w:lang w:val="ro-MD"/>
              </w:rPr>
              <w:t xml:space="preserve">beneficiarilor </w:t>
            </w:r>
            <w:r w:rsidRPr="00DD5F1D">
              <w:rPr>
                <w:rFonts w:ascii="Times New Roman" w:eastAsia="Times New Roman" w:hAnsi="Times New Roman" w:cs="Times New Roman"/>
                <w:b/>
                <w:bCs/>
                <w:sz w:val="16"/>
                <w:szCs w:val="16"/>
                <w:lang w:val="ro-MD"/>
              </w:rPr>
              <w:t>care lucrează</w:t>
            </w:r>
            <w:r w:rsidR="00D86B83" w:rsidRPr="00DD5F1D">
              <w:rPr>
                <w:rFonts w:ascii="Times New Roman" w:eastAsia="Times New Roman" w:hAnsi="Times New Roman" w:cs="Times New Roman"/>
                <w:b/>
                <w:bCs/>
                <w:sz w:val="16"/>
                <w:szCs w:val="16"/>
                <w:lang w:val="ro-MD"/>
              </w:rPr>
              <w:t>,</w:t>
            </w:r>
            <w:r w:rsidRPr="00DD5F1D">
              <w:rPr>
                <w:rFonts w:ascii="Times New Roman" w:eastAsia="Times New Roman" w:hAnsi="Times New Roman" w:cs="Times New Roman"/>
                <w:b/>
                <w:bCs/>
                <w:sz w:val="16"/>
                <w:szCs w:val="16"/>
                <w:lang w:val="ro-MD"/>
              </w:rPr>
              <w:t xml:space="preserve"> </w:t>
            </w:r>
            <w:r w:rsidR="000A5CAC" w:rsidRPr="00DD5F1D">
              <w:rPr>
                <w:rFonts w:ascii="Times New Roman" w:eastAsia="Times New Roman" w:hAnsi="Times New Roman" w:cs="Times New Roman"/>
                <w:b/>
                <w:bCs/>
                <w:sz w:val="16"/>
                <w:szCs w:val="16"/>
                <w:lang w:val="ro-MD"/>
              </w:rPr>
              <w:t xml:space="preserve">la </w:t>
            </w:r>
            <w:r w:rsidRPr="00DD5F1D">
              <w:rPr>
                <w:rFonts w:ascii="Times New Roman" w:eastAsia="Times New Roman" w:hAnsi="Times New Roman" w:cs="Times New Roman"/>
                <w:b/>
                <w:bCs/>
                <w:sz w:val="16"/>
                <w:szCs w:val="16"/>
                <w:lang w:val="ro-MD"/>
              </w:rPr>
              <w:t>31.12.2023/31.12.2022</w:t>
            </w:r>
          </w:p>
        </w:tc>
      </w:tr>
      <w:tr w:rsidR="007F4823" w:rsidRPr="00DD5F1D" w14:paraId="53A3C9AC" w14:textId="77777777" w:rsidTr="00BC16F1">
        <w:trPr>
          <w:trHeight w:val="20"/>
        </w:trPr>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1EE9B" w14:textId="77777777" w:rsidR="007F4823" w:rsidRPr="00DD5F1D" w:rsidRDefault="007F4823" w:rsidP="000E2AC7">
            <w:pPr>
              <w:spacing w:after="0" w:line="240" w:lineRule="auto"/>
              <w:rPr>
                <w:rFonts w:ascii="Times New Roman" w:eastAsia="Times New Roman" w:hAnsi="Times New Roman" w:cs="Times New Roman"/>
                <w:b/>
                <w:bCs/>
                <w:sz w:val="16"/>
                <w:szCs w:val="16"/>
                <w:lang w:val="ro-MD"/>
              </w:rPr>
            </w:pPr>
          </w:p>
        </w:tc>
        <w:tc>
          <w:tcPr>
            <w:tcW w:w="7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B5432" w14:textId="77777777" w:rsidR="007F4823" w:rsidRPr="00DD5F1D" w:rsidRDefault="007F4823" w:rsidP="000E2AC7">
            <w:pPr>
              <w:spacing w:after="0" w:line="240" w:lineRule="auto"/>
              <w:rPr>
                <w:rFonts w:ascii="Times New Roman" w:eastAsia="Times New Roman" w:hAnsi="Times New Roman" w:cs="Times New Roman"/>
                <w:b/>
                <w:bCs/>
                <w:sz w:val="16"/>
                <w:szCs w:val="16"/>
                <w:lang w:val="ro-MD"/>
              </w:rPr>
            </w:pPr>
          </w:p>
        </w:tc>
        <w:tc>
          <w:tcPr>
            <w:tcW w:w="357" w:type="pct"/>
            <w:tcBorders>
              <w:top w:val="nil"/>
              <w:left w:val="nil"/>
              <w:bottom w:val="single" w:sz="4" w:space="0" w:color="auto"/>
              <w:right w:val="single" w:sz="4" w:space="0" w:color="auto"/>
            </w:tcBorders>
            <w:shd w:val="clear" w:color="auto" w:fill="auto"/>
            <w:vAlign w:val="center"/>
            <w:hideMark/>
          </w:tcPr>
          <w:p w14:paraId="3F3A0297" w14:textId="4468A6DE"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Beneficiari</w:t>
            </w:r>
            <w:r w:rsidR="000A5CAC" w:rsidRPr="00DD5F1D">
              <w:rPr>
                <w:rFonts w:ascii="Times New Roman" w:eastAsia="Times New Roman" w:hAnsi="Times New Roman" w:cs="Times New Roman"/>
                <w:b/>
                <w:bCs/>
                <w:sz w:val="16"/>
                <w:szCs w:val="16"/>
                <w:lang w:val="ro-MD"/>
              </w:rPr>
              <w:t>,</w:t>
            </w:r>
            <w:r w:rsidRPr="00DD5F1D">
              <w:rPr>
                <w:rFonts w:ascii="Times New Roman" w:eastAsia="Times New Roman" w:hAnsi="Times New Roman" w:cs="Times New Roman"/>
                <w:b/>
                <w:bCs/>
                <w:sz w:val="16"/>
                <w:szCs w:val="16"/>
                <w:lang w:val="ro-MD"/>
              </w:rPr>
              <w:t xml:space="preserve"> total</w:t>
            </w:r>
            <w:r w:rsidRPr="00DD5F1D">
              <w:rPr>
                <w:rFonts w:ascii="Times New Roman" w:eastAsia="Times New Roman" w:hAnsi="Times New Roman" w:cs="Times New Roman"/>
                <w:i/>
                <w:iCs/>
                <w:sz w:val="16"/>
                <w:szCs w:val="16"/>
                <w:lang w:val="ro-MD"/>
              </w:rPr>
              <w:t>(persoane)</w:t>
            </w:r>
          </w:p>
        </w:tc>
        <w:tc>
          <w:tcPr>
            <w:tcW w:w="283" w:type="pct"/>
            <w:tcBorders>
              <w:top w:val="nil"/>
              <w:left w:val="nil"/>
              <w:bottom w:val="single" w:sz="4" w:space="0" w:color="auto"/>
              <w:right w:val="single" w:sz="4" w:space="0" w:color="auto"/>
            </w:tcBorders>
            <w:shd w:val="clear" w:color="auto" w:fill="auto"/>
            <w:vAlign w:val="center"/>
            <w:hideMark/>
          </w:tcPr>
          <w:p w14:paraId="2F824195" w14:textId="0B940B69" w:rsidR="007F4823" w:rsidRPr="00DD5F1D" w:rsidRDefault="007F4823" w:rsidP="000A5CAC">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Din care lucrează</w:t>
            </w:r>
            <w:r w:rsidRPr="00DD5F1D">
              <w:rPr>
                <w:rFonts w:ascii="Times New Roman" w:eastAsia="Times New Roman" w:hAnsi="Times New Roman" w:cs="Times New Roman"/>
                <w:i/>
                <w:iCs/>
                <w:sz w:val="16"/>
                <w:szCs w:val="16"/>
                <w:lang w:val="ro-MD"/>
              </w:rPr>
              <w:t>(persoane)</w:t>
            </w:r>
          </w:p>
        </w:tc>
        <w:tc>
          <w:tcPr>
            <w:tcW w:w="414" w:type="pct"/>
            <w:tcBorders>
              <w:top w:val="nil"/>
              <w:left w:val="nil"/>
              <w:bottom w:val="single" w:sz="4" w:space="0" w:color="auto"/>
              <w:right w:val="single" w:sz="4" w:space="0" w:color="auto"/>
            </w:tcBorders>
            <w:shd w:val="clear" w:color="auto" w:fill="auto"/>
            <w:vAlign w:val="center"/>
            <w:hideMark/>
          </w:tcPr>
          <w:p w14:paraId="331ACC18" w14:textId="63165AE4"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Beneficiari</w:t>
            </w:r>
            <w:r w:rsidR="000A5CAC" w:rsidRPr="00DD5F1D">
              <w:rPr>
                <w:rFonts w:ascii="Times New Roman" w:eastAsia="Times New Roman" w:hAnsi="Times New Roman" w:cs="Times New Roman"/>
                <w:b/>
                <w:bCs/>
                <w:sz w:val="16"/>
                <w:szCs w:val="16"/>
                <w:lang w:val="ro-MD"/>
              </w:rPr>
              <w:t>,</w:t>
            </w:r>
            <w:r w:rsidRPr="00DD5F1D">
              <w:rPr>
                <w:rFonts w:ascii="Times New Roman" w:eastAsia="Times New Roman" w:hAnsi="Times New Roman" w:cs="Times New Roman"/>
                <w:b/>
                <w:bCs/>
                <w:sz w:val="16"/>
                <w:szCs w:val="16"/>
                <w:lang w:val="ro-MD"/>
              </w:rPr>
              <w:t xml:space="preserve"> total,</w:t>
            </w:r>
            <w:r w:rsidRPr="00DD5F1D">
              <w:rPr>
                <w:rFonts w:ascii="Times New Roman" w:eastAsia="Times New Roman" w:hAnsi="Times New Roman" w:cs="Times New Roman"/>
                <w:b/>
                <w:bCs/>
                <w:i/>
                <w:iCs/>
                <w:sz w:val="16"/>
                <w:szCs w:val="16"/>
                <w:lang w:val="ro-MD"/>
              </w:rPr>
              <w:t xml:space="preserve"> </w:t>
            </w:r>
            <w:r w:rsidRPr="00DD5F1D">
              <w:rPr>
                <w:rFonts w:ascii="Times New Roman" w:eastAsia="Times New Roman" w:hAnsi="Times New Roman" w:cs="Times New Roman"/>
                <w:i/>
                <w:iCs/>
                <w:sz w:val="16"/>
                <w:szCs w:val="16"/>
                <w:lang w:val="ro-MD"/>
              </w:rPr>
              <w:t>(persoane)</w:t>
            </w:r>
          </w:p>
        </w:tc>
        <w:tc>
          <w:tcPr>
            <w:tcW w:w="274" w:type="pct"/>
            <w:tcBorders>
              <w:top w:val="nil"/>
              <w:left w:val="nil"/>
              <w:bottom w:val="single" w:sz="4" w:space="0" w:color="auto"/>
              <w:right w:val="single" w:sz="4" w:space="0" w:color="auto"/>
            </w:tcBorders>
            <w:shd w:val="clear" w:color="auto" w:fill="auto"/>
            <w:vAlign w:val="center"/>
            <w:hideMark/>
          </w:tcPr>
          <w:p w14:paraId="26147BD4" w14:textId="77777777"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Din care lucrează,</w:t>
            </w:r>
            <w:r w:rsidRPr="00DD5F1D">
              <w:rPr>
                <w:rFonts w:ascii="Times New Roman" w:eastAsia="Times New Roman" w:hAnsi="Times New Roman" w:cs="Times New Roman"/>
                <w:b/>
                <w:bCs/>
                <w:i/>
                <w:iCs/>
                <w:sz w:val="16"/>
                <w:szCs w:val="16"/>
                <w:lang w:val="ro-MD"/>
              </w:rPr>
              <w:t xml:space="preserve"> </w:t>
            </w:r>
            <w:r w:rsidRPr="00DD5F1D">
              <w:rPr>
                <w:rFonts w:ascii="Times New Roman" w:eastAsia="Times New Roman" w:hAnsi="Times New Roman" w:cs="Times New Roman"/>
                <w:i/>
                <w:iCs/>
                <w:sz w:val="16"/>
                <w:szCs w:val="16"/>
                <w:lang w:val="ro-MD"/>
              </w:rPr>
              <w:t>(persoane)</w:t>
            </w:r>
          </w:p>
        </w:tc>
        <w:tc>
          <w:tcPr>
            <w:tcW w:w="421" w:type="pct"/>
            <w:tcBorders>
              <w:top w:val="nil"/>
              <w:left w:val="nil"/>
              <w:bottom w:val="single" w:sz="4" w:space="0" w:color="auto"/>
              <w:right w:val="single" w:sz="4" w:space="0" w:color="auto"/>
            </w:tcBorders>
            <w:shd w:val="clear" w:color="auto" w:fill="auto"/>
            <w:vAlign w:val="center"/>
            <w:hideMark/>
          </w:tcPr>
          <w:p w14:paraId="7ADF35F3" w14:textId="77777777"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Beneficiari total,</w:t>
            </w:r>
            <w:r w:rsidRPr="00DD5F1D">
              <w:rPr>
                <w:rFonts w:ascii="Times New Roman" w:eastAsia="Times New Roman" w:hAnsi="Times New Roman" w:cs="Times New Roman"/>
                <w:b/>
                <w:bCs/>
                <w:i/>
                <w:iCs/>
                <w:sz w:val="16"/>
                <w:szCs w:val="16"/>
                <w:lang w:val="ro-MD"/>
              </w:rPr>
              <w:t xml:space="preserve"> </w:t>
            </w:r>
            <w:r w:rsidRPr="00DD5F1D">
              <w:rPr>
                <w:rFonts w:ascii="Times New Roman" w:eastAsia="Times New Roman" w:hAnsi="Times New Roman" w:cs="Times New Roman"/>
                <w:i/>
                <w:iCs/>
                <w:sz w:val="16"/>
                <w:szCs w:val="16"/>
                <w:lang w:val="ro-MD"/>
              </w:rPr>
              <w:t>(persoane)</w:t>
            </w:r>
          </w:p>
        </w:tc>
        <w:tc>
          <w:tcPr>
            <w:tcW w:w="319" w:type="pct"/>
            <w:tcBorders>
              <w:top w:val="nil"/>
              <w:left w:val="nil"/>
              <w:bottom w:val="single" w:sz="4" w:space="0" w:color="auto"/>
              <w:right w:val="single" w:sz="4" w:space="0" w:color="auto"/>
            </w:tcBorders>
            <w:shd w:val="clear" w:color="auto" w:fill="auto"/>
            <w:vAlign w:val="center"/>
            <w:hideMark/>
          </w:tcPr>
          <w:p w14:paraId="6025A57C" w14:textId="77777777"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Din care lucrează,</w:t>
            </w:r>
            <w:r w:rsidRPr="00DD5F1D">
              <w:rPr>
                <w:rFonts w:ascii="Times New Roman" w:eastAsia="Times New Roman" w:hAnsi="Times New Roman" w:cs="Times New Roman"/>
                <w:b/>
                <w:bCs/>
                <w:i/>
                <w:iCs/>
                <w:sz w:val="16"/>
                <w:szCs w:val="16"/>
                <w:lang w:val="ro-MD"/>
              </w:rPr>
              <w:t xml:space="preserve"> </w:t>
            </w:r>
            <w:r w:rsidRPr="00DD5F1D">
              <w:rPr>
                <w:rFonts w:ascii="Times New Roman" w:eastAsia="Times New Roman" w:hAnsi="Times New Roman" w:cs="Times New Roman"/>
                <w:i/>
                <w:iCs/>
                <w:sz w:val="16"/>
                <w:szCs w:val="16"/>
                <w:lang w:val="ro-MD"/>
              </w:rPr>
              <w:t>(persoane)</w:t>
            </w:r>
          </w:p>
        </w:tc>
        <w:tc>
          <w:tcPr>
            <w:tcW w:w="377" w:type="pct"/>
            <w:tcBorders>
              <w:top w:val="nil"/>
              <w:left w:val="nil"/>
              <w:bottom w:val="single" w:sz="4" w:space="0" w:color="auto"/>
              <w:right w:val="single" w:sz="4" w:space="0" w:color="auto"/>
            </w:tcBorders>
            <w:shd w:val="clear" w:color="auto" w:fill="auto"/>
            <w:vAlign w:val="center"/>
          </w:tcPr>
          <w:p w14:paraId="1F4A69C7" w14:textId="46C2EEBD" w:rsidR="007F4823" w:rsidRPr="00DD5F1D" w:rsidRDefault="00BC16F1" w:rsidP="00BC16F1">
            <w:pPr>
              <w:spacing w:after="0" w:line="240" w:lineRule="auto"/>
              <w:jc w:val="center"/>
              <w:rPr>
                <w:rFonts w:ascii="Times New Roman" w:eastAsia="Times New Roman" w:hAnsi="Times New Roman" w:cs="Times New Roman"/>
                <w:sz w:val="16"/>
                <w:szCs w:val="16"/>
                <w:highlight w:val="yellow"/>
                <w:lang w:val="ro-MD"/>
              </w:rPr>
            </w:pPr>
            <w:r w:rsidRPr="00DD5F1D">
              <w:rPr>
                <w:rFonts w:ascii="Times New Roman" w:eastAsia="Times New Roman" w:hAnsi="Times New Roman" w:cs="Times New Roman"/>
                <w:b/>
                <w:bCs/>
                <w:sz w:val="16"/>
                <w:szCs w:val="16"/>
                <w:lang w:val="ro-MD"/>
              </w:rPr>
              <w:t>Beneficiari total,</w:t>
            </w:r>
            <w:r w:rsidRPr="00DD5F1D">
              <w:rPr>
                <w:rFonts w:ascii="Times New Roman" w:eastAsia="Times New Roman" w:hAnsi="Times New Roman" w:cs="Times New Roman"/>
                <w:b/>
                <w:bCs/>
                <w:i/>
                <w:iCs/>
                <w:sz w:val="16"/>
                <w:szCs w:val="16"/>
                <w:lang w:val="ro-MD"/>
              </w:rPr>
              <w:t xml:space="preserve"> </w:t>
            </w:r>
            <w:r w:rsidRPr="00DD5F1D">
              <w:rPr>
                <w:rFonts w:ascii="Times New Roman" w:eastAsia="Times New Roman" w:hAnsi="Times New Roman" w:cs="Times New Roman"/>
                <w:i/>
                <w:iCs/>
                <w:sz w:val="16"/>
                <w:szCs w:val="16"/>
                <w:lang w:val="ro-MD"/>
              </w:rPr>
              <w:t>(persoane)</w:t>
            </w:r>
          </w:p>
        </w:tc>
        <w:tc>
          <w:tcPr>
            <w:tcW w:w="311" w:type="pct"/>
            <w:tcBorders>
              <w:top w:val="nil"/>
              <w:left w:val="nil"/>
              <w:bottom w:val="single" w:sz="4" w:space="0" w:color="auto"/>
              <w:right w:val="single" w:sz="4" w:space="0" w:color="auto"/>
            </w:tcBorders>
            <w:shd w:val="clear" w:color="auto" w:fill="auto"/>
            <w:vAlign w:val="center"/>
            <w:hideMark/>
          </w:tcPr>
          <w:p w14:paraId="04C8C812" w14:textId="77777777"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Din care lucrează,</w:t>
            </w:r>
            <w:r w:rsidRPr="00DD5F1D">
              <w:rPr>
                <w:rFonts w:ascii="Times New Roman" w:eastAsia="Times New Roman" w:hAnsi="Times New Roman" w:cs="Times New Roman"/>
                <w:b/>
                <w:bCs/>
                <w:i/>
                <w:iCs/>
                <w:sz w:val="16"/>
                <w:szCs w:val="16"/>
                <w:lang w:val="ro-MD"/>
              </w:rPr>
              <w:t xml:space="preserve"> </w:t>
            </w:r>
            <w:r w:rsidRPr="00DD5F1D">
              <w:rPr>
                <w:rFonts w:ascii="Times New Roman" w:eastAsia="Times New Roman" w:hAnsi="Times New Roman" w:cs="Times New Roman"/>
                <w:i/>
                <w:iCs/>
                <w:sz w:val="16"/>
                <w:szCs w:val="16"/>
                <w:lang w:val="ro-MD"/>
              </w:rPr>
              <w:t>(persoane)</w:t>
            </w:r>
          </w:p>
        </w:tc>
        <w:tc>
          <w:tcPr>
            <w:tcW w:w="345" w:type="pct"/>
            <w:tcBorders>
              <w:top w:val="nil"/>
              <w:left w:val="nil"/>
              <w:bottom w:val="single" w:sz="4" w:space="0" w:color="auto"/>
              <w:right w:val="single" w:sz="4" w:space="0" w:color="auto"/>
            </w:tcBorders>
            <w:shd w:val="clear" w:color="auto" w:fill="auto"/>
            <w:vAlign w:val="center"/>
            <w:hideMark/>
          </w:tcPr>
          <w:p w14:paraId="25B006AC" w14:textId="77777777"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w:t>
            </w:r>
          </w:p>
        </w:tc>
        <w:tc>
          <w:tcPr>
            <w:tcW w:w="315" w:type="pct"/>
            <w:tcBorders>
              <w:top w:val="nil"/>
              <w:left w:val="nil"/>
              <w:bottom w:val="single" w:sz="4" w:space="0" w:color="auto"/>
              <w:right w:val="single" w:sz="4" w:space="0" w:color="auto"/>
            </w:tcBorders>
            <w:shd w:val="clear" w:color="auto" w:fill="auto"/>
            <w:noWrap/>
            <w:vAlign w:val="center"/>
            <w:hideMark/>
          </w:tcPr>
          <w:p w14:paraId="6CFCCDCC"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309" w:type="pct"/>
            <w:tcBorders>
              <w:top w:val="nil"/>
              <w:left w:val="nil"/>
              <w:bottom w:val="single" w:sz="4" w:space="0" w:color="auto"/>
              <w:right w:val="single" w:sz="4" w:space="0" w:color="auto"/>
            </w:tcBorders>
            <w:shd w:val="clear" w:color="auto" w:fill="auto"/>
            <w:vAlign w:val="center"/>
            <w:hideMark/>
          </w:tcPr>
          <w:p w14:paraId="396FF8BB" w14:textId="77777777"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14:paraId="17A5EDE3"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r>
      <w:tr w:rsidR="007F4823" w:rsidRPr="00DD5F1D" w14:paraId="0BD21D1A" w14:textId="77777777" w:rsidTr="00BC16F1">
        <w:trPr>
          <w:trHeight w:val="20"/>
        </w:trPr>
        <w:tc>
          <w:tcPr>
            <w:tcW w:w="186" w:type="pct"/>
            <w:tcBorders>
              <w:top w:val="nil"/>
              <w:left w:val="single" w:sz="4" w:space="0" w:color="auto"/>
              <w:bottom w:val="single" w:sz="4" w:space="0" w:color="auto"/>
              <w:right w:val="single" w:sz="4" w:space="0" w:color="auto"/>
            </w:tcBorders>
            <w:shd w:val="clear" w:color="auto" w:fill="auto"/>
            <w:vAlign w:val="bottom"/>
            <w:hideMark/>
          </w:tcPr>
          <w:p w14:paraId="4D7CABC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w:t>
            </w:r>
          </w:p>
        </w:tc>
        <w:tc>
          <w:tcPr>
            <w:tcW w:w="767" w:type="pct"/>
            <w:tcBorders>
              <w:top w:val="nil"/>
              <w:left w:val="nil"/>
              <w:bottom w:val="single" w:sz="4" w:space="0" w:color="auto"/>
              <w:right w:val="single" w:sz="4" w:space="0" w:color="auto"/>
            </w:tcBorders>
            <w:shd w:val="clear" w:color="auto" w:fill="auto"/>
            <w:vAlign w:val="bottom"/>
            <w:hideMark/>
          </w:tcPr>
          <w:p w14:paraId="42D667B4" w14:textId="77777777" w:rsidR="007F4823" w:rsidRPr="00DD5F1D" w:rsidRDefault="007F4823" w:rsidP="000E2AC7">
            <w:pPr>
              <w:spacing w:after="0" w:line="240" w:lineRule="auto"/>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Pensii total, </w:t>
            </w:r>
            <w:r w:rsidRPr="00DD5F1D">
              <w:rPr>
                <w:rFonts w:ascii="Times New Roman" w:eastAsia="Times New Roman" w:hAnsi="Times New Roman" w:cs="Times New Roman"/>
                <w:b/>
                <w:bCs/>
                <w:i/>
                <w:iCs/>
                <w:sz w:val="16"/>
                <w:szCs w:val="16"/>
                <w:lang w:val="ro-MD"/>
              </w:rPr>
              <w:t>inclusiv:</w:t>
            </w:r>
          </w:p>
        </w:tc>
        <w:tc>
          <w:tcPr>
            <w:tcW w:w="357" w:type="pct"/>
            <w:tcBorders>
              <w:top w:val="nil"/>
              <w:left w:val="nil"/>
              <w:bottom w:val="single" w:sz="4" w:space="0" w:color="auto"/>
              <w:right w:val="single" w:sz="4" w:space="0" w:color="auto"/>
            </w:tcBorders>
            <w:shd w:val="clear" w:color="auto" w:fill="auto"/>
            <w:vAlign w:val="bottom"/>
            <w:hideMark/>
          </w:tcPr>
          <w:p w14:paraId="365534A4"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686251</w:t>
            </w:r>
          </w:p>
        </w:tc>
        <w:tc>
          <w:tcPr>
            <w:tcW w:w="283" w:type="pct"/>
            <w:tcBorders>
              <w:top w:val="nil"/>
              <w:left w:val="nil"/>
              <w:bottom w:val="single" w:sz="4" w:space="0" w:color="auto"/>
              <w:right w:val="single" w:sz="4" w:space="0" w:color="auto"/>
            </w:tcBorders>
            <w:shd w:val="clear" w:color="auto" w:fill="auto"/>
            <w:vAlign w:val="bottom"/>
            <w:hideMark/>
          </w:tcPr>
          <w:p w14:paraId="7DD13FA8"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172516</w:t>
            </w:r>
          </w:p>
        </w:tc>
        <w:tc>
          <w:tcPr>
            <w:tcW w:w="414" w:type="pct"/>
            <w:tcBorders>
              <w:top w:val="nil"/>
              <w:left w:val="nil"/>
              <w:bottom w:val="single" w:sz="4" w:space="0" w:color="auto"/>
              <w:right w:val="single" w:sz="4" w:space="0" w:color="auto"/>
            </w:tcBorders>
            <w:shd w:val="clear" w:color="auto" w:fill="auto"/>
            <w:vAlign w:val="bottom"/>
            <w:hideMark/>
          </w:tcPr>
          <w:p w14:paraId="5F84063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674948</w:t>
            </w:r>
          </w:p>
        </w:tc>
        <w:tc>
          <w:tcPr>
            <w:tcW w:w="274" w:type="pct"/>
            <w:tcBorders>
              <w:top w:val="nil"/>
              <w:left w:val="nil"/>
              <w:bottom w:val="single" w:sz="4" w:space="0" w:color="auto"/>
              <w:right w:val="single" w:sz="4" w:space="0" w:color="auto"/>
            </w:tcBorders>
            <w:shd w:val="clear" w:color="auto" w:fill="auto"/>
            <w:vAlign w:val="bottom"/>
            <w:hideMark/>
          </w:tcPr>
          <w:p w14:paraId="66EE70DF"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169529</w:t>
            </w:r>
          </w:p>
        </w:tc>
        <w:tc>
          <w:tcPr>
            <w:tcW w:w="421" w:type="pct"/>
            <w:tcBorders>
              <w:top w:val="nil"/>
              <w:left w:val="nil"/>
              <w:bottom w:val="single" w:sz="4" w:space="0" w:color="auto"/>
              <w:right w:val="single" w:sz="4" w:space="0" w:color="auto"/>
            </w:tcBorders>
            <w:shd w:val="clear" w:color="auto" w:fill="auto"/>
            <w:vAlign w:val="bottom"/>
            <w:hideMark/>
          </w:tcPr>
          <w:p w14:paraId="646D0A8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675674</w:t>
            </w:r>
          </w:p>
        </w:tc>
        <w:tc>
          <w:tcPr>
            <w:tcW w:w="319" w:type="pct"/>
            <w:tcBorders>
              <w:top w:val="nil"/>
              <w:left w:val="nil"/>
              <w:bottom w:val="single" w:sz="4" w:space="0" w:color="auto"/>
              <w:right w:val="single" w:sz="4" w:space="0" w:color="auto"/>
            </w:tcBorders>
            <w:shd w:val="clear" w:color="auto" w:fill="auto"/>
            <w:vAlign w:val="bottom"/>
            <w:hideMark/>
          </w:tcPr>
          <w:p w14:paraId="4638DB7E"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171019</w:t>
            </w:r>
          </w:p>
        </w:tc>
        <w:tc>
          <w:tcPr>
            <w:tcW w:w="377" w:type="pct"/>
            <w:tcBorders>
              <w:top w:val="nil"/>
              <w:left w:val="nil"/>
              <w:bottom w:val="single" w:sz="4" w:space="0" w:color="auto"/>
              <w:right w:val="single" w:sz="4" w:space="0" w:color="auto"/>
            </w:tcBorders>
            <w:shd w:val="clear" w:color="auto" w:fill="auto"/>
            <w:vAlign w:val="bottom"/>
          </w:tcPr>
          <w:p w14:paraId="0E494871" w14:textId="49180547" w:rsidR="007F4823" w:rsidRPr="00DD5F1D" w:rsidRDefault="00BC16F1" w:rsidP="00BC16F1">
            <w:pPr>
              <w:spacing w:after="0" w:line="240" w:lineRule="auto"/>
              <w:jc w:val="right"/>
              <w:rPr>
                <w:b/>
                <w:bCs/>
                <w:color w:val="000000"/>
                <w:lang w:val="ro-MD"/>
              </w:rPr>
            </w:pPr>
            <w:r w:rsidRPr="00DD5F1D">
              <w:rPr>
                <w:rFonts w:ascii="Times New Roman" w:eastAsia="Times New Roman" w:hAnsi="Times New Roman" w:cs="Times New Roman"/>
                <w:b/>
                <w:bCs/>
                <w:sz w:val="16"/>
                <w:szCs w:val="16"/>
                <w:lang w:val="ro-MD"/>
              </w:rPr>
              <w:t>674891</w:t>
            </w:r>
          </w:p>
        </w:tc>
        <w:tc>
          <w:tcPr>
            <w:tcW w:w="311" w:type="pct"/>
            <w:tcBorders>
              <w:top w:val="nil"/>
              <w:left w:val="nil"/>
              <w:bottom w:val="single" w:sz="4" w:space="0" w:color="auto"/>
              <w:right w:val="single" w:sz="4" w:space="0" w:color="auto"/>
            </w:tcBorders>
            <w:shd w:val="clear" w:color="auto" w:fill="auto"/>
            <w:vAlign w:val="bottom"/>
            <w:hideMark/>
          </w:tcPr>
          <w:p w14:paraId="2C6CDE75"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174885</w:t>
            </w:r>
          </w:p>
        </w:tc>
        <w:tc>
          <w:tcPr>
            <w:tcW w:w="345" w:type="pct"/>
            <w:tcBorders>
              <w:top w:val="nil"/>
              <w:left w:val="nil"/>
              <w:bottom w:val="single" w:sz="4" w:space="0" w:color="auto"/>
              <w:right w:val="single" w:sz="4" w:space="0" w:color="auto"/>
            </w:tcBorders>
            <w:shd w:val="clear" w:color="auto" w:fill="auto"/>
            <w:noWrap/>
            <w:vAlign w:val="bottom"/>
            <w:hideMark/>
          </w:tcPr>
          <w:p w14:paraId="679F0C50"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-783</w:t>
            </w:r>
          </w:p>
        </w:tc>
        <w:tc>
          <w:tcPr>
            <w:tcW w:w="315" w:type="pct"/>
            <w:tcBorders>
              <w:top w:val="nil"/>
              <w:left w:val="nil"/>
              <w:bottom w:val="single" w:sz="4" w:space="0" w:color="auto"/>
              <w:right w:val="single" w:sz="4" w:space="0" w:color="auto"/>
            </w:tcBorders>
            <w:shd w:val="clear" w:color="auto" w:fill="auto"/>
            <w:noWrap/>
            <w:vAlign w:val="bottom"/>
            <w:hideMark/>
          </w:tcPr>
          <w:p w14:paraId="5BA842C9" w14:textId="1DB8E276"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99,9</w:t>
            </w:r>
          </w:p>
        </w:tc>
        <w:tc>
          <w:tcPr>
            <w:tcW w:w="309" w:type="pct"/>
            <w:tcBorders>
              <w:top w:val="nil"/>
              <w:left w:val="nil"/>
              <w:bottom w:val="single" w:sz="4" w:space="0" w:color="auto"/>
              <w:right w:val="single" w:sz="4" w:space="0" w:color="auto"/>
            </w:tcBorders>
            <w:shd w:val="clear" w:color="auto" w:fill="auto"/>
            <w:noWrap/>
            <w:vAlign w:val="bottom"/>
            <w:hideMark/>
          </w:tcPr>
          <w:p w14:paraId="6116FE2C"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3866</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14:paraId="4A21C01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102,3%</w:t>
            </w:r>
          </w:p>
        </w:tc>
      </w:tr>
      <w:tr w:rsidR="007F4823" w:rsidRPr="00DD5F1D" w14:paraId="280B041E"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6B32885"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72262106"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pentru limita de vârsta</w:t>
            </w:r>
          </w:p>
        </w:tc>
        <w:tc>
          <w:tcPr>
            <w:tcW w:w="357" w:type="pct"/>
            <w:tcBorders>
              <w:top w:val="nil"/>
              <w:left w:val="nil"/>
              <w:bottom w:val="single" w:sz="4" w:space="0" w:color="auto"/>
              <w:right w:val="single" w:sz="4" w:space="0" w:color="auto"/>
            </w:tcBorders>
            <w:shd w:val="clear" w:color="auto" w:fill="auto"/>
            <w:hideMark/>
          </w:tcPr>
          <w:p w14:paraId="3BCDD18D"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522821</w:t>
            </w:r>
          </w:p>
        </w:tc>
        <w:tc>
          <w:tcPr>
            <w:tcW w:w="283" w:type="pct"/>
            <w:tcBorders>
              <w:top w:val="nil"/>
              <w:left w:val="nil"/>
              <w:bottom w:val="single" w:sz="4" w:space="0" w:color="auto"/>
              <w:right w:val="single" w:sz="4" w:space="0" w:color="auto"/>
            </w:tcBorders>
            <w:shd w:val="clear" w:color="auto" w:fill="auto"/>
            <w:hideMark/>
          </w:tcPr>
          <w:p w14:paraId="61ECD720"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123991</w:t>
            </w:r>
          </w:p>
        </w:tc>
        <w:tc>
          <w:tcPr>
            <w:tcW w:w="414" w:type="pct"/>
            <w:tcBorders>
              <w:top w:val="nil"/>
              <w:left w:val="nil"/>
              <w:bottom w:val="single" w:sz="4" w:space="0" w:color="auto"/>
              <w:right w:val="single" w:sz="4" w:space="0" w:color="auto"/>
            </w:tcBorders>
            <w:shd w:val="clear" w:color="auto" w:fill="auto"/>
            <w:hideMark/>
          </w:tcPr>
          <w:p w14:paraId="5605DCB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520927</w:t>
            </w:r>
          </w:p>
        </w:tc>
        <w:tc>
          <w:tcPr>
            <w:tcW w:w="274" w:type="pct"/>
            <w:tcBorders>
              <w:top w:val="nil"/>
              <w:left w:val="nil"/>
              <w:bottom w:val="single" w:sz="4" w:space="0" w:color="auto"/>
              <w:right w:val="single" w:sz="4" w:space="0" w:color="auto"/>
            </w:tcBorders>
            <w:shd w:val="clear" w:color="auto" w:fill="auto"/>
            <w:hideMark/>
          </w:tcPr>
          <w:p w14:paraId="39F1162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124795</w:t>
            </w:r>
          </w:p>
        </w:tc>
        <w:tc>
          <w:tcPr>
            <w:tcW w:w="421" w:type="pct"/>
            <w:tcBorders>
              <w:top w:val="nil"/>
              <w:left w:val="nil"/>
              <w:bottom w:val="single" w:sz="4" w:space="0" w:color="auto"/>
              <w:right w:val="single" w:sz="4" w:space="0" w:color="auto"/>
            </w:tcBorders>
            <w:shd w:val="clear" w:color="auto" w:fill="auto"/>
            <w:hideMark/>
          </w:tcPr>
          <w:p w14:paraId="70EB761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526017</w:t>
            </w:r>
          </w:p>
        </w:tc>
        <w:tc>
          <w:tcPr>
            <w:tcW w:w="319" w:type="pct"/>
            <w:tcBorders>
              <w:top w:val="nil"/>
              <w:left w:val="nil"/>
              <w:bottom w:val="single" w:sz="4" w:space="0" w:color="auto"/>
              <w:right w:val="single" w:sz="4" w:space="0" w:color="auto"/>
            </w:tcBorders>
            <w:shd w:val="clear" w:color="auto" w:fill="auto"/>
            <w:hideMark/>
          </w:tcPr>
          <w:p w14:paraId="141E125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123732</w:t>
            </w:r>
          </w:p>
        </w:tc>
        <w:tc>
          <w:tcPr>
            <w:tcW w:w="377" w:type="pct"/>
            <w:tcBorders>
              <w:top w:val="nil"/>
              <w:left w:val="nil"/>
              <w:bottom w:val="single" w:sz="4" w:space="0" w:color="auto"/>
              <w:right w:val="single" w:sz="4" w:space="0" w:color="auto"/>
            </w:tcBorders>
            <w:shd w:val="clear" w:color="auto" w:fill="auto"/>
            <w:noWrap/>
            <w:hideMark/>
          </w:tcPr>
          <w:p w14:paraId="60B37B09"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528666</w:t>
            </w:r>
          </w:p>
        </w:tc>
        <w:tc>
          <w:tcPr>
            <w:tcW w:w="311" w:type="pct"/>
            <w:tcBorders>
              <w:top w:val="nil"/>
              <w:left w:val="nil"/>
              <w:bottom w:val="single" w:sz="4" w:space="0" w:color="auto"/>
              <w:right w:val="single" w:sz="4" w:space="0" w:color="auto"/>
            </w:tcBorders>
            <w:shd w:val="clear" w:color="auto" w:fill="auto"/>
            <w:noWrap/>
            <w:hideMark/>
          </w:tcPr>
          <w:p w14:paraId="6083EEC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127526</w:t>
            </w:r>
          </w:p>
        </w:tc>
        <w:tc>
          <w:tcPr>
            <w:tcW w:w="345" w:type="pct"/>
            <w:tcBorders>
              <w:top w:val="nil"/>
              <w:left w:val="nil"/>
              <w:bottom w:val="single" w:sz="4" w:space="0" w:color="auto"/>
              <w:right w:val="single" w:sz="4" w:space="0" w:color="auto"/>
            </w:tcBorders>
            <w:shd w:val="clear" w:color="auto" w:fill="auto"/>
            <w:noWrap/>
            <w:hideMark/>
          </w:tcPr>
          <w:p w14:paraId="406BE7FD"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2649</w:t>
            </w:r>
          </w:p>
        </w:tc>
        <w:tc>
          <w:tcPr>
            <w:tcW w:w="315" w:type="pct"/>
            <w:tcBorders>
              <w:top w:val="nil"/>
              <w:left w:val="nil"/>
              <w:bottom w:val="single" w:sz="4" w:space="0" w:color="auto"/>
              <w:right w:val="single" w:sz="4" w:space="0" w:color="auto"/>
            </w:tcBorders>
            <w:shd w:val="clear" w:color="auto" w:fill="auto"/>
            <w:noWrap/>
            <w:hideMark/>
          </w:tcPr>
          <w:p w14:paraId="06AFA862" w14:textId="691CA8B5"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100,5</w:t>
            </w:r>
          </w:p>
        </w:tc>
        <w:tc>
          <w:tcPr>
            <w:tcW w:w="309" w:type="pct"/>
            <w:tcBorders>
              <w:top w:val="nil"/>
              <w:left w:val="nil"/>
              <w:bottom w:val="single" w:sz="4" w:space="0" w:color="auto"/>
              <w:right w:val="single" w:sz="4" w:space="0" w:color="auto"/>
            </w:tcBorders>
            <w:shd w:val="clear" w:color="auto" w:fill="auto"/>
            <w:noWrap/>
            <w:hideMark/>
          </w:tcPr>
          <w:p w14:paraId="1BDB786B"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3794</w:t>
            </w:r>
          </w:p>
        </w:tc>
        <w:tc>
          <w:tcPr>
            <w:tcW w:w="322" w:type="pct"/>
            <w:tcBorders>
              <w:top w:val="single" w:sz="4" w:space="0" w:color="auto"/>
              <w:left w:val="nil"/>
              <w:bottom w:val="single" w:sz="4" w:space="0" w:color="auto"/>
              <w:right w:val="single" w:sz="4" w:space="0" w:color="auto"/>
            </w:tcBorders>
            <w:shd w:val="clear" w:color="auto" w:fill="auto"/>
            <w:noWrap/>
            <w:hideMark/>
          </w:tcPr>
          <w:p w14:paraId="4DA758EB"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103,1%</w:t>
            </w:r>
          </w:p>
        </w:tc>
      </w:tr>
      <w:tr w:rsidR="007F4823" w:rsidRPr="00DD5F1D" w14:paraId="2CF3D21F"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9A9B715"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0EE185B6"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de dizabilitate</w:t>
            </w:r>
          </w:p>
        </w:tc>
        <w:tc>
          <w:tcPr>
            <w:tcW w:w="357" w:type="pct"/>
            <w:tcBorders>
              <w:top w:val="nil"/>
              <w:left w:val="nil"/>
              <w:bottom w:val="single" w:sz="4" w:space="0" w:color="auto"/>
              <w:right w:val="single" w:sz="4" w:space="0" w:color="auto"/>
            </w:tcBorders>
            <w:shd w:val="clear" w:color="auto" w:fill="auto"/>
            <w:hideMark/>
          </w:tcPr>
          <w:p w14:paraId="7CD34BDD"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119015</w:t>
            </w:r>
          </w:p>
        </w:tc>
        <w:tc>
          <w:tcPr>
            <w:tcW w:w="283" w:type="pct"/>
            <w:tcBorders>
              <w:top w:val="nil"/>
              <w:left w:val="nil"/>
              <w:bottom w:val="single" w:sz="4" w:space="0" w:color="auto"/>
              <w:right w:val="single" w:sz="4" w:space="0" w:color="auto"/>
            </w:tcBorders>
            <w:shd w:val="clear" w:color="auto" w:fill="auto"/>
            <w:hideMark/>
          </w:tcPr>
          <w:p w14:paraId="511258B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31694</w:t>
            </w:r>
          </w:p>
        </w:tc>
        <w:tc>
          <w:tcPr>
            <w:tcW w:w="414" w:type="pct"/>
            <w:tcBorders>
              <w:top w:val="nil"/>
              <w:left w:val="nil"/>
              <w:bottom w:val="single" w:sz="4" w:space="0" w:color="auto"/>
              <w:right w:val="single" w:sz="4" w:space="0" w:color="auto"/>
            </w:tcBorders>
            <w:shd w:val="clear" w:color="auto" w:fill="auto"/>
            <w:hideMark/>
          </w:tcPr>
          <w:p w14:paraId="47E15E6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110856</w:t>
            </w:r>
          </w:p>
        </w:tc>
        <w:tc>
          <w:tcPr>
            <w:tcW w:w="274" w:type="pct"/>
            <w:tcBorders>
              <w:top w:val="nil"/>
              <w:left w:val="nil"/>
              <w:bottom w:val="single" w:sz="4" w:space="0" w:color="auto"/>
              <w:right w:val="single" w:sz="4" w:space="0" w:color="auto"/>
            </w:tcBorders>
            <w:shd w:val="clear" w:color="auto" w:fill="auto"/>
            <w:hideMark/>
          </w:tcPr>
          <w:p w14:paraId="2BF0A3E3"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29310</w:t>
            </w:r>
          </w:p>
        </w:tc>
        <w:tc>
          <w:tcPr>
            <w:tcW w:w="421" w:type="pct"/>
            <w:tcBorders>
              <w:top w:val="nil"/>
              <w:left w:val="nil"/>
              <w:bottom w:val="single" w:sz="4" w:space="0" w:color="auto"/>
              <w:right w:val="single" w:sz="4" w:space="0" w:color="auto"/>
            </w:tcBorders>
            <w:shd w:val="clear" w:color="auto" w:fill="auto"/>
            <w:hideMark/>
          </w:tcPr>
          <w:p w14:paraId="49CC13F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102225</w:t>
            </w:r>
          </w:p>
        </w:tc>
        <w:tc>
          <w:tcPr>
            <w:tcW w:w="319" w:type="pct"/>
            <w:tcBorders>
              <w:top w:val="nil"/>
              <w:left w:val="nil"/>
              <w:bottom w:val="single" w:sz="4" w:space="0" w:color="auto"/>
              <w:right w:val="single" w:sz="4" w:space="0" w:color="auto"/>
            </w:tcBorders>
            <w:shd w:val="clear" w:color="auto" w:fill="auto"/>
            <w:hideMark/>
          </w:tcPr>
          <w:p w14:paraId="3526655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27835</w:t>
            </w:r>
          </w:p>
        </w:tc>
        <w:tc>
          <w:tcPr>
            <w:tcW w:w="377" w:type="pct"/>
            <w:tcBorders>
              <w:top w:val="nil"/>
              <w:left w:val="nil"/>
              <w:bottom w:val="single" w:sz="4" w:space="0" w:color="auto"/>
              <w:right w:val="single" w:sz="4" w:space="0" w:color="auto"/>
            </w:tcBorders>
            <w:shd w:val="clear" w:color="auto" w:fill="auto"/>
            <w:noWrap/>
            <w:hideMark/>
          </w:tcPr>
          <w:p w14:paraId="1D0A6B1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98823</w:t>
            </w:r>
          </w:p>
        </w:tc>
        <w:tc>
          <w:tcPr>
            <w:tcW w:w="311" w:type="pct"/>
            <w:tcBorders>
              <w:top w:val="nil"/>
              <w:left w:val="nil"/>
              <w:bottom w:val="single" w:sz="4" w:space="0" w:color="auto"/>
              <w:right w:val="single" w:sz="4" w:space="0" w:color="auto"/>
            </w:tcBorders>
            <w:shd w:val="clear" w:color="auto" w:fill="auto"/>
            <w:noWrap/>
            <w:hideMark/>
          </w:tcPr>
          <w:p w14:paraId="33BAF27A"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27706</w:t>
            </w:r>
          </w:p>
        </w:tc>
        <w:tc>
          <w:tcPr>
            <w:tcW w:w="345" w:type="pct"/>
            <w:tcBorders>
              <w:top w:val="nil"/>
              <w:left w:val="nil"/>
              <w:bottom w:val="single" w:sz="4" w:space="0" w:color="auto"/>
              <w:right w:val="single" w:sz="4" w:space="0" w:color="auto"/>
            </w:tcBorders>
            <w:shd w:val="clear" w:color="auto" w:fill="auto"/>
            <w:noWrap/>
            <w:hideMark/>
          </w:tcPr>
          <w:p w14:paraId="25F4F0BD"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-3402</w:t>
            </w:r>
          </w:p>
        </w:tc>
        <w:tc>
          <w:tcPr>
            <w:tcW w:w="315" w:type="pct"/>
            <w:tcBorders>
              <w:top w:val="nil"/>
              <w:left w:val="nil"/>
              <w:bottom w:val="single" w:sz="4" w:space="0" w:color="auto"/>
              <w:right w:val="single" w:sz="4" w:space="0" w:color="auto"/>
            </w:tcBorders>
            <w:shd w:val="clear" w:color="auto" w:fill="auto"/>
            <w:noWrap/>
            <w:hideMark/>
          </w:tcPr>
          <w:p w14:paraId="40C441E6" w14:textId="25040F61"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96,7</w:t>
            </w:r>
          </w:p>
        </w:tc>
        <w:tc>
          <w:tcPr>
            <w:tcW w:w="309" w:type="pct"/>
            <w:tcBorders>
              <w:top w:val="nil"/>
              <w:left w:val="nil"/>
              <w:bottom w:val="single" w:sz="4" w:space="0" w:color="auto"/>
              <w:right w:val="single" w:sz="4" w:space="0" w:color="auto"/>
            </w:tcBorders>
            <w:shd w:val="clear" w:color="auto" w:fill="auto"/>
            <w:noWrap/>
            <w:hideMark/>
          </w:tcPr>
          <w:p w14:paraId="4420FA15"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-129</w:t>
            </w:r>
          </w:p>
        </w:tc>
        <w:tc>
          <w:tcPr>
            <w:tcW w:w="322" w:type="pct"/>
            <w:tcBorders>
              <w:top w:val="single" w:sz="4" w:space="0" w:color="auto"/>
              <w:left w:val="nil"/>
              <w:bottom w:val="single" w:sz="4" w:space="0" w:color="auto"/>
              <w:right w:val="single" w:sz="4" w:space="0" w:color="auto"/>
            </w:tcBorders>
            <w:shd w:val="clear" w:color="auto" w:fill="auto"/>
            <w:noWrap/>
            <w:hideMark/>
          </w:tcPr>
          <w:p w14:paraId="4026D630"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99,5%</w:t>
            </w:r>
          </w:p>
        </w:tc>
      </w:tr>
      <w:tr w:rsidR="007F4823" w:rsidRPr="00DD5F1D" w14:paraId="200142E8"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0D0AB35"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0044CFB9"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de urmas</w:t>
            </w:r>
          </w:p>
        </w:tc>
        <w:tc>
          <w:tcPr>
            <w:tcW w:w="357" w:type="pct"/>
            <w:tcBorders>
              <w:top w:val="nil"/>
              <w:left w:val="nil"/>
              <w:bottom w:val="single" w:sz="4" w:space="0" w:color="auto"/>
              <w:right w:val="single" w:sz="4" w:space="0" w:color="auto"/>
            </w:tcBorders>
            <w:shd w:val="clear" w:color="auto" w:fill="auto"/>
            <w:hideMark/>
          </w:tcPr>
          <w:p w14:paraId="6AE199E9"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10988</w:t>
            </w:r>
          </w:p>
        </w:tc>
        <w:tc>
          <w:tcPr>
            <w:tcW w:w="283" w:type="pct"/>
            <w:tcBorders>
              <w:top w:val="nil"/>
              <w:left w:val="nil"/>
              <w:bottom w:val="single" w:sz="4" w:space="0" w:color="auto"/>
              <w:right w:val="single" w:sz="4" w:space="0" w:color="auto"/>
            </w:tcBorders>
            <w:shd w:val="clear" w:color="auto" w:fill="auto"/>
            <w:hideMark/>
          </w:tcPr>
          <w:p w14:paraId="6BDA783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1206</w:t>
            </w:r>
          </w:p>
        </w:tc>
        <w:tc>
          <w:tcPr>
            <w:tcW w:w="414" w:type="pct"/>
            <w:tcBorders>
              <w:top w:val="nil"/>
              <w:left w:val="nil"/>
              <w:bottom w:val="single" w:sz="4" w:space="0" w:color="auto"/>
              <w:right w:val="single" w:sz="4" w:space="0" w:color="auto"/>
            </w:tcBorders>
            <w:shd w:val="clear" w:color="auto" w:fill="auto"/>
            <w:hideMark/>
          </w:tcPr>
          <w:p w14:paraId="3742552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11424</w:t>
            </w:r>
          </w:p>
        </w:tc>
        <w:tc>
          <w:tcPr>
            <w:tcW w:w="274" w:type="pct"/>
            <w:tcBorders>
              <w:top w:val="nil"/>
              <w:left w:val="nil"/>
              <w:bottom w:val="single" w:sz="4" w:space="0" w:color="auto"/>
              <w:right w:val="single" w:sz="4" w:space="0" w:color="auto"/>
            </w:tcBorders>
            <w:shd w:val="clear" w:color="auto" w:fill="auto"/>
            <w:hideMark/>
          </w:tcPr>
          <w:p w14:paraId="06C9B98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1164</w:t>
            </w:r>
          </w:p>
        </w:tc>
        <w:tc>
          <w:tcPr>
            <w:tcW w:w="421" w:type="pct"/>
            <w:tcBorders>
              <w:top w:val="nil"/>
              <w:left w:val="nil"/>
              <w:bottom w:val="single" w:sz="4" w:space="0" w:color="auto"/>
              <w:right w:val="single" w:sz="4" w:space="0" w:color="auto"/>
            </w:tcBorders>
            <w:shd w:val="clear" w:color="auto" w:fill="auto"/>
            <w:hideMark/>
          </w:tcPr>
          <w:p w14:paraId="03DF02E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11573</w:t>
            </w:r>
          </w:p>
        </w:tc>
        <w:tc>
          <w:tcPr>
            <w:tcW w:w="319" w:type="pct"/>
            <w:tcBorders>
              <w:top w:val="nil"/>
              <w:left w:val="nil"/>
              <w:bottom w:val="single" w:sz="4" w:space="0" w:color="auto"/>
              <w:right w:val="single" w:sz="4" w:space="0" w:color="auto"/>
            </w:tcBorders>
            <w:shd w:val="clear" w:color="auto" w:fill="auto"/>
            <w:hideMark/>
          </w:tcPr>
          <w:p w14:paraId="1D800F3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1332</w:t>
            </w:r>
          </w:p>
        </w:tc>
        <w:tc>
          <w:tcPr>
            <w:tcW w:w="377" w:type="pct"/>
            <w:tcBorders>
              <w:top w:val="nil"/>
              <w:left w:val="nil"/>
              <w:bottom w:val="single" w:sz="4" w:space="0" w:color="auto"/>
              <w:right w:val="single" w:sz="4" w:space="0" w:color="auto"/>
            </w:tcBorders>
            <w:shd w:val="clear" w:color="auto" w:fill="auto"/>
            <w:noWrap/>
            <w:hideMark/>
          </w:tcPr>
          <w:p w14:paraId="54D5B2D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11802</w:t>
            </w:r>
          </w:p>
        </w:tc>
        <w:tc>
          <w:tcPr>
            <w:tcW w:w="311" w:type="pct"/>
            <w:tcBorders>
              <w:top w:val="nil"/>
              <w:left w:val="nil"/>
              <w:bottom w:val="single" w:sz="4" w:space="0" w:color="auto"/>
              <w:right w:val="single" w:sz="4" w:space="0" w:color="auto"/>
            </w:tcBorders>
            <w:shd w:val="clear" w:color="auto" w:fill="auto"/>
            <w:noWrap/>
            <w:hideMark/>
          </w:tcPr>
          <w:p w14:paraId="253B8CF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1407</w:t>
            </w:r>
          </w:p>
        </w:tc>
        <w:tc>
          <w:tcPr>
            <w:tcW w:w="345" w:type="pct"/>
            <w:tcBorders>
              <w:top w:val="nil"/>
              <w:left w:val="nil"/>
              <w:bottom w:val="single" w:sz="4" w:space="0" w:color="auto"/>
              <w:right w:val="single" w:sz="4" w:space="0" w:color="auto"/>
            </w:tcBorders>
            <w:shd w:val="clear" w:color="auto" w:fill="auto"/>
            <w:noWrap/>
            <w:hideMark/>
          </w:tcPr>
          <w:p w14:paraId="789CDBC3"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229</w:t>
            </w:r>
          </w:p>
        </w:tc>
        <w:tc>
          <w:tcPr>
            <w:tcW w:w="315" w:type="pct"/>
            <w:tcBorders>
              <w:top w:val="nil"/>
              <w:left w:val="nil"/>
              <w:bottom w:val="single" w:sz="4" w:space="0" w:color="auto"/>
              <w:right w:val="single" w:sz="4" w:space="0" w:color="auto"/>
            </w:tcBorders>
            <w:shd w:val="clear" w:color="auto" w:fill="auto"/>
            <w:noWrap/>
            <w:hideMark/>
          </w:tcPr>
          <w:p w14:paraId="34A7D2D5" w14:textId="78EBC262"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102,0</w:t>
            </w:r>
          </w:p>
        </w:tc>
        <w:tc>
          <w:tcPr>
            <w:tcW w:w="309" w:type="pct"/>
            <w:tcBorders>
              <w:top w:val="nil"/>
              <w:left w:val="nil"/>
              <w:bottom w:val="single" w:sz="4" w:space="0" w:color="auto"/>
              <w:right w:val="single" w:sz="4" w:space="0" w:color="auto"/>
            </w:tcBorders>
            <w:shd w:val="clear" w:color="auto" w:fill="auto"/>
            <w:noWrap/>
            <w:hideMark/>
          </w:tcPr>
          <w:p w14:paraId="25500D1F"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75</w:t>
            </w:r>
          </w:p>
        </w:tc>
        <w:tc>
          <w:tcPr>
            <w:tcW w:w="322" w:type="pct"/>
            <w:tcBorders>
              <w:top w:val="single" w:sz="4" w:space="0" w:color="auto"/>
              <w:left w:val="nil"/>
              <w:bottom w:val="single" w:sz="4" w:space="0" w:color="auto"/>
              <w:right w:val="single" w:sz="4" w:space="0" w:color="auto"/>
            </w:tcBorders>
            <w:shd w:val="clear" w:color="auto" w:fill="auto"/>
            <w:noWrap/>
            <w:hideMark/>
          </w:tcPr>
          <w:p w14:paraId="0B142CA4"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105,6%</w:t>
            </w:r>
          </w:p>
        </w:tc>
      </w:tr>
      <w:tr w:rsidR="007F4823" w:rsidRPr="00DD5F1D" w14:paraId="015FE6D5"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B708204"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5638B515"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Vechime in munca</w:t>
            </w:r>
          </w:p>
        </w:tc>
        <w:tc>
          <w:tcPr>
            <w:tcW w:w="357" w:type="pct"/>
            <w:tcBorders>
              <w:top w:val="nil"/>
              <w:left w:val="nil"/>
              <w:bottom w:val="single" w:sz="4" w:space="0" w:color="auto"/>
              <w:right w:val="single" w:sz="4" w:space="0" w:color="auto"/>
            </w:tcBorders>
            <w:shd w:val="clear" w:color="auto" w:fill="auto"/>
            <w:hideMark/>
          </w:tcPr>
          <w:p w14:paraId="5887DA8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50</w:t>
            </w:r>
          </w:p>
        </w:tc>
        <w:tc>
          <w:tcPr>
            <w:tcW w:w="283" w:type="pct"/>
            <w:tcBorders>
              <w:top w:val="nil"/>
              <w:left w:val="nil"/>
              <w:bottom w:val="single" w:sz="4" w:space="0" w:color="auto"/>
              <w:right w:val="single" w:sz="4" w:space="0" w:color="auto"/>
            </w:tcBorders>
            <w:shd w:val="clear" w:color="auto" w:fill="auto"/>
            <w:hideMark/>
          </w:tcPr>
          <w:p w14:paraId="6ED7E042"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w:t>
            </w:r>
          </w:p>
        </w:tc>
        <w:tc>
          <w:tcPr>
            <w:tcW w:w="414" w:type="pct"/>
            <w:tcBorders>
              <w:top w:val="nil"/>
              <w:left w:val="nil"/>
              <w:bottom w:val="single" w:sz="4" w:space="0" w:color="auto"/>
              <w:right w:val="single" w:sz="4" w:space="0" w:color="auto"/>
            </w:tcBorders>
            <w:shd w:val="clear" w:color="auto" w:fill="auto"/>
            <w:hideMark/>
          </w:tcPr>
          <w:p w14:paraId="6AC3350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32</w:t>
            </w:r>
          </w:p>
        </w:tc>
        <w:tc>
          <w:tcPr>
            <w:tcW w:w="274" w:type="pct"/>
            <w:tcBorders>
              <w:top w:val="nil"/>
              <w:left w:val="nil"/>
              <w:bottom w:val="single" w:sz="4" w:space="0" w:color="auto"/>
              <w:right w:val="single" w:sz="4" w:space="0" w:color="auto"/>
            </w:tcBorders>
            <w:shd w:val="clear" w:color="auto" w:fill="auto"/>
            <w:hideMark/>
          </w:tcPr>
          <w:p w14:paraId="5DD6C49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w:t>
            </w:r>
          </w:p>
        </w:tc>
        <w:tc>
          <w:tcPr>
            <w:tcW w:w="421" w:type="pct"/>
            <w:tcBorders>
              <w:top w:val="nil"/>
              <w:left w:val="nil"/>
              <w:bottom w:val="single" w:sz="4" w:space="0" w:color="auto"/>
              <w:right w:val="single" w:sz="4" w:space="0" w:color="auto"/>
            </w:tcBorders>
            <w:shd w:val="clear" w:color="auto" w:fill="auto"/>
            <w:hideMark/>
          </w:tcPr>
          <w:p w14:paraId="13405CF3"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25</w:t>
            </w:r>
          </w:p>
        </w:tc>
        <w:tc>
          <w:tcPr>
            <w:tcW w:w="319" w:type="pct"/>
            <w:tcBorders>
              <w:top w:val="nil"/>
              <w:left w:val="nil"/>
              <w:bottom w:val="single" w:sz="4" w:space="0" w:color="auto"/>
              <w:right w:val="single" w:sz="4" w:space="0" w:color="auto"/>
            </w:tcBorders>
            <w:shd w:val="clear" w:color="auto" w:fill="auto"/>
            <w:hideMark/>
          </w:tcPr>
          <w:p w14:paraId="273AA16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w:t>
            </w:r>
          </w:p>
        </w:tc>
        <w:tc>
          <w:tcPr>
            <w:tcW w:w="377" w:type="pct"/>
            <w:tcBorders>
              <w:top w:val="nil"/>
              <w:left w:val="nil"/>
              <w:bottom w:val="single" w:sz="4" w:space="0" w:color="auto"/>
              <w:right w:val="single" w:sz="4" w:space="0" w:color="auto"/>
            </w:tcBorders>
            <w:shd w:val="clear" w:color="auto" w:fill="auto"/>
            <w:noWrap/>
            <w:hideMark/>
          </w:tcPr>
          <w:p w14:paraId="0F4FD9E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23</w:t>
            </w:r>
          </w:p>
        </w:tc>
        <w:tc>
          <w:tcPr>
            <w:tcW w:w="311" w:type="pct"/>
            <w:tcBorders>
              <w:top w:val="nil"/>
              <w:left w:val="nil"/>
              <w:bottom w:val="single" w:sz="4" w:space="0" w:color="auto"/>
              <w:right w:val="single" w:sz="4" w:space="0" w:color="auto"/>
            </w:tcBorders>
            <w:shd w:val="clear" w:color="auto" w:fill="auto"/>
            <w:noWrap/>
            <w:hideMark/>
          </w:tcPr>
          <w:p w14:paraId="0567E7DD"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w:t>
            </w:r>
          </w:p>
        </w:tc>
        <w:tc>
          <w:tcPr>
            <w:tcW w:w="345" w:type="pct"/>
            <w:tcBorders>
              <w:top w:val="nil"/>
              <w:left w:val="nil"/>
              <w:bottom w:val="single" w:sz="4" w:space="0" w:color="auto"/>
              <w:right w:val="single" w:sz="4" w:space="0" w:color="auto"/>
            </w:tcBorders>
            <w:shd w:val="clear" w:color="auto" w:fill="auto"/>
            <w:noWrap/>
            <w:hideMark/>
          </w:tcPr>
          <w:p w14:paraId="7E36B47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w:t>
            </w:r>
          </w:p>
        </w:tc>
        <w:tc>
          <w:tcPr>
            <w:tcW w:w="315" w:type="pct"/>
            <w:tcBorders>
              <w:top w:val="nil"/>
              <w:left w:val="nil"/>
              <w:bottom w:val="single" w:sz="4" w:space="0" w:color="auto"/>
              <w:right w:val="single" w:sz="4" w:space="0" w:color="auto"/>
            </w:tcBorders>
            <w:shd w:val="clear" w:color="auto" w:fill="auto"/>
            <w:noWrap/>
            <w:hideMark/>
          </w:tcPr>
          <w:p w14:paraId="13B544DF" w14:textId="1B10A4E8"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92,0</w:t>
            </w:r>
          </w:p>
        </w:tc>
        <w:tc>
          <w:tcPr>
            <w:tcW w:w="309" w:type="pct"/>
            <w:tcBorders>
              <w:top w:val="nil"/>
              <w:left w:val="nil"/>
              <w:bottom w:val="single" w:sz="4" w:space="0" w:color="auto"/>
              <w:right w:val="single" w:sz="4" w:space="0" w:color="auto"/>
            </w:tcBorders>
            <w:shd w:val="clear" w:color="auto" w:fill="auto"/>
            <w:noWrap/>
            <w:hideMark/>
          </w:tcPr>
          <w:p w14:paraId="2C1FCF3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w:t>
            </w:r>
          </w:p>
        </w:tc>
        <w:tc>
          <w:tcPr>
            <w:tcW w:w="322" w:type="pct"/>
            <w:tcBorders>
              <w:top w:val="single" w:sz="4" w:space="0" w:color="auto"/>
              <w:left w:val="nil"/>
              <w:bottom w:val="single" w:sz="4" w:space="0" w:color="auto"/>
              <w:right w:val="single" w:sz="4" w:space="0" w:color="auto"/>
            </w:tcBorders>
            <w:shd w:val="clear" w:color="auto" w:fill="auto"/>
            <w:noWrap/>
            <w:hideMark/>
          </w:tcPr>
          <w:p w14:paraId="5B5C5CC5"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66,7%</w:t>
            </w:r>
          </w:p>
        </w:tc>
      </w:tr>
      <w:tr w:rsidR="007F4823" w:rsidRPr="00DD5F1D" w14:paraId="5EF2662A"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727371E"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167A6D84"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unor categorii de angajati din aviatia civila</w:t>
            </w:r>
          </w:p>
        </w:tc>
        <w:tc>
          <w:tcPr>
            <w:tcW w:w="357" w:type="pct"/>
            <w:tcBorders>
              <w:top w:val="nil"/>
              <w:left w:val="nil"/>
              <w:bottom w:val="single" w:sz="4" w:space="0" w:color="auto"/>
              <w:right w:val="single" w:sz="4" w:space="0" w:color="auto"/>
            </w:tcBorders>
            <w:shd w:val="clear" w:color="auto" w:fill="auto"/>
            <w:hideMark/>
          </w:tcPr>
          <w:p w14:paraId="71C82A4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523</w:t>
            </w:r>
          </w:p>
        </w:tc>
        <w:tc>
          <w:tcPr>
            <w:tcW w:w="283" w:type="pct"/>
            <w:tcBorders>
              <w:top w:val="nil"/>
              <w:left w:val="nil"/>
              <w:bottom w:val="single" w:sz="4" w:space="0" w:color="auto"/>
              <w:right w:val="single" w:sz="4" w:space="0" w:color="auto"/>
            </w:tcBorders>
            <w:shd w:val="clear" w:color="auto" w:fill="auto"/>
            <w:hideMark/>
          </w:tcPr>
          <w:p w14:paraId="270BEBD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148</w:t>
            </w:r>
          </w:p>
        </w:tc>
        <w:tc>
          <w:tcPr>
            <w:tcW w:w="414" w:type="pct"/>
            <w:tcBorders>
              <w:top w:val="nil"/>
              <w:left w:val="nil"/>
              <w:bottom w:val="single" w:sz="4" w:space="0" w:color="auto"/>
              <w:right w:val="single" w:sz="4" w:space="0" w:color="auto"/>
            </w:tcBorders>
            <w:shd w:val="clear" w:color="auto" w:fill="auto"/>
            <w:hideMark/>
          </w:tcPr>
          <w:p w14:paraId="0F64957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476</w:t>
            </w:r>
          </w:p>
        </w:tc>
        <w:tc>
          <w:tcPr>
            <w:tcW w:w="274" w:type="pct"/>
            <w:tcBorders>
              <w:top w:val="nil"/>
              <w:left w:val="nil"/>
              <w:bottom w:val="single" w:sz="4" w:space="0" w:color="auto"/>
              <w:right w:val="single" w:sz="4" w:space="0" w:color="auto"/>
            </w:tcBorders>
            <w:shd w:val="clear" w:color="auto" w:fill="auto"/>
            <w:hideMark/>
          </w:tcPr>
          <w:p w14:paraId="20C6CCB3"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120</w:t>
            </w:r>
          </w:p>
        </w:tc>
        <w:tc>
          <w:tcPr>
            <w:tcW w:w="421" w:type="pct"/>
            <w:tcBorders>
              <w:top w:val="nil"/>
              <w:left w:val="nil"/>
              <w:bottom w:val="single" w:sz="4" w:space="0" w:color="auto"/>
              <w:right w:val="single" w:sz="4" w:space="0" w:color="auto"/>
            </w:tcBorders>
            <w:shd w:val="clear" w:color="auto" w:fill="auto"/>
            <w:hideMark/>
          </w:tcPr>
          <w:p w14:paraId="05A7BA09"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462</w:t>
            </w:r>
          </w:p>
        </w:tc>
        <w:tc>
          <w:tcPr>
            <w:tcW w:w="319" w:type="pct"/>
            <w:tcBorders>
              <w:top w:val="nil"/>
              <w:left w:val="nil"/>
              <w:bottom w:val="single" w:sz="4" w:space="0" w:color="auto"/>
              <w:right w:val="single" w:sz="4" w:space="0" w:color="auto"/>
            </w:tcBorders>
            <w:shd w:val="clear" w:color="auto" w:fill="auto"/>
            <w:hideMark/>
          </w:tcPr>
          <w:p w14:paraId="0E9897E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104</w:t>
            </w:r>
          </w:p>
        </w:tc>
        <w:tc>
          <w:tcPr>
            <w:tcW w:w="377" w:type="pct"/>
            <w:tcBorders>
              <w:top w:val="nil"/>
              <w:left w:val="nil"/>
              <w:bottom w:val="single" w:sz="4" w:space="0" w:color="auto"/>
              <w:right w:val="single" w:sz="4" w:space="0" w:color="auto"/>
            </w:tcBorders>
            <w:shd w:val="clear" w:color="auto" w:fill="auto"/>
            <w:noWrap/>
            <w:hideMark/>
          </w:tcPr>
          <w:p w14:paraId="0F0942D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449</w:t>
            </w:r>
          </w:p>
        </w:tc>
        <w:tc>
          <w:tcPr>
            <w:tcW w:w="311" w:type="pct"/>
            <w:tcBorders>
              <w:top w:val="nil"/>
              <w:left w:val="nil"/>
              <w:bottom w:val="single" w:sz="4" w:space="0" w:color="auto"/>
              <w:right w:val="single" w:sz="4" w:space="0" w:color="auto"/>
            </w:tcBorders>
            <w:shd w:val="clear" w:color="auto" w:fill="auto"/>
            <w:noWrap/>
            <w:hideMark/>
          </w:tcPr>
          <w:p w14:paraId="71558FC9"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103</w:t>
            </w:r>
          </w:p>
        </w:tc>
        <w:tc>
          <w:tcPr>
            <w:tcW w:w="345" w:type="pct"/>
            <w:tcBorders>
              <w:top w:val="nil"/>
              <w:left w:val="nil"/>
              <w:bottom w:val="single" w:sz="4" w:space="0" w:color="auto"/>
              <w:right w:val="single" w:sz="4" w:space="0" w:color="auto"/>
            </w:tcBorders>
            <w:shd w:val="clear" w:color="auto" w:fill="auto"/>
            <w:noWrap/>
            <w:hideMark/>
          </w:tcPr>
          <w:p w14:paraId="7A7A0AE0"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-13</w:t>
            </w:r>
          </w:p>
        </w:tc>
        <w:tc>
          <w:tcPr>
            <w:tcW w:w="315" w:type="pct"/>
            <w:tcBorders>
              <w:top w:val="nil"/>
              <w:left w:val="nil"/>
              <w:bottom w:val="single" w:sz="4" w:space="0" w:color="auto"/>
              <w:right w:val="single" w:sz="4" w:space="0" w:color="auto"/>
            </w:tcBorders>
            <w:shd w:val="clear" w:color="auto" w:fill="auto"/>
            <w:noWrap/>
            <w:hideMark/>
          </w:tcPr>
          <w:p w14:paraId="37003321" w14:textId="2899B1CA"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97,2</w:t>
            </w:r>
          </w:p>
        </w:tc>
        <w:tc>
          <w:tcPr>
            <w:tcW w:w="309" w:type="pct"/>
            <w:tcBorders>
              <w:top w:val="nil"/>
              <w:left w:val="nil"/>
              <w:bottom w:val="single" w:sz="4" w:space="0" w:color="auto"/>
              <w:right w:val="single" w:sz="4" w:space="0" w:color="auto"/>
            </w:tcBorders>
            <w:shd w:val="clear" w:color="auto" w:fill="auto"/>
            <w:noWrap/>
            <w:hideMark/>
          </w:tcPr>
          <w:p w14:paraId="1DB6474A"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w:t>
            </w:r>
          </w:p>
        </w:tc>
        <w:tc>
          <w:tcPr>
            <w:tcW w:w="322" w:type="pct"/>
            <w:tcBorders>
              <w:top w:val="single" w:sz="4" w:space="0" w:color="auto"/>
              <w:left w:val="nil"/>
              <w:bottom w:val="single" w:sz="4" w:space="0" w:color="auto"/>
              <w:right w:val="single" w:sz="4" w:space="0" w:color="auto"/>
            </w:tcBorders>
            <w:shd w:val="clear" w:color="auto" w:fill="auto"/>
            <w:noWrap/>
            <w:hideMark/>
          </w:tcPr>
          <w:p w14:paraId="74D9B49A"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99,0%</w:t>
            </w:r>
          </w:p>
        </w:tc>
      </w:tr>
      <w:tr w:rsidR="007F4823" w:rsidRPr="00DD5F1D" w14:paraId="487DD9E3"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4463A98"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65428AD2"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unor categorii de angajati din domeniul culturii</w:t>
            </w:r>
          </w:p>
        </w:tc>
        <w:tc>
          <w:tcPr>
            <w:tcW w:w="357" w:type="pct"/>
            <w:tcBorders>
              <w:top w:val="nil"/>
              <w:left w:val="nil"/>
              <w:bottom w:val="single" w:sz="4" w:space="0" w:color="auto"/>
              <w:right w:val="single" w:sz="4" w:space="0" w:color="auto"/>
            </w:tcBorders>
            <w:shd w:val="clear" w:color="auto" w:fill="auto"/>
            <w:hideMark/>
          </w:tcPr>
          <w:p w14:paraId="44D47D92"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32</w:t>
            </w:r>
          </w:p>
        </w:tc>
        <w:tc>
          <w:tcPr>
            <w:tcW w:w="283" w:type="pct"/>
            <w:tcBorders>
              <w:top w:val="nil"/>
              <w:left w:val="nil"/>
              <w:bottom w:val="single" w:sz="4" w:space="0" w:color="auto"/>
              <w:right w:val="single" w:sz="4" w:space="0" w:color="auto"/>
            </w:tcBorders>
            <w:shd w:val="clear" w:color="auto" w:fill="auto"/>
            <w:hideMark/>
          </w:tcPr>
          <w:p w14:paraId="26E2175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25</w:t>
            </w:r>
          </w:p>
        </w:tc>
        <w:tc>
          <w:tcPr>
            <w:tcW w:w="414" w:type="pct"/>
            <w:tcBorders>
              <w:top w:val="nil"/>
              <w:left w:val="nil"/>
              <w:bottom w:val="single" w:sz="4" w:space="0" w:color="auto"/>
              <w:right w:val="single" w:sz="4" w:space="0" w:color="auto"/>
            </w:tcBorders>
            <w:shd w:val="clear" w:color="auto" w:fill="auto"/>
            <w:hideMark/>
          </w:tcPr>
          <w:p w14:paraId="4AA73602"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33</w:t>
            </w:r>
          </w:p>
        </w:tc>
        <w:tc>
          <w:tcPr>
            <w:tcW w:w="274" w:type="pct"/>
            <w:tcBorders>
              <w:top w:val="nil"/>
              <w:left w:val="nil"/>
              <w:bottom w:val="single" w:sz="4" w:space="0" w:color="auto"/>
              <w:right w:val="single" w:sz="4" w:space="0" w:color="auto"/>
            </w:tcBorders>
            <w:shd w:val="clear" w:color="auto" w:fill="auto"/>
            <w:hideMark/>
          </w:tcPr>
          <w:p w14:paraId="0BCFC1C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26</w:t>
            </w:r>
          </w:p>
        </w:tc>
        <w:tc>
          <w:tcPr>
            <w:tcW w:w="421" w:type="pct"/>
            <w:tcBorders>
              <w:top w:val="nil"/>
              <w:left w:val="nil"/>
              <w:bottom w:val="single" w:sz="4" w:space="0" w:color="auto"/>
              <w:right w:val="single" w:sz="4" w:space="0" w:color="auto"/>
            </w:tcBorders>
            <w:shd w:val="clear" w:color="auto" w:fill="auto"/>
            <w:hideMark/>
          </w:tcPr>
          <w:p w14:paraId="3C4A6522"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32</w:t>
            </w:r>
          </w:p>
        </w:tc>
        <w:tc>
          <w:tcPr>
            <w:tcW w:w="319" w:type="pct"/>
            <w:tcBorders>
              <w:top w:val="nil"/>
              <w:left w:val="nil"/>
              <w:bottom w:val="single" w:sz="4" w:space="0" w:color="auto"/>
              <w:right w:val="single" w:sz="4" w:space="0" w:color="auto"/>
            </w:tcBorders>
            <w:shd w:val="clear" w:color="auto" w:fill="auto"/>
            <w:hideMark/>
          </w:tcPr>
          <w:p w14:paraId="0D16A1C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25</w:t>
            </w:r>
          </w:p>
        </w:tc>
        <w:tc>
          <w:tcPr>
            <w:tcW w:w="377" w:type="pct"/>
            <w:tcBorders>
              <w:top w:val="nil"/>
              <w:left w:val="nil"/>
              <w:bottom w:val="single" w:sz="4" w:space="0" w:color="auto"/>
              <w:right w:val="single" w:sz="4" w:space="0" w:color="auto"/>
            </w:tcBorders>
            <w:shd w:val="clear" w:color="auto" w:fill="auto"/>
            <w:noWrap/>
            <w:hideMark/>
          </w:tcPr>
          <w:p w14:paraId="3848C2E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32</w:t>
            </w:r>
          </w:p>
        </w:tc>
        <w:tc>
          <w:tcPr>
            <w:tcW w:w="311" w:type="pct"/>
            <w:tcBorders>
              <w:top w:val="nil"/>
              <w:left w:val="nil"/>
              <w:bottom w:val="single" w:sz="4" w:space="0" w:color="auto"/>
              <w:right w:val="single" w:sz="4" w:space="0" w:color="auto"/>
            </w:tcBorders>
            <w:shd w:val="clear" w:color="auto" w:fill="auto"/>
            <w:noWrap/>
            <w:hideMark/>
          </w:tcPr>
          <w:p w14:paraId="5A6AFF6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23</w:t>
            </w:r>
          </w:p>
        </w:tc>
        <w:tc>
          <w:tcPr>
            <w:tcW w:w="345" w:type="pct"/>
            <w:tcBorders>
              <w:top w:val="nil"/>
              <w:left w:val="nil"/>
              <w:bottom w:val="single" w:sz="4" w:space="0" w:color="auto"/>
              <w:right w:val="single" w:sz="4" w:space="0" w:color="auto"/>
            </w:tcBorders>
            <w:shd w:val="clear" w:color="auto" w:fill="auto"/>
            <w:noWrap/>
            <w:hideMark/>
          </w:tcPr>
          <w:p w14:paraId="55D5BFB4"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0</w:t>
            </w:r>
          </w:p>
        </w:tc>
        <w:tc>
          <w:tcPr>
            <w:tcW w:w="315" w:type="pct"/>
            <w:tcBorders>
              <w:top w:val="nil"/>
              <w:left w:val="nil"/>
              <w:bottom w:val="single" w:sz="4" w:space="0" w:color="auto"/>
              <w:right w:val="single" w:sz="4" w:space="0" w:color="auto"/>
            </w:tcBorders>
            <w:shd w:val="clear" w:color="auto" w:fill="auto"/>
            <w:noWrap/>
            <w:hideMark/>
          </w:tcPr>
          <w:p w14:paraId="042844B2" w14:textId="0AAB811D"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100,0</w:t>
            </w:r>
          </w:p>
        </w:tc>
        <w:tc>
          <w:tcPr>
            <w:tcW w:w="309" w:type="pct"/>
            <w:tcBorders>
              <w:top w:val="nil"/>
              <w:left w:val="nil"/>
              <w:bottom w:val="single" w:sz="4" w:space="0" w:color="auto"/>
              <w:right w:val="single" w:sz="4" w:space="0" w:color="auto"/>
            </w:tcBorders>
            <w:shd w:val="clear" w:color="auto" w:fill="auto"/>
            <w:noWrap/>
            <w:hideMark/>
          </w:tcPr>
          <w:p w14:paraId="17E00E26"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w:t>
            </w:r>
          </w:p>
        </w:tc>
        <w:tc>
          <w:tcPr>
            <w:tcW w:w="322" w:type="pct"/>
            <w:tcBorders>
              <w:top w:val="single" w:sz="4" w:space="0" w:color="auto"/>
              <w:left w:val="nil"/>
              <w:bottom w:val="single" w:sz="4" w:space="0" w:color="auto"/>
              <w:right w:val="single" w:sz="4" w:space="0" w:color="auto"/>
            </w:tcBorders>
            <w:shd w:val="clear" w:color="auto" w:fill="auto"/>
            <w:noWrap/>
            <w:hideMark/>
          </w:tcPr>
          <w:p w14:paraId="098B851A"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92,0%</w:t>
            </w:r>
          </w:p>
        </w:tc>
      </w:tr>
      <w:tr w:rsidR="007F4823" w:rsidRPr="00DD5F1D" w14:paraId="499C2661"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F1CB016"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2A9BEE92"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functionarilor publici</w:t>
            </w:r>
          </w:p>
        </w:tc>
        <w:tc>
          <w:tcPr>
            <w:tcW w:w="357" w:type="pct"/>
            <w:tcBorders>
              <w:top w:val="nil"/>
              <w:left w:val="nil"/>
              <w:bottom w:val="single" w:sz="4" w:space="0" w:color="auto"/>
              <w:right w:val="single" w:sz="4" w:space="0" w:color="auto"/>
            </w:tcBorders>
            <w:shd w:val="clear" w:color="auto" w:fill="auto"/>
            <w:hideMark/>
          </w:tcPr>
          <w:p w14:paraId="3B1C21D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5652</w:t>
            </w:r>
          </w:p>
        </w:tc>
        <w:tc>
          <w:tcPr>
            <w:tcW w:w="283" w:type="pct"/>
            <w:tcBorders>
              <w:top w:val="nil"/>
              <w:left w:val="nil"/>
              <w:bottom w:val="single" w:sz="4" w:space="0" w:color="auto"/>
              <w:right w:val="single" w:sz="4" w:space="0" w:color="auto"/>
            </w:tcBorders>
            <w:shd w:val="clear" w:color="auto" w:fill="auto"/>
            <w:hideMark/>
          </w:tcPr>
          <w:p w14:paraId="414A336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2506</w:t>
            </w:r>
          </w:p>
        </w:tc>
        <w:tc>
          <w:tcPr>
            <w:tcW w:w="414" w:type="pct"/>
            <w:tcBorders>
              <w:top w:val="nil"/>
              <w:left w:val="nil"/>
              <w:bottom w:val="single" w:sz="4" w:space="0" w:color="auto"/>
              <w:right w:val="single" w:sz="4" w:space="0" w:color="auto"/>
            </w:tcBorders>
            <w:shd w:val="clear" w:color="auto" w:fill="auto"/>
            <w:hideMark/>
          </w:tcPr>
          <w:p w14:paraId="56A2E682"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4916</w:t>
            </w:r>
          </w:p>
        </w:tc>
        <w:tc>
          <w:tcPr>
            <w:tcW w:w="274" w:type="pct"/>
            <w:tcBorders>
              <w:top w:val="nil"/>
              <w:left w:val="nil"/>
              <w:bottom w:val="single" w:sz="4" w:space="0" w:color="auto"/>
              <w:right w:val="single" w:sz="4" w:space="0" w:color="auto"/>
            </w:tcBorders>
            <w:shd w:val="clear" w:color="auto" w:fill="auto"/>
            <w:hideMark/>
          </w:tcPr>
          <w:p w14:paraId="4271FF3D"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2041</w:t>
            </w:r>
          </w:p>
        </w:tc>
        <w:tc>
          <w:tcPr>
            <w:tcW w:w="421" w:type="pct"/>
            <w:tcBorders>
              <w:top w:val="nil"/>
              <w:left w:val="nil"/>
              <w:bottom w:val="single" w:sz="4" w:space="0" w:color="auto"/>
              <w:right w:val="single" w:sz="4" w:space="0" w:color="auto"/>
            </w:tcBorders>
            <w:shd w:val="clear" w:color="auto" w:fill="auto"/>
            <w:hideMark/>
          </w:tcPr>
          <w:p w14:paraId="2A59A439"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4181</w:t>
            </w:r>
          </w:p>
        </w:tc>
        <w:tc>
          <w:tcPr>
            <w:tcW w:w="319" w:type="pct"/>
            <w:tcBorders>
              <w:top w:val="nil"/>
              <w:left w:val="nil"/>
              <w:bottom w:val="single" w:sz="4" w:space="0" w:color="auto"/>
              <w:right w:val="single" w:sz="4" w:space="0" w:color="auto"/>
            </w:tcBorders>
            <w:shd w:val="clear" w:color="auto" w:fill="auto"/>
            <w:hideMark/>
          </w:tcPr>
          <w:p w14:paraId="4BFDE91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1425</w:t>
            </w:r>
          </w:p>
        </w:tc>
        <w:tc>
          <w:tcPr>
            <w:tcW w:w="377" w:type="pct"/>
            <w:tcBorders>
              <w:top w:val="nil"/>
              <w:left w:val="nil"/>
              <w:bottom w:val="single" w:sz="4" w:space="0" w:color="auto"/>
              <w:right w:val="single" w:sz="4" w:space="0" w:color="auto"/>
            </w:tcBorders>
            <w:shd w:val="clear" w:color="auto" w:fill="auto"/>
            <w:noWrap/>
            <w:hideMark/>
          </w:tcPr>
          <w:p w14:paraId="66E4BF2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4006</w:t>
            </w:r>
          </w:p>
        </w:tc>
        <w:tc>
          <w:tcPr>
            <w:tcW w:w="311" w:type="pct"/>
            <w:tcBorders>
              <w:top w:val="nil"/>
              <w:left w:val="nil"/>
              <w:bottom w:val="single" w:sz="4" w:space="0" w:color="auto"/>
              <w:right w:val="single" w:sz="4" w:space="0" w:color="auto"/>
            </w:tcBorders>
            <w:shd w:val="clear" w:color="auto" w:fill="auto"/>
            <w:noWrap/>
            <w:hideMark/>
          </w:tcPr>
          <w:p w14:paraId="7086D95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1379</w:t>
            </w:r>
          </w:p>
        </w:tc>
        <w:tc>
          <w:tcPr>
            <w:tcW w:w="345" w:type="pct"/>
            <w:tcBorders>
              <w:top w:val="nil"/>
              <w:left w:val="nil"/>
              <w:bottom w:val="single" w:sz="4" w:space="0" w:color="auto"/>
              <w:right w:val="single" w:sz="4" w:space="0" w:color="auto"/>
            </w:tcBorders>
            <w:shd w:val="clear" w:color="auto" w:fill="auto"/>
            <w:noWrap/>
            <w:hideMark/>
          </w:tcPr>
          <w:p w14:paraId="004BEC92"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-175</w:t>
            </w:r>
          </w:p>
        </w:tc>
        <w:tc>
          <w:tcPr>
            <w:tcW w:w="315" w:type="pct"/>
            <w:tcBorders>
              <w:top w:val="nil"/>
              <w:left w:val="nil"/>
              <w:bottom w:val="single" w:sz="4" w:space="0" w:color="auto"/>
              <w:right w:val="single" w:sz="4" w:space="0" w:color="auto"/>
            </w:tcBorders>
            <w:shd w:val="clear" w:color="auto" w:fill="auto"/>
            <w:noWrap/>
            <w:hideMark/>
          </w:tcPr>
          <w:p w14:paraId="7BBF3F21" w14:textId="6F69A3F8"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95,8</w:t>
            </w:r>
          </w:p>
        </w:tc>
        <w:tc>
          <w:tcPr>
            <w:tcW w:w="309" w:type="pct"/>
            <w:tcBorders>
              <w:top w:val="nil"/>
              <w:left w:val="nil"/>
              <w:bottom w:val="single" w:sz="4" w:space="0" w:color="auto"/>
              <w:right w:val="single" w:sz="4" w:space="0" w:color="auto"/>
            </w:tcBorders>
            <w:shd w:val="clear" w:color="auto" w:fill="auto"/>
            <w:noWrap/>
            <w:hideMark/>
          </w:tcPr>
          <w:p w14:paraId="72E5C7A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-46</w:t>
            </w:r>
          </w:p>
        </w:tc>
        <w:tc>
          <w:tcPr>
            <w:tcW w:w="322" w:type="pct"/>
            <w:tcBorders>
              <w:top w:val="single" w:sz="4" w:space="0" w:color="auto"/>
              <w:left w:val="nil"/>
              <w:bottom w:val="single" w:sz="4" w:space="0" w:color="auto"/>
              <w:right w:val="single" w:sz="4" w:space="0" w:color="auto"/>
            </w:tcBorders>
            <w:shd w:val="clear" w:color="auto" w:fill="auto"/>
            <w:noWrap/>
            <w:hideMark/>
          </w:tcPr>
          <w:p w14:paraId="74285044"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96,8%</w:t>
            </w:r>
          </w:p>
        </w:tc>
      </w:tr>
      <w:tr w:rsidR="007F4823" w:rsidRPr="00DD5F1D" w14:paraId="58EE2CA2"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67943D0"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752B3D9A"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deputatilor</w:t>
            </w:r>
          </w:p>
        </w:tc>
        <w:tc>
          <w:tcPr>
            <w:tcW w:w="357" w:type="pct"/>
            <w:tcBorders>
              <w:top w:val="nil"/>
              <w:left w:val="nil"/>
              <w:bottom w:val="single" w:sz="4" w:space="0" w:color="auto"/>
              <w:right w:val="single" w:sz="4" w:space="0" w:color="auto"/>
            </w:tcBorders>
            <w:shd w:val="clear" w:color="auto" w:fill="auto"/>
            <w:hideMark/>
          </w:tcPr>
          <w:p w14:paraId="16E7423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190</w:t>
            </w:r>
          </w:p>
        </w:tc>
        <w:tc>
          <w:tcPr>
            <w:tcW w:w="283" w:type="pct"/>
            <w:tcBorders>
              <w:top w:val="nil"/>
              <w:left w:val="nil"/>
              <w:bottom w:val="single" w:sz="4" w:space="0" w:color="auto"/>
              <w:right w:val="single" w:sz="4" w:space="0" w:color="auto"/>
            </w:tcBorders>
            <w:shd w:val="clear" w:color="auto" w:fill="auto"/>
            <w:hideMark/>
          </w:tcPr>
          <w:p w14:paraId="40E523C2"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89</w:t>
            </w:r>
          </w:p>
        </w:tc>
        <w:tc>
          <w:tcPr>
            <w:tcW w:w="414" w:type="pct"/>
            <w:tcBorders>
              <w:top w:val="nil"/>
              <w:left w:val="nil"/>
              <w:bottom w:val="single" w:sz="4" w:space="0" w:color="auto"/>
              <w:right w:val="single" w:sz="4" w:space="0" w:color="auto"/>
            </w:tcBorders>
            <w:shd w:val="clear" w:color="auto" w:fill="auto"/>
            <w:hideMark/>
          </w:tcPr>
          <w:p w14:paraId="31999E2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170</w:t>
            </w:r>
          </w:p>
        </w:tc>
        <w:tc>
          <w:tcPr>
            <w:tcW w:w="274" w:type="pct"/>
            <w:tcBorders>
              <w:top w:val="nil"/>
              <w:left w:val="nil"/>
              <w:bottom w:val="single" w:sz="4" w:space="0" w:color="auto"/>
              <w:right w:val="single" w:sz="4" w:space="0" w:color="auto"/>
            </w:tcBorders>
            <w:shd w:val="clear" w:color="auto" w:fill="auto"/>
            <w:hideMark/>
          </w:tcPr>
          <w:p w14:paraId="6D54D50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58</w:t>
            </w:r>
          </w:p>
        </w:tc>
        <w:tc>
          <w:tcPr>
            <w:tcW w:w="421" w:type="pct"/>
            <w:tcBorders>
              <w:top w:val="nil"/>
              <w:left w:val="nil"/>
              <w:bottom w:val="single" w:sz="4" w:space="0" w:color="auto"/>
              <w:right w:val="single" w:sz="4" w:space="0" w:color="auto"/>
            </w:tcBorders>
            <w:shd w:val="clear" w:color="auto" w:fill="auto"/>
            <w:hideMark/>
          </w:tcPr>
          <w:p w14:paraId="6A7D0A03"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155</w:t>
            </w:r>
          </w:p>
        </w:tc>
        <w:tc>
          <w:tcPr>
            <w:tcW w:w="319" w:type="pct"/>
            <w:tcBorders>
              <w:top w:val="nil"/>
              <w:left w:val="nil"/>
              <w:bottom w:val="single" w:sz="4" w:space="0" w:color="auto"/>
              <w:right w:val="single" w:sz="4" w:space="0" w:color="auto"/>
            </w:tcBorders>
            <w:shd w:val="clear" w:color="auto" w:fill="auto"/>
            <w:hideMark/>
          </w:tcPr>
          <w:p w14:paraId="59F6163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44</w:t>
            </w:r>
          </w:p>
        </w:tc>
        <w:tc>
          <w:tcPr>
            <w:tcW w:w="377" w:type="pct"/>
            <w:tcBorders>
              <w:top w:val="nil"/>
              <w:left w:val="nil"/>
              <w:bottom w:val="single" w:sz="4" w:space="0" w:color="auto"/>
              <w:right w:val="single" w:sz="4" w:space="0" w:color="auto"/>
            </w:tcBorders>
            <w:shd w:val="clear" w:color="auto" w:fill="auto"/>
            <w:noWrap/>
            <w:hideMark/>
          </w:tcPr>
          <w:p w14:paraId="50BE2E5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146</w:t>
            </w:r>
          </w:p>
        </w:tc>
        <w:tc>
          <w:tcPr>
            <w:tcW w:w="311" w:type="pct"/>
            <w:tcBorders>
              <w:top w:val="nil"/>
              <w:left w:val="nil"/>
              <w:bottom w:val="single" w:sz="4" w:space="0" w:color="auto"/>
              <w:right w:val="single" w:sz="4" w:space="0" w:color="auto"/>
            </w:tcBorders>
            <w:shd w:val="clear" w:color="auto" w:fill="auto"/>
            <w:noWrap/>
            <w:hideMark/>
          </w:tcPr>
          <w:p w14:paraId="2B059A73"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38</w:t>
            </w:r>
          </w:p>
        </w:tc>
        <w:tc>
          <w:tcPr>
            <w:tcW w:w="345" w:type="pct"/>
            <w:tcBorders>
              <w:top w:val="nil"/>
              <w:left w:val="nil"/>
              <w:bottom w:val="single" w:sz="4" w:space="0" w:color="auto"/>
              <w:right w:val="single" w:sz="4" w:space="0" w:color="auto"/>
            </w:tcBorders>
            <w:shd w:val="clear" w:color="auto" w:fill="auto"/>
            <w:noWrap/>
            <w:hideMark/>
          </w:tcPr>
          <w:p w14:paraId="11030080"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w:t>
            </w:r>
          </w:p>
        </w:tc>
        <w:tc>
          <w:tcPr>
            <w:tcW w:w="315" w:type="pct"/>
            <w:tcBorders>
              <w:top w:val="nil"/>
              <w:left w:val="nil"/>
              <w:bottom w:val="single" w:sz="4" w:space="0" w:color="auto"/>
              <w:right w:val="single" w:sz="4" w:space="0" w:color="auto"/>
            </w:tcBorders>
            <w:shd w:val="clear" w:color="auto" w:fill="auto"/>
            <w:noWrap/>
            <w:hideMark/>
          </w:tcPr>
          <w:p w14:paraId="3B36F65B" w14:textId="17657FA9"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94,2</w:t>
            </w:r>
          </w:p>
        </w:tc>
        <w:tc>
          <w:tcPr>
            <w:tcW w:w="309" w:type="pct"/>
            <w:tcBorders>
              <w:top w:val="nil"/>
              <w:left w:val="nil"/>
              <w:bottom w:val="single" w:sz="4" w:space="0" w:color="auto"/>
              <w:right w:val="single" w:sz="4" w:space="0" w:color="auto"/>
            </w:tcBorders>
            <w:shd w:val="clear" w:color="auto" w:fill="auto"/>
            <w:noWrap/>
            <w:hideMark/>
          </w:tcPr>
          <w:p w14:paraId="4695E25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w:t>
            </w:r>
          </w:p>
        </w:tc>
        <w:tc>
          <w:tcPr>
            <w:tcW w:w="322" w:type="pct"/>
            <w:tcBorders>
              <w:top w:val="single" w:sz="4" w:space="0" w:color="auto"/>
              <w:left w:val="nil"/>
              <w:bottom w:val="single" w:sz="4" w:space="0" w:color="auto"/>
              <w:right w:val="single" w:sz="4" w:space="0" w:color="auto"/>
            </w:tcBorders>
            <w:shd w:val="clear" w:color="auto" w:fill="auto"/>
            <w:noWrap/>
            <w:hideMark/>
          </w:tcPr>
          <w:p w14:paraId="7F180E6B"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86,4%</w:t>
            </w:r>
          </w:p>
        </w:tc>
      </w:tr>
      <w:tr w:rsidR="007F4823" w:rsidRPr="00DD5F1D" w14:paraId="6D677E00"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433362B"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7BB1D800"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membrilor de guvern</w:t>
            </w:r>
          </w:p>
        </w:tc>
        <w:tc>
          <w:tcPr>
            <w:tcW w:w="357" w:type="pct"/>
            <w:tcBorders>
              <w:top w:val="nil"/>
              <w:left w:val="nil"/>
              <w:bottom w:val="single" w:sz="4" w:space="0" w:color="auto"/>
              <w:right w:val="single" w:sz="4" w:space="0" w:color="auto"/>
            </w:tcBorders>
            <w:shd w:val="clear" w:color="auto" w:fill="auto"/>
            <w:hideMark/>
          </w:tcPr>
          <w:p w14:paraId="70B863A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42</w:t>
            </w:r>
          </w:p>
        </w:tc>
        <w:tc>
          <w:tcPr>
            <w:tcW w:w="283" w:type="pct"/>
            <w:tcBorders>
              <w:top w:val="nil"/>
              <w:left w:val="nil"/>
              <w:bottom w:val="single" w:sz="4" w:space="0" w:color="auto"/>
              <w:right w:val="single" w:sz="4" w:space="0" w:color="auto"/>
            </w:tcBorders>
            <w:shd w:val="clear" w:color="auto" w:fill="auto"/>
            <w:hideMark/>
          </w:tcPr>
          <w:p w14:paraId="6CD49812"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w:t>
            </w:r>
          </w:p>
        </w:tc>
        <w:tc>
          <w:tcPr>
            <w:tcW w:w="414" w:type="pct"/>
            <w:tcBorders>
              <w:top w:val="nil"/>
              <w:left w:val="nil"/>
              <w:bottom w:val="single" w:sz="4" w:space="0" w:color="auto"/>
              <w:right w:val="single" w:sz="4" w:space="0" w:color="auto"/>
            </w:tcBorders>
            <w:shd w:val="clear" w:color="auto" w:fill="auto"/>
            <w:hideMark/>
          </w:tcPr>
          <w:p w14:paraId="32DADB9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33</w:t>
            </w:r>
          </w:p>
        </w:tc>
        <w:tc>
          <w:tcPr>
            <w:tcW w:w="274" w:type="pct"/>
            <w:tcBorders>
              <w:top w:val="nil"/>
              <w:left w:val="nil"/>
              <w:bottom w:val="single" w:sz="4" w:space="0" w:color="auto"/>
              <w:right w:val="single" w:sz="4" w:space="0" w:color="auto"/>
            </w:tcBorders>
            <w:shd w:val="clear" w:color="auto" w:fill="auto"/>
            <w:hideMark/>
          </w:tcPr>
          <w:p w14:paraId="1127A6E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w:t>
            </w:r>
          </w:p>
        </w:tc>
        <w:tc>
          <w:tcPr>
            <w:tcW w:w="421" w:type="pct"/>
            <w:tcBorders>
              <w:top w:val="nil"/>
              <w:left w:val="nil"/>
              <w:bottom w:val="single" w:sz="4" w:space="0" w:color="auto"/>
              <w:right w:val="single" w:sz="4" w:space="0" w:color="auto"/>
            </w:tcBorders>
            <w:shd w:val="clear" w:color="auto" w:fill="auto"/>
            <w:hideMark/>
          </w:tcPr>
          <w:p w14:paraId="393A7403"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30</w:t>
            </w:r>
          </w:p>
        </w:tc>
        <w:tc>
          <w:tcPr>
            <w:tcW w:w="319" w:type="pct"/>
            <w:tcBorders>
              <w:top w:val="nil"/>
              <w:left w:val="nil"/>
              <w:bottom w:val="single" w:sz="4" w:space="0" w:color="auto"/>
              <w:right w:val="single" w:sz="4" w:space="0" w:color="auto"/>
            </w:tcBorders>
            <w:shd w:val="clear" w:color="auto" w:fill="auto"/>
            <w:hideMark/>
          </w:tcPr>
          <w:p w14:paraId="1281623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w:t>
            </w:r>
          </w:p>
        </w:tc>
        <w:tc>
          <w:tcPr>
            <w:tcW w:w="377" w:type="pct"/>
            <w:tcBorders>
              <w:top w:val="nil"/>
              <w:left w:val="nil"/>
              <w:bottom w:val="single" w:sz="4" w:space="0" w:color="auto"/>
              <w:right w:val="single" w:sz="4" w:space="0" w:color="auto"/>
            </w:tcBorders>
            <w:shd w:val="clear" w:color="auto" w:fill="auto"/>
            <w:noWrap/>
            <w:hideMark/>
          </w:tcPr>
          <w:p w14:paraId="08A2C57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28</w:t>
            </w:r>
          </w:p>
        </w:tc>
        <w:tc>
          <w:tcPr>
            <w:tcW w:w="311" w:type="pct"/>
            <w:tcBorders>
              <w:top w:val="nil"/>
              <w:left w:val="nil"/>
              <w:bottom w:val="single" w:sz="4" w:space="0" w:color="auto"/>
              <w:right w:val="single" w:sz="4" w:space="0" w:color="auto"/>
            </w:tcBorders>
            <w:shd w:val="clear" w:color="auto" w:fill="auto"/>
            <w:noWrap/>
            <w:hideMark/>
          </w:tcPr>
          <w:p w14:paraId="677EDB2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w:t>
            </w:r>
          </w:p>
        </w:tc>
        <w:tc>
          <w:tcPr>
            <w:tcW w:w="345" w:type="pct"/>
            <w:tcBorders>
              <w:top w:val="nil"/>
              <w:left w:val="nil"/>
              <w:bottom w:val="single" w:sz="4" w:space="0" w:color="auto"/>
              <w:right w:val="single" w:sz="4" w:space="0" w:color="auto"/>
            </w:tcBorders>
            <w:shd w:val="clear" w:color="auto" w:fill="auto"/>
            <w:noWrap/>
            <w:hideMark/>
          </w:tcPr>
          <w:p w14:paraId="08AAF883"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w:t>
            </w:r>
          </w:p>
        </w:tc>
        <w:tc>
          <w:tcPr>
            <w:tcW w:w="315" w:type="pct"/>
            <w:tcBorders>
              <w:top w:val="nil"/>
              <w:left w:val="nil"/>
              <w:bottom w:val="single" w:sz="4" w:space="0" w:color="auto"/>
              <w:right w:val="single" w:sz="4" w:space="0" w:color="auto"/>
            </w:tcBorders>
            <w:shd w:val="clear" w:color="auto" w:fill="auto"/>
            <w:noWrap/>
            <w:hideMark/>
          </w:tcPr>
          <w:p w14:paraId="220C5EAE" w14:textId="3461BB60"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93,3</w:t>
            </w:r>
          </w:p>
        </w:tc>
        <w:tc>
          <w:tcPr>
            <w:tcW w:w="309" w:type="pct"/>
            <w:tcBorders>
              <w:top w:val="nil"/>
              <w:left w:val="nil"/>
              <w:bottom w:val="single" w:sz="4" w:space="0" w:color="auto"/>
              <w:right w:val="single" w:sz="4" w:space="0" w:color="auto"/>
            </w:tcBorders>
            <w:shd w:val="clear" w:color="auto" w:fill="auto"/>
            <w:noWrap/>
            <w:hideMark/>
          </w:tcPr>
          <w:p w14:paraId="4F990FAD"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w:t>
            </w:r>
          </w:p>
        </w:tc>
        <w:tc>
          <w:tcPr>
            <w:tcW w:w="322" w:type="pct"/>
            <w:tcBorders>
              <w:top w:val="single" w:sz="4" w:space="0" w:color="auto"/>
              <w:left w:val="nil"/>
              <w:bottom w:val="single" w:sz="4" w:space="0" w:color="auto"/>
              <w:right w:val="single" w:sz="4" w:space="0" w:color="auto"/>
            </w:tcBorders>
            <w:shd w:val="clear" w:color="auto" w:fill="auto"/>
            <w:noWrap/>
            <w:hideMark/>
          </w:tcPr>
          <w:p w14:paraId="3DFB5137"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0,0%</w:t>
            </w:r>
          </w:p>
        </w:tc>
      </w:tr>
      <w:tr w:rsidR="007F4823" w:rsidRPr="00DD5F1D" w14:paraId="2627A8A6"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659A9BB"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28D13BC8"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alesilori locali</w:t>
            </w:r>
          </w:p>
        </w:tc>
        <w:tc>
          <w:tcPr>
            <w:tcW w:w="357" w:type="pct"/>
            <w:tcBorders>
              <w:top w:val="nil"/>
              <w:left w:val="nil"/>
              <w:bottom w:val="single" w:sz="4" w:space="0" w:color="auto"/>
              <w:right w:val="single" w:sz="4" w:space="0" w:color="auto"/>
            </w:tcBorders>
            <w:shd w:val="clear" w:color="auto" w:fill="auto"/>
            <w:hideMark/>
          </w:tcPr>
          <w:p w14:paraId="7DEF411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539</w:t>
            </w:r>
          </w:p>
        </w:tc>
        <w:tc>
          <w:tcPr>
            <w:tcW w:w="283" w:type="pct"/>
            <w:tcBorders>
              <w:top w:val="nil"/>
              <w:left w:val="nil"/>
              <w:bottom w:val="single" w:sz="4" w:space="0" w:color="auto"/>
              <w:right w:val="single" w:sz="4" w:space="0" w:color="auto"/>
            </w:tcBorders>
            <w:shd w:val="clear" w:color="auto" w:fill="auto"/>
            <w:hideMark/>
          </w:tcPr>
          <w:p w14:paraId="5EA2177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232</w:t>
            </w:r>
          </w:p>
        </w:tc>
        <w:tc>
          <w:tcPr>
            <w:tcW w:w="414" w:type="pct"/>
            <w:tcBorders>
              <w:top w:val="nil"/>
              <w:left w:val="nil"/>
              <w:bottom w:val="single" w:sz="4" w:space="0" w:color="auto"/>
              <w:right w:val="single" w:sz="4" w:space="0" w:color="auto"/>
            </w:tcBorders>
            <w:shd w:val="clear" w:color="auto" w:fill="auto"/>
            <w:hideMark/>
          </w:tcPr>
          <w:p w14:paraId="0B6AAB37"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444</w:t>
            </w:r>
          </w:p>
        </w:tc>
        <w:tc>
          <w:tcPr>
            <w:tcW w:w="274" w:type="pct"/>
            <w:tcBorders>
              <w:top w:val="nil"/>
              <w:left w:val="nil"/>
              <w:bottom w:val="single" w:sz="4" w:space="0" w:color="auto"/>
              <w:right w:val="single" w:sz="4" w:space="0" w:color="auto"/>
            </w:tcBorders>
            <w:shd w:val="clear" w:color="auto" w:fill="auto"/>
            <w:hideMark/>
          </w:tcPr>
          <w:p w14:paraId="163709F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127</w:t>
            </w:r>
          </w:p>
        </w:tc>
        <w:tc>
          <w:tcPr>
            <w:tcW w:w="421" w:type="pct"/>
            <w:tcBorders>
              <w:top w:val="nil"/>
              <w:left w:val="nil"/>
              <w:bottom w:val="single" w:sz="4" w:space="0" w:color="auto"/>
              <w:right w:val="single" w:sz="4" w:space="0" w:color="auto"/>
            </w:tcBorders>
            <w:shd w:val="clear" w:color="auto" w:fill="auto"/>
            <w:hideMark/>
          </w:tcPr>
          <w:p w14:paraId="5885156D"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392</w:t>
            </w:r>
          </w:p>
        </w:tc>
        <w:tc>
          <w:tcPr>
            <w:tcW w:w="319" w:type="pct"/>
            <w:tcBorders>
              <w:top w:val="nil"/>
              <w:left w:val="nil"/>
              <w:bottom w:val="single" w:sz="4" w:space="0" w:color="auto"/>
              <w:right w:val="single" w:sz="4" w:space="0" w:color="auto"/>
            </w:tcBorders>
            <w:shd w:val="clear" w:color="auto" w:fill="auto"/>
            <w:hideMark/>
          </w:tcPr>
          <w:p w14:paraId="0493DD4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76</w:t>
            </w:r>
          </w:p>
        </w:tc>
        <w:tc>
          <w:tcPr>
            <w:tcW w:w="377" w:type="pct"/>
            <w:tcBorders>
              <w:top w:val="nil"/>
              <w:left w:val="nil"/>
              <w:bottom w:val="single" w:sz="4" w:space="0" w:color="auto"/>
              <w:right w:val="single" w:sz="4" w:space="0" w:color="auto"/>
            </w:tcBorders>
            <w:shd w:val="clear" w:color="auto" w:fill="auto"/>
            <w:noWrap/>
            <w:hideMark/>
          </w:tcPr>
          <w:p w14:paraId="379BB43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354</w:t>
            </w:r>
          </w:p>
        </w:tc>
        <w:tc>
          <w:tcPr>
            <w:tcW w:w="311" w:type="pct"/>
            <w:tcBorders>
              <w:top w:val="nil"/>
              <w:left w:val="nil"/>
              <w:bottom w:val="single" w:sz="4" w:space="0" w:color="auto"/>
              <w:right w:val="single" w:sz="4" w:space="0" w:color="auto"/>
            </w:tcBorders>
            <w:shd w:val="clear" w:color="auto" w:fill="auto"/>
            <w:noWrap/>
            <w:hideMark/>
          </w:tcPr>
          <w:p w14:paraId="6B5EA01D"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69</w:t>
            </w:r>
          </w:p>
        </w:tc>
        <w:tc>
          <w:tcPr>
            <w:tcW w:w="345" w:type="pct"/>
            <w:tcBorders>
              <w:top w:val="nil"/>
              <w:left w:val="nil"/>
              <w:bottom w:val="single" w:sz="4" w:space="0" w:color="auto"/>
              <w:right w:val="single" w:sz="4" w:space="0" w:color="auto"/>
            </w:tcBorders>
            <w:shd w:val="clear" w:color="auto" w:fill="auto"/>
            <w:noWrap/>
            <w:hideMark/>
          </w:tcPr>
          <w:p w14:paraId="28316076"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-38</w:t>
            </w:r>
          </w:p>
        </w:tc>
        <w:tc>
          <w:tcPr>
            <w:tcW w:w="315" w:type="pct"/>
            <w:tcBorders>
              <w:top w:val="nil"/>
              <w:left w:val="nil"/>
              <w:bottom w:val="single" w:sz="4" w:space="0" w:color="auto"/>
              <w:right w:val="single" w:sz="4" w:space="0" w:color="auto"/>
            </w:tcBorders>
            <w:shd w:val="clear" w:color="auto" w:fill="auto"/>
            <w:noWrap/>
            <w:hideMark/>
          </w:tcPr>
          <w:p w14:paraId="094E6650" w14:textId="4F419B88"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90,3</w:t>
            </w:r>
          </w:p>
        </w:tc>
        <w:tc>
          <w:tcPr>
            <w:tcW w:w="309" w:type="pct"/>
            <w:tcBorders>
              <w:top w:val="nil"/>
              <w:left w:val="nil"/>
              <w:bottom w:val="single" w:sz="4" w:space="0" w:color="auto"/>
              <w:right w:val="single" w:sz="4" w:space="0" w:color="auto"/>
            </w:tcBorders>
            <w:shd w:val="clear" w:color="auto" w:fill="auto"/>
            <w:noWrap/>
            <w:hideMark/>
          </w:tcPr>
          <w:p w14:paraId="1FB7BD9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-7</w:t>
            </w:r>
          </w:p>
        </w:tc>
        <w:tc>
          <w:tcPr>
            <w:tcW w:w="322" w:type="pct"/>
            <w:tcBorders>
              <w:top w:val="single" w:sz="4" w:space="0" w:color="auto"/>
              <w:left w:val="nil"/>
              <w:bottom w:val="single" w:sz="4" w:space="0" w:color="auto"/>
              <w:right w:val="single" w:sz="4" w:space="0" w:color="auto"/>
            </w:tcBorders>
            <w:shd w:val="clear" w:color="auto" w:fill="auto"/>
            <w:noWrap/>
            <w:hideMark/>
          </w:tcPr>
          <w:p w14:paraId="66F0277C"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90,8%</w:t>
            </w:r>
          </w:p>
        </w:tc>
      </w:tr>
      <w:tr w:rsidR="007F4823" w:rsidRPr="00DD5F1D" w14:paraId="0B76138B"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A7DB1A8"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23157391"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lucratorilor vamali</w:t>
            </w:r>
          </w:p>
        </w:tc>
        <w:tc>
          <w:tcPr>
            <w:tcW w:w="357" w:type="pct"/>
            <w:tcBorders>
              <w:top w:val="nil"/>
              <w:left w:val="nil"/>
              <w:bottom w:val="single" w:sz="4" w:space="0" w:color="auto"/>
              <w:right w:val="single" w:sz="4" w:space="0" w:color="auto"/>
            </w:tcBorders>
            <w:shd w:val="clear" w:color="auto" w:fill="auto"/>
            <w:hideMark/>
          </w:tcPr>
          <w:p w14:paraId="08FF4CF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w:t>
            </w:r>
          </w:p>
        </w:tc>
        <w:tc>
          <w:tcPr>
            <w:tcW w:w="283" w:type="pct"/>
            <w:tcBorders>
              <w:top w:val="nil"/>
              <w:left w:val="nil"/>
              <w:bottom w:val="single" w:sz="4" w:space="0" w:color="auto"/>
              <w:right w:val="single" w:sz="4" w:space="0" w:color="auto"/>
            </w:tcBorders>
            <w:shd w:val="clear" w:color="auto" w:fill="auto"/>
            <w:hideMark/>
          </w:tcPr>
          <w:p w14:paraId="453901B7"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w:t>
            </w:r>
          </w:p>
        </w:tc>
        <w:tc>
          <w:tcPr>
            <w:tcW w:w="414" w:type="pct"/>
            <w:tcBorders>
              <w:top w:val="nil"/>
              <w:left w:val="nil"/>
              <w:bottom w:val="single" w:sz="4" w:space="0" w:color="auto"/>
              <w:right w:val="single" w:sz="4" w:space="0" w:color="auto"/>
            </w:tcBorders>
            <w:shd w:val="clear" w:color="auto" w:fill="auto"/>
            <w:hideMark/>
          </w:tcPr>
          <w:p w14:paraId="37039CBA"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w:t>
            </w:r>
          </w:p>
        </w:tc>
        <w:tc>
          <w:tcPr>
            <w:tcW w:w="274" w:type="pct"/>
            <w:tcBorders>
              <w:top w:val="nil"/>
              <w:left w:val="nil"/>
              <w:bottom w:val="single" w:sz="4" w:space="0" w:color="auto"/>
              <w:right w:val="single" w:sz="4" w:space="0" w:color="auto"/>
            </w:tcBorders>
            <w:shd w:val="clear" w:color="auto" w:fill="auto"/>
            <w:hideMark/>
          </w:tcPr>
          <w:p w14:paraId="20A05DD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w:t>
            </w:r>
          </w:p>
        </w:tc>
        <w:tc>
          <w:tcPr>
            <w:tcW w:w="421" w:type="pct"/>
            <w:tcBorders>
              <w:top w:val="nil"/>
              <w:left w:val="nil"/>
              <w:bottom w:val="single" w:sz="4" w:space="0" w:color="auto"/>
              <w:right w:val="single" w:sz="4" w:space="0" w:color="auto"/>
            </w:tcBorders>
            <w:shd w:val="clear" w:color="auto" w:fill="auto"/>
            <w:hideMark/>
          </w:tcPr>
          <w:p w14:paraId="433CEBE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w:t>
            </w:r>
          </w:p>
        </w:tc>
        <w:tc>
          <w:tcPr>
            <w:tcW w:w="319" w:type="pct"/>
            <w:tcBorders>
              <w:top w:val="nil"/>
              <w:left w:val="nil"/>
              <w:bottom w:val="single" w:sz="4" w:space="0" w:color="auto"/>
              <w:right w:val="single" w:sz="4" w:space="0" w:color="auto"/>
            </w:tcBorders>
            <w:shd w:val="clear" w:color="auto" w:fill="auto"/>
            <w:hideMark/>
          </w:tcPr>
          <w:p w14:paraId="1331EA5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w:t>
            </w:r>
          </w:p>
        </w:tc>
        <w:tc>
          <w:tcPr>
            <w:tcW w:w="377" w:type="pct"/>
            <w:tcBorders>
              <w:top w:val="nil"/>
              <w:left w:val="nil"/>
              <w:bottom w:val="single" w:sz="4" w:space="0" w:color="auto"/>
              <w:right w:val="single" w:sz="4" w:space="0" w:color="auto"/>
            </w:tcBorders>
            <w:shd w:val="clear" w:color="auto" w:fill="auto"/>
            <w:noWrap/>
            <w:hideMark/>
          </w:tcPr>
          <w:p w14:paraId="7CF89A2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w:t>
            </w:r>
          </w:p>
        </w:tc>
        <w:tc>
          <w:tcPr>
            <w:tcW w:w="311" w:type="pct"/>
            <w:tcBorders>
              <w:top w:val="nil"/>
              <w:left w:val="nil"/>
              <w:bottom w:val="single" w:sz="4" w:space="0" w:color="auto"/>
              <w:right w:val="single" w:sz="4" w:space="0" w:color="auto"/>
            </w:tcBorders>
            <w:shd w:val="clear" w:color="auto" w:fill="auto"/>
            <w:noWrap/>
            <w:hideMark/>
          </w:tcPr>
          <w:p w14:paraId="683F602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w:t>
            </w:r>
          </w:p>
        </w:tc>
        <w:tc>
          <w:tcPr>
            <w:tcW w:w="345" w:type="pct"/>
            <w:tcBorders>
              <w:top w:val="nil"/>
              <w:left w:val="nil"/>
              <w:bottom w:val="single" w:sz="4" w:space="0" w:color="auto"/>
              <w:right w:val="single" w:sz="4" w:space="0" w:color="auto"/>
            </w:tcBorders>
            <w:shd w:val="clear" w:color="auto" w:fill="auto"/>
            <w:noWrap/>
            <w:hideMark/>
          </w:tcPr>
          <w:p w14:paraId="62588DCF"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0</w:t>
            </w:r>
          </w:p>
        </w:tc>
        <w:tc>
          <w:tcPr>
            <w:tcW w:w="315" w:type="pct"/>
            <w:tcBorders>
              <w:top w:val="nil"/>
              <w:left w:val="nil"/>
              <w:bottom w:val="single" w:sz="4" w:space="0" w:color="auto"/>
              <w:right w:val="single" w:sz="4" w:space="0" w:color="auto"/>
            </w:tcBorders>
            <w:shd w:val="clear" w:color="auto" w:fill="auto"/>
            <w:noWrap/>
            <w:hideMark/>
          </w:tcPr>
          <w:p w14:paraId="7A452FA3" w14:textId="6C7033EF"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100,0</w:t>
            </w:r>
          </w:p>
        </w:tc>
        <w:tc>
          <w:tcPr>
            <w:tcW w:w="309" w:type="pct"/>
            <w:tcBorders>
              <w:top w:val="nil"/>
              <w:left w:val="nil"/>
              <w:bottom w:val="single" w:sz="4" w:space="0" w:color="auto"/>
              <w:right w:val="single" w:sz="4" w:space="0" w:color="auto"/>
            </w:tcBorders>
            <w:shd w:val="clear" w:color="auto" w:fill="auto"/>
            <w:noWrap/>
            <w:hideMark/>
          </w:tcPr>
          <w:p w14:paraId="4B41809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0</w:t>
            </w:r>
          </w:p>
        </w:tc>
        <w:tc>
          <w:tcPr>
            <w:tcW w:w="322" w:type="pct"/>
            <w:tcBorders>
              <w:top w:val="single" w:sz="4" w:space="0" w:color="auto"/>
              <w:left w:val="nil"/>
              <w:bottom w:val="single" w:sz="4" w:space="0" w:color="auto"/>
              <w:right w:val="single" w:sz="4" w:space="0" w:color="auto"/>
            </w:tcBorders>
            <w:shd w:val="clear" w:color="auto" w:fill="auto"/>
            <w:noWrap/>
            <w:hideMark/>
          </w:tcPr>
          <w:p w14:paraId="2AEE1A5C"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#DIV/0!</w:t>
            </w:r>
          </w:p>
        </w:tc>
      </w:tr>
      <w:tr w:rsidR="007F4823" w:rsidRPr="00DD5F1D" w14:paraId="7CBFA24B"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BD85FFC"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46E731FE"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procurorilor si judecatorilor</w:t>
            </w:r>
          </w:p>
        </w:tc>
        <w:tc>
          <w:tcPr>
            <w:tcW w:w="357" w:type="pct"/>
            <w:tcBorders>
              <w:top w:val="nil"/>
              <w:left w:val="nil"/>
              <w:bottom w:val="single" w:sz="4" w:space="0" w:color="auto"/>
              <w:right w:val="single" w:sz="4" w:space="0" w:color="auto"/>
            </w:tcBorders>
            <w:shd w:val="clear" w:color="auto" w:fill="auto"/>
            <w:hideMark/>
          </w:tcPr>
          <w:p w14:paraId="2E75C93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512</w:t>
            </w:r>
          </w:p>
        </w:tc>
        <w:tc>
          <w:tcPr>
            <w:tcW w:w="283" w:type="pct"/>
            <w:tcBorders>
              <w:top w:val="nil"/>
              <w:left w:val="nil"/>
              <w:bottom w:val="single" w:sz="4" w:space="0" w:color="auto"/>
              <w:right w:val="single" w:sz="4" w:space="0" w:color="auto"/>
            </w:tcBorders>
            <w:shd w:val="clear" w:color="auto" w:fill="auto"/>
            <w:hideMark/>
          </w:tcPr>
          <w:p w14:paraId="77B645E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220</w:t>
            </w:r>
          </w:p>
        </w:tc>
        <w:tc>
          <w:tcPr>
            <w:tcW w:w="414" w:type="pct"/>
            <w:tcBorders>
              <w:top w:val="nil"/>
              <w:left w:val="nil"/>
              <w:bottom w:val="single" w:sz="4" w:space="0" w:color="auto"/>
              <w:right w:val="single" w:sz="4" w:space="0" w:color="auto"/>
            </w:tcBorders>
            <w:shd w:val="clear" w:color="auto" w:fill="auto"/>
            <w:hideMark/>
          </w:tcPr>
          <w:p w14:paraId="26A4D530"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497</w:t>
            </w:r>
          </w:p>
        </w:tc>
        <w:tc>
          <w:tcPr>
            <w:tcW w:w="274" w:type="pct"/>
            <w:tcBorders>
              <w:top w:val="nil"/>
              <w:left w:val="nil"/>
              <w:bottom w:val="single" w:sz="4" w:space="0" w:color="auto"/>
              <w:right w:val="single" w:sz="4" w:space="0" w:color="auto"/>
            </w:tcBorders>
            <w:shd w:val="clear" w:color="auto" w:fill="auto"/>
            <w:hideMark/>
          </w:tcPr>
          <w:p w14:paraId="1C934850"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211</w:t>
            </w:r>
          </w:p>
        </w:tc>
        <w:tc>
          <w:tcPr>
            <w:tcW w:w="421" w:type="pct"/>
            <w:tcBorders>
              <w:top w:val="nil"/>
              <w:left w:val="nil"/>
              <w:bottom w:val="single" w:sz="4" w:space="0" w:color="auto"/>
              <w:right w:val="single" w:sz="4" w:space="0" w:color="auto"/>
            </w:tcBorders>
            <w:shd w:val="clear" w:color="auto" w:fill="auto"/>
            <w:hideMark/>
          </w:tcPr>
          <w:p w14:paraId="5949EF8A"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491</w:t>
            </w:r>
          </w:p>
        </w:tc>
        <w:tc>
          <w:tcPr>
            <w:tcW w:w="319" w:type="pct"/>
            <w:tcBorders>
              <w:top w:val="nil"/>
              <w:left w:val="nil"/>
              <w:bottom w:val="single" w:sz="4" w:space="0" w:color="auto"/>
              <w:right w:val="single" w:sz="4" w:space="0" w:color="auto"/>
            </w:tcBorders>
            <w:shd w:val="clear" w:color="auto" w:fill="auto"/>
            <w:hideMark/>
          </w:tcPr>
          <w:p w14:paraId="0477701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156</w:t>
            </w:r>
          </w:p>
        </w:tc>
        <w:tc>
          <w:tcPr>
            <w:tcW w:w="377" w:type="pct"/>
            <w:tcBorders>
              <w:top w:val="nil"/>
              <w:left w:val="nil"/>
              <w:bottom w:val="single" w:sz="4" w:space="0" w:color="auto"/>
              <w:right w:val="single" w:sz="4" w:space="0" w:color="auto"/>
            </w:tcBorders>
            <w:shd w:val="clear" w:color="auto" w:fill="auto"/>
            <w:noWrap/>
            <w:hideMark/>
          </w:tcPr>
          <w:p w14:paraId="75146FA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501</w:t>
            </w:r>
          </w:p>
        </w:tc>
        <w:tc>
          <w:tcPr>
            <w:tcW w:w="311" w:type="pct"/>
            <w:tcBorders>
              <w:top w:val="nil"/>
              <w:left w:val="nil"/>
              <w:bottom w:val="single" w:sz="4" w:space="0" w:color="auto"/>
              <w:right w:val="single" w:sz="4" w:space="0" w:color="auto"/>
            </w:tcBorders>
            <w:shd w:val="clear" w:color="auto" w:fill="auto"/>
            <w:noWrap/>
            <w:hideMark/>
          </w:tcPr>
          <w:p w14:paraId="2C0C748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159</w:t>
            </w:r>
          </w:p>
        </w:tc>
        <w:tc>
          <w:tcPr>
            <w:tcW w:w="345" w:type="pct"/>
            <w:tcBorders>
              <w:top w:val="nil"/>
              <w:left w:val="nil"/>
              <w:bottom w:val="single" w:sz="4" w:space="0" w:color="auto"/>
              <w:right w:val="single" w:sz="4" w:space="0" w:color="auto"/>
            </w:tcBorders>
            <w:shd w:val="clear" w:color="auto" w:fill="auto"/>
            <w:noWrap/>
            <w:hideMark/>
          </w:tcPr>
          <w:p w14:paraId="74DFE3B7"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w:t>
            </w:r>
          </w:p>
        </w:tc>
        <w:tc>
          <w:tcPr>
            <w:tcW w:w="315" w:type="pct"/>
            <w:tcBorders>
              <w:top w:val="nil"/>
              <w:left w:val="nil"/>
              <w:bottom w:val="single" w:sz="4" w:space="0" w:color="auto"/>
              <w:right w:val="single" w:sz="4" w:space="0" w:color="auto"/>
            </w:tcBorders>
            <w:shd w:val="clear" w:color="auto" w:fill="auto"/>
            <w:noWrap/>
            <w:hideMark/>
          </w:tcPr>
          <w:p w14:paraId="4C2FE0E9" w14:textId="3E92C60D"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102,0</w:t>
            </w:r>
          </w:p>
        </w:tc>
        <w:tc>
          <w:tcPr>
            <w:tcW w:w="309" w:type="pct"/>
            <w:tcBorders>
              <w:top w:val="nil"/>
              <w:left w:val="nil"/>
              <w:bottom w:val="single" w:sz="4" w:space="0" w:color="auto"/>
              <w:right w:val="single" w:sz="4" w:space="0" w:color="auto"/>
            </w:tcBorders>
            <w:shd w:val="clear" w:color="auto" w:fill="auto"/>
            <w:noWrap/>
            <w:hideMark/>
          </w:tcPr>
          <w:p w14:paraId="63D4272E"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w:t>
            </w:r>
          </w:p>
        </w:tc>
        <w:tc>
          <w:tcPr>
            <w:tcW w:w="322" w:type="pct"/>
            <w:tcBorders>
              <w:top w:val="single" w:sz="4" w:space="0" w:color="auto"/>
              <w:left w:val="nil"/>
              <w:bottom w:val="single" w:sz="4" w:space="0" w:color="auto"/>
              <w:right w:val="single" w:sz="4" w:space="0" w:color="auto"/>
            </w:tcBorders>
            <w:shd w:val="clear" w:color="auto" w:fill="auto"/>
            <w:noWrap/>
            <w:hideMark/>
          </w:tcPr>
          <w:p w14:paraId="5CEFF610"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101,9%</w:t>
            </w:r>
          </w:p>
        </w:tc>
      </w:tr>
      <w:tr w:rsidR="007F4823" w:rsidRPr="00DD5F1D" w14:paraId="6CBF32F6"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5EC21952"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57524537" w14:textId="7A1D89EE" w:rsidR="007F4823" w:rsidRPr="00DD5F1D" w:rsidRDefault="007F4823" w:rsidP="00D86B83">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participantilor la lichidare</w:t>
            </w:r>
            <w:r w:rsidR="00D86B83" w:rsidRPr="00DD5F1D">
              <w:rPr>
                <w:rFonts w:ascii="Times New Roman" w:eastAsia="Times New Roman" w:hAnsi="Times New Roman" w:cs="Times New Roman"/>
                <w:sz w:val="16"/>
                <w:szCs w:val="16"/>
                <w:lang w:val="ro-MD"/>
              </w:rPr>
              <w:t>a</w:t>
            </w:r>
            <w:r w:rsidRPr="00DD5F1D">
              <w:rPr>
                <w:rFonts w:ascii="Times New Roman" w:eastAsia="Times New Roman" w:hAnsi="Times New Roman" w:cs="Times New Roman"/>
                <w:sz w:val="16"/>
                <w:szCs w:val="16"/>
                <w:lang w:val="ro-MD"/>
              </w:rPr>
              <w:t xml:space="preserve"> avariei de la </w:t>
            </w:r>
            <w:r w:rsidR="000A5CAC" w:rsidRPr="00DD5F1D">
              <w:rPr>
                <w:rFonts w:ascii="Times New Roman" w:eastAsia="Times New Roman" w:hAnsi="Times New Roman" w:cs="Times New Roman"/>
                <w:sz w:val="16"/>
                <w:szCs w:val="16"/>
                <w:lang w:val="ro-MD"/>
              </w:rPr>
              <w:t>C</w:t>
            </w:r>
            <w:r w:rsidRPr="00DD5F1D">
              <w:rPr>
                <w:rFonts w:ascii="Times New Roman" w:eastAsia="Times New Roman" w:hAnsi="Times New Roman" w:cs="Times New Roman"/>
                <w:sz w:val="16"/>
                <w:szCs w:val="16"/>
                <w:lang w:val="ro-MD"/>
              </w:rPr>
              <w:t>ernob</w:t>
            </w:r>
            <w:r w:rsidR="00D86B83" w:rsidRPr="00DD5F1D">
              <w:rPr>
                <w:rFonts w:ascii="Times New Roman" w:eastAsia="Times New Roman" w:hAnsi="Times New Roman" w:cs="Times New Roman"/>
                <w:sz w:val="16"/>
                <w:szCs w:val="16"/>
                <w:lang w:val="ro-MD"/>
              </w:rPr>
              <w:t>â</w:t>
            </w:r>
            <w:r w:rsidRPr="00DD5F1D">
              <w:rPr>
                <w:rFonts w:ascii="Times New Roman" w:eastAsia="Times New Roman" w:hAnsi="Times New Roman" w:cs="Times New Roman"/>
                <w:sz w:val="16"/>
                <w:szCs w:val="16"/>
                <w:lang w:val="ro-MD"/>
              </w:rPr>
              <w:t>l</w:t>
            </w:r>
          </w:p>
        </w:tc>
        <w:tc>
          <w:tcPr>
            <w:tcW w:w="357" w:type="pct"/>
            <w:tcBorders>
              <w:top w:val="nil"/>
              <w:left w:val="nil"/>
              <w:bottom w:val="single" w:sz="4" w:space="0" w:color="auto"/>
              <w:right w:val="single" w:sz="4" w:space="0" w:color="auto"/>
            </w:tcBorders>
            <w:shd w:val="clear" w:color="auto" w:fill="auto"/>
            <w:hideMark/>
          </w:tcPr>
          <w:p w14:paraId="0A363470"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1646</w:t>
            </w:r>
          </w:p>
        </w:tc>
        <w:tc>
          <w:tcPr>
            <w:tcW w:w="283" w:type="pct"/>
            <w:tcBorders>
              <w:top w:val="nil"/>
              <w:left w:val="nil"/>
              <w:bottom w:val="single" w:sz="4" w:space="0" w:color="auto"/>
              <w:right w:val="single" w:sz="4" w:space="0" w:color="auto"/>
            </w:tcBorders>
            <w:shd w:val="clear" w:color="auto" w:fill="auto"/>
            <w:hideMark/>
          </w:tcPr>
          <w:p w14:paraId="5C865DEA"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378</w:t>
            </w:r>
          </w:p>
        </w:tc>
        <w:tc>
          <w:tcPr>
            <w:tcW w:w="414" w:type="pct"/>
            <w:tcBorders>
              <w:top w:val="nil"/>
              <w:left w:val="nil"/>
              <w:bottom w:val="single" w:sz="4" w:space="0" w:color="auto"/>
              <w:right w:val="single" w:sz="4" w:space="0" w:color="auto"/>
            </w:tcBorders>
            <w:shd w:val="clear" w:color="auto" w:fill="auto"/>
            <w:hideMark/>
          </w:tcPr>
          <w:p w14:paraId="29CDC0D0"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1589</w:t>
            </w:r>
          </w:p>
        </w:tc>
        <w:tc>
          <w:tcPr>
            <w:tcW w:w="274" w:type="pct"/>
            <w:tcBorders>
              <w:top w:val="nil"/>
              <w:left w:val="nil"/>
              <w:bottom w:val="single" w:sz="4" w:space="0" w:color="auto"/>
              <w:right w:val="single" w:sz="4" w:space="0" w:color="auto"/>
            </w:tcBorders>
            <w:shd w:val="clear" w:color="auto" w:fill="auto"/>
            <w:hideMark/>
          </w:tcPr>
          <w:p w14:paraId="556AA72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353</w:t>
            </w:r>
          </w:p>
        </w:tc>
        <w:tc>
          <w:tcPr>
            <w:tcW w:w="421" w:type="pct"/>
            <w:tcBorders>
              <w:top w:val="nil"/>
              <w:left w:val="nil"/>
              <w:bottom w:val="single" w:sz="4" w:space="0" w:color="auto"/>
              <w:right w:val="single" w:sz="4" w:space="0" w:color="auto"/>
            </w:tcBorders>
            <w:shd w:val="clear" w:color="auto" w:fill="auto"/>
            <w:hideMark/>
          </w:tcPr>
          <w:p w14:paraId="779A865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1528</w:t>
            </w:r>
          </w:p>
        </w:tc>
        <w:tc>
          <w:tcPr>
            <w:tcW w:w="319" w:type="pct"/>
            <w:tcBorders>
              <w:top w:val="nil"/>
              <w:left w:val="nil"/>
              <w:bottom w:val="single" w:sz="4" w:space="0" w:color="auto"/>
              <w:right w:val="single" w:sz="4" w:space="0" w:color="auto"/>
            </w:tcBorders>
            <w:shd w:val="clear" w:color="auto" w:fill="auto"/>
            <w:hideMark/>
          </w:tcPr>
          <w:p w14:paraId="7E2079EA"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340</w:t>
            </w:r>
          </w:p>
        </w:tc>
        <w:tc>
          <w:tcPr>
            <w:tcW w:w="377" w:type="pct"/>
            <w:tcBorders>
              <w:top w:val="nil"/>
              <w:left w:val="nil"/>
              <w:bottom w:val="single" w:sz="4" w:space="0" w:color="auto"/>
              <w:right w:val="single" w:sz="4" w:space="0" w:color="auto"/>
            </w:tcBorders>
            <w:shd w:val="clear" w:color="auto" w:fill="auto"/>
            <w:noWrap/>
            <w:hideMark/>
          </w:tcPr>
          <w:p w14:paraId="3EF1FCC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1480</w:t>
            </w:r>
          </w:p>
        </w:tc>
        <w:tc>
          <w:tcPr>
            <w:tcW w:w="311" w:type="pct"/>
            <w:tcBorders>
              <w:top w:val="nil"/>
              <w:left w:val="nil"/>
              <w:bottom w:val="single" w:sz="4" w:space="0" w:color="auto"/>
              <w:right w:val="single" w:sz="4" w:space="0" w:color="auto"/>
            </w:tcBorders>
            <w:shd w:val="clear" w:color="auto" w:fill="auto"/>
            <w:noWrap/>
            <w:hideMark/>
          </w:tcPr>
          <w:p w14:paraId="647AE7A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330</w:t>
            </w:r>
          </w:p>
        </w:tc>
        <w:tc>
          <w:tcPr>
            <w:tcW w:w="345" w:type="pct"/>
            <w:tcBorders>
              <w:top w:val="nil"/>
              <w:left w:val="nil"/>
              <w:bottom w:val="single" w:sz="4" w:space="0" w:color="auto"/>
              <w:right w:val="single" w:sz="4" w:space="0" w:color="auto"/>
            </w:tcBorders>
            <w:shd w:val="clear" w:color="auto" w:fill="auto"/>
            <w:noWrap/>
            <w:hideMark/>
          </w:tcPr>
          <w:p w14:paraId="5A160CEB"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-48</w:t>
            </w:r>
          </w:p>
        </w:tc>
        <w:tc>
          <w:tcPr>
            <w:tcW w:w="315" w:type="pct"/>
            <w:tcBorders>
              <w:top w:val="nil"/>
              <w:left w:val="nil"/>
              <w:bottom w:val="single" w:sz="4" w:space="0" w:color="auto"/>
              <w:right w:val="single" w:sz="4" w:space="0" w:color="auto"/>
            </w:tcBorders>
            <w:shd w:val="clear" w:color="auto" w:fill="auto"/>
            <w:noWrap/>
            <w:hideMark/>
          </w:tcPr>
          <w:p w14:paraId="1AFA7B00" w14:textId="225493C2"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96,9</w:t>
            </w:r>
          </w:p>
        </w:tc>
        <w:tc>
          <w:tcPr>
            <w:tcW w:w="309" w:type="pct"/>
            <w:tcBorders>
              <w:top w:val="nil"/>
              <w:left w:val="nil"/>
              <w:bottom w:val="single" w:sz="4" w:space="0" w:color="auto"/>
              <w:right w:val="single" w:sz="4" w:space="0" w:color="auto"/>
            </w:tcBorders>
            <w:shd w:val="clear" w:color="auto" w:fill="auto"/>
            <w:noWrap/>
            <w:hideMark/>
          </w:tcPr>
          <w:p w14:paraId="164D6A7F"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w:t>
            </w:r>
          </w:p>
        </w:tc>
        <w:tc>
          <w:tcPr>
            <w:tcW w:w="322" w:type="pct"/>
            <w:tcBorders>
              <w:top w:val="single" w:sz="4" w:space="0" w:color="auto"/>
              <w:left w:val="nil"/>
              <w:bottom w:val="single" w:sz="4" w:space="0" w:color="auto"/>
              <w:right w:val="single" w:sz="4" w:space="0" w:color="auto"/>
            </w:tcBorders>
            <w:shd w:val="clear" w:color="auto" w:fill="auto"/>
            <w:noWrap/>
            <w:hideMark/>
          </w:tcPr>
          <w:p w14:paraId="32FB4628"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97,1%</w:t>
            </w:r>
          </w:p>
        </w:tc>
      </w:tr>
      <w:tr w:rsidR="007F4823" w:rsidRPr="00DD5F1D" w14:paraId="59B06F16"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E12FDAD"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399ACEDC" w14:textId="5A3C9AF4"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Pensionari militari si famili</w:t>
            </w:r>
            <w:r w:rsidR="00D86B83" w:rsidRPr="00DD5F1D">
              <w:rPr>
                <w:rFonts w:ascii="Times New Roman" w:eastAsia="Times New Roman" w:hAnsi="Times New Roman" w:cs="Times New Roman"/>
                <w:sz w:val="16"/>
                <w:szCs w:val="16"/>
                <w:lang w:val="ro-MD"/>
              </w:rPr>
              <w:t>il</w:t>
            </w:r>
            <w:r w:rsidRPr="00DD5F1D">
              <w:rPr>
                <w:rFonts w:ascii="Times New Roman" w:eastAsia="Times New Roman" w:hAnsi="Times New Roman" w:cs="Times New Roman"/>
                <w:sz w:val="16"/>
                <w:szCs w:val="16"/>
                <w:lang w:val="ro-MD"/>
              </w:rPr>
              <w:t>e lor, care primesc pensii la organele de asigurari sociale</w:t>
            </w:r>
          </w:p>
        </w:tc>
        <w:tc>
          <w:tcPr>
            <w:tcW w:w="357" w:type="pct"/>
            <w:tcBorders>
              <w:top w:val="nil"/>
              <w:left w:val="nil"/>
              <w:bottom w:val="single" w:sz="4" w:space="0" w:color="auto"/>
              <w:right w:val="single" w:sz="4" w:space="0" w:color="auto"/>
            </w:tcBorders>
            <w:shd w:val="clear" w:color="auto" w:fill="auto"/>
            <w:hideMark/>
          </w:tcPr>
          <w:p w14:paraId="02FE8EE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731</w:t>
            </w:r>
          </w:p>
        </w:tc>
        <w:tc>
          <w:tcPr>
            <w:tcW w:w="283" w:type="pct"/>
            <w:tcBorders>
              <w:top w:val="nil"/>
              <w:left w:val="nil"/>
              <w:bottom w:val="single" w:sz="4" w:space="0" w:color="auto"/>
              <w:right w:val="single" w:sz="4" w:space="0" w:color="auto"/>
            </w:tcBorders>
            <w:shd w:val="clear" w:color="auto" w:fill="auto"/>
            <w:hideMark/>
          </w:tcPr>
          <w:p w14:paraId="7ABC6072"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146</w:t>
            </w:r>
          </w:p>
        </w:tc>
        <w:tc>
          <w:tcPr>
            <w:tcW w:w="414" w:type="pct"/>
            <w:tcBorders>
              <w:top w:val="nil"/>
              <w:left w:val="nil"/>
              <w:bottom w:val="single" w:sz="4" w:space="0" w:color="auto"/>
              <w:right w:val="single" w:sz="4" w:space="0" w:color="auto"/>
            </w:tcBorders>
            <w:shd w:val="clear" w:color="auto" w:fill="auto"/>
            <w:hideMark/>
          </w:tcPr>
          <w:p w14:paraId="27CCE849"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710</w:t>
            </w:r>
          </w:p>
        </w:tc>
        <w:tc>
          <w:tcPr>
            <w:tcW w:w="274" w:type="pct"/>
            <w:tcBorders>
              <w:top w:val="nil"/>
              <w:left w:val="nil"/>
              <w:bottom w:val="single" w:sz="4" w:space="0" w:color="auto"/>
              <w:right w:val="single" w:sz="4" w:space="0" w:color="auto"/>
            </w:tcBorders>
            <w:shd w:val="clear" w:color="auto" w:fill="auto"/>
            <w:hideMark/>
          </w:tcPr>
          <w:p w14:paraId="7AF7EE17"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131</w:t>
            </w:r>
          </w:p>
        </w:tc>
        <w:tc>
          <w:tcPr>
            <w:tcW w:w="421" w:type="pct"/>
            <w:tcBorders>
              <w:top w:val="nil"/>
              <w:left w:val="nil"/>
              <w:bottom w:val="single" w:sz="4" w:space="0" w:color="auto"/>
              <w:right w:val="single" w:sz="4" w:space="0" w:color="auto"/>
            </w:tcBorders>
            <w:shd w:val="clear" w:color="auto" w:fill="auto"/>
            <w:hideMark/>
          </w:tcPr>
          <w:p w14:paraId="1475E3B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674</w:t>
            </w:r>
          </w:p>
        </w:tc>
        <w:tc>
          <w:tcPr>
            <w:tcW w:w="319" w:type="pct"/>
            <w:tcBorders>
              <w:top w:val="nil"/>
              <w:left w:val="nil"/>
              <w:bottom w:val="single" w:sz="4" w:space="0" w:color="auto"/>
              <w:right w:val="single" w:sz="4" w:space="0" w:color="auto"/>
            </w:tcBorders>
            <w:shd w:val="clear" w:color="auto" w:fill="auto"/>
            <w:hideMark/>
          </w:tcPr>
          <w:p w14:paraId="09ACB02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129</w:t>
            </w:r>
          </w:p>
        </w:tc>
        <w:tc>
          <w:tcPr>
            <w:tcW w:w="377" w:type="pct"/>
            <w:tcBorders>
              <w:top w:val="nil"/>
              <w:left w:val="nil"/>
              <w:bottom w:val="single" w:sz="4" w:space="0" w:color="auto"/>
              <w:right w:val="single" w:sz="4" w:space="0" w:color="auto"/>
            </w:tcBorders>
            <w:shd w:val="clear" w:color="auto" w:fill="auto"/>
            <w:noWrap/>
            <w:hideMark/>
          </w:tcPr>
          <w:p w14:paraId="40EF9500"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645</w:t>
            </w:r>
          </w:p>
        </w:tc>
        <w:tc>
          <w:tcPr>
            <w:tcW w:w="311" w:type="pct"/>
            <w:tcBorders>
              <w:top w:val="nil"/>
              <w:left w:val="nil"/>
              <w:bottom w:val="single" w:sz="4" w:space="0" w:color="auto"/>
              <w:right w:val="single" w:sz="4" w:space="0" w:color="auto"/>
            </w:tcBorders>
            <w:shd w:val="clear" w:color="auto" w:fill="auto"/>
            <w:noWrap/>
            <w:hideMark/>
          </w:tcPr>
          <w:p w14:paraId="4233F4F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123</w:t>
            </w:r>
          </w:p>
        </w:tc>
        <w:tc>
          <w:tcPr>
            <w:tcW w:w="345" w:type="pct"/>
            <w:tcBorders>
              <w:top w:val="nil"/>
              <w:left w:val="nil"/>
              <w:bottom w:val="single" w:sz="4" w:space="0" w:color="auto"/>
              <w:right w:val="single" w:sz="4" w:space="0" w:color="auto"/>
            </w:tcBorders>
            <w:shd w:val="clear" w:color="auto" w:fill="auto"/>
            <w:noWrap/>
            <w:hideMark/>
          </w:tcPr>
          <w:p w14:paraId="5E4AA5DD"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-29</w:t>
            </w:r>
          </w:p>
        </w:tc>
        <w:tc>
          <w:tcPr>
            <w:tcW w:w="315" w:type="pct"/>
            <w:tcBorders>
              <w:top w:val="nil"/>
              <w:left w:val="nil"/>
              <w:bottom w:val="single" w:sz="4" w:space="0" w:color="auto"/>
              <w:right w:val="single" w:sz="4" w:space="0" w:color="auto"/>
            </w:tcBorders>
            <w:shd w:val="clear" w:color="auto" w:fill="auto"/>
            <w:noWrap/>
            <w:hideMark/>
          </w:tcPr>
          <w:p w14:paraId="70C9F735" w14:textId="44877CA7"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95,7</w:t>
            </w:r>
          </w:p>
        </w:tc>
        <w:tc>
          <w:tcPr>
            <w:tcW w:w="309" w:type="pct"/>
            <w:tcBorders>
              <w:top w:val="nil"/>
              <w:left w:val="nil"/>
              <w:bottom w:val="single" w:sz="4" w:space="0" w:color="auto"/>
              <w:right w:val="single" w:sz="4" w:space="0" w:color="auto"/>
            </w:tcBorders>
            <w:shd w:val="clear" w:color="auto" w:fill="auto"/>
            <w:noWrap/>
            <w:hideMark/>
          </w:tcPr>
          <w:p w14:paraId="0F1DA9FD"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w:t>
            </w:r>
          </w:p>
        </w:tc>
        <w:tc>
          <w:tcPr>
            <w:tcW w:w="322" w:type="pct"/>
            <w:tcBorders>
              <w:top w:val="single" w:sz="4" w:space="0" w:color="auto"/>
              <w:left w:val="nil"/>
              <w:bottom w:val="single" w:sz="4" w:space="0" w:color="auto"/>
              <w:right w:val="single" w:sz="4" w:space="0" w:color="auto"/>
            </w:tcBorders>
            <w:shd w:val="clear" w:color="auto" w:fill="auto"/>
            <w:noWrap/>
            <w:hideMark/>
          </w:tcPr>
          <w:p w14:paraId="000EFA99"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95,3%</w:t>
            </w:r>
          </w:p>
        </w:tc>
      </w:tr>
      <w:tr w:rsidR="007F4823" w:rsidRPr="00DD5F1D" w14:paraId="369780A0"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0A27EFA"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54EE1815" w14:textId="30F91E6B" w:rsidR="007F4823" w:rsidRPr="00DD5F1D" w:rsidRDefault="007F4823" w:rsidP="00D86B83">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anticipate pentru limita de v</w:t>
            </w:r>
            <w:r w:rsidR="00D86B83" w:rsidRPr="00DD5F1D">
              <w:rPr>
                <w:rFonts w:ascii="Times New Roman" w:eastAsia="Times New Roman" w:hAnsi="Times New Roman" w:cs="Times New Roman"/>
                <w:sz w:val="16"/>
                <w:szCs w:val="16"/>
                <w:lang w:val="ro-MD"/>
              </w:rPr>
              <w:t>â</w:t>
            </w:r>
            <w:r w:rsidRPr="00DD5F1D">
              <w:rPr>
                <w:rFonts w:ascii="Times New Roman" w:eastAsia="Times New Roman" w:hAnsi="Times New Roman" w:cs="Times New Roman"/>
                <w:sz w:val="16"/>
                <w:szCs w:val="16"/>
                <w:lang w:val="ro-MD"/>
              </w:rPr>
              <w:t>irst</w:t>
            </w:r>
            <w:r w:rsidR="00D86B83" w:rsidRPr="00DD5F1D">
              <w:rPr>
                <w:rFonts w:ascii="Times New Roman" w:eastAsia="Times New Roman" w:hAnsi="Times New Roman" w:cs="Times New Roman"/>
                <w:sz w:val="16"/>
                <w:szCs w:val="16"/>
                <w:lang w:val="ro-MD"/>
              </w:rPr>
              <w:t>ă</w:t>
            </w:r>
          </w:p>
        </w:tc>
        <w:tc>
          <w:tcPr>
            <w:tcW w:w="357" w:type="pct"/>
            <w:tcBorders>
              <w:top w:val="nil"/>
              <w:left w:val="nil"/>
              <w:bottom w:val="single" w:sz="4" w:space="0" w:color="auto"/>
              <w:right w:val="single" w:sz="4" w:space="0" w:color="auto"/>
            </w:tcBorders>
            <w:shd w:val="clear" w:color="auto" w:fill="auto"/>
            <w:hideMark/>
          </w:tcPr>
          <w:p w14:paraId="4D1EC09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2105</w:t>
            </w:r>
          </w:p>
        </w:tc>
        <w:tc>
          <w:tcPr>
            <w:tcW w:w="283" w:type="pct"/>
            <w:tcBorders>
              <w:top w:val="nil"/>
              <w:left w:val="nil"/>
              <w:bottom w:val="single" w:sz="4" w:space="0" w:color="auto"/>
              <w:right w:val="single" w:sz="4" w:space="0" w:color="auto"/>
            </w:tcBorders>
            <w:shd w:val="clear" w:color="auto" w:fill="auto"/>
            <w:hideMark/>
          </w:tcPr>
          <w:p w14:paraId="2FCFF87D"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1395</w:t>
            </w:r>
          </w:p>
        </w:tc>
        <w:tc>
          <w:tcPr>
            <w:tcW w:w="414" w:type="pct"/>
            <w:tcBorders>
              <w:top w:val="nil"/>
              <w:left w:val="nil"/>
              <w:bottom w:val="single" w:sz="4" w:space="0" w:color="auto"/>
              <w:right w:val="single" w:sz="4" w:space="0" w:color="auto"/>
            </w:tcBorders>
            <w:shd w:val="clear" w:color="auto" w:fill="auto"/>
            <w:hideMark/>
          </w:tcPr>
          <w:p w14:paraId="587CA8C1" w14:textId="1E2109E0"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1343</w:t>
            </w:r>
          </w:p>
        </w:tc>
        <w:tc>
          <w:tcPr>
            <w:tcW w:w="274" w:type="pct"/>
            <w:tcBorders>
              <w:top w:val="nil"/>
              <w:left w:val="nil"/>
              <w:bottom w:val="single" w:sz="4" w:space="0" w:color="auto"/>
              <w:right w:val="single" w:sz="4" w:space="0" w:color="auto"/>
            </w:tcBorders>
            <w:shd w:val="clear" w:color="auto" w:fill="auto"/>
            <w:hideMark/>
          </w:tcPr>
          <w:p w14:paraId="4162C9A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688</w:t>
            </w:r>
          </w:p>
        </w:tc>
        <w:tc>
          <w:tcPr>
            <w:tcW w:w="421" w:type="pct"/>
            <w:tcBorders>
              <w:top w:val="nil"/>
              <w:left w:val="nil"/>
              <w:bottom w:val="single" w:sz="4" w:space="0" w:color="auto"/>
              <w:right w:val="single" w:sz="4" w:space="0" w:color="auto"/>
            </w:tcBorders>
            <w:shd w:val="clear" w:color="auto" w:fill="auto"/>
            <w:hideMark/>
          </w:tcPr>
          <w:p w14:paraId="05E002B0"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1194</w:t>
            </w:r>
          </w:p>
        </w:tc>
        <w:tc>
          <w:tcPr>
            <w:tcW w:w="319" w:type="pct"/>
            <w:tcBorders>
              <w:top w:val="nil"/>
              <w:left w:val="nil"/>
              <w:bottom w:val="single" w:sz="4" w:space="0" w:color="auto"/>
              <w:right w:val="single" w:sz="4" w:space="0" w:color="auto"/>
            </w:tcBorders>
            <w:shd w:val="clear" w:color="auto" w:fill="auto"/>
            <w:hideMark/>
          </w:tcPr>
          <w:p w14:paraId="7DD3D1A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481</w:t>
            </w:r>
          </w:p>
        </w:tc>
        <w:tc>
          <w:tcPr>
            <w:tcW w:w="377" w:type="pct"/>
            <w:tcBorders>
              <w:top w:val="nil"/>
              <w:left w:val="nil"/>
              <w:bottom w:val="single" w:sz="4" w:space="0" w:color="auto"/>
              <w:right w:val="single" w:sz="4" w:space="0" w:color="auto"/>
            </w:tcBorders>
            <w:shd w:val="clear" w:color="auto" w:fill="auto"/>
            <w:noWrap/>
            <w:hideMark/>
          </w:tcPr>
          <w:p w14:paraId="422005C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966</w:t>
            </w:r>
          </w:p>
        </w:tc>
        <w:tc>
          <w:tcPr>
            <w:tcW w:w="311" w:type="pct"/>
            <w:tcBorders>
              <w:top w:val="nil"/>
              <w:left w:val="nil"/>
              <w:bottom w:val="single" w:sz="4" w:space="0" w:color="auto"/>
              <w:right w:val="single" w:sz="4" w:space="0" w:color="auto"/>
            </w:tcBorders>
            <w:shd w:val="clear" w:color="auto" w:fill="auto"/>
            <w:noWrap/>
            <w:hideMark/>
          </w:tcPr>
          <w:p w14:paraId="618BAAF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270</w:t>
            </w:r>
          </w:p>
        </w:tc>
        <w:tc>
          <w:tcPr>
            <w:tcW w:w="345" w:type="pct"/>
            <w:tcBorders>
              <w:top w:val="nil"/>
              <w:left w:val="nil"/>
              <w:bottom w:val="single" w:sz="4" w:space="0" w:color="auto"/>
              <w:right w:val="single" w:sz="4" w:space="0" w:color="auto"/>
            </w:tcBorders>
            <w:shd w:val="clear" w:color="auto" w:fill="auto"/>
            <w:noWrap/>
            <w:hideMark/>
          </w:tcPr>
          <w:p w14:paraId="4629CA19"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-228</w:t>
            </w:r>
          </w:p>
        </w:tc>
        <w:tc>
          <w:tcPr>
            <w:tcW w:w="315" w:type="pct"/>
            <w:tcBorders>
              <w:top w:val="nil"/>
              <w:left w:val="nil"/>
              <w:bottom w:val="single" w:sz="4" w:space="0" w:color="auto"/>
              <w:right w:val="single" w:sz="4" w:space="0" w:color="auto"/>
            </w:tcBorders>
            <w:shd w:val="clear" w:color="auto" w:fill="auto"/>
            <w:noWrap/>
            <w:hideMark/>
          </w:tcPr>
          <w:p w14:paraId="4C3B0629" w14:textId="318ED2A6"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80,9</w:t>
            </w:r>
          </w:p>
        </w:tc>
        <w:tc>
          <w:tcPr>
            <w:tcW w:w="309" w:type="pct"/>
            <w:tcBorders>
              <w:top w:val="nil"/>
              <w:left w:val="nil"/>
              <w:bottom w:val="single" w:sz="4" w:space="0" w:color="auto"/>
              <w:right w:val="single" w:sz="4" w:space="0" w:color="auto"/>
            </w:tcBorders>
            <w:shd w:val="clear" w:color="auto" w:fill="auto"/>
            <w:noWrap/>
            <w:hideMark/>
          </w:tcPr>
          <w:p w14:paraId="0F682E03"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-211</w:t>
            </w:r>
          </w:p>
        </w:tc>
        <w:tc>
          <w:tcPr>
            <w:tcW w:w="322" w:type="pct"/>
            <w:tcBorders>
              <w:top w:val="single" w:sz="4" w:space="0" w:color="auto"/>
              <w:left w:val="nil"/>
              <w:bottom w:val="single" w:sz="4" w:space="0" w:color="auto"/>
              <w:right w:val="single" w:sz="4" w:space="0" w:color="auto"/>
            </w:tcBorders>
            <w:shd w:val="clear" w:color="auto" w:fill="auto"/>
            <w:noWrap/>
            <w:hideMark/>
          </w:tcPr>
          <w:p w14:paraId="2AB9D7C6"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56,1%</w:t>
            </w:r>
          </w:p>
        </w:tc>
      </w:tr>
      <w:tr w:rsidR="007F4823" w:rsidRPr="00DD5F1D" w14:paraId="14C33AA8"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D2E4EB7"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248EC575"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Pensie anticipată pentru carieră lungă</w:t>
            </w:r>
          </w:p>
        </w:tc>
        <w:tc>
          <w:tcPr>
            <w:tcW w:w="357" w:type="pct"/>
            <w:tcBorders>
              <w:top w:val="nil"/>
              <w:left w:val="nil"/>
              <w:bottom w:val="single" w:sz="4" w:space="0" w:color="auto"/>
              <w:right w:val="single" w:sz="4" w:space="0" w:color="auto"/>
            </w:tcBorders>
            <w:shd w:val="clear" w:color="auto" w:fill="auto"/>
            <w:hideMark/>
          </w:tcPr>
          <w:p w14:paraId="1439E077"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w:t>
            </w:r>
          </w:p>
        </w:tc>
        <w:tc>
          <w:tcPr>
            <w:tcW w:w="283" w:type="pct"/>
            <w:tcBorders>
              <w:top w:val="nil"/>
              <w:left w:val="nil"/>
              <w:bottom w:val="single" w:sz="4" w:space="0" w:color="auto"/>
              <w:right w:val="single" w:sz="4" w:space="0" w:color="auto"/>
            </w:tcBorders>
            <w:shd w:val="clear" w:color="auto" w:fill="auto"/>
            <w:hideMark/>
          </w:tcPr>
          <w:p w14:paraId="0B64E93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w:t>
            </w:r>
          </w:p>
        </w:tc>
        <w:tc>
          <w:tcPr>
            <w:tcW w:w="414" w:type="pct"/>
            <w:tcBorders>
              <w:top w:val="nil"/>
              <w:left w:val="nil"/>
              <w:bottom w:val="single" w:sz="4" w:space="0" w:color="auto"/>
              <w:right w:val="single" w:sz="4" w:space="0" w:color="auto"/>
            </w:tcBorders>
            <w:shd w:val="clear" w:color="auto" w:fill="auto"/>
            <w:hideMark/>
          </w:tcPr>
          <w:p w14:paraId="3954588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w:t>
            </w:r>
          </w:p>
        </w:tc>
        <w:tc>
          <w:tcPr>
            <w:tcW w:w="274" w:type="pct"/>
            <w:tcBorders>
              <w:top w:val="nil"/>
              <w:left w:val="nil"/>
              <w:bottom w:val="single" w:sz="4" w:space="0" w:color="auto"/>
              <w:right w:val="single" w:sz="4" w:space="0" w:color="auto"/>
            </w:tcBorders>
            <w:shd w:val="clear" w:color="auto" w:fill="auto"/>
            <w:hideMark/>
          </w:tcPr>
          <w:p w14:paraId="73D4C93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w:t>
            </w:r>
          </w:p>
        </w:tc>
        <w:tc>
          <w:tcPr>
            <w:tcW w:w="421" w:type="pct"/>
            <w:tcBorders>
              <w:top w:val="nil"/>
              <w:left w:val="nil"/>
              <w:bottom w:val="single" w:sz="4" w:space="0" w:color="auto"/>
              <w:right w:val="single" w:sz="4" w:space="0" w:color="auto"/>
            </w:tcBorders>
            <w:shd w:val="clear" w:color="auto" w:fill="auto"/>
            <w:hideMark/>
          </w:tcPr>
          <w:p w14:paraId="4538608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4862</w:t>
            </w:r>
          </w:p>
        </w:tc>
        <w:tc>
          <w:tcPr>
            <w:tcW w:w="319" w:type="pct"/>
            <w:tcBorders>
              <w:top w:val="nil"/>
              <w:left w:val="nil"/>
              <w:bottom w:val="single" w:sz="4" w:space="0" w:color="auto"/>
              <w:right w:val="single" w:sz="4" w:space="0" w:color="auto"/>
            </w:tcBorders>
            <w:shd w:val="clear" w:color="auto" w:fill="auto"/>
            <w:hideMark/>
          </w:tcPr>
          <w:p w14:paraId="1EDD012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4737</w:t>
            </w:r>
          </w:p>
        </w:tc>
        <w:tc>
          <w:tcPr>
            <w:tcW w:w="377" w:type="pct"/>
            <w:tcBorders>
              <w:top w:val="nil"/>
              <w:left w:val="nil"/>
              <w:bottom w:val="single" w:sz="4" w:space="0" w:color="auto"/>
              <w:right w:val="single" w:sz="4" w:space="0" w:color="auto"/>
            </w:tcBorders>
            <w:shd w:val="clear" w:color="auto" w:fill="auto"/>
            <w:noWrap/>
            <w:hideMark/>
          </w:tcPr>
          <w:p w14:paraId="1F8104CA"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4782</w:t>
            </w:r>
          </w:p>
        </w:tc>
        <w:tc>
          <w:tcPr>
            <w:tcW w:w="311" w:type="pct"/>
            <w:tcBorders>
              <w:top w:val="nil"/>
              <w:left w:val="nil"/>
              <w:bottom w:val="single" w:sz="4" w:space="0" w:color="auto"/>
              <w:right w:val="single" w:sz="4" w:space="0" w:color="auto"/>
            </w:tcBorders>
            <w:shd w:val="clear" w:color="auto" w:fill="auto"/>
            <w:noWrap/>
            <w:hideMark/>
          </w:tcPr>
          <w:p w14:paraId="33A17CE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4662</w:t>
            </w:r>
          </w:p>
        </w:tc>
        <w:tc>
          <w:tcPr>
            <w:tcW w:w="345" w:type="pct"/>
            <w:tcBorders>
              <w:top w:val="nil"/>
              <w:left w:val="nil"/>
              <w:bottom w:val="single" w:sz="4" w:space="0" w:color="auto"/>
              <w:right w:val="single" w:sz="4" w:space="0" w:color="auto"/>
            </w:tcBorders>
            <w:shd w:val="clear" w:color="auto" w:fill="auto"/>
            <w:noWrap/>
            <w:hideMark/>
          </w:tcPr>
          <w:p w14:paraId="554129EB"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-80</w:t>
            </w:r>
          </w:p>
        </w:tc>
        <w:tc>
          <w:tcPr>
            <w:tcW w:w="315" w:type="pct"/>
            <w:tcBorders>
              <w:top w:val="nil"/>
              <w:left w:val="nil"/>
              <w:bottom w:val="single" w:sz="4" w:space="0" w:color="auto"/>
              <w:right w:val="single" w:sz="4" w:space="0" w:color="auto"/>
            </w:tcBorders>
            <w:shd w:val="clear" w:color="auto" w:fill="auto"/>
            <w:noWrap/>
            <w:hideMark/>
          </w:tcPr>
          <w:p w14:paraId="3FF1F636" w14:textId="3BA0BDDC"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98,4</w:t>
            </w:r>
          </w:p>
        </w:tc>
        <w:tc>
          <w:tcPr>
            <w:tcW w:w="309" w:type="pct"/>
            <w:tcBorders>
              <w:top w:val="nil"/>
              <w:left w:val="nil"/>
              <w:bottom w:val="single" w:sz="4" w:space="0" w:color="auto"/>
              <w:right w:val="single" w:sz="4" w:space="0" w:color="auto"/>
            </w:tcBorders>
            <w:shd w:val="clear" w:color="auto" w:fill="auto"/>
            <w:noWrap/>
            <w:hideMark/>
          </w:tcPr>
          <w:p w14:paraId="407F474A"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-75</w:t>
            </w:r>
          </w:p>
        </w:tc>
        <w:tc>
          <w:tcPr>
            <w:tcW w:w="322" w:type="pct"/>
            <w:tcBorders>
              <w:top w:val="single" w:sz="4" w:space="0" w:color="auto"/>
              <w:left w:val="nil"/>
              <w:bottom w:val="single" w:sz="4" w:space="0" w:color="auto"/>
              <w:right w:val="single" w:sz="4" w:space="0" w:color="auto"/>
            </w:tcBorders>
            <w:shd w:val="clear" w:color="auto" w:fill="auto"/>
            <w:noWrap/>
            <w:hideMark/>
          </w:tcPr>
          <w:p w14:paraId="6DDEBB45"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98,4%</w:t>
            </w:r>
          </w:p>
        </w:tc>
      </w:tr>
      <w:tr w:rsidR="007F4823" w:rsidRPr="00DD5F1D" w14:paraId="41A1CDFC"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0AE0AC9"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4FE08CFF"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Pensii angajatilor structurilor de forta</w:t>
            </w:r>
          </w:p>
        </w:tc>
        <w:tc>
          <w:tcPr>
            <w:tcW w:w="357" w:type="pct"/>
            <w:tcBorders>
              <w:top w:val="nil"/>
              <w:left w:val="nil"/>
              <w:bottom w:val="single" w:sz="4" w:space="0" w:color="auto"/>
              <w:right w:val="single" w:sz="4" w:space="0" w:color="auto"/>
            </w:tcBorders>
            <w:shd w:val="clear" w:color="auto" w:fill="auto"/>
            <w:hideMark/>
          </w:tcPr>
          <w:p w14:paraId="748DF38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21399</w:t>
            </w:r>
          </w:p>
        </w:tc>
        <w:tc>
          <w:tcPr>
            <w:tcW w:w="283" w:type="pct"/>
            <w:tcBorders>
              <w:top w:val="nil"/>
              <w:left w:val="nil"/>
              <w:bottom w:val="single" w:sz="4" w:space="0" w:color="auto"/>
              <w:right w:val="single" w:sz="4" w:space="0" w:color="auto"/>
            </w:tcBorders>
            <w:shd w:val="clear" w:color="auto" w:fill="auto"/>
            <w:hideMark/>
          </w:tcPr>
          <w:p w14:paraId="04C409D7"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10473</w:t>
            </w:r>
          </w:p>
        </w:tc>
        <w:tc>
          <w:tcPr>
            <w:tcW w:w="414" w:type="pct"/>
            <w:tcBorders>
              <w:top w:val="nil"/>
              <w:left w:val="nil"/>
              <w:bottom w:val="single" w:sz="4" w:space="0" w:color="auto"/>
              <w:right w:val="single" w:sz="4" w:space="0" w:color="auto"/>
            </w:tcBorders>
            <w:shd w:val="clear" w:color="auto" w:fill="auto"/>
            <w:hideMark/>
          </w:tcPr>
          <w:p w14:paraId="6FBA2C62"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21493</w:t>
            </w:r>
          </w:p>
        </w:tc>
        <w:tc>
          <w:tcPr>
            <w:tcW w:w="274" w:type="pct"/>
            <w:tcBorders>
              <w:top w:val="nil"/>
              <w:left w:val="nil"/>
              <w:bottom w:val="single" w:sz="4" w:space="0" w:color="auto"/>
              <w:right w:val="single" w:sz="4" w:space="0" w:color="auto"/>
            </w:tcBorders>
            <w:shd w:val="clear" w:color="auto" w:fill="auto"/>
            <w:hideMark/>
          </w:tcPr>
          <w:p w14:paraId="54459D0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10499</w:t>
            </w:r>
          </w:p>
        </w:tc>
        <w:tc>
          <w:tcPr>
            <w:tcW w:w="421" w:type="pct"/>
            <w:tcBorders>
              <w:top w:val="nil"/>
              <w:left w:val="nil"/>
              <w:bottom w:val="single" w:sz="4" w:space="0" w:color="auto"/>
              <w:right w:val="single" w:sz="4" w:space="0" w:color="auto"/>
            </w:tcBorders>
            <w:shd w:val="clear" w:color="auto" w:fill="auto"/>
            <w:hideMark/>
          </w:tcPr>
          <w:p w14:paraId="0DA68923"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21830</w:t>
            </w:r>
          </w:p>
        </w:tc>
        <w:tc>
          <w:tcPr>
            <w:tcW w:w="319" w:type="pct"/>
            <w:tcBorders>
              <w:top w:val="nil"/>
              <w:left w:val="nil"/>
              <w:bottom w:val="single" w:sz="4" w:space="0" w:color="auto"/>
              <w:right w:val="single" w:sz="4" w:space="0" w:color="auto"/>
            </w:tcBorders>
            <w:shd w:val="clear" w:color="auto" w:fill="auto"/>
            <w:hideMark/>
          </w:tcPr>
          <w:p w14:paraId="48E7CAE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10599</w:t>
            </w:r>
          </w:p>
        </w:tc>
        <w:tc>
          <w:tcPr>
            <w:tcW w:w="377" w:type="pct"/>
            <w:tcBorders>
              <w:top w:val="nil"/>
              <w:left w:val="nil"/>
              <w:bottom w:val="single" w:sz="4" w:space="0" w:color="auto"/>
              <w:right w:val="single" w:sz="4" w:space="0" w:color="auto"/>
            </w:tcBorders>
            <w:shd w:val="clear" w:color="auto" w:fill="auto"/>
            <w:noWrap/>
            <w:hideMark/>
          </w:tcPr>
          <w:p w14:paraId="7F5FA27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22185</w:t>
            </w:r>
          </w:p>
        </w:tc>
        <w:tc>
          <w:tcPr>
            <w:tcW w:w="311" w:type="pct"/>
            <w:tcBorders>
              <w:top w:val="nil"/>
              <w:left w:val="nil"/>
              <w:bottom w:val="single" w:sz="4" w:space="0" w:color="auto"/>
              <w:right w:val="single" w:sz="4" w:space="0" w:color="auto"/>
            </w:tcBorders>
            <w:shd w:val="clear" w:color="auto" w:fill="auto"/>
            <w:noWrap/>
            <w:hideMark/>
          </w:tcPr>
          <w:p w14:paraId="12E8589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11088</w:t>
            </w:r>
          </w:p>
        </w:tc>
        <w:tc>
          <w:tcPr>
            <w:tcW w:w="345" w:type="pct"/>
            <w:tcBorders>
              <w:top w:val="nil"/>
              <w:left w:val="nil"/>
              <w:bottom w:val="single" w:sz="4" w:space="0" w:color="auto"/>
              <w:right w:val="single" w:sz="4" w:space="0" w:color="auto"/>
            </w:tcBorders>
            <w:shd w:val="clear" w:color="auto" w:fill="auto"/>
            <w:noWrap/>
            <w:hideMark/>
          </w:tcPr>
          <w:p w14:paraId="769B7CE2"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355</w:t>
            </w:r>
          </w:p>
        </w:tc>
        <w:tc>
          <w:tcPr>
            <w:tcW w:w="315" w:type="pct"/>
            <w:tcBorders>
              <w:top w:val="nil"/>
              <w:left w:val="nil"/>
              <w:bottom w:val="single" w:sz="4" w:space="0" w:color="auto"/>
              <w:right w:val="single" w:sz="4" w:space="0" w:color="auto"/>
            </w:tcBorders>
            <w:shd w:val="clear" w:color="auto" w:fill="auto"/>
            <w:noWrap/>
            <w:hideMark/>
          </w:tcPr>
          <w:p w14:paraId="4612D6BF" w14:textId="75127A7D"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101,6</w:t>
            </w:r>
          </w:p>
        </w:tc>
        <w:tc>
          <w:tcPr>
            <w:tcW w:w="309" w:type="pct"/>
            <w:tcBorders>
              <w:top w:val="nil"/>
              <w:left w:val="nil"/>
              <w:bottom w:val="single" w:sz="4" w:space="0" w:color="auto"/>
              <w:right w:val="single" w:sz="4" w:space="0" w:color="auto"/>
            </w:tcBorders>
            <w:shd w:val="clear" w:color="auto" w:fill="auto"/>
            <w:noWrap/>
            <w:hideMark/>
          </w:tcPr>
          <w:p w14:paraId="5BC545E9"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489</w:t>
            </w:r>
          </w:p>
        </w:tc>
        <w:tc>
          <w:tcPr>
            <w:tcW w:w="322" w:type="pct"/>
            <w:tcBorders>
              <w:top w:val="single" w:sz="4" w:space="0" w:color="auto"/>
              <w:left w:val="nil"/>
              <w:bottom w:val="single" w:sz="4" w:space="0" w:color="auto"/>
              <w:right w:val="single" w:sz="4" w:space="0" w:color="auto"/>
            </w:tcBorders>
            <w:shd w:val="clear" w:color="auto" w:fill="auto"/>
            <w:noWrap/>
            <w:hideMark/>
          </w:tcPr>
          <w:p w14:paraId="3A17E465"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104,6%</w:t>
            </w:r>
          </w:p>
        </w:tc>
      </w:tr>
      <w:tr w:rsidR="007F4823" w:rsidRPr="00DD5F1D" w14:paraId="28BCDA49"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bottom"/>
            <w:hideMark/>
          </w:tcPr>
          <w:p w14:paraId="77680779"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w:t>
            </w:r>
          </w:p>
        </w:tc>
        <w:tc>
          <w:tcPr>
            <w:tcW w:w="767" w:type="pct"/>
            <w:tcBorders>
              <w:top w:val="nil"/>
              <w:left w:val="nil"/>
              <w:bottom w:val="single" w:sz="4" w:space="0" w:color="auto"/>
              <w:right w:val="single" w:sz="4" w:space="0" w:color="auto"/>
            </w:tcBorders>
            <w:shd w:val="clear" w:color="auto" w:fill="auto"/>
            <w:vAlign w:val="bottom"/>
            <w:hideMark/>
          </w:tcPr>
          <w:p w14:paraId="6CF39F5F" w14:textId="77777777" w:rsidR="007F4823" w:rsidRPr="00DD5F1D" w:rsidRDefault="007F4823" w:rsidP="000E2AC7">
            <w:pPr>
              <w:spacing w:after="0" w:line="240" w:lineRule="auto"/>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Alocaţii sociale de stat</w:t>
            </w:r>
          </w:p>
        </w:tc>
        <w:tc>
          <w:tcPr>
            <w:tcW w:w="357" w:type="pct"/>
            <w:tcBorders>
              <w:top w:val="nil"/>
              <w:left w:val="nil"/>
              <w:bottom w:val="single" w:sz="4" w:space="0" w:color="auto"/>
              <w:right w:val="single" w:sz="4" w:space="0" w:color="auto"/>
            </w:tcBorders>
            <w:shd w:val="clear" w:color="auto" w:fill="auto"/>
            <w:hideMark/>
          </w:tcPr>
          <w:p w14:paraId="5935E770"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68889</w:t>
            </w:r>
          </w:p>
        </w:tc>
        <w:tc>
          <w:tcPr>
            <w:tcW w:w="283" w:type="pct"/>
            <w:tcBorders>
              <w:top w:val="nil"/>
              <w:left w:val="nil"/>
              <w:bottom w:val="single" w:sz="4" w:space="0" w:color="auto"/>
              <w:right w:val="single" w:sz="4" w:space="0" w:color="auto"/>
            </w:tcBorders>
            <w:shd w:val="clear" w:color="auto" w:fill="auto"/>
            <w:hideMark/>
          </w:tcPr>
          <w:p w14:paraId="03FC8B22"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9121</w:t>
            </w:r>
          </w:p>
        </w:tc>
        <w:tc>
          <w:tcPr>
            <w:tcW w:w="414" w:type="pct"/>
            <w:tcBorders>
              <w:top w:val="nil"/>
              <w:left w:val="nil"/>
              <w:bottom w:val="single" w:sz="4" w:space="0" w:color="auto"/>
              <w:right w:val="single" w:sz="4" w:space="0" w:color="auto"/>
            </w:tcBorders>
            <w:shd w:val="clear" w:color="auto" w:fill="auto"/>
            <w:hideMark/>
          </w:tcPr>
          <w:p w14:paraId="0A7249DB"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73023</w:t>
            </w:r>
          </w:p>
        </w:tc>
        <w:tc>
          <w:tcPr>
            <w:tcW w:w="274" w:type="pct"/>
            <w:tcBorders>
              <w:top w:val="nil"/>
              <w:left w:val="nil"/>
              <w:bottom w:val="single" w:sz="4" w:space="0" w:color="auto"/>
              <w:right w:val="single" w:sz="4" w:space="0" w:color="auto"/>
            </w:tcBorders>
            <w:shd w:val="clear" w:color="auto" w:fill="auto"/>
            <w:hideMark/>
          </w:tcPr>
          <w:p w14:paraId="5D881A5E"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9535</w:t>
            </w:r>
          </w:p>
        </w:tc>
        <w:tc>
          <w:tcPr>
            <w:tcW w:w="421" w:type="pct"/>
            <w:tcBorders>
              <w:top w:val="nil"/>
              <w:left w:val="nil"/>
              <w:bottom w:val="single" w:sz="4" w:space="0" w:color="auto"/>
              <w:right w:val="single" w:sz="4" w:space="0" w:color="auto"/>
            </w:tcBorders>
            <w:shd w:val="clear" w:color="auto" w:fill="auto"/>
            <w:hideMark/>
          </w:tcPr>
          <w:p w14:paraId="496870C0"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78670</w:t>
            </w:r>
          </w:p>
        </w:tc>
        <w:tc>
          <w:tcPr>
            <w:tcW w:w="319" w:type="pct"/>
            <w:tcBorders>
              <w:top w:val="nil"/>
              <w:left w:val="nil"/>
              <w:bottom w:val="single" w:sz="4" w:space="0" w:color="auto"/>
              <w:right w:val="single" w:sz="4" w:space="0" w:color="auto"/>
            </w:tcBorders>
            <w:shd w:val="clear" w:color="auto" w:fill="auto"/>
            <w:hideMark/>
          </w:tcPr>
          <w:p w14:paraId="46BA3F1B"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10710</w:t>
            </w:r>
          </w:p>
        </w:tc>
        <w:tc>
          <w:tcPr>
            <w:tcW w:w="377" w:type="pct"/>
            <w:tcBorders>
              <w:top w:val="nil"/>
              <w:left w:val="nil"/>
              <w:bottom w:val="single" w:sz="4" w:space="0" w:color="auto"/>
              <w:right w:val="single" w:sz="4" w:space="0" w:color="auto"/>
            </w:tcBorders>
            <w:shd w:val="clear" w:color="auto" w:fill="auto"/>
            <w:hideMark/>
          </w:tcPr>
          <w:p w14:paraId="7213C1FA"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84557</w:t>
            </w:r>
          </w:p>
        </w:tc>
        <w:tc>
          <w:tcPr>
            <w:tcW w:w="311" w:type="pct"/>
            <w:tcBorders>
              <w:top w:val="nil"/>
              <w:left w:val="nil"/>
              <w:bottom w:val="single" w:sz="4" w:space="0" w:color="auto"/>
              <w:right w:val="single" w:sz="4" w:space="0" w:color="auto"/>
            </w:tcBorders>
            <w:shd w:val="clear" w:color="auto" w:fill="auto"/>
            <w:hideMark/>
          </w:tcPr>
          <w:p w14:paraId="7B05857C"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12160</w:t>
            </w:r>
          </w:p>
        </w:tc>
        <w:tc>
          <w:tcPr>
            <w:tcW w:w="345" w:type="pct"/>
            <w:tcBorders>
              <w:top w:val="nil"/>
              <w:left w:val="nil"/>
              <w:bottom w:val="single" w:sz="4" w:space="0" w:color="auto"/>
              <w:right w:val="single" w:sz="4" w:space="0" w:color="auto"/>
            </w:tcBorders>
            <w:shd w:val="clear" w:color="auto" w:fill="auto"/>
            <w:noWrap/>
            <w:hideMark/>
          </w:tcPr>
          <w:p w14:paraId="1DDED505"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5887</w:t>
            </w:r>
          </w:p>
        </w:tc>
        <w:tc>
          <w:tcPr>
            <w:tcW w:w="315" w:type="pct"/>
            <w:tcBorders>
              <w:top w:val="nil"/>
              <w:left w:val="nil"/>
              <w:bottom w:val="single" w:sz="4" w:space="0" w:color="auto"/>
              <w:right w:val="single" w:sz="4" w:space="0" w:color="auto"/>
            </w:tcBorders>
            <w:shd w:val="clear" w:color="auto" w:fill="auto"/>
            <w:noWrap/>
            <w:hideMark/>
          </w:tcPr>
          <w:p w14:paraId="089ED4BF" w14:textId="7B74E4D8"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107,5</w:t>
            </w:r>
          </w:p>
        </w:tc>
        <w:tc>
          <w:tcPr>
            <w:tcW w:w="309" w:type="pct"/>
            <w:tcBorders>
              <w:top w:val="nil"/>
              <w:left w:val="nil"/>
              <w:bottom w:val="single" w:sz="4" w:space="0" w:color="auto"/>
              <w:right w:val="single" w:sz="4" w:space="0" w:color="auto"/>
            </w:tcBorders>
            <w:shd w:val="clear" w:color="auto" w:fill="auto"/>
            <w:noWrap/>
            <w:hideMark/>
          </w:tcPr>
          <w:p w14:paraId="50545224"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1450</w:t>
            </w:r>
          </w:p>
        </w:tc>
        <w:tc>
          <w:tcPr>
            <w:tcW w:w="322" w:type="pct"/>
            <w:tcBorders>
              <w:top w:val="single" w:sz="4" w:space="0" w:color="auto"/>
              <w:left w:val="nil"/>
              <w:bottom w:val="single" w:sz="4" w:space="0" w:color="auto"/>
              <w:right w:val="single" w:sz="4" w:space="0" w:color="auto"/>
            </w:tcBorders>
            <w:shd w:val="clear" w:color="auto" w:fill="auto"/>
            <w:noWrap/>
            <w:hideMark/>
          </w:tcPr>
          <w:p w14:paraId="4DE0161B"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113,5%</w:t>
            </w:r>
          </w:p>
        </w:tc>
      </w:tr>
      <w:tr w:rsidR="007F4823" w:rsidRPr="00DD5F1D" w14:paraId="152464A0"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00ED924"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w:t>
            </w:r>
          </w:p>
        </w:tc>
        <w:tc>
          <w:tcPr>
            <w:tcW w:w="767" w:type="pct"/>
            <w:tcBorders>
              <w:top w:val="nil"/>
              <w:left w:val="nil"/>
              <w:bottom w:val="single" w:sz="4" w:space="0" w:color="auto"/>
              <w:right w:val="single" w:sz="4" w:space="0" w:color="auto"/>
            </w:tcBorders>
            <w:shd w:val="clear" w:color="auto" w:fill="auto"/>
            <w:vAlign w:val="bottom"/>
            <w:hideMark/>
          </w:tcPr>
          <w:p w14:paraId="04AD23E1" w14:textId="77777777" w:rsidR="007F4823" w:rsidRPr="00DD5F1D" w:rsidRDefault="007F4823" w:rsidP="000E2AC7">
            <w:pPr>
              <w:spacing w:after="0" w:line="240" w:lineRule="auto"/>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Alocaţii pentru îngrijire, însoțire și supraveghere</w:t>
            </w:r>
          </w:p>
        </w:tc>
        <w:tc>
          <w:tcPr>
            <w:tcW w:w="357" w:type="pct"/>
            <w:tcBorders>
              <w:top w:val="nil"/>
              <w:left w:val="nil"/>
              <w:bottom w:val="single" w:sz="4" w:space="0" w:color="auto"/>
              <w:right w:val="single" w:sz="4" w:space="0" w:color="auto"/>
            </w:tcBorders>
            <w:shd w:val="clear" w:color="auto" w:fill="auto"/>
            <w:hideMark/>
          </w:tcPr>
          <w:p w14:paraId="01463480"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13024</w:t>
            </w:r>
          </w:p>
        </w:tc>
        <w:tc>
          <w:tcPr>
            <w:tcW w:w="283" w:type="pct"/>
            <w:tcBorders>
              <w:top w:val="nil"/>
              <w:left w:val="nil"/>
              <w:bottom w:val="single" w:sz="4" w:space="0" w:color="auto"/>
              <w:right w:val="single" w:sz="4" w:space="0" w:color="auto"/>
            </w:tcBorders>
            <w:shd w:val="clear" w:color="auto" w:fill="auto"/>
            <w:hideMark/>
          </w:tcPr>
          <w:p w14:paraId="7D58CA18"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626</w:t>
            </w:r>
          </w:p>
        </w:tc>
        <w:tc>
          <w:tcPr>
            <w:tcW w:w="414" w:type="pct"/>
            <w:tcBorders>
              <w:top w:val="nil"/>
              <w:left w:val="nil"/>
              <w:bottom w:val="single" w:sz="4" w:space="0" w:color="auto"/>
              <w:right w:val="single" w:sz="4" w:space="0" w:color="auto"/>
            </w:tcBorders>
            <w:shd w:val="clear" w:color="auto" w:fill="auto"/>
            <w:hideMark/>
          </w:tcPr>
          <w:p w14:paraId="524DF26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13134</w:t>
            </w:r>
          </w:p>
        </w:tc>
        <w:tc>
          <w:tcPr>
            <w:tcW w:w="274" w:type="pct"/>
            <w:tcBorders>
              <w:top w:val="nil"/>
              <w:left w:val="nil"/>
              <w:bottom w:val="single" w:sz="4" w:space="0" w:color="auto"/>
              <w:right w:val="single" w:sz="4" w:space="0" w:color="auto"/>
            </w:tcBorders>
            <w:shd w:val="clear" w:color="auto" w:fill="auto"/>
            <w:hideMark/>
          </w:tcPr>
          <w:p w14:paraId="13585BC4"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634</w:t>
            </w:r>
          </w:p>
        </w:tc>
        <w:tc>
          <w:tcPr>
            <w:tcW w:w="421" w:type="pct"/>
            <w:tcBorders>
              <w:top w:val="nil"/>
              <w:left w:val="nil"/>
              <w:bottom w:val="single" w:sz="4" w:space="0" w:color="auto"/>
              <w:right w:val="single" w:sz="4" w:space="0" w:color="auto"/>
            </w:tcBorders>
            <w:shd w:val="clear" w:color="auto" w:fill="auto"/>
            <w:hideMark/>
          </w:tcPr>
          <w:p w14:paraId="3FC53097"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12672</w:t>
            </w:r>
          </w:p>
        </w:tc>
        <w:tc>
          <w:tcPr>
            <w:tcW w:w="319" w:type="pct"/>
            <w:tcBorders>
              <w:top w:val="nil"/>
              <w:left w:val="nil"/>
              <w:bottom w:val="single" w:sz="4" w:space="0" w:color="auto"/>
              <w:right w:val="single" w:sz="4" w:space="0" w:color="auto"/>
            </w:tcBorders>
            <w:shd w:val="clear" w:color="auto" w:fill="auto"/>
            <w:hideMark/>
          </w:tcPr>
          <w:p w14:paraId="0AE5E827"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649</w:t>
            </w:r>
          </w:p>
        </w:tc>
        <w:tc>
          <w:tcPr>
            <w:tcW w:w="377" w:type="pct"/>
            <w:tcBorders>
              <w:top w:val="nil"/>
              <w:left w:val="nil"/>
              <w:bottom w:val="single" w:sz="4" w:space="0" w:color="auto"/>
              <w:right w:val="single" w:sz="4" w:space="0" w:color="auto"/>
            </w:tcBorders>
            <w:shd w:val="clear" w:color="auto" w:fill="auto"/>
            <w:hideMark/>
          </w:tcPr>
          <w:p w14:paraId="3107C4BC"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13177</w:t>
            </w:r>
          </w:p>
        </w:tc>
        <w:tc>
          <w:tcPr>
            <w:tcW w:w="311" w:type="pct"/>
            <w:tcBorders>
              <w:top w:val="nil"/>
              <w:left w:val="nil"/>
              <w:bottom w:val="single" w:sz="4" w:space="0" w:color="auto"/>
              <w:right w:val="single" w:sz="4" w:space="0" w:color="auto"/>
            </w:tcBorders>
            <w:shd w:val="clear" w:color="auto" w:fill="auto"/>
            <w:hideMark/>
          </w:tcPr>
          <w:p w14:paraId="12132C5A"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658</w:t>
            </w:r>
          </w:p>
        </w:tc>
        <w:tc>
          <w:tcPr>
            <w:tcW w:w="345" w:type="pct"/>
            <w:tcBorders>
              <w:top w:val="nil"/>
              <w:left w:val="nil"/>
              <w:bottom w:val="single" w:sz="4" w:space="0" w:color="auto"/>
              <w:right w:val="single" w:sz="4" w:space="0" w:color="auto"/>
            </w:tcBorders>
            <w:shd w:val="clear" w:color="auto" w:fill="auto"/>
            <w:noWrap/>
            <w:hideMark/>
          </w:tcPr>
          <w:p w14:paraId="04993A30"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505</w:t>
            </w:r>
          </w:p>
        </w:tc>
        <w:tc>
          <w:tcPr>
            <w:tcW w:w="315" w:type="pct"/>
            <w:tcBorders>
              <w:top w:val="nil"/>
              <w:left w:val="nil"/>
              <w:bottom w:val="single" w:sz="4" w:space="0" w:color="auto"/>
              <w:right w:val="single" w:sz="4" w:space="0" w:color="auto"/>
            </w:tcBorders>
            <w:shd w:val="clear" w:color="auto" w:fill="auto"/>
            <w:noWrap/>
            <w:hideMark/>
          </w:tcPr>
          <w:p w14:paraId="0559ED7A" w14:textId="78F39B36"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104,0</w:t>
            </w:r>
          </w:p>
        </w:tc>
        <w:tc>
          <w:tcPr>
            <w:tcW w:w="309" w:type="pct"/>
            <w:tcBorders>
              <w:top w:val="nil"/>
              <w:left w:val="nil"/>
              <w:bottom w:val="single" w:sz="4" w:space="0" w:color="auto"/>
              <w:right w:val="single" w:sz="4" w:space="0" w:color="auto"/>
            </w:tcBorders>
            <w:shd w:val="clear" w:color="auto" w:fill="auto"/>
            <w:noWrap/>
            <w:hideMark/>
          </w:tcPr>
          <w:p w14:paraId="65F810F9"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w:t>
            </w:r>
          </w:p>
        </w:tc>
        <w:tc>
          <w:tcPr>
            <w:tcW w:w="322" w:type="pct"/>
            <w:tcBorders>
              <w:top w:val="single" w:sz="4" w:space="0" w:color="auto"/>
              <w:left w:val="nil"/>
              <w:bottom w:val="single" w:sz="4" w:space="0" w:color="auto"/>
              <w:right w:val="single" w:sz="4" w:space="0" w:color="auto"/>
            </w:tcBorders>
            <w:shd w:val="clear" w:color="auto" w:fill="auto"/>
            <w:noWrap/>
            <w:hideMark/>
          </w:tcPr>
          <w:p w14:paraId="78B00E60"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101,4%</w:t>
            </w:r>
          </w:p>
        </w:tc>
      </w:tr>
      <w:tr w:rsidR="007F4823" w:rsidRPr="00DD5F1D" w14:paraId="6AF73D33"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0350965" w14:textId="77777777" w:rsidR="007F4823" w:rsidRPr="00DD5F1D" w:rsidRDefault="007F4823" w:rsidP="000E2AC7">
            <w:pPr>
              <w:spacing w:after="0" w:line="240" w:lineRule="auto"/>
              <w:jc w:val="center"/>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w:t>
            </w:r>
          </w:p>
        </w:tc>
        <w:tc>
          <w:tcPr>
            <w:tcW w:w="767" w:type="pct"/>
            <w:tcBorders>
              <w:top w:val="nil"/>
              <w:left w:val="nil"/>
              <w:bottom w:val="single" w:sz="4" w:space="0" w:color="auto"/>
              <w:right w:val="single" w:sz="4" w:space="0" w:color="auto"/>
            </w:tcBorders>
            <w:shd w:val="clear" w:color="auto" w:fill="auto"/>
            <w:vAlign w:val="bottom"/>
            <w:hideMark/>
          </w:tcPr>
          <w:p w14:paraId="7DB6352A" w14:textId="77777777" w:rsidR="007F4823" w:rsidRPr="00DD5F1D" w:rsidRDefault="007F4823" w:rsidP="000E2AC7">
            <w:pPr>
              <w:spacing w:after="0" w:line="240" w:lineRule="auto"/>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 xml:space="preserve">Indemnizaţii total, </w:t>
            </w:r>
            <w:r w:rsidRPr="00DD5F1D">
              <w:rPr>
                <w:rFonts w:ascii="Times New Roman" w:eastAsia="Times New Roman" w:hAnsi="Times New Roman" w:cs="Times New Roman"/>
                <w:b/>
                <w:bCs/>
                <w:i/>
                <w:iCs/>
                <w:sz w:val="16"/>
                <w:szCs w:val="16"/>
                <w:lang w:val="ro-MD"/>
              </w:rPr>
              <w:t>acordate în conformitate cu:</w:t>
            </w:r>
          </w:p>
        </w:tc>
        <w:tc>
          <w:tcPr>
            <w:tcW w:w="357" w:type="pct"/>
            <w:tcBorders>
              <w:top w:val="nil"/>
              <w:left w:val="nil"/>
              <w:bottom w:val="single" w:sz="4" w:space="0" w:color="auto"/>
              <w:right w:val="single" w:sz="4" w:space="0" w:color="auto"/>
            </w:tcBorders>
            <w:shd w:val="clear" w:color="auto" w:fill="auto"/>
            <w:hideMark/>
          </w:tcPr>
          <w:p w14:paraId="5222856B"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808</w:t>
            </w:r>
          </w:p>
        </w:tc>
        <w:tc>
          <w:tcPr>
            <w:tcW w:w="283" w:type="pct"/>
            <w:tcBorders>
              <w:top w:val="nil"/>
              <w:left w:val="nil"/>
              <w:bottom w:val="single" w:sz="4" w:space="0" w:color="auto"/>
              <w:right w:val="single" w:sz="4" w:space="0" w:color="auto"/>
            </w:tcBorders>
            <w:shd w:val="clear" w:color="auto" w:fill="auto"/>
            <w:hideMark/>
          </w:tcPr>
          <w:p w14:paraId="116528C6"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249</w:t>
            </w:r>
          </w:p>
        </w:tc>
        <w:tc>
          <w:tcPr>
            <w:tcW w:w="414" w:type="pct"/>
            <w:tcBorders>
              <w:top w:val="nil"/>
              <w:left w:val="nil"/>
              <w:bottom w:val="single" w:sz="4" w:space="0" w:color="auto"/>
              <w:right w:val="single" w:sz="4" w:space="0" w:color="auto"/>
            </w:tcBorders>
            <w:shd w:val="clear" w:color="auto" w:fill="auto"/>
            <w:hideMark/>
          </w:tcPr>
          <w:p w14:paraId="70D9F1AB"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1482</w:t>
            </w:r>
          </w:p>
        </w:tc>
        <w:tc>
          <w:tcPr>
            <w:tcW w:w="274" w:type="pct"/>
            <w:tcBorders>
              <w:top w:val="nil"/>
              <w:left w:val="nil"/>
              <w:bottom w:val="single" w:sz="4" w:space="0" w:color="auto"/>
              <w:right w:val="single" w:sz="4" w:space="0" w:color="auto"/>
            </w:tcBorders>
            <w:shd w:val="clear" w:color="auto" w:fill="auto"/>
            <w:hideMark/>
          </w:tcPr>
          <w:p w14:paraId="741920BC"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451</w:t>
            </w:r>
          </w:p>
        </w:tc>
        <w:tc>
          <w:tcPr>
            <w:tcW w:w="421" w:type="pct"/>
            <w:tcBorders>
              <w:top w:val="nil"/>
              <w:left w:val="nil"/>
              <w:bottom w:val="single" w:sz="4" w:space="0" w:color="auto"/>
              <w:right w:val="single" w:sz="4" w:space="0" w:color="auto"/>
            </w:tcBorders>
            <w:shd w:val="clear" w:color="auto" w:fill="auto"/>
            <w:hideMark/>
          </w:tcPr>
          <w:p w14:paraId="0309B0A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1922</w:t>
            </w:r>
          </w:p>
        </w:tc>
        <w:tc>
          <w:tcPr>
            <w:tcW w:w="319" w:type="pct"/>
            <w:tcBorders>
              <w:top w:val="nil"/>
              <w:left w:val="nil"/>
              <w:bottom w:val="single" w:sz="4" w:space="0" w:color="auto"/>
              <w:right w:val="single" w:sz="4" w:space="0" w:color="auto"/>
            </w:tcBorders>
            <w:shd w:val="clear" w:color="auto" w:fill="auto"/>
            <w:hideMark/>
          </w:tcPr>
          <w:p w14:paraId="25C9CC5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502</w:t>
            </w:r>
          </w:p>
        </w:tc>
        <w:tc>
          <w:tcPr>
            <w:tcW w:w="377" w:type="pct"/>
            <w:tcBorders>
              <w:top w:val="nil"/>
              <w:left w:val="nil"/>
              <w:bottom w:val="single" w:sz="4" w:space="0" w:color="auto"/>
              <w:right w:val="single" w:sz="4" w:space="0" w:color="auto"/>
            </w:tcBorders>
            <w:shd w:val="clear" w:color="auto" w:fill="auto"/>
            <w:hideMark/>
          </w:tcPr>
          <w:p w14:paraId="49B19DE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2340</w:t>
            </w:r>
          </w:p>
        </w:tc>
        <w:tc>
          <w:tcPr>
            <w:tcW w:w="311" w:type="pct"/>
            <w:tcBorders>
              <w:top w:val="nil"/>
              <w:left w:val="nil"/>
              <w:bottom w:val="single" w:sz="4" w:space="0" w:color="auto"/>
              <w:right w:val="single" w:sz="4" w:space="0" w:color="auto"/>
            </w:tcBorders>
            <w:shd w:val="clear" w:color="auto" w:fill="auto"/>
            <w:hideMark/>
          </w:tcPr>
          <w:p w14:paraId="3E042F9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571</w:t>
            </w:r>
          </w:p>
        </w:tc>
        <w:tc>
          <w:tcPr>
            <w:tcW w:w="345" w:type="pct"/>
            <w:tcBorders>
              <w:top w:val="nil"/>
              <w:left w:val="nil"/>
              <w:bottom w:val="single" w:sz="4" w:space="0" w:color="auto"/>
              <w:right w:val="single" w:sz="4" w:space="0" w:color="auto"/>
            </w:tcBorders>
            <w:shd w:val="clear" w:color="auto" w:fill="auto"/>
            <w:noWrap/>
            <w:hideMark/>
          </w:tcPr>
          <w:p w14:paraId="41A1966E"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418</w:t>
            </w:r>
          </w:p>
        </w:tc>
        <w:tc>
          <w:tcPr>
            <w:tcW w:w="315" w:type="pct"/>
            <w:tcBorders>
              <w:top w:val="nil"/>
              <w:left w:val="nil"/>
              <w:bottom w:val="single" w:sz="4" w:space="0" w:color="auto"/>
              <w:right w:val="single" w:sz="4" w:space="0" w:color="auto"/>
            </w:tcBorders>
            <w:shd w:val="clear" w:color="auto" w:fill="auto"/>
            <w:noWrap/>
            <w:hideMark/>
          </w:tcPr>
          <w:p w14:paraId="6F14E21C" w14:textId="4D9D15C4"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121,7</w:t>
            </w:r>
          </w:p>
        </w:tc>
        <w:tc>
          <w:tcPr>
            <w:tcW w:w="309" w:type="pct"/>
            <w:tcBorders>
              <w:top w:val="nil"/>
              <w:left w:val="nil"/>
              <w:bottom w:val="single" w:sz="4" w:space="0" w:color="auto"/>
              <w:right w:val="single" w:sz="4" w:space="0" w:color="auto"/>
            </w:tcBorders>
            <w:shd w:val="clear" w:color="auto" w:fill="auto"/>
            <w:noWrap/>
            <w:hideMark/>
          </w:tcPr>
          <w:p w14:paraId="0F333872"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69</w:t>
            </w:r>
          </w:p>
        </w:tc>
        <w:tc>
          <w:tcPr>
            <w:tcW w:w="322" w:type="pct"/>
            <w:tcBorders>
              <w:top w:val="single" w:sz="4" w:space="0" w:color="auto"/>
              <w:left w:val="nil"/>
              <w:bottom w:val="single" w:sz="4" w:space="0" w:color="auto"/>
              <w:right w:val="single" w:sz="4" w:space="0" w:color="auto"/>
            </w:tcBorders>
            <w:shd w:val="clear" w:color="auto" w:fill="auto"/>
            <w:noWrap/>
            <w:hideMark/>
          </w:tcPr>
          <w:p w14:paraId="3B093306"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113,7%</w:t>
            </w:r>
          </w:p>
        </w:tc>
      </w:tr>
      <w:tr w:rsidR="007F4823" w:rsidRPr="00DD5F1D" w14:paraId="52DB78DF"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9F3CD6E"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091CD134" w14:textId="037E6344" w:rsidR="007F4823" w:rsidRPr="00DD5F1D" w:rsidRDefault="007F4823" w:rsidP="00D86B83">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xml:space="preserve">Legea </w:t>
            </w:r>
            <w:r w:rsidR="00D86B83" w:rsidRPr="00DD5F1D">
              <w:rPr>
                <w:rFonts w:ascii="Times New Roman" w:eastAsia="Times New Roman" w:hAnsi="Times New Roman" w:cs="Times New Roman"/>
                <w:sz w:val="16"/>
                <w:szCs w:val="16"/>
                <w:lang w:val="ro-MD"/>
              </w:rPr>
              <w:t>nr.</w:t>
            </w:r>
            <w:r w:rsidRPr="00DD5F1D">
              <w:rPr>
                <w:rFonts w:ascii="Times New Roman" w:eastAsia="Times New Roman" w:hAnsi="Times New Roman" w:cs="Times New Roman"/>
                <w:sz w:val="16"/>
                <w:szCs w:val="16"/>
                <w:lang w:val="ro-MD"/>
              </w:rPr>
              <w:t xml:space="preserve"> 156/2019, Indemnizaţie în cazul decesului unuia dintre soţi</w:t>
            </w:r>
          </w:p>
        </w:tc>
        <w:tc>
          <w:tcPr>
            <w:tcW w:w="357" w:type="pct"/>
            <w:tcBorders>
              <w:top w:val="nil"/>
              <w:left w:val="nil"/>
              <w:bottom w:val="single" w:sz="4" w:space="0" w:color="auto"/>
              <w:right w:val="single" w:sz="4" w:space="0" w:color="auto"/>
            </w:tcBorders>
            <w:shd w:val="clear" w:color="auto" w:fill="auto"/>
            <w:hideMark/>
          </w:tcPr>
          <w:p w14:paraId="31925C02"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775</w:t>
            </w:r>
          </w:p>
        </w:tc>
        <w:tc>
          <w:tcPr>
            <w:tcW w:w="283" w:type="pct"/>
            <w:tcBorders>
              <w:top w:val="nil"/>
              <w:left w:val="nil"/>
              <w:bottom w:val="single" w:sz="4" w:space="0" w:color="auto"/>
              <w:right w:val="single" w:sz="4" w:space="0" w:color="auto"/>
            </w:tcBorders>
            <w:shd w:val="clear" w:color="auto" w:fill="auto"/>
            <w:hideMark/>
          </w:tcPr>
          <w:p w14:paraId="56E0815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229</w:t>
            </w:r>
          </w:p>
        </w:tc>
        <w:tc>
          <w:tcPr>
            <w:tcW w:w="414" w:type="pct"/>
            <w:tcBorders>
              <w:top w:val="nil"/>
              <w:left w:val="nil"/>
              <w:bottom w:val="single" w:sz="4" w:space="0" w:color="auto"/>
              <w:right w:val="single" w:sz="4" w:space="0" w:color="auto"/>
            </w:tcBorders>
            <w:shd w:val="clear" w:color="auto" w:fill="auto"/>
            <w:hideMark/>
          </w:tcPr>
          <w:p w14:paraId="7DCE7417"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1413</w:t>
            </w:r>
          </w:p>
        </w:tc>
        <w:tc>
          <w:tcPr>
            <w:tcW w:w="274" w:type="pct"/>
            <w:tcBorders>
              <w:top w:val="nil"/>
              <w:left w:val="nil"/>
              <w:bottom w:val="single" w:sz="4" w:space="0" w:color="auto"/>
              <w:right w:val="single" w:sz="4" w:space="0" w:color="auto"/>
            </w:tcBorders>
            <w:shd w:val="clear" w:color="auto" w:fill="auto"/>
            <w:hideMark/>
          </w:tcPr>
          <w:p w14:paraId="74488AD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413</w:t>
            </w:r>
          </w:p>
        </w:tc>
        <w:tc>
          <w:tcPr>
            <w:tcW w:w="421" w:type="pct"/>
            <w:tcBorders>
              <w:top w:val="nil"/>
              <w:left w:val="nil"/>
              <w:bottom w:val="single" w:sz="4" w:space="0" w:color="auto"/>
              <w:right w:val="single" w:sz="4" w:space="0" w:color="auto"/>
            </w:tcBorders>
            <w:shd w:val="clear" w:color="auto" w:fill="auto"/>
            <w:hideMark/>
          </w:tcPr>
          <w:p w14:paraId="1E0451E0"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1854</w:t>
            </w:r>
          </w:p>
        </w:tc>
        <w:tc>
          <w:tcPr>
            <w:tcW w:w="319" w:type="pct"/>
            <w:tcBorders>
              <w:top w:val="nil"/>
              <w:left w:val="nil"/>
              <w:bottom w:val="single" w:sz="4" w:space="0" w:color="auto"/>
              <w:right w:val="single" w:sz="4" w:space="0" w:color="auto"/>
            </w:tcBorders>
            <w:shd w:val="clear" w:color="auto" w:fill="auto"/>
            <w:hideMark/>
          </w:tcPr>
          <w:p w14:paraId="26C5AF2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466</w:t>
            </w:r>
          </w:p>
        </w:tc>
        <w:tc>
          <w:tcPr>
            <w:tcW w:w="377" w:type="pct"/>
            <w:tcBorders>
              <w:top w:val="nil"/>
              <w:left w:val="nil"/>
              <w:bottom w:val="single" w:sz="4" w:space="0" w:color="auto"/>
              <w:right w:val="single" w:sz="4" w:space="0" w:color="auto"/>
            </w:tcBorders>
            <w:shd w:val="clear" w:color="auto" w:fill="auto"/>
            <w:noWrap/>
            <w:hideMark/>
          </w:tcPr>
          <w:p w14:paraId="08DD4E87"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2274</w:t>
            </w:r>
          </w:p>
        </w:tc>
        <w:tc>
          <w:tcPr>
            <w:tcW w:w="311" w:type="pct"/>
            <w:tcBorders>
              <w:top w:val="nil"/>
              <w:left w:val="nil"/>
              <w:bottom w:val="single" w:sz="4" w:space="0" w:color="auto"/>
              <w:right w:val="single" w:sz="4" w:space="0" w:color="auto"/>
            </w:tcBorders>
            <w:shd w:val="clear" w:color="auto" w:fill="auto"/>
            <w:noWrap/>
            <w:hideMark/>
          </w:tcPr>
          <w:p w14:paraId="2D1A3EFA"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535</w:t>
            </w:r>
          </w:p>
        </w:tc>
        <w:tc>
          <w:tcPr>
            <w:tcW w:w="345" w:type="pct"/>
            <w:tcBorders>
              <w:top w:val="nil"/>
              <w:left w:val="nil"/>
              <w:bottom w:val="single" w:sz="4" w:space="0" w:color="auto"/>
              <w:right w:val="single" w:sz="4" w:space="0" w:color="auto"/>
            </w:tcBorders>
            <w:shd w:val="clear" w:color="auto" w:fill="auto"/>
            <w:noWrap/>
            <w:hideMark/>
          </w:tcPr>
          <w:p w14:paraId="62EEBD8E"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420</w:t>
            </w:r>
          </w:p>
        </w:tc>
        <w:tc>
          <w:tcPr>
            <w:tcW w:w="315" w:type="pct"/>
            <w:tcBorders>
              <w:top w:val="nil"/>
              <w:left w:val="nil"/>
              <w:bottom w:val="single" w:sz="4" w:space="0" w:color="auto"/>
              <w:right w:val="single" w:sz="4" w:space="0" w:color="auto"/>
            </w:tcBorders>
            <w:shd w:val="clear" w:color="auto" w:fill="auto"/>
            <w:noWrap/>
            <w:hideMark/>
          </w:tcPr>
          <w:p w14:paraId="7BEAEE63" w14:textId="3307F5ED"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122,7</w:t>
            </w:r>
          </w:p>
        </w:tc>
        <w:tc>
          <w:tcPr>
            <w:tcW w:w="309" w:type="pct"/>
            <w:tcBorders>
              <w:top w:val="nil"/>
              <w:left w:val="nil"/>
              <w:bottom w:val="single" w:sz="4" w:space="0" w:color="auto"/>
              <w:right w:val="single" w:sz="4" w:space="0" w:color="auto"/>
            </w:tcBorders>
            <w:shd w:val="clear" w:color="auto" w:fill="auto"/>
            <w:noWrap/>
            <w:hideMark/>
          </w:tcPr>
          <w:p w14:paraId="7EC84B31"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69</w:t>
            </w:r>
          </w:p>
        </w:tc>
        <w:tc>
          <w:tcPr>
            <w:tcW w:w="322" w:type="pct"/>
            <w:tcBorders>
              <w:top w:val="single" w:sz="4" w:space="0" w:color="auto"/>
              <w:left w:val="nil"/>
              <w:bottom w:val="single" w:sz="4" w:space="0" w:color="auto"/>
              <w:right w:val="single" w:sz="4" w:space="0" w:color="auto"/>
            </w:tcBorders>
            <w:shd w:val="clear" w:color="auto" w:fill="auto"/>
            <w:noWrap/>
            <w:hideMark/>
          </w:tcPr>
          <w:p w14:paraId="64F9811F"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114,8%</w:t>
            </w:r>
          </w:p>
        </w:tc>
      </w:tr>
      <w:tr w:rsidR="007F4823" w:rsidRPr="00DD5F1D" w14:paraId="71A9C7D3"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8B8F175"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7A13E54D" w14:textId="5C69BF4C" w:rsidR="007F4823" w:rsidRPr="00DD5F1D" w:rsidRDefault="007F4823" w:rsidP="00D86B83">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xml:space="preserve">Legea </w:t>
            </w:r>
            <w:r w:rsidR="00D86B83" w:rsidRPr="00DD5F1D">
              <w:rPr>
                <w:rFonts w:ascii="Times New Roman" w:eastAsia="Times New Roman" w:hAnsi="Times New Roman" w:cs="Times New Roman"/>
                <w:sz w:val="16"/>
                <w:szCs w:val="16"/>
                <w:lang w:val="ro-MD"/>
              </w:rPr>
              <w:t>nr.</w:t>
            </w:r>
            <w:r w:rsidRPr="00DD5F1D">
              <w:rPr>
                <w:rFonts w:ascii="Times New Roman" w:eastAsia="Times New Roman" w:hAnsi="Times New Roman" w:cs="Times New Roman"/>
                <w:sz w:val="16"/>
                <w:szCs w:val="16"/>
                <w:lang w:val="ro-MD"/>
              </w:rPr>
              <w:t>127/2020, Indemnizaţie urmaşilor personalului medical decedat</w:t>
            </w:r>
          </w:p>
        </w:tc>
        <w:tc>
          <w:tcPr>
            <w:tcW w:w="357" w:type="pct"/>
            <w:tcBorders>
              <w:top w:val="nil"/>
              <w:left w:val="nil"/>
              <w:bottom w:val="single" w:sz="4" w:space="0" w:color="auto"/>
              <w:right w:val="single" w:sz="4" w:space="0" w:color="auto"/>
            </w:tcBorders>
            <w:shd w:val="clear" w:color="auto" w:fill="auto"/>
            <w:hideMark/>
          </w:tcPr>
          <w:p w14:paraId="6850A5F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33</w:t>
            </w:r>
          </w:p>
        </w:tc>
        <w:tc>
          <w:tcPr>
            <w:tcW w:w="283" w:type="pct"/>
            <w:tcBorders>
              <w:top w:val="nil"/>
              <w:left w:val="nil"/>
              <w:bottom w:val="single" w:sz="4" w:space="0" w:color="auto"/>
              <w:right w:val="single" w:sz="4" w:space="0" w:color="auto"/>
            </w:tcBorders>
            <w:shd w:val="clear" w:color="auto" w:fill="auto"/>
            <w:hideMark/>
          </w:tcPr>
          <w:p w14:paraId="78FC039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20</w:t>
            </w:r>
          </w:p>
        </w:tc>
        <w:tc>
          <w:tcPr>
            <w:tcW w:w="414" w:type="pct"/>
            <w:tcBorders>
              <w:top w:val="nil"/>
              <w:left w:val="nil"/>
              <w:bottom w:val="single" w:sz="4" w:space="0" w:color="auto"/>
              <w:right w:val="single" w:sz="4" w:space="0" w:color="auto"/>
            </w:tcBorders>
            <w:shd w:val="clear" w:color="auto" w:fill="auto"/>
            <w:hideMark/>
          </w:tcPr>
          <w:p w14:paraId="7723AD2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69</w:t>
            </w:r>
          </w:p>
        </w:tc>
        <w:tc>
          <w:tcPr>
            <w:tcW w:w="274" w:type="pct"/>
            <w:tcBorders>
              <w:top w:val="nil"/>
              <w:left w:val="nil"/>
              <w:bottom w:val="single" w:sz="4" w:space="0" w:color="auto"/>
              <w:right w:val="single" w:sz="4" w:space="0" w:color="auto"/>
            </w:tcBorders>
            <w:shd w:val="clear" w:color="auto" w:fill="auto"/>
            <w:hideMark/>
          </w:tcPr>
          <w:p w14:paraId="2EB6623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38</w:t>
            </w:r>
          </w:p>
        </w:tc>
        <w:tc>
          <w:tcPr>
            <w:tcW w:w="421" w:type="pct"/>
            <w:tcBorders>
              <w:top w:val="nil"/>
              <w:left w:val="nil"/>
              <w:bottom w:val="single" w:sz="4" w:space="0" w:color="auto"/>
              <w:right w:val="single" w:sz="4" w:space="0" w:color="auto"/>
            </w:tcBorders>
            <w:shd w:val="clear" w:color="auto" w:fill="auto"/>
            <w:hideMark/>
          </w:tcPr>
          <w:p w14:paraId="25E3E3D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68</w:t>
            </w:r>
          </w:p>
        </w:tc>
        <w:tc>
          <w:tcPr>
            <w:tcW w:w="319" w:type="pct"/>
            <w:tcBorders>
              <w:top w:val="nil"/>
              <w:left w:val="nil"/>
              <w:bottom w:val="single" w:sz="4" w:space="0" w:color="auto"/>
              <w:right w:val="single" w:sz="4" w:space="0" w:color="auto"/>
            </w:tcBorders>
            <w:shd w:val="clear" w:color="auto" w:fill="auto"/>
            <w:hideMark/>
          </w:tcPr>
          <w:p w14:paraId="32A806C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36</w:t>
            </w:r>
          </w:p>
        </w:tc>
        <w:tc>
          <w:tcPr>
            <w:tcW w:w="377" w:type="pct"/>
            <w:tcBorders>
              <w:top w:val="nil"/>
              <w:left w:val="nil"/>
              <w:bottom w:val="single" w:sz="4" w:space="0" w:color="auto"/>
              <w:right w:val="single" w:sz="4" w:space="0" w:color="auto"/>
            </w:tcBorders>
            <w:shd w:val="clear" w:color="auto" w:fill="auto"/>
            <w:noWrap/>
            <w:hideMark/>
          </w:tcPr>
          <w:p w14:paraId="73197E39"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66</w:t>
            </w:r>
          </w:p>
        </w:tc>
        <w:tc>
          <w:tcPr>
            <w:tcW w:w="311" w:type="pct"/>
            <w:tcBorders>
              <w:top w:val="nil"/>
              <w:left w:val="nil"/>
              <w:bottom w:val="single" w:sz="4" w:space="0" w:color="auto"/>
              <w:right w:val="single" w:sz="4" w:space="0" w:color="auto"/>
            </w:tcBorders>
            <w:shd w:val="clear" w:color="auto" w:fill="auto"/>
            <w:noWrap/>
            <w:hideMark/>
          </w:tcPr>
          <w:p w14:paraId="340C40CD"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36</w:t>
            </w:r>
          </w:p>
        </w:tc>
        <w:tc>
          <w:tcPr>
            <w:tcW w:w="345" w:type="pct"/>
            <w:tcBorders>
              <w:top w:val="nil"/>
              <w:left w:val="nil"/>
              <w:bottom w:val="single" w:sz="4" w:space="0" w:color="auto"/>
              <w:right w:val="single" w:sz="4" w:space="0" w:color="auto"/>
            </w:tcBorders>
            <w:shd w:val="clear" w:color="auto" w:fill="auto"/>
            <w:noWrap/>
            <w:hideMark/>
          </w:tcPr>
          <w:p w14:paraId="551EC81F"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w:t>
            </w:r>
          </w:p>
        </w:tc>
        <w:tc>
          <w:tcPr>
            <w:tcW w:w="315" w:type="pct"/>
            <w:tcBorders>
              <w:top w:val="nil"/>
              <w:left w:val="nil"/>
              <w:bottom w:val="single" w:sz="4" w:space="0" w:color="auto"/>
              <w:right w:val="single" w:sz="4" w:space="0" w:color="auto"/>
            </w:tcBorders>
            <w:shd w:val="clear" w:color="auto" w:fill="auto"/>
            <w:noWrap/>
            <w:hideMark/>
          </w:tcPr>
          <w:p w14:paraId="18F02A53" w14:textId="7DFC57D0"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97,1</w:t>
            </w:r>
          </w:p>
        </w:tc>
        <w:tc>
          <w:tcPr>
            <w:tcW w:w="309" w:type="pct"/>
            <w:tcBorders>
              <w:top w:val="nil"/>
              <w:left w:val="nil"/>
              <w:bottom w:val="single" w:sz="4" w:space="0" w:color="auto"/>
              <w:right w:val="single" w:sz="4" w:space="0" w:color="auto"/>
            </w:tcBorders>
            <w:shd w:val="clear" w:color="auto" w:fill="auto"/>
            <w:noWrap/>
            <w:hideMark/>
          </w:tcPr>
          <w:p w14:paraId="50947C8E"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0</w:t>
            </w:r>
          </w:p>
        </w:tc>
        <w:tc>
          <w:tcPr>
            <w:tcW w:w="322" w:type="pct"/>
            <w:tcBorders>
              <w:top w:val="single" w:sz="4" w:space="0" w:color="auto"/>
              <w:left w:val="nil"/>
              <w:bottom w:val="single" w:sz="4" w:space="0" w:color="auto"/>
              <w:right w:val="single" w:sz="4" w:space="0" w:color="auto"/>
            </w:tcBorders>
            <w:shd w:val="clear" w:color="auto" w:fill="auto"/>
            <w:noWrap/>
            <w:hideMark/>
          </w:tcPr>
          <w:p w14:paraId="6B7B3B96"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100,0%</w:t>
            </w:r>
          </w:p>
        </w:tc>
      </w:tr>
      <w:tr w:rsidR="007F4823" w:rsidRPr="00DD5F1D" w14:paraId="2F322621"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963DDDE" w14:textId="77777777" w:rsidR="007F4823" w:rsidRPr="00DD5F1D" w:rsidRDefault="007F4823" w:rsidP="000E2AC7">
            <w:pPr>
              <w:spacing w:after="0" w:line="240" w:lineRule="auto"/>
              <w:jc w:val="center"/>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w:t>
            </w:r>
          </w:p>
        </w:tc>
        <w:tc>
          <w:tcPr>
            <w:tcW w:w="767" w:type="pct"/>
            <w:tcBorders>
              <w:top w:val="nil"/>
              <w:left w:val="nil"/>
              <w:bottom w:val="single" w:sz="4" w:space="0" w:color="auto"/>
              <w:right w:val="single" w:sz="4" w:space="0" w:color="auto"/>
            </w:tcBorders>
            <w:shd w:val="clear" w:color="auto" w:fill="auto"/>
            <w:vAlign w:val="bottom"/>
            <w:hideMark/>
          </w:tcPr>
          <w:p w14:paraId="27435D00" w14:textId="77777777" w:rsidR="007F4823" w:rsidRPr="00DD5F1D" w:rsidRDefault="007F4823" w:rsidP="000E2AC7">
            <w:pPr>
              <w:spacing w:after="0" w:line="240" w:lineRule="auto"/>
              <w:rPr>
                <w:rFonts w:ascii="Times New Roman" w:eastAsia="Times New Roman" w:hAnsi="Times New Roman" w:cs="Times New Roman"/>
                <w:b/>
                <w:bCs/>
                <w:i/>
                <w:iCs/>
                <w:sz w:val="16"/>
                <w:szCs w:val="16"/>
                <w:lang w:val="ro-MD"/>
              </w:rPr>
            </w:pPr>
            <w:r w:rsidRPr="00DD5F1D">
              <w:rPr>
                <w:rFonts w:ascii="Times New Roman" w:eastAsia="Times New Roman" w:hAnsi="Times New Roman" w:cs="Times New Roman"/>
                <w:b/>
                <w:bCs/>
                <w:i/>
                <w:iCs/>
                <w:sz w:val="16"/>
                <w:szCs w:val="16"/>
                <w:lang w:val="ro-MD"/>
              </w:rPr>
              <w:t xml:space="preserve">Indemnizații pentru susținerea familiilor </w:t>
            </w:r>
          </w:p>
        </w:tc>
        <w:tc>
          <w:tcPr>
            <w:tcW w:w="357" w:type="pct"/>
            <w:tcBorders>
              <w:top w:val="nil"/>
              <w:left w:val="nil"/>
              <w:bottom w:val="single" w:sz="4" w:space="0" w:color="auto"/>
              <w:right w:val="single" w:sz="4" w:space="0" w:color="auto"/>
            </w:tcBorders>
            <w:shd w:val="clear" w:color="auto" w:fill="auto"/>
            <w:hideMark/>
          </w:tcPr>
          <w:p w14:paraId="5E538A30"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81490</w:t>
            </w:r>
          </w:p>
        </w:tc>
        <w:tc>
          <w:tcPr>
            <w:tcW w:w="283" w:type="pct"/>
            <w:tcBorders>
              <w:top w:val="nil"/>
              <w:left w:val="nil"/>
              <w:bottom w:val="single" w:sz="4" w:space="0" w:color="auto"/>
              <w:right w:val="single" w:sz="4" w:space="0" w:color="auto"/>
            </w:tcBorders>
            <w:shd w:val="clear" w:color="auto" w:fill="auto"/>
            <w:hideMark/>
          </w:tcPr>
          <w:p w14:paraId="45E92E53"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23308</w:t>
            </w:r>
          </w:p>
        </w:tc>
        <w:tc>
          <w:tcPr>
            <w:tcW w:w="414" w:type="pct"/>
            <w:tcBorders>
              <w:top w:val="nil"/>
              <w:left w:val="nil"/>
              <w:bottom w:val="single" w:sz="4" w:space="0" w:color="auto"/>
              <w:right w:val="single" w:sz="4" w:space="0" w:color="auto"/>
            </w:tcBorders>
            <w:shd w:val="clear" w:color="auto" w:fill="auto"/>
            <w:hideMark/>
          </w:tcPr>
          <w:p w14:paraId="1DA30CA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81280</w:t>
            </w:r>
          </w:p>
        </w:tc>
        <w:tc>
          <w:tcPr>
            <w:tcW w:w="274" w:type="pct"/>
            <w:tcBorders>
              <w:top w:val="nil"/>
              <w:left w:val="nil"/>
              <w:bottom w:val="single" w:sz="4" w:space="0" w:color="auto"/>
              <w:right w:val="single" w:sz="4" w:space="0" w:color="auto"/>
            </w:tcBorders>
            <w:shd w:val="clear" w:color="auto" w:fill="auto"/>
            <w:hideMark/>
          </w:tcPr>
          <w:p w14:paraId="13294F1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22875</w:t>
            </w:r>
          </w:p>
        </w:tc>
        <w:tc>
          <w:tcPr>
            <w:tcW w:w="421" w:type="pct"/>
            <w:tcBorders>
              <w:top w:val="nil"/>
              <w:left w:val="nil"/>
              <w:bottom w:val="single" w:sz="4" w:space="0" w:color="auto"/>
              <w:right w:val="single" w:sz="4" w:space="0" w:color="auto"/>
            </w:tcBorders>
            <w:shd w:val="clear" w:color="auto" w:fill="auto"/>
            <w:hideMark/>
          </w:tcPr>
          <w:p w14:paraId="32CBF8D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72767</w:t>
            </w:r>
          </w:p>
        </w:tc>
        <w:tc>
          <w:tcPr>
            <w:tcW w:w="319" w:type="pct"/>
            <w:tcBorders>
              <w:top w:val="nil"/>
              <w:left w:val="nil"/>
              <w:bottom w:val="single" w:sz="4" w:space="0" w:color="auto"/>
              <w:right w:val="single" w:sz="4" w:space="0" w:color="auto"/>
            </w:tcBorders>
            <w:shd w:val="clear" w:color="auto" w:fill="auto"/>
            <w:hideMark/>
          </w:tcPr>
          <w:p w14:paraId="56159DD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21883</w:t>
            </w:r>
          </w:p>
        </w:tc>
        <w:tc>
          <w:tcPr>
            <w:tcW w:w="377" w:type="pct"/>
            <w:tcBorders>
              <w:top w:val="nil"/>
              <w:left w:val="nil"/>
              <w:bottom w:val="single" w:sz="4" w:space="0" w:color="auto"/>
              <w:right w:val="single" w:sz="4" w:space="0" w:color="auto"/>
            </w:tcBorders>
            <w:shd w:val="clear" w:color="auto" w:fill="auto"/>
            <w:hideMark/>
          </w:tcPr>
          <w:p w14:paraId="1654AC6E"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77886</w:t>
            </w:r>
          </w:p>
        </w:tc>
        <w:tc>
          <w:tcPr>
            <w:tcW w:w="311" w:type="pct"/>
            <w:tcBorders>
              <w:top w:val="nil"/>
              <w:left w:val="nil"/>
              <w:bottom w:val="single" w:sz="4" w:space="0" w:color="auto"/>
              <w:right w:val="single" w:sz="4" w:space="0" w:color="auto"/>
            </w:tcBorders>
            <w:shd w:val="clear" w:color="auto" w:fill="auto"/>
            <w:hideMark/>
          </w:tcPr>
          <w:p w14:paraId="4967A657"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14151</w:t>
            </w:r>
          </w:p>
        </w:tc>
        <w:tc>
          <w:tcPr>
            <w:tcW w:w="345" w:type="pct"/>
            <w:tcBorders>
              <w:top w:val="nil"/>
              <w:left w:val="nil"/>
              <w:bottom w:val="single" w:sz="4" w:space="0" w:color="auto"/>
              <w:right w:val="single" w:sz="4" w:space="0" w:color="auto"/>
            </w:tcBorders>
            <w:shd w:val="clear" w:color="auto" w:fill="auto"/>
            <w:noWrap/>
            <w:hideMark/>
          </w:tcPr>
          <w:p w14:paraId="28654228"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5119</w:t>
            </w:r>
          </w:p>
        </w:tc>
        <w:tc>
          <w:tcPr>
            <w:tcW w:w="315" w:type="pct"/>
            <w:tcBorders>
              <w:top w:val="nil"/>
              <w:left w:val="nil"/>
              <w:bottom w:val="single" w:sz="4" w:space="0" w:color="auto"/>
              <w:right w:val="single" w:sz="4" w:space="0" w:color="auto"/>
            </w:tcBorders>
            <w:shd w:val="clear" w:color="auto" w:fill="auto"/>
            <w:noWrap/>
            <w:hideMark/>
          </w:tcPr>
          <w:p w14:paraId="4FA7B73F" w14:textId="55F259B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107,0</w:t>
            </w:r>
          </w:p>
        </w:tc>
        <w:tc>
          <w:tcPr>
            <w:tcW w:w="309" w:type="pct"/>
            <w:tcBorders>
              <w:top w:val="nil"/>
              <w:left w:val="nil"/>
              <w:bottom w:val="single" w:sz="4" w:space="0" w:color="auto"/>
              <w:right w:val="single" w:sz="4" w:space="0" w:color="auto"/>
            </w:tcBorders>
            <w:shd w:val="clear" w:color="auto" w:fill="auto"/>
            <w:noWrap/>
            <w:hideMark/>
          </w:tcPr>
          <w:p w14:paraId="702DC6FF"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-7732</w:t>
            </w:r>
          </w:p>
        </w:tc>
        <w:tc>
          <w:tcPr>
            <w:tcW w:w="322" w:type="pct"/>
            <w:tcBorders>
              <w:top w:val="single" w:sz="4" w:space="0" w:color="auto"/>
              <w:left w:val="nil"/>
              <w:bottom w:val="single" w:sz="4" w:space="0" w:color="auto"/>
              <w:right w:val="single" w:sz="4" w:space="0" w:color="auto"/>
            </w:tcBorders>
            <w:shd w:val="clear" w:color="auto" w:fill="auto"/>
            <w:noWrap/>
            <w:hideMark/>
          </w:tcPr>
          <w:p w14:paraId="2738200C"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64,7%</w:t>
            </w:r>
          </w:p>
        </w:tc>
      </w:tr>
      <w:tr w:rsidR="007F4823" w:rsidRPr="00DD5F1D" w14:paraId="2B2DC5D3"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noWrap/>
            <w:vAlign w:val="bottom"/>
            <w:hideMark/>
          </w:tcPr>
          <w:p w14:paraId="31ED9B8D"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037548B8"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Indemnizații pentru creșterea  copilului, persoane asigurate</w:t>
            </w:r>
          </w:p>
        </w:tc>
        <w:tc>
          <w:tcPr>
            <w:tcW w:w="357" w:type="pct"/>
            <w:tcBorders>
              <w:top w:val="nil"/>
              <w:left w:val="nil"/>
              <w:bottom w:val="single" w:sz="4" w:space="0" w:color="auto"/>
              <w:right w:val="single" w:sz="4" w:space="0" w:color="auto"/>
            </w:tcBorders>
            <w:shd w:val="clear" w:color="auto" w:fill="auto"/>
            <w:noWrap/>
            <w:hideMark/>
          </w:tcPr>
          <w:p w14:paraId="45735BD0"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47876</w:t>
            </w:r>
          </w:p>
        </w:tc>
        <w:tc>
          <w:tcPr>
            <w:tcW w:w="283" w:type="pct"/>
            <w:tcBorders>
              <w:top w:val="nil"/>
              <w:left w:val="nil"/>
              <w:bottom w:val="single" w:sz="4" w:space="0" w:color="auto"/>
              <w:right w:val="single" w:sz="4" w:space="0" w:color="auto"/>
            </w:tcBorders>
            <w:shd w:val="clear" w:color="auto" w:fill="auto"/>
            <w:noWrap/>
            <w:hideMark/>
          </w:tcPr>
          <w:p w14:paraId="75961167"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21910</w:t>
            </w:r>
          </w:p>
        </w:tc>
        <w:tc>
          <w:tcPr>
            <w:tcW w:w="414" w:type="pct"/>
            <w:tcBorders>
              <w:top w:val="nil"/>
              <w:left w:val="nil"/>
              <w:bottom w:val="single" w:sz="4" w:space="0" w:color="auto"/>
              <w:right w:val="single" w:sz="4" w:space="0" w:color="auto"/>
            </w:tcBorders>
            <w:shd w:val="clear" w:color="auto" w:fill="auto"/>
            <w:noWrap/>
            <w:hideMark/>
          </w:tcPr>
          <w:p w14:paraId="19268A4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47788</w:t>
            </w:r>
          </w:p>
        </w:tc>
        <w:tc>
          <w:tcPr>
            <w:tcW w:w="274" w:type="pct"/>
            <w:tcBorders>
              <w:top w:val="nil"/>
              <w:left w:val="nil"/>
              <w:bottom w:val="single" w:sz="4" w:space="0" w:color="auto"/>
              <w:right w:val="single" w:sz="4" w:space="0" w:color="auto"/>
            </w:tcBorders>
            <w:shd w:val="clear" w:color="auto" w:fill="auto"/>
            <w:noWrap/>
            <w:hideMark/>
          </w:tcPr>
          <w:p w14:paraId="7693114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21605</w:t>
            </w:r>
          </w:p>
        </w:tc>
        <w:tc>
          <w:tcPr>
            <w:tcW w:w="421" w:type="pct"/>
            <w:tcBorders>
              <w:top w:val="nil"/>
              <w:left w:val="nil"/>
              <w:bottom w:val="single" w:sz="4" w:space="0" w:color="auto"/>
              <w:right w:val="single" w:sz="4" w:space="0" w:color="auto"/>
            </w:tcBorders>
            <w:shd w:val="clear" w:color="auto" w:fill="auto"/>
            <w:noWrap/>
            <w:hideMark/>
          </w:tcPr>
          <w:p w14:paraId="030A513F"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42360</w:t>
            </w:r>
          </w:p>
        </w:tc>
        <w:tc>
          <w:tcPr>
            <w:tcW w:w="319" w:type="pct"/>
            <w:tcBorders>
              <w:top w:val="nil"/>
              <w:left w:val="nil"/>
              <w:bottom w:val="single" w:sz="4" w:space="0" w:color="auto"/>
              <w:right w:val="single" w:sz="4" w:space="0" w:color="auto"/>
            </w:tcBorders>
            <w:shd w:val="clear" w:color="auto" w:fill="auto"/>
            <w:noWrap/>
            <w:hideMark/>
          </w:tcPr>
          <w:p w14:paraId="3DDB94F6"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20713</w:t>
            </w:r>
          </w:p>
        </w:tc>
        <w:tc>
          <w:tcPr>
            <w:tcW w:w="377" w:type="pct"/>
            <w:tcBorders>
              <w:top w:val="nil"/>
              <w:left w:val="nil"/>
              <w:bottom w:val="single" w:sz="4" w:space="0" w:color="auto"/>
              <w:right w:val="single" w:sz="4" w:space="0" w:color="auto"/>
            </w:tcBorders>
            <w:shd w:val="clear" w:color="auto" w:fill="auto"/>
            <w:noWrap/>
            <w:hideMark/>
          </w:tcPr>
          <w:p w14:paraId="2BEE6841"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40137</w:t>
            </w:r>
          </w:p>
        </w:tc>
        <w:tc>
          <w:tcPr>
            <w:tcW w:w="311" w:type="pct"/>
            <w:tcBorders>
              <w:top w:val="nil"/>
              <w:left w:val="nil"/>
              <w:bottom w:val="single" w:sz="4" w:space="0" w:color="auto"/>
              <w:right w:val="single" w:sz="4" w:space="0" w:color="auto"/>
            </w:tcBorders>
            <w:shd w:val="clear" w:color="auto" w:fill="auto"/>
            <w:noWrap/>
            <w:hideMark/>
          </w:tcPr>
          <w:p w14:paraId="742249A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12727</w:t>
            </w:r>
          </w:p>
        </w:tc>
        <w:tc>
          <w:tcPr>
            <w:tcW w:w="345" w:type="pct"/>
            <w:tcBorders>
              <w:top w:val="nil"/>
              <w:left w:val="nil"/>
              <w:bottom w:val="single" w:sz="4" w:space="0" w:color="auto"/>
              <w:right w:val="single" w:sz="4" w:space="0" w:color="auto"/>
            </w:tcBorders>
            <w:shd w:val="clear" w:color="auto" w:fill="auto"/>
            <w:noWrap/>
            <w:hideMark/>
          </w:tcPr>
          <w:p w14:paraId="62703C72"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-2223</w:t>
            </w:r>
          </w:p>
        </w:tc>
        <w:tc>
          <w:tcPr>
            <w:tcW w:w="315" w:type="pct"/>
            <w:tcBorders>
              <w:top w:val="nil"/>
              <w:left w:val="nil"/>
              <w:bottom w:val="single" w:sz="4" w:space="0" w:color="auto"/>
              <w:right w:val="single" w:sz="4" w:space="0" w:color="auto"/>
            </w:tcBorders>
            <w:shd w:val="clear" w:color="auto" w:fill="auto"/>
            <w:noWrap/>
            <w:hideMark/>
          </w:tcPr>
          <w:p w14:paraId="06CBC4D9" w14:textId="4571350F" w:rsidR="007F4823" w:rsidRPr="00DD5F1D" w:rsidRDefault="007F4823" w:rsidP="00D86B83">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94,8</w:t>
            </w:r>
          </w:p>
        </w:tc>
        <w:tc>
          <w:tcPr>
            <w:tcW w:w="309" w:type="pct"/>
            <w:tcBorders>
              <w:top w:val="nil"/>
              <w:left w:val="nil"/>
              <w:bottom w:val="single" w:sz="4" w:space="0" w:color="auto"/>
              <w:right w:val="single" w:sz="4" w:space="0" w:color="auto"/>
            </w:tcBorders>
            <w:shd w:val="clear" w:color="auto" w:fill="auto"/>
            <w:noWrap/>
            <w:hideMark/>
          </w:tcPr>
          <w:p w14:paraId="524B6DBB"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-7986</w:t>
            </w:r>
          </w:p>
        </w:tc>
        <w:tc>
          <w:tcPr>
            <w:tcW w:w="322" w:type="pct"/>
            <w:tcBorders>
              <w:top w:val="single" w:sz="4" w:space="0" w:color="auto"/>
              <w:left w:val="nil"/>
              <w:bottom w:val="single" w:sz="4" w:space="0" w:color="auto"/>
              <w:right w:val="single" w:sz="4" w:space="0" w:color="auto"/>
            </w:tcBorders>
            <w:shd w:val="clear" w:color="auto" w:fill="auto"/>
            <w:noWrap/>
            <w:hideMark/>
          </w:tcPr>
          <w:p w14:paraId="32BD81EA"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61,4%</w:t>
            </w:r>
          </w:p>
        </w:tc>
      </w:tr>
      <w:tr w:rsidR="007F4823" w:rsidRPr="00DD5F1D" w14:paraId="0411464E" w14:textId="77777777" w:rsidTr="000E2AC7">
        <w:trPr>
          <w:trHeight w:val="20"/>
        </w:trPr>
        <w:tc>
          <w:tcPr>
            <w:tcW w:w="186" w:type="pct"/>
            <w:tcBorders>
              <w:top w:val="nil"/>
              <w:left w:val="single" w:sz="4" w:space="0" w:color="auto"/>
              <w:bottom w:val="single" w:sz="4" w:space="0" w:color="auto"/>
              <w:right w:val="single" w:sz="4" w:space="0" w:color="auto"/>
            </w:tcBorders>
            <w:shd w:val="clear" w:color="auto" w:fill="auto"/>
            <w:noWrap/>
            <w:vAlign w:val="bottom"/>
            <w:hideMark/>
          </w:tcPr>
          <w:p w14:paraId="160B0500"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p>
        </w:tc>
        <w:tc>
          <w:tcPr>
            <w:tcW w:w="767" w:type="pct"/>
            <w:tcBorders>
              <w:top w:val="nil"/>
              <w:left w:val="nil"/>
              <w:bottom w:val="single" w:sz="4" w:space="0" w:color="auto"/>
              <w:right w:val="single" w:sz="4" w:space="0" w:color="auto"/>
            </w:tcBorders>
            <w:shd w:val="clear" w:color="auto" w:fill="auto"/>
            <w:vAlign w:val="bottom"/>
            <w:hideMark/>
          </w:tcPr>
          <w:p w14:paraId="3FCB8035" w14:textId="77777777" w:rsidR="007F4823" w:rsidRPr="00DD5F1D" w:rsidRDefault="007F4823" w:rsidP="000E2AC7">
            <w:pPr>
              <w:spacing w:after="0" w:line="240" w:lineRule="auto"/>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Indemnizații pentru creșterea  copilului, persoane neasigurate</w:t>
            </w:r>
          </w:p>
        </w:tc>
        <w:tc>
          <w:tcPr>
            <w:tcW w:w="357" w:type="pct"/>
            <w:tcBorders>
              <w:top w:val="nil"/>
              <w:left w:val="nil"/>
              <w:bottom w:val="single" w:sz="4" w:space="0" w:color="auto"/>
              <w:right w:val="single" w:sz="4" w:space="0" w:color="auto"/>
            </w:tcBorders>
            <w:shd w:val="clear" w:color="auto" w:fill="auto"/>
            <w:noWrap/>
            <w:hideMark/>
          </w:tcPr>
          <w:p w14:paraId="7D02355C"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33614</w:t>
            </w:r>
          </w:p>
        </w:tc>
        <w:tc>
          <w:tcPr>
            <w:tcW w:w="283" w:type="pct"/>
            <w:tcBorders>
              <w:top w:val="nil"/>
              <w:left w:val="nil"/>
              <w:bottom w:val="single" w:sz="4" w:space="0" w:color="auto"/>
              <w:right w:val="single" w:sz="4" w:space="0" w:color="auto"/>
            </w:tcBorders>
            <w:shd w:val="clear" w:color="auto" w:fill="auto"/>
            <w:noWrap/>
            <w:hideMark/>
          </w:tcPr>
          <w:p w14:paraId="58C60EE5"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1398</w:t>
            </w:r>
          </w:p>
        </w:tc>
        <w:tc>
          <w:tcPr>
            <w:tcW w:w="414" w:type="pct"/>
            <w:tcBorders>
              <w:top w:val="nil"/>
              <w:left w:val="nil"/>
              <w:bottom w:val="single" w:sz="4" w:space="0" w:color="auto"/>
              <w:right w:val="single" w:sz="4" w:space="0" w:color="auto"/>
            </w:tcBorders>
            <w:shd w:val="clear" w:color="auto" w:fill="auto"/>
            <w:noWrap/>
            <w:hideMark/>
          </w:tcPr>
          <w:p w14:paraId="4136466D"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33492</w:t>
            </w:r>
          </w:p>
        </w:tc>
        <w:tc>
          <w:tcPr>
            <w:tcW w:w="274" w:type="pct"/>
            <w:tcBorders>
              <w:top w:val="nil"/>
              <w:left w:val="nil"/>
              <w:bottom w:val="single" w:sz="4" w:space="0" w:color="auto"/>
              <w:right w:val="single" w:sz="4" w:space="0" w:color="auto"/>
            </w:tcBorders>
            <w:shd w:val="clear" w:color="auto" w:fill="auto"/>
            <w:noWrap/>
            <w:hideMark/>
          </w:tcPr>
          <w:p w14:paraId="5A389844"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1270</w:t>
            </w:r>
          </w:p>
        </w:tc>
        <w:tc>
          <w:tcPr>
            <w:tcW w:w="421" w:type="pct"/>
            <w:tcBorders>
              <w:top w:val="nil"/>
              <w:left w:val="nil"/>
              <w:bottom w:val="single" w:sz="4" w:space="0" w:color="auto"/>
              <w:right w:val="single" w:sz="4" w:space="0" w:color="auto"/>
            </w:tcBorders>
            <w:shd w:val="clear" w:color="auto" w:fill="auto"/>
            <w:noWrap/>
            <w:hideMark/>
          </w:tcPr>
          <w:p w14:paraId="48364C48"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30407</w:t>
            </w:r>
          </w:p>
        </w:tc>
        <w:tc>
          <w:tcPr>
            <w:tcW w:w="319" w:type="pct"/>
            <w:tcBorders>
              <w:top w:val="nil"/>
              <w:left w:val="nil"/>
              <w:bottom w:val="single" w:sz="4" w:space="0" w:color="auto"/>
              <w:right w:val="single" w:sz="4" w:space="0" w:color="auto"/>
            </w:tcBorders>
            <w:shd w:val="clear" w:color="auto" w:fill="auto"/>
            <w:noWrap/>
            <w:hideMark/>
          </w:tcPr>
          <w:p w14:paraId="66194F5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1170</w:t>
            </w:r>
          </w:p>
        </w:tc>
        <w:tc>
          <w:tcPr>
            <w:tcW w:w="377" w:type="pct"/>
            <w:tcBorders>
              <w:top w:val="nil"/>
              <w:left w:val="nil"/>
              <w:bottom w:val="single" w:sz="4" w:space="0" w:color="auto"/>
              <w:right w:val="single" w:sz="4" w:space="0" w:color="auto"/>
            </w:tcBorders>
            <w:shd w:val="clear" w:color="auto" w:fill="auto"/>
            <w:noWrap/>
            <w:hideMark/>
          </w:tcPr>
          <w:p w14:paraId="740630CB"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37749</w:t>
            </w:r>
          </w:p>
        </w:tc>
        <w:tc>
          <w:tcPr>
            <w:tcW w:w="311" w:type="pct"/>
            <w:tcBorders>
              <w:top w:val="nil"/>
              <w:left w:val="nil"/>
              <w:bottom w:val="single" w:sz="4" w:space="0" w:color="auto"/>
              <w:right w:val="single" w:sz="4" w:space="0" w:color="auto"/>
            </w:tcBorders>
            <w:shd w:val="clear" w:color="auto" w:fill="auto"/>
            <w:noWrap/>
            <w:hideMark/>
          </w:tcPr>
          <w:p w14:paraId="2C8ADAAD" w14:textId="77777777" w:rsidR="007F4823" w:rsidRPr="00DD5F1D" w:rsidRDefault="007F4823" w:rsidP="000E2AC7">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1424</w:t>
            </w:r>
          </w:p>
        </w:tc>
        <w:tc>
          <w:tcPr>
            <w:tcW w:w="345" w:type="pct"/>
            <w:tcBorders>
              <w:top w:val="nil"/>
              <w:left w:val="nil"/>
              <w:bottom w:val="single" w:sz="4" w:space="0" w:color="auto"/>
              <w:right w:val="single" w:sz="4" w:space="0" w:color="auto"/>
            </w:tcBorders>
            <w:shd w:val="clear" w:color="auto" w:fill="auto"/>
            <w:noWrap/>
            <w:hideMark/>
          </w:tcPr>
          <w:p w14:paraId="65F3ED4C"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7342</w:t>
            </w:r>
          </w:p>
        </w:tc>
        <w:tc>
          <w:tcPr>
            <w:tcW w:w="315" w:type="pct"/>
            <w:tcBorders>
              <w:top w:val="nil"/>
              <w:left w:val="nil"/>
              <w:bottom w:val="single" w:sz="4" w:space="0" w:color="auto"/>
              <w:right w:val="single" w:sz="4" w:space="0" w:color="auto"/>
            </w:tcBorders>
            <w:shd w:val="clear" w:color="auto" w:fill="auto"/>
            <w:noWrap/>
            <w:hideMark/>
          </w:tcPr>
          <w:p w14:paraId="59E35D44" w14:textId="61540F39"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124,1</w:t>
            </w:r>
          </w:p>
        </w:tc>
        <w:tc>
          <w:tcPr>
            <w:tcW w:w="309" w:type="pct"/>
            <w:tcBorders>
              <w:top w:val="nil"/>
              <w:left w:val="nil"/>
              <w:bottom w:val="single" w:sz="4" w:space="0" w:color="auto"/>
              <w:right w:val="single" w:sz="4" w:space="0" w:color="auto"/>
            </w:tcBorders>
            <w:shd w:val="clear" w:color="auto" w:fill="auto"/>
            <w:noWrap/>
            <w:hideMark/>
          </w:tcPr>
          <w:p w14:paraId="027DDFAF"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254</w:t>
            </w:r>
          </w:p>
        </w:tc>
        <w:tc>
          <w:tcPr>
            <w:tcW w:w="322" w:type="pct"/>
            <w:tcBorders>
              <w:top w:val="single" w:sz="4" w:space="0" w:color="auto"/>
              <w:left w:val="nil"/>
              <w:bottom w:val="single" w:sz="4" w:space="0" w:color="auto"/>
              <w:right w:val="single" w:sz="4" w:space="0" w:color="auto"/>
            </w:tcBorders>
            <w:shd w:val="clear" w:color="auto" w:fill="auto"/>
            <w:noWrap/>
            <w:hideMark/>
          </w:tcPr>
          <w:p w14:paraId="31FAF838" w14:textId="77777777" w:rsidR="007F4823" w:rsidRPr="00DD5F1D" w:rsidRDefault="007F4823" w:rsidP="000E2AC7">
            <w:pPr>
              <w:spacing w:after="0" w:line="240" w:lineRule="auto"/>
              <w:jc w:val="right"/>
              <w:rPr>
                <w:rFonts w:ascii="Times New Roman" w:eastAsia="Times New Roman" w:hAnsi="Times New Roman" w:cs="Times New Roman"/>
                <w:b/>
                <w:bCs/>
                <w:sz w:val="16"/>
                <w:szCs w:val="16"/>
                <w:lang w:val="ro-MD"/>
              </w:rPr>
            </w:pPr>
            <w:r w:rsidRPr="00DD5F1D">
              <w:rPr>
                <w:rFonts w:ascii="Times New Roman" w:eastAsia="Times New Roman" w:hAnsi="Times New Roman" w:cs="Times New Roman"/>
                <w:b/>
                <w:bCs/>
                <w:sz w:val="16"/>
                <w:szCs w:val="16"/>
                <w:lang w:val="ro-MD"/>
              </w:rPr>
              <w:t>121,7%</w:t>
            </w:r>
          </w:p>
        </w:tc>
      </w:tr>
      <w:tr w:rsidR="007F4823" w:rsidRPr="00DD5F1D" w14:paraId="1C6AD75F" w14:textId="77777777" w:rsidTr="000E2AC7">
        <w:trPr>
          <w:trHeight w:val="20"/>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2CD2B" w14:textId="77777777" w:rsidR="007F4823" w:rsidRPr="00DD5F1D" w:rsidRDefault="007F4823" w:rsidP="000E2AC7">
            <w:pPr>
              <w:spacing w:after="0" w:line="240" w:lineRule="auto"/>
              <w:rPr>
                <w:rFonts w:ascii="Times New Roman" w:eastAsia="Times New Roman" w:hAnsi="Times New Roman" w:cs="Times New Roman"/>
                <w:lang w:val="ro-MD"/>
              </w:rPr>
            </w:pPr>
            <w:r w:rsidRPr="00DD5F1D">
              <w:rPr>
                <w:rFonts w:ascii="Times New Roman" w:eastAsia="Times New Roman" w:hAnsi="Times New Roman" w:cs="Times New Roman"/>
                <w:lang w:val="ro-MD"/>
              </w:rPr>
              <w:t> </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5B241" w14:textId="77777777" w:rsidR="007F4823" w:rsidRPr="00DD5F1D" w:rsidRDefault="007F4823" w:rsidP="000E2AC7">
            <w:pPr>
              <w:spacing w:after="0" w:line="240" w:lineRule="auto"/>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Total (fără pct.4)</w:t>
            </w:r>
          </w:p>
        </w:tc>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14:paraId="35D433F7" w14:textId="77777777" w:rsidR="007F4823" w:rsidRPr="00DD5F1D" w:rsidRDefault="007F4823" w:rsidP="000E2AC7">
            <w:pPr>
              <w:spacing w:after="0" w:line="240" w:lineRule="auto"/>
              <w:jc w:val="right"/>
              <w:rPr>
                <w:rFonts w:ascii="Times New Roman" w:eastAsia="Times New Roman" w:hAnsi="Times New Roman" w:cs="Times New Roman"/>
                <w:b/>
                <w:sz w:val="18"/>
                <w:lang w:val="ro-MD"/>
              </w:rPr>
            </w:pPr>
            <w:r w:rsidRPr="00DD5F1D">
              <w:rPr>
                <w:rFonts w:ascii="Times New Roman" w:eastAsia="Times New Roman" w:hAnsi="Times New Roman" w:cs="Times New Roman"/>
                <w:b/>
                <w:sz w:val="18"/>
                <w:lang w:val="ro-MD"/>
              </w:rPr>
              <w:t>849654</w:t>
            </w:r>
          </w:p>
        </w:tc>
        <w:tc>
          <w:tcPr>
            <w:tcW w:w="283" w:type="pct"/>
            <w:tcBorders>
              <w:top w:val="single" w:sz="4" w:space="0" w:color="auto"/>
              <w:left w:val="single" w:sz="4" w:space="0" w:color="auto"/>
              <w:bottom w:val="single" w:sz="4" w:space="0" w:color="auto"/>
              <w:right w:val="single" w:sz="4" w:space="0" w:color="auto"/>
            </w:tcBorders>
            <w:shd w:val="clear" w:color="auto" w:fill="auto"/>
            <w:noWrap/>
            <w:hideMark/>
          </w:tcPr>
          <w:p w14:paraId="28DA6818" w14:textId="77777777" w:rsidR="007F4823" w:rsidRPr="00DD5F1D" w:rsidRDefault="007F4823" w:rsidP="000E2AC7">
            <w:pPr>
              <w:spacing w:after="0" w:line="240" w:lineRule="auto"/>
              <w:jc w:val="right"/>
              <w:rPr>
                <w:rFonts w:ascii="Times New Roman" w:eastAsia="Times New Roman" w:hAnsi="Times New Roman" w:cs="Times New Roman"/>
                <w:b/>
                <w:sz w:val="18"/>
                <w:lang w:val="ro-MD"/>
              </w:rPr>
            </w:pPr>
            <w:r w:rsidRPr="00DD5F1D">
              <w:rPr>
                <w:rFonts w:ascii="Times New Roman" w:eastAsia="Times New Roman" w:hAnsi="Times New Roman" w:cs="Times New Roman"/>
                <w:b/>
                <w:sz w:val="18"/>
                <w:lang w:val="ro-MD"/>
              </w:rPr>
              <w:t>205571</w:t>
            </w:r>
          </w:p>
        </w:tc>
        <w:tc>
          <w:tcPr>
            <w:tcW w:w="414" w:type="pct"/>
            <w:tcBorders>
              <w:top w:val="single" w:sz="4" w:space="0" w:color="auto"/>
              <w:left w:val="single" w:sz="4" w:space="0" w:color="auto"/>
              <w:bottom w:val="single" w:sz="4" w:space="0" w:color="auto"/>
              <w:right w:val="single" w:sz="4" w:space="0" w:color="auto"/>
            </w:tcBorders>
            <w:shd w:val="clear" w:color="auto" w:fill="auto"/>
            <w:noWrap/>
            <w:hideMark/>
          </w:tcPr>
          <w:p w14:paraId="5DD820A2" w14:textId="77777777" w:rsidR="007F4823" w:rsidRPr="00DD5F1D" w:rsidRDefault="007F4823" w:rsidP="000E2AC7">
            <w:pPr>
              <w:spacing w:after="0" w:line="240" w:lineRule="auto"/>
              <w:jc w:val="right"/>
              <w:rPr>
                <w:rFonts w:ascii="Times New Roman" w:eastAsia="Times New Roman" w:hAnsi="Times New Roman" w:cs="Times New Roman"/>
                <w:b/>
                <w:sz w:val="18"/>
                <w:lang w:val="ro-MD"/>
              </w:rPr>
            </w:pPr>
            <w:r w:rsidRPr="00DD5F1D">
              <w:rPr>
                <w:rFonts w:ascii="Times New Roman" w:eastAsia="Times New Roman" w:hAnsi="Times New Roman" w:cs="Times New Roman"/>
                <w:b/>
                <w:sz w:val="18"/>
                <w:lang w:val="ro-MD"/>
              </w:rPr>
              <w:t>842385</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4768BE5E" w14:textId="77777777" w:rsidR="007F4823" w:rsidRPr="00DD5F1D" w:rsidRDefault="007F4823" w:rsidP="000E2AC7">
            <w:pPr>
              <w:spacing w:after="0" w:line="240" w:lineRule="auto"/>
              <w:jc w:val="right"/>
              <w:rPr>
                <w:rFonts w:ascii="Times New Roman" w:eastAsia="Times New Roman" w:hAnsi="Times New Roman" w:cs="Times New Roman"/>
                <w:b/>
                <w:sz w:val="18"/>
                <w:lang w:val="ro-MD"/>
              </w:rPr>
            </w:pPr>
            <w:r w:rsidRPr="00DD5F1D">
              <w:rPr>
                <w:rFonts w:ascii="Times New Roman" w:eastAsia="Times New Roman" w:hAnsi="Times New Roman" w:cs="Times New Roman"/>
                <w:b/>
                <w:sz w:val="18"/>
                <w:lang w:val="ro-MD"/>
              </w:rPr>
              <w:t>202573</w:t>
            </w:r>
          </w:p>
        </w:tc>
        <w:tc>
          <w:tcPr>
            <w:tcW w:w="421" w:type="pct"/>
            <w:tcBorders>
              <w:top w:val="single" w:sz="4" w:space="0" w:color="auto"/>
              <w:left w:val="single" w:sz="4" w:space="0" w:color="auto"/>
              <w:bottom w:val="single" w:sz="4" w:space="0" w:color="auto"/>
              <w:right w:val="single" w:sz="4" w:space="0" w:color="auto"/>
            </w:tcBorders>
            <w:shd w:val="clear" w:color="auto" w:fill="auto"/>
            <w:noWrap/>
            <w:hideMark/>
          </w:tcPr>
          <w:p w14:paraId="185BFBFC" w14:textId="77777777" w:rsidR="007F4823" w:rsidRPr="00DD5F1D" w:rsidRDefault="007F4823" w:rsidP="000E2AC7">
            <w:pPr>
              <w:spacing w:after="0" w:line="240" w:lineRule="auto"/>
              <w:jc w:val="right"/>
              <w:rPr>
                <w:rFonts w:ascii="Times New Roman" w:eastAsia="Times New Roman" w:hAnsi="Times New Roman" w:cs="Times New Roman"/>
                <w:b/>
                <w:sz w:val="18"/>
                <w:lang w:val="ro-MD"/>
              </w:rPr>
            </w:pPr>
            <w:r w:rsidRPr="00DD5F1D">
              <w:rPr>
                <w:rFonts w:ascii="Times New Roman" w:eastAsia="Times New Roman" w:hAnsi="Times New Roman" w:cs="Times New Roman"/>
                <w:b/>
                <w:sz w:val="18"/>
                <w:lang w:val="ro-MD"/>
              </w:rPr>
              <w:t>839783</w:t>
            </w:r>
          </w:p>
        </w:tc>
        <w:tc>
          <w:tcPr>
            <w:tcW w:w="319" w:type="pct"/>
            <w:tcBorders>
              <w:top w:val="single" w:sz="4" w:space="0" w:color="auto"/>
              <w:left w:val="single" w:sz="4" w:space="0" w:color="auto"/>
              <w:bottom w:val="single" w:sz="4" w:space="0" w:color="auto"/>
              <w:right w:val="single" w:sz="4" w:space="0" w:color="auto"/>
            </w:tcBorders>
            <w:shd w:val="clear" w:color="auto" w:fill="auto"/>
            <w:noWrap/>
            <w:hideMark/>
          </w:tcPr>
          <w:p w14:paraId="1BDEB23D" w14:textId="77777777" w:rsidR="007F4823" w:rsidRPr="00DD5F1D" w:rsidRDefault="007F4823" w:rsidP="000E2AC7">
            <w:pPr>
              <w:spacing w:after="0" w:line="240" w:lineRule="auto"/>
              <w:jc w:val="right"/>
              <w:rPr>
                <w:rFonts w:ascii="Times New Roman" w:eastAsia="Times New Roman" w:hAnsi="Times New Roman" w:cs="Times New Roman"/>
                <w:b/>
                <w:sz w:val="18"/>
                <w:lang w:val="ro-MD"/>
              </w:rPr>
            </w:pPr>
            <w:r w:rsidRPr="00DD5F1D">
              <w:rPr>
                <w:rFonts w:ascii="Times New Roman" w:eastAsia="Times New Roman" w:hAnsi="Times New Roman" w:cs="Times New Roman"/>
                <w:b/>
                <w:sz w:val="18"/>
                <w:lang w:val="ro-MD"/>
              </w:rPr>
              <w:t>204261</w:t>
            </w:r>
          </w:p>
        </w:tc>
        <w:tc>
          <w:tcPr>
            <w:tcW w:w="377" w:type="pct"/>
            <w:tcBorders>
              <w:top w:val="single" w:sz="4" w:space="0" w:color="auto"/>
              <w:left w:val="single" w:sz="4" w:space="0" w:color="auto"/>
              <w:bottom w:val="single" w:sz="4" w:space="0" w:color="auto"/>
              <w:right w:val="single" w:sz="4" w:space="0" w:color="auto"/>
            </w:tcBorders>
            <w:shd w:val="clear" w:color="auto" w:fill="auto"/>
            <w:noWrap/>
            <w:hideMark/>
          </w:tcPr>
          <w:p w14:paraId="496890C5" w14:textId="77777777" w:rsidR="007F4823" w:rsidRPr="00DD5F1D" w:rsidRDefault="007F4823" w:rsidP="000E2AC7">
            <w:pPr>
              <w:spacing w:after="0" w:line="240" w:lineRule="auto"/>
              <w:jc w:val="right"/>
              <w:rPr>
                <w:rFonts w:ascii="Times New Roman" w:eastAsia="Times New Roman" w:hAnsi="Times New Roman" w:cs="Times New Roman"/>
                <w:b/>
                <w:sz w:val="18"/>
                <w:lang w:val="ro-MD"/>
              </w:rPr>
            </w:pPr>
            <w:r w:rsidRPr="00DD5F1D">
              <w:rPr>
                <w:rFonts w:ascii="Times New Roman" w:eastAsia="Times New Roman" w:hAnsi="Times New Roman" w:cs="Times New Roman"/>
                <w:b/>
                <w:sz w:val="18"/>
                <w:lang w:val="ro-MD"/>
              </w:rPr>
              <w:t>850511</w:t>
            </w:r>
          </w:p>
        </w:tc>
        <w:tc>
          <w:tcPr>
            <w:tcW w:w="311" w:type="pct"/>
            <w:tcBorders>
              <w:top w:val="single" w:sz="4" w:space="0" w:color="auto"/>
              <w:left w:val="single" w:sz="4" w:space="0" w:color="auto"/>
              <w:bottom w:val="single" w:sz="4" w:space="0" w:color="auto"/>
              <w:right w:val="single" w:sz="4" w:space="0" w:color="auto"/>
            </w:tcBorders>
            <w:shd w:val="clear" w:color="auto" w:fill="auto"/>
            <w:noWrap/>
            <w:hideMark/>
          </w:tcPr>
          <w:p w14:paraId="4B86C1C3" w14:textId="77777777" w:rsidR="007F4823" w:rsidRPr="00DD5F1D" w:rsidRDefault="007F4823" w:rsidP="000E2AC7">
            <w:pPr>
              <w:spacing w:after="0" w:line="240" w:lineRule="auto"/>
              <w:jc w:val="right"/>
              <w:rPr>
                <w:rFonts w:ascii="Times New Roman" w:eastAsia="Times New Roman" w:hAnsi="Times New Roman" w:cs="Times New Roman"/>
                <w:b/>
                <w:sz w:val="18"/>
                <w:lang w:val="ro-MD"/>
              </w:rPr>
            </w:pPr>
            <w:r w:rsidRPr="00DD5F1D">
              <w:rPr>
                <w:rFonts w:ascii="Times New Roman" w:eastAsia="Times New Roman" w:hAnsi="Times New Roman" w:cs="Times New Roman"/>
                <w:b/>
                <w:sz w:val="18"/>
                <w:lang w:val="ro-MD"/>
              </w:rPr>
              <w:t>201854</w:t>
            </w:r>
          </w:p>
        </w:tc>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14:paraId="0BC43AC6" w14:textId="77777777" w:rsidR="007F4823" w:rsidRPr="00DD5F1D" w:rsidRDefault="007F4823" w:rsidP="000E2AC7">
            <w:pPr>
              <w:spacing w:after="0" w:line="240" w:lineRule="auto"/>
              <w:jc w:val="right"/>
              <w:rPr>
                <w:rFonts w:ascii="Times New Roman" w:eastAsia="Times New Roman" w:hAnsi="Times New Roman" w:cs="Times New Roman"/>
                <w:b/>
                <w:bCs/>
                <w:sz w:val="18"/>
                <w:lang w:val="ro-MD"/>
              </w:rPr>
            </w:pPr>
            <w:r w:rsidRPr="00DD5F1D">
              <w:rPr>
                <w:rFonts w:ascii="Times New Roman" w:eastAsia="Times New Roman" w:hAnsi="Times New Roman" w:cs="Times New Roman"/>
                <w:b/>
                <w:bCs/>
                <w:sz w:val="18"/>
                <w:lang w:val="ro-MD"/>
              </w:rPr>
              <w:t>10728</w:t>
            </w:r>
          </w:p>
        </w:tc>
        <w:tc>
          <w:tcPr>
            <w:tcW w:w="315" w:type="pct"/>
            <w:tcBorders>
              <w:top w:val="single" w:sz="4" w:space="0" w:color="auto"/>
              <w:left w:val="single" w:sz="4" w:space="0" w:color="auto"/>
              <w:bottom w:val="single" w:sz="4" w:space="0" w:color="auto"/>
              <w:right w:val="single" w:sz="4" w:space="0" w:color="auto"/>
            </w:tcBorders>
            <w:shd w:val="clear" w:color="auto" w:fill="auto"/>
            <w:noWrap/>
            <w:hideMark/>
          </w:tcPr>
          <w:p w14:paraId="020F64BF" w14:textId="352319B9" w:rsidR="007F4823" w:rsidRPr="00DD5F1D" w:rsidRDefault="007F4823" w:rsidP="00D86B83">
            <w:pPr>
              <w:spacing w:after="0" w:line="240" w:lineRule="auto"/>
              <w:jc w:val="right"/>
              <w:rPr>
                <w:rFonts w:ascii="Times New Roman" w:eastAsia="Times New Roman" w:hAnsi="Times New Roman" w:cs="Times New Roman"/>
                <w:b/>
                <w:bCs/>
                <w:sz w:val="18"/>
                <w:lang w:val="ro-MD"/>
              </w:rPr>
            </w:pPr>
            <w:r w:rsidRPr="00DD5F1D">
              <w:rPr>
                <w:rFonts w:ascii="Times New Roman" w:eastAsia="Times New Roman" w:hAnsi="Times New Roman" w:cs="Times New Roman"/>
                <w:b/>
                <w:bCs/>
                <w:sz w:val="18"/>
                <w:lang w:val="ro-MD"/>
              </w:rPr>
              <w:t>101,3</w:t>
            </w:r>
          </w:p>
        </w:tc>
        <w:tc>
          <w:tcPr>
            <w:tcW w:w="309" w:type="pct"/>
            <w:tcBorders>
              <w:top w:val="single" w:sz="4" w:space="0" w:color="auto"/>
              <w:left w:val="single" w:sz="4" w:space="0" w:color="auto"/>
              <w:bottom w:val="single" w:sz="4" w:space="0" w:color="auto"/>
              <w:right w:val="single" w:sz="4" w:space="0" w:color="auto"/>
            </w:tcBorders>
            <w:shd w:val="clear" w:color="auto" w:fill="auto"/>
            <w:noWrap/>
            <w:hideMark/>
          </w:tcPr>
          <w:p w14:paraId="2398AA50" w14:textId="77777777" w:rsidR="007F4823" w:rsidRPr="00DD5F1D" w:rsidRDefault="007F4823" w:rsidP="000E2AC7">
            <w:pPr>
              <w:spacing w:after="0" w:line="240" w:lineRule="auto"/>
              <w:jc w:val="right"/>
              <w:rPr>
                <w:rFonts w:ascii="Times New Roman" w:eastAsia="Times New Roman" w:hAnsi="Times New Roman" w:cs="Times New Roman"/>
                <w:b/>
                <w:bCs/>
                <w:sz w:val="18"/>
                <w:lang w:val="ro-MD"/>
              </w:rPr>
            </w:pPr>
            <w:r w:rsidRPr="00DD5F1D">
              <w:rPr>
                <w:rFonts w:ascii="Times New Roman" w:eastAsia="Times New Roman" w:hAnsi="Times New Roman" w:cs="Times New Roman"/>
                <w:b/>
                <w:bCs/>
                <w:sz w:val="18"/>
                <w:lang w:val="ro-MD"/>
              </w:rPr>
              <w:t>-2407</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32CA7803" w14:textId="77777777" w:rsidR="007F4823" w:rsidRPr="00DD5F1D" w:rsidRDefault="007F4823" w:rsidP="000E2AC7">
            <w:pPr>
              <w:spacing w:after="0" w:line="240" w:lineRule="auto"/>
              <w:jc w:val="right"/>
              <w:rPr>
                <w:rFonts w:ascii="Times New Roman" w:eastAsia="Times New Roman" w:hAnsi="Times New Roman" w:cs="Times New Roman"/>
                <w:b/>
                <w:bCs/>
                <w:sz w:val="18"/>
                <w:lang w:val="ro-MD"/>
              </w:rPr>
            </w:pPr>
            <w:r w:rsidRPr="00DD5F1D">
              <w:rPr>
                <w:rFonts w:ascii="Times New Roman" w:eastAsia="Times New Roman" w:hAnsi="Times New Roman" w:cs="Times New Roman"/>
                <w:b/>
                <w:bCs/>
                <w:sz w:val="18"/>
                <w:lang w:val="ro-MD"/>
              </w:rPr>
              <w:t>98,8%</w:t>
            </w:r>
          </w:p>
        </w:tc>
      </w:tr>
    </w:tbl>
    <w:p w14:paraId="49D5078A" w14:textId="2403540C" w:rsidR="007F4823" w:rsidRPr="00DD5F1D" w:rsidRDefault="007F4823" w:rsidP="007F4823">
      <w:pPr>
        <w:rPr>
          <w:rFonts w:ascii="Times New Roman" w:hAnsi="Times New Roman" w:cs="Times New Roman"/>
          <w:i/>
          <w:sz w:val="20"/>
          <w:szCs w:val="20"/>
          <w:lang w:val="ro-MD"/>
        </w:rPr>
      </w:pPr>
      <w:r w:rsidRPr="00DD5F1D">
        <w:rPr>
          <w:rFonts w:ascii="Times New Roman" w:hAnsi="Times New Roman" w:cs="Times New Roman"/>
          <w:b/>
          <w:i/>
          <w:sz w:val="20"/>
          <w:szCs w:val="20"/>
          <w:lang w:val="ro-MD"/>
        </w:rPr>
        <w:t xml:space="preserve">Sursa: </w:t>
      </w:r>
      <w:r w:rsidRPr="00DD5F1D">
        <w:rPr>
          <w:rFonts w:ascii="Times New Roman" w:hAnsi="Times New Roman" w:cs="Times New Roman"/>
          <w:i/>
          <w:sz w:val="20"/>
          <w:szCs w:val="20"/>
          <w:lang w:val="ro-MD"/>
        </w:rPr>
        <w:t>Elaborat de audit în baza informațiilor prezentate de entitate</w:t>
      </w:r>
      <w:r w:rsidR="00D86B83" w:rsidRPr="00DD5F1D">
        <w:rPr>
          <w:rFonts w:ascii="Times New Roman" w:hAnsi="Times New Roman" w:cs="Times New Roman"/>
          <w:i/>
          <w:sz w:val="20"/>
          <w:szCs w:val="20"/>
          <w:lang w:val="ro-MD"/>
        </w:rPr>
        <w:t>.</w:t>
      </w:r>
    </w:p>
    <w:p w14:paraId="0C8F2389" w14:textId="6CD0A4EC" w:rsidR="001E765F" w:rsidRPr="00DD5F1D" w:rsidRDefault="001E765F" w:rsidP="001E765F">
      <w:pPr>
        <w:pStyle w:val="2"/>
        <w:jc w:val="right"/>
        <w:rPr>
          <w:rFonts w:ascii="Times New Roman" w:hAnsi="Times New Roman" w:cs="Times New Roman"/>
          <w:b/>
          <w:bCs/>
          <w:color w:val="auto"/>
          <w:sz w:val="24"/>
          <w:szCs w:val="24"/>
          <w:lang w:val="ro-MD"/>
        </w:rPr>
      </w:pPr>
      <w:r w:rsidRPr="00DD5F1D">
        <w:rPr>
          <w:rFonts w:ascii="Times New Roman" w:hAnsi="Times New Roman" w:cs="Times New Roman"/>
          <w:b/>
          <w:bCs/>
          <w:color w:val="auto"/>
          <w:sz w:val="24"/>
          <w:szCs w:val="24"/>
          <w:lang w:val="ro-MD"/>
        </w:rPr>
        <w:t>Anexa nr.</w:t>
      </w:r>
      <w:r w:rsidR="000E2AC7" w:rsidRPr="00DD5F1D">
        <w:rPr>
          <w:rFonts w:ascii="Times New Roman" w:hAnsi="Times New Roman" w:cs="Times New Roman"/>
          <w:b/>
          <w:bCs/>
          <w:color w:val="auto"/>
          <w:sz w:val="24"/>
          <w:szCs w:val="24"/>
          <w:lang w:val="ro-MD"/>
        </w:rPr>
        <w:t xml:space="preserve"> 8</w:t>
      </w:r>
    </w:p>
    <w:p w14:paraId="6A52EF8C" w14:textId="226E4BE2" w:rsidR="001E765F" w:rsidRPr="00DD5F1D" w:rsidRDefault="001E765F" w:rsidP="001E765F">
      <w:pPr>
        <w:spacing w:after="0"/>
        <w:jc w:val="center"/>
        <w:rPr>
          <w:rFonts w:ascii="Times New Roman" w:hAnsi="Times New Roman" w:cs="Times New Roman"/>
          <w:b/>
          <w:sz w:val="24"/>
          <w:szCs w:val="24"/>
          <w:lang w:val="ro-MD"/>
        </w:rPr>
      </w:pPr>
      <w:r w:rsidRPr="00DD5F1D">
        <w:rPr>
          <w:rFonts w:ascii="Times New Roman" w:hAnsi="Times New Roman" w:cs="Times New Roman"/>
          <w:b/>
          <w:sz w:val="24"/>
          <w:szCs w:val="24"/>
          <w:lang w:val="ro-MD"/>
        </w:rPr>
        <w:t>Informații privind salariații din domeniul TI care beneficiază de prestații sociale</w:t>
      </w:r>
    </w:p>
    <w:p w14:paraId="7C61F164" w14:textId="77777777" w:rsidR="00CF4DFD" w:rsidRPr="00DD5F1D" w:rsidRDefault="00CF4DFD" w:rsidP="001E765F">
      <w:pPr>
        <w:spacing w:after="0"/>
        <w:jc w:val="center"/>
        <w:rPr>
          <w:rFonts w:ascii="Times New Roman" w:hAnsi="Times New Roman" w:cs="Times New Roman"/>
          <w:b/>
          <w:sz w:val="24"/>
          <w:szCs w:val="24"/>
          <w:lang w:val="ro-MD"/>
        </w:rPr>
      </w:pPr>
    </w:p>
    <w:tbl>
      <w:tblPr>
        <w:tblStyle w:val="af1"/>
        <w:tblW w:w="5178" w:type="pct"/>
        <w:tblLook w:val="04A0" w:firstRow="1" w:lastRow="0" w:firstColumn="1" w:lastColumn="0" w:noHBand="0" w:noVBand="1"/>
      </w:tblPr>
      <w:tblGrid>
        <w:gridCol w:w="665"/>
        <w:gridCol w:w="1754"/>
        <w:gridCol w:w="2773"/>
        <w:gridCol w:w="1633"/>
        <w:gridCol w:w="1325"/>
        <w:gridCol w:w="5882"/>
      </w:tblGrid>
      <w:tr w:rsidR="001E765F" w:rsidRPr="00DD5F1D" w14:paraId="53CB2C57" w14:textId="77777777" w:rsidTr="000E2AC7">
        <w:tc>
          <w:tcPr>
            <w:tcW w:w="237" w:type="pct"/>
            <w:vAlign w:val="center"/>
          </w:tcPr>
          <w:p w14:paraId="0ABCB138" w14:textId="77777777" w:rsidR="001E765F" w:rsidRPr="00DD5F1D" w:rsidRDefault="001E765F" w:rsidP="000E2AC7">
            <w:pPr>
              <w:pStyle w:val="Default"/>
              <w:spacing w:line="276" w:lineRule="auto"/>
              <w:jc w:val="center"/>
              <w:rPr>
                <w:b/>
                <w:color w:val="auto"/>
                <w:sz w:val="18"/>
                <w:szCs w:val="18"/>
                <w:lang w:val="ro-MD"/>
              </w:rPr>
            </w:pPr>
            <w:r w:rsidRPr="00DD5F1D">
              <w:rPr>
                <w:b/>
                <w:color w:val="auto"/>
                <w:sz w:val="18"/>
                <w:szCs w:val="18"/>
                <w:lang w:val="ro-MD"/>
              </w:rPr>
              <w:t>Nr.</w:t>
            </w:r>
          </w:p>
        </w:tc>
        <w:tc>
          <w:tcPr>
            <w:tcW w:w="625" w:type="pct"/>
            <w:vAlign w:val="center"/>
          </w:tcPr>
          <w:p w14:paraId="03E75F47" w14:textId="77777777" w:rsidR="001E765F" w:rsidRPr="00DD5F1D" w:rsidRDefault="001E765F" w:rsidP="000E2AC7">
            <w:pPr>
              <w:pStyle w:val="Default"/>
              <w:spacing w:line="276" w:lineRule="auto"/>
              <w:jc w:val="center"/>
              <w:rPr>
                <w:b/>
                <w:color w:val="auto"/>
                <w:sz w:val="18"/>
                <w:szCs w:val="18"/>
                <w:lang w:val="ro-MD"/>
              </w:rPr>
            </w:pPr>
            <w:r w:rsidRPr="00DD5F1D">
              <w:rPr>
                <w:b/>
                <w:color w:val="auto"/>
                <w:sz w:val="18"/>
                <w:szCs w:val="18"/>
                <w:lang w:val="ro-MD"/>
              </w:rPr>
              <w:t>Nume, prenume</w:t>
            </w:r>
          </w:p>
        </w:tc>
        <w:tc>
          <w:tcPr>
            <w:tcW w:w="988" w:type="pct"/>
            <w:vAlign w:val="center"/>
          </w:tcPr>
          <w:p w14:paraId="5E3EE788" w14:textId="77777777" w:rsidR="001E765F" w:rsidRPr="00DD5F1D" w:rsidRDefault="001E765F" w:rsidP="000E2AC7">
            <w:pPr>
              <w:pStyle w:val="Default"/>
              <w:spacing w:line="276" w:lineRule="auto"/>
              <w:jc w:val="center"/>
              <w:rPr>
                <w:b/>
                <w:color w:val="auto"/>
                <w:sz w:val="18"/>
                <w:szCs w:val="18"/>
                <w:lang w:val="ro-MD"/>
              </w:rPr>
            </w:pPr>
            <w:r w:rsidRPr="00DD5F1D">
              <w:rPr>
                <w:b/>
                <w:color w:val="auto"/>
                <w:sz w:val="18"/>
                <w:szCs w:val="18"/>
                <w:lang w:val="ro-MD"/>
              </w:rPr>
              <w:t>Tipul prestației</w:t>
            </w:r>
          </w:p>
        </w:tc>
        <w:tc>
          <w:tcPr>
            <w:tcW w:w="582" w:type="pct"/>
            <w:vAlign w:val="center"/>
          </w:tcPr>
          <w:p w14:paraId="2E4523D9" w14:textId="77777777" w:rsidR="001E765F" w:rsidRPr="00DD5F1D" w:rsidRDefault="001E765F" w:rsidP="000E2AC7">
            <w:pPr>
              <w:pStyle w:val="Default"/>
              <w:spacing w:line="276" w:lineRule="auto"/>
              <w:jc w:val="center"/>
              <w:rPr>
                <w:b/>
                <w:color w:val="auto"/>
                <w:sz w:val="18"/>
                <w:szCs w:val="18"/>
                <w:lang w:val="ro-MD"/>
              </w:rPr>
            </w:pPr>
            <w:r w:rsidRPr="00DD5F1D">
              <w:rPr>
                <w:b/>
                <w:color w:val="auto"/>
                <w:sz w:val="18"/>
                <w:szCs w:val="18"/>
                <w:lang w:val="ro-MD"/>
              </w:rPr>
              <w:t>Data stabilirii</w:t>
            </w:r>
          </w:p>
        </w:tc>
        <w:tc>
          <w:tcPr>
            <w:tcW w:w="472" w:type="pct"/>
            <w:vAlign w:val="center"/>
          </w:tcPr>
          <w:p w14:paraId="2D7D14B3" w14:textId="77777777" w:rsidR="001E765F" w:rsidRPr="00DD5F1D" w:rsidRDefault="001E765F" w:rsidP="000E2AC7">
            <w:pPr>
              <w:pStyle w:val="Default"/>
              <w:spacing w:line="276" w:lineRule="auto"/>
              <w:jc w:val="center"/>
              <w:rPr>
                <w:b/>
                <w:color w:val="auto"/>
                <w:sz w:val="18"/>
                <w:szCs w:val="18"/>
                <w:lang w:val="ro-MD"/>
              </w:rPr>
            </w:pPr>
            <w:r w:rsidRPr="00DD5F1D">
              <w:rPr>
                <w:b/>
                <w:color w:val="auto"/>
                <w:sz w:val="18"/>
                <w:szCs w:val="18"/>
                <w:lang w:val="ro-MD"/>
              </w:rPr>
              <w:t>Suma prestației, lei</w:t>
            </w:r>
          </w:p>
        </w:tc>
        <w:tc>
          <w:tcPr>
            <w:tcW w:w="2096" w:type="pct"/>
            <w:vAlign w:val="center"/>
          </w:tcPr>
          <w:p w14:paraId="328FDAD7" w14:textId="77777777" w:rsidR="001E765F" w:rsidRPr="00DD5F1D" w:rsidRDefault="001E765F" w:rsidP="000E2AC7">
            <w:pPr>
              <w:pStyle w:val="Default"/>
              <w:spacing w:line="276" w:lineRule="auto"/>
              <w:jc w:val="center"/>
              <w:rPr>
                <w:b/>
                <w:color w:val="auto"/>
                <w:sz w:val="18"/>
                <w:szCs w:val="18"/>
                <w:lang w:val="ro-MD"/>
              </w:rPr>
            </w:pPr>
            <w:r w:rsidRPr="00DD5F1D">
              <w:rPr>
                <w:b/>
                <w:color w:val="auto"/>
                <w:sz w:val="18"/>
                <w:szCs w:val="18"/>
                <w:lang w:val="ro-MD"/>
              </w:rPr>
              <w:t>Comentariile auditorului</w:t>
            </w:r>
          </w:p>
        </w:tc>
      </w:tr>
      <w:tr w:rsidR="001E765F" w:rsidRPr="00DD5F1D" w14:paraId="5596F7AE" w14:textId="77777777" w:rsidTr="000E2AC7">
        <w:tc>
          <w:tcPr>
            <w:tcW w:w="237" w:type="pct"/>
            <w:vAlign w:val="center"/>
          </w:tcPr>
          <w:p w14:paraId="3470F553"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1</w:t>
            </w:r>
          </w:p>
        </w:tc>
        <w:tc>
          <w:tcPr>
            <w:tcW w:w="625" w:type="pct"/>
            <w:vAlign w:val="center"/>
          </w:tcPr>
          <w:p w14:paraId="6C804452"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Beneficiar 1</w:t>
            </w:r>
          </w:p>
        </w:tc>
        <w:tc>
          <w:tcPr>
            <w:tcW w:w="988" w:type="pct"/>
          </w:tcPr>
          <w:p w14:paraId="0FC9EF75"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Indemnizație de maternitate</w:t>
            </w:r>
          </w:p>
        </w:tc>
        <w:tc>
          <w:tcPr>
            <w:tcW w:w="582" w:type="pct"/>
          </w:tcPr>
          <w:p w14:paraId="50F4241C"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21.07.2023</w:t>
            </w:r>
          </w:p>
        </w:tc>
        <w:tc>
          <w:tcPr>
            <w:tcW w:w="472" w:type="pct"/>
            <w:vAlign w:val="center"/>
          </w:tcPr>
          <w:p w14:paraId="411A2063" w14:textId="77777777" w:rsidR="001E765F" w:rsidRPr="00DD5F1D" w:rsidRDefault="001E765F" w:rsidP="000E2AC7">
            <w:pPr>
              <w:pStyle w:val="Default"/>
              <w:spacing w:line="276" w:lineRule="auto"/>
              <w:jc w:val="right"/>
              <w:rPr>
                <w:color w:val="auto"/>
                <w:sz w:val="18"/>
                <w:szCs w:val="18"/>
                <w:lang w:val="ro-MD"/>
              </w:rPr>
            </w:pPr>
            <w:r w:rsidRPr="00DD5F1D">
              <w:rPr>
                <w:color w:val="auto"/>
                <w:sz w:val="18"/>
                <w:szCs w:val="18"/>
                <w:lang w:val="ro-MD"/>
              </w:rPr>
              <w:t>30 268,34</w:t>
            </w:r>
          </w:p>
        </w:tc>
        <w:tc>
          <w:tcPr>
            <w:tcW w:w="2096" w:type="pct"/>
          </w:tcPr>
          <w:p w14:paraId="2259441E"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Venitul mediul lunar asigurat fiind de 7 344 lei</w:t>
            </w:r>
          </w:p>
        </w:tc>
      </w:tr>
      <w:tr w:rsidR="001E765F" w:rsidRPr="00DD5F1D" w14:paraId="3B8DBC85" w14:textId="77777777" w:rsidTr="000E2AC7">
        <w:tc>
          <w:tcPr>
            <w:tcW w:w="237" w:type="pct"/>
            <w:vAlign w:val="center"/>
          </w:tcPr>
          <w:p w14:paraId="1BA8C4AD"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2</w:t>
            </w:r>
          </w:p>
        </w:tc>
        <w:tc>
          <w:tcPr>
            <w:tcW w:w="625" w:type="pct"/>
            <w:vAlign w:val="center"/>
          </w:tcPr>
          <w:p w14:paraId="348DDAFE"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Beneficiar 2</w:t>
            </w:r>
          </w:p>
        </w:tc>
        <w:tc>
          <w:tcPr>
            <w:tcW w:w="988" w:type="pct"/>
          </w:tcPr>
          <w:p w14:paraId="41171A50"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Indemnizație de maternitate</w:t>
            </w:r>
          </w:p>
        </w:tc>
        <w:tc>
          <w:tcPr>
            <w:tcW w:w="582" w:type="pct"/>
          </w:tcPr>
          <w:p w14:paraId="2E595950"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01.08.2023</w:t>
            </w:r>
          </w:p>
        </w:tc>
        <w:tc>
          <w:tcPr>
            <w:tcW w:w="472" w:type="pct"/>
            <w:vAlign w:val="center"/>
          </w:tcPr>
          <w:p w14:paraId="34C41B45" w14:textId="77777777" w:rsidR="001E765F" w:rsidRPr="00DD5F1D" w:rsidRDefault="001E765F" w:rsidP="000E2AC7">
            <w:pPr>
              <w:pStyle w:val="Default"/>
              <w:spacing w:line="276" w:lineRule="auto"/>
              <w:jc w:val="right"/>
              <w:rPr>
                <w:color w:val="auto"/>
                <w:sz w:val="18"/>
                <w:szCs w:val="18"/>
                <w:lang w:val="ro-MD"/>
              </w:rPr>
            </w:pPr>
            <w:r w:rsidRPr="00DD5F1D">
              <w:rPr>
                <w:color w:val="auto"/>
                <w:sz w:val="18"/>
                <w:szCs w:val="18"/>
                <w:lang w:val="ro-MD"/>
              </w:rPr>
              <w:t>30 744,77</w:t>
            </w:r>
          </w:p>
        </w:tc>
        <w:tc>
          <w:tcPr>
            <w:tcW w:w="2096" w:type="pct"/>
          </w:tcPr>
          <w:p w14:paraId="6256EB4C"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Venitul mediul lunar asigurat fiind de 7 446 lei</w:t>
            </w:r>
          </w:p>
        </w:tc>
      </w:tr>
      <w:tr w:rsidR="001E765F" w:rsidRPr="00DD5F1D" w14:paraId="00D104D3" w14:textId="77777777" w:rsidTr="000E2AC7">
        <w:tc>
          <w:tcPr>
            <w:tcW w:w="237" w:type="pct"/>
            <w:vAlign w:val="center"/>
          </w:tcPr>
          <w:p w14:paraId="47860219"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3</w:t>
            </w:r>
          </w:p>
        </w:tc>
        <w:tc>
          <w:tcPr>
            <w:tcW w:w="625" w:type="pct"/>
            <w:vAlign w:val="center"/>
          </w:tcPr>
          <w:p w14:paraId="7B0B535E"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Beneficiar 3</w:t>
            </w:r>
          </w:p>
        </w:tc>
        <w:tc>
          <w:tcPr>
            <w:tcW w:w="988" w:type="pct"/>
          </w:tcPr>
          <w:p w14:paraId="7C8A38A0"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Indemnizație de maternitate</w:t>
            </w:r>
          </w:p>
        </w:tc>
        <w:tc>
          <w:tcPr>
            <w:tcW w:w="582" w:type="pct"/>
          </w:tcPr>
          <w:p w14:paraId="5DAB5F83"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20.05.2023</w:t>
            </w:r>
          </w:p>
        </w:tc>
        <w:tc>
          <w:tcPr>
            <w:tcW w:w="472" w:type="pct"/>
            <w:vAlign w:val="center"/>
          </w:tcPr>
          <w:p w14:paraId="127C1B81" w14:textId="77777777" w:rsidR="001E765F" w:rsidRPr="00DD5F1D" w:rsidRDefault="001E765F" w:rsidP="000E2AC7">
            <w:pPr>
              <w:pStyle w:val="Default"/>
              <w:spacing w:line="276" w:lineRule="auto"/>
              <w:jc w:val="right"/>
              <w:rPr>
                <w:color w:val="auto"/>
                <w:sz w:val="18"/>
                <w:szCs w:val="18"/>
                <w:lang w:val="ro-MD"/>
              </w:rPr>
            </w:pPr>
            <w:r w:rsidRPr="00DD5F1D">
              <w:rPr>
                <w:color w:val="auto"/>
                <w:sz w:val="18"/>
                <w:szCs w:val="18"/>
                <w:lang w:val="ro-MD"/>
              </w:rPr>
              <w:t>29 419,87</w:t>
            </w:r>
          </w:p>
        </w:tc>
        <w:tc>
          <w:tcPr>
            <w:tcW w:w="2096" w:type="pct"/>
          </w:tcPr>
          <w:p w14:paraId="3E37E174"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Venitul mediul lunar asigurat fiind de 7 140 lei</w:t>
            </w:r>
          </w:p>
        </w:tc>
      </w:tr>
      <w:tr w:rsidR="001E765F" w:rsidRPr="00DD5F1D" w14:paraId="72C57F51" w14:textId="77777777" w:rsidTr="000E2AC7">
        <w:tc>
          <w:tcPr>
            <w:tcW w:w="237" w:type="pct"/>
            <w:vAlign w:val="center"/>
          </w:tcPr>
          <w:p w14:paraId="6DB2B26B"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4</w:t>
            </w:r>
          </w:p>
        </w:tc>
        <w:tc>
          <w:tcPr>
            <w:tcW w:w="625" w:type="pct"/>
            <w:vAlign w:val="center"/>
          </w:tcPr>
          <w:p w14:paraId="7B73B3AC"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Beneficiar 4</w:t>
            </w:r>
          </w:p>
        </w:tc>
        <w:tc>
          <w:tcPr>
            <w:tcW w:w="988" w:type="pct"/>
          </w:tcPr>
          <w:p w14:paraId="20C0BC28"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Indemnizație maternitate</w:t>
            </w:r>
          </w:p>
        </w:tc>
        <w:tc>
          <w:tcPr>
            <w:tcW w:w="582" w:type="pct"/>
          </w:tcPr>
          <w:p w14:paraId="1CFF08F3"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10.05.2023</w:t>
            </w:r>
          </w:p>
        </w:tc>
        <w:tc>
          <w:tcPr>
            <w:tcW w:w="472" w:type="pct"/>
            <w:vAlign w:val="center"/>
          </w:tcPr>
          <w:p w14:paraId="7F071183" w14:textId="77777777" w:rsidR="001E765F" w:rsidRPr="00DD5F1D" w:rsidRDefault="001E765F" w:rsidP="000E2AC7">
            <w:pPr>
              <w:pStyle w:val="Default"/>
              <w:spacing w:line="276" w:lineRule="auto"/>
              <w:jc w:val="right"/>
              <w:rPr>
                <w:color w:val="auto"/>
                <w:sz w:val="18"/>
                <w:szCs w:val="18"/>
                <w:lang w:val="ro-MD"/>
              </w:rPr>
            </w:pPr>
            <w:r w:rsidRPr="00DD5F1D">
              <w:rPr>
                <w:color w:val="auto"/>
                <w:sz w:val="18"/>
                <w:szCs w:val="18"/>
                <w:lang w:val="ro-MD"/>
              </w:rPr>
              <w:t>29 343,1</w:t>
            </w:r>
          </w:p>
        </w:tc>
        <w:tc>
          <w:tcPr>
            <w:tcW w:w="2096" w:type="pct"/>
          </w:tcPr>
          <w:p w14:paraId="4D37DA7B"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Venitul mediul lunar asigurat fiind de 7 140 lei</w:t>
            </w:r>
          </w:p>
        </w:tc>
      </w:tr>
      <w:tr w:rsidR="001E765F" w:rsidRPr="00DD5F1D" w14:paraId="30F39F0D" w14:textId="77777777" w:rsidTr="000E2AC7">
        <w:tc>
          <w:tcPr>
            <w:tcW w:w="237" w:type="pct"/>
            <w:vAlign w:val="center"/>
          </w:tcPr>
          <w:p w14:paraId="1DB23014"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5</w:t>
            </w:r>
          </w:p>
        </w:tc>
        <w:tc>
          <w:tcPr>
            <w:tcW w:w="625" w:type="pct"/>
            <w:vAlign w:val="center"/>
          </w:tcPr>
          <w:p w14:paraId="57EB273C"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Beneficiar 5</w:t>
            </w:r>
          </w:p>
        </w:tc>
        <w:tc>
          <w:tcPr>
            <w:tcW w:w="988" w:type="pct"/>
          </w:tcPr>
          <w:p w14:paraId="734D1CEF"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Indemnizație paternală</w:t>
            </w:r>
          </w:p>
        </w:tc>
        <w:tc>
          <w:tcPr>
            <w:tcW w:w="582" w:type="pct"/>
          </w:tcPr>
          <w:p w14:paraId="705BEB7E"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07.08.2023</w:t>
            </w:r>
          </w:p>
        </w:tc>
        <w:tc>
          <w:tcPr>
            <w:tcW w:w="472" w:type="pct"/>
            <w:vAlign w:val="center"/>
          </w:tcPr>
          <w:p w14:paraId="1166258E" w14:textId="77777777" w:rsidR="001E765F" w:rsidRPr="00DD5F1D" w:rsidRDefault="001E765F" w:rsidP="000E2AC7">
            <w:pPr>
              <w:pStyle w:val="Default"/>
              <w:spacing w:line="276" w:lineRule="auto"/>
              <w:jc w:val="right"/>
              <w:rPr>
                <w:color w:val="auto"/>
                <w:sz w:val="18"/>
                <w:szCs w:val="18"/>
                <w:lang w:val="ro-MD"/>
              </w:rPr>
            </w:pPr>
            <w:r w:rsidRPr="00DD5F1D">
              <w:rPr>
                <w:color w:val="auto"/>
                <w:sz w:val="18"/>
                <w:szCs w:val="18"/>
                <w:lang w:val="ro-MD"/>
              </w:rPr>
              <w:t>3 593,03</w:t>
            </w:r>
          </w:p>
        </w:tc>
        <w:tc>
          <w:tcPr>
            <w:tcW w:w="2096" w:type="pct"/>
          </w:tcPr>
          <w:p w14:paraId="16BB77E7"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Baza de calcul fiind de 7 956 lei</w:t>
            </w:r>
          </w:p>
        </w:tc>
      </w:tr>
      <w:tr w:rsidR="001E765F" w:rsidRPr="00DD5F1D" w14:paraId="67FD0E8B" w14:textId="77777777" w:rsidTr="000E2AC7">
        <w:tc>
          <w:tcPr>
            <w:tcW w:w="237" w:type="pct"/>
            <w:vAlign w:val="center"/>
          </w:tcPr>
          <w:p w14:paraId="0D29902A"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6</w:t>
            </w:r>
          </w:p>
        </w:tc>
        <w:tc>
          <w:tcPr>
            <w:tcW w:w="625" w:type="pct"/>
            <w:vAlign w:val="center"/>
          </w:tcPr>
          <w:p w14:paraId="0E8C57F4"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Beneficiar 6</w:t>
            </w:r>
          </w:p>
        </w:tc>
        <w:tc>
          <w:tcPr>
            <w:tcW w:w="988" w:type="pct"/>
          </w:tcPr>
          <w:p w14:paraId="3916E410"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Indemnizație pentru incapacitate temporară de muncă</w:t>
            </w:r>
          </w:p>
        </w:tc>
        <w:tc>
          <w:tcPr>
            <w:tcW w:w="582" w:type="pct"/>
          </w:tcPr>
          <w:p w14:paraId="3E380B09"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07.01.2023-13.02.2023 (38 zile)</w:t>
            </w:r>
          </w:p>
        </w:tc>
        <w:tc>
          <w:tcPr>
            <w:tcW w:w="472" w:type="pct"/>
            <w:vAlign w:val="center"/>
          </w:tcPr>
          <w:p w14:paraId="070C2E37" w14:textId="77777777" w:rsidR="001E765F" w:rsidRPr="00DD5F1D" w:rsidRDefault="001E765F" w:rsidP="000E2AC7">
            <w:pPr>
              <w:pStyle w:val="Default"/>
              <w:spacing w:line="276" w:lineRule="auto"/>
              <w:jc w:val="right"/>
              <w:rPr>
                <w:color w:val="auto"/>
                <w:sz w:val="18"/>
                <w:szCs w:val="18"/>
                <w:lang w:val="ro-MD"/>
              </w:rPr>
            </w:pPr>
            <w:r w:rsidRPr="00DD5F1D">
              <w:rPr>
                <w:color w:val="auto"/>
                <w:sz w:val="18"/>
                <w:szCs w:val="18"/>
                <w:lang w:val="ro-MD"/>
              </w:rPr>
              <w:t>8 554,6</w:t>
            </w:r>
          </w:p>
        </w:tc>
        <w:tc>
          <w:tcPr>
            <w:tcW w:w="2096" w:type="pct"/>
          </w:tcPr>
          <w:p w14:paraId="7955B491"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 xml:space="preserve">Venitul mediu lunar asigurat fiind de 6 732 lei, baza de calcul a indemnizației fiind de 6 732 lei (cuantumul constituind 100%) </w:t>
            </w:r>
          </w:p>
        </w:tc>
      </w:tr>
      <w:tr w:rsidR="001E765F" w:rsidRPr="00DD5F1D" w14:paraId="0776A3C9" w14:textId="77777777" w:rsidTr="000E2AC7">
        <w:tc>
          <w:tcPr>
            <w:tcW w:w="237" w:type="pct"/>
            <w:vAlign w:val="center"/>
          </w:tcPr>
          <w:p w14:paraId="7223CBAD"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7</w:t>
            </w:r>
          </w:p>
        </w:tc>
        <w:tc>
          <w:tcPr>
            <w:tcW w:w="625" w:type="pct"/>
            <w:vAlign w:val="center"/>
          </w:tcPr>
          <w:p w14:paraId="62499C3D"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Beneficiar 7</w:t>
            </w:r>
          </w:p>
        </w:tc>
        <w:tc>
          <w:tcPr>
            <w:tcW w:w="988" w:type="pct"/>
          </w:tcPr>
          <w:p w14:paraId="3CFBBBAF"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Indemnizație pentru incapacitate temporară de muncă</w:t>
            </w:r>
          </w:p>
        </w:tc>
        <w:tc>
          <w:tcPr>
            <w:tcW w:w="582" w:type="pct"/>
          </w:tcPr>
          <w:p w14:paraId="205BF527" w14:textId="77777777" w:rsidR="001E765F" w:rsidRPr="00DD5F1D" w:rsidRDefault="001E765F" w:rsidP="000E2AC7">
            <w:pPr>
              <w:pStyle w:val="Default"/>
              <w:spacing w:line="276" w:lineRule="auto"/>
              <w:jc w:val="center"/>
              <w:rPr>
                <w:color w:val="auto"/>
                <w:sz w:val="18"/>
                <w:szCs w:val="18"/>
                <w:lang w:val="ro-MD"/>
              </w:rPr>
            </w:pPr>
            <w:r w:rsidRPr="00DD5F1D">
              <w:rPr>
                <w:color w:val="auto"/>
                <w:sz w:val="18"/>
                <w:szCs w:val="18"/>
                <w:lang w:val="ro-MD"/>
              </w:rPr>
              <w:t>18.03.2023-21.03.2023</w:t>
            </w:r>
          </w:p>
        </w:tc>
        <w:tc>
          <w:tcPr>
            <w:tcW w:w="472" w:type="pct"/>
            <w:vAlign w:val="center"/>
          </w:tcPr>
          <w:p w14:paraId="02D8A513" w14:textId="77777777" w:rsidR="001E765F" w:rsidRPr="00DD5F1D" w:rsidRDefault="001E765F" w:rsidP="000E2AC7">
            <w:pPr>
              <w:pStyle w:val="Default"/>
              <w:spacing w:line="276" w:lineRule="auto"/>
              <w:jc w:val="right"/>
              <w:rPr>
                <w:color w:val="auto"/>
                <w:sz w:val="18"/>
                <w:szCs w:val="18"/>
                <w:lang w:val="ro-MD"/>
              </w:rPr>
            </w:pPr>
            <w:r w:rsidRPr="00DD5F1D">
              <w:rPr>
                <w:color w:val="auto"/>
                <w:sz w:val="18"/>
                <w:szCs w:val="18"/>
                <w:lang w:val="ro-MD"/>
              </w:rPr>
              <w:t>805,47</w:t>
            </w:r>
          </w:p>
        </w:tc>
        <w:tc>
          <w:tcPr>
            <w:tcW w:w="2096" w:type="pct"/>
          </w:tcPr>
          <w:p w14:paraId="4C417D74" w14:textId="77777777" w:rsidR="001E765F" w:rsidRPr="00DD5F1D" w:rsidRDefault="001E765F" w:rsidP="000E2AC7">
            <w:pPr>
              <w:pStyle w:val="Default"/>
              <w:spacing w:line="276" w:lineRule="auto"/>
              <w:jc w:val="both"/>
              <w:rPr>
                <w:color w:val="auto"/>
                <w:sz w:val="18"/>
                <w:szCs w:val="18"/>
                <w:lang w:val="ro-MD"/>
              </w:rPr>
            </w:pPr>
            <w:r w:rsidRPr="00DD5F1D">
              <w:rPr>
                <w:color w:val="auto"/>
                <w:sz w:val="18"/>
                <w:szCs w:val="18"/>
                <w:lang w:val="ro-MD"/>
              </w:rPr>
              <w:t>Venitul mediu lunar asigurat fiind de 805,47 lei, baza de calcul fiind 6 242,4 lei (cuantumul 90%)</w:t>
            </w:r>
          </w:p>
        </w:tc>
      </w:tr>
    </w:tbl>
    <w:p w14:paraId="1B57FF8A" w14:textId="133830BA" w:rsidR="00CF4DFD" w:rsidRPr="00DD5F1D" w:rsidRDefault="001E765F" w:rsidP="001E765F">
      <w:pPr>
        <w:rPr>
          <w:rFonts w:ascii="Times New Roman" w:hAnsi="Times New Roman" w:cs="Times New Roman"/>
          <w:i/>
          <w:sz w:val="20"/>
          <w:szCs w:val="20"/>
          <w:lang w:val="ro-MD"/>
        </w:rPr>
      </w:pPr>
      <w:r w:rsidRPr="00DD5F1D">
        <w:rPr>
          <w:rFonts w:ascii="Times New Roman" w:hAnsi="Times New Roman" w:cs="Times New Roman"/>
          <w:b/>
          <w:i/>
          <w:sz w:val="20"/>
          <w:szCs w:val="20"/>
          <w:lang w:val="ro-MD"/>
        </w:rPr>
        <w:t xml:space="preserve">Sursa: </w:t>
      </w:r>
      <w:r w:rsidRPr="00DD5F1D">
        <w:rPr>
          <w:rFonts w:ascii="Times New Roman" w:hAnsi="Times New Roman" w:cs="Times New Roman"/>
          <w:i/>
          <w:sz w:val="20"/>
          <w:szCs w:val="20"/>
          <w:lang w:val="ro-MD"/>
        </w:rPr>
        <w:t>Elaborat de audit în baza datelor din extrase</w:t>
      </w:r>
      <w:r w:rsidR="00D86B83" w:rsidRPr="00DD5F1D">
        <w:rPr>
          <w:rFonts w:ascii="Times New Roman" w:hAnsi="Times New Roman" w:cs="Times New Roman"/>
          <w:i/>
          <w:sz w:val="20"/>
          <w:szCs w:val="20"/>
          <w:lang w:val="ro-MD"/>
        </w:rPr>
        <w:t>le</w:t>
      </w:r>
      <w:r w:rsidRPr="00DD5F1D">
        <w:rPr>
          <w:rFonts w:ascii="Times New Roman" w:hAnsi="Times New Roman" w:cs="Times New Roman"/>
          <w:i/>
          <w:sz w:val="20"/>
          <w:szCs w:val="20"/>
          <w:lang w:val="ro-MD"/>
        </w:rPr>
        <w:t xml:space="preserve"> SI </w:t>
      </w:r>
      <w:r w:rsidR="00D86B83" w:rsidRPr="00DD5F1D">
        <w:rPr>
          <w:rFonts w:ascii="Times New Roman" w:hAnsi="Times New Roman" w:cs="Times New Roman"/>
          <w:i/>
          <w:sz w:val="20"/>
          <w:szCs w:val="20"/>
          <w:lang w:val="ro-MD"/>
        </w:rPr>
        <w:t>„</w:t>
      </w:r>
      <w:r w:rsidRPr="00DD5F1D">
        <w:rPr>
          <w:rFonts w:ascii="Times New Roman" w:hAnsi="Times New Roman" w:cs="Times New Roman"/>
          <w:i/>
          <w:sz w:val="20"/>
          <w:szCs w:val="20"/>
          <w:lang w:val="ro-MD"/>
        </w:rPr>
        <w:t>Protecția Socială</w:t>
      </w:r>
      <w:r w:rsidR="00D86B83" w:rsidRPr="00DD5F1D">
        <w:rPr>
          <w:rFonts w:ascii="Times New Roman" w:hAnsi="Times New Roman" w:cs="Times New Roman"/>
          <w:i/>
          <w:sz w:val="20"/>
          <w:szCs w:val="20"/>
          <w:lang w:val="ro-MD"/>
        </w:rPr>
        <w:t>”.</w:t>
      </w:r>
    </w:p>
    <w:p w14:paraId="01469289" w14:textId="77777777" w:rsidR="00CF4DFD" w:rsidRPr="00DD5F1D" w:rsidRDefault="00CF4DFD" w:rsidP="001E765F">
      <w:pPr>
        <w:rPr>
          <w:rFonts w:ascii="Times New Roman" w:hAnsi="Times New Roman" w:cs="Times New Roman"/>
          <w:i/>
          <w:sz w:val="20"/>
          <w:szCs w:val="20"/>
          <w:lang w:val="ro-MD"/>
        </w:rPr>
      </w:pPr>
    </w:p>
    <w:p w14:paraId="671A3EFE" w14:textId="77777777" w:rsidR="00BB2232" w:rsidRPr="00DD5F1D" w:rsidRDefault="00BB2232" w:rsidP="009E3494">
      <w:pPr>
        <w:pStyle w:val="2"/>
        <w:jc w:val="right"/>
        <w:rPr>
          <w:rFonts w:ascii="Times New Roman" w:hAnsi="Times New Roman" w:cs="Times New Roman"/>
          <w:b/>
          <w:color w:val="000000" w:themeColor="text1"/>
          <w:sz w:val="24"/>
          <w:szCs w:val="24"/>
          <w:lang w:val="ro-MD"/>
        </w:rPr>
      </w:pPr>
      <w:r w:rsidRPr="00DD5F1D">
        <w:rPr>
          <w:rFonts w:ascii="Times New Roman" w:hAnsi="Times New Roman" w:cs="Times New Roman"/>
          <w:b/>
          <w:color w:val="000000" w:themeColor="text1"/>
          <w:sz w:val="24"/>
          <w:szCs w:val="24"/>
          <w:lang w:val="ro-MD"/>
        </w:rPr>
        <w:t>Anexa nr.</w:t>
      </w:r>
      <w:r w:rsidR="000E2AC7" w:rsidRPr="00DD5F1D">
        <w:rPr>
          <w:rFonts w:ascii="Times New Roman" w:hAnsi="Times New Roman" w:cs="Times New Roman"/>
          <w:b/>
          <w:color w:val="000000" w:themeColor="text1"/>
          <w:sz w:val="24"/>
          <w:szCs w:val="24"/>
          <w:lang w:val="ro-MD"/>
        </w:rPr>
        <w:t xml:space="preserve"> 9</w:t>
      </w:r>
    </w:p>
    <w:p w14:paraId="74EF85B0" w14:textId="77777777" w:rsidR="00BB2232" w:rsidRPr="00DD5F1D" w:rsidRDefault="00BB2232" w:rsidP="00BB2232">
      <w:pPr>
        <w:spacing w:after="0" w:line="240" w:lineRule="auto"/>
        <w:jc w:val="center"/>
        <w:rPr>
          <w:rFonts w:ascii="Times New Roman" w:eastAsia="Times New Roman" w:hAnsi="Times New Roman" w:cs="Times New Roman"/>
          <w:b/>
          <w:sz w:val="24"/>
          <w:szCs w:val="24"/>
          <w:lang w:val="ro-MD"/>
        </w:rPr>
      </w:pPr>
      <w:r w:rsidRPr="00DD5F1D">
        <w:rPr>
          <w:rFonts w:ascii="Times New Roman" w:hAnsi="Times New Roman" w:cs="Times New Roman"/>
          <w:b/>
          <w:sz w:val="24"/>
          <w:szCs w:val="24"/>
          <w:lang w:val="ro-MD"/>
        </w:rPr>
        <w:t>Dinamica veniturilor bugetului asigurărilor sociale de stat în anii 2019-2023</w:t>
      </w:r>
      <w:r w:rsidRPr="00DD5F1D">
        <w:rPr>
          <w:rFonts w:ascii="Times New Roman" w:eastAsia="Times New Roman" w:hAnsi="Times New Roman" w:cs="Times New Roman"/>
          <w:b/>
          <w:sz w:val="24"/>
          <w:szCs w:val="24"/>
          <w:lang w:val="ro-MD"/>
        </w:rPr>
        <w:t> (mil. lei)</w:t>
      </w:r>
    </w:p>
    <w:tbl>
      <w:tblPr>
        <w:tblW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91"/>
        <w:gridCol w:w="1012"/>
        <w:gridCol w:w="1012"/>
        <w:gridCol w:w="1012"/>
        <w:gridCol w:w="1016"/>
        <w:gridCol w:w="983"/>
        <w:gridCol w:w="1170"/>
        <w:gridCol w:w="1010"/>
        <w:gridCol w:w="1896"/>
        <w:gridCol w:w="1275"/>
        <w:gridCol w:w="1134"/>
      </w:tblGrid>
      <w:tr w:rsidR="00A82B7F" w:rsidRPr="00DD5F1D" w14:paraId="0B1C6288" w14:textId="77777777" w:rsidTr="00A82B7F">
        <w:trPr>
          <w:trHeight w:val="20"/>
        </w:trPr>
        <w:tc>
          <w:tcPr>
            <w:tcW w:w="1838" w:type="dxa"/>
            <w:vMerge w:val="restart"/>
            <w:shd w:val="clear" w:color="auto" w:fill="auto"/>
            <w:vAlign w:val="center"/>
            <w:hideMark/>
          </w:tcPr>
          <w:p w14:paraId="23E8B4F7"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Indicatori</w:t>
            </w:r>
          </w:p>
        </w:tc>
        <w:tc>
          <w:tcPr>
            <w:tcW w:w="4943" w:type="dxa"/>
            <w:gridSpan w:val="5"/>
            <w:vMerge w:val="restart"/>
            <w:shd w:val="clear" w:color="auto" w:fill="auto"/>
            <w:vAlign w:val="center"/>
            <w:hideMark/>
          </w:tcPr>
          <w:p w14:paraId="31731D4E"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Anii</w:t>
            </w:r>
          </w:p>
        </w:tc>
        <w:tc>
          <w:tcPr>
            <w:tcW w:w="2153" w:type="dxa"/>
            <w:gridSpan w:val="2"/>
            <w:shd w:val="clear" w:color="auto" w:fill="auto"/>
            <w:vAlign w:val="center"/>
            <w:hideMark/>
          </w:tcPr>
          <w:p w14:paraId="28380E4E"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Devieri</w:t>
            </w:r>
          </w:p>
        </w:tc>
        <w:tc>
          <w:tcPr>
            <w:tcW w:w="2906" w:type="dxa"/>
            <w:gridSpan w:val="2"/>
            <w:shd w:val="clear" w:color="auto" w:fill="auto"/>
            <w:vAlign w:val="center"/>
            <w:hideMark/>
          </w:tcPr>
          <w:p w14:paraId="09899F6E"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Devieri,</w:t>
            </w:r>
          </w:p>
        </w:tc>
        <w:tc>
          <w:tcPr>
            <w:tcW w:w="2409" w:type="dxa"/>
            <w:gridSpan w:val="2"/>
            <w:shd w:val="clear" w:color="auto" w:fill="auto"/>
            <w:vAlign w:val="center"/>
            <w:hideMark/>
          </w:tcPr>
          <w:p w14:paraId="7FB5F14F"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Devieri,</w:t>
            </w:r>
          </w:p>
        </w:tc>
      </w:tr>
      <w:tr w:rsidR="00A82B7F" w:rsidRPr="00DD5F1D" w14:paraId="79000A4D" w14:textId="77777777" w:rsidTr="00A82B7F">
        <w:trPr>
          <w:trHeight w:val="20"/>
        </w:trPr>
        <w:tc>
          <w:tcPr>
            <w:tcW w:w="1838" w:type="dxa"/>
            <w:vMerge/>
            <w:vAlign w:val="center"/>
            <w:hideMark/>
          </w:tcPr>
          <w:p w14:paraId="5AFCA49E"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p>
        </w:tc>
        <w:tc>
          <w:tcPr>
            <w:tcW w:w="4943" w:type="dxa"/>
            <w:gridSpan w:val="5"/>
            <w:vMerge/>
            <w:vAlign w:val="center"/>
            <w:hideMark/>
          </w:tcPr>
          <w:p w14:paraId="29442E7D"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p>
        </w:tc>
        <w:tc>
          <w:tcPr>
            <w:tcW w:w="2153" w:type="dxa"/>
            <w:gridSpan w:val="2"/>
            <w:shd w:val="clear" w:color="auto" w:fill="auto"/>
            <w:vAlign w:val="center"/>
            <w:hideMark/>
          </w:tcPr>
          <w:p w14:paraId="37B82796"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2023-2022</w:t>
            </w:r>
          </w:p>
        </w:tc>
        <w:tc>
          <w:tcPr>
            <w:tcW w:w="2906" w:type="dxa"/>
            <w:gridSpan w:val="2"/>
            <w:shd w:val="clear" w:color="auto" w:fill="auto"/>
            <w:vAlign w:val="center"/>
            <w:hideMark/>
          </w:tcPr>
          <w:p w14:paraId="2ED3657B"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2023-2021</w:t>
            </w:r>
          </w:p>
        </w:tc>
        <w:tc>
          <w:tcPr>
            <w:tcW w:w="2409" w:type="dxa"/>
            <w:gridSpan w:val="2"/>
            <w:shd w:val="clear" w:color="auto" w:fill="auto"/>
            <w:vAlign w:val="center"/>
            <w:hideMark/>
          </w:tcPr>
          <w:p w14:paraId="7EE8FE2A"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2023-2020</w:t>
            </w:r>
          </w:p>
        </w:tc>
      </w:tr>
      <w:tr w:rsidR="00A82B7F" w:rsidRPr="00DD5F1D" w14:paraId="0B66A699" w14:textId="77777777" w:rsidTr="00A82B7F">
        <w:trPr>
          <w:trHeight w:val="20"/>
        </w:trPr>
        <w:tc>
          <w:tcPr>
            <w:tcW w:w="1838" w:type="dxa"/>
            <w:vMerge/>
            <w:vAlign w:val="center"/>
            <w:hideMark/>
          </w:tcPr>
          <w:p w14:paraId="119837CB"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p>
        </w:tc>
        <w:tc>
          <w:tcPr>
            <w:tcW w:w="891" w:type="dxa"/>
            <w:shd w:val="clear" w:color="auto" w:fill="auto"/>
            <w:vAlign w:val="center"/>
            <w:hideMark/>
          </w:tcPr>
          <w:p w14:paraId="17A11820"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2019</w:t>
            </w:r>
          </w:p>
        </w:tc>
        <w:tc>
          <w:tcPr>
            <w:tcW w:w="1012" w:type="dxa"/>
            <w:shd w:val="clear" w:color="auto" w:fill="auto"/>
            <w:vAlign w:val="center"/>
            <w:hideMark/>
          </w:tcPr>
          <w:p w14:paraId="1A275201"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2020</w:t>
            </w:r>
          </w:p>
        </w:tc>
        <w:tc>
          <w:tcPr>
            <w:tcW w:w="1012" w:type="dxa"/>
            <w:shd w:val="clear" w:color="auto" w:fill="auto"/>
            <w:vAlign w:val="center"/>
            <w:hideMark/>
          </w:tcPr>
          <w:p w14:paraId="7181A3B0"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2021</w:t>
            </w:r>
          </w:p>
        </w:tc>
        <w:tc>
          <w:tcPr>
            <w:tcW w:w="1012" w:type="dxa"/>
            <w:shd w:val="clear" w:color="auto" w:fill="auto"/>
            <w:vAlign w:val="center"/>
            <w:hideMark/>
          </w:tcPr>
          <w:p w14:paraId="1571810A"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2022</w:t>
            </w:r>
          </w:p>
        </w:tc>
        <w:tc>
          <w:tcPr>
            <w:tcW w:w="1016" w:type="dxa"/>
            <w:shd w:val="clear" w:color="auto" w:fill="auto"/>
            <w:vAlign w:val="center"/>
            <w:hideMark/>
          </w:tcPr>
          <w:p w14:paraId="3E7017E7"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2023</w:t>
            </w:r>
          </w:p>
        </w:tc>
        <w:tc>
          <w:tcPr>
            <w:tcW w:w="983" w:type="dxa"/>
            <w:shd w:val="clear" w:color="auto" w:fill="auto"/>
            <w:vAlign w:val="center"/>
            <w:hideMark/>
          </w:tcPr>
          <w:p w14:paraId="6D51C664"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1170" w:type="dxa"/>
            <w:shd w:val="clear" w:color="auto" w:fill="auto"/>
            <w:vAlign w:val="center"/>
            <w:hideMark/>
          </w:tcPr>
          <w:p w14:paraId="7534E37C"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1010" w:type="dxa"/>
            <w:shd w:val="clear" w:color="auto" w:fill="auto"/>
            <w:vAlign w:val="center"/>
            <w:hideMark/>
          </w:tcPr>
          <w:p w14:paraId="09080150"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1896" w:type="dxa"/>
            <w:shd w:val="clear" w:color="auto" w:fill="auto"/>
            <w:vAlign w:val="center"/>
            <w:hideMark/>
          </w:tcPr>
          <w:p w14:paraId="132717E2"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1275" w:type="dxa"/>
            <w:shd w:val="clear" w:color="auto" w:fill="auto"/>
            <w:vAlign w:val="center"/>
            <w:hideMark/>
          </w:tcPr>
          <w:p w14:paraId="5DCBE6F5"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1134" w:type="dxa"/>
            <w:shd w:val="clear" w:color="auto" w:fill="auto"/>
            <w:vAlign w:val="center"/>
            <w:hideMark/>
          </w:tcPr>
          <w:p w14:paraId="72682522"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r>
      <w:tr w:rsidR="00A82B7F" w:rsidRPr="00DD5F1D" w14:paraId="0E3B15D0" w14:textId="77777777" w:rsidTr="00A82B7F">
        <w:trPr>
          <w:trHeight w:val="20"/>
        </w:trPr>
        <w:tc>
          <w:tcPr>
            <w:tcW w:w="1838" w:type="dxa"/>
            <w:shd w:val="clear" w:color="auto" w:fill="auto"/>
            <w:vAlign w:val="center"/>
            <w:hideMark/>
          </w:tcPr>
          <w:p w14:paraId="7C11E3F7"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w:t>
            </w:r>
          </w:p>
        </w:tc>
        <w:tc>
          <w:tcPr>
            <w:tcW w:w="891" w:type="dxa"/>
            <w:shd w:val="clear" w:color="auto" w:fill="auto"/>
            <w:vAlign w:val="center"/>
            <w:hideMark/>
          </w:tcPr>
          <w:p w14:paraId="55637743"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w:t>
            </w:r>
          </w:p>
        </w:tc>
        <w:tc>
          <w:tcPr>
            <w:tcW w:w="1012" w:type="dxa"/>
            <w:shd w:val="clear" w:color="auto" w:fill="auto"/>
            <w:vAlign w:val="center"/>
            <w:hideMark/>
          </w:tcPr>
          <w:p w14:paraId="63E31AFB"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w:t>
            </w:r>
          </w:p>
        </w:tc>
        <w:tc>
          <w:tcPr>
            <w:tcW w:w="1012" w:type="dxa"/>
            <w:shd w:val="clear" w:color="auto" w:fill="auto"/>
            <w:vAlign w:val="center"/>
            <w:hideMark/>
          </w:tcPr>
          <w:p w14:paraId="1A8F00A1"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4</w:t>
            </w:r>
          </w:p>
        </w:tc>
        <w:tc>
          <w:tcPr>
            <w:tcW w:w="1012" w:type="dxa"/>
            <w:shd w:val="clear" w:color="auto" w:fill="auto"/>
            <w:vAlign w:val="center"/>
            <w:hideMark/>
          </w:tcPr>
          <w:p w14:paraId="7B17D41C"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5</w:t>
            </w:r>
          </w:p>
        </w:tc>
        <w:tc>
          <w:tcPr>
            <w:tcW w:w="1016" w:type="dxa"/>
            <w:shd w:val="clear" w:color="auto" w:fill="auto"/>
            <w:vAlign w:val="center"/>
            <w:hideMark/>
          </w:tcPr>
          <w:p w14:paraId="5C313C24"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6</w:t>
            </w:r>
          </w:p>
        </w:tc>
        <w:tc>
          <w:tcPr>
            <w:tcW w:w="983" w:type="dxa"/>
            <w:shd w:val="clear" w:color="auto" w:fill="auto"/>
            <w:vAlign w:val="center"/>
            <w:hideMark/>
          </w:tcPr>
          <w:p w14:paraId="67DD2896"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7=6-5</w:t>
            </w:r>
          </w:p>
        </w:tc>
        <w:tc>
          <w:tcPr>
            <w:tcW w:w="1170" w:type="dxa"/>
            <w:shd w:val="clear" w:color="auto" w:fill="auto"/>
            <w:vAlign w:val="center"/>
            <w:hideMark/>
          </w:tcPr>
          <w:p w14:paraId="2A6AF7D5"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8=6*100/5</w:t>
            </w:r>
          </w:p>
        </w:tc>
        <w:tc>
          <w:tcPr>
            <w:tcW w:w="1010" w:type="dxa"/>
            <w:shd w:val="clear" w:color="auto" w:fill="auto"/>
            <w:vAlign w:val="center"/>
            <w:hideMark/>
          </w:tcPr>
          <w:p w14:paraId="64B26B16"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9=6-4</w:t>
            </w:r>
          </w:p>
        </w:tc>
        <w:tc>
          <w:tcPr>
            <w:tcW w:w="1896" w:type="dxa"/>
            <w:shd w:val="clear" w:color="auto" w:fill="auto"/>
            <w:vAlign w:val="center"/>
            <w:hideMark/>
          </w:tcPr>
          <w:p w14:paraId="2BC31A7D"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10=6*100/4</w:t>
            </w:r>
          </w:p>
        </w:tc>
        <w:tc>
          <w:tcPr>
            <w:tcW w:w="1275" w:type="dxa"/>
            <w:shd w:val="clear" w:color="auto" w:fill="auto"/>
            <w:vAlign w:val="center"/>
            <w:hideMark/>
          </w:tcPr>
          <w:p w14:paraId="76DBEBAC"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11=6-3</w:t>
            </w:r>
          </w:p>
        </w:tc>
        <w:tc>
          <w:tcPr>
            <w:tcW w:w="1134" w:type="dxa"/>
            <w:shd w:val="clear" w:color="auto" w:fill="auto"/>
            <w:vAlign w:val="center"/>
            <w:hideMark/>
          </w:tcPr>
          <w:p w14:paraId="6DED2383"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12=6*100/3</w:t>
            </w:r>
          </w:p>
        </w:tc>
      </w:tr>
      <w:tr w:rsidR="00A82B7F" w:rsidRPr="00DD5F1D" w14:paraId="3B943B8A" w14:textId="77777777" w:rsidTr="00A82B7F">
        <w:trPr>
          <w:trHeight w:val="20"/>
        </w:trPr>
        <w:tc>
          <w:tcPr>
            <w:tcW w:w="1838" w:type="dxa"/>
            <w:shd w:val="clear" w:color="auto" w:fill="auto"/>
            <w:vAlign w:val="center"/>
            <w:hideMark/>
          </w:tcPr>
          <w:p w14:paraId="0BC087FC"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Venituri precizate</w:t>
            </w:r>
          </w:p>
        </w:tc>
        <w:tc>
          <w:tcPr>
            <w:tcW w:w="891" w:type="dxa"/>
            <w:shd w:val="clear" w:color="auto" w:fill="auto"/>
            <w:vAlign w:val="center"/>
          </w:tcPr>
          <w:p w14:paraId="742D8398"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21869,90</w:t>
            </w:r>
          </w:p>
        </w:tc>
        <w:tc>
          <w:tcPr>
            <w:tcW w:w="1012" w:type="dxa"/>
            <w:shd w:val="clear" w:color="auto" w:fill="auto"/>
            <w:vAlign w:val="center"/>
          </w:tcPr>
          <w:p w14:paraId="111E4F24"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24572,10</w:t>
            </w:r>
          </w:p>
        </w:tc>
        <w:tc>
          <w:tcPr>
            <w:tcW w:w="1012" w:type="dxa"/>
            <w:shd w:val="clear" w:color="auto" w:fill="auto"/>
            <w:vAlign w:val="center"/>
          </w:tcPr>
          <w:p w14:paraId="52CEC15D"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27629,04</w:t>
            </w:r>
          </w:p>
        </w:tc>
        <w:tc>
          <w:tcPr>
            <w:tcW w:w="1012" w:type="dxa"/>
            <w:shd w:val="clear" w:color="auto" w:fill="auto"/>
            <w:vAlign w:val="center"/>
          </w:tcPr>
          <w:p w14:paraId="60DCE9D8"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34200,58</w:t>
            </w:r>
          </w:p>
        </w:tc>
        <w:tc>
          <w:tcPr>
            <w:tcW w:w="1016" w:type="dxa"/>
            <w:shd w:val="clear" w:color="auto" w:fill="auto"/>
            <w:vAlign w:val="center"/>
          </w:tcPr>
          <w:p w14:paraId="1603F43D"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38870,66</w:t>
            </w:r>
          </w:p>
        </w:tc>
        <w:tc>
          <w:tcPr>
            <w:tcW w:w="983" w:type="dxa"/>
            <w:shd w:val="clear" w:color="auto" w:fill="auto"/>
            <w:vAlign w:val="center"/>
          </w:tcPr>
          <w:p w14:paraId="30BD89CC"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4670,08</w:t>
            </w:r>
          </w:p>
        </w:tc>
        <w:tc>
          <w:tcPr>
            <w:tcW w:w="1170" w:type="dxa"/>
            <w:shd w:val="clear" w:color="auto" w:fill="auto"/>
            <w:vAlign w:val="center"/>
          </w:tcPr>
          <w:p w14:paraId="725C3571"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113,65</w:t>
            </w:r>
          </w:p>
        </w:tc>
        <w:tc>
          <w:tcPr>
            <w:tcW w:w="1010" w:type="dxa"/>
            <w:shd w:val="clear" w:color="auto" w:fill="auto"/>
            <w:vAlign w:val="center"/>
          </w:tcPr>
          <w:p w14:paraId="567B2430"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11241,62</w:t>
            </w:r>
          </w:p>
        </w:tc>
        <w:tc>
          <w:tcPr>
            <w:tcW w:w="1896" w:type="dxa"/>
            <w:shd w:val="clear" w:color="auto" w:fill="auto"/>
            <w:vAlign w:val="center"/>
          </w:tcPr>
          <w:p w14:paraId="4D283442"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140,69</w:t>
            </w:r>
          </w:p>
        </w:tc>
        <w:tc>
          <w:tcPr>
            <w:tcW w:w="1275" w:type="dxa"/>
            <w:shd w:val="clear" w:color="auto" w:fill="auto"/>
            <w:vAlign w:val="center"/>
          </w:tcPr>
          <w:p w14:paraId="1A699442"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14298,56</w:t>
            </w:r>
          </w:p>
        </w:tc>
        <w:tc>
          <w:tcPr>
            <w:tcW w:w="1134" w:type="dxa"/>
            <w:shd w:val="clear" w:color="auto" w:fill="auto"/>
            <w:vAlign w:val="center"/>
          </w:tcPr>
          <w:p w14:paraId="5F695801"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158,19</w:t>
            </w:r>
          </w:p>
        </w:tc>
      </w:tr>
      <w:tr w:rsidR="00A82B7F" w:rsidRPr="00DD5F1D" w14:paraId="5231871B" w14:textId="77777777" w:rsidTr="00A82B7F">
        <w:trPr>
          <w:trHeight w:val="20"/>
        </w:trPr>
        <w:tc>
          <w:tcPr>
            <w:tcW w:w="1838" w:type="dxa"/>
            <w:shd w:val="clear" w:color="auto" w:fill="auto"/>
            <w:vAlign w:val="center"/>
            <w:hideMark/>
          </w:tcPr>
          <w:p w14:paraId="40BCF16D"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Venituri executate, inclusiv:</w:t>
            </w:r>
          </w:p>
        </w:tc>
        <w:tc>
          <w:tcPr>
            <w:tcW w:w="891" w:type="dxa"/>
            <w:shd w:val="clear" w:color="auto" w:fill="auto"/>
            <w:vAlign w:val="center"/>
          </w:tcPr>
          <w:p w14:paraId="2B86C9B3"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21748,40</w:t>
            </w:r>
          </w:p>
        </w:tc>
        <w:tc>
          <w:tcPr>
            <w:tcW w:w="1012" w:type="dxa"/>
            <w:shd w:val="clear" w:color="auto" w:fill="auto"/>
            <w:vAlign w:val="center"/>
          </w:tcPr>
          <w:p w14:paraId="6CF4AF77"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24285,50</w:t>
            </w:r>
          </w:p>
        </w:tc>
        <w:tc>
          <w:tcPr>
            <w:tcW w:w="1012" w:type="dxa"/>
            <w:shd w:val="clear" w:color="auto" w:fill="auto"/>
            <w:vAlign w:val="center"/>
          </w:tcPr>
          <w:p w14:paraId="01FC6776"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27246,80</w:t>
            </w:r>
          </w:p>
        </w:tc>
        <w:tc>
          <w:tcPr>
            <w:tcW w:w="1012" w:type="dxa"/>
            <w:shd w:val="clear" w:color="auto" w:fill="auto"/>
            <w:vAlign w:val="center"/>
          </w:tcPr>
          <w:p w14:paraId="4B19DDD4"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33796,07</w:t>
            </w:r>
          </w:p>
        </w:tc>
        <w:tc>
          <w:tcPr>
            <w:tcW w:w="1016" w:type="dxa"/>
            <w:shd w:val="clear" w:color="auto" w:fill="auto"/>
            <w:vAlign w:val="center"/>
          </w:tcPr>
          <w:p w14:paraId="3A5FDE31" w14:textId="77777777" w:rsidR="00A82B7F" w:rsidRPr="00DD5F1D" w:rsidRDefault="00A82B7F" w:rsidP="000E2AC7">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38604,43</w:t>
            </w:r>
          </w:p>
        </w:tc>
        <w:tc>
          <w:tcPr>
            <w:tcW w:w="983" w:type="dxa"/>
            <w:shd w:val="clear" w:color="auto" w:fill="auto"/>
            <w:vAlign w:val="center"/>
          </w:tcPr>
          <w:p w14:paraId="0ADBD5EC"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4808,36</w:t>
            </w:r>
          </w:p>
        </w:tc>
        <w:tc>
          <w:tcPr>
            <w:tcW w:w="1170" w:type="dxa"/>
            <w:shd w:val="clear" w:color="auto" w:fill="auto"/>
            <w:vAlign w:val="center"/>
          </w:tcPr>
          <w:p w14:paraId="2EAA633A"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114,23</w:t>
            </w:r>
          </w:p>
        </w:tc>
        <w:tc>
          <w:tcPr>
            <w:tcW w:w="1010" w:type="dxa"/>
            <w:shd w:val="clear" w:color="auto" w:fill="auto"/>
            <w:vAlign w:val="center"/>
          </w:tcPr>
          <w:p w14:paraId="59AD6D27"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11357,63</w:t>
            </w:r>
          </w:p>
        </w:tc>
        <w:tc>
          <w:tcPr>
            <w:tcW w:w="1896" w:type="dxa"/>
            <w:shd w:val="clear" w:color="auto" w:fill="auto"/>
            <w:vAlign w:val="center"/>
          </w:tcPr>
          <w:p w14:paraId="6D415D23"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141,68</w:t>
            </w:r>
          </w:p>
        </w:tc>
        <w:tc>
          <w:tcPr>
            <w:tcW w:w="1275" w:type="dxa"/>
            <w:shd w:val="clear" w:color="auto" w:fill="auto"/>
            <w:vAlign w:val="center"/>
          </w:tcPr>
          <w:p w14:paraId="7F9EFE19"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14318,93</w:t>
            </w:r>
          </w:p>
        </w:tc>
        <w:tc>
          <w:tcPr>
            <w:tcW w:w="1134" w:type="dxa"/>
            <w:shd w:val="clear" w:color="auto" w:fill="auto"/>
            <w:vAlign w:val="center"/>
          </w:tcPr>
          <w:p w14:paraId="118704FD" w14:textId="77777777" w:rsidR="00A82B7F" w:rsidRPr="00DD5F1D" w:rsidRDefault="00A82B7F" w:rsidP="000E2AC7">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158,96</w:t>
            </w:r>
          </w:p>
        </w:tc>
      </w:tr>
      <w:tr w:rsidR="00A82B7F" w:rsidRPr="00DD5F1D" w14:paraId="10080273" w14:textId="77777777" w:rsidTr="00A82B7F">
        <w:trPr>
          <w:trHeight w:val="20"/>
        </w:trPr>
        <w:tc>
          <w:tcPr>
            <w:tcW w:w="1838" w:type="dxa"/>
            <w:shd w:val="clear" w:color="auto" w:fill="auto"/>
            <w:vAlign w:val="center"/>
            <w:hideMark/>
          </w:tcPr>
          <w:p w14:paraId="5118F119" w14:textId="77777777" w:rsidR="00A82B7F" w:rsidRPr="00DD5F1D" w:rsidRDefault="00A82B7F" w:rsidP="000E2AC7">
            <w:pPr>
              <w:spacing w:after="0" w:line="240" w:lineRule="auto"/>
              <w:jc w:val="center"/>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Contribuții şi prime de asigurări sociale de stat obligatorii</w:t>
            </w:r>
          </w:p>
        </w:tc>
        <w:tc>
          <w:tcPr>
            <w:tcW w:w="891" w:type="dxa"/>
            <w:shd w:val="clear" w:color="auto" w:fill="auto"/>
            <w:vAlign w:val="center"/>
          </w:tcPr>
          <w:p w14:paraId="44E62133"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13635,60</w:t>
            </w:r>
          </w:p>
        </w:tc>
        <w:tc>
          <w:tcPr>
            <w:tcW w:w="1012" w:type="dxa"/>
            <w:shd w:val="clear" w:color="auto" w:fill="auto"/>
            <w:vAlign w:val="center"/>
          </w:tcPr>
          <w:p w14:paraId="4B94888E"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14295,40</w:t>
            </w:r>
          </w:p>
        </w:tc>
        <w:tc>
          <w:tcPr>
            <w:tcW w:w="1012" w:type="dxa"/>
            <w:shd w:val="clear" w:color="auto" w:fill="auto"/>
            <w:vAlign w:val="center"/>
          </w:tcPr>
          <w:p w14:paraId="1C478010"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16223,90</w:t>
            </w:r>
          </w:p>
        </w:tc>
        <w:tc>
          <w:tcPr>
            <w:tcW w:w="1012" w:type="dxa"/>
            <w:shd w:val="clear" w:color="auto" w:fill="auto"/>
            <w:vAlign w:val="center"/>
          </w:tcPr>
          <w:p w14:paraId="7E089C6F"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18573,34</w:t>
            </w:r>
          </w:p>
        </w:tc>
        <w:tc>
          <w:tcPr>
            <w:tcW w:w="1016" w:type="dxa"/>
            <w:shd w:val="clear" w:color="auto" w:fill="auto"/>
            <w:vAlign w:val="center"/>
          </w:tcPr>
          <w:p w14:paraId="2B663820"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21524,2</w:t>
            </w:r>
          </w:p>
        </w:tc>
        <w:tc>
          <w:tcPr>
            <w:tcW w:w="983" w:type="dxa"/>
            <w:shd w:val="clear" w:color="auto" w:fill="auto"/>
            <w:vAlign w:val="center"/>
          </w:tcPr>
          <w:p w14:paraId="0B83E963"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2950,86</w:t>
            </w:r>
          </w:p>
        </w:tc>
        <w:tc>
          <w:tcPr>
            <w:tcW w:w="1170" w:type="dxa"/>
            <w:shd w:val="clear" w:color="auto" w:fill="auto"/>
            <w:vAlign w:val="center"/>
          </w:tcPr>
          <w:p w14:paraId="5E9D328F"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115,89</w:t>
            </w:r>
          </w:p>
        </w:tc>
        <w:tc>
          <w:tcPr>
            <w:tcW w:w="1010" w:type="dxa"/>
            <w:shd w:val="clear" w:color="auto" w:fill="auto"/>
            <w:vAlign w:val="center"/>
          </w:tcPr>
          <w:p w14:paraId="4FA98F9C"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5300,3</w:t>
            </w:r>
          </w:p>
        </w:tc>
        <w:tc>
          <w:tcPr>
            <w:tcW w:w="1896" w:type="dxa"/>
            <w:shd w:val="clear" w:color="auto" w:fill="auto"/>
            <w:vAlign w:val="center"/>
          </w:tcPr>
          <w:p w14:paraId="36F73095"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132,67</w:t>
            </w:r>
          </w:p>
        </w:tc>
        <w:tc>
          <w:tcPr>
            <w:tcW w:w="1275" w:type="dxa"/>
            <w:shd w:val="clear" w:color="auto" w:fill="auto"/>
            <w:vAlign w:val="center"/>
          </w:tcPr>
          <w:p w14:paraId="440FA6F6"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7228,8</w:t>
            </w:r>
          </w:p>
        </w:tc>
        <w:tc>
          <w:tcPr>
            <w:tcW w:w="1134" w:type="dxa"/>
            <w:shd w:val="clear" w:color="auto" w:fill="auto"/>
            <w:vAlign w:val="center"/>
          </w:tcPr>
          <w:p w14:paraId="2784F540"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150,57</w:t>
            </w:r>
          </w:p>
        </w:tc>
      </w:tr>
      <w:tr w:rsidR="00A82B7F" w:rsidRPr="00DD5F1D" w14:paraId="52A81C31" w14:textId="77777777" w:rsidTr="00A82B7F">
        <w:trPr>
          <w:trHeight w:val="20"/>
        </w:trPr>
        <w:tc>
          <w:tcPr>
            <w:tcW w:w="1838" w:type="dxa"/>
            <w:shd w:val="clear" w:color="auto" w:fill="auto"/>
            <w:vAlign w:val="center"/>
            <w:hideMark/>
          </w:tcPr>
          <w:p w14:paraId="1E52B060" w14:textId="77777777" w:rsidR="00A82B7F" w:rsidRPr="00DD5F1D" w:rsidRDefault="00A82B7F" w:rsidP="000E2AC7">
            <w:pPr>
              <w:spacing w:after="0" w:line="240" w:lineRule="auto"/>
              <w:jc w:val="center"/>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Alte venituri</w:t>
            </w:r>
          </w:p>
        </w:tc>
        <w:tc>
          <w:tcPr>
            <w:tcW w:w="891" w:type="dxa"/>
            <w:shd w:val="clear" w:color="auto" w:fill="auto"/>
            <w:vAlign w:val="center"/>
          </w:tcPr>
          <w:p w14:paraId="654507FF"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155,60</w:t>
            </w:r>
          </w:p>
        </w:tc>
        <w:tc>
          <w:tcPr>
            <w:tcW w:w="1012" w:type="dxa"/>
            <w:shd w:val="clear" w:color="auto" w:fill="auto"/>
            <w:vAlign w:val="center"/>
          </w:tcPr>
          <w:p w14:paraId="2450B986"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220,80</w:t>
            </w:r>
          </w:p>
        </w:tc>
        <w:tc>
          <w:tcPr>
            <w:tcW w:w="1012" w:type="dxa"/>
            <w:shd w:val="clear" w:color="auto" w:fill="auto"/>
            <w:vAlign w:val="center"/>
          </w:tcPr>
          <w:p w14:paraId="47EA1522"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298,30</w:t>
            </w:r>
          </w:p>
        </w:tc>
        <w:tc>
          <w:tcPr>
            <w:tcW w:w="1012" w:type="dxa"/>
            <w:shd w:val="clear" w:color="auto" w:fill="auto"/>
            <w:vAlign w:val="center"/>
          </w:tcPr>
          <w:p w14:paraId="7A398FD1"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428,70</w:t>
            </w:r>
          </w:p>
        </w:tc>
        <w:tc>
          <w:tcPr>
            <w:tcW w:w="1016" w:type="dxa"/>
            <w:shd w:val="clear" w:color="auto" w:fill="auto"/>
            <w:vAlign w:val="center"/>
          </w:tcPr>
          <w:p w14:paraId="0D4F364C"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568,64</w:t>
            </w:r>
          </w:p>
        </w:tc>
        <w:tc>
          <w:tcPr>
            <w:tcW w:w="983" w:type="dxa"/>
            <w:shd w:val="clear" w:color="auto" w:fill="auto"/>
            <w:vAlign w:val="bottom"/>
          </w:tcPr>
          <w:p w14:paraId="32E2AE58" w14:textId="77777777" w:rsidR="00A82B7F" w:rsidRPr="00DD5F1D" w:rsidRDefault="00A82B7F" w:rsidP="000E2AC7">
            <w:pPr>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139,94</w:t>
            </w:r>
          </w:p>
        </w:tc>
        <w:tc>
          <w:tcPr>
            <w:tcW w:w="1170" w:type="dxa"/>
            <w:shd w:val="clear" w:color="auto" w:fill="auto"/>
            <w:vAlign w:val="bottom"/>
          </w:tcPr>
          <w:p w14:paraId="3D472A4E" w14:textId="77777777" w:rsidR="00A82B7F" w:rsidRPr="00DD5F1D" w:rsidRDefault="00A82B7F" w:rsidP="000E2AC7">
            <w:pPr>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132,64</w:t>
            </w:r>
          </w:p>
        </w:tc>
        <w:tc>
          <w:tcPr>
            <w:tcW w:w="1010" w:type="dxa"/>
            <w:shd w:val="clear" w:color="auto" w:fill="auto"/>
            <w:vAlign w:val="bottom"/>
          </w:tcPr>
          <w:p w14:paraId="6E2EBEFC" w14:textId="77777777" w:rsidR="00A82B7F" w:rsidRPr="00DD5F1D" w:rsidRDefault="00A82B7F" w:rsidP="000E2AC7">
            <w:pPr>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270,34</w:t>
            </w:r>
          </w:p>
        </w:tc>
        <w:tc>
          <w:tcPr>
            <w:tcW w:w="1896" w:type="dxa"/>
            <w:shd w:val="clear" w:color="auto" w:fill="auto"/>
            <w:vAlign w:val="bottom"/>
          </w:tcPr>
          <w:p w14:paraId="1261C2C9" w14:textId="77777777" w:rsidR="00A82B7F" w:rsidRPr="00DD5F1D" w:rsidRDefault="00A82B7F" w:rsidP="000E2AC7">
            <w:pPr>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190,63</w:t>
            </w:r>
          </w:p>
        </w:tc>
        <w:tc>
          <w:tcPr>
            <w:tcW w:w="1275" w:type="dxa"/>
            <w:shd w:val="clear" w:color="auto" w:fill="auto"/>
            <w:vAlign w:val="bottom"/>
          </w:tcPr>
          <w:p w14:paraId="4B7A4899" w14:textId="77777777" w:rsidR="00A82B7F" w:rsidRPr="00DD5F1D" w:rsidRDefault="00A82B7F" w:rsidP="000E2AC7">
            <w:pPr>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347,84</w:t>
            </w:r>
          </w:p>
        </w:tc>
        <w:tc>
          <w:tcPr>
            <w:tcW w:w="1134" w:type="dxa"/>
            <w:shd w:val="clear" w:color="auto" w:fill="auto"/>
            <w:vAlign w:val="bottom"/>
          </w:tcPr>
          <w:p w14:paraId="2D3FFC89" w14:textId="77777777" w:rsidR="00A82B7F" w:rsidRPr="00DD5F1D" w:rsidRDefault="00A82B7F" w:rsidP="000E2AC7">
            <w:pPr>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257,54</w:t>
            </w:r>
          </w:p>
        </w:tc>
      </w:tr>
      <w:tr w:rsidR="00A82B7F" w:rsidRPr="00DD5F1D" w14:paraId="091204B1" w14:textId="77777777" w:rsidTr="00A82B7F">
        <w:trPr>
          <w:trHeight w:val="20"/>
        </w:trPr>
        <w:tc>
          <w:tcPr>
            <w:tcW w:w="1838" w:type="dxa"/>
            <w:shd w:val="clear" w:color="auto" w:fill="auto"/>
            <w:vAlign w:val="center"/>
            <w:hideMark/>
          </w:tcPr>
          <w:p w14:paraId="164E7372" w14:textId="4EFFCB94" w:rsidR="00A82B7F" w:rsidRPr="00DD5F1D" w:rsidRDefault="00A82B7F" w:rsidP="00D86B83">
            <w:pPr>
              <w:spacing w:after="0" w:line="240" w:lineRule="auto"/>
              <w:jc w:val="center"/>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 xml:space="preserve">Transferuri curente primite cu destinație specială între bugetul de stat şi </w:t>
            </w:r>
            <w:r w:rsidR="00D86B83" w:rsidRPr="00DD5F1D">
              <w:rPr>
                <w:rFonts w:ascii="Times New Roman" w:eastAsia="Times New Roman" w:hAnsi="Times New Roman" w:cs="Times New Roman"/>
                <w:b/>
                <w:bCs/>
                <w:i/>
                <w:iCs/>
                <w:sz w:val="18"/>
                <w:szCs w:val="18"/>
                <w:lang w:val="ro-MD"/>
              </w:rPr>
              <w:t>BASS</w:t>
            </w:r>
          </w:p>
        </w:tc>
        <w:tc>
          <w:tcPr>
            <w:tcW w:w="891" w:type="dxa"/>
            <w:shd w:val="clear" w:color="auto" w:fill="auto"/>
            <w:vAlign w:val="center"/>
          </w:tcPr>
          <w:p w14:paraId="5AAFA89D"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5969,30</w:t>
            </w:r>
          </w:p>
        </w:tc>
        <w:tc>
          <w:tcPr>
            <w:tcW w:w="1012" w:type="dxa"/>
            <w:shd w:val="clear" w:color="auto" w:fill="auto"/>
            <w:vAlign w:val="center"/>
          </w:tcPr>
          <w:p w14:paraId="1FE484D3"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7214,80</w:t>
            </w:r>
          </w:p>
        </w:tc>
        <w:tc>
          <w:tcPr>
            <w:tcW w:w="1012" w:type="dxa"/>
            <w:shd w:val="clear" w:color="auto" w:fill="auto"/>
            <w:vAlign w:val="center"/>
          </w:tcPr>
          <w:p w14:paraId="1CC85AD0"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7884,60</w:t>
            </w:r>
          </w:p>
        </w:tc>
        <w:tc>
          <w:tcPr>
            <w:tcW w:w="1012" w:type="dxa"/>
            <w:shd w:val="clear" w:color="auto" w:fill="auto"/>
            <w:vAlign w:val="center"/>
          </w:tcPr>
          <w:p w14:paraId="4D508DF7"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10359,90</w:t>
            </w:r>
          </w:p>
        </w:tc>
        <w:tc>
          <w:tcPr>
            <w:tcW w:w="1016" w:type="dxa"/>
            <w:shd w:val="clear" w:color="auto" w:fill="auto"/>
            <w:vAlign w:val="center"/>
          </w:tcPr>
          <w:p w14:paraId="2663239C"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11093,67</w:t>
            </w:r>
          </w:p>
        </w:tc>
        <w:tc>
          <w:tcPr>
            <w:tcW w:w="983" w:type="dxa"/>
            <w:shd w:val="clear" w:color="auto" w:fill="auto"/>
            <w:vAlign w:val="center"/>
          </w:tcPr>
          <w:p w14:paraId="4459DA35"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733,77</w:t>
            </w:r>
          </w:p>
        </w:tc>
        <w:tc>
          <w:tcPr>
            <w:tcW w:w="1170" w:type="dxa"/>
            <w:shd w:val="clear" w:color="auto" w:fill="auto"/>
            <w:vAlign w:val="center"/>
          </w:tcPr>
          <w:p w14:paraId="4615087B"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107,08</w:t>
            </w:r>
          </w:p>
        </w:tc>
        <w:tc>
          <w:tcPr>
            <w:tcW w:w="1010" w:type="dxa"/>
            <w:shd w:val="clear" w:color="auto" w:fill="auto"/>
            <w:vAlign w:val="center"/>
          </w:tcPr>
          <w:p w14:paraId="2FF33FBC"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3209,07</w:t>
            </w:r>
          </w:p>
        </w:tc>
        <w:tc>
          <w:tcPr>
            <w:tcW w:w="1896" w:type="dxa"/>
            <w:shd w:val="clear" w:color="auto" w:fill="auto"/>
            <w:vAlign w:val="center"/>
          </w:tcPr>
          <w:p w14:paraId="21E0DC1A"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140,70</w:t>
            </w:r>
          </w:p>
        </w:tc>
        <w:tc>
          <w:tcPr>
            <w:tcW w:w="1275" w:type="dxa"/>
            <w:shd w:val="clear" w:color="auto" w:fill="auto"/>
            <w:vAlign w:val="center"/>
          </w:tcPr>
          <w:p w14:paraId="4A688BE4"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3878,87</w:t>
            </w:r>
          </w:p>
        </w:tc>
        <w:tc>
          <w:tcPr>
            <w:tcW w:w="1134" w:type="dxa"/>
            <w:shd w:val="clear" w:color="auto" w:fill="auto"/>
            <w:vAlign w:val="center"/>
          </w:tcPr>
          <w:p w14:paraId="27CB7761"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153,76</w:t>
            </w:r>
          </w:p>
        </w:tc>
      </w:tr>
      <w:tr w:rsidR="00A82B7F" w:rsidRPr="00DD5F1D" w14:paraId="1896658B" w14:textId="77777777" w:rsidTr="00A82B7F">
        <w:trPr>
          <w:trHeight w:val="20"/>
        </w:trPr>
        <w:tc>
          <w:tcPr>
            <w:tcW w:w="1838" w:type="dxa"/>
            <w:shd w:val="clear" w:color="auto" w:fill="auto"/>
            <w:vAlign w:val="center"/>
            <w:hideMark/>
          </w:tcPr>
          <w:p w14:paraId="134AA1CB" w14:textId="10F644D5" w:rsidR="00A82B7F" w:rsidRPr="00DD5F1D" w:rsidRDefault="00A82B7F" w:rsidP="00D86B83">
            <w:pPr>
              <w:spacing w:after="0" w:line="240" w:lineRule="auto"/>
              <w:jc w:val="center"/>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 xml:space="preserve">Transferuri curente primite cu destinație generală între bugetul de stat şi </w:t>
            </w:r>
            <w:r w:rsidR="00D86B83" w:rsidRPr="00DD5F1D">
              <w:rPr>
                <w:rFonts w:ascii="Times New Roman" w:eastAsia="Times New Roman" w:hAnsi="Times New Roman" w:cs="Times New Roman"/>
                <w:b/>
                <w:bCs/>
                <w:i/>
                <w:iCs/>
                <w:sz w:val="18"/>
                <w:szCs w:val="18"/>
                <w:lang w:val="ro-MD"/>
              </w:rPr>
              <w:t>BASS</w:t>
            </w:r>
          </w:p>
        </w:tc>
        <w:tc>
          <w:tcPr>
            <w:tcW w:w="891" w:type="dxa"/>
            <w:shd w:val="clear" w:color="auto" w:fill="auto"/>
            <w:vAlign w:val="center"/>
          </w:tcPr>
          <w:p w14:paraId="312D91A8"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1987,70</w:t>
            </w:r>
          </w:p>
        </w:tc>
        <w:tc>
          <w:tcPr>
            <w:tcW w:w="1012" w:type="dxa"/>
            <w:shd w:val="clear" w:color="auto" w:fill="auto"/>
            <w:vAlign w:val="center"/>
          </w:tcPr>
          <w:p w14:paraId="3C39BA9D"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2554,60</w:t>
            </w:r>
          </w:p>
        </w:tc>
        <w:tc>
          <w:tcPr>
            <w:tcW w:w="1012" w:type="dxa"/>
            <w:shd w:val="clear" w:color="auto" w:fill="auto"/>
            <w:vAlign w:val="center"/>
          </w:tcPr>
          <w:p w14:paraId="0DB8F80C"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2840,00</w:t>
            </w:r>
          </w:p>
        </w:tc>
        <w:tc>
          <w:tcPr>
            <w:tcW w:w="1012" w:type="dxa"/>
            <w:shd w:val="clear" w:color="auto" w:fill="auto"/>
            <w:vAlign w:val="center"/>
          </w:tcPr>
          <w:p w14:paraId="0C10A420"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4434,12</w:t>
            </w:r>
          </w:p>
        </w:tc>
        <w:tc>
          <w:tcPr>
            <w:tcW w:w="1016" w:type="dxa"/>
            <w:shd w:val="clear" w:color="auto" w:fill="auto"/>
            <w:vAlign w:val="center"/>
          </w:tcPr>
          <w:p w14:paraId="75752934" w14:textId="77777777" w:rsidR="00A82B7F" w:rsidRPr="00DD5F1D" w:rsidRDefault="00A82B7F" w:rsidP="000E2AC7">
            <w:pPr>
              <w:spacing w:after="0" w:line="240" w:lineRule="auto"/>
              <w:jc w:val="center"/>
              <w:rPr>
                <w:rFonts w:ascii="Times New Roman" w:eastAsia="Times New Roman" w:hAnsi="Times New Roman" w:cs="Times New Roman"/>
                <w:i/>
                <w:sz w:val="18"/>
                <w:szCs w:val="18"/>
                <w:lang w:val="ro-MD"/>
              </w:rPr>
            </w:pPr>
            <w:r w:rsidRPr="00DD5F1D">
              <w:rPr>
                <w:rFonts w:ascii="Times New Roman" w:eastAsia="Times New Roman" w:hAnsi="Times New Roman" w:cs="Times New Roman"/>
                <w:i/>
                <w:sz w:val="18"/>
                <w:szCs w:val="18"/>
                <w:lang w:val="ro-MD"/>
              </w:rPr>
              <w:t>5417,92</w:t>
            </w:r>
          </w:p>
        </w:tc>
        <w:tc>
          <w:tcPr>
            <w:tcW w:w="983" w:type="dxa"/>
            <w:shd w:val="clear" w:color="auto" w:fill="auto"/>
            <w:vAlign w:val="center"/>
          </w:tcPr>
          <w:p w14:paraId="2ABA97F8"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983,8</w:t>
            </w:r>
          </w:p>
        </w:tc>
        <w:tc>
          <w:tcPr>
            <w:tcW w:w="1170" w:type="dxa"/>
            <w:shd w:val="clear" w:color="auto" w:fill="auto"/>
            <w:vAlign w:val="center"/>
          </w:tcPr>
          <w:p w14:paraId="5364C41C"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122,19</w:t>
            </w:r>
          </w:p>
        </w:tc>
        <w:tc>
          <w:tcPr>
            <w:tcW w:w="1010" w:type="dxa"/>
            <w:shd w:val="clear" w:color="auto" w:fill="auto"/>
            <w:vAlign w:val="center"/>
          </w:tcPr>
          <w:p w14:paraId="5BC436CB"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2577,92</w:t>
            </w:r>
          </w:p>
        </w:tc>
        <w:tc>
          <w:tcPr>
            <w:tcW w:w="1896" w:type="dxa"/>
            <w:shd w:val="clear" w:color="auto" w:fill="auto"/>
            <w:vAlign w:val="center"/>
          </w:tcPr>
          <w:p w14:paraId="1176F4AC"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190,77</w:t>
            </w:r>
          </w:p>
        </w:tc>
        <w:tc>
          <w:tcPr>
            <w:tcW w:w="1275" w:type="dxa"/>
            <w:shd w:val="clear" w:color="auto" w:fill="auto"/>
            <w:vAlign w:val="center"/>
          </w:tcPr>
          <w:p w14:paraId="1B9525AE"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2863,32</w:t>
            </w:r>
          </w:p>
        </w:tc>
        <w:tc>
          <w:tcPr>
            <w:tcW w:w="1134" w:type="dxa"/>
            <w:shd w:val="clear" w:color="auto" w:fill="auto"/>
            <w:vAlign w:val="center"/>
          </w:tcPr>
          <w:p w14:paraId="43D34AB8" w14:textId="77777777" w:rsidR="00A82B7F" w:rsidRPr="00DD5F1D" w:rsidRDefault="00A82B7F" w:rsidP="000E2AC7">
            <w:pPr>
              <w:spacing w:after="0"/>
              <w:jc w:val="center"/>
              <w:rPr>
                <w:rFonts w:ascii="Times New Roman" w:hAnsi="Times New Roman" w:cs="Times New Roman"/>
                <w:bCs/>
                <w:i/>
                <w:sz w:val="18"/>
                <w:szCs w:val="18"/>
                <w:lang w:val="ro-MD"/>
              </w:rPr>
            </w:pPr>
            <w:r w:rsidRPr="00DD5F1D">
              <w:rPr>
                <w:rFonts w:ascii="Times New Roman" w:hAnsi="Times New Roman" w:cs="Times New Roman"/>
                <w:bCs/>
                <w:i/>
                <w:sz w:val="18"/>
                <w:szCs w:val="18"/>
                <w:lang w:val="ro-MD"/>
              </w:rPr>
              <w:t>212,08</w:t>
            </w:r>
          </w:p>
        </w:tc>
      </w:tr>
    </w:tbl>
    <w:p w14:paraId="5CC24542" w14:textId="146E836B" w:rsidR="00BB2232" w:rsidRPr="00DD5F1D" w:rsidRDefault="00BB2232" w:rsidP="00BB2232">
      <w:pPr>
        <w:rPr>
          <w:rFonts w:ascii="Times New Roman" w:hAnsi="Times New Roman" w:cs="Times New Roman"/>
          <w:i/>
          <w:sz w:val="20"/>
          <w:szCs w:val="20"/>
          <w:lang w:val="ro-MD"/>
        </w:rPr>
      </w:pPr>
      <w:r w:rsidRPr="00DD5F1D">
        <w:rPr>
          <w:rFonts w:ascii="Times New Roman" w:hAnsi="Times New Roman" w:cs="Times New Roman"/>
          <w:b/>
          <w:i/>
          <w:sz w:val="20"/>
          <w:szCs w:val="20"/>
          <w:lang w:val="ro-MD"/>
        </w:rPr>
        <w:t xml:space="preserve">Sursa: </w:t>
      </w:r>
      <w:r w:rsidRPr="00DD5F1D">
        <w:rPr>
          <w:rFonts w:ascii="Times New Roman" w:hAnsi="Times New Roman" w:cs="Times New Roman"/>
          <w:i/>
          <w:sz w:val="20"/>
          <w:szCs w:val="20"/>
          <w:lang w:val="ro-MD"/>
        </w:rPr>
        <w:t>Elaborat de audit în baza informațiilor din Formularul nr. 4 CNAS</w:t>
      </w:r>
      <w:r w:rsidR="00D86B83" w:rsidRPr="00DD5F1D">
        <w:rPr>
          <w:rFonts w:ascii="Times New Roman" w:hAnsi="Times New Roman" w:cs="Times New Roman"/>
          <w:i/>
          <w:sz w:val="20"/>
          <w:szCs w:val="20"/>
          <w:lang w:val="ro-MD"/>
        </w:rPr>
        <w:t>.</w:t>
      </w:r>
      <w:r w:rsidRPr="00DD5F1D">
        <w:rPr>
          <w:rFonts w:ascii="Times New Roman" w:hAnsi="Times New Roman" w:cs="Times New Roman"/>
          <w:i/>
          <w:sz w:val="20"/>
          <w:szCs w:val="20"/>
          <w:lang w:val="ro-MD"/>
        </w:rPr>
        <w:t xml:space="preserve"> </w:t>
      </w:r>
    </w:p>
    <w:p w14:paraId="23E7E4EC" w14:textId="39023025" w:rsidR="007E16C2" w:rsidRPr="00DD5F1D" w:rsidRDefault="007E16C2" w:rsidP="009E3494">
      <w:pPr>
        <w:pStyle w:val="2"/>
        <w:jc w:val="right"/>
        <w:rPr>
          <w:rFonts w:ascii="Times New Roman" w:hAnsi="Times New Roman" w:cs="Times New Roman"/>
          <w:b/>
          <w:color w:val="000000" w:themeColor="text1"/>
          <w:sz w:val="24"/>
          <w:szCs w:val="24"/>
          <w:lang w:val="ro-MD"/>
        </w:rPr>
      </w:pPr>
      <w:r w:rsidRPr="00DD5F1D">
        <w:rPr>
          <w:rFonts w:ascii="Times New Roman" w:hAnsi="Times New Roman" w:cs="Times New Roman"/>
          <w:b/>
          <w:color w:val="000000" w:themeColor="text1"/>
          <w:sz w:val="24"/>
          <w:szCs w:val="24"/>
          <w:lang w:val="ro-MD"/>
        </w:rPr>
        <w:t>Anexa n</w:t>
      </w:r>
      <w:r w:rsidR="000E2AC7" w:rsidRPr="00DD5F1D">
        <w:rPr>
          <w:rFonts w:ascii="Times New Roman" w:hAnsi="Times New Roman" w:cs="Times New Roman"/>
          <w:b/>
          <w:color w:val="000000" w:themeColor="text1"/>
          <w:sz w:val="24"/>
          <w:szCs w:val="24"/>
          <w:lang w:val="ro-MD"/>
        </w:rPr>
        <w:t>r. 10</w:t>
      </w:r>
    </w:p>
    <w:p w14:paraId="1245F373" w14:textId="77777777" w:rsidR="007E16C2" w:rsidRPr="00DD5F1D" w:rsidRDefault="007E16C2" w:rsidP="007E16C2">
      <w:pPr>
        <w:spacing w:after="0"/>
        <w:jc w:val="center"/>
        <w:rPr>
          <w:rFonts w:ascii="Times New Roman" w:hAnsi="Times New Roman" w:cs="Times New Roman"/>
          <w:b/>
          <w:sz w:val="24"/>
          <w:szCs w:val="24"/>
          <w:lang w:val="ro-MD"/>
        </w:rPr>
      </w:pPr>
      <w:r w:rsidRPr="00DD5F1D">
        <w:rPr>
          <w:rFonts w:ascii="Times New Roman" w:hAnsi="Times New Roman" w:cs="Times New Roman"/>
          <w:b/>
          <w:sz w:val="24"/>
          <w:szCs w:val="24"/>
          <w:lang w:val="ro-MD"/>
        </w:rPr>
        <w:t xml:space="preserve">Dinamica datoriilor pe termen lung față de beneficiarii de prestații </w:t>
      </w:r>
    </w:p>
    <w:p w14:paraId="209941B8" w14:textId="77777777" w:rsidR="007E16C2" w:rsidRPr="00DD5F1D" w:rsidRDefault="007E16C2" w:rsidP="007E16C2">
      <w:pPr>
        <w:spacing w:after="0"/>
        <w:jc w:val="center"/>
        <w:rPr>
          <w:rFonts w:ascii="Times New Roman" w:hAnsi="Times New Roman" w:cs="Times New Roman"/>
          <w:b/>
          <w:sz w:val="24"/>
          <w:szCs w:val="24"/>
          <w:lang w:val="ro-MD"/>
        </w:rPr>
      </w:pPr>
      <w:r w:rsidRPr="00DD5F1D">
        <w:rPr>
          <w:rFonts w:ascii="Times New Roman" w:hAnsi="Times New Roman" w:cs="Times New Roman"/>
          <w:b/>
          <w:sz w:val="24"/>
          <w:szCs w:val="24"/>
          <w:lang w:val="ro-MD"/>
        </w:rPr>
        <w:t>în anul 2023, comparativ cu anul 2022</w:t>
      </w:r>
      <w:r w:rsidRPr="00DD5F1D">
        <w:rPr>
          <w:rFonts w:ascii="Times New Roman" w:hAnsi="Times New Roman" w:cs="Times New Roman"/>
          <w:sz w:val="24"/>
          <w:szCs w:val="24"/>
          <w:lang w:val="ro-MD" w:eastAsia="ru-RU"/>
        </w:rPr>
        <w:t xml:space="preserve">                                                       </w:t>
      </w:r>
    </w:p>
    <w:tbl>
      <w:tblPr>
        <w:tblW w:w="4881" w:type="pct"/>
        <w:tblLayout w:type="fixed"/>
        <w:tblLook w:val="04A0" w:firstRow="1" w:lastRow="0" w:firstColumn="1" w:lastColumn="0" w:noHBand="0" w:noVBand="1"/>
      </w:tblPr>
      <w:tblGrid>
        <w:gridCol w:w="4593"/>
        <w:gridCol w:w="2474"/>
        <w:gridCol w:w="2873"/>
        <w:gridCol w:w="1590"/>
        <w:gridCol w:w="1698"/>
      </w:tblGrid>
      <w:tr w:rsidR="007E16C2" w:rsidRPr="00DD5F1D" w14:paraId="3556E7DE" w14:textId="77777777" w:rsidTr="00A82B7F">
        <w:trPr>
          <w:trHeight w:val="20"/>
        </w:trPr>
        <w:tc>
          <w:tcPr>
            <w:tcW w:w="17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7AF980" w14:textId="77777777" w:rsidR="007E16C2" w:rsidRPr="00DD5F1D" w:rsidRDefault="007E16C2" w:rsidP="000E2AC7">
            <w:pPr>
              <w:spacing w:after="0" w:line="240" w:lineRule="auto"/>
              <w:jc w:val="center"/>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Denumirea/tipul prestației</w:t>
            </w:r>
          </w:p>
        </w:tc>
        <w:tc>
          <w:tcPr>
            <w:tcW w:w="9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C26C2E" w14:textId="77777777" w:rsidR="007E16C2" w:rsidRPr="00DD5F1D" w:rsidRDefault="007E16C2" w:rsidP="000E2AC7">
            <w:pPr>
              <w:spacing w:after="0" w:line="240" w:lineRule="auto"/>
              <w:jc w:val="center"/>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Sold la 31.12.2022, mii lei</w:t>
            </w:r>
          </w:p>
        </w:tc>
        <w:tc>
          <w:tcPr>
            <w:tcW w:w="108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BD01E4" w14:textId="77777777" w:rsidR="007E16C2" w:rsidRPr="00DD5F1D" w:rsidRDefault="007E16C2" w:rsidP="000E2AC7">
            <w:pPr>
              <w:spacing w:after="0" w:line="240" w:lineRule="auto"/>
              <w:jc w:val="center"/>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Sold la 31.12.2023, mii lei</w:t>
            </w:r>
          </w:p>
        </w:tc>
        <w:tc>
          <w:tcPr>
            <w:tcW w:w="124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8FE7838" w14:textId="77777777" w:rsidR="007E16C2" w:rsidRPr="00DD5F1D" w:rsidRDefault="007E16C2" w:rsidP="000E2AC7">
            <w:pPr>
              <w:spacing w:after="0" w:line="240" w:lineRule="auto"/>
              <w:jc w:val="center"/>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Devieri</w:t>
            </w:r>
          </w:p>
        </w:tc>
      </w:tr>
      <w:tr w:rsidR="007E16C2" w:rsidRPr="00DD5F1D" w14:paraId="20E3273C" w14:textId="77777777" w:rsidTr="00A82B7F">
        <w:trPr>
          <w:trHeight w:val="20"/>
        </w:trPr>
        <w:tc>
          <w:tcPr>
            <w:tcW w:w="1736"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209FC39" w14:textId="77777777" w:rsidR="007E16C2" w:rsidRPr="00DD5F1D" w:rsidRDefault="007E16C2" w:rsidP="000E2AC7">
            <w:pPr>
              <w:spacing w:after="0" w:line="240" w:lineRule="auto"/>
              <w:jc w:val="center"/>
              <w:rPr>
                <w:rFonts w:ascii="Times New Roman" w:eastAsia="Times New Roman" w:hAnsi="Times New Roman" w:cs="Times New Roman"/>
                <w:b/>
                <w:sz w:val="24"/>
                <w:szCs w:val="24"/>
                <w:lang w:val="ro-MD"/>
              </w:rPr>
            </w:pPr>
          </w:p>
        </w:tc>
        <w:tc>
          <w:tcPr>
            <w:tcW w:w="935"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41E08F9" w14:textId="77777777" w:rsidR="007E16C2" w:rsidRPr="00DD5F1D" w:rsidRDefault="007E16C2" w:rsidP="000E2AC7">
            <w:pPr>
              <w:spacing w:after="0" w:line="240" w:lineRule="auto"/>
              <w:jc w:val="center"/>
              <w:rPr>
                <w:rFonts w:ascii="Times New Roman" w:eastAsia="Times New Roman" w:hAnsi="Times New Roman" w:cs="Times New Roman"/>
                <w:b/>
                <w:sz w:val="24"/>
                <w:szCs w:val="24"/>
                <w:lang w:val="ro-MD"/>
              </w:rPr>
            </w:pPr>
          </w:p>
        </w:tc>
        <w:tc>
          <w:tcPr>
            <w:tcW w:w="1086"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F4B125E" w14:textId="77777777" w:rsidR="007E16C2" w:rsidRPr="00DD5F1D" w:rsidRDefault="007E16C2" w:rsidP="000E2AC7">
            <w:pPr>
              <w:spacing w:after="0" w:line="240" w:lineRule="auto"/>
              <w:jc w:val="center"/>
              <w:rPr>
                <w:rFonts w:ascii="Times New Roman" w:eastAsia="Times New Roman" w:hAnsi="Times New Roman" w:cs="Times New Roman"/>
                <w:b/>
                <w:sz w:val="24"/>
                <w:szCs w:val="24"/>
                <w:lang w:val="ro-MD"/>
              </w:rPr>
            </w:pPr>
          </w:p>
        </w:tc>
        <w:tc>
          <w:tcPr>
            <w:tcW w:w="601" w:type="pct"/>
            <w:tcBorders>
              <w:top w:val="nil"/>
              <w:left w:val="nil"/>
              <w:bottom w:val="single" w:sz="4" w:space="0" w:color="auto"/>
              <w:right w:val="single" w:sz="4" w:space="0" w:color="auto"/>
            </w:tcBorders>
            <w:shd w:val="clear" w:color="auto" w:fill="D9D9D9" w:themeFill="background1" w:themeFillShade="D9"/>
            <w:noWrap/>
            <w:vAlign w:val="center"/>
            <w:hideMark/>
          </w:tcPr>
          <w:p w14:paraId="7E0C9F26" w14:textId="41D9495A" w:rsidR="007E16C2" w:rsidRPr="00DD5F1D" w:rsidRDefault="007E16C2" w:rsidP="000E2AC7">
            <w:pPr>
              <w:spacing w:after="0" w:line="240" w:lineRule="auto"/>
              <w:jc w:val="center"/>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mii lei</w:t>
            </w:r>
          </w:p>
        </w:tc>
        <w:tc>
          <w:tcPr>
            <w:tcW w:w="642" w:type="pct"/>
            <w:tcBorders>
              <w:top w:val="nil"/>
              <w:left w:val="nil"/>
              <w:bottom w:val="single" w:sz="4" w:space="0" w:color="auto"/>
              <w:right w:val="single" w:sz="4" w:space="0" w:color="auto"/>
            </w:tcBorders>
            <w:shd w:val="clear" w:color="auto" w:fill="D9D9D9" w:themeFill="background1" w:themeFillShade="D9"/>
            <w:noWrap/>
            <w:vAlign w:val="center"/>
            <w:hideMark/>
          </w:tcPr>
          <w:p w14:paraId="45427083" w14:textId="77777777" w:rsidR="007E16C2" w:rsidRPr="00DD5F1D" w:rsidRDefault="007E16C2" w:rsidP="000E2AC7">
            <w:pPr>
              <w:spacing w:after="0" w:line="240" w:lineRule="auto"/>
              <w:jc w:val="center"/>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w:t>
            </w:r>
          </w:p>
        </w:tc>
      </w:tr>
      <w:tr w:rsidR="007E16C2" w:rsidRPr="00DD5F1D" w14:paraId="40E79D57" w14:textId="77777777" w:rsidTr="00A82B7F">
        <w:trPr>
          <w:trHeight w:val="20"/>
        </w:trPr>
        <w:tc>
          <w:tcPr>
            <w:tcW w:w="1736" w:type="pct"/>
            <w:tcBorders>
              <w:top w:val="nil"/>
              <w:left w:val="single" w:sz="4" w:space="0" w:color="auto"/>
              <w:bottom w:val="single" w:sz="4" w:space="0" w:color="auto"/>
              <w:right w:val="single" w:sz="4" w:space="0" w:color="auto"/>
            </w:tcBorders>
            <w:shd w:val="clear" w:color="auto" w:fill="FFFFFF" w:themeFill="background1"/>
            <w:vAlign w:val="center"/>
            <w:hideMark/>
          </w:tcPr>
          <w:p w14:paraId="4564F3E0" w14:textId="77777777" w:rsidR="007E16C2" w:rsidRPr="00DD5F1D" w:rsidRDefault="007E16C2" w:rsidP="000E2AC7">
            <w:pPr>
              <w:spacing w:after="0" w:line="240" w:lineRule="auto"/>
              <w:jc w:val="both"/>
              <w:rPr>
                <w:rFonts w:ascii="Times New Roman" w:eastAsia="Times New Roman" w:hAnsi="Times New Roman" w:cs="Times New Roman"/>
                <w:b/>
                <w:bCs/>
                <w:sz w:val="24"/>
                <w:szCs w:val="24"/>
                <w:lang w:val="ro-MD"/>
              </w:rPr>
            </w:pPr>
            <w:r w:rsidRPr="00DD5F1D">
              <w:rPr>
                <w:rFonts w:ascii="Times New Roman" w:eastAsia="Times New Roman" w:hAnsi="Times New Roman" w:cs="Times New Roman"/>
                <w:b/>
                <w:bCs/>
                <w:sz w:val="24"/>
                <w:szCs w:val="24"/>
                <w:lang w:val="ro-MD"/>
              </w:rPr>
              <w:t>Prestații de asigurări sociale</w:t>
            </w:r>
          </w:p>
        </w:tc>
        <w:tc>
          <w:tcPr>
            <w:tcW w:w="935" w:type="pct"/>
            <w:tcBorders>
              <w:top w:val="nil"/>
              <w:left w:val="nil"/>
              <w:bottom w:val="single" w:sz="4" w:space="0" w:color="auto"/>
              <w:right w:val="single" w:sz="4" w:space="0" w:color="auto"/>
            </w:tcBorders>
            <w:shd w:val="clear" w:color="auto" w:fill="FFFFFF" w:themeFill="background1"/>
            <w:vAlign w:val="center"/>
            <w:hideMark/>
          </w:tcPr>
          <w:p w14:paraId="4CECB25D" w14:textId="77777777" w:rsidR="007E16C2" w:rsidRPr="00DD5F1D" w:rsidRDefault="007E16C2" w:rsidP="000E2AC7">
            <w:pPr>
              <w:spacing w:after="0" w:line="240" w:lineRule="auto"/>
              <w:jc w:val="right"/>
              <w:rPr>
                <w:rFonts w:ascii="Times New Roman" w:eastAsia="Times New Roman" w:hAnsi="Times New Roman" w:cs="Times New Roman"/>
                <w:b/>
                <w:bCs/>
                <w:sz w:val="24"/>
                <w:szCs w:val="24"/>
                <w:lang w:val="ro-MD"/>
              </w:rPr>
            </w:pPr>
            <w:r w:rsidRPr="00DD5F1D">
              <w:rPr>
                <w:rFonts w:ascii="Times New Roman" w:eastAsia="Times New Roman" w:hAnsi="Times New Roman" w:cs="Times New Roman"/>
                <w:b/>
                <w:bCs/>
                <w:sz w:val="24"/>
                <w:szCs w:val="24"/>
                <w:lang w:val="ro-MD"/>
              </w:rPr>
              <w:t>35 262,6</w:t>
            </w:r>
          </w:p>
        </w:tc>
        <w:tc>
          <w:tcPr>
            <w:tcW w:w="1086" w:type="pct"/>
            <w:tcBorders>
              <w:top w:val="nil"/>
              <w:left w:val="nil"/>
              <w:bottom w:val="single" w:sz="4" w:space="0" w:color="auto"/>
              <w:right w:val="single" w:sz="4" w:space="0" w:color="auto"/>
            </w:tcBorders>
            <w:shd w:val="clear" w:color="auto" w:fill="FFFFFF" w:themeFill="background1"/>
            <w:vAlign w:val="center"/>
            <w:hideMark/>
          </w:tcPr>
          <w:p w14:paraId="2F837965" w14:textId="013A324E" w:rsidR="007E16C2" w:rsidRPr="00DD5F1D" w:rsidRDefault="00DE1D1F" w:rsidP="000E2AC7">
            <w:pPr>
              <w:spacing w:after="0" w:line="240" w:lineRule="auto"/>
              <w:jc w:val="right"/>
              <w:rPr>
                <w:rFonts w:ascii="Times New Roman" w:eastAsia="Times New Roman" w:hAnsi="Times New Roman" w:cs="Times New Roman"/>
                <w:b/>
                <w:bCs/>
                <w:sz w:val="24"/>
                <w:szCs w:val="24"/>
                <w:lang w:val="ro-MD"/>
              </w:rPr>
            </w:pPr>
            <w:r w:rsidRPr="00DD5F1D">
              <w:rPr>
                <w:rFonts w:ascii="Times New Roman" w:eastAsia="Times New Roman" w:hAnsi="Times New Roman" w:cs="Times New Roman"/>
                <w:b/>
                <w:bCs/>
                <w:sz w:val="24"/>
                <w:szCs w:val="24"/>
                <w:lang w:val="ro-MD"/>
              </w:rPr>
              <w:t>50</w:t>
            </w:r>
            <w:r w:rsidR="001C4F37" w:rsidRPr="00DD5F1D">
              <w:rPr>
                <w:rFonts w:ascii="Times New Roman" w:eastAsia="Times New Roman" w:hAnsi="Times New Roman" w:cs="Times New Roman"/>
                <w:b/>
                <w:bCs/>
                <w:sz w:val="24"/>
                <w:szCs w:val="24"/>
                <w:lang w:val="ro-MD"/>
              </w:rPr>
              <w:t xml:space="preserve"> </w:t>
            </w:r>
            <w:r w:rsidRPr="00DD5F1D">
              <w:rPr>
                <w:rFonts w:ascii="Times New Roman" w:eastAsia="Times New Roman" w:hAnsi="Times New Roman" w:cs="Times New Roman"/>
                <w:b/>
                <w:bCs/>
                <w:sz w:val="24"/>
                <w:szCs w:val="24"/>
                <w:lang w:val="ro-MD"/>
              </w:rPr>
              <w:t>445,6</w:t>
            </w:r>
          </w:p>
        </w:tc>
        <w:tc>
          <w:tcPr>
            <w:tcW w:w="601" w:type="pct"/>
            <w:tcBorders>
              <w:top w:val="nil"/>
              <w:left w:val="nil"/>
              <w:bottom w:val="single" w:sz="4" w:space="0" w:color="auto"/>
              <w:right w:val="single" w:sz="4" w:space="0" w:color="auto"/>
            </w:tcBorders>
            <w:shd w:val="clear" w:color="auto" w:fill="FFFFFF" w:themeFill="background1"/>
            <w:noWrap/>
            <w:vAlign w:val="center"/>
            <w:hideMark/>
          </w:tcPr>
          <w:p w14:paraId="61D4E8D6" w14:textId="1A075DE1" w:rsidR="007E16C2" w:rsidRPr="00DD5F1D" w:rsidRDefault="00DE1D1F" w:rsidP="000E2AC7">
            <w:pPr>
              <w:spacing w:after="0" w:line="240" w:lineRule="auto"/>
              <w:jc w:val="right"/>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15</w:t>
            </w:r>
            <w:r w:rsidR="001C4F37" w:rsidRPr="00DD5F1D">
              <w:rPr>
                <w:rFonts w:ascii="Times New Roman" w:eastAsia="Times New Roman" w:hAnsi="Times New Roman" w:cs="Times New Roman"/>
                <w:b/>
                <w:sz w:val="24"/>
                <w:szCs w:val="24"/>
                <w:lang w:val="ro-MD"/>
              </w:rPr>
              <w:t xml:space="preserve"> </w:t>
            </w:r>
            <w:r w:rsidRPr="00DD5F1D">
              <w:rPr>
                <w:rFonts w:ascii="Times New Roman" w:eastAsia="Times New Roman" w:hAnsi="Times New Roman" w:cs="Times New Roman"/>
                <w:b/>
                <w:sz w:val="24"/>
                <w:szCs w:val="24"/>
                <w:lang w:val="ro-MD"/>
              </w:rPr>
              <w:t>183,0</w:t>
            </w:r>
          </w:p>
        </w:tc>
        <w:tc>
          <w:tcPr>
            <w:tcW w:w="642" w:type="pct"/>
            <w:tcBorders>
              <w:top w:val="nil"/>
              <w:left w:val="nil"/>
              <w:bottom w:val="single" w:sz="4" w:space="0" w:color="auto"/>
              <w:right w:val="single" w:sz="4" w:space="0" w:color="auto"/>
            </w:tcBorders>
            <w:shd w:val="clear" w:color="auto" w:fill="FFFFFF" w:themeFill="background1"/>
            <w:noWrap/>
            <w:vAlign w:val="center"/>
            <w:hideMark/>
          </w:tcPr>
          <w:p w14:paraId="3FF54F15" w14:textId="4912FF11" w:rsidR="007E16C2" w:rsidRPr="00DD5F1D" w:rsidRDefault="00DE1D1F" w:rsidP="000E2AC7">
            <w:pPr>
              <w:spacing w:after="0" w:line="240" w:lineRule="auto"/>
              <w:jc w:val="right"/>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143,0</w:t>
            </w:r>
          </w:p>
        </w:tc>
      </w:tr>
      <w:tr w:rsidR="00DE1D1F" w:rsidRPr="00DD5F1D" w14:paraId="06F14A69" w14:textId="77777777" w:rsidTr="00A82B7F">
        <w:trPr>
          <w:trHeight w:val="20"/>
        </w:trPr>
        <w:tc>
          <w:tcPr>
            <w:tcW w:w="1736" w:type="pct"/>
            <w:tcBorders>
              <w:top w:val="nil"/>
              <w:left w:val="single" w:sz="4" w:space="0" w:color="auto"/>
              <w:bottom w:val="single" w:sz="4" w:space="0" w:color="auto"/>
              <w:right w:val="single" w:sz="4" w:space="0" w:color="auto"/>
            </w:tcBorders>
            <w:shd w:val="clear" w:color="auto" w:fill="auto"/>
            <w:vAlign w:val="center"/>
            <w:hideMark/>
          </w:tcPr>
          <w:p w14:paraId="108BDBBD" w14:textId="77777777" w:rsidR="00DE1D1F" w:rsidRPr="00DD5F1D" w:rsidRDefault="00DE1D1F" w:rsidP="00DE1D1F">
            <w:pPr>
              <w:spacing w:after="0" w:line="240"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Pensii de asigurări sociale</w:t>
            </w:r>
          </w:p>
        </w:tc>
        <w:tc>
          <w:tcPr>
            <w:tcW w:w="935" w:type="pct"/>
            <w:tcBorders>
              <w:top w:val="nil"/>
              <w:left w:val="nil"/>
              <w:bottom w:val="single" w:sz="4" w:space="0" w:color="auto"/>
              <w:right w:val="single" w:sz="4" w:space="0" w:color="auto"/>
            </w:tcBorders>
            <w:shd w:val="clear" w:color="auto" w:fill="auto"/>
            <w:vAlign w:val="center"/>
            <w:hideMark/>
          </w:tcPr>
          <w:p w14:paraId="60799FED" w14:textId="77777777"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13 750,6</w:t>
            </w:r>
          </w:p>
        </w:tc>
        <w:tc>
          <w:tcPr>
            <w:tcW w:w="1086" w:type="pct"/>
            <w:tcBorders>
              <w:top w:val="nil"/>
              <w:left w:val="nil"/>
              <w:bottom w:val="single" w:sz="4" w:space="0" w:color="auto"/>
              <w:right w:val="single" w:sz="4" w:space="0" w:color="auto"/>
            </w:tcBorders>
            <w:shd w:val="clear" w:color="auto" w:fill="auto"/>
            <w:hideMark/>
          </w:tcPr>
          <w:p w14:paraId="34F91EC4" w14:textId="4BCB3944"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hAnsi="Times New Roman" w:cs="Times New Roman"/>
                <w:sz w:val="28"/>
                <w:szCs w:val="28"/>
                <w:lang w:val="ro-MD" w:eastAsia="ru-RU"/>
              </w:rPr>
              <w:t>24</w:t>
            </w:r>
            <w:r w:rsidR="001C4F37" w:rsidRPr="00DD5F1D">
              <w:rPr>
                <w:rFonts w:ascii="Times New Roman" w:hAnsi="Times New Roman" w:cs="Times New Roman"/>
                <w:sz w:val="28"/>
                <w:szCs w:val="28"/>
                <w:lang w:val="ro-MD" w:eastAsia="ru-RU"/>
              </w:rPr>
              <w:t xml:space="preserve"> </w:t>
            </w:r>
            <w:r w:rsidRPr="00DD5F1D">
              <w:rPr>
                <w:rFonts w:ascii="Times New Roman" w:hAnsi="Times New Roman" w:cs="Times New Roman"/>
                <w:sz w:val="28"/>
                <w:szCs w:val="28"/>
                <w:lang w:val="ro-MD" w:eastAsia="ru-RU"/>
              </w:rPr>
              <w:t>098,8</w:t>
            </w:r>
          </w:p>
        </w:tc>
        <w:tc>
          <w:tcPr>
            <w:tcW w:w="601" w:type="pct"/>
            <w:tcBorders>
              <w:top w:val="nil"/>
              <w:left w:val="nil"/>
              <w:bottom w:val="single" w:sz="4" w:space="0" w:color="auto"/>
              <w:right w:val="single" w:sz="4" w:space="0" w:color="auto"/>
            </w:tcBorders>
            <w:shd w:val="clear" w:color="auto" w:fill="auto"/>
            <w:noWrap/>
            <w:vAlign w:val="center"/>
            <w:hideMark/>
          </w:tcPr>
          <w:p w14:paraId="541E0C9C" w14:textId="42656A07"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10</w:t>
            </w:r>
            <w:r w:rsidR="001C4F37" w:rsidRPr="00DD5F1D">
              <w:rPr>
                <w:rFonts w:ascii="Times New Roman" w:eastAsia="Times New Roman" w:hAnsi="Times New Roman" w:cs="Times New Roman"/>
                <w:sz w:val="24"/>
                <w:szCs w:val="24"/>
                <w:lang w:val="ro-MD"/>
              </w:rPr>
              <w:t xml:space="preserve"> </w:t>
            </w:r>
            <w:r w:rsidRPr="00DD5F1D">
              <w:rPr>
                <w:rFonts w:ascii="Times New Roman" w:eastAsia="Times New Roman" w:hAnsi="Times New Roman" w:cs="Times New Roman"/>
                <w:sz w:val="24"/>
                <w:szCs w:val="24"/>
                <w:lang w:val="ro-MD"/>
              </w:rPr>
              <w:t>348,2</w:t>
            </w:r>
          </w:p>
        </w:tc>
        <w:tc>
          <w:tcPr>
            <w:tcW w:w="642" w:type="pct"/>
            <w:tcBorders>
              <w:top w:val="nil"/>
              <w:left w:val="nil"/>
              <w:bottom w:val="single" w:sz="4" w:space="0" w:color="auto"/>
              <w:right w:val="single" w:sz="4" w:space="0" w:color="auto"/>
            </w:tcBorders>
            <w:shd w:val="clear" w:color="auto" w:fill="auto"/>
            <w:noWrap/>
            <w:vAlign w:val="center"/>
            <w:hideMark/>
          </w:tcPr>
          <w:p w14:paraId="1FD69A7C" w14:textId="0B29C4FF"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175,2</w:t>
            </w:r>
          </w:p>
        </w:tc>
      </w:tr>
      <w:tr w:rsidR="00DE1D1F" w:rsidRPr="00DD5F1D" w14:paraId="674E7A2B" w14:textId="77777777" w:rsidTr="00A82B7F">
        <w:trPr>
          <w:trHeight w:val="20"/>
        </w:trPr>
        <w:tc>
          <w:tcPr>
            <w:tcW w:w="1736" w:type="pct"/>
            <w:tcBorders>
              <w:top w:val="nil"/>
              <w:left w:val="single" w:sz="4" w:space="0" w:color="auto"/>
              <w:bottom w:val="single" w:sz="4" w:space="0" w:color="auto"/>
              <w:right w:val="single" w:sz="4" w:space="0" w:color="auto"/>
            </w:tcBorders>
            <w:shd w:val="clear" w:color="auto" w:fill="auto"/>
            <w:vAlign w:val="center"/>
            <w:hideMark/>
          </w:tcPr>
          <w:p w14:paraId="71C05CEF" w14:textId="77777777" w:rsidR="00DE1D1F" w:rsidRPr="00DD5F1D" w:rsidRDefault="00DE1D1F" w:rsidP="00DE1D1F">
            <w:pPr>
              <w:spacing w:after="0" w:line="240"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Indemnizații de asigurări sociale</w:t>
            </w:r>
          </w:p>
        </w:tc>
        <w:tc>
          <w:tcPr>
            <w:tcW w:w="935" w:type="pct"/>
            <w:tcBorders>
              <w:top w:val="nil"/>
              <w:left w:val="nil"/>
              <w:bottom w:val="single" w:sz="4" w:space="0" w:color="auto"/>
              <w:right w:val="single" w:sz="4" w:space="0" w:color="auto"/>
            </w:tcBorders>
            <w:shd w:val="clear" w:color="auto" w:fill="auto"/>
            <w:vAlign w:val="center"/>
            <w:hideMark/>
          </w:tcPr>
          <w:p w14:paraId="7BBA1EE7" w14:textId="77777777"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21 512</w:t>
            </w:r>
          </w:p>
        </w:tc>
        <w:tc>
          <w:tcPr>
            <w:tcW w:w="1086" w:type="pct"/>
            <w:tcBorders>
              <w:top w:val="nil"/>
              <w:left w:val="nil"/>
              <w:bottom w:val="single" w:sz="4" w:space="0" w:color="auto"/>
              <w:right w:val="single" w:sz="4" w:space="0" w:color="auto"/>
            </w:tcBorders>
            <w:shd w:val="clear" w:color="auto" w:fill="auto"/>
            <w:hideMark/>
          </w:tcPr>
          <w:p w14:paraId="2E407B48" w14:textId="6E7DF044"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hAnsi="Times New Roman" w:cs="Times New Roman"/>
                <w:sz w:val="28"/>
                <w:szCs w:val="28"/>
                <w:lang w:val="ro-MD" w:eastAsia="ru-RU"/>
              </w:rPr>
              <w:t>26</w:t>
            </w:r>
            <w:r w:rsidR="001C4F37" w:rsidRPr="00DD5F1D">
              <w:rPr>
                <w:rFonts w:ascii="Times New Roman" w:hAnsi="Times New Roman" w:cs="Times New Roman"/>
                <w:sz w:val="28"/>
                <w:szCs w:val="28"/>
                <w:lang w:val="ro-MD" w:eastAsia="ru-RU"/>
              </w:rPr>
              <w:t xml:space="preserve"> </w:t>
            </w:r>
            <w:r w:rsidRPr="00DD5F1D">
              <w:rPr>
                <w:rFonts w:ascii="Times New Roman" w:hAnsi="Times New Roman" w:cs="Times New Roman"/>
                <w:sz w:val="28"/>
                <w:szCs w:val="28"/>
                <w:lang w:val="ro-MD" w:eastAsia="ru-RU"/>
              </w:rPr>
              <w:t>346,8</w:t>
            </w:r>
          </w:p>
        </w:tc>
        <w:tc>
          <w:tcPr>
            <w:tcW w:w="601" w:type="pct"/>
            <w:tcBorders>
              <w:top w:val="nil"/>
              <w:left w:val="nil"/>
              <w:bottom w:val="single" w:sz="4" w:space="0" w:color="auto"/>
              <w:right w:val="single" w:sz="4" w:space="0" w:color="auto"/>
            </w:tcBorders>
            <w:shd w:val="clear" w:color="auto" w:fill="auto"/>
            <w:noWrap/>
            <w:vAlign w:val="center"/>
            <w:hideMark/>
          </w:tcPr>
          <w:p w14:paraId="7AC63A44" w14:textId="72C47473"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4</w:t>
            </w:r>
            <w:r w:rsidR="001C4F37" w:rsidRPr="00DD5F1D">
              <w:rPr>
                <w:rFonts w:ascii="Times New Roman" w:eastAsia="Times New Roman" w:hAnsi="Times New Roman" w:cs="Times New Roman"/>
                <w:sz w:val="24"/>
                <w:szCs w:val="24"/>
                <w:lang w:val="ro-MD"/>
              </w:rPr>
              <w:t xml:space="preserve"> </w:t>
            </w:r>
            <w:r w:rsidRPr="00DD5F1D">
              <w:rPr>
                <w:rFonts w:ascii="Times New Roman" w:eastAsia="Times New Roman" w:hAnsi="Times New Roman" w:cs="Times New Roman"/>
                <w:sz w:val="24"/>
                <w:szCs w:val="24"/>
                <w:lang w:val="ro-MD"/>
              </w:rPr>
              <w:t>834,8</w:t>
            </w:r>
          </w:p>
        </w:tc>
        <w:tc>
          <w:tcPr>
            <w:tcW w:w="642" w:type="pct"/>
            <w:tcBorders>
              <w:top w:val="nil"/>
              <w:left w:val="nil"/>
              <w:bottom w:val="single" w:sz="4" w:space="0" w:color="auto"/>
              <w:right w:val="single" w:sz="4" w:space="0" w:color="auto"/>
            </w:tcBorders>
            <w:shd w:val="clear" w:color="auto" w:fill="auto"/>
            <w:noWrap/>
            <w:vAlign w:val="center"/>
            <w:hideMark/>
          </w:tcPr>
          <w:p w14:paraId="21B63CFD" w14:textId="3161B12E"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122,5</w:t>
            </w:r>
          </w:p>
        </w:tc>
      </w:tr>
      <w:tr w:rsidR="007E16C2" w:rsidRPr="00DD5F1D" w14:paraId="4EB2F3E6" w14:textId="77777777" w:rsidTr="00A82B7F">
        <w:trPr>
          <w:trHeight w:val="20"/>
        </w:trPr>
        <w:tc>
          <w:tcPr>
            <w:tcW w:w="1736" w:type="pct"/>
            <w:tcBorders>
              <w:top w:val="nil"/>
              <w:left w:val="single" w:sz="4" w:space="0" w:color="auto"/>
              <w:bottom w:val="single" w:sz="4" w:space="0" w:color="auto"/>
              <w:right w:val="single" w:sz="4" w:space="0" w:color="auto"/>
            </w:tcBorders>
            <w:shd w:val="clear" w:color="auto" w:fill="auto"/>
            <w:vAlign w:val="center"/>
            <w:hideMark/>
          </w:tcPr>
          <w:p w14:paraId="48B1AFAB" w14:textId="77777777" w:rsidR="007E16C2" w:rsidRPr="00DD5F1D" w:rsidRDefault="007E16C2" w:rsidP="000E2AC7">
            <w:pPr>
              <w:spacing w:after="0" w:line="240" w:lineRule="auto"/>
              <w:jc w:val="both"/>
              <w:rPr>
                <w:rFonts w:ascii="Times New Roman" w:eastAsia="Times New Roman" w:hAnsi="Times New Roman" w:cs="Times New Roman"/>
                <w:b/>
                <w:bCs/>
                <w:sz w:val="24"/>
                <w:szCs w:val="24"/>
                <w:lang w:val="ro-MD"/>
              </w:rPr>
            </w:pPr>
            <w:r w:rsidRPr="00DD5F1D">
              <w:rPr>
                <w:rFonts w:ascii="Times New Roman" w:eastAsia="Times New Roman" w:hAnsi="Times New Roman" w:cs="Times New Roman"/>
                <w:b/>
                <w:bCs/>
                <w:sz w:val="24"/>
                <w:szCs w:val="24"/>
                <w:lang w:val="ro-MD"/>
              </w:rPr>
              <w:t>Prestaţii de asistenţă socială</w:t>
            </w:r>
          </w:p>
        </w:tc>
        <w:tc>
          <w:tcPr>
            <w:tcW w:w="935" w:type="pct"/>
            <w:tcBorders>
              <w:top w:val="nil"/>
              <w:left w:val="nil"/>
              <w:bottom w:val="single" w:sz="4" w:space="0" w:color="auto"/>
              <w:right w:val="single" w:sz="4" w:space="0" w:color="auto"/>
            </w:tcBorders>
            <w:shd w:val="clear" w:color="auto" w:fill="auto"/>
            <w:vAlign w:val="center"/>
            <w:hideMark/>
          </w:tcPr>
          <w:p w14:paraId="63AD0A1C" w14:textId="77777777" w:rsidR="007E16C2" w:rsidRPr="00DD5F1D" w:rsidRDefault="007E16C2" w:rsidP="000E2AC7">
            <w:pPr>
              <w:spacing w:after="0" w:line="240" w:lineRule="auto"/>
              <w:jc w:val="right"/>
              <w:rPr>
                <w:rFonts w:ascii="Times New Roman" w:eastAsia="Times New Roman" w:hAnsi="Times New Roman" w:cs="Times New Roman"/>
                <w:b/>
                <w:bCs/>
                <w:sz w:val="24"/>
                <w:szCs w:val="24"/>
                <w:lang w:val="ro-MD"/>
              </w:rPr>
            </w:pPr>
            <w:r w:rsidRPr="00DD5F1D">
              <w:rPr>
                <w:rFonts w:ascii="Times New Roman" w:eastAsia="Times New Roman" w:hAnsi="Times New Roman" w:cs="Times New Roman"/>
                <w:b/>
                <w:bCs/>
                <w:sz w:val="24"/>
                <w:szCs w:val="24"/>
                <w:lang w:val="ro-MD"/>
              </w:rPr>
              <w:t>18 327,6</w:t>
            </w:r>
          </w:p>
        </w:tc>
        <w:tc>
          <w:tcPr>
            <w:tcW w:w="1086" w:type="pct"/>
            <w:tcBorders>
              <w:top w:val="nil"/>
              <w:left w:val="nil"/>
              <w:bottom w:val="single" w:sz="4" w:space="0" w:color="auto"/>
              <w:right w:val="single" w:sz="4" w:space="0" w:color="auto"/>
            </w:tcBorders>
            <w:shd w:val="clear" w:color="auto" w:fill="auto"/>
            <w:vAlign w:val="center"/>
            <w:hideMark/>
          </w:tcPr>
          <w:p w14:paraId="0069CFF5" w14:textId="6D5E6F9C" w:rsidR="007E16C2" w:rsidRPr="00DD5F1D" w:rsidRDefault="00DE1D1F" w:rsidP="000E2AC7">
            <w:pPr>
              <w:spacing w:after="0" w:line="240" w:lineRule="auto"/>
              <w:jc w:val="right"/>
              <w:rPr>
                <w:rFonts w:ascii="Times New Roman" w:eastAsia="Times New Roman" w:hAnsi="Times New Roman" w:cs="Times New Roman"/>
                <w:b/>
                <w:bCs/>
                <w:sz w:val="24"/>
                <w:szCs w:val="24"/>
                <w:lang w:val="ro-MD"/>
              </w:rPr>
            </w:pPr>
            <w:r w:rsidRPr="00DD5F1D">
              <w:rPr>
                <w:rFonts w:ascii="Times New Roman" w:eastAsia="Times New Roman" w:hAnsi="Times New Roman" w:cs="Times New Roman"/>
                <w:b/>
                <w:bCs/>
                <w:sz w:val="24"/>
                <w:szCs w:val="24"/>
                <w:lang w:val="ro-MD"/>
              </w:rPr>
              <w:t>25</w:t>
            </w:r>
            <w:r w:rsidR="001C4F37" w:rsidRPr="00DD5F1D">
              <w:rPr>
                <w:rFonts w:ascii="Times New Roman" w:eastAsia="Times New Roman" w:hAnsi="Times New Roman" w:cs="Times New Roman"/>
                <w:b/>
                <w:bCs/>
                <w:sz w:val="24"/>
                <w:szCs w:val="24"/>
                <w:lang w:val="ro-MD"/>
              </w:rPr>
              <w:t xml:space="preserve"> 933,6</w:t>
            </w:r>
          </w:p>
        </w:tc>
        <w:tc>
          <w:tcPr>
            <w:tcW w:w="601" w:type="pct"/>
            <w:tcBorders>
              <w:top w:val="nil"/>
              <w:left w:val="nil"/>
              <w:bottom w:val="single" w:sz="4" w:space="0" w:color="auto"/>
              <w:right w:val="single" w:sz="4" w:space="0" w:color="auto"/>
            </w:tcBorders>
            <w:shd w:val="clear" w:color="auto" w:fill="auto"/>
            <w:noWrap/>
            <w:vAlign w:val="center"/>
            <w:hideMark/>
          </w:tcPr>
          <w:p w14:paraId="765BA02D" w14:textId="465C0CB5" w:rsidR="007E16C2" w:rsidRPr="00DD5F1D" w:rsidRDefault="00DE1D1F" w:rsidP="000E2AC7">
            <w:pPr>
              <w:spacing w:after="0" w:line="240" w:lineRule="auto"/>
              <w:jc w:val="right"/>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7</w:t>
            </w:r>
            <w:r w:rsidR="001C4F37" w:rsidRPr="00DD5F1D">
              <w:rPr>
                <w:rFonts w:ascii="Times New Roman" w:eastAsia="Times New Roman" w:hAnsi="Times New Roman" w:cs="Times New Roman"/>
                <w:b/>
                <w:sz w:val="24"/>
                <w:szCs w:val="24"/>
                <w:lang w:val="ro-MD"/>
              </w:rPr>
              <w:t xml:space="preserve"> </w:t>
            </w:r>
            <w:r w:rsidRPr="00DD5F1D">
              <w:rPr>
                <w:rFonts w:ascii="Times New Roman" w:eastAsia="Times New Roman" w:hAnsi="Times New Roman" w:cs="Times New Roman"/>
                <w:b/>
                <w:sz w:val="24"/>
                <w:szCs w:val="24"/>
                <w:lang w:val="ro-MD"/>
              </w:rPr>
              <w:t>606,0</w:t>
            </w:r>
          </w:p>
        </w:tc>
        <w:tc>
          <w:tcPr>
            <w:tcW w:w="642" w:type="pct"/>
            <w:tcBorders>
              <w:top w:val="nil"/>
              <w:left w:val="nil"/>
              <w:bottom w:val="single" w:sz="4" w:space="0" w:color="auto"/>
              <w:right w:val="single" w:sz="4" w:space="0" w:color="auto"/>
            </w:tcBorders>
            <w:shd w:val="clear" w:color="auto" w:fill="auto"/>
            <w:noWrap/>
            <w:vAlign w:val="center"/>
            <w:hideMark/>
          </w:tcPr>
          <w:p w14:paraId="341CC4B4" w14:textId="7BE3D89A" w:rsidR="007E16C2" w:rsidRPr="00DD5F1D" w:rsidRDefault="00DE1D1F" w:rsidP="000E2AC7">
            <w:pPr>
              <w:spacing w:after="0" w:line="240" w:lineRule="auto"/>
              <w:jc w:val="right"/>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141,5</w:t>
            </w:r>
          </w:p>
        </w:tc>
      </w:tr>
      <w:tr w:rsidR="00DE1D1F" w:rsidRPr="00DD5F1D" w14:paraId="0BEC0529" w14:textId="77777777" w:rsidTr="00A82B7F">
        <w:trPr>
          <w:trHeight w:val="20"/>
        </w:trPr>
        <w:tc>
          <w:tcPr>
            <w:tcW w:w="1736" w:type="pct"/>
            <w:tcBorders>
              <w:top w:val="nil"/>
              <w:left w:val="single" w:sz="4" w:space="0" w:color="auto"/>
              <w:bottom w:val="single" w:sz="4" w:space="0" w:color="auto"/>
              <w:right w:val="single" w:sz="4" w:space="0" w:color="auto"/>
            </w:tcBorders>
            <w:shd w:val="clear" w:color="auto" w:fill="auto"/>
            <w:vAlign w:val="center"/>
            <w:hideMark/>
          </w:tcPr>
          <w:p w14:paraId="42439579" w14:textId="77777777" w:rsidR="00DE1D1F" w:rsidRPr="00DD5F1D" w:rsidRDefault="00DE1D1F" w:rsidP="00DE1D1F">
            <w:pPr>
              <w:spacing w:after="0" w:line="240"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Pensii de asistenţă socială</w:t>
            </w:r>
          </w:p>
        </w:tc>
        <w:tc>
          <w:tcPr>
            <w:tcW w:w="935" w:type="pct"/>
            <w:tcBorders>
              <w:top w:val="nil"/>
              <w:left w:val="nil"/>
              <w:bottom w:val="single" w:sz="4" w:space="0" w:color="auto"/>
              <w:right w:val="single" w:sz="4" w:space="0" w:color="auto"/>
            </w:tcBorders>
            <w:shd w:val="clear" w:color="auto" w:fill="auto"/>
            <w:vAlign w:val="center"/>
            <w:hideMark/>
          </w:tcPr>
          <w:p w14:paraId="35CA1168" w14:textId="77777777"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474,4</w:t>
            </w:r>
          </w:p>
        </w:tc>
        <w:tc>
          <w:tcPr>
            <w:tcW w:w="1086" w:type="pct"/>
            <w:tcBorders>
              <w:top w:val="nil"/>
              <w:left w:val="nil"/>
              <w:bottom w:val="single" w:sz="4" w:space="0" w:color="auto"/>
              <w:right w:val="single" w:sz="4" w:space="0" w:color="auto"/>
            </w:tcBorders>
            <w:shd w:val="clear" w:color="auto" w:fill="auto"/>
            <w:hideMark/>
          </w:tcPr>
          <w:p w14:paraId="240AA371" w14:textId="7E9F2409"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165,3</w:t>
            </w:r>
          </w:p>
        </w:tc>
        <w:tc>
          <w:tcPr>
            <w:tcW w:w="601" w:type="pct"/>
            <w:tcBorders>
              <w:top w:val="nil"/>
              <w:left w:val="nil"/>
              <w:bottom w:val="single" w:sz="4" w:space="0" w:color="auto"/>
              <w:right w:val="single" w:sz="4" w:space="0" w:color="auto"/>
            </w:tcBorders>
            <w:shd w:val="clear" w:color="auto" w:fill="auto"/>
            <w:noWrap/>
            <w:vAlign w:val="center"/>
            <w:hideMark/>
          </w:tcPr>
          <w:p w14:paraId="472CE5AA" w14:textId="3A02521B"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-309,1</w:t>
            </w:r>
          </w:p>
        </w:tc>
        <w:tc>
          <w:tcPr>
            <w:tcW w:w="642" w:type="pct"/>
            <w:tcBorders>
              <w:top w:val="nil"/>
              <w:left w:val="nil"/>
              <w:bottom w:val="single" w:sz="4" w:space="0" w:color="auto"/>
              <w:right w:val="single" w:sz="4" w:space="0" w:color="auto"/>
            </w:tcBorders>
            <w:shd w:val="clear" w:color="auto" w:fill="auto"/>
            <w:noWrap/>
            <w:vAlign w:val="center"/>
            <w:hideMark/>
          </w:tcPr>
          <w:p w14:paraId="20738CC4" w14:textId="4C6E6670"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34,8</w:t>
            </w:r>
          </w:p>
        </w:tc>
      </w:tr>
      <w:tr w:rsidR="00DE1D1F" w:rsidRPr="00DD5F1D" w14:paraId="6FCE35C6" w14:textId="77777777" w:rsidTr="00A82B7F">
        <w:trPr>
          <w:trHeight w:val="20"/>
        </w:trPr>
        <w:tc>
          <w:tcPr>
            <w:tcW w:w="1736" w:type="pct"/>
            <w:tcBorders>
              <w:top w:val="nil"/>
              <w:left w:val="single" w:sz="4" w:space="0" w:color="auto"/>
              <w:bottom w:val="single" w:sz="4" w:space="0" w:color="auto"/>
              <w:right w:val="single" w:sz="4" w:space="0" w:color="auto"/>
            </w:tcBorders>
            <w:shd w:val="clear" w:color="auto" w:fill="auto"/>
            <w:vAlign w:val="center"/>
            <w:hideMark/>
          </w:tcPr>
          <w:p w14:paraId="788EB415" w14:textId="77777777" w:rsidR="00DE1D1F" w:rsidRPr="00DD5F1D" w:rsidRDefault="00DE1D1F" w:rsidP="00DE1D1F">
            <w:pPr>
              <w:spacing w:after="0" w:line="240"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Alocaţii</w:t>
            </w:r>
          </w:p>
        </w:tc>
        <w:tc>
          <w:tcPr>
            <w:tcW w:w="935" w:type="pct"/>
            <w:tcBorders>
              <w:top w:val="nil"/>
              <w:left w:val="nil"/>
              <w:bottom w:val="single" w:sz="4" w:space="0" w:color="auto"/>
              <w:right w:val="single" w:sz="4" w:space="0" w:color="auto"/>
            </w:tcBorders>
            <w:shd w:val="clear" w:color="auto" w:fill="auto"/>
            <w:vAlign w:val="center"/>
            <w:hideMark/>
          </w:tcPr>
          <w:p w14:paraId="159F80B1" w14:textId="77777777"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6 211,9</w:t>
            </w:r>
          </w:p>
        </w:tc>
        <w:tc>
          <w:tcPr>
            <w:tcW w:w="1086" w:type="pct"/>
            <w:tcBorders>
              <w:top w:val="nil"/>
              <w:left w:val="nil"/>
              <w:bottom w:val="single" w:sz="4" w:space="0" w:color="auto"/>
              <w:right w:val="single" w:sz="4" w:space="0" w:color="auto"/>
            </w:tcBorders>
            <w:shd w:val="clear" w:color="auto" w:fill="auto"/>
            <w:hideMark/>
          </w:tcPr>
          <w:p w14:paraId="2318D1E8" w14:textId="72FCE8F5"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6</w:t>
            </w:r>
            <w:r w:rsidR="001C4F37" w:rsidRPr="00DD5F1D">
              <w:rPr>
                <w:rFonts w:ascii="Times New Roman" w:eastAsia="Times New Roman" w:hAnsi="Times New Roman" w:cs="Times New Roman"/>
                <w:sz w:val="24"/>
                <w:szCs w:val="24"/>
                <w:lang w:val="ro-MD"/>
              </w:rPr>
              <w:t xml:space="preserve"> </w:t>
            </w:r>
            <w:r w:rsidRPr="00DD5F1D">
              <w:rPr>
                <w:rFonts w:ascii="Times New Roman" w:eastAsia="Times New Roman" w:hAnsi="Times New Roman" w:cs="Times New Roman"/>
                <w:sz w:val="24"/>
                <w:szCs w:val="24"/>
                <w:lang w:val="ro-MD"/>
              </w:rPr>
              <w:t>995,2</w:t>
            </w:r>
          </w:p>
        </w:tc>
        <w:tc>
          <w:tcPr>
            <w:tcW w:w="601" w:type="pct"/>
            <w:tcBorders>
              <w:top w:val="nil"/>
              <w:left w:val="nil"/>
              <w:bottom w:val="single" w:sz="4" w:space="0" w:color="auto"/>
              <w:right w:val="single" w:sz="4" w:space="0" w:color="auto"/>
            </w:tcBorders>
            <w:shd w:val="clear" w:color="auto" w:fill="auto"/>
            <w:noWrap/>
            <w:vAlign w:val="center"/>
            <w:hideMark/>
          </w:tcPr>
          <w:p w14:paraId="0A396F53" w14:textId="72541691"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5</w:t>
            </w:r>
            <w:r w:rsidR="001C4F37" w:rsidRPr="00DD5F1D">
              <w:rPr>
                <w:rFonts w:ascii="Times New Roman" w:eastAsia="Times New Roman" w:hAnsi="Times New Roman" w:cs="Times New Roman"/>
                <w:sz w:val="24"/>
                <w:szCs w:val="24"/>
                <w:lang w:val="ro-MD"/>
              </w:rPr>
              <w:t xml:space="preserve"> </w:t>
            </w:r>
            <w:r w:rsidRPr="00DD5F1D">
              <w:rPr>
                <w:rFonts w:ascii="Times New Roman" w:eastAsia="Times New Roman" w:hAnsi="Times New Roman" w:cs="Times New Roman"/>
                <w:sz w:val="24"/>
                <w:szCs w:val="24"/>
                <w:lang w:val="ro-MD"/>
              </w:rPr>
              <w:t>919,7</w:t>
            </w:r>
          </w:p>
        </w:tc>
        <w:tc>
          <w:tcPr>
            <w:tcW w:w="642" w:type="pct"/>
            <w:tcBorders>
              <w:top w:val="nil"/>
              <w:left w:val="nil"/>
              <w:bottom w:val="single" w:sz="4" w:space="0" w:color="auto"/>
              <w:right w:val="single" w:sz="4" w:space="0" w:color="auto"/>
            </w:tcBorders>
            <w:shd w:val="clear" w:color="auto" w:fill="auto"/>
            <w:noWrap/>
            <w:vAlign w:val="center"/>
          </w:tcPr>
          <w:p w14:paraId="587085EA" w14:textId="2C73F5D0"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182,1</w:t>
            </w:r>
          </w:p>
        </w:tc>
      </w:tr>
      <w:tr w:rsidR="00DE1D1F" w:rsidRPr="00DD5F1D" w14:paraId="40643B72" w14:textId="77777777" w:rsidTr="00A82B7F">
        <w:trPr>
          <w:trHeight w:val="20"/>
        </w:trPr>
        <w:tc>
          <w:tcPr>
            <w:tcW w:w="1736" w:type="pct"/>
            <w:tcBorders>
              <w:top w:val="nil"/>
              <w:left w:val="single" w:sz="4" w:space="0" w:color="auto"/>
              <w:bottom w:val="single" w:sz="4" w:space="0" w:color="auto"/>
              <w:right w:val="single" w:sz="4" w:space="0" w:color="auto"/>
            </w:tcBorders>
            <w:shd w:val="clear" w:color="auto" w:fill="auto"/>
            <w:vAlign w:val="center"/>
            <w:hideMark/>
          </w:tcPr>
          <w:p w14:paraId="54F1EFFA" w14:textId="77777777" w:rsidR="00DE1D1F" w:rsidRPr="00DD5F1D" w:rsidRDefault="00DE1D1F" w:rsidP="00DE1D1F">
            <w:pPr>
              <w:spacing w:after="0" w:line="240"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Indemnizaţii de asistență socială</w:t>
            </w:r>
          </w:p>
        </w:tc>
        <w:tc>
          <w:tcPr>
            <w:tcW w:w="935" w:type="pct"/>
            <w:tcBorders>
              <w:top w:val="nil"/>
              <w:left w:val="nil"/>
              <w:bottom w:val="single" w:sz="4" w:space="0" w:color="auto"/>
              <w:right w:val="single" w:sz="4" w:space="0" w:color="auto"/>
            </w:tcBorders>
            <w:shd w:val="clear" w:color="auto" w:fill="auto"/>
            <w:vAlign w:val="center"/>
            <w:hideMark/>
          </w:tcPr>
          <w:p w14:paraId="60903E2F" w14:textId="77777777"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168,4</w:t>
            </w:r>
          </w:p>
        </w:tc>
        <w:tc>
          <w:tcPr>
            <w:tcW w:w="1086" w:type="pct"/>
            <w:tcBorders>
              <w:top w:val="nil"/>
              <w:left w:val="nil"/>
              <w:bottom w:val="single" w:sz="4" w:space="0" w:color="auto"/>
              <w:right w:val="single" w:sz="4" w:space="0" w:color="auto"/>
            </w:tcBorders>
            <w:shd w:val="clear" w:color="auto" w:fill="auto"/>
            <w:hideMark/>
          </w:tcPr>
          <w:p w14:paraId="18AE6E4A" w14:textId="60FAFC62"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131,5</w:t>
            </w:r>
          </w:p>
        </w:tc>
        <w:tc>
          <w:tcPr>
            <w:tcW w:w="601" w:type="pct"/>
            <w:tcBorders>
              <w:top w:val="nil"/>
              <w:left w:val="nil"/>
              <w:bottom w:val="single" w:sz="4" w:space="0" w:color="auto"/>
              <w:right w:val="single" w:sz="4" w:space="0" w:color="auto"/>
            </w:tcBorders>
            <w:shd w:val="clear" w:color="auto" w:fill="auto"/>
            <w:noWrap/>
            <w:vAlign w:val="center"/>
            <w:hideMark/>
          </w:tcPr>
          <w:p w14:paraId="76C9BEDB" w14:textId="00F6F14F"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783,3</w:t>
            </w:r>
          </w:p>
        </w:tc>
        <w:tc>
          <w:tcPr>
            <w:tcW w:w="642" w:type="pct"/>
            <w:tcBorders>
              <w:top w:val="nil"/>
              <w:left w:val="nil"/>
              <w:bottom w:val="single" w:sz="4" w:space="0" w:color="auto"/>
              <w:right w:val="single" w:sz="4" w:space="0" w:color="auto"/>
            </w:tcBorders>
            <w:shd w:val="clear" w:color="auto" w:fill="auto"/>
            <w:noWrap/>
            <w:vAlign w:val="center"/>
          </w:tcPr>
          <w:p w14:paraId="34ABDDAE" w14:textId="651419F6"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112,6</w:t>
            </w:r>
          </w:p>
        </w:tc>
      </w:tr>
      <w:tr w:rsidR="00DE1D1F" w:rsidRPr="00DD5F1D" w14:paraId="7020CA81" w14:textId="77777777" w:rsidTr="00A82B7F">
        <w:trPr>
          <w:trHeight w:val="20"/>
        </w:trPr>
        <w:tc>
          <w:tcPr>
            <w:tcW w:w="1736" w:type="pct"/>
            <w:tcBorders>
              <w:top w:val="nil"/>
              <w:left w:val="single" w:sz="4" w:space="0" w:color="auto"/>
              <w:bottom w:val="single" w:sz="4" w:space="0" w:color="auto"/>
              <w:right w:val="single" w:sz="4" w:space="0" w:color="auto"/>
            </w:tcBorders>
            <w:shd w:val="clear" w:color="auto" w:fill="auto"/>
            <w:vAlign w:val="center"/>
            <w:hideMark/>
          </w:tcPr>
          <w:p w14:paraId="60495915" w14:textId="77777777" w:rsidR="00DE1D1F" w:rsidRPr="00DD5F1D" w:rsidRDefault="00DE1D1F" w:rsidP="00DE1D1F">
            <w:pPr>
              <w:spacing w:after="0" w:line="240"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Compensaţii</w:t>
            </w:r>
          </w:p>
        </w:tc>
        <w:tc>
          <w:tcPr>
            <w:tcW w:w="935" w:type="pct"/>
            <w:tcBorders>
              <w:top w:val="nil"/>
              <w:left w:val="nil"/>
              <w:bottom w:val="single" w:sz="4" w:space="0" w:color="auto"/>
              <w:right w:val="single" w:sz="4" w:space="0" w:color="auto"/>
            </w:tcBorders>
            <w:shd w:val="clear" w:color="auto" w:fill="auto"/>
            <w:vAlign w:val="center"/>
            <w:hideMark/>
          </w:tcPr>
          <w:p w14:paraId="78EB5E35" w14:textId="77777777"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7 204,5</w:t>
            </w:r>
          </w:p>
        </w:tc>
        <w:tc>
          <w:tcPr>
            <w:tcW w:w="1086" w:type="pct"/>
            <w:tcBorders>
              <w:top w:val="nil"/>
              <w:left w:val="nil"/>
              <w:bottom w:val="single" w:sz="4" w:space="0" w:color="auto"/>
              <w:right w:val="single" w:sz="4" w:space="0" w:color="auto"/>
            </w:tcBorders>
            <w:shd w:val="clear" w:color="auto" w:fill="auto"/>
            <w:hideMark/>
          </w:tcPr>
          <w:p w14:paraId="788A0073" w14:textId="29565061"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13</w:t>
            </w:r>
            <w:r w:rsidR="001C4F37" w:rsidRPr="00DD5F1D">
              <w:rPr>
                <w:rFonts w:ascii="Times New Roman" w:eastAsia="Times New Roman" w:hAnsi="Times New Roman" w:cs="Times New Roman"/>
                <w:sz w:val="24"/>
                <w:szCs w:val="24"/>
                <w:lang w:val="ro-MD"/>
              </w:rPr>
              <w:t xml:space="preserve"> </w:t>
            </w:r>
            <w:r w:rsidRPr="00DD5F1D">
              <w:rPr>
                <w:rFonts w:ascii="Times New Roman" w:eastAsia="Times New Roman" w:hAnsi="Times New Roman" w:cs="Times New Roman"/>
                <w:sz w:val="24"/>
                <w:szCs w:val="24"/>
                <w:lang w:val="ro-MD"/>
              </w:rPr>
              <w:t>124,2</w:t>
            </w:r>
          </w:p>
        </w:tc>
        <w:tc>
          <w:tcPr>
            <w:tcW w:w="601" w:type="pct"/>
            <w:tcBorders>
              <w:top w:val="nil"/>
              <w:left w:val="nil"/>
              <w:bottom w:val="single" w:sz="4" w:space="0" w:color="auto"/>
              <w:right w:val="single" w:sz="4" w:space="0" w:color="auto"/>
            </w:tcBorders>
            <w:shd w:val="clear" w:color="auto" w:fill="auto"/>
            <w:noWrap/>
            <w:vAlign w:val="center"/>
            <w:hideMark/>
          </w:tcPr>
          <w:p w14:paraId="61403CE1" w14:textId="0F487A12"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-36,9</w:t>
            </w:r>
          </w:p>
        </w:tc>
        <w:tc>
          <w:tcPr>
            <w:tcW w:w="642" w:type="pct"/>
            <w:tcBorders>
              <w:top w:val="nil"/>
              <w:left w:val="nil"/>
              <w:bottom w:val="single" w:sz="4" w:space="0" w:color="auto"/>
              <w:right w:val="single" w:sz="4" w:space="0" w:color="auto"/>
            </w:tcBorders>
            <w:shd w:val="clear" w:color="auto" w:fill="auto"/>
            <w:noWrap/>
            <w:vAlign w:val="center"/>
          </w:tcPr>
          <w:p w14:paraId="786C5C60" w14:textId="760F8A93"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78,1</w:t>
            </w:r>
          </w:p>
        </w:tc>
      </w:tr>
      <w:tr w:rsidR="00DE1D1F" w:rsidRPr="00DD5F1D" w14:paraId="102714F6" w14:textId="77777777" w:rsidTr="00A82B7F">
        <w:trPr>
          <w:trHeight w:val="20"/>
        </w:trPr>
        <w:tc>
          <w:tcPr>
            <w:tcW w:w="1736" w:type="pct"/>
            <w:tcBorders>
              <w:top w:val="nil"/>
              <w:left w:val="single" w:sz="4" w:space="0" w:color="auto"/>
              <w:bottom w:val="single" w:sz="4" w:space="0" w:color="auto"/>
              <w:right w:val="single" w:sz="4" w:space="0" w:color="auto"/>
            </w:tcBorders>
            <w:shd w:val="clear" w:color="auto" w:fill="auto"/>
            <w:vAlign w:val="center"/>
            <w:hideMark/>
          </w:tcPr>
          <w:p w14:paraId="3505ABFA" w14:textId="77777777" w:rsidR="00DE1D1F" w:rsidRPr="00DD5F1D" w:rsidRDefault="00DE1D1F" w:rsidP="00DE1D1F">
            <w:pPr>
              <w:spacing w:after="0" w:line="240"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Ajutoare băneşti</w:t>
            </w:r>
          </w:p>
        </w:tc>
        <w:tc>
          <w:tcPr>
            <w:tcW w:w="935" w:type="pct"/>
            <w:tcBorders>
              <w:top w:val="nil"/>
              <w:left w:val="nil"/>
              <w:bottom w:val="single" w:sz="4" w:space="0" w:color="auto"/>
              <w:right w:val="single" w:sz="4" w:space="0" w:color="auto"/>
            </w:tcBorders>
            <w:shd w:val="clear" w:color="auto" w:fill="auto"/>
            <w:vAlign w:val="center"/>
            <w:hideMark/>
          </w:tcPr>
          <w:p w14:paraId="35A36C10" w14:textId="77777777"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1 912,3</w:t>
            </w:r>
          </w:p>
        </w:tc>
        <w:tc>
          <w:tcPr>
            <w:tcW w:w="1086" w:type="pct"/>
            <w:tcBorders>
              <w:top w:val="nil"/>
              <w:left w:val="nil"/>
              <w:bottom w:val="single" w:sz="4" w:space="0" w:color="auto"/>
              <w:right w:val="single" w:sz="4" w:space="0" w:color="auto"/>
            </w:tcBorders>
            <w:shd w:val="clear" w:color="auto" w:fill="auto"/>
            <w:hideMark/>
          </w:tcPr>
          <w:p w14:paraId="59757E46" w14:textId="4A55ECA0"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w:t>
            </w:r>
            <w:r w:rsidR="001C4F37" w:rsidRPr="00DD5F1D">
              <w:rPr>
                <w:rFonts w:ascii="Times New Roman" w:eastAsia="Times New Roman" w:hAnsi="Times New Roman" w:cs="Times New Roman"/>
                <w:sz w:val="24"/>
                <w:szCs w:val="24"/>
                <w:lang w:val="ro-MD"/>
              </w:rPr>
              <w:t xml:space="preserve"> </w:t>
            </w:r>
            <w:r w:rsidRPr="00DD5F1D">
              <w:rPr>
                <w:rFonts w:ascii="Times New Roman" w:eastAsia="Times New Roman" w:hAnsi="Times New Roman" w:cs="Times New Roman"/>
                <w:sz w:val="24"/>
                <w:szCs w:val="24"/>
                <w:lang w:val="ro-MD"/>
              </w:rPr>
              <w:t>890,3</w:t>
            </w:r>
          </w:p>
        </w:tc>
        <w:tc>
          <w:tcPr>
            <w:tcW w:w="601" w:type="pct"/>
            <w:tcBorders>
              <w:top w:val="nil"/>
              <w:left w:val="nil"/>
              <w:bottom w:val="single" w:sz="4" w:space="0" w:color="auto"/>
              <w:right w:val="single" w:sz="4" w:space="0" w:color="auto"/>
            </w:tcBorders>
            <w:shd w:val="clear" w:color="auto" w:fill="auto"/>
            <w:noWrap/>
            <w:vAlign w:val="center"/>
            <w:hideMark/>
          </w:tcPr>
          <w:p w14:paraId="0B7A22D1" w14:textId="13697245"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-22,0</w:t>
            </w:r>
          </w:p>
        </w:tc>
        <w:tc>
          <w:tcPr>
            <w:tcW w:w="642" w:type="pct"/>
            <w:tcBorders>
              <w:top w:val="nil"/>
              <w:left w:val="nil"/>
              <w:bottom w:val="single" w:sz="4" w:space="0" w:color="auto"/>
              <w:right w:val="single" w:sz="4" w:space="0" w:color="auto"/>
            </w:tcBorders>
            <w:shd w:val="clear" w:color="auto" w:fill="auto"/>
            <w:noWrap/>
            <w:vAlign w:val="center"/>
          </w:tcPr>
          <w:p w14:paraId="6796682B" w14:textId="546C7FDD"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98,8</w:t>
            </w:r>
          </w:p>
        </w:tc>
      </w:tr>
      <w:tr w:rsidR="00DE1D1F" w:rsidRPr="00DD5F1D" w14:paraId="4160E8DD" w14:textId="77777777" w:rsidTr="00A82B7F">
        <w:trPr>
          <w:trHeight w:val="20"/>
        </w:trPr>
        <w:tc>
          <w:tcPr>
            <w:tcW w:w="1736" w:type="pct"/>
            <w:tcBorders>
              <w:top w:val="nil"/>
              <w:left w:val="single" w:sz="4" w:space="0" w:color="auto"/>
              <w:bottom w:val="single" w:sz="4" w:space="0" w:color="auto"/>
              <w:right w:val="single" w:sz="4" w:space="0" w:color="auto"/>
            </w:tcBorders>
            <w:shd w:val="clear" w:color="auto" w:fill="auto"/>
            <w:vAlign w:val="center"/>
            <w:hideMark/>
          </w:tcPr>
          <w:p w14:paraId="465BE4F4" w14:textId="77777777" w:rsidR="00DE1D1F" w:rsidRPr="00DD5F1D" w:rsidRDefault="00DE1D1F" w:rsidP="00DE1D1F">
            <w:pPr>
              <w:spacing w:after="0" w:line="240" w:lineRule="auto"/>
              <w:jc w:val="both"/>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Alte prestaţii de asistență socială</w:t>
            </w:r>
          </w:p>
        </w:tc>
        <w:tc>
          <w:tcPr>
            <w:tcW w:w="935" w:type="pct"/>
            <w:tcBorders>
              <w:top w:val="nil"/>
              <w:left w:val="nil"/>
              <w:bottom w:val="single" w:sz="4" w:space="0" w:color="auto"/>
              <w:right w:val="single" w:sz="4" w:space="0" w:color="auto"/>
            </w:tcBorders>
            <w:shd w:val="clear" w:color="auto" w:fill="auto"/>
            <w:vAlign w:val="center"/>
            <w:hideMark/>
          </w:tcPr>
          <w:p w14:paraId="4E6B3856" w14:textId="77777777"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2 356,1</w:t>
            </w:r>
          </w:p>
        </w:tc>
        <w:tc>
          <w:tcPr>
            <w:tcW w:w="1086" w:type="pct"/>
            <w:tcBorders>
              <w:top w:val="nil"/>
              <w:left w:val="nil"/>
              <w:bottom w:val="single" w:sz="4" w:space="0" w:color="auto"/>
              <w:right w:val="single" w:sz="4" w:space="0" w:color="auto"/>
            </w:tcBorders>
            <w:shd w:val="clear" w:color="auto" w:fill="auto"/>
            <w:hideMark/>
          </w:tcPr>
          <w:p w14:paraId="025D10F7" w14:textId="745CE774"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3</w:t>
            </w:r>
            <w:r w:rsidR="001C4F37" w:rsidRPr="00DD5F1D">
              <w:rPr>
                <w:rFonts w:ascii="Times New Roman" w:eastAsia="Times New Roman" w:hAnsi="Times New Roman" w:cs="Times New Roman"/>
                <w:sz w:val="24"/>
                <w:szCs w:val="24"/>
                <w:lang w:val="ro-MD"/>
              </w:rPr>
              <w:t xml:space="preserve"> </w:t>
            </w:r>
            <w:r w:rsidRPr="00DD5F1D">
              <w:rPr>
                <w:rFonts w:ascii="Times New Roman" w:eastAsia="Times New Roman" w:hAnsi="Times New Roman" w:cs="Times New Roman"/>
                <w:sz w:val="24"/>
                <w:szCs w:val="24"/>
                <w:lang w:val="ro-MD"/>
              </w:rPr>
              <w:t>627,1</w:t>
            </w:r>
          </w:p>
        </w:tc>
        <w:tc>
          <w:tcPr>
            <w:tcW w:w="601" w:type="pct"/>
            <w:tcBorders>
              <w:top w:val="nil"/>
              <w:left w:val="nil"/>
              <w:bottom w:val="single" w:sz="4" w:space="0" w:color="auto"/>
              <w:right w:val="single" w:sz="4" w:space="0" w:color="auto"/>
            </w:tcBorders>
            <w:shd w:val="clear" w:color="auto" w:fill="auto"/>
            <w:noWrap/>
            <w:vAlign w:val="center"/>
            <w:hideMark/>
          </w:tcPr>
          <w:p w14:paraId="47607F6A" w14:textId="62B88344"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w:t>
            </w:r>
            <w:r w:rsidR="001C4F37" w:rsidRPr="00DD5F1D">
              <w:rPr>
                <w:rFonts w:ascii="Times New Roman" w:eastAsia="Times New Roman" w:hAnsi="Times New Roman" w:cs="Times New Roman"/>
                <w:sz w:val="24"/>
                <w:szCs w:val="24"/>
                <w:lang w:val="ro-MD"/>
              </w:rPr>
              <w:t xml:space="preserve"> </w:t>
            </w:r>
            <w:r w:rsidRPr="00DD5F1D">
              <w:rPr>
                <w:rFonts w:ascii="Times New Roman" w:eastAsia="Times New Roman" w:hAnsi="Times New Roman" w:cs="Times New Roman"/>
                <w:sz w:val="24"/>
                <w:szCs w:val="24"/>
                <w:lang w:val="ro-MD"/>
              </w:rPr>
              <w:t>271,0</w:t>
            </w:r>
          </w:p>
        </w:tc>
        <w:tc>
          <w:tcPr>
            <w:tcW w:w="642" w:type="pct"/>
            <w:tcBorders>
              <w:top w:val="nil"/>
              <w:left w:val="nil"/>
              <w:bottom w:val="single" w:sz="4" w:space="0" w:color="auto"/>
              <w:right w:val="single" w:sz="4" w:space="0" w:color="auto"/>
            </w:tcBorders>
            <w:shd w:val="clear" w:color="auto" w:fill="auto"/>
            <w:noWrap/>
            <w:vAlign w:val="center"/>
          </w:tcPr>
          <w:p w14:paraId="5C04DB60" w14:textId="2FDBB2FD" w:rsidR="00DE1D1F" w:rsidRPr="00DD5F1D" w:rsidRDefault="00DE1D1F" w:rsidP="00DE1D1F">
            <w:pPr>
              <w:spacing w:after="0" w:line="240" w:lineRule="auto"/>
              <w:jc w:val="right"/>
              <w:rPr>
                <w:rFonts w:ascii="Times New Roman" w:eastAsia="Times New Roman" w:hAnsi="Times New Roman" w:cs="Times New Roman"/>
                <w:sz w:val="24"/>
                <w:szCs w:val="24"/>
                <w:lang w:val="ro-MD"/>
              </w:rPr>
            </w:pPr>
            <w:r w:rsidRPr="00DD5F1D">
              <w:rPr>
                <w:rFonts w:ascii="Times New Roman" w:eastAsia="Times New Roman" w:hAnsi="Times New Roman" w:cs="Times New Roman"/>
                <w:sz w:val="24"/>
                <w:szCs w:val="24"/>
                <w:lang w:val="ro-MD"/>
              </w:rPr>
              <w:t>153,9</w:t>
            </w:r>
          </w:p>
        </w:tc>
      </w:tr>
      <w:tr w:rsidR="007E16C2" w:rsidRPr="00DD5F1D" w14:paraId="64669946" w14:textId="77777777" w:rsidTr="00A82B7F">
        <w:trPr>
          <w:trHeight w:val="20"/>
        </w:trPr>
        <w:tc>
          <w:tcPr>
            <w:tcW w:w="1736" w:type="pct"/>
            <w:tcBorders>
              <w:top w:val="nil"/>
              <w:left w:val="single" w:sz="4" w:space="0" w:color="auto"/>
              <w:bottom w:val="single" w:sz="4" w:space="0" w:color="auto"/>
              <w:right w:val="single" w:sz="4" w:space="0" w:color="auto"/>
            </w:tcBorders>
            <w:shd w:val="clear" w:color="auto" w:fill="auto"/>
            <w:vAlign w:val="center"/>
            <w:hideMark/>
          </w:tcPr>
          <w:p w14:paraId="3DD22AD8" w14:textId="77777777" w:rsidR="007E16C2" w:rsidRPr="00DD5F1D" w:rsidRDefault="007E16C2" w:rsidP="000E2AC7">
            <w:pPr>
              <w:spacing w:after="0" w:line="240" w:lineRule="auto"/>
              <w:jc w:val="both"/>
              <w:rPr>
                <w:rFonts w:ascii="Times New Roman" w:eastAsia="Times New Roman" w:hAnsi="Times New Roman" w:cs="Times New Roman"/>
                <w:b/>
                <w:bCs/>
                <w:sz w:val="24"/>
                <w:szCs w:val="24"/>
                <w:lang w:val="ro-MD"/>
              </w:rPr>
            </w:pPr>
            <w:r w:rsidRPr="00DD5F1D">
              <w:rPr>
                <w:rFonts w:ascii="Times New Roman" w:eastAsia="Times New Roman" w:hAnsi="Times New Roman" w:cs="Times New Roman"/>
                <w:b/>
                <w:bCs/>
                <w:sz w:val="24"/>
                <w:szCs w:val="24"/>
                <w:lang w:val="ro-MD"/>
              </w:rPr>
              <w:t>TOTAL</w:t>
            </w:r>
          </w:p>
        </w:tc>
        <w:tc>
          <w:tcPr>
            <w:tcW w:w="935" w:type="pct"/>
            <w:tcBorders>
              <w:top w:val="nil"/>
              <w:left w:val="nil"/>
              <w:bottom w:val="single" w:sz="4" w:space="0" w:color="auto"/>
              <w:right w:val="single" w:sz="4" w:space="0" w:color="auto"/>
            </w:tcBorders>
            <w:shd w:val="clear" w:color="auto" w:fill="auto"/>
            <w:vAlign w:val="center"/>
            <w:hideMark/>
          </w:tcPr>
          <w:p w14:paraId="42C28207" w14:textId="77777777" w:rsidR="007E16C2" w:rsidRPr="00DD5F1D" w:rsidRDefault="007E16C2" w:rsidP="000E2AC7">
            <w:pPr>
              <w:spacing w:after="0" w:line="240" w:lineRule="auto"/>
              <w:jc w:val="right"/>
              <w:rPr>
                <w:rFonts w:ascii="Times New Roman" w:eastAsia="Times New Roman" w:hAnsi="Times New Roman" w:cs="Times New Roman"/>
                <w:b/>
                <w:bCs/>
                <w:sz w:val="24"/>
                <w:szCs w:val="24"/>
                <w:lang w:val="ro-MD"/>
              </w:rPr>
            </w:pPr>
            <w:r w:rsidRPr="00DD5F1D">
              <w:rPr>
                <w:rFonts w:ascii="Times New Roman" w:eastAsia="Times New Roman" w:hAnsi="Times New Roman" w:cs="Times New Roman"/>
                <w:b/>
                <w:bCs/>
                <w:sz w:val="24"/>
                <w:szCs w:val="24"/>
                <w:lang w:val="ro-MD"/>
              </w:rPr>
              <w:t>53 590,2</w:t>
            </w:r>
          </w:p>
        </w:tc>
        <w:tc>
          <w:tcPr>
            <w:tcW w:w="1086" w:type="pct"/>
            <w:tcBorders>
              <w:top w:val="nil"/>
              <w:left w:val="nil"/>
              <w:bottom w:val="single" w:sz="4" w:space="0" w:color="auto"/>
              <w:right w:val="single" w:sz="4" w:space="0" w:color="auto"/>
            </w:tcBorders>
            <w:shd w:val="clear" w:color="auto" w:fill="auto"/>
            <w:vAlign w:val="center"/>
            <w:hideMark/>
          </w:tcPr>
          <w:p w14:paraId="3B030D0D" w14:textId="0B92534D" w:rsidR="007E16C2" w:rsidRPr="00DD5F1D" w:rsidRDefault="00DE1D1F" w:rsidP="000E2AC7">
            <w:pPr>
              <w:spacing w:after="0" w:line="240" w:lineRule="auto"/>
              <w:jc w:val="right"/>
              <w:rPr>
                <w:rFonts w:ascii="Times New Roman" w:eastAsia="Times New Roman" w:hAnsi="Times New Roman" w:cs="Times New Roman"/>
                <w:b/>
                <w:bCs/>
                <w:sz w:val="24"/>
                <w:szCs w:val="24"/>
                <w:lang w:val="ro-MD"/>
              </w:rPr>
            </w:pPr>
            <w:r w:rsidRPr="00DD5F1D">
              <w:rPr>
                <w:rFonts w:ascii="Times New Roman" w:eastAsia="Times New Roman" w:hAnsi="Times New Roman" w:cs="Times New Roman"/>
                <w:b/>
                <w:bCs/>
                <w:sz w:val="24"/>
                <w:szCs w:val="24"/>
                <w:lang w:val="ro-MD"/>
              </w:rPr>
              <w:t>76</w:t>
            </w:r>
            <w:r w:rsidR="001C4F37" w:rsidRPr="00DD5F1D">
              <w:rPr>
                <w:rFonts w:ascii="Times New Roman" w:eastAsia="Times New Roman" w:hAnsi="Times New Roman" w:cs="Times New Roman"/>
                <w:b/>
                <w:bCs/>
                <w:sz w:val="24"/>
                <w:szCs w:val="24"/>
                <w:lang w:val="ro-MD"/>
              </w:rPr>
              <w:t xml:space="preserve"> </w:t>
            </w:r>
            <w:r w:rsidRPr="00DD5F1D">
              <w:rPr>
                <w:rFonts w:ascii="Times New Roman" w:eastAsia="Times New Roman" w:hAnsi="Times New Roman" w:cs="Times New Roman"/>
                <w:b/>
                <w:bCs/>
                <w:sz w:val="24"/>
                <w:szCs w:val="24"/>
                <w:lang w:val="ro-MD"/>
              </w:rPr>
              <w:t>379,2</w:t>
            </w:r>
          </w:p>
        </w:tc>
        <w:tc>
          <w:tcPr>
            <w:tcW w:w="601" w:type="pct"/>
            <w:tcBorders>
              <w:top w:val="nil"/>
              <w:left w:val="nil"/>
              <w:bottom w:val="single" w:sz="4" w:space="0" w:color="auto"/>
              <w:right w:val="single" w:sz="4" w:space="0" w:color="auto"/>
            </w:tcBorders>
            <w:shd w:val="clear" w:color="auto" w:fill="auto"/>
            <w:noWrap/>
            <w:vAlign w:val="center"/>
            <w:hideMark/>
          </w:tcPr>
          <w:p w14:paraId="7F1882A3" w14:textId="6C66CE2A" w:rsidR="007E16C2" w:rsidRPr="00DD5F1D" w:rsidRDefault="00DE1D1F" w:rsidP="000E2AC7">
            <w:pPr>
              <w:spacing w:after="0" w:line="240" w:lineRule="auto"/>
              <w:jc w:val="right"/>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22</w:t>
            </w:r>
            <w:r w:rsidR="001C4F37" w:rsidRPr="00DD5F1D">
              <w:rPr>
                <w:rFonts w:ascii="Times New Roman" w:eastAsia="Times New Roman" w:hAnsi="Times New Roman" w:cs="Times New Roman"/>
                <w:b/>
                <w:sz w:val="24"/>
                <w:szCs w:val="24"/>
                <w:lang w:val="ro-MD"/>
              </w:rPr>
              <w:t xml:space="preserve"> </w:t>
            </w:r>
            <w:r w:rsidRPr="00DD5F1D">
              <w:rPr>
                <w:rFonts w:ascii="Times New Roman" w:eastAsia="Times New Roman" w:hAnsi="Times New Roman" w:cs="Times New Roman"/>
                <w:b/>
                <w:sz w:val="24"/>
                <w:szCs w:val="24"/>
                <w:lang w:val="ro-MD"/>
              </w:rPr>
              <w:t>789,0</w:t>
            </w:r>
          </w:p>
        </w:tc>
        <w:tc>
          <w:tcPr>
            <w:tcW w:w="642" w:type="pct"/>
            <w:tcBorders>
              <w:top w:val="nil"/>
              <w:left w:val="nil"/>
              <w:bottom w:val="single" w:sz="4" w:space="0" w:color="auto"/>
              <w:right w:val="single" w:sz="4" w:space="0" w:color="auto"/>
            </w:tcBorders>
            <w:shd w:val="clear" w:color="auto" w:fill="auto"/>
            <w:noWrap/>
            <w:vAlign w:val="center"/>
          </w:tcPr>
          <w:p w14:paraId="6A589C07" w14:textId="328157FC" w:rsidR="007E16C2" w:rsidRPr="00DD5F1D" w:rsidRDefault="00DE1D1F" w:rsidP="000E2AC7">
            <w:pPr>
              <w:spacing w:after="0" w:line="240" w:lineRule="auto"/>
              <w:jc w:val="right"/>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142,5</w:t>
            </w:r>
          </w:p>
        </w:tc>
      </w:tr>
    </w:tbl>
    <w:p w14:paraId="4F12FF60" w14:textId="26CC39AD" w:rsidR="007E16C2" w:rsidRPr="00DD5F1D" w:rsidRDefault="007E16C2" w:rsidP="007E16C2">
      <w:pPr>
        <w:rPr>
          <w:rFonts w:ascii="Times New Roman" w:hAnsi="Times New Roman" w:cs="Times New Roman"/>
          <w:i/>
          <w:sz w:val="20"/>
          <w:szCs w:val="20"/>
          <w:lang w:val="ro-MD"/>
        </w:rPr>
      </w:pPr>
      <w:r w:rsidRPr="00DD5F1D">
        <w:rPr>
          <w:rFonts w:ascii="Times New Roman" w:hAnsi="Times New Roman" w:cs="Times New Roman"/>
          <w:b/>
          <w:i/>
          <w:sz w:val="20"/>
          <w:szCs w:val="20"/>
          <w:lang w:val="ro-MD"/>
        </w:rPr>
        <w:t xml:space="preserve">Sursa: </w:t>
      </w:r>
      <w:r w:rsidRPr="00DD5F1D">
        <w:rPr>
          <w:rFonts w:ascii="Times New Roman" w:hAnsi="Times New Roman" w:cs="Times New Roman"/>
          <w:i/>
          <w:sz w:val="20"/>
          <w:szCs w:val="20"/>
          <w:lang w:val="ro-MD"/>
        </w:rPr>
        <w:t>Elaborat de audit în baza informațiilor prezentate de entitate</w:t>
      </w:r>
      <w:r w:rsidR="00D86B83" w:rsidRPr="00DD5F1D">
        <w:rPr>
          <w:rFonts w:ascii="Times New Roman" w:hAnsi="Times New Roman" w:cs="Times New Roman"/>
          <w:i/>
          <w:sz w:val="20"/>
          <w:szCs w:val="20"/>
          <w:lang w:val="ro-MD"/>
        </w:rPr>
        <w:t>.</w:t>
      </w:r>
    </w:p>
    <w:p w14:paraId="7326ADD5" w14:textId="34C55989" w:rsidR="00CF4DFD" w:rsidRPr="00DD5F1D" w:rsidRDefault="00CF4DFD" w:rsidP="007E16C2">
      <w:pPr>
        <w:rPr>
          <w:rFonts w:ascii="Times New Roman" w:hAnsi="Times New Roman" w:cs="Times New Roman"/>
          <w:i/>
          <w:sz w:val="20"/>
          <w:szCs w:val="20"/>
          <w:lang w:val="ro-MD"/>
        </w:rPr>
      </w:pPr>
    </w:p>
    <w:p w14:paraId="1208BA6F" w14:textId="77777777" w:rsidR="00D41FDF" w:rsidRPr="00DD5F1D" w:rsidRDefault="00D41FDF" w:rsidP="007E16C2">
      <w:pPr>
        <w:rPr>
          <w:rFonts w:ascii="Times New Roman" w:hAnsi="Times New Roman" w:cs="Times New Roman"/>
          <w:i/>
          <w:sz w:val="20"/>
          <w:szCs w:val="20"/>
          <w:lang w:val="ro-MD"/>
        </w:rPr>
      </w:pPr>
    </w:p>
    <w:p w14:paraId="26DBE3C3" w14:textId="2BC92F3B" w:rsidR="008926F5" w:rsidRPr="00DD5F1D" w:rsidRDefault="008926F5" w:rsidP="001E7F80">
      <w:pPr>
        <w:pStyle w:val="2"/>
        <w:jc w:val="right"/>
        <w:rPr>
          <w:rFonts w:ascii="Times New Roman" w:hAnsi="Times New Roman" w:cs="Times New Roman"/>
          <w:b/>
          <w:color w:val="000000" w:themeColor="text1"/>
          <w:sz w:val="24"/>
          <w:szCs w:val="24"/>
          <w:lang w:val="ro-MD"/>
        </w:rPr>
      </w:pPr>
      <w:r w:rsidRPr="00DD5F1D">
        <w:rPr>
          <w:rFonts w:ascii="Times New Roman" w:hAnsi="Times New Roman" w:cs="Times New Roman"/>
          <w:b/>
          <w:color w:val="000000" w:themeColor="text1"/>
          <w:sz w:val="24"/>
          <w:szCs w:val="24"/>
          <w:lang w:val="ro-MD"/>
        </w:rPr>
        <w:t>Anexa nr.</w:t>
      </w:r>
      <w:r w:rsidR="000E2AC7" w:rsidRPr="00DD5F1D">
        <w:rPr>
          <w:rFonts w:ascii="Times New Roman" w:hAnsi="Times New Roman" w:cs="Times New Roman"/>
          <w:b/>
          <w:color w:val="000000" w:themeColor="text1"/>
          <w:sz w:val="24"/>
          <w:szCs w:val="24"/>
          <w:lang w:val="ro-MD"/>
        </w:rPr>
        <w:t xml:space="preserve"> 11</w:t>
      </w:r>
    </w:p>
    <w:p w14:paraId="00F34F52" w14:textId="77777777" w:rsidR="00F87466" w:rsidRPr="00DD5F1D" w:rsidRDefault="00F87466" w:rsidP="00F87466">
      <w:pPr>
        <w:spacing w:after="0"/>
        <w:jc w:val="center"/>
        <w:rPr>
          <w:rFonts w:ascii="Times New Roman" w:hAnsi="Times New Roman" w:cs="Times New Roman"/>
          <w:b/>
          <w:sz w:val="24"/>
          <w:lang w:val="ro-MD"/>
        </w:rPr>
      </w:pPr>
      <w:r w:rsidRPr="00DD5F1D">
        <w:rPr>
          <w:rFonts w:ascii="Times New Roman" w:hAnsi="Times New Roman" w:cs="Times New Roman"/>
          <w:b/>
          <w:sz w:val="24"/>
          <w:lang w:val="ro-MD"/>
        </w:rPr>
        <w:t>Informații privind coeficienții de valorizare și indexare aplicați la stabilirea pensiilor,</w:t>
      </w:r>
    </w:p>
    <w:p w14:paraId="1136AC86" w14:textId="77777777" w:rsidR="00F87466" w:rsidRPr="00DD5F1D" w:rsidRDefault="00F87466" w:rsidP="00F87466">
      <w:pPr>
        <w:spacing w:after="0"/>
        <w:jc w:val="center"/>
        <w:rPr>
          <w:rFonts w:ascii="Times New Roman" w:hAnsi="Times New Roman" w:cs="Times New Roman"/>
          <w:b/>
          <w:sz w:val="24"/>
          <w:lang w:val="ro-MD"/>
        </w:rPr>
      </w:pPr>
      <w:r w:rsidRPr="00DD5F1D">
        <w:rPr>
          <w:rFonts w:ascii="Times New Roman" w:hAnsi="Times New Roman" w:cs="Times New Roman"/>
          <w:b/>
          <w:sz w:val="24"/>
          <w:lang w:val="ro-MD"/>
        </w:rPr>
        <w:t>reieșind din salariul mediu pe economie și inflația cumulativă</w:t>
      </w:r>
    </w:p>
    <w:tbl>
      <w:tblPr>
        <w:tblW w:w="13534" w:type="dxa"/>
        <w:tblInd w:w="-5" w:type="dxa"/>
        <w:tblLook w:val="04A0" w:firstRow="1" w:lastRow="0" w:firstColumn="1" w:lastColumn="0" w:noHBand="0" w:noVBand="1"/>
      </w:tblPr>
      <w:tblGrid>
        <w:gridCol w:w="1538"/>
        <w:gridCol w:w="1402"/>
        <w:gridCol w:w="1402"/>
        <w:gridCol w:w="1522"/>
        <w:gridCol w:w="1308"/>
        <w:gridCol w:w="1592"/>
        <w:gridCol w:w="1662"/>
        <w:gridCol w:w="1662"/>
        <w:gridCol w:w="1446"/>
      </w:tblGrid>
      <w:tr w:rsidR="00F87466" w:rsidRPr="00DD5F1D" w14:paraId="28EE278E" w14:textId="77777777" w:rsidTr="00100079">
        <w:trPr>
          <w:trHeight w:val="19"/>
        </w:trPr>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538D7"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b/>
                <w:color w:val="000000"/>
                <w:sz w:val="20"/>
                <w:szCs w:val="20"/>
                <w:lang w:val="ro-MD"/>
              </w:rPr>
              <w:t>Anii</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06E2833D"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b/>
                <w:color w:val="000000"/>
                <w:sz w:val="20"/>
                <w:szCs w:val="20"/>
                <w:lang w:val="ro-MD"/>
              </w:rPr>
              <w:t xml:space="preserve">Salariul mediu lunar, </w:t>
            </w:r>
          </w:p>
          <w:p w14:paraId="3AD15F0D" w14:textId="77777777" w:rsidR="00F87466" w:rsidRPr="00DD5F1D" w:rsidRDefault="00F87466" w:rsidP="00100079">
            <w:pPr>
              <w:spacing w:after="0" w:line="240" w:lineRule="auto"/>
              <w:jc w:val="center"/>
              <w:rPr>
                <w:rFonts w:ascii="Times New Roman" w:eastAsia="Times New Roman" w:hAnsi="Times New Roman" w:cs="Times New Roman"/>
                <w:i/>
                <w:color w:val="000000"/>
                <w:sz w:val="20"/>
                <w:szCs w:val="20"/>
                <w:lang w:val="ro-MD"/>
              </w:rPr>
            </w:pPr>
            <w:r w:rsidRPr="00DD5F1D">
              <w:rPr>
                <w:rFonts w:ascii="Times New Roman" w:eastAsia="Times New Roman" w:hAnsi="Times New Roman" w:cs="Times New Roman"/>
                <w:i/>
                <w:color w:val="000000"/>
                <w:sz w:val="20"/>
                <w:szCs w:val="20"/>
                <w:lang w:val="ro-MD"/>
              </w:rPr>
              <w:t>lei</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0D384FCA"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b/>
                <w:color w:val="000000"/>
                <w:sz w:val="20"/>
                <w:szCs w:val="20"/>
                <w:lang w:val="ro-MD"/>
              </w:rPr>
              <w:t xml:space="preserve">Creșterea salariului mediu lunar, </w:t>
            </w:r>
          </w:p>
          <w:p w14:paraId="4459B899" w14:textId="77777777" w:rsidR="00F87466" w:rsidRPr="00DD5F1D" w:rsidRDefault="00F87466" w:rsidP="00100079">
            <w:pPr>
              <w:spacing w:after="0" w:line="240" w:lineRule="auto"/>
              <w:jc w:val="center"/>
              <w:rPr>
                <w:rFonts w:ascii="Times New Roman" w:eastAsia="Times New Roman" w:hAnsi="Times New Roman" w:cs="Times New Roman"/>
                <w:i/>
                <w:color w:val="000000"/>
                <w:sz w:val="20"/>
                <w:szCs w:val="20"/>
                <w:lang w:val="ro-MD"/>
              </w:rPr>
            </w:pPr>
            <w:r w:rsidRPr="00DD5F1D">
              <w:rPr>
                <w:rFonts w:ascii="Times New Roman" w:eastAsia="Times New Roman" w:hAnsi="Times New Roman" w:cs="Times New Roman"/>
                <w:i/>
                <w:color w:val="000000"/>
                <w:sz w:val="20"/>
                <w:szCs w:val="20"/>
                <w:lang w:val="ro-MD"/>
              </w:rPr>
              <w:t>coeficient</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410B929C"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b/>
                <w:color w:val="000000"/>
                <w:sz w:val="20"/>
                <w:szCs w:val="20"/>
                <w:lang w:val="ro-MD"/>
              </w:rPr>
              <w:t>Creșterea cumulativă a salariului mediu lunar</w:t>
            </w:r>
            <w:r w:rsidRPr="00DD5F1D">
              <w:rPr>
                <w:rStyle w:val="a5"/>
                <w:rFonts w:ascii="Times New Roman" w:eastAsia="Times New Roman" w:hAnsi="Times New Roman" w:cs="Times New Roman"/>
                <w:b/>
                <w:color w:val="000000"/>
                <w:sz w:val="20"/>
                <w:szCs w:val="20"/>
                <w:lang w:val="ro-MD"/>
              </w:rPr>
              <w:footnoteReference w:id="160"/>
            </w:r>
            <w:r w:rsidRPr="00DD5F1D">
              <w:rPr>
                <w:rFonts w:ascii="Times New Roman" w:eastAsia="Times New Roman" w:hAnsi="Times New Roman" w:cs="Times New Roman"/>
                <w:b/>
                <w:color w:val="000000"/>
                <w:sz w:val="20"/>
                <w:szCs w:val="20"/>
                <w:lang w:val="ro-MD"/>
              </w:rPr>
              <w:t xml:space="preserve">, </w:t>
            </w:r>
          </w:p>
          <w:p w14:paraId="74043A05"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i/>
                <w:color w:val="000000"/>
                <w:sz w:val="20"/>
                <w:szCs w:val="20"/>
                <w:lang w:val="ro-MD"/>
              </w:rPr>
              <w:t>coeficient</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6132B95E"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b/>
                <w:color w:val="000000"/>
                <w:sz w:val="20"/>
                <w:szCs w:val="20"/>
                <w:lang w:val="ro-MD"/>
              </w:rPr>
              <w:t>Rata anuală a inflației</w:t>
            </w:r>
            <w:r w:rsidRPr="00DD5F1D">
              <w:rPr>
                <w:rStyle w:val="a5"/>
                <w:rFonts w:ascii="Times New Roman" w:eastAsia="Times New Roman" w:hAnsi="Times New Roman" w:cs="Times New Roman"/>
                <w:b/>
                <w:color w:val="000000"/>
                <w:sz w:val="20"/>
                <w:szCs w:val="20"/>
                <w:lang w:val="ro-MD"/>
              </w:rPr>
              <w:footnoteReference w:id="161"/>
            </w:r>
            <w:r w:rsidRPr="00DD5F1D">
              <w:rPr>
                <w:rFonts w:ascii="Times New Roman" w:eastAsia="Times New Roman" w:hAnsi="Times New Roman" w:cs="Times New Roman"/>
                <w:b/>
                <w:color w:val="000000"/>
                <w:sz w:val="20"/>
                <w:szCs w:val="20"/>
                <w:lang w:val="ro-MD"/>
              </w:rPr>
              <w:t xml:space="preserve">, </w:t>
            </w:r>
          </w:p>
          <w:p w14:paraId="71FE262F" w14:textId="77777777" w:rsidR="00F87466" w:rsidRPr="00DD5F1D" w:rsidRDefault="00F87466" w:rsidP="00100079">
            <w:pPr>
              <w:spacing w:after="0" w:line="240" w:lineRule="auto"/>
              <w:jc w:val="center"/>
              <w:rPr>
                <w:rFonts w:ascii="Times New Roman" w:eastAsia="Times New Roman" w:hAnsi="Times New Roman" w:cs="Times New Roman"/>
                <w:i/>
                <w:color w:val="000000"/>
                <w:sz w:val="20"/>
                <w:szCs w:val="20"/>
                <w:lang w:val="ro-MD"/>
              </w:rPr>
            </w:pPr>
            <w:r w:rsidRPr="00DD5F1D">
              <w:rPr>
                <w:rFonts w:ascii="Times New Roman" w:eastAsia="Times New Roman" w:hAnsi="Times New Roman" w:cs="Times New Roman"/>
                <w:i/>
                <w:color w:val="000000"/>
                <w:sz w:val="20"/>
                <w:szCs w:val="20"/>
                <w:lang w:val="ro-MD"/>
              </w:rPr>
              <w:t>%</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3E0BCD83"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b/>
                <w:color w:val="000000"/>
                <w:sz w:val="20"/>
                <w:szCs w:val="20"/>
                <w:lang w:val="ro-MD"/>
              </w:rPr>
              <w:t xml:space="preserve">Inflația cumulativă, </w:t>
            </w:r>
          </w:p>
          <w:p w14:paraId="65D7FEEB" w14:textId="77777777" w:rsidR="00F87466" w:rsidRPr="00DD5F1D" w:rsidRDefault="00F87466" w:rsidP="00100079">
            <w:pPr>
              <w:spacing w:after="0" w:line="240" w:lineRule="auto"/>
              <w:jc w:val="center"/>
              <w:rPr>
                <w:rFonts w:ascii="Times New Roman" w:eastAsia="Times New Roman" w:hAnsi="Times New Roman" w:cs="Times New Roman"/>
                <w:i/>
                <w:color w:val="000000"/>
                <w:sz w:val="20"/>
                <w:szCs w:val="20"/>
                <w:lang w:val="ro-MD"/>
              </w:rPr>
            </w:pPr>
            <w:r w:rsidRPr="00DD5F1D">
              <w:rPr>
                <w:rFonts w:ascii="Times New Roman" w:eastAsia="Times New Roman" w:hAnsi="Times New Roman" w:cs="Times New Roman"/>
                <w:i/>
                <w:color w:val="000000"/>
                <w:sz w:val="20"/>
                <w:szCs w:val="20"/>
                <w:lang w:val="ro-MD"/>
              </w:rPr>
              <w:t>coeficient</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2A5B5F87"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b/>
                <w:color w:val="000000"/>
                <w:sz w:val="20"/>
                <w:szCs w:val="20"/>
                <w:lang w:val="ro-MD"/>
              </w:rPr>
              <w:t>Coeficientul cumulativ de indexare</w:t>
            </w:r>
            <w:r w:rsidRPr="00DD5F1D">
              <w:rPr>
                <w:rStyle w:val="a5"/>
                <w:rFonts w:ascii="Times New Roman" w:eastAsia="Times New Roman" w:hAnsi="Times New Roman" w:cs="Times New Roman"/>
                <w:b/>
                <w:color w:val="000000"/>
                <w:sz w:val="20"/>
                <w:szCs w:val="20"/>
                <w:lang w:val="ro-MD"/>
              </w:rPr>
              <w:footnoteReference w:id="162"/>
            </w:r>
            <w:r w:rsidRPr="00DD5F1D">
              <w:rPr>
                <w:rFonts w:ascii="Times New Roman" w:eastAsia="Times New Roman" w:hAnsi="Times New Roman" w:cs="Times New Roman"/>
                <w:b/>
                <w:color w:val="000000"/>
                <w:sz w:val="20"/>
                <w:szCs w:val="20"/>
                <w:lang w:val="ro-MD"/>
              </w:rPr>
              <w:t xml:space="preserve">, </w:t>
            </w:r>
          </w:p>
          <w:p w14:paraId="0E6C95F0"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i/>
                <w:color w:val="000000"/>
                <w:sz w:val="20"/>
                <w:szCs w:val="20"/>
                <w:lang w:val="ro-MD"/>
              </w:rPr>
              <w:t>coeficient</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76C0CE22"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b/>
                <w:color w:val="000000"/>
                <w:sz w:val="20"/>
                <w:szCs w:val="20"/>
                <w:lang w:val="ro-MD"/>
              </w:rPr>
              <w:t xml:space="preserve">Coeficientul luat în calcul la indexarea anuală, </w:t>
            </w:r>
          </w:p>
          <w:p w14:paraId="5DB0E629"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i/>
                <w:color w:val="000000"/>
                <w:sz w:val="20"/>
                <w:szCs w:val="20"/>
                <w:lang w:val="ro-MD"/>
              </w:rPr>
              <w:t>coeficient</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667A9DD1"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b/>
                <w:color w:val="000000"/>
                <w:sz w:val="20"/>
                <w:szCs w:val="20"/>
                <w:lang w:val="ro-MD"/>
              </w:rPr>
              <w:t>Indexarea anuală efectuată</w:t>
            </w:r>
            <w:r w:rsidRPr="00DD5F1D">
              <w:rPr>
                <w:rStyle w:val="a5"/>
                <w:rFonts w:ascii="Times New Roman" w:eastAsia="Times New Roman" w:hAnsi="Times New Roman" w:cs="Times New Roman"/>
                <w:b/>
                <w:color w:val="000000"/>
                <w:sz w:val="20"/>
                <w:szCs w:val="20"/>
                <w:lang w:val="ro-MD"/>
              </w:rPr>
              <w:footnoteReference w:id="163"/>
            </w:r>
            <w:r w:rsidRPr="00DD5F1D">
              <w:rPr>
                <w:rFonts w:ascii="Times New Roman" w:eastAsia="Times New Roman" w:hAnsi="Times New Roman" w:cs="Times New Roman"/>
                <w:b/>
                <w:color w:val="000000"/>
                <w:sz w:val="20"/>
                <w:szCs w:val="20"/>
                <w:lang w:val="ro-MD"/>
              </w:rPr>
              <w:t>,</w:t>
            </w:r>
          </w:p>
          <w:p w14:paraId="09053C7C" w14:textId="77777777" w:rsidR="00F87466" w:rsidRPr="00DD5F1D" w:rsidRDefault="00F87466" w:rsidP="00100079">
            <w:pPr>
              <w:spacing w:after="0" w:line="240" w:lineRule="auto"/>
              <w:jc w:val="center"/>
              <w:rPr>
                <w:rFonts w:ascii="Times New Roman" w:eastAsia="Times New Roman" w:hAnsi="Times New Roman" w:cs="Times New Roman"/>
                <w:b/>
                <w:color w:val="000000"/>
                <w:sz w:val="20"/>
                <w:szCs w:val="20"/>
                <w:lang w:val="ro-MD"/>
              </w:rPr>
            </w:pPr>
            <w:r w:rsidRPr="00DD5F1D">
              <w:rPr>
                <w:rFonts w:ascii="Times New Roman" w:eastAsia="Times New Roman" w:hAnsi="Times New Roman" w:cs="Times New Roman"/>
                <w:b/>
                <w:color w:val="000000"/>
                <w:sz w:val="20"/>
                <w:szCs w:val="20"/>
                <w:lang w:val="ro-MD"/>
              </w:rPr>
              <w:t xml:space="preserve"> </w:t>
            </w:r>
            <w:r w:rsidRPr="00DD5F1D">
              <w:rPr>
                <w:rFonts w:ascii="Times New Roman" w:eastAsia="Times New Roman" w:hAnsi="Times New Roman" w:cs="Times New Roman"/>
                <w:color w:val="000000"/>
                <w:sz w:val="20"/>
                <w:szCs w:val="20"/>
                <w:lang w:val="ro-MD"/>
              </w:rPr>
              <w:t>%</w:t>
            </w:r>
          </w:p>
        </w:tc>
      </w:tr>
      <w:tr w:rsidR="00F87466" w:rsidRPr="00DD5F1D" w14:paraId="0247375D"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5370498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1998</w:t>
            </w:r>
          </w:p>
        </w:tc>
        <w:tc>
          <w:tcPr>
            <w:tcW w:w="1402" w:type="dxa"/>
            <w:tcBorders>
              <w:top w:val="nil"/>
              <w:left w:val="nil"/>
              <w:bottom w:val="single" w:sz="4" w:space="0" w:color="auto"/>
              <w:right w:val="single" w:sz="4" w:space="0" w:color="auto"/>
            </w:tcBorders>
            <w:shd w:val="clear" w:color="auto" w:fill="auto"/>
            <w:noWrap/>
            <w:vAlign w:val="bottom"/>
            <w:hideMark/>
          </w:tcPr>
          <w:p w14:paraId="15C0A851"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250,5</w:t>
            </w:r>
          </w:p>
        </w:tc>
        <w:tc>
          <w:tcPr>
            <w:tcW w:w="1402" w:type="dxa"/>
            <w:tcBorders>
              <w:top w:val="nil"/>
              <w:left w:val="nil"/>
              <w:bottom w:val="single" w:sz="4" w:space="0" w:color="auto"/>
              <w:right w:val="single" w:sz="4" w:space="0" w:color="auto"/>
            </w:tcBorders>
            <w:shd w:val="clear" w:color="auto" w:fill="auto"/>
            <w:noWrap/>
            <w:vAlign w:val="bottom"/>
            <w:hideMark/>
          </w:tcPr>
          <w:p w14:paraId="1B05E5B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1,140</w:t>
            </w:r>
          </w:p>
        </w:tc>
        <w:tc>
          <w:tcPr>
            <w:tcW w:w="1522" w:type="dxa"/>
            <w:tcBorders>
              <w:top w:val="nil"/>
              <w:left w:val="nil"/>
              <w:bottom w:val="single" w:sz="4" w:space="0" w:color="auto"/>
              <w:right w:val="single" w:sz="4" w:space="0" w:color="auto"/>
            </w:tcBorders>
            <w:shd w:val="clear" w:color="auto" w:fill="auto"/>
            <w:noWrap/>
            <w:vAlign w:val="bottom"/>
            <w:hideMark/>
          </w:tcPr>
          <w:p w14:paraId="4C4AA9D2"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308" w:type="dxa"/>
            <w:tcBorders>
              <w:top w:val="nil"/>
              <w:left w:val="nil"/>
              <w:bottom w:val="single" w:sz="4" w:space="0" w:color="auto"/>
              <w:right w:val="single" w:sz="4" w:space="0" w:color="auto"/>
            </w:tcBorders>
            <w:shd w:val="clear" w:color="auto" w:fill="auto"/>
            <w:noWrap/>
            <w:vAlign w:val="bottom"/>
            <w:hideMark/>
          </w:tcPr>
          <w:p w14:paraId="6761BF4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118,30</w:t>
            </w:r>
          </w:p>
        </w:tc>
        <w:tc>
          <w:tcPr>
            <w:tcW w:w="1592" w:type="dxa"/>
            <w:tcBorders>
              <w:top w:val="nil"/>
              <w:left w:val="nil"/>
              <w:bottom w:val="single" w:sz="4" w:space="0" w:color="auto"/>
              <w:right w:val="single" w:sz="4" w:space="0" w:color="auto"/>
            </w:tcBorders>
            <w:shd w:val="clear" w:color="auto" w:fill="auto"/>
            <w:noWrap/>
            <w:vAlign w:val="bottom"/>
            <w:hideMark/>
          </w:tcPr>
          <w:p w14:paraId="2BF49091"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662" w:type="dxa"/>
            <w:tcBorders>
              <w:top w:val="nil"/>
              <w:left w:val="nil"/>
              <w:bottom w:val="single" w:sz="4" w:space="0" w:color="auto"/>
              <w:right w:val="single" w:sz="4" w:space="0" w:color="auto"/>
            </w:tcBorders>
            <w:shd w:val="clear" w:color="auto" w:fill="auto"/>
            <w:noWrap/>
            <w:vAlign w:val="bottom"/>
            <w:hideMark/>
          </w:tcPr>
          <w:p w14:paraId="605AC8D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662" w:type="dxa"/>
            <w:tcBorders>
              <w:top w:val="nil"/>
              <w:left w:val="nil"/>
              <w:bottom w:val="single" w:sz="4" w:space="0" w:color="auto"/>
              <w:right w:val="single" w:sz="4" w:space="0" w:color="auto"/>
            </w:tcBorders>
            <w:shd w:val="clear" w:color="auto" w:fill="auto"/>
            <w:noWrap/>
            <w:vAlign w:val="bottom"/>
            <w:hideMark/>
          </w:tcPr>
          <w:p w14:paraId="15D8BD59"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446" w:type="dxa"/>
            <w:tcBorders>
              <w:top w:val="nil"/>
              <w:left w:val="nil"/>
              <w:bottom w:val="single" w:sz="4" w:space="0" w:color="auto"/>
              <w:right w:val="single" w:sz="4" w:space="0" w:color="auto"/>
            </w:tcBorders>
            <w:shd w:val="clear" w:color="auto" w:fill="auto"/>
            <w:noWrap/>
            <w:vAlign w:val="bottom"/>
            <w:hideMark/>
          </w:tcPr>
          <w:p w14:paraId="36E4CADC"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r>
      <w:tr w:rsidR="00F87466" w:rsidRPr="00DD5F1D" w14:paraId="65693AF1"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01238B4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1999</w:t>
            </w:r>
          </w:p>
        </w:tc>
        <w:tc>
          <w:tcPr>
            <w:tcW w:w="1402" w:type="dxa"/>
            <w:tcBorders>
              <w:top w:val="nil"/>
              <w:left w:val="nil"/>
              <w:bottom w:val="single" w:sz="4" w:space="0" w:color="auto"/>
              <w:right w:val="single" w:sz="4" w:space="0" w:color="auto"/>
            </w:tcBorders>
            <w:shd w:val="clear" w:color="auto" w:fill="auto"/>
            <w:noWrap/>
            <w:vAlign w:val="bottom"/>
            <w:hideMark/>
          </w:tcPr>
          <w:p w14:paraId="4BA402B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304,6</w:t>
            </w:r>
          </w:p>
        </w:tc>
        <w:tc>
          <w:tcPr>
            <w:tcW w:w="1402" w:type="dxa"/>
            <w:tcBorders>
              <w:top w:val="nil"/>
              <w:left w:val="nil"/>
              <w:bottom w:val="single" w:sz="4" w:space="0" w:color="auto"/>
              <w:right w:val="single" w:sz="4" w:space="0" w:color="auto"/>
            </w:tcBorders>
            <w:shd w:val="clear" w:color="auto" w:fill="auto"/>
            <w:noWrap/>
            <w:vAlign w:val="bottom"/>
            <w:hideMark/>
          </w:tcPr>
          <w:p w14:paraId="6E09B72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1,216</w:t>
            </w:r>
          </w:p>
        </w:tc>
        <w:tc>
          <w:tcPr>
            <w:tcW w:w="1522" w:type="dxa"/>
            <w:tcBorders>
              <w:top w:val="nil"/>
              <w:left w:val="nil"/>
              <w:bottom w:val="single" w:sz="4" w:space="0" w:color="auto"/>
              <w:right w:val="single" w:sz="4" w:space="0" w:color="auto"/>
            </w:tcBorders>
            <w:shd w:val="clear" w:color="auto" w:fill="auto"/>
            <w:noWrap/>
            <w:vAlign w:val="bottom"/>
            <w:hideMark/>
          </w:tcPr>
          <w:p w14:paraId="05C3A671"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40,5604</w:t>
            </w:r>
          </w:p>
        </w:tc>
        <w:tc>
          <w:tcPr>
            <w:tcW w:w="1308" w:type="dxa"/>
            <w:tcBorders>
              <w:top w:val="nil"/>
              <w:left w:val="nil"/>
              <w:bottom w:val="single" w:sz="4" w:space="0" w:color="auto"/>
              <w:right w:val="single" w:sz="4" w:space="0" w:color="auto"/>
            </w:tcBorders>
            <w:shd w:val="clear" w:color="auto" w:fill="auto"/>
            <w:noWrap/>
            <w:vAlign w:val="bottom"/>
            <w:hideMark/>
          </w:tcPr>
          <w:p w14:paraId="3DD4DFB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143,70</w:t>
            </w:r>
          </w:p>
        </w:tc>
        <w:tc>
          <w:tcPr>
            <w:tcW w:w="1592" w:type="dxa"/>
            <w:tcBorders>
              <w:top w:val="nil"/>
              <w:left w:val="nil"/>
              <w:bottom w:val="single" w:sz="4" w:space="0" w:color="auto"/>
              <w:right w:val="single" w:sz="4" w:space="0" w:color="auto"/>
            </w:tcBorders>
            <w:shd w:val="clear" w:color="auto" w:fill="auto"/>
            <w:noWrap/>
            <w:vAlign w:val="bottom"/>
            <w:hideMark/>
          </w:tcPr>
          <w:p w14:paraId="2A9859AF"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662" w:type="dxa"/>
            <w:tcBorders>
              <w:top w:val="nil"/>
              <w:left w:val="nil"/>
              <w:bottom w:val="single" w:sz="4" w:space="0" w:color="auto"/>
              <w:right w:val="single" w:sz="4" w:space="0" w:color="auto"/>
            </w:tcBorders>
            <w:shd w:val="clear" w:color="auto" w:fill="auto"/>
            <w:vAlign w:val="center"/>
            <w:hideMark/>
          </w:tcPr>
          <w:p w14:paraId="31B56A5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21,9122</w:t>
            </w:r>
          </w:p>
        </w:tc>
        <w:tc>
          <w:tcPr>
            <w:tcW w:w="1662" w:type="dxa"/>
            <w:tcBorders>
              <w:top w:val="nil"/>
              <w:left w:val="nil"/>
              <w:bottom w:val="single" w:sz="4" w:space="0" w:color="auto"/>
              <w:right w:val="single" w:sz="4" w:space="0" w:color="auto"/>
            </w:tcBorders>
            <w:shd w:val="clear" w:color="auto" w:fill="auto"/>
            <w:noWrap/>
            <w:vAlign w:val="bottom"/>
            <w:hideMark/>
          </w:tcPr>
          <w:p w14:paraId="17BE38D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1,2900</w:t>
            </w:r>
          </w:p>
        </w:tc>
        <w:tc>
          <w:tcPr>
            <w:tcW w:w="1446" w:type="dxa"/>
            <w:tcBorders>
              <w:top w:val="nil"/>
              <w:left w:val="nil"/>
              <w:bottom w:val="single" w:sz="4" w:space="0" w:color="auto"/>
              <w:right w:val="single" w:sz="4" w:space="0" w:color="auto"/>
            </w:tcBorders>
            <w:shd w:val="clear" w:color="auto" w:fill="auto"/>
            <w:noWrap/>
            <w:vAlign w:val="bottom"/>
            <w:hideMark/>
          </w:tcPr>
          <w:p w14:paraId="77968B41"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r>
      <w:tr w:rsidR="00F87466" w:rsidRPr="00DD5F1D" w14:paraId="56EC27C3"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110712F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2000</w:t>
            </w:r>
          </w:p>
        </w:tc>
        <w:tc>
          <w:tcPr>
            <w:tcW w:w="1402" w:type="dxa"/>
            <w:tcBorders>
              <w:top w:val="nil"/>
              <w:left w:val="nil"/>
              <w:bottom w:val="single" w:sz="4" w:space="0" w:color="auto"/>
              <w:right w:val="single" w:sz="4" w:space="0" w:color="auto"/>
            </w:tcBorders>
            <w:shd w:val="clear" w:color="auto" w:fill="auto"/>
            <w:noWrap/>
            <w:vAlign w:val="bottom"/>
            <w:hideMark/>
          </w:tcPr>
          <w:p w14:paraId="5770027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407,9</w:t>
            </w:r>
          </w:p>
        </w:tc>
        <w:tc>
          <w:tcPr>
            <w:tcW w:w="1402" w:type="dxa"/>
            <w:tcBorders>
              <w:top w:val="nil"/>
              <w:left w:val="nil"/>
              <w:bottom w:val="single" w:sz="4" w:space="0" w:color="auto"/>
              <w:right w:val="single" w:sz="4" w:space="0" w:color="auto"/>
            </w:tcBorders>
            <w:shd w:val="clear" w:color="auto" w:fill="auto"/>
            <w:noWrap/>
            <w:vAlign w:val="bottom"/>
            <w:hideMark/>
          </w:tcPr>
          <w:p w14:paraId="7F1AB264"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1,339</w:t>
            </w:r>
          </w:p>
        </w:tc>
        <w:tc>
          <w:tcPr>
            <w:tcW w:w="1522" w:type="dxa"/>
            <w:tcBorders>
              <w:top w:val="nil"/>
              <w:left w:val="nil"/>
              <w:bottom w:val="single" w:sz="4" w:space="0" w:color="auto"/>
              <w:right w:val="single" w:sz="4" w:space="0" w:color="auto"/>
            </w:tcBorders>
            <w:shd w:val="clear" w:color="auto" w:fill="auto"/>
            <w:noWrap/>
            <w:vAlign w:val="bottom"/>
            <w:hideMark/>
          </w:tcPr>
          <w:p w14:paraId="3E3AA48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30,2886</w:t>
            </w:r>
          </w:p>
        </w:tc>
        <w:tc>
          <w:tcPr>
            <w:tcW w:w="1308" w:type="dxa"/>
            <w:tcBorders>
              <w:top w:val="nil"/>
              <w:left w:val="nil"/>
              <w:bottom w:val="single" w:sz="4" w:space="0" w:color="auto"/>
              <w:right w:val="single" w:sz="4" w:space="0" w:color="auto"/>
            </w:tcBorders>
            <w:shd w:val="clear" w:color="auto" w:fill="auto"/>
            <w:noWrap/>
            <w:vAlign w:val="bottom"/>
            <w:hideMark/>
          </w:tcPr>
          <w:p w14:paraId="6AC5E491"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118,40</w:t>
            </w:r>
          </w:p>
        </w:tc>
        <w:tc>
          <w:tcPr>
            <w:tcW w:w="1592" w:type="dxa"/>
            <w:tcBorders>
              <w:top w:val="nil"/>
              <w:left w:val="nil"/>
              <w:bottom w:val="single" w:sz="4" w:space="0" w:color="auto"/>
              <w:right w:val="single" w:sz="4" w:space="0" w:color="auto"/>
            </w:tcBorders>
            <w:shd w:val="clear" w:color="auto" w:fill="auto"/>
            <w:noWrap/>
            <w:vAlign w:val="bottom"/>
            <w:hideMark/>
          </w:tcPr>
          <w:p w14:paraId="44DE8A9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1,7014</w:t>
            </w:r>
          </w:p>
        </w:tc>
        <w:tc>
          <w:tcPr>
            <w:tcW w:w="1662" w:type="dxa"/>
            <w:tcBorders>
              <w:top w:val="nil"/>
              <w:left w:val="nil"/>
              <w:bottom w:val="single" w:sz="4" w:space="0" w:color="auto"/>
              <w:right w:val="single" w:sz="4" w:space="0" w:color="auto"/>
            </w:tcBorders>
            <w:shd w:val="clear" w:color="auto" w:fill="auto"/>
            <w:vAlign w:val="center"/>
            <w:hideMark/>
          </w:tcPr>
          <w:p w14:paraId="287846E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16,9868</w:t>
            </w:r>
          </w:p>
        </w:tc>
        <w:tc>
          <w:tcPr>
            <w:tcW w:w="1662" w:type="dxa"/>
            <w:tcBorders>
              <w:top w:val="nil"/>
              <w:left w:val="nil"/>
              <w:bottom w:val="single" w:sz="4" w:space="0" w:color="auto"/>
              <w:right w:val="single" w:sz="4" w:space="0" w:color="auto"/>
            </w:tcBorders>
            <w:shd w:val="clear" w:color="auto" w:fill="auto"/>
            <w:noWrap/>
            <w:vAlign w:val="bottom"/>
            <w:hideMark/>
          </w:tcPr>
          <w:p w14:paraId="2946048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1,3404</w:t>
            </w:r>
          </w:p>
        </w:tc>
        <w:tc>
          <w:tcPr>
            <w:tcW w:w="1446" w:type="dxa"/>
            <w:tcBorders>
              <w:top w:val="nil"/>
              <w:left w:val="nil"/>
              <w:bottom w:val="single" w:sz="4" w:space="0" w:color="auto"/>
              <w:right w:val="single" w:sz="4" w:space="0" w:color="auto"/>
            </w:tcBorders>
            <w:shd w:val="clear" w:color="auto" w:fill="auto"/>
            <w:noWrap/>
            <w:vAlign w:val="bottom"/>
            <w:hideMark/>
          </w:tcPr>
          <w:p w14:paraId="7E27C637"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r>
      <w:tr w:rsidR="00F87466" w:rsidRPr="00DD5F1D" w14:paraId="7D8483C0"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3CBE406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2001</w:t>
            </w:r>
          </w:p>
        </w:tc>
        <w:tc>
          <w:tcPr>
            <w:tcW w:w="1402" w:type="dxa"/>
            <w:tcBorders>
              <w:top w:val="nil"/>
              <w:left w:val="nil"/>
              <w:bottom w:val="single" w:sz="4" w:space="0" w:color="auto"/>
              <w:right w:val="single" w:sz="4" w:space="0" w:color="auto"/>
            </w:tcBorders>
            <w:shd w:val="clear" w:color="auto" w:fill="auto"/>
            <w:noWrap/>
            <w:vAlign w:val="bottom"/>
            <w:hideMark/>
          </w:tcPr>
          <w:p w14:paraId="69B8893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543,7</w:t>
            </w:r>
          </w:p>
        </w:tc>
        <w:tc>
          <w:tcPr>
            <w:tcW w:w="1402" w:type="dxa"/>
            <w:tcBorders>
              <w:top w:val="nil"/>
              <w:left w:val="nil"/>
              <w:bottom w:val="single" w:sz="4" w:space="0" w:color="auto"/>
              <w:right w:val="single" w:sz="4" w:space="0" w:color="auto"/>
            </w:tcBorders>
            <w:shd w:val="clear" w:color="auto" w:fill="auto"/>
            <w:noWrap/>
            <w:vAlign w:val="bottom"/>
            <w:hideMark/>
          </w:tcPr>
          <w:p w14:paraId="6775548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1,333</w:t>
            </w:r>
          </w:p>
        </w:tc>
        <w:tc>
          <w:tcPr>
            <w:tcW w:w="1522" w:type="dxa"/>
            <w:tcBorders>
              <w:top w:val="nil"/>
              <w:left w:val="nil"/>
              <w:bottom w:val="single" w:sz="4" w:space="0" w:color="auto"/>
              <w:right w:val="single" w:sz="4" w:space="0" w:color="auto"/>
            </w:tcBorders>
            <w:shd w:val="clear" w:color="auto" w:fill="auto"/>
            <w:noWrap/>
            <w:vAlign w:val="bottom"/>
            <w:hideMark/>
          </w:tcPr>
          <w:p w14:paraId="1B39A74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22,7234</w:t>
            </w:r>
          </w:p>
        </w:tc>
        <w:tc>
          <w:tcPr>
            <w:tcW w:w="1308" w:type="dxa"/>
            <w:tcBorders>
              <w:top w:val="nil"/>
              <w:left w:val="nil"/>
              <w:bottom w:val="single" w:sz="4" w:space="0" w:color="auto"/>
              <w:right w:val="single" w:sz="4" w:space="0" w:color="auto"/>
            </w:tcBorders>
            <w:shd w:val="clear" w:color="auto" w:fill="auto"/>
            <w:noWrap/>
            <w:vAlign w:val="bottom"/>
            <w:hideMark/>
          </w:tcPr>
          <w:p w14:paraId="0DD3F50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106,30</w:t>
            </w:r>
          </w:p>
        </w:tc>
        <w:tc>
          <w:tcPr>
            <w:tcW w:w="1592" w:type="dxa"/>
            <w:tcBorders>
              <w:top w:val="nil"/>
              <w:left w:val="nil"/>
              <w:bottom w:val="single" w:sz="4" w:space="0" w:color="auto"/>
              <w:right w:val="single" w:sz="4" w:space="0" w:color="auto"/>
            </w:tcBorders>
            <w:shd w:val="clear" w:color="auto" w:fill="auto"/>
            <w:noWrap/>
            <w:vAlign w:val="bottom"/>
            <w:hideMark/>
          </w:tcPr>
          <w:p w14:paraId="176C3FB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1,8086</w:t>
            </w:r>
          </w:p>
        </w:tc>
        <w:tc>
          <w:tcPr>
            <w:tcW w:w="1662" w:type="dxa"/>
            <w:tcBorders>
              <w:top w:val="nil"/>
              <w:left w:val="nil"/>
              <w:bottom w:val="single" w:sz="4" w:space="0" w:color="auto"/>
              <w:right w:val="single" w:sz="4" w:space="0" w:color="auto"/>
            </w:tcBorders>
            <w:shd w:val="clear" w:color="auto" w:fill="auto"/>
            <w:vAlign w:val="center"/>
            <w:hideMark/>
          </w:tcPr>
          <w:p w14:paraId="2ED573C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12,6726</w:t>
            </w:r>
          </w:p>
        </w:tc>
        <w:tc>
          <w:tcPr>
            <w:tcW w:w="1662" w:type="dxa"/>
            <w:tcBorders>
              <w:top w:val="nil"/>
              <w:left w:val="nil"/>
              <w:bottom w:val="single" w:sz="4" w:space="0" w:color="auto"/>
              <w:right w:val="single" w:sz="4" w:space="0" w:color="auto"/>
            </w:tcBorders>
            <w:shd w:val="clear" w:color="auto" w:fill="auto"/>
            <w:noWrap/>
            <w:vAlign w:val="bottom"/>
            <w:hideMark/>
          </w:tcPr>
          <w:p w14:paraId="4DC83FE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1,2138</w:t>
            </w:r>
          </w:p>
        </w:tc>
        <w:tc>
          <w:tcPr>
            <w:tcW w:w="1446" w:type="dxa"/>
            <w:tcBorders>
              <w:top w:val="nil"/>
              <w:left w:val="nil"/>
              <w:bottom w:val="single" w:sz="4" w:space="0" w:color="auto"/>
              <w:right w:val="single" w:sz="4" w:space="0" w:color="auto"/>
            </w:tcBorders>
            <w:shd w:val="clear" w:color="auto" w:fill="auto"/>
            <w:noWrap/>
            <w:vAlign w:val="bottom"/>
            <w:hideMark/>
          </w:tcPr>
          <w:p w14:paraId="1648AF94"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r>
      <w:tr w:rsidR="00F87466" w:rsidRPr="00DD5F1D" w14:paraId="33FFB056"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5FBF456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2002</w:t>
            </w:r>
          </w:p>
        </w:tc>
        <w:tc>
          <w:tcPr>
            <w:tcW w:w="1402" w:type="dxa"/>
            <w:tcBorders>
              <w:top w:val="nil"/>
              <w:left w:val="nil"/>
              <w:bottom w:val="single" w:sz="4" w:space="0" w:color="auto"/>
              <w:right w:val="single" w:sz="4" w:space="0" w:color="auto"/>
            </w:tcBorders>
            <w:shd w:val="clear" w:color="auto" w:fill="auto"/>
            <w:noWrap/>
            <w:vAlign w:val="bottom"/>
            <w:hideMark/>
          </w:tcPr>
          <w:p w14:paraId="47D736F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691,5</w:t>
            </w:r>
          </w:p>
        </w:tc>
        <w:tc>
          <w:tcPr>
            <w:tcW w:w="1402" w:type="dxa"/>
            <w:tcBorders>
              <w:top w:val="nil"/>
              <w:left w:val="nil"/>
              <w:bottom w:val="single" w:sz="4" w:space="0" w:color="auto"/>
              <w:right w:val="single" w:sz="4" w:space="0" w:color="auto"/>
            </w:tcBorders>
            <w:shd w:val="clear" w:color="auto" w:fill="auto"/>
            <w:noWrap/>
            <w:vAlign w:val="bottom"/>
            <w:hideMark/>
          </w:tcPr>
          <w:p w14:paraId="2665AAA8"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1,272</w:t>
            </w:r>
          </w:p>
        </w:tc>
        <w:tc>
          <w:tcPr>
            <w:tcW w:w="1522" w:type="dxa"/>
            <w:tcBorders>
              <w:top w:val="nil"/>
              <w:left w:val="nil"/>
              <w:bottom w:val="single" w:sz="4" w:space="0" w:color="auto"/>
              <w:right w:val="single" w:sz="4" w:space="0" w:color="auto"/>
            </w:tcBorders>
            <w:shd w:val="clear" w:color="auto" w:fill="auto"/>
            <w:noWrap/>
            <w:vAlign w:val="bottom"/>
            <w:hideMark/>
          </w:tcPr>
          <w:p w14:paraId="2550B697"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17,8665</w:t>
            </w:r>
          </w:p>
        </w:tc>
        <w:tc>
          <w:tcPr>
            <w:tcW w:w="1308" w:type="dxa"/>
            <w:tcBorders>
              <w:top w:val="nil"/>
              <w:left w:val="nil"/>
              <w:bottom w:val="single" w:sz="4" w:space="0" w:color="auto"/>
              <w:right w:val="single" w:sz="4" w:space="0" w:color="auto"/>
            </w:tcBorders>
            <w:shd w:val="clear" w:color="auto" w:fill="auto"/>
            <w:noWrap/>
            <w:vAlign w:val="bottom"/>
            <w:hideMark/>
          </w:tcPr>
          <w:p w14:paraId="2479843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104,40</w:t>
            </w:r>
          </w:p>
        </w:tc>
        <w:tc>
          <w:tcPr>
            <w:tcW w:w="1592" w:type="dxa"/>
            <w:tcBorders>
              <w:top w:val="nil"/>
              <w:left w:val="nil"/>
              <w:bottom w:val="single" w:sz="4" w:space="0" w:color="auto"/>
              <w:right w:val="single" w:sz="4" w:space="0" w:color="auto"/>
            </w:tcBorders>
            <w:shd w:val="clear" w:color="auto" w:fill="auto"/>
            <w:noWrap/>
            <w:vAlign w:val="bottom"/>
            <w:hideMark/>
          </w:tcPr>
          <w:p w14:paraId="64D2F9A4"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1,8882</w:t>
            </w:r>
          </w:p>
        </w:tc>
        <w:tc>
          <w:tcPr>
            <w:tcW w:w="1662" w:type="dxa"/>
            <w:tcBorders>
              <w:top w:val="nil"/>
              <w:left w:val="nil"/>
              <w:bottom w:val="single" w:sz="4" w:space="0" w:color="auto"/>
              <w:right w:val="single" w:sz="4" w:space="0" w:color="auto"/>
            </w:tcBorders>
            <w:shd w:val="clear" w:color="auto" w:fill="auto"/>
            <w:vAlign w:val="center"/>
            <w:hideMark/>
          </w:tcPr>
          <w:p w14:paraId="0CBFEE7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10,4403</w:t>
            </w:r>
          </w:p>
        </w:tc>
        <w:tc>
          <w:tcPr>
            <w:tcW w:w="1662" w:type="dxa"/>
            <w:tcBorders>
              <w:top w:val="nil"/>
              <w:left w:val="nil"/>
              <w:bottom w:val="single" w:sz="4" w:space="0" w:color="auto"/>
              <w:right w:val="single" w:sz="4" w:space="0" w:color="auto"/>
            </w:tcBorders>
            <w:shd w:val="clear" w:color="auto" w:fill="auto"/>
            <w:noWrap/>
            <w:vAlign w:val="bottom"/>
            <w:hideMark/>
          </w:tcPr>
          <w:p w14:paraId="3A2CBFB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1,1625</w:t>
            </w:r>
          </w:p>
        </w:tc>
        <w:tc>
          <w:tcPr>
            <w:tcW w:w="1446" w:type="dxa"/>
            <w:tcBorders>
              <w:top w:val="nil"/>
              <w:left w:val="nil"/>
              <w:bottom w:val="single" w:sz="4" w:space="0" w:color="auto"/>
              <w:right w:val="single" w:sz="4" w:space="0" w:color="auto"/>
            </w:tcBorders>
            <w:shd w:val="clear" w:color="auto" w:fill="auto"/>
            <w:noWrap/>
            <w:vAlign w:val="bottom"/>
            <w:hideMark/>
          </w:tcPr>
          <w:p w14:paraId="61C3EA48"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r>
      <w:tr w:rsidR="00F87466" w:rsidRPr="00DD5F1D" w14:paraId="20351533"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731CA77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2003</w:t>
            </w:r>
          </w:p>
        </w:tc>
        <w:tc>
          <w:tcPr>
            <w:tcW w:w="1402" w:type="dxa"/>
            <w:tcBorders>
              <w:top w:val="nil"/>
              <w:left w:val="nil"/>
              <w:bottom w:val="single" w:sz="4" w:space="0" w:color="auto"/>
              <w:right w:val="single" w:sz="4" w:space="0" w:color="auto"/>
            </w:tcBorders>
            <w:shd w:val="clear" w:color="auto" w:fill="auto"/>
            <w:noWrap/>
            <w:vAlign w:val="bottom"/>
            <w:hideMark/>
          </w:tcPr>
          <w:p w14:paraId="2D513A0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890,8</w:t>
            </w:r>
          </w:p>
        </w:tc>
        <w:tc>
          <w:tcPr>
            <w:tcW w:w="1402" w:type="dxa"/>
            <w:tcBorders>
              <w:top w:val="nil"/>
              <w:left w:val="nil"/>
              <w:bottom w:val="single" w:sz="4" w:space="0" w:color="auto"/>
              <w:right w:val="single" w:sz="4" w:space="0" w:color="auto"/>
            </w:tcBorders>
            <w:shd w:val="clear" w:color="auto" w:fill="auto"/>
            <w:noWrap/>
            <w:vAlign w:val="bottom"/>
            <w:hideMark/>
          </w:tcPr>
          <w:p w14:paraId="202AEDA4"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1,288</w:t>
            </w:r>
          </w:p>
        </w:tc>
        <w:tc>
          <w:tcPr>
            <w:tcW w:w="1522" w:type="dxa"/>
            <w:tcBorders>
              <w:top w:val="nil"/>
              <w:left w:val="nil"/>
              <w:bottom w:val="single" w:sz="4" w:space="0" w:color="auto"/>
              <w:right w:val="single" w:sz="4" w:space="0" w:color="auto"/>
            </w:tcBorders>
            <w:shd w:val="clear" w:color="auto" w:fill="auto"/>
            <w:noWrap/>
            <w:vAlign w:val="bottom"/>
            <w:hideMark/>
          </w:tcPr>
          <w:p w14:paraId="29EB65A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13,8692</w:t>
            </w:r>
          </w:p>
        </w:tc>
        <w:tc>
          <w:tcPr>
            <w:tcW w:w="1308" w:type="dxa"/>
            <w:tcBorders>
              <w:top w:val="nil"/>
              <w:left w:val="nil"/>
              <w:bottom w:val="single" w:sz="4" w:space="0" w:color="auto"/>
              <w:right w:val="single" w:sz="4" w:space="0" w:color="auto"/>
            </w:tcBorders>
            <w:shd w:val="clear" w:color="auto" w:fill="auto"/>
            <w:noWrap/>
            <w:vAlign w:val="bottom"/>
            <w:hideMark/>
          </w:tcPr>
          <w:p w14:paraId="46A8610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115,70</w:t>
            </w:r>
          </w:p>
        </w:tc>
        <w:tc>
          <w:tcPr>
            <w:tcW w:w="1592" w:type="dxa"/>
            <w:tcBorders>
              <w:top w:val="nil"/>
              <w:left w:val="nil"/>
              <w:bottom w:val="single" w:sz="4" w:space="0" w:color="auto"/>
              <w:right w:val="single" w:sz="4" w:space="0" w:color="auto"/>
            </w:tcBorders>
            <w:shd w:val="clear" w:color="auto" w:fill="auto"/>
            <w:noWrap/>
            <w:vAlign w:val="bottom"/>
            <w:hideMark/>
          </w:tcPr>
          <w:p w14:paraId="44A053A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2,1846</w:t>
            </w:r>
          </w:p>
        </w:tc>
        <w:tc>
          <w:tcPr>
            <w:tcW w:w="1662" w:type="dxa"/>
            <w:tcBorders>
              <w:top w:val="nil"/>
              <w:left w:val="nil"/>
              <w:bottom w:val="single" w:sz="4" w:space="0" w:color="auto"/>
              <w:right w:val="single" w:sz="4" w:space="0" w:color="auto"/>
            </w:tcBorders>
            <w:shd w:val="clear" w:color="auto" w:fill="auto"/>
            <w:vAlign w:val="center"/>
            <w:hideMark/>
          </w:tcPr>
          <w:p w14:paraId="55B68B14"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8,9809</w:t>
            </w:r>
          </w:p>
        </w:tc>
        <w:tc>
          <w:tcPr>
            <w:tcW w:w="1662" w:type="dxa"/>
            <w:tcBorders>
              <w:top w:val="nil"/>
              <w:left w:val="nil"/>
              <w:bottom w:val="single" w:sz="4" w:space="0" w:color="auto"/>
              <w:right w:val="single" w:sz="4" w:space="0" w:color="auto"/>
            </w:tcBorders>
            <w:shd w:val="clear" w:color="auto" w:fill="auto"/>
            <w:noWrap/>
            <w:vAlign w:val="bottom"/>
            <w:hideMark/>
          </w:tcPr>
          <w:p w14:paraId="570274C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1,3187</w:t>
            </w:r>
          </w:p>
        </w:tc>
        <w:tc>
          <w:tcPr>
            <w:tcW w:w="1446" w:type="dxa"/>
            <w:tcBorders>
              <w:top w:val="nil"/>
              <w:left w:val="nil"/>
              <w:bottom w:val="single" w:sz="4" w:space="0" w:color="auto"/>
              <w:right w:val="single" w:sz="4" w:space="0" w:color="auto"/>
            </w:tcBorders>
            <w:shd w:val="clear" w:color="auto" w:fill="auto"/>
            <w:noWrap/>
            <w:vAlign w:val="bottom"/>
            <w:hideMark/>
          </w:tcPr>
          <w:p w14:paraId="1447C3F4"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19,30</w:t>
            </w:r>
          </w:p>
        </w:tc>
      </w:tr>
      <w:tr w:rsidR="00F87466" w:rsidRPr="00DD5F1D" w14:paraId="43492F76"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2F7B09C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2004</w:t>
            </w:r>
          </w:p>
        </w:tc>
        <w:tc>
          <w:tcPr>
            <w:tcW w:w="1402" w:type="dxa"/>
            <w:tcBorders>
              <w:top w:val="nil"/>
              <w:left w:val="nil"/>
              <w:bottom w:val="single" w:sz="4" w:space="0" w:color="auto"/>
              <w:right w:val="single" w:sz="4" w:space="0" w:color="auto"/>
            </w:tcBorders>
            <w:shd w:val="clear" w:color="auto" w:fill="auto"/>
            <w:noWrap/>
            <w:vAlign w:val="bottom"/>
            <w:hideMark/>
          </w:tcPr>
          <w:p w14:paraId="1E33501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1103,1</w:t>
            </w:r>
          </w:p>
        </w:tc>
        <w:tc>
          <w:tcPr>
            <w:tcW w:w="1402" w:type="dxa"/>
            <w:tcBorders>
              <w:top w:val="nil"/>
              <w:left w:val="nil"/>
              <w:bottom w:val="single" w:sz="4" w:space="0" w:color="auto"/>
              <w:right w:val="single" w:sz="4" w:space="0" w:color="auto"/>
            </w:tcBorders>
            <w:shd w:val="clear" w:color="auto" w:fill="auto"/>
            <w:noWrap/>
            <w:vAlign w:val="bottom"/>
            <w:hideMark/>
          </w:tcPr>
          <w:p w14:paraId="3193732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1,238</w:t>
            </w:r>
          </w:p>
        </w:tc>
        <w:tc>
          <w:tcPr>
            <w:tcW w:w="1522" w:type="dxa"/>
            <w:tcBorders>
              <w:top w:val="nil"/>
              <w:left w:val="nil"/>
              <w:bottom w:val="single" w:sz="4" w:space="0" w:color="auto"/>
              <w:right w:val="single" w:sz="4" w:space="0" w:color="auto"/>
            </w:tcBorders>
            <w:shd w:val="clear" w:color="auto" w:fill="auto"/>
            <w:noWrap/>
            <w:vAlign w:val="bottom"/>
            <w:hideMark/>
          </w:tcPr>
          <w:p w14:paraId="00B60E0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11,2000</w:t>
            </w:r>
          </w:p>
        </w:tc>
        <w:tc>
          <w:tcPr>
            <w:tcW w:w="1308" w:type="dxa"/>
            <w:tcBorders>
              <w:top w:val="nil"/>
              <w:left w:val="nil"/>
              <w:bottom w:val="single" w:sz="4" w:space="0" w:color="auto"/>
              <w:right w:val="single" w:sz="4" w:space="0" w:color="auto"/>
            </w:tcBorders>
            <w:shd w:val="clear" w:color="auto" w:fill="auto"/>
            <w:noWrap/>
            <w:vAlign w:val="bottom"/>
            <w:hideMark/>
          </w:tcPr>
          <w:p w14:paraId="6345722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112,50</w:t>
            </w:r>
          </w:p>
        </w:tc>
        <w:tc>
          <w:tcPr>
            <w:tcW w:w="1592" w:type="dxa"/>
            <w:tcBorders>
              <w:top w:val="nil"/>
              <w:left w:val="nil"/>
              <w:bottom w:val="single" w:sz="4" w:space="0" w:color="auto"/>
              <w:right w:val="single" w:sz="4" w:space="0" w:color="auto"/>
            </w:tcBorders>
            <w:shd w:val="clear" w:color="auto" w:fill="auto"/>
            <w:noWrap/>
            <w:vAlign w:val="bottom"/>
            <w:hideMark/>
          </w:tcPr>
          <w:p w14:paraId="7A39C1F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2,4577</w:t>
            </w:r>
          </w:p>
        </w:tc>
        <w:tc>
          <w:tcPr>
            <w:tcW w:w="1662" w:type="dxa"/>
            <w:tcBorders>
              <w:top w:val="nil"/>
              <w:left w:val="nil"/>
              <w:bottom w:val="single" w:sz="4" w:space="0" w:color="auto"/>
              <w:right w:val="single" w:sz="4" w:space="0" w:color="auto"/>
            </w:tcBorders>
            <w:shd w:val="clear" w:color="auto" w:fill="auto"/>
            <w:vAlign w:val="center"/>
            <w:hideMark/>
          </w:tcPr>
          <w:p w14:paraId="14D3576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6,8103</w:t>
            </w:r>
          </w:p>
        </w:tc>
        <w:tc>
          <w:tcPr>
            <w:tcW w:w="1662" w:type="dxa"/>
            <w:tcBorders>
              <w:top w:val="nil"/>
              <w:left w:val="nil"/>
              <w:bottom w:val="single" w:sz="4" w:space="0" w:color="auto"/>
              <w:right w:val="single" w:sz="4" w:space="0" w:color="auto"/>
            </w:tcBorders>
            <w:shd w:val="clear" w:color="auto" w:fill="auto"/>
            <w:noWrap/>
            <w:vAlign w:val="bottom"/>
            <w:hideMark/>
          </w:tcPr>
          <w:p w14:paraId="0ACD04A1"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1,0964</w:t>
            </w:r>
          </w:p>
        </w:tc>
        <w:tc>
          <w:tcPr>
            <w:tcW w:w="1446" w:type="dxa"/>
            <w:tcBorders>
              <w:top w:val="nil"/>
              <w:left w:val="nil"/>
              <w:bottom w:val="single" w:sz="4" w:space="0" w:color="auto"/>
              <w:right w:val="single" w:sz="4" w:space="0" w:color="auto"/>
            </w:tcBorders>
            <w:shd w:val="clear" w:color="auto" w:fill="auto"/>
            <w:noWrap/>
            <w:vAlign w:val="bottom"/>
            <w:hideMark/>
          </w:tcPr>
          <w:p w14:paraId="763751C7"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15,70</w:t>
            </w:r>
          </w:p>
        </w:tc>
      </w:tr>
      <w:tr w:rsidR="00F87466" w:rsidRPr="00DD5F1D" w14:paraId="584B4829"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69AE988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2005</w:t>
            </w:r>
          </w:p>
        </w:tc>
        <w:tc>
          <w:tcPr>
            <w:tcW w:w="1402" w:type="dxa"/>
            <w:tcBorders>
              <w:top w:val="nil"/>
              <w:left w:val="nil"/>
              <w:bottom w:val="single" w:sz="4" w:space="0" w:color="auto"/>
              <w:right w:val="single" w:sz="4" w:space="0" w:color="auto"/>
            </w:tcBorders>
            <w:shd w:val="clear" w:color="auto" w:fill="auto"/>
            <w:noWrap/>
            <w:vAlign w:val="bottom"/>
            <w:hideMark/>
          </w:tcPr>
          <w:p w14:paraId="6A1F85D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1318,7</w:t>
            </w:r>
          </w:p>
        </w:tc>
        <w:tc>
          <w:tcPr>
            <w:tcW w:w="1402" w:type="dxa"/>
            <w:tcBorders>
              <w:top w:val="nil"/>
              <w:left w:val="nil"/>
              <w:bottom w:val="single" w:sz="4" w:space="0" w:color="auto"/>
              <w:right w:val="single" w:sz="4" w:space="0" w:color="auto"/>
            </w:tcBorders>
            <w:shd w:val="clear" w:color="auto" w:fill="auto"/>
            <w:noWrap/>
            <w:vAlign w:val="bottom"/>
            <w:hideMark/>
          </w:tcPr>
          <w:p w14:paraId="565F0F94"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1,195</w:t>
            </w:r>
          </w:p>
        </w:tc>
        <w:tc>
          <w:tcPr>
            <w:tcW w:w="1522" w:type="dxa"/>
            <w:tcBorders>
              <w:top w:val="nil"/>
              <w:left w:val="nil"/>
              <w:bottom w:val="single" w:sz="4" w:space="0" w:color="auto"/>
              <w:right w:val="single" w:sz="4" w:space="0" w:color="auto"/>
            </w:tcBorders>
            <w:shd w:val="clear" w:color="auto" w:fill="auto"/>
            <w:noWrap/>
            <w:vAlign w:val="bottom"/>
            <w:hideMark/>
          </w:tcPr>
          <w:p w14:paraId="17E5859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9,3688</w:t>
            </w:r>
          </w:p>
        </w:tc>
        <w:tc>
          <w:tcPr>
            <w:tcW w:w="1308" w:type="dxa"/>
            <w:tcBorders>
              <w:top w:val="nil"/>
              <w:left w:val="nil"/>
              <w:bottom w:val="single" w:sz="4" w:space="0" w:color="auto"/>
              <w:right w:val="single" w:sz="4" w:space="0" w:color="auto"/>
            </w:tcBorders>
            <w:shd w:val="clear" w:color="auto" w:fill="auto"/>
            <w:noWrap/>
            <w:vAlign w:val="bottom"/>
            <w:hideMark/>
          </w:tcPr>
          <w:p w14:paraId="5B43EAF8"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110,00</w:t>
            </w:r>
          </w:p>
        </w:tc>
        <w:tc>
          <w:tcPr>
            <w:tcW w:w="1592" w:type="dxa"/>
            <w:tcBorders>
              <w:top w:val="nil"/>
              <w:left w:val="nil"/>
              <w:bottom w:val="single" w:sz="4" w:space="0" w:color="auto"/>
              <w:right w:val="single" w:sz="4" w:space="0" w:color="auto"/>
            </w:tcBorders>
            <w:shd w:val="clear" w:color="auto" w:fill="auto"/>
            <w:noWrap/>
            <w:vAlign w:val="bottom"/>
            <w:hideMark/>
          </w:tcPr>
          <w:p w14:paraId="579A0D8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2,7035</w:t>
            </w:r>
          </w:p>
        </w:tc>
        <w:tc>
          <w:tcPr>
            <w:tcW w:w="1662" w:type="dxa"/>
            <w:tcBorders>
              <w:top w:val="nil"/>
              <w:left w:val="nil"/>
              <w:bottom w:val="single" w:sz="4" w:space="0" w:color="auto"/>
              <w:right w:val="single" w:sz="4" w:space="0" w:color="auto"/>
            </w:tcBorders>
            <w:shd w:val="clear" w:color="auto" w:fill="auto"/>
            <w:vAlign w:val="center"/>
            <w:hideMark/>
          </w:tcPr>
          <w:p w14:paraId="4C04C66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6,2115</w:t>
            </w:r>
          </w:p>
        </w:tc>
        <w:tc>
          <w:tcPr>
            <w:tcW w:w="1662" w:type="dxa"/>
            <w:tcBorders>
              <w:top w:val="nil"/>
              <w:left w:val="nil"/>
              <w:bottom w:val="single" w:sz="4" w:space="0" w:color="auto"/>
              <w:right w:val="single" w:sz="4" w:space="0" w:color="auto"/>
            </w:tcBorders>
            <w:shd w:val="clear" w:color="auto" w:fill="auto"/>
            <w:noWrap/>
            <w:vAlign w:val="bottom"/>
            <w:hideMark/>
          </w:tcPr>
          <w:p w14:paraId="6E3D6F7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1,1570</w:t>
            </w:r>
          </w:p>
        </w:tc>
        <w:tc>
          <w:tcPr>
            <w:tcW w:w="1446" w:type="dxa"/>
            <w:tcBorders>
              <w:top w:val="nil"/>
              <w:left w:val="nil"/>
              <w:bottom w:val="single" w:sz="4" w:space="0" w:color="auto"/>
              <w:right w:val="single" w:sz="4" w:space="0" w:color="auto"/>
            </w:tcBorders>
            <w:shd w:val="clear" w:color="auto" w:fill="auto"/>
            <w:noWrap/>
            <w:vAlign w:val="bottom"/>
            <w:hideMark/>
          </w:tcPr>
          <w:p w14:paraId="45EAB5B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18,20</w:t>
            </w:r>
          </w:p>
        </w:tc>
      </w:tr>
      <w:tr w:rsidR="00F87466" w:rsidRPr="00DD5F1D" w14:paraId="47E828AD"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5B1C3CB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2006</w:t>
            </w:r>
          </w:p>
        </w:tc>
        <w:tc>
          <w:tcPr>
            <w:tcW w:w="1402" w:type="dxa"/>
            <w:tcBorders>
              <w:top w:val="nil"/>
              <w:left w:val="nil"/>
              <w:bottom w:val="single" w:sz="4" w:space="0" w:color="auto"/>
              <w:right w:val="single" w:sz="4" w:space="0" w:color="auto"/>
            </w:tcBorders>
            <w:shd w:val="clear" w:color="auto" w:fill="auto"/>
            <w:noWrap/>
            <w:vAlign w:val="bottom"/>
            <w:hideMark/>
          </w:tcPr>
          <w:p w14:paraId="6551061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1697,1</w:t>
            </w:r>
          </w:p>
        </w:tc>
        <w:tc>
          <w:tcPr>
            <w:tcW w:w="1402" w:type="dxa"/>
            <w:tcBorders>
              <w:top w:val="nil"/>
              <w:left w:val="nil"/>
              <w:bottom w:val="single" w:sz="4" w:space="0" w:color="auto"/>
              <w:right w:val="single" w:sz="4" w:space="0" w:color="auto"/>
            </w:tcBorders>
            <w:shd w:val="clear" w:color="auto" w:fill="auto"/>
            <w:noWrap/>
            <w:vAlign w:val="bottom"/>
            <w:hideMark/>
          </w:tcPr>
          <w:p w14:paraId="7062F47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1,287</w:t>
            </w:r>
          </w:p>
        </w:tc>
        <w:tc>
          <w:tcPr>
            <w:tcW w:w="1522" w:type="dxa"/>
            <w:tcBorders>
              <w:top w:val="nil"/>
              <w:left w:val="nil"/>
              <w:bottom w:val="single" w:sz="4" w:space="0" w:color="auto"/>
              <w:right w:val="single" w:sz="4" w:space="0" w:color="auto"/>
            </w:tcBorders>
            <w:shd w:val="clear" w:color="auto" w:fill="auto"/>
            <w:noWrap/>
            <w:vAlign w:val="bottom"/>
            <w:hideMark/>
          </w:tcPr>
          <w:p w14:paraId="1F48A8A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7,2799</w:t>
            </w:r>
          </w:p>
        </w:tc>
        <w:tc>
          <w:tcPr>
            <w:tcW w:w="1308" w:type="dxa"/>
            <w:tcBorders>
              <w:top w:val="nil"/>
              <w:left w:val="nil"/>
              <w:bottom w:val="single" w:sz="4" w:space="0" w:color="auto"/>
              <w:right w:val="single" w:sz="4" w:space="0" w:color="auto"/>
            </w:tcBorders>
            <w:shd w:val="clear" w:color="auto" w:fill="auto"/>
            <w:noWrap/>
            <w:vAlign w:val="bottom"/>
            <w:hideMark/>
          </w:tcPr>
          <w:p w14:paraId="417C116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114,10</w:t>
            </w:r>
          </w:p>
        </w:tc>
        <w:tc>
          <w:tcPr>
            <w:tcW w:w="1592" w:type="dxa"/>
            <w:tcBorders>
              <w:top w:val="nil"/>
              <w:left w:val="nil"/>
              <w:bottom w:val="single" w:sz="4" w:space="0" w:color="auto"/>
              <w:right w:val="single" w:sz="4" w:space="0" w:color="auto"/>
            </w:tcBorders>
            <w:shd w:val="clear" w:color="auto" w:fill="auto"/>
            <w:noWrap/>
            <w:vAlign w:val="bottom"/>
            <w:hideMark/>
          </w:tcPr>
          <w:p w14:paraId="4FB3548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3,0847</w:t>
            </w:r>
          </w:p>
        </w:tc>
        <w:tc>
          <w:tcPr>
            <w:tcW w:w="1662" w:type="dxa"/>
            <w:tcBorders>
              <w:top w:val="nil"/>
              <w:left w:val="nil"/>
              <w:bottom w:val="single" w:sz="4" w:space="0" w:color="auto"/>
              <w:right w:val="single" w:sz="4" w:space="0" w:color="auto"/>
            </w:tcBorders>
            <w:shd w:val="clear" w:color="auto" w:fill="auto"/>
            <w:vAlign w:val="center"/>
            <w:hideMark/>
          </w:tcPr>
          <w:p w14:paraId="2DBDE7C1"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5,3684</w:t>
            </w:r>
          </w:p>
        </w:tc>
        <w:tc>
          <w:tcPr>
            <w:tcW w:w="1662" w:type="dxa"/>
            <w:tcBorders>
              <w:top w:val="nil"/>
              <w:left w:val="nil"/>
              <w:bottom w:val="single" w:sz="4" w:space="0" w:color="auto"/>
              <w:right w:val="single" w:sz="4" w:space="0" w:color="auto"/>
            </w:tcBorders>
            <w:shd w:val="clear" w:color="auto" w:fill="auto"/>
            <w:noWrap/>
            <w:vAlign w:val="bottom"/>
            <w:hideMark/>
          </w:tcPr>
          <w:p w14:paraId="6970997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1,2066</w:t>
            </w:r>
          </w:p>
        </w:tc>
        <w:tc>
          <w:tcPr>
            <w:tcW w:w="1446" w:type="dxa"/>
            <w:tcBorders>
              <w:top w:val="nil"/>
              <w:left w:val="nil"/>
              <w:bottom w:val="single" w:sz="4" w:space="0" w:color="auto"/>
              <w:right w:val="single" w:sz="4" w:space="0" w:color="auto"/>
            </w:tcBorders>
            <w:shd w:val="clear" w:color="auto" w:fill="auto"/>
            <w:noWrap/>
            <w:vAlign w:val="bottom"/>
            <w:hideMark/>
          </w:tcPr>
          <w:p w14:paraId="1FBD9AC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15,70</w:t>
            </w:r>
          </w:p>
        </w:tc>
      </w:tr>
      <w:tr w:rsidR="00F87466" w:rsidRPr="00DD5F1D" w14:paraId="09CB4924"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306D40E7"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2007</w:t>
            </w:r>
          </w:p>
        </w:tc>
        <w:tc>
          <w:tcPr>
            <w:tcW w:w="1402" w:type="dxa"/>
            <w:tcBorders>
              <w:top w:val="nil"/>
              <w:left w:val="nil"/>
              <w:bottom w:val="single" w:sz="4" w:space="0" w:color="auto"/>
              <w:right w:val="single" w:sz="4" w:space="0" w:color="auto"/>
            </w:tcBorders>
            <w:shd w:val="clear" w:color="auto" w:fill="auto"/>
            <w:noWrap/>
            <w:vAlign w:val="bottom"/>
            <w:hideMark/>
          </w:tcPr>
          <w:p w14:paraId="6A5F9F67"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2065,0</w:t>
            </w:r>
          </w:p>
        </w:tc>
        <w:tc>
          <w:tcPr>
            <w:tcW w:w="1402" w:type="dxa"/>
            <w:tcBorders>
              <w:top w:val="nil"/>
              <w:left w:val="nil"/>
              <w:bottom w:val="single" w:sz="4" w:space="0" w:color="auto"/>
              <w:right w:val="single" w:sz="4" w:space="0" w:color="auto"/>
            </w:tcBorders>
            <w:shd w:val="clear" w:color="auto" w:fill="auto"/>
            <w:noWrap/>
            <w:vAlign w:val="bottom"/>
            <w:hideMark/>
          </w:tcPr>
          <w:p w14:paraId="7173292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1,217</w:t>
            </w:r>
          </w:p>
        </w:tc>
        <w:tc>
          <w:tcPr>
            <w:tcW w:w="1522" w:type="dxa"/>
            <w:tcBorders>
              <w:top w:val="nil"/>
              <w:left w:val="nil"/>
              <w:bottom w:val="single" w:sz="4" w:space="0" w:color="auto"/>
              <w:right w:val="single" w:sz="4" w:space="0" w:color="auto"/>
            </w:tcBorders>
            <w:shd w:val="clear" w:color="auto" w:fill="auto"/>
            <w:noWrap/>
            <w:vAlign w:val="bottom"/>
            <w:hideMark/>
          </w:tcPr>
          <w:p w14:paraId="69FF9FB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5,9829</w:t>
            </w:r>
          </w:p>
        </w:tc>
        <w:tc>
          <w:tcPr>
            <w:tcW w:w="1308" w:type="dxa"/>
            <w:tcBorders>
              <w:top w:val="nil"/>
              <w:left w:val="nil"/>
              <w:bottom w:val="single" w:sz="4" w:space="0" w:color="auto"/>
              <w:right w:val="single" w:sz="4" w:space="0" w:color="auto"/>
            </w:tcBorders>
            <w:shd w:val="clear" w:color="auto" w:fill="auto"/>
            <w:noWrap/>
            <w:vAlign w:val="bottom"/>
            <w:hideMark/>
          </w:tcPr>
          <w:p w14:paraId="0E9F907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113,10</w:t>
            </w:r>
          </w:p>
        </w:tc>
        <w:tc>
          <w:tcPr>
            <w:tcW w:w="1592" w:type="dxa"/>
            <w:tcBorders>
              <w:top w:val="nil"/>
              <w:left w:val="nil"/>
              <w:bottom w:val="single" w:sz="4" w:space="0" w:color="auto"/>
              <w:right w:val="single" w:sz="4" w:space="0" w:color="auto"/>
            </w:tcBorders>
            <w:shd w:val="clear" w:color="auto" w:fill="auto"/>
            <w:noWrap/>
            <w:vAlign w:val="bottom"/>
            <w:hideMark/>
          </w:tcPr>
          <w:p w14:paraId="1A76F72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3,4887</w:t>
            </w:r>
          </w:p>
        </w:tc>
        <w:tc>
          <w:tcPr>
            <w:tcW w:w="1662" w:type="dxa"/>
            <w:tcBorders>
              <w:top w:val="nil"/>
              <w:left w:val="nil"/>
              <w:bottom w:val="single" w:sz="4" w:space="0" w:color="auto"/>
              <w:right w:val="single" w:sz="4" w:space="0" w:color="auto"/>
            </w:tcBorders>
            <w:shd w:val="clear" w:color="auto" w:fill="auto"/>
            <w:vAlign w:val="center"/>
            <w:hideMark/>
          </w:tcPr>
          <w:p w14:paraId="60F49B0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4,4491</w:t>
            </w:r>
          </w:p>
        </w:tc>
        <w:tc>
          <w:tcPr>
            <w:tcW w:w="1662" w:type="dxa"/>
            <w:tcBorders>
              <w:top w:val="nil"/>
              <w:left w:val="nil"/>
              <w:bottom w:val="single" w:sz="4" w:space="0" w:color="auto"/>
              <w:right w:val="single" w:sz="4" w:space="0" w:color="auto"/>
            </w:tcBorders>
            <w:shd w:val="clear" w:color="auto" w:fill="auto"/>
            <w:noWrap/>
            <w:vAlign w:val="bottom"/>
            <w:hideMark/>
          </w:tcPr>
          <w:p w14:paraId="22EBA7F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1,1699</w:t>
            </w:r>
          </w:p>
        </w:tc>
        <w:tc>
          <w:tcPr>
            <w:tcW w:w="1446" w:type="dxa"/>
            <w:tcBorders>
              <w:top w:val="nil"/>
              <w:left w:val="nil"/>
              <w:bottom w:val="single" w:sz="4" w:space="0" w:color="auto"/>
              <w:right w:val="single" w:sz="4" w:space="0" w:color="auto"/>
            </w:tcBorders>
            <w:shd w:val="clear" w:color="auto" w:fill="auto"/>
            <w:noWrap/>
            <w:vAlign w:val="bottom"/>
            <w:hideMark/>
          </w:tcPr>
          <w:p w14:paraId="4598965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20,70</w:t>
            </w:r>
          </w:p>
        </w:tc>
      </w:tr>
      <w:tr w:rsidR="00F87466" w:rsidRPr="00DD5F1D" w14:paraId="624ACC9E"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56C1A7E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2008</w:t>
            </w:r>
          </w:p>
        </w:tc>
        <w:tc>
          <w:tcPr>
            <w:tcW w:w="1402" w:type="dxa"/>
            <w:tcBorders>
              <w:top w:val="nil"/>
              <w:left w:val="nil"/>
              <w:bottom w:val="single" w:sz="4" w:space="0" w:color="auto"/>
              <w:right w:val="single" w:sz="4" w:space="0" w:color="auto"/>
            </w:tcBorders>
            <w:shd w:val="clear" w:color="auto" w:fill="auto"/>
            <w:noWrap/>
            <w:vAlign w:val="bottom"/>
            <w:hideMark/>
          </w:tcPr>
          <w:p w14:paraId="5E52D06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2529,7</w:t>
            </w:r>
          </w:p>
        </w:tc>
        <w:tc>
          <w:tcPr>
            <w:tcW w:w="1402" w:type="dxa"/>
            <w:tcBorders>
              <w:top w:val="nil"/>
              <w:left w:val="nil"/>
              <w:bottom w:val="single" w:sz="4" w:space="0" w:color="auto"/>
              <w:right w:val="single" w:sz="4" w:space="0" w:color="auto"/>
            </w:tcBorders>
            <w:shd w:val="clear" w:color="auto" w:fill="auto"/>
            <w:noWrap/>
            <w:vAlign w:val="bottom"/>
            <w:hideMark/>
          </w:tcPr>
          <w:p w14:paraId="2A122C47"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1,225</w:t>
            </w:r>
          </w:p>
        </w:tc>
        <w:tc>
          <w:tcPr>
            <w:tcW w:w="1522" w:type="dxa"/>
            <w:tcBorders>
              <w:top w:val="nil"/>
              <w:left w:val="nil"/>
              <w:bottom w:val="single" w:sz="4" w:space="0" w:color="auto"/>
              <w:right w:val="single" w:sz="4" w:space="0" w:color="auto"/>
            </w:tcBorders>
            <w:shd w:val="clear" w:color="auto" w:fill="auto"/>
            <w:noWrap/>
            <w:vAlign w:val="bottom"/>
            <w:hideMark/>
          </w:tcPr>
          <w:p w14:paraId="16397B5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4,8839</w:t>
            </w:r>
          </w:p>
        </w:tc>
        <w:tc>
          <w:tcPr>
            <w:tcW w:w="1308" w:type="dxa"/>
            <w:tcBorders>
              <w:top w:val="nil"/>
              <w:left w:val="nil"/>
              <w:bottom w:val="single" w:sz="4" w:space="0" w:color="auto"/>
              <w:right w:val="single" w:sz="4" w:space="0" w:color="auto"/>
            </w:tcBorders>
            <w:shd w:val="clear" w:color="auto" w:fill="auto"/>
            <w:noWrap/>
            <w:vAlign w:val="bottom"/>
            <w:hideMark/>
          </w:tcPr>
          <w:p w14:paraId="363E2A8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107,30</w:t>
            </w:r>
          </w:p>
        </w:tc>
        <w:tc>
          <w:tcPr>
            <w:tcW w:w="1592" w:type="dxa"/>
            <w:tcBorders>
              <w:top w:val="nil"/>
              <w:left w:val="nil"/>
              <w:bottom w:val="single" w:sz="4" w:space="0" w:color="auto"/>
              <w:right w:val="single" w:sz="4" w:space="0" w:color="auto"/>
            </w:tcBorders>
            <w:shd w:val="clear" w:color="auto" w:fill="auto"/>
            <w:noWrap/>
            <w:vAlign w:val="bottom"/>
            <w:hideMark/>
          </w:tcPr>
          <w:p w14:paraId="09F32A8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3,7434</w:t>
            </w:r>
          </w:p>
        </w:tc>
        <w:tc>
          <w:tcPr>
            <w:tcW w:w="1662" w:type="dxa"/>
            <w:tcBorders>
              <w:top w:val="nil"/>
              <w:left w:val="nil"/>
              <w:bottom w:val="single" w:sz="4" w:space="0" w:color="auto"/>
              <w:right w:val="single" w:sz="4" w:space="0" w:color="auto"/>
            </w:tcBorders>
            <w:shd w:val="clear" w:color="auto" w:fill="auto"/>
            <w:vAlign w:val="center"/>
            <w:hideMark/>
          </w:tcPr>
          <w:p w14:paraId="50B4606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3,8031</w:t>
            </w:r>
          </w:p>
        </w:tc>
        <w:tc>
          <w:tcPr>
            <w:tcW w:w="1662" w:type="dxa"/>
            <w:tcBorders>
              <w:top w:val="nil"/>
              <w:left w:val="nil"/>
              <w:bottom w:val="single" w:sz="4" w:space="0" w:color="auto"/>
              <w:right w:val="single" w:sz="4" w:space="0" w:color="auto"/>
            </w:tcBorders>
            <w:shd w:val="clear" w:color="auto" w:fill="auto"/>
            <w:noWrap/>
            <w:vAlign w:val="bottom"/>
            <w:hideMark/>
          </w:tcPr>
          <w:p w14:paraId="32E4237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1,2012</w:t>
            </w:r>
          </w:p>
        </w:tc>
        <w:tc>
          <w:tcPr>
            <w:tcW w:w="1446" w:type="dxa"/>
            <w:tcBorders>
              <w:top w:val="nil"/>
              <w:left w:val="nil"/>
              <w:bottom w:val="single" w:sz="4" w:space="0" w:color="auto"/>
              <w:right w:val="single" w:sz="4" w:space="0" w:color="auto"/>
            </w:tcBorders>
            <w:shd w:val="clear" w:color="auto" w:fill="auto"/>
            <w:noWrap/>
            <w:vAlign w:val="bottom"/>
            <w:hideMark/>
          </w:tcPr>
          <w:p w14:paraId="75308AD4"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17,00</w:t>
            </w:r>
          </w:p>
        </w:tc>
      </w:tr>
      <w:tr w:rsidR="00F87466" w:rsidRPr="00DD5F1D" w14:paraId="36F69BC8"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6A98AEE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2009</w:t>
            </w:r>
          </w:p>
        </w:tc>
        <w:tc>
          <w:tcPr>
            <w:tcW w:w="1402" w:type="dxa"/>
            <w:tcBorders>
              <w:top w:val="nil"/>
              <w:left w:val="nil"/>
              <w:bottom w:val="single" w:sz="4" w:space="0" w:color="auto"/>
              <w:right w:val="single" w:sz="4" w:space="0" w:color="auto"/>
            </w:tcBorders>
            <w:shd w:val="clear" w:color="auto" w:fill="auto"/>
            <w:noWrap/>
            <w:vAlign w:val="bottom"/>
            <w:hideMark/>
          </w:tcPr>
          <w:p w14:paraId="7E7B98A7"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2747,6</w:t>
            </w:r>
          </w:p>
        </w:tc>
        <w:tc>
          <w:tcPr>
            <w:tcW w:w="1402" w:type="dxa"/>
            <w:tcBorders>
              <w:top w:val="nil"/>
              <w:left w:val="nil"/>
              <w:bottom w:val="single" w:sz="4" w:space="0" w:color="auto"/>
              <w:right w:val="single" w:sz="4" w:space="0" w:color="auto"/>
            </w:tcBorders>
            <w:shd w:val="clear" w:color="auto" w:fill="auto"/>
            <w:noWrap/>
            <w:vAlign w:val="bottom"/>
            <w:hideMark/>
          </w:tcPr>
          <w:p w14:paraId="669C47B6"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1,086</w:t>
            </w:r>
          </w:p>
        </w:tc>
        <w:tc>
          <w:tcPr>
            <w:tcW w:w="1522" w:type="dxa"/>
            <w:tcBorders>
              <w:top w:val="nil"/>
              <w:left w:val="nil"/>
              <w:bottom w:val="single" w:sz="4" w:space="0" w:color="auto"/>
              <w:right w:val="single" w:sz="4" w:space="0" w:color="auto"/>
            </w:tcBorders>
            <w:shd w:val="clear" w:color="auto" w:fill="auto"/>
            <w:noWrap/>
            <w:vAlign w:val="bottom"/>
            <w:hideMark/>
          </w:tcPr>
          <w:p w14:paraId="1477F38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4,4965</w:t>
            </w:r>
          </w:p>
        </w:tc>
        <w:tc>
          <w:tcPr>
            <w:tcW w:w="1308" w:type="dxa"/>
            <w:tcBorders>
              <w:top w:val="nil"/>
              <w:left w:val="nil"/>
              <w:bottom w:val="single" w:sz="4" w:space="0" w:color="auto"/>
              <w:right w:val="single" w:sz="4" w:space="0" w:color="auto"/>
            </w:tcBorders>
            <w:shd w:val="clear" w:color="auto" w:fill="auto"/>
            <w:noWrap/>
            <w:vAlign w:val="bottom"/>
            <w:hideMark/>
          </w:tcPr>
          <w:p w14:paraId="58C53BE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100,40</w:t>
            </w:r>
          </w:p>
        </w:tc>
        <w:tc>
          <w:tcPr>
            <w:tcW w:w="1592" w:type="dxa"/>
            <w:tcBorders>
              <w:top w:val="nil"/>
              <w:left w:val="nil"/>
              <w:bottom w:val="single" w:sz="4" w:space="0" w:color="auto"/>
              <w:right w:val="single" w:sz="4" w:space="0" w:color="auto"/>
            </w:tcBorders>
            <w:shd w:val="clear" w:color="auto" w:fill="auto"/>
            <w:noWrap/>
            <w:vAlign w:val="bottom"/>
            <w:hideMark/>
          </w:tcPr>
          <w:p w14:paraId="21990FC6"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3,7584</w:t>
            </w:r>
          </w:p>
        </w:tc>
        <w:tc>
          <w:tcPr>
            <w:tcW w:w="1662" w:type="dxa"/>
            <w:tcBorders>
              <w:top w:val="nil"/>
              <w:left w:val="nil"/>
              <w:bottom w:val="single" w:sz="4" w:space="0" w:color="auto"/>
              <w:right w:val="single" w:sz="4" w:space="0" w:color="auto"/>
            </w:tcBorders>
            <w:shd w:val="clear" w:color="auto" w:fill="auto"/>
            <w:vAlign w:val="center"/>
            <w:hideMark/>
          </w:tcPr>
          <w:p w14:paraId="07FEF181"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3,1662</w:t>
            </w:r>
          </w:p>
        </w:tc>
        <w:tc>
          <w:tcPr>
            <w:tcW w:w="1662" w:type="dxa"/>
            <w:tcBorders>
              <w:top w:val="nil"/>
              <w:left w:val="nil"/>
              <w:bottom w:val="single" w:sz="4" w:space="0" w:color="auto"/>
              <w:right w:val="single" w:sz="4" w:space="0" w:color="auto"/>
            </w:tcBorders>
            <w:shd w:val="clear" w:color="auto" w:fill="auto"/>
            <w:noWrap/>
            <w:vAlign w:val="bottom"/>
            <w:hideMark/>
          </w:tcPr>
          <w:p w14:paraId="5A839BC8"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1,0418</w:t>
            </w:r>
          </w:p>
        </w:tc>
        <w:tc>
          <w:tcPr>
            <w:tcW w:w="1446" w:type="dxa"/>
            <w:tcBorders>
              <w:top w:val="nil"/>
              <w:left w:val="nil"/>
              <w:bottom w:val="single" w:sz="4" w:space="0" w:color="auto"/>
              <w:right w:val="single" w:sz="4" w:space="0" w:color="auto"/>
            </w:tcBorders>
            <w:shd w:val="clear" w:color="auto" w:fill="auto"/>
            <w:noWrap/>
            <w:vAlign w:val="bottom"/>
            <w:hideMark/>
          </w:tcPr>
          <w:p w14:paraId="05FC312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20,00</w:t>
            </w:r>
          </w:p>
        </w:tc>
      </w:tr>
      <w:tr w:rsidR="00F87466" w:rsidRPr="00DD5F1D" w14:paraId="0681CB2B"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2DC30FB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2010</w:t>
            </w:r>
          </w:p>
        </w:tc>
        <w:tc>
          <w:tcPr>
            <w:tcW w:w="1402" w:type="dxa"/>
            <w:tcBorders>
              <w:top w:val="nil"/>
              <w:left w:val="nil"/>
              <w:bottom w:val="single" w:sz="4" w:space="0" w:color="auto"/>
              <w:right w:val="single" w:sz="4" w:space="0" w:color="auto"/>
            </w:tcBorders>
            <w:shd w:val="clear" w:color="auto" w:fill="auto"/>
            <w:noWrap/>
            <w:vAlign w:val="bottom"/>
            <w:hideMark/>
          </w:tcPr>
          <w:p w14:paraId="2F3F9576"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2971,7</w:t>
            </w:r>
          </w:p>
        </w:tc>
        <w:tc>
          <w:tcPr>
            <w:tcW w:w="1402" w:type="dxa"/>
            <w:tcBorders>
              <w:top w:val="nil"/>
              <w:left w:val="nil"/>
              <w:bottom w:val="single" w:sz="4" w:space="0" w:color="auto"/>
              <w:right w:val="single" w:sz="4" w:space="0" w:color="auto"/>
            </w:tcBorders>
            <w:shd w:val="clear" w:color="auto" w:fill="auto"/>
            <w:noWrap/>
            <w:vAlign w:val="bottom"/>
            <w:hideMark/>
          </w:tcPr>
          <w:p w14:paraId="35559481"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1,082</w:t>
            </w:r>
          </w:p>
        </w:tc>
        <w:tc>
          <w:tcPr>
            <w:tcW w:w="1522" w:type="dxa"/>
            <w:tcBorders>
              <w:top w:val="nil"/>
              <w:left w:val="nil"/>
              <w:bottom w:val="single" w:sz="4" w:space="0" w:color="auto"/>
              <w:right w:val="single" w:sz="4" w:space="0" w:color="auto"/>
            </w:tcBorders>
            <w:shd w:val="clear" w:color="auto" w:fill="auto"/>
            <w:noWrap/>
            <w:vAlign w:val="bottom"/>
            <w:hideMark/>
          </w:tcPr>
          <w:p w14:paraId="2F2EDB07"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4,1575</w:t>
            </w:r>
          </w:p>
        </w:tc>
        <w:tc>
          <w:tcPr>
            <w:tcW w:w="1308" w:type="dxa"/>
            <w:tcBorders>
              <w:top w:val="nil"/>
              <w:left w:val="nil"/>
              <w:bottom w:val="single" w:sz="4" w:space="0" w:color="auto"/>
              <w:right w:val="single" w:sz="4" w:space="0" w:color="auto"/>
            </w:tcBorders>
            <w:shd w:val="clear" w:color="auto" w:fill="auto"/>
            <w:noWrap/>
            <w:vAlign w:val="bottom"/>
            <w:hideMark/>
          </w:tcPr>
          <w:p w14:paraId="33955DE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108,10</w:t>
            </w:r>
          </w:p>
        </w:tc>
        <w:tc>
          <w:tcPr>
            <w:tcW w:w="1592" w:type="dxa"/>
            <w:tcBorders>
              <w:top w:val="nil"/>
              <w:left w:val="nil"/>
              <w:bottom w:val="single" w:sz="4" w:space="0" w:color="auto"/>
              <w:right w:val="single" w:sz="4" w:space="0" w:color="auto"/>
            </w:tcBorders>
            <w:shd w:val="clear" w:color="auto" w:fill="auto"/>
            <w:noWrap/>
            <w:vAlign w:val="bottom"/>
            <w:hideMark/>
          </w:tcPr>
          <w:p w14:paraId="04414AC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4,0628</w:t>
            </w:r>
          </w:p>
        </w:tc>
        <w:tc>
          <w:tcPr>
            <w:tcW w:w="1662" w:type="dxa"/>
            <w:tcBorders>
              <w:top w:val="nil"/>
              <w:left w:val="nil"/>
              <w:bottom w:val="single" w:sz="4" w:space="0" w:color="auto"/>
              <w:right w:val="single" w:sz="4" w:space="0" w:color="auto"/>
            </w:tcBorders>
            <w:shd w:val="clear" w:color="auto" w:fill="auto"/>
            <w:vAlign w:val="center"/>
            <w:hideMark/>
          </w:tcPr>
          <w:p w14:paraId="57DD990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3,0391</w:t>
            </w:r>
          </w:p>
        </w:tc>
        <w:tc>
          <w:tcPr>
            <w:tcW w:w="1662" w:type="dxa"/>
            <w:tcBorders>
              <w:top w:val="nil"/>
              <w:left w:val="nil"/>
              <w:bottom w:val="single" w:sz="4" w:space="0" w:color="auto"/>
              <w:right w:val="single" w:sz="4" w:space="0" w:color="auto"/>
            </w:tcBorders>
            <w:shd w:val="clear" w:color="auto" w:fill="auto"/>
            <w:noWrap/>
            <w:vAlign w:val="bottom"/>
            <w:hideMark/>
          </w:tcPr>
          <w:p w14:paraId="6B45070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1,0789</w:t>
            </w:r>
          </w:p>
        </w:tc>
        <w:tc>
          <w:tcPr>
            <w:tcW w:w="1446" w:type="dxa"/>
            <w:tcBorders>
              <w:top w:val="nil"/>
              <w:left w:val="nil"/>
              <w:bottom w:val="single" w:sz="4" w:space="0" w:color="auto"/>
              <w:right w:val="single" w:sz="4" w:space="0" w:color="auto"/>
            </w:tcBorders>
            <w:shd w:val="clear" w:color="auto" w:fill="auto"/>
            <w:noWrap/>
            <w:vAlign w:val="bottom"/>
            <w:hideMark/>
          </w:tcPr>
          <w:p w14:paraId="522C3F36"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4,30</w:t>
            </w:r>
          </w:p>
        </w:tc>
      </w:tr>
      <w:tr w:rsidR="00F87466" w:rsidRPr="00DD5F1D" w14:paraId="10276111"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3C5BEE36"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2011</w:t>
            </w:r>
          </w:p>
        </w:tc>
        <w:tc>
          <w:tcPr>
            <w:tcW w:w="1402" w:type="dxa"/>
            <w:tcBorders>
              <w:top w:val="nil"/>
              <w:left w:val="nil"/>
              <w:bottom w:val="single" w:sz="4" w:space="0" w:color="auto"/>
              <w:right w:val="single" w:sz="4" w:space="0" w:color="auto"/>
            </w:tcBorders>
            <w:shd w:val="clear" w:color="auto" w:fill="auto"/>
            <w:noWrap/>
            <w:vAlign w:val="bottom"/>
            <w:hideMark/>
          </w:tcPr>
          <w:p w14:paraId="2DCE734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3193,0</w:t>
            </w:r>
          </w:p>
        </w:tc>
        <w:tc>
          <w:tcPr>
            <w:tcW w:w="1402" w:type="dxa"/>
            <w:tcBorders>
              <w:top w:val="nil"/>
              <w:left w:val="nil"/>
              <w:bottom w:val="single" w:sz="4" w:space="0" w:color="auto"/>
              <w:right w:val="single" w:sz="4" w:space="0" w:color="auto"/>
            </w:tcBorders>
            <w:shd w:val="clear" w:color="auto" w:fill="auto"/>
            <w:noWrap/>
            <w:vAlign w:val="bottom"/>
            <w:hideMark/>
          </w:tcPr>
          <w:p w14:paraId="6429F0B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1,074</w:t>
            </w:r>
          </w:p>
        </w:tc>
        <w:tc>
          <w:tcPr>
            <w:tcW w:w="1522" w:type="dxa"/>
            <w:tcBorders>
              <w:top w:val="nil"/>
              <w:left w:val="nil"/>
              <w:bottom w:val="single" w:sz="4" w:space="0" w:color="auto"/>
              <w:right w:val="single" w:sz="4" w:space="0" w:color="auto"/>
            </w:tcBorders>
            <w:shd w:val="clear" w:color="auto" w:fill="auto"/>
            <w:noWrap/>
            <w:vAlign w:val="bottom"/>
            <w:hideMark/>
          </w:tcPr>
          <w:p w14:paraId="38058376"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3,8693</w:t>
            </w:r>
          </w:p>
        </w:tc>
        <w:tc>
          <w:tcPr>
            <w:tcW w:w="1308" w:type="dxa"/>
            <w:tcBorders>
              <w:top w:val="nil"/>
              <w:left w:val="nil"/>
              <w:bottom w:val="single" w:sz="4" w:space="0" w:color="auto"/>
              <w:right w:val="single" w:sz="4" w:space="0" w:color="auto"/>
            </w:tcBorders>
            <w:shd w:val="clear" w:color="auto" w:fill="auto"/>
            <w:noWrap/>
            <w:vAlign w:val="bottom"/>
            <w:hideMark/>
          </w:tcPr>
          <w:p w14:paraId="469128E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107,80</w:t>
            </w:r>
          </w:p>
        </w:tc>
        <w:tc>
          <w:tcPr>
            <w:tcW w:w="1592" w:type="dxa"/>
            <w:tcBorders>
              <w:top w:val="nil"/>
              <w:left w:val="nil"/>
              <w:bottom w:val="single" w:sz="4" w:space="0" w:color="auto"/>
              <w:right w:val="single" w:sz="4" w:space="0" w:color="auto"/>
            </w:tcBorders>
            <w:shd w:val="clear" w:color="auto" w:fill="auto"/>
            <w:noWrap/>
            <w:vAlign w:val="bottom"/>
            <w:hideMark/>
          </w:tcPr>
          <w:p w14:paraId="49DBC48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4,3797</w:t>
            </w:r>
          </w:p>
        </w:tc>
        <w:tc>
          <w:tcPr>
            <w:tcW w:w="1662" w:type="dxa"/>
            <w:tcBorders>
              <w:top w:val="nil"/>
              <w:left w:val="nil"/>
              <w:bottom w:val="single" w:sz="4" w:space="0" w:color="auto"/>
              <w:right w:val="single" w:sz="4" w:space="0" w:color="auto"/>
            </w:tcBorders>
            <w:shd w:val="clear" w:color="auto" w:fill="auto"/>
            <w:vAlign w:val="center"/>
            <w:hideMark/>
          </w:tcPr>
          <w:p w14:paraId="0F0EF38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2,8168</w:t>
            </w:r>
          </w:p>
        </w:tc>
        <w:tc>
          <w:tcPr>
            <w:tcW w:w="1662" w:type="dxa"/>
            <w:tcBorders>
              <w:top w:val="nil"/>
              <w:left w:val="nil"/>
              <w:bottom w:val="single" w:sz="4" w:space="0" w:color="auto"/>
              <w:right w:val="single" w:sz="4" w:space="0" w:color="auto"/>
            </w:tcBorders>
            <w:shd w:val="clear" w:color="auto" w:fill="auto"/>
            <w:noWrap/>
            <w:vAlign w:val="bottom"/>
            <w:hideMark/>
          </w:tcPr>
          <w:p w14:paraId="4BA1CB1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1,0951</w:t>
            </w:r>
          </w:p>
        </w:tc>
        <w:tc>
          <w:tcPr>
            <w:tcW w:w="1446" w:type="dxa"/>
            <w:tcBorders>
              <w:top w:val="nil"/>
              <w:left w:val="nil"/>
              <w:bottom w:val="single" w:sz="4" w:space="0" w:color="auto"/>
              <w:right w:val="single" w:sz="4" w:space="0" w:color="auto"/>
            </w:tcBorders>
            <w:shd w:val="clear" w:color="auto" w:fill="auto"/>
            <w:noWrap/>
            <w:vAlign w:val="bottom"/>
            <w:hideMark/>
          </w:tcPr>
          <w:p w14:paraId="18F87ED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7,80</w:t>
            </w:r>
          </w:p>
        </w:tc>
      </w:tr>
      <w:tr w:rsidR="00F87466" w:rsidRPr="00DD5F1D" w14:paraId="4A4DB434"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51C383E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2012</w:t>
            </w:r>
          </w:p>
        </w:tc>
        <w:tc>
          <w:tcPr>
            <w:tcW w:w="1402" w:type="dxa"/>
            <w:tcBorders>
              <w:top w:val="nil"/>
              <w:left w:val="nil"/>
              <w:bottom w:val="single" w:sz="4" w:space="0" w:color="auto"/>
              <w:right w:val="single" w:sz="4" w:space="0" w:color="auto"/>
            </w:tcBorders>
            <w:shd w:val="clear" w:color="auto" w:fill="auto"/>
            <w:noWrap/>
            <w:vAlign w:val="bottom"/>
            <w:hideMark/>
          </w:tcPr>
          <w:p w14:paraId="54A8B7C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3477,7</w:t>
            </w:r>
          </w:p>
        </w:tc>
        <w:tc>
          <w:tcPr>
            <w:tcW w:w="1402" w:type="dxa"/>
            <w:tcBorders>
              <w:top w:val="nil"/>
              <w:left w:val="nil"/>
              <w:bottom w:val="single" w:sz="4" w:space="0" w:color="auto"/>
              <w:right w:val="single" w:sz="4" w:space="0" w:color="auto"/>
            </w:tcBorders>
            <w:shd w:val="clear" w:color="auto" w:fill="auto"/>
            <w:noWrap/>
            <w:vAlign w:val="bottom"/>
            <w:hideMark/>
          </w:tcPr>
          <w:p w14:paraId="679FD66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1,089</w:t>
            </w:r>
          </w:p>
        </w:tc>
        <w:tc>
          <w:tcPr>
            <w:tcW w:w="1522" w:type="dxa"/>
            <w:tcBorders>
              <w:top w:val="nil"/>
              <w:left w:val="nil"/>
              <w:bottom w:val="single" w:sz="4" w:space="0" w:color="auto"/>
              <w:right w:val="single" w:sz="4" w:space="0" w:color="auto"/>
            </w:tcBorders>
            <w:shd w:val="clear" w:color="auto" w:fill="auto"/>
            <w:noWrap/>
            <w:vAlign w:val="bottom"/>
            <w:hideMark/>
          </w:tcPr>
          <w:p w14:paraId="79F08687"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3,5525</w:t>
            </w:r>
          </w:p>
        </w:tc>
        <w:tc>
          <w:tcPr>
            <w:tcW w:w="1308" w:type="dxa"/>
            <w:tcBorders>
              <w:top w:val="nil"/>
              <w:left w:val="nil"/>
              <w:bottom w:val="single" w:sz="4" w:space="0" w:color="auto"/>
              <w:right w:val="single" w:sz="4" w:space="0" w:color="auto"/>
            </w:tcBorders>
            <w:shd w:val="clear" w:color="auto" w:fill="auto"/>
            <w:noWrap/>
            <w:vAlign w:val="bottom"/>
            <w:hideMark/>
          </w:tcPr>
          <w:p w14:paraId="1B65DED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104,10</w:t>
            </w:r>
          </w:p>
        </w:tc>
        <w:tc>
          <w:tcPr>
            <w:tcW w:w="1592" w:type="dxa"/>
            <w:tcBorders>
              <w:top w:val="nil"/>
              <w:left w:val="nil"/>
              <w:bottom w:val="single" w:sz="4" w:space="0" w:color="auto"/>
              <w:right w:val="single" w:sz="4" w:space="0" w:color="auto"/>
            </w:tcBorders>
            <w:shd w:val="clear" w:color="auto" w:fill="auto"/>
            <w:noWrap/>
            <w:vAlign w:val="bottom"/>
            <w:hideMark/>
          </w:tcPr>
          <w:p w14:paraId="2E22598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4,5593</w:t>
            </w:r>
          </w:p>
        </w:tc>
        <w:tc>
          <w:tcPr>
            <w:tcW w:w="1662" w:type="dxa"/>
            <w:tcBorders>
              <w:top w:val="nil"/>
              <w:left w:val="nil"/>
              <w:bottom w:val="single" w:sz="4" w:space="0" w:color="auto"/>
              <w:right w:val="single" w:sz="4" w:space="0" w:color="auto"/>
            </w:tcBorders>
            <w:shd w:val="clear" w:color="auto" w:fill="auto"/>
            <w:vAlign w:val="center"/>
            <w:hideMark/>
          </w:tcPr>
          <w:p w14:paraId="76D1B38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2,5723</w:t>
            </w:r>
          </w:p>
        </w:tc>
        <w:tc>
          <w:tcPr>
            <w:tcW w:w="1662" w:type="dxa"/>
            <w:tcBorders>
              <w:top w:val="nil"/>
              <w:left w:val="nil"/>
              <w:bottom w:val="single" w:sz="4" w:space="0" w:color="auto"/>
              <w:right w:val="single" w:sz="4" w:space="0" w:color="auto"/>
            </w:tcBorders>
            <w:shd w:val="clear" w:color="auto" w:fill="auto"/>
            <w:noWrap/>
            <w:vAlign w:val="bottom"/>
            <w:hideMark/>
          </w:tcPr>
          <w:p w14:paraId="65E175A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1,0686</w:t>
            </w:r>
          </w:p>
        </w:tc>
        <w:tc>
          <w:tcPr>
            <w:tcW w:w="1446" w:type="dxa"/>
            <w:tcBorders>
              <w:top w:val="nil"/>
              <w:left w:val="nil"/>
              <w:bottom w:val="single" w:sz="4" w:space="0" w:color="auto"/>
              <w:right w:val="single" w:sz="4" w:space="0" w:color="auto"/>
            </w:tcBorders>
            <w:shd w:val="clear" w:color="auto" w:fill="auto"/>
            <w:noWrap/>
            <w:vAlign w:val="bottom"/>
            <w:hideMark/>
          </w:tcPr>
          <w:p w14:paraId="156B23E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9,60</w:t>
            </w:r>
          </w:p>
        </w:tc>
      </w:tr>
      <w:tr w:rsidR="00F87466" w:rsidRPr="00DD5F1D" w14:paraId="4317D658"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220713D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2013</w:t>
            </w:r>
          </w:p>
        </w:tc>
        <w:tc>
          <w:tcPr>
            <w:tcW w:w="1402" w:type="dxa"/>
            <w:tcBorders>
              <w:top w:val="nil"/>
              <w:left w:val="nil"/>
              <w:bottom w:val="single" w:sz="4" w:space="0" w:color="auto"/>
              <w:right w:val="single" w:sz="4" w:space="0" w:color="auto"/>
            </w:tcBorders>
            <w:shd w:val="clear" w:color="auto" w:fill="auto"/>
            <w:noWrap/>
            <w:vAlign w:val="bottom"/>
            <w:hideMark/>
          </w:tcPr>
          <w:p w14:paraId="04902C78"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3765,1</w:t>
            </w:r>
          </w:p>
        </w:tc>
        <w:tc>
          <w:tcPr>
            <w:tcW w:w="1402" w:type="dxa"/>
            <w:tcBorders>
              <w:top w:val="nil"/>
              <w:left w:val="nil"/>
              <w:bottom w:val="single" w:sz="4" w:space="0" w:color="auto"/>
              <w:right w:val="single" w:sz="4" w:space="0" w:color="auto"/>
            </w:tcBorders>
            <w:shd w:val="clear" w:color="auto" w:fill="auto"/>
            <w:noWrap/>
            <w:vAlign w:val="bottom"/>
            <w:hideMark/>
          </w:tcPr>
          <w:p w14:paraId="2A06AE8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1,083</w:t>
            </w:r>
          </w:p>
        </w:tc>
        <w:tc>
          <w:tcPr>
            <w:tcW w:w="1522" w:type="dxa"/>
            <w:tcBorders>
              <w:top w:val="nil"/>
              <w:left w:val="nil"/>
              <w:bottom w:val="single" w:sz="4" w:space="0" w:color="auto"/>
              <w:right w:val="single" w:sz="4" w:space="0" w:color="auto"/>
            </w:tcBorders>
            <w:shd w:val="clear" w:color="auto" w:fill="auto"/>
            <w:noWrap/>
            <w:vAlign w:val="bottom"/>
            <w:hideMark/>
          </w:tcPr>
          <w:p w14:paraId="5D61DD4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3,2814</w:t>
            </w:r>
          </w:p>
        </w:tc>
        <w:tc>
          <w:tcPr>
            <w:tcW w:w="1308" w:type="dxa"/>
            <w:tcBorders>
              <w:top w:val="nil"/>
              <w:left w:val="nil"/>
              <w:bottom w:val="single" w:sz="4" w:space="0" w:color="auto"/>
              <w:right w:val="single" w:sz="4" w:space="0" w:color="auto"/>
            </w:tcBorders>
            <w:shd w:val="clear" w:color="auto" w:fill="auto"/>
            <w:noWrap/>
            <w:vAlign w:val="bottom"/>
            <w:hideMark/>
          </w:tcPr>
          <w:p w14:paraId="0E722EF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105,20</w:t>
            </w:r>
          </w:p>
        </w:tc>
        <w:tc>
          <w:tcPr>
            <w:tcW w:w="1592" w:type="dxa"/>
            <w:tcBorders>
              <w:top w:val="nil"/>
              <w:left w:val="nil"/>
              <w:bottom w:val="single" w:sz="4" w:space="0" w:color="auto"/>
              <w:right w:val="single" w:sz="4" w:space="0" w:color="auto"/>
            </w:tcBorders>
            <w:shd w:val="clear" w:color="auto" w:fill="auto"/>
            <w:noWrap/>
            <w:vAlign w:val="bottom"/>
            <w:hideMark/>
          </w:tcPr>
          <w:p w14:paraId="4D810C47"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4,7964</w:t>
            </w:r>
          </w:p>
        </w:tc>
        <w:tc>
          <w:tcPr>
            <w:tcW w:w="1662" w:type="dxa"/>
            <w:tcBorders>
              <w:top w:val="nil"/>
              <w:left w:val="nil"/>
              <w:bottom w:val="single" w:sz="4" w:space="0" w:color="auto"/>
              <w:right w:val="single" w:sz="4" w:space="0" w:color="auto"/>
            </w:tcBorders>
            <w:shd w:val="clear" w:color="auto" w:fill="auto"/>
            <w:vAlign w:val="center"/>
            <w:hideMark/>
          </w:tcPr>
          <w:p w14:paraId="6AC0E95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2,4072</w:t>
            </w:r>
          </w:p>
        </w:tc>
        <w:tc>
          <w:tcPr>
            <w:tcW w:w="1662" w:type="dxa"/>
            <w:tcBorders>
              <w:top w:val="nil"/>
              <w:left w:val="nil"/>
              <w:bottom w:val="single" w:sz="4" w:space="0" w:color="auto"/>
              <w:right w:val="single" w:sz="4" w:space="0" w:color="auto"/>
            </w:tcBorders>
            <w:shd w:val="clear" w:color="auto" w:fill="auto"/>
            <w:noWrap/>
            <w:vAlign w:val="bottom"/>
            <w:hideMark/>
          </w:tcPr>
          <w:p w14:paraId="05C5925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1,0631</w:t>
            </w:r>
          </w:p>
        </w:tc>
        <w:tc>
          <w:tcPr>
            <w:tcW w:w="1446" w:type="dxa"/>
            <w:tcBorders>
              <w:top w:val="nil"/>
              <w:left w:val="nil"/>
              <w:bottom w:val="single" w:sz="4" w:space="0" w:color="auto"/>
              <w:right w:val="single" w:sz="4" w:space="0" w:color="auto"/>
            </w:tcBorders>
            <w:shd w:val="clear" w:color="auto" w:fill="auto"/>
            <w:noWrap/>
            <w:vAlign w:val="bottom"/>
            <w:hideMark/>
          </w:tcPr>
          <w:p w14:paraId="078CE41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6,75</w:t>
            </w:r>
          </w:p>
        </w:tc>
      </w:tr>
      <w:tr w:rsidR="00F87466" w:rsidRPr="00DD5F1D" w14:paraId="779A02A4"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0486D57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2014</w:t>
            </w:r>
          </w:p>
        </w:tc>
        <w:tc>
          <w:tcPr>
            <w:tcW w:w="1402" w:type="dxa"/>
            <w:tcBorders>
              <w:top w:val="nil"/>
              <w:left w:val="nil"/>
              <w:bottom w:val="single" w:sz="4" w:space="0" w:color="auto"/>
              <w:right w:val="single" w:sz="4" w:space="0" w:color="auto"/>
            </w:tcBorders>
            <w:shd w:val="clear" w:color="auto" w:fill="auto"/>
            <w:noWrap/>
            <w:vAlign w:val="bottom"/>
            <w:hideMark/>
          </w:tcPr>
          <w:p w14:paraId="43B74A5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4172,0</w:t>
            </w:r>
          </w:p>
        </w:tc>
        <w:tc>
          <w:tcPr>
            <w:tcW w:w="1402" w:type="dxa"/>
            <w:tcBorders>
              <w:top w:val="nil"/>
              <w:left w:val="nil"/>
              <w:bottom w:val="single" w:sz="4" w:space="0" w:color="auto"/>
              <w:right w:val="single" w:sz="4" w:space="0" w:color="auto"/>
            </w:tcBorders>
            <w:shd w:val="clear" w:color="auto" w:fill="auto"/>
            <w:noWrap/>
            <w:vAlign w:val="bottom"/>
            <w:hideMark/>
          </w:tcPr>
          <w:p w14:paraId="69AB898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1,108</w:t>
            </w:r>
          </w:p>
        </w:tc>
        <w:tc>
          <w:tcPr>
            <w:tcW w:w="1522" w:type="dxa"/>
            <w:tcBorders>
              <w:top w:val="nil"/>
              <w:left w:val="nil"/>
              <w:bottom w:val="single" w:sz="4" w:space="0" w:color="auto"/>
              <w:right w:val="single" w:sz="4" w:space="0" w:color="auto"/>
            </w:tcBorders>
            <w:shd w:val="clear" w:color="auto" w:fill="auto"/>
            <w:noWrap/>
            <w:vAlign w:val="bottom"/>
            <w:hideMark/>
          </w:tcPr>
          <w:p w14:paraId="74C6DF8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2,9613</w:t>
            </w:r>
          </w:p>
        </w:tc>
        <w:tc>
          <w:tcPr>
            <w:tcW w:w="1308" w:type="dxa"/>
            <w:tcBorders>
              <w:top w:val="nil"/>
              <w:left w:val="nil"/>
              <w:bottom w:val="single" w:sz="4" w:space="0" w:color="auto"/>
              <w:right w:val="single" w:sz="4" w:space="0" w:color="auto"/>
            </w:tcBorders>
            <w:shd w:val="clear" w:color="auto" w:fill="auto"/>
            <w:noWrap/>
            <w:vAlign w:val="bottom"/>
            <w:hideMark/>
          </w:tcPr>
          <w:p w14:paraId="0C7AD4D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104,70</w:t>
            </w:r>
          </w:p>
        </w:tc>
        <w:tc>
          <w:tcPr>
            <w:tcW w:w="1592" w:type="dxa"/>
            <w:tcBorders>
              <w:top w:val="nil"/>
              <w:left w:val="nil"/>
              <w:bottom w:val="single" w:sz="4" w:space="0" w:color="auto"/>
              <w:right w:val="single" w:sz="4" w:space="0" w:color="auto"/>
            </w:tcBorders>
            <w:shd w:val="clear" w:color="auto" w:fill="auto"/>
            <w:noWrap/>
            <w:vAlign w:val="bottom"/>
            <w:hideMark/>
          </w:tcPr>
          <w:p w14:paraId="5F4484B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5,0218</w:t>
            </w:r>
          </w:p>
        </w:tc>
        <w:tc>
          <w:tcPr>
            <w:tcW w:w="1662" w:type="dxa"/>
            <w:tcBorders>
              <w:top w:val="nil"/>
              <w:left w:val="nil"/>
              <w:bottom w:val="single" w:sz="4" w:space="0" w:color="auto"/>
              <w:right w:val="single" w:sz="4" w:space="0" w:color="auto"/>
            </w:tcBorders>
            <w:shd w:val="clear" w:color="auto" w:fill="auto"/>
            <w:vAlign w:val="center"/>
            <w:hideMark/>
          </w:tcPr>
          <w:p w14:paraId="62A33771"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2,2644</w:t>
            </w:r>
          </w:p>
        </w:tc>
        <w:tc>
          <w:tcPr>
            <w:tcW w:w="1662" w:type="dxa"/>
            <w:tcBorders>
              <w:top w:val="nil"/>
              <w:left w:val="nil"/>
              <w:bottom w:val="single" w:sz="4" w:space="0" w:color="auto"/>
              <w:right w:val="single" w:sz="4" w:space="0" w:color="auto"/>
            </w:tcBorders>
            <w:shd w:val="clear" w:color="auto" w:fill="auto"/>
            <w:noWrap/>
            <w:vAlign w:val="bottom"/>
            <w:hideMark/>
          </w:tcPr>
          <w:p w14:paraId="2A92CC4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1,0803</w:t>
            </w:r>
          </w:p>
        </w:tc>
        <w:tc>
          <w:tcPr>
            <w:tcW w:w="1446" w:type="dxa"/>
            <w:tcBorders>
              <w:top w:val="nil"/>
              <w:left w:val="nil"/>
              <w:bottom w:val="single" w:sz="4" w:space="0" w:color="auto"/>
              <w:right w:val="single" w:sz="4" w:space="0" w:color="auto"/>
            </w:tcBorders>
            <w:shd w:val="clear" w:color="auto" w:fill="auto"/>
            <w:noWrap/>
            <w:vAlign w:val="bottom"/>
            <w:hideMark/>
          </w:tcPr>
          <w:p w14:paraId="5CB3C504"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6,45</w:t>
            </w:r>
          </w:p>
        </w:tc>
      </w:tr>
      <w:tr w:rsidR="00F87466" w:rsidRPr="00DD5F1D" w14:paraId="6B4CE8AA"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6A6445C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2015</w:t>
            </w:r>
          </w:p>
        </w:tc>
        <w:tc>
          <w:tcPr>
            <w:tcW w:w="1402" w:type="dxa"/>
            <w:tcBorders>
              <w:top w:val="nil"/>
              <w:left w:val="nil"/>
              <w:bottom w:val="single" w:sz="4" w:space="0" w:color="auto"/>
              <w:right w:val="single" w:sz="4" w:space="0" w:color="auto"/>
            </w:tcBorders>
            <w:shd w:val="clear" w:color="auto" w:fill="auto"/>
            <w:noWrap/>
            <w:vAlign w:val="bottom"/>
            <w:hideMark/>
          </w:tcPr>
          <w:p w14:paraId="23D5312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4610,9</w:t>
            </w:r>
          </w:p>
        </w:tc>
        <w:tc>
          <w:tcPr>
            <w:tcW w:w="1402" w:type="dxa"/>
            <w:tcBorders>
              <w:top w:val="nil"/>
              <w:left w:val="nil"/>
              <w:bottom w:val="single" w:sz="4" w:space="0" w:color="auto"/>
              <w:right w:val="single" w:sz="4" w:space="0" w:color="auto"/>
            </w:tcBorders>
            <w:shd w:val="clear" w:color="auto" w:fill="auto"/>
            <w:noWrap/>
            <w:vAlign w:val="bottom"/>
            <w:hideMark/>
          </w:tcPr>
          <w:p w14:paraId="44CC049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1,105</w:t>
            </w:r>
          </w:p>
        </w:tc>
        <w:tc>
          <w:tcPr>
            <w:tcW w:w="1522" w:type="dxa"/>
            <w:tcBorders>
              <w:top w:val="nil"/>
              <w:left w:val="nil"/>
              <w:bottom w:val="single" w:sz="4" w:space="0" w:color="auto"/>
              <w:right w:val="single" w:sz="4" w:space="0" w:color="auto"/>
            </w:tcBorders>
            <w:shd w:val="clear" w:color="auto" w:fill="auto"/>
            <w:noWrap/>
            <w:vAlign w:val="bottom"/>
            <w:hideMark/>
          </w:tcPr>
          <w:p w14:paraId="61D97AC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2,6795</w:t>
            </w:r>
          </w:p>
        </w:tc>
        <w:tc>
          <w:tcPr>
            <w:tcW w:w="1308" w:type="dxa"/>
            <w:tcBorders>
              <w:top w:val="nil"/>
              <w:left w:val="nil"/>
              <w:bottom w:val="single" w:sz="4" w:space="0" w:color="auto"/>
              <w:right w:val="single" w:sz="4" w:space="0" w:color="auto"/>
            </w:tcBorders>
            <w:shd w:val="clear" w:color="auto" w:fill="auto"/>
            <w:noWrap/>
            <w:vAlign w:val="bottom"/>
            <w:hideMark/>
          </w:tcPr>
          <w:p w14:paraId="6F49427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113,60</w:t>
            </w:r>
          </w:p>
        </w:tc>
        <w:tc>
          <w:tcPr>
            <w:tcW w:w="1592" w:type="dxa"/>
            <w:tcBorders>
              <w:top w:val="nil"/>
              <w:left w:val="nil"/>
              <w:bottom w:val="single" w:sz="4" w:space="0" w:color="auto"/>
              <w:right w:val="single" w:sz="4" w:space="0" w:color="auto"/>
            </w:tcBorders>
            <w:shd w:val="clear" w:color="auto" w:fill="auto"/>
            <w:noWrap/>
            <w:vAlign w:val="bottom"/>
            <w:hideMark/>
          </w:tcPr>
          <w:p w14:paraId="6888E02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5,7048</w:t>
            </w:r>
          </w:p>
        </w:tc>
        <w:tc>
          <w:tcPr>
            <w:tcW w:w="1662" w:type="dxa"/>
            <w:tcBorders>
              <w:top w:val="nil"/>
              <w:left w:val="nil"/>
              <w:bottom w:val="single" w:sz="4" w:space="0" w:color="auto"/>
              <w:right w:val="single" w:sz="4" w:space="0" w:color="auto"/>
            </w:tcBorders>
            <w:shd w:val="clear" w:color="auto" w:fill="auto"/>
            <w:vAlign w:val="center"/>
            <w:hideMark/>
          </w:tcPr>
          <w:p w14:paraId="660CD05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2,0960</w:t>
            </w:r>
          </w:p>
        </w:tc>
        <w:tc>
          <w:tcPr>
            <w:tcW w:w="1662" w:type="dxa"/>
            <w:tcBorders>
              <w:top w:val="nil"/>
              <w:left w:val="nil"/>
              <w:bottom w:val="single" w:sz="4" w:space="0" w:color="auto"/>
              <w:right w:val="single" w:sz="4" w:space="0" w:color="auto"/>
            </w:tcBorders>
            <w:shd w:val="clear" w:color="auto" w:fill="auto"/>
            <w:noWrap/>
            <w:vAlign w:val="bottom"/>
            <w:hideMark/>
          </w:tcPr>
          <w:p w14:paraId="14A0DFE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1,1018</w:t>
            </w:r>
          </w:p>
        </w:tc>
        <w:tc>
          <w:tcPr>
            <w:tcW w:w="1446" w:type="dxa"/>
            <w:tcBorders>
              <w:top w:val="nil"/>
              <w:left w:val="nil"/>
              <w:bottom w:val="single" w:sz="4" w:space="0" w:color="auto"/>
              <w:right w:val="single" w:sz="4" w:space="0" w:color="auto"/>
            </w:tcBorders>
            <w:shd w:val="clear" w:color="auto" w:fill="auto"/>
            <w:noWrap/>
            <w:vAlign w:val="bottom"/>
            <w:hideMark/>
          </w:tcPr>
          <w:p w14:paraId="7ABACCB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1,95</w:t>
            </w:r>
          </w:p>
        </w:tc>
      </w:tr>
      <w:tr w:rsidR="00F87466" w:rsidRPr="00DD5F1D" w14:paraId="1C054D3A"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0086AD9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2016</w:t>
            </w:r>
          </w:p>
        </w:tc>
        <w:tc>
          <w:tcPr>
            <w:tcW w:w="1402" w:type="dxa"/>
            <w:tcBorders>
              <w:top w:val="nil"/>
              <w:left w:val="nil"/>
              <w:bottom w:val="single" w:sz="4" w:space="0" w:color="auto"/>
              <w:right w:val="single" w:sz="4" w:space="0" w:color="auto"/>
            </w:tcBorders>
            <w:shd w:val="clear" w:color="auto" w:fill="auto"/>
            <w:noWrap/>
            <w:vAlign w:val="bottom"/>
            <w:hideMark/>
          </w:tcPr>
          <w:p w14:paraId="49BDEF4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5084,0</w:t>
            </w:r>
          </w:p>
        </w:tc>
        <w:tc>
          <w:tcPr>
            <w:tcW w:w="1402" w:type="dxa"/>
            <w:tcBorders>
              <w:top w:val="nil"/>
              <w:left w:val="nil"/>
              <w:bottom w:val="single" w:sz="4" w:space="0" w:color="auto"/>
              <w:right w:val="single" w:sz="4" w:space="0" w:color="auto"/>
            </w:tcBorders>
            <w:shd w:val="clear" w:color="auto" w:fill="auto"/>
            <w:noWrap/>
            <w:vAlign w:val="bottom"/>
            <w:hideMark/>
          </w:tcPr>
          <w:p w14:paraId="1691D2A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1,103</w:t>
            </w:r>
          </w:p>
        </w:tc>
        <w:tc>
          <w:tcPr>
            <w:tcW w:w="1522" w:type="dxa"/>
            <w:tcBorders>
              <w:top w:val="nil"/>
              <w:left w:val="nil"/>
              <w:bottom w:val="single" w:sz="4" w:space="0" w:color="auto"/>
              <w:right w:val="single" w:sz="4" w:space="0" w:color="auto"/>
            </w:tcBorders>
            <w:shd w:val="clear" w:color="auto" w:fill="auto"/>
            <w:noWrap/>
            <w:vAlign w:val="bottom"/>
            <w:hideMark/>
          </w:tcPr>
          <w:p w14:paraId="734A739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2,4301</w:t>
            </w:r>
          </w:p>
        </w:tc>
        <w:tc>
          <w:tcPr>
            <w:tcW w:w="1308" w:type="dxa"/>
            <w:tcBorders>
              <w:top w:val="nil"/>
              <w:left w:val="nil"/>
              <w:bottom w:val="single" w:sz="4" w:space="0" w:color="auto"/>
              <w:right w:val="single" w:sz="4" w:space="0" w:color="auto"/>
            </w:tcBorders>
            <w:shd w:val="clear" w:color="auto" w:fill="auto"/>
            <w:noWrap/>
            <w:vAlign w:val="bottom"/>
            <w:hideMark/>
          </w:tcPr>
          <w:p w14:paraId="0A41EA96"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102,38</w:t>
            </w:r>
          </w:p>
        </w:tc>
        <w:tc>
          <w:tcPr>
            <w:tcW w:w="1592" w:type="dxa"/>
            <w:tcBorders>
              <w:top w:val="nil"/>
              <w:left w:val="nil"/>
              <w:bottom w:val="single" w:sz="4" w:space="0" w:color="auto"/>
              <w:right w:val="single" w:sz="4" w:space="0" w:color="auto"/>
            </w:tcBorders>
            <w:shd w:val="clear" w:color="auto" w:fill="auto"/>
            <w:noWrap/>
            <w:vAlign w:val="bottom"/>
            <w:hideMark/>
          </w:tcPr>
          <w:p w14:paraId="1DD137E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5,8405</w:t>
            </w:r>
          </w:p>
        </w:tc>
        <w:tc>
          <w:tcPr>
            <w:tcW w:w="1662" w:type="dxa"/>
            <w:tcBorders>
              <w:top w:val="nil"/>
              <w:left w:val="nil"/>
              <w:bottom w:val="single" w:sz="4" w:space="0" w:color="auto"/>
              <w:right w:val="single" w:sz="4" w:space="0" w:color="auto"/>
            </w:tcBorders>
            <w:shd w:val="clear" w:color="auto" w:fill="auto"/>
            <w:vAlign w:val="center"/>
            <w:hideMark/>
          </w:tcPr>
          <w:p w14:paraId="7E5AC10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1,9023</w:t>
            </w:r>
          </w:p>
        </w:tc>
        <w:tc>
          <w:tcPr>
            <w:tcW w:w="1662" w:type="dxa"/>
            <w:tcBorders>
              <w:top w:val="nil"/>
              <w:left w:val="nil"/>
              <w:bottom w:val="single" w:sz="4" w:space="0" w:color="auto"/>
              <w:right w:val="single" w:sz="4" w:space="0" w:color="auto"/>
            </w:tcBorders>
            <w:shd w:val="clear" w:color="auto" w:fill="auto"/>
            <w:noWrap/>
            <w:vAlign w:val="bottom"/>
            <w:hideMark/>
          </w:tcPr>
          <w:p w14:paraId="7AAD270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1,0678</w:t>
            </w:r>
          </w:p>
        </w:tc>
        <w:tc>
          <w:tcPr>
            <w:tcW w:w="1446" w:type="dxa"/>
            <w:tcBorders>
              <w:top w:val="nil"/>
              <w:left w:val="nil"/>
              <w:bottom w:val="single" w:sz="4" w:space="0" w:color="auto"/>
              <w:right w:val="single" w:sz="4" w:space="0" w:color="auto"/>
            </w:tcBorders>
            <w:shd w:val="clear" w:color="auto" w:fill="auto"/>
            <w:noWrap/>
            <w:vAlign w:val="bottom"/>
            <w:hideMark/>
          </w:tcPr>
          <w:p w14:paraId="5FBE210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10,10</w:t>
            </w:r>
          </w:p>
        </w:tc>
      </w:tr>
      <w:tr w:rsidR="00F87466" w:rsidRPr="00DD5F1D" w14:paraId="70D3E1A1"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12707B7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2017</w:t>
            </w:r>
          </w:p>
        </w:tc>
        <w:tc>
          <w:tcPr>
            <w:tcW w:w="1402" w:type="dxa"/>
            <w:tcBorders>
              <w:top w:val="nil"/>
              <w:left w:val="nil"/>
              <w:bottom w:val="single" w:sz="4" w:space="0" w:color="auto"/>
              <w:right w:val="single" w:sz="4" w:space="0" w:color="auto"/>
            </w:tcBorders>
            <w:shd w:val="clear" w:color="auto" w:fill="auto"/>
            <w:noWrap/>
            <w:vAlign w:val="bottom"/>
            <w:hideMark/>
          </w:tcPr>
          <w:p w14:paraId="003C81E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5697,1</w:t>
            </w:r>
          </w:p>
        </w:tc>
        <w:tc>
          <w:tcPr>
            <w:tcW w:w="1402" w:type="dxa"/>
            <w:tcBorders>
              <w:top w:val="nil"/>
              <w:left w:val="nil"/>
              <w:bottom w:val="single" w:sz="4" w:space="0" w:color="auto"/>
              <w:right w:val="single" w:sz="4" w:space="0" w:color="auto"/>
            </w:tcBorders>
            <w:shd w:val="clear" w:color="auto" w:fill="auto"/>
            <w:noWrap/>
            <w:vAlign w:val="bottom"/>
            <w:hideMark/>
          </w:tcPr>
          <w:p w14:paraId="2C51662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1,121</w:t>
            </w:r>
          </w:p>
        </w:tc>
        <w:tc>
          <w:tcPr>
            <w:tcW w:w="1522" w:type="dxa"/>
            <w:tcBorders>
              <w:top w:val="nil"/>
              <w:left w:val="nil"/>
              <w:bottom w:val="single" w:sz="4" w:space="0" w:color="auto"/>
              <w:right w:val="single" w:sz="4" w:space="0" w:color="auto"/>
            </w:tcBorders>
            <w:shd w:val="clear" w:color="auto" w:fill="auto"/>
            <w:noWrap/>
            <w:vAlign w:val="bottom"/>
            <w:hideMark/>
          </w:tcPr>
          <w:p w14:paraId="49C9703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2,1686</w:t>
            </w:r>
          </w:p>
        </w:tc>
        <w:tc>
          <w:tcPr>
            <w:tcW w:w="1308" w:type="dxa"/>
            <w:tcBorders>
              <w:top w:val="nil"/>
              <w:left w:val="nil"/>
              <w:bottom w:val="single" w:sz="4" w:space="0" w:color="auto"/>
              <w:right w:val="single" w:sz="4" w:space="0" w:color="auto"/>
            </w:tcBorders>
            <w:shd w:val="clear" w:color="auto" w:fill="auto"/>
            <w:noWrap/>
            <w:vAlign w:val="bottom"/>
            <w:hideMark/>
          </w:tcPr>
          <w:p w14:paraId="4FE3BC9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107,31</w:t>
            </w:r>
          </w:p>
        </w:tc>
        <w:tc>
          <w:tcPr>
            <w:tcW w:w="1592" w:type="dxa"/>
            <w:tcBorders>
              <w:top w:val="nil"/>
              <w:left w:val="nil"/>
              <w:bottom w:val="single" w:sz="4" w:space="0" w:color="auto"/>
              <w:right w:val="single" w:sz="4" w:space="0" w:color="auto"/>
            </w:tcBorders>
            <w:shd w:val="clear" w:color="auto" w:fill="auto"/>
            <w:noWrap/>
            <w:vAlign w:val="bottom"/>
            <w:hideMark/>
          </w:tcPr>
          <w:p w14:paraId="6EC78E7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6,2675</w:t>
            </w:r>
          </w:p>
        </w:tc>
        <w:tc>
          <w:tcPr>
            <w:tcW w:w="1662" w:type="dxa"/>
            <w:tcBorders>
              <w:top w:val="nil"/>
              <w:left w:val="nil"/>
              <w:bottom w:val="single" w:sz="4" w:space="0" w:color="auto"/>
              <w:right w:val="single" w:sz="4" w:space="0" w:color="auto"/>
            </w:tcBorders>
            <w:shd w:val="clear" w:color="auto" w:fill="auto"/>
            <w:vAlign w:val="center"/>
            <w:hideMark/>
          </w:tcPr>
          <w:p w14:paraId="78B0D38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1,7815</w:t>
            </w:r>
          </w:p>
        </w:tc>
        <w:tc>
          <w:tcPr>
            <w:tcW w:w="1662" w:type="dxa"/>
            <w:tcBorders>
              <w:top w:val="nil"/>
              <w:left w:val="nil"/>
              <w:bottom w:val="single" w:sz="4" w:space="0" w:color="auto"/>
              <w:right w:val="single" w:sz="4" w:space="0" w:color="auto"/>
            </w:tcBorders>
            <w:shd w:val="clear" w:color="auto" w:fill="auto"/>
            <w:noWrap/>
            <w:vAlign w:val="bottom"/>
            <w:hideMark/>
          </w:tcPr>
          <w:p w14:paraId="32B0B924"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1,0656</w:t>
            </w:r>
          </w:p>
        </w:tc>
        <w:tc>
          <w:tcPr>
            <w:tcW w:w="1446" w:type="dxa"/>
            <w:tcBorders>
              <w:top w:val="nil"/>
              <w:left w:val="nil"/>
              <w:bottom w:val="single" w:sz="4" w:space="0" w:color="auto"/>
              <w:right w:val="single" w:sz="4" w:space="0" w:color="auto"/>
            </w:tcBorders>
            <w:shd w:val="clear" w:color="auto" w:fill="auto"/>
            <w:noWrap/>
            <w:vAlign w:val="bottom"/>
            <w:hideMark/>
          </w:tcPr>
          <w:p w14:paraId="40BB69B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6,80</w:t>
            </w:r>
          </w:p>
        </w:tc>
      </w:tr>
      <w:tr w:rsidR="00F87466" w:rsidRPr="00DD5F1D" w14:paraId="0AFC07F8"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0B83CE4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2018</w:t>
            </w:r>
          </w:p>
        </w:tc>
        <w:tc>
          <w:tcPr>
            <w:tcW w:w="1402" w:type="dxa"/>
            <w:tcBorders>
              <w:top w:val="nil"/>
              <w:left w:val="nil"/>
              <w:bottom w:val="single" w:sz="4" w:space="0" w:color="auto"/>
              <w:right w:val="single" w:sz="4" w:space="0" w:color="auto"/>
            </w:tcBorders>
            <w:shd w:val="clear" w:color="auto" w:fill="auto"/>
            <w:noWrap/>
            <w:vAlign w:val="bottom"/>
            <w:hideMark/>
          </w:tcPr>
          <w:p w14:paraId="5A8C7BB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6446,4</w:t>
            </w:r>
          </w:p>
        </w:tc>
        <w:tc>
          <w:tcPr>
            <w:tcW w:w="1402" w:type="dxa"/>
            <w:tcBorders>
              <w:top w:val="nil"/>
              <w:left w:val="nil"/>
              <w:bottom w:val="single" w:sz="4" w:space="0" w:color="auto"/>
              <w:right w:val="single" w:sz="4" w:space="0" w:color="auto"/>
            </w:tcBorders>
            <w:shd w:val="clear" w:color="auto" w:fill="auto"/>
            <w:noWrap/>
            <w:vAlign w:val="bottom"/>
            <w:hideMark/>
          </w:tcPr>
          <w:p w14:paraId="5A71F43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1,132</w:t>
            </w:r>
          </w:p>
        </w:tc>
        <w:tc>
          <w:tcPr>
            <w:tcW w:w="1522" w:type="dxa"/>
            <w:tcBorders>
              <w:top w:val="nil"/>
              <w:left w:val="nil"/>
              <w:bottom w:val="single" w:sz="4" w:space="0" w:color="auto"/>
              <w:right w:val="single" w:sz="4" w:space="0" w:color="auto"/>
            </w:tcBorders>
            <w:shd w:val="clear" w:color="auto" w:fill="auto"/>
            <w:noWrap/>
            <w:vAlign w:val="bottom"/>
            <w:hideMark/>
          </w:tcPr>
          <w:p w14:paraId="60B3B82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1,9165</w:t>
            </w:r>
          </w:p>
        </w:tc>
        <w:tc>
          <w:tcPr>
            <w:tcW w:w="1308" w:type="dxa"/>
            <w:tcBorders>
              <w:top w:val="nil"/>
              <w:left w:val="nil"/>
              <w:bottom w:val="single" w:sz="4" w:space="0" w:color="auto"/>
              <w:right w:val="single" w:sz="4" w:space="0" w:color="auto"/>
            </w:tcBorders>
            <w:shd w:val="clear" w:color="auto" w:fill="auto"/>
            <w:noWrap/>
            <w:vAlign w:val="bottom"/>
            <w:hideMark/>
          </w:tcPr>
          <w:p w14:paraId="69AD8564"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100,88</w:t>
            </w:r>
          </w:p>
        </w:tc>
        <w:tc>
          <w:tcPr>
            <w:tcW w:w="1592" w:type="dxa"/>
            <w:tcBorders>
              <w:top w:val="nil"/>
              <w:left w:val="nil"/>
              <w:bottom w:val="single" w:sz="4" w:space="0" w:color="auto"/>
              <w:right w:val="single" w:sz="4" w:space="0" w:color="auto"/>
            </w:tcBorders>
            <w:shd w:val="clear" w:color="auto" w:fill="auto"/>
            <w:noWrap/>
            <w:vAlign w:val="bottom"/>
            <w:hideMark/>
          </w:tcPr>
          <w:p w14:paraId="40E32E8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6,3226</w:t>
            </w:r>
          </w:p>
        </w:tc>
        <w:tc>
          <w:tcPr>
            <w:tcW w:w="1662" w:type="dxa"/>
            <w:tcBorders>
              <w:top w:val="nil"/>
              <w:left w:val="nil"/>
              <w:bottom w:val="single" w:sz="4" w:space="0" w:color="auto"/>
              <w:right w:val="single" w:sz="4" w:space="0" w:color="auto"/>
            </w:tcBorders>
            <w:shd w:val="clear" w:color="auto" w:fill="auto"/>
            <w:vAlign w:val="center"/>
            <w:hideMark/>
          </w:tcPr>
          <w:p w14:paraId="667C219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1,6719</w:t>
            </w:r>
          </w:p>
        </w:tc>
        <w:tc>
          <w:tcPr>
            <w:tcW w:w="1662" w:type="dxa"/>
            <w:tcBorders>
              <w:top w:val="nil"/>
              <w:left w:val="nil"/>
              <w:bottom w:val="single" w:sz="4" w:space="0" w:color="auto"/>
              <w:right w:val="single" w:sz="4" w:space="0" w:color="auto"/>
            </w:tcBorders>
            <w:shd w:val="clear" w:color="auto" w:fill="auto"/>
            <w:noWrap/>
            <w:vAlign w:val="bottom"/>
            <w:hideMark/>
          </w:tcPr>
          <w:p w14:paraId="432295E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1,0529</w:t>
            </w:r>
          </w:p>
        </w:tc>
        <w:tc>
          <w:tcPr>
            <w:tcW w:w="1446" w:type="dxa"/>
            <w:tcBorders>
              <w:top w:val="nil"/>
              <w:left w:val="nil"/>
              <w:bottom w:val="single" w:sz="4" w:space="0" w:color="auto"/>
              <w:right w:val="single" w:sz="4" w:space="0" w:color="auto"/>
            </w:tcBorders>
            <w:shd w:val="clear" w:color="auto" w:fill="auto"/>
            <w:noWrap/>
            <w:vAlign w:val="bottom"/>
            <w:hideMark/>
          </w:tcPr>
          <w:p w14:paraId="20DE4B5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6,60</w:t>
            </w:r>
          </w:p>
        </w:tc>
      </w:tr>
      <w:tr w:rsidR="00F87466" w:rsidRPr="00DD5F1D" w14:paraId="678E4FDB"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01CA68A6"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2019</w:t>
            </w:r>
          </w:p>
        </w:tc>
        <w:tc>
          <w:tcPr>
            <w:tcW w:w="1402" w:type="dxa"/>
            <w:tcBorders>
              <w:top w:val="nil"/>
              <w:left w:val="nil"/>
              <w:bottom w:val="single" w:sz="4" w:space="0" w:color="auto"/>
              <w:right w:val="single" w:sz="4" w:space="0" w:color="auto"/>
            </w:tcBorders>
            <w:shd w:val="clear" w:color="auto" w:fill="auto"/>
            <w:noWrap/>
            <w:vAlign w:val="bottom"/>
            <w:hideMark/>
          </w:tcPr>
          <w:p w14:paraId="4D1D5A9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7356,1</w:t>
            </w:r>
          </w:p>
        </w:tc>
        <w:tc>
          <w:tcPr>
            <w:tcW w:w="1402" w:type="dxa"/>
            <w:tcBorders>
              <w:top w:val="nil"/>
              <w:left w:val="nil"/>
              <w:bottom w:val="single" w:sz="4" w:space="0" w:color="auto"/>
              <w:right w:val="single" w:sz="4" w:space="0" w:color="auto"/>
            </w:tcBorders>
            <w:shd w:val="clear" w:color="auto" w:fill="auto"/>
            <w:noWrap/>
            <w:vAlign w:val="bottom"/>
            <w:hideMark/>
          </w:tcPr>
          <w:p w14:paraId="7A28DB6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1,141</w:t>
            </w:r>
          </w:p>
        </w:tc>
        <w:tc>
          <w:tcPr>
            <w:tcW w:w="1522" w:type="dxa"/>
            <w:tcBorders>
              <w:top w:val="nil"/>
              <w:left w:val="nil"/>
              <w:bottom w:val="single" w:sz="4" w:space="0" w:color="auto"/>
              <w:right w:val="single" w:sz="4" w:space="0" w:color="auto"/>
            </w:tcBorders>
            <w:shd w:val="clear" w:color="auto" w:fill="auto"/>
            <w:noWrap/>
            <w:vAlign w:val="bottom"/>
            <w:hideMark/>
          </w:tcPr>
          <w:p w14:paraId="0C75BDA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1,6795</w:t>
            </w:r>
          </w:p>
        </w:tc>
        <w:tc>
          <w:tcPr>
            <w:tcW w:w="1308" w:type="dxa"/>
            <w:tcBorders>
              <w:top w:val="nil"/>
              <w:left w:val="nil"/>
              <w:bottom w:val="single" w:sz="4" w:space="0" w:color="auto"/>
              <w:right w:val="single" w:sz="4" w:space="0" w:color="auto"/>
            </w:tcBorders>
            <w:shd w:val="clear" w:color="auto" w:fill="auto"/>
            <w:noWrap/>
            <w:vAlign w:val="bottom"/>
            <w:hideMark/>
          </w:tcPr>
          <w:p w14:paraId="1BF9BB9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107,54</w:t>
            </w:r>
          </w:p>
        </w:tc>
        <w:tc>
          <w:tcPr>
            <w:tcW w:w="1592" w:type="dxa"/>
            <w:tcBorders>
              <w:top w:val="nil"/>
              <w:left w:val="nil"/>
              <w:bottom w:val="single" w:sz="4" w:space="0" w:color="auto"/>
              <w:right w:val="single" w:sz="4" w:space="0" w:color="auto"/>
            </w:tcBorders>
            <w:shd w:val="clear" w:color="auto" w:fill="auto"/>
            <w:noWrap/>
            <w:vAlign w:val="bottom"/>
            <w:hideMark/>
          </w:tcPr>
          <w:p w14:paraId="569D3B8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6,7994</w:t>
            </w:r>
          </w:p>
        </w:tc>
        <w:tc>
          <w:tcPr>
            <w:tcW w:w="1662" w:type="dxa"/>
            <w:tcBorders>
              <w:top w:val="nil"/>
              <w:left w:val="nil"/>
              <w:bottom w:val="single" w:sz="4" w:space="0" w:color="auto"/>
              <w:right w:val="single" w:sz="4" w:space="0" w:color="auto"/>
            </w:tcBorders>
            <w:shd w:val="clear" w:color="auto" w:fill="auto"/>
            <w:vAlign w:val="center"/>
            <w:hideMark/>
          </w:tcPr>
          <w:p w14:paraId="6900CCE8"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1,5879</w:t>
            </w:r>
          </w:p>
        </w:tc>
        <w:tc>
          <w:tcPr>
            <w:tcW w:w="1662" w:type="dxa"/>
            <w:tcBorders>
              <w:top w:val="nil"/>
              <w:left w:val="nil"/>
              <w:bottom w:val="single" w:sz="4" w:space="0" w:color="auto"/>
              <w:right w:val="single" w:sz="4" w:space="0" w:color="auto"/>
            </w:tcBorders>
            <w:shd w:val="clear" w:color="auto" w:fill="auto"/>
            <w:noWrap/>
            <w:vAlign w:val="bottom"/>
            <w:hideMark/>
          </w:tcPr>
          <w:p w14:paraId="5EC1C296"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1,0484</w:t>
            </w:r>
          </w:p>
        </w:tc>
        <w:tc>
          <w:tcPr>
            <w:tcW w:w="1446" w:type="dxa"/>
            <w:tcBorders>
              <w:top w:val="nil"/>
              <w:left w:val="nil"/>
              <w:bottom w:val="single" w:sz="4" w:space="0" w:color="auto"/>
              <w:right w:val="single" w:sz="4" w:space="0" w:color="auto"/>
            </w:tcBorders>
            <w:shd w:val="clear" w:color="auto" w:fill="auto"/>
            <w:noWrap/>
            <w:vAlign w:val="bottom"/>
            <w:hideMark/>
          </w:tcPr>
          <w:p w14:paraId="4A52DA5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5,30</w:t>
            </w:r>
          </w:p>
        </w:tc>
      </w:tr>
      <w:tr w:rsidR="00F87466" w:rsidRPr="00DD5F1D" w14:paraId="15727767"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599A7D1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01.04.2020</w:t>
            </w:r>
          </w:p>
        </w:tc>
        <w:tc>
          <w:tcPr>
            <w:tcW w:w="1402" w:type="dxa"/>
            <w:tcBorders>
              <w:top w:val="nil"/>
              <w:left w:val="nil"/>
              <w:bottom w:val="single" w:sz="4" w:space="0" w:color="auto"/>
              <w:right w:val="single" w:sz="4" w:space="0" w:color="auto"/>
            </w:tcBorders>
            <w:shd w:val="clear" w:color="auto" w:fill="auto"/>
            <w:noWrap/>
            <w:vAlign w:val="bottom"/>
            <w:hideMark/>
          </w:tcPr>
          <w:p w14:paraId="16BECBB5"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402" w:type="dxa"/>
            <w:tcBorders>
              <w:top w:val="nil"/>
              <w:left w:val="nil"/>
              <w:bottom w:val="single" w:sz="4" w:space="0" w:color="auto"/>
              <w:right w:val="single" w:sz="4" w:space="0" w:color="auto"/>
            </w:tcBorders>
            <w:shd w:val="clear" w:color="auto" w:fill="auto"/>
            <w:noWrap/>
            <w:vAlign w:val="bottom"/>
            <w:hideMark/>
          </w:tcPr>
          <w:p w14:paraId="30999022"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522" w:type="dxa"/>
            <w:tcBorders>
              <w:top w:val="nil"/>
              <w:left w:val="nil"/>
              <w:bottom w:val="single" w:sz="4" w:space="0" w:color="auto"/>
              <w:right w:val="single" w:sz="4" w:space="0" w:color="auto"/>
            </w:tcBorders>
            <w:shd w:val="clear" w:color="auto" w:fill="auto"/>
            <w:noWrap/>
            <w:vAlign w:val="bottom"/>
            <w:hideMark/>
          </w:tcPr>
          <w:p w14:paraId="0E3B36BB"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308" w:type="dxa"/>
            <w:tcBorders>
              <w:top w:val="nil"/>
              <w:left w:val="nil"/>
              <w:bottom w:val="single" w:sz="4" w:space="0" w:color="auto"/>
              <w:right w:val="single" w:sz="4" w:space="0" w:color="auto"/>
            </w:tcBorders>
            <w:shd w:val="clear" w:color="auto" w:fill="auto"/>
            <w:noWrap/>
            <w:vAlign w:val="bottom"/>
            <w:hideMark/>
          </w:tcPr>
          <w:p w14:paraId="10AF5743"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592" w:type="dxa"/>
            <w:tcBorders>
              <w:top w:val="nil"/>
              <w:left w:val="nil"/>
              <w:bottom w:val="single" w:sz="4" w:space="0" w:color="auto"/>
              <w:right w:val="single" w:sz="4" w:space="0" w:color="auto"/>
            </w:tcBorders>
            <w:shd w:val="clear" w:color="auto" w:fill="auto"/>
            <w:noWrap/>
            <w:vAlign w:val="bottom"/>
            <w:hideMark/>
          </w:tcPr>
          <w:p w14:paraId="31B36914"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662" w:type="dxa"/>
            <w:tcBorders>
              <w:top w:val="nil"/>
              <w:left w:val="nil"/>
              <w:bottom w:val="single" w:sz="4" w:space="0" w:color="auto"/>
              <w:right w:val="single" w:sz="4" w:space="0" w:color="auto"/>
            </w:tcBorders>
            <w:shd w:val="clear" w:color="auto" w:fill="auto"/>
            <w:vAlign w:val="center"/>
            <w:hideMark/>
          </w:tcPr>
          <w:p w14:paraId="4AD2DF8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1,5146</w:t>
            </w:r>
          </w:p>
        </w:tc>
        <w:tc>
          <w:tcPr>
            <w:tcW w:w="1662" w:type="dxa"/>
            <w:tcBorders>
              <w:top w:val="nil"/>
              <w:left w:val="nil"/>
              <w:bottom w:val="single" w:sz="4" w:space="0" w:color="auto"/>
              <w:right w:val="single" w:sz="4" w:space="0" w:color="auto"/>
            </w:tcBorders>
            <w:shd w:val="clear" w:color="auto" w:fill="auto"/>
            <w:noWrap/>
            <w:vAlign w:val="bottom"/>
            <w:hideMark/>
          </w:tcPr>
          <w:p w14:paraId="16D6584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1,0107</w:t>
            </w:r>
          </w:p>
        </w:tc>
        <w:tc>
          <w:tcPr>
            <w:tcW w:w="1446" w:type="dxa"/>
            <w:tcBorders>
              <w:top w:val="nil"/>
              <w:left w:val="nil"/>
              <w:bottom w:val="single" w:sz="4" w:space="0" w:color="auto"/>
              <w:right w:val="single" w:sz="4" w:space="0" w:color="auto"/>
            </w:tcBorders>
            <w:shd w:val="clear" w:color="auto" w:fill="auto"/>
            <w:noWrap/>
            <w:vAlign w:val="bottom"/>
            <w:hideMark/>
          </w:tcPr>
          <w:p w14:paraId="38043BA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4,83</w:t>
            </w:r>
          </w:p>
        </w:tc>
      </w:tr>
      <w:tr w:rsidR="00F87466" w:rsidRPr="00DD5F1D" w14:paraId="0CD94A6A"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635B613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01.10.2020</w:t>
            </w:r>
          </w:p>
        </w:tc>
        <w:tc>
          <w:tcPr>
            <w:tcW w:w="1402" w:type="dxa"/>
            <w:tcBorders>
              <w:top w:val="nil"/>
              <w:left w:val="nil"/>
              <w:bottom w:val="single" w:sz="4" w:space="0" w:color="auto"/>
              <w:right w:val="single" w:sz="4" w:space="0" w:color="auto"/>
            </w:tcBorders>
            <w:shd w:val="clear" w:color="auto" w:fill="auto"/>
            <w:noWrap/>
            <w:vAlign w:val="bottom"/>
            <w:hideMark/>
          </w:tcPr>
          <w:p w14:paraId="43AC662C"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402" w:type="dxa"/>
            <w:tcBorders>
              <w:top w:val="nil"/>
              <w:left w:val="nil"/>
              <w:bottom w:val="single" w:sz="4" w:space="0" w:color="auto"/>
              <w:right w:val="single" w:sz="4" w:space="0" w:color="auto"/>
            </w:tcBorders>
            <w:shd w:val="clear" w:color="auto" w:fill="auto"/>
            <w:noWrap/>
            <w:vAlign w:val="bottom"/>
            <w:hideMark/>
          </w:tcPr>
          <w:p w14:paraId="47D889DD"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522" w:type="dxa"/>
            <w:tcBorders>
              <w:top w:val="nil"/>
              <w:left w:val="nil"/>
              <w:bottom w:val="single" w:sz="4" w:space="0" w:color="auto"/>
              <w:right w:val="single" w:sz="4" w:space="0" w:color="auto"/>
            </w:tcBorders>
            <w:shd w:val="clear" w:color="auto" w:fill="auto"/>
            <w:noWrap/>
            <w:vAlign w:val="bottom"/>
            <w:hideMark/>
          </w:tcPr>
          <w:p w14:paraId="592DC1FE"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308" w:type="dxa"/>
            <w:tcBorders>
              <w:top w:val="nil"/>
              <w:left w:val="nil"/>
              <w:bottom w:val="single" w:sz="4" w:space="0" w:color="auto"/>
              <w:right w:val="single" w:sz="4" w:space="0" w:color="auto"/>
            </w:tcBorders>
            <w:shd w:val="clear" w:color="auto" w:fill="auto"/>
            <w:noWrap/>
            <w:vAlign w:val="bottom"/>
            <w:hideMark/>
          </w:tcPr>
          <w:p w14:paraId="4B781DE4"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592" w:type="dxa"/>
            <w:tcBorders>
              <w:top w:val="nil"/>
              <w:left w:val="nil"/>
              <w:bottom w:val="single" w:sz="4" w:space="0" w:color="auto"/>
              <w:right w:val="single" w:sz="4" w:space="0" w:color="auto"/>
            </w:tcBorders>
            <w:shd w:val="clear" w:color="auto" w:fill="auto"/>
            <w:noWrap/>
            <w:vAlign w:val="bottom"/>
            <w:hideMark/>
          </w:tcPr>
          <w:p w14:paraId="5A1F8DE4"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662" w:type="dxa"/>
            <w:tcBorders>
              <w:top w:val="nil"/>
              <w:left w:val="nil"/>
              <w:bottom w:val="single" w:sz="4" w:space="0" w:color="auto"/>
              <w:right w:val="single" w:sz="4" w:space="0" w:color="auto"/>
            </w:tcBorders>
            <w:shd w:val="clear" w:color="auto" w:fill="auto"/>
            <w:vAlign w:val="center"/>
            <w:hideMark/>
          </w:tcPr>
          <w:p w14:paraId="07934A6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1,4986</w:t>
            </w:r>
          </w:p>
        </w:tc>
        <w:tc>
          <w:tcPr>
            <w:tcW w:w="1662" w:type="dxa"/>
            <w:tcBorders>
              <w:top w:val="nil"/>
              <w:left w:val="nil"/>
              <w:bottom w:val="single" w:sz="4" w:space="0" w:color="auto"/>
              <w:right w:val="single" w:sz="4" w:space="0" w:color="auto"/>
            </w:tcBorders>
            <w:shd w:val="clear" w:color="auto" w:fill="auto"/>
            <w:noWrap/>
            <w:vAlign w:val="bottom"/>
            <w:hideMark/>
          </w:tcPr>
          <w:p w14:paraId="389A44C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1,0388</w:t>
            </w:r>
          </w:p>
        </w:tc>
        <w:tc>
          <w:tcPr>
            <w:tcW w:w="1446" w:type="dxa"/>
            <w:tcBorders>
              <w:top w:val="nil"/>
              <w:left w:val="nil"/>
              <w:bottom w:val="single" w:sz="4" w:space="0" w:color="auto"/>
              <w:right w:val="single" w:sz="4" w:space="0" w:color="auto"/>
            </w:tcBorders>
            <w:shd w:val="clear" w:color="auto" w:fill="auto"/>
            <w:noWrap/>
            <w:vAlign w:val="bottom"/>
            <w:hideMark/>
          </w:tcPr>
          <w:p w14:paraId="114E888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1,07</w:t>
            </w:r>
          </w:p>
        </w:tc>
      </w:tr>
      <w:tr w:rsidR="00F87466" w:rsidRPr="00DD5F1D" w14:paraId="63AE2845"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0708790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2020</w:t>
            </w:r>
          </w:p>
        </w:tc>
        <w:tc>
          <w:tcPr>
            <w:tcW w:w="1402" w:type="dxa"/>
            <w:tcBorders>
              <w:top w:val="nil"/>
              <w:left w:val="nil"/>
              <w:bottom w:val="single" w:sz="4" w:space="0" w:color="auto"/>
              <w:right w:val="single" w:sz="4" w:space="0" w:color="auto"/>
            </w:tcBorders>
            <w:shd w:val="clear" w:color="auto" w:fill="auto"/>
            <w:noWrap/>
            <w:vAlign w:val="bottom"/>
            <w:hideMark/>
          </w:tcPr>
          <w:p w14:paraId="6B180E68"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8107,0</w:t>
            </w:r>
          </w:p>
        </w:tc>
        <w:tc>
          <w:tcPr>
            <w:tcW w:w="1402" w:type="dxa"/>
            <w:tcBorders>
              <w:top w:val="nil"/>
              <w:left w:val="nil"/>
              <w:bottom w:val="single" w:sz="4" w:space="0" w:color="auto"/>
              <w:right w:val="single" w:sz="4" w:space="0" w:color="auto"/>
            </w:tcBorders>
            <w:shd w:val="clear" w:color="auto" w:fill="auto"/>
            <w:noWrap/>
            <w:vAlign w:val="bottom"/>
            <w:hideMark/>
          </w:tcPr>
          <w:p w14:paraId="14ED983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1,102</w:t>
            </w:r>
          </w:p>
        </w:tc>
        <w:tc>
          <w:tcPr>
            <w:tcW w:w="1522" w:type="dxa"/>
            <w:tcBorders>
              <w:top w:val="nil"/>
              <w:left w:val="nil"/>
              <w:bottom w:val="single" w:sz="4" w:space="0" w:color="auto"/>
              <w:right w:val="single" w:sz="4" w:space="0" w:color="auto"/>
            </w:tcBorders>
            <w:shd w:val="clear" w:color="auto" w:fill="auto"/>
            <w:noWrap/>
            <w:vAlign w:val="bottom"/>
            <w:hideMark/>
          </w:tcPr>
          <w:p w14:paraId="79F4D66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1,5240</w:t>
            </w:r>
          </w:p>
        </w:tc>
        <w:tc>
          <w:tcPr>
            <w:tcW w:w="1308" w:type="dxa"/>
            <w:tcBorders>
              <w:top w:val="nil"/>
              <w:left w:val="nil"/>
              <w:bottom w:val="single" w:sz="4" w:space="0" w:color="auto"/>
              <w:right w:val="single" w:sz="4" w:space="0" w:color="auto"/>
            </w:tcBorders>
            <w:shd w:val="clear" w:color="auto" w:fill="auto"/>
            <w:noWrap/>
            <w:vAlign w:val="bottom"/>
            <w:hideMark/>
          </w:tcPr>
          <w:p w14:paraId="40D34E78"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100,39</w:t>
            </w:r>
          </w:p>
        </w:tc>
        <w:tc>
          <w:tcPr>
            <w:tcW w:w="1592" w:type="dxa"/>
            <w:tcBorders>
              <w:top w:val="nil"/>
              <w:left w:val="nil"/>
              <w:bottom w:val="single" w:sz="4" w:space="0" w:color="auto"/>
              <w:right w:val="single" w:sz="4" w:space="0" w:color="auto"/>
            </w:tcBorders>
            <w:shd w:val="clear" w:color="auto" w:fill="auto"/>
            <w:noWrap/>
            <w:vAlign w:val="bottom"/>
            <w:hideMark/>
          </w:tcPr>
          <w:p w14:paraId="05762C0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6,8259</w:t>
            </w:r>
          </w:p>
        </w:tc>
        <w:tc>
          <w:tcPr>
            <w:tcW w:w="1662" w:type="dxa"/>
            <w:tcBorders>
              <w:top w:val="nil"/>
              <w:left w:val="nil"/>
              <w:bottom w:val="single" w:sz="4" w:space="0" w:color="auto"/>
              <w:right w:val="single" w:sz="4" w:space="0" w:color="auto"/>
            </w:tcBorders>
            <w:shd w:val="clear" w:color="auto" w:fill="auto"/>
            <w:vAlign w:val="center"/>
            <w:hideMark/>
          </w:tcPr>
          <w:p w14:paraId="218411F7"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662" w:type="dxa"/>
            <w:tcBorders>
              <w:top w:val="nil"/>
              <w:left w:val="nil"/>
              <w:bottom w:val="single" w:sz="4" w:space="0" w:color="auto"/>
              <w:right w:val="single" w:sz="4" w:space="0" w:color="auto"/>
            </w:tcBorders>
            <w:shd w:val="clear" w:color="auto" w:fill="auto"/>
            <w:noWrap/>
            <w:vAlign w:val="bottom"/>
            <w:hideMark/>
          </w:tcPr>
          <w:p w14:paraId="62B1E926"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446" w:type="dxa"/>
            <w:tcBorders>
              <w:top w:val="nil"/>
              <w:left w:val="nil"/>
              <w:bottom w:val="single" w:sz="4" w:space="0" w:color="auto"/>
              <w:right w:val="single" w:sz="4" w:space="0" w:color="auto"/>
            </w:tcBorders>
            <w:shd w:val="clear" w:color="auto" w:fill="auto"/>
            <w:noWrap/>
            <w:vAlign w:val="bottom"/>
            <w:hideMark/>
          </w:tcPr>
          <w:p w14:paraId="5E4A4E64"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r>
      <w:tr w:rsidR="00F87466" w:rsidRPr="00DD5F1D" w14:paraId="131A338B"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2B4BC60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01.04.2021</w:t>
            </w:r>
          </w:p>
        </w:tc>
        <w:tc>
          <w:tcPr>
            <w:tcW w:w="1402" w:type="dxa"/>
            <w:tcBorders>
              <w:top w:val="nil"/>
              <w:left w:val="nil"/>
              <w:bottom w:val="single" w:sz="4" w:space="0" w:color="auto"/>
              <w:right w:val="single" w:sz="4" w:space="0" w:color="auto"/>
            </w:tcBorders>
            <w:shd w:val="clear" w:color="auto" w:fill="auto"/>
            <w:noWrap/>
            <w:vAlign w:val="bottom"/>
            <w:hideMark/>
          </w:tcPr>
          <w:p w14:paraId="14F87753"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402" w:type="dxa"/>
            <w:tcBorders>
              <w:top w:val="nil"/>
              <w:left w:val="nil"/>
              <w:bottom w:val="single" w:sz="4" w:space="0" w:color="auto"/>
              <w:right w:val="single" w:sz="4" w:space="0" w:color="auto"/>
            </w:tcBorders>
            <w:shd w:val="clear" w:color="auto" w:fill="auto"/>
            <w:noWrap/>
            <w:vAlign w:val="bottom"/>
            <w:hideMark/>
          </w:tcPr>
          <w:p w14:paraId="1B0665E6"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522" w:type="dxa"/>
            <w:tcBorders>
              <w:top w:val="nil"/>
              <w:left w:val="nil"/>
              <w:bottom w:val="single" w:sz="4" w:space="0" w:color="auto"/>
              <w:right w:val="single" w:sz="4" w:space="0" w:color="auto"/>
            </w:tcBorders>
            <w:shd w:val="clear" w:color="auto" w:fill="auto"/>
            <w:noWrap/>
            <w:vAlign w:val="bottom"/>
            <w:hideMark/>
          </w:tcPr>
          <w:p w14:paraId="5F7FEB9D"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308" w:type="dxa"/>
            <w:tcBorders>
              <w:top w:val="nil"/>
              <w:left w:val="nil"/>
              <w:bottom w:val="single" w:sz="4" w:space="0" w:color="auto"/>
              <w:right w:val="single" w:sz="4" w:space="0" w:color="auto"/>
            </w:tcBorders>
            <w:shd w:val="clear" w:color="auto" w:fill="auto"/>
            <w:noWrap/>
            <w:vAlign w:val="bottom"/>
            <w:hideMark/>
          </w:tcPr>
          <w:p w14:paraId="497ED5AE"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592" w:type="dxa"/>
            <w:tcBorders>
              <w:top w:val="nil"/>
              <w:left w:val="nil"/>
              <w:bottom w:val="single" w:sz="4" w:space="0" w:color="auto"/>
              <w:right w:val="single" w:sz="4" w:space="0" w:color="auto"/>
            </w:tcBorders>
            <w:shd w:val="clear" w:color="auto" w:fill="auto"/>
            <w:noWrap/>
            <w:vAlign w:val="bottom"/>
            <w:hideMark/>
          </w:tcPr>
          <w:p w14:paraId="21D8406A"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662" w:type="dxa"/>
            <w:tcBorders>
              <w:top w:val="nil"/>
              <w:left w:val="nil"/>
              <w:bottom w:val="single" w:sz="4" w:space="0" w:color="auto"/>
              <w:right w:val="single" w:sz="4" w:space="0" w:color="auto"/>
            </w:tcBorders>
            <w:shd w:val="clear" w:color="auto" w:fill="auto"/>
            <w:vAlign w:val="center"/>
            <w:hideMark/>
          </w:tcPr>
          <w:p w14:paraId="002BF1F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1,4426</w:t>
            </w:r>
          </w:p>
        </w:tc>
        <w:tc>
          <w:tcPr>
            <w:tcW w:w="1662" w:type="dxa"/>
            <w:tcBorders>
              <w:top w:val="nil"/>
              <w:left w:val="nil"/>
              <w:bottom w:val="single" w:sz="4" w:space="0" w:color="auto"/>
              <w:right w:val="single" w:sz="4" w:space="0" w:color="auto"/>
            </w:tcBorders>
            <w:shd w:val="clear" w:color="auto" w:fill="auto"/>
            <w:noWrap/>
            <w:vAlign w:val="bottom"/>
            <w:hideMark/>
          </w:tcPr>
          <w:p w14:paraId="30ED25F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1,0387</w:t>
            </w:r>
          </w:p>
        </w:tc>
        <w:tc>
          <w:tcPr>
            <w:tcW w:w="1446" w:type="dxa"/>
            <w:tcBorders>
              <w:top w:val="nil"/>
              <w:left w:val="nil"/>
              <w:bottom w:val="single" w:sz="4" w:space="0" w:color="auto"/>
              <w:right w:val="single" w:sz="4" w:space="0" w:color="auto"/>
            </w:tcBorders>
            <w:shd w:val="clear" w:color="auto" w:fill="auto"/>
            <w:noWrap/>
            <w:vAlign w:val="bottom"/>
            <w:hideMark/>
          </w:tcPr>
          <w:p w14:paraId="14D6E4F4"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3,89</w:t>
            </w:r>
          </w:p>
        </w:tc>
      </w:tr>
      <w:tr w:rsidR="00F87466" w:rsidRPr="00DD5F1D" w14:paraId="11849651"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6F38193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01.10.2021</w:t>
            </w:r>
          </w:p>
        </w:tc>
        <w:tc>
          <w:tcPr>
            <w:tcW w:w="1402" w:type="dxa"/>
            <w:tcBorders>
              <w:top w:val="nil"/>
              <w:left w:val="nil"/>
              <w:bottom w:val="single" w:sz="4" w:space="0" w:color="auto"/>
              <w:right w:val="single" w:sz="4" w:space="0" w:color="auto"/>
            </w:tcBorders>
            <w:shd w:val="clear" w:color="auto" w:fill="auto"/>
            <w:noWrap/>
            <w:vAlign w:val="bottom"/>
            <w:hideMark/>
          </w:tcPr>
          <w:p w14:paraId="562D0669"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402" w:type="dxa"/>
            <w:tcBorders>
              <w:top w:val="nil"/>
              <w:left w:val="nil"/>
              <w:bottom w:val="single" w:sz="4" w:space="0" w:color="auto"/>
              <w:right w:val="single" w:sz="4" w:space="0" w:color="auto"/>
            </w:tcBorders>
            <w:shd w:val="clear" w:color="auto" w:fill="auto"/>
            <w:noWrap/>
            <w:vAlign w:val="bottom"/>
            <w:hideMark/>
          </w:tcPr>
          <w:p w14:paraId="185BCE7A"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522" w:type="dxa"/>
            <w:tcBorders>
              <w:top w:val="nil"/>
              <w:left w:val="nil"/>
              <w:bottom w:val="single" w:sz="4" w:space="0" w:color="auto"/>
              <w:right w:val="single" w:sz="4" w:space="0" w:color="auto"/>
            </w:tcBorders>
            <w:shd w:val="clear" w:color="auto" w:fill="auto"/>
            <w:noWrap/>
            <w:vAlign w:val="bottom"/>
            <w:hideMark/>
          </w:tcPr>
          <w:p w14:paraId="150CDA1E"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308" w:type="dxa"/>
            <w:tcBorders>
              <w:top w:val="nil"/>
              <w:left w:val="nil"/>
              <w:bottom w:val="single" w:sz="4" w:space="0" w:color="auto"/>
              <w:right w:val="single" w:sz="4" w:space="0" w:color="auto"/>
            </w:tcBorders>
            <w:shd w:val="clear" w:color="auto" w:fill="auto"/>
            <w:noWrap/>
            <w:vAlign w:val="bottom"/>
            <w:hideMark/>
          </w:tcPr>
          <w:p w14:paraId="2918626E"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592" w:type="dxa"/>
            <w:tcBorders>
              <w:top w:val="nil"/>
              <w:left w:val="nil"/>
              <w:bottom w:val="single" w:sz="4" w:space="0" w:color="auto"/>
              <w:right w:val="single" w:sz="4" w:space="0" w:color="auto"/>
            </w:tcBorders>
            <w:shd w:val="clear" w:color="auto" w:fill="auto"/>
            <w:noWrap/>
            <w:vAlign w:val="bottom"/>
            <w:hideMark/>
          </w:tcPr>
          <w:p w14:paraId="2784CBE9"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662" w:type="dxa"/>
            <w:tcBorders>
              <w:top w:val="nil"/>
              <w:left w:val="nil"/>
              <w:bottom w:val="single" w:sz="4" w:space="0" w:color="auto"/>
              <w:right w:val="single" w:sz="4" w:space="0" w:color="auto"/>
            </w:tcBorders>
            <w:shd w:val="clear" w:color="auto" w:fill="auto"/>
            <w:vAlign w:val="center"/>
            <w:hideMark/>
          </w:tcPr>
          <w:p w14:paraId="2C8F7B18"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1,3889</w:t>
            </w:r>
          </w:p>
        </w:tc>
        <w:tc>
          <w:tcPr>
            <w:tcW w:w="1662" w:type="dxa"/>
            <w:tcBorders>
              <w:top w:val="nil"/>
              <w:left w:val="nil"/>
              <w:bottom w:val="single" w:sz="4" w:space="0" w:color="auto"/>
              <w:right w:val="single" w:sz="4" w:space="0" w:color="auto"/>
            </w:tcBorders>
            <w:shd w:val="clear" w:color="auto" w:fill="auto"/>
            <w:noWrap/>
            <w:vAlign w:val="bottom"/>
            <w:hideMark/>
          </w:tcPr>
          <w:p w14:paraId="17720C3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1,1394</w:t>
            </w:r>
          </w:p>
        </w:tc>
        <w:tc>
          <w:tcPr>
            <w:tcW w:w="1446" w:type="dxa"/>
            <w:tcBorders>
              <w:top w:val="nil"/>
              <w:left w:val="nil"/>
              <w:bottom w:val="single" w:sz="4" w:space="0" w:color="auto"/>
              <w:right w:val="single" w:sz="4" w:space="0" w:color="auto"/>
            </w:tcBorders>
            <w:shd w:val="clear" w:color="auto" w:fill="auto"/>
            <w:noWrap/>
            <w:vAlign w:val="bottom"/>
            <w:hideMark/>
          </w:tcPr>
          <w:p w14:paraId="0D4B017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3,86</w:t>
            </w:r>
          </w:p>
        </w:tc>
      </w:tr>
      <w:tr w:rsidR="00F87466" w:rsidRPr="00DD5F1D" w14:paraId="7101CC8C"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2687519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2021</w:t>
            </w:r>
          </w:p>
        </w:tc>
        <w:tc>
          <w:tcPr>
            <w:tcW w:w="1402" w:type="dxa"/>
            <w:tcBorders>
              <w:top w:val="nil"/>
              <w:left w:val="nil"/>
              <w:bottom w:val="single" w:sz="4" w:space="0" w:color="auto"/>
              <w:right w:val="single" w:sz="4" w:space="0" w:color="auto"/>
            </w:tcBorders>
            <w:shd w:val="clear" w:color="auto" w:fill="auto"/>
            <w:noWrap/>
            <w:vAlign w:val="bottom"/>
            <w:hideMark/>
          </w:tcPr>
          <w:p w14:paraId="30527948"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9115,9</w:t>
            </w:r>
          </w:p>
        </w:tc>
        <w:tc>
          <w:tcPr>
            <w:tcW w:w="1402" w:type="dxa"/>
            <w:tcBorders>
              <w:top w:val="nil"/>
              <w:left w:val="nil"/>
              <w:bottom w:val="single" w:sz="4" w:space="0" w:color="auto"/>
              <w:right w:val="single" w:sz="4" w:space="0" w:color="auto"/>
            </w:tcBorders>
            <w:shd w:val="clear" w:color="auto" w:fill="auto"/>
            <w:noWrap/>
            <w:vAlign w:val="bottom"/>
            <w:hideMark/>
          </w:tcPr>
          <w:p w14:paraId="67038E0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1,124</w:t>
            </w:r>
          </w:p>
        </w:tc>
        <w:tc>
          <w:tcPr>
            <w:tcW w:w="1522" w:type="dxa"/>
            <w:tcBorders>
              <w:top w:val="nil"/>
              <w:left w:val="nil"/>
              <w:bottom w:val="single" w:sz="4" w:space="0" w:color="auto"/>
              <w:right w:val="single" w:sz="4" w:space="0" w:color="auto"/>
            </w:tcBorders>
            <w:shd w:val="clear" w:color="auto" w:fill="auto"/>
            <w:noWrap/>
            <w:vAlign w:val="bottom"/>
            <w:hideMark/>
          </w:tcPr>
          <w:p w14:paraId="0E6D933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1,3553</w:t>
            </w:r>
          </w:p>
        </w:tc>
        <w:tc>
          <w:tcPr>
            <w:tcW w:w="1308" w:type="dxa"/>
            <w:tcBorders>
              <w:top w:val="nil"/>
              <w:left w:val="nil"/>
              <w:bottom w:val="single" w:sz="4" w:space="0" w:color="auto"/>
              <w:right w:val="single" w:sz="4" w:space="0" w:color="auto"/>
            </w:tcBorders>
            <w:shd w:val="clear" w:color="auto" w:fill="auto"/>
            <w:noWrap/>
            <w:vAlign w:val="bottom"/>
            <w:hideMark/>
          </w:tcPr>
          <w:p w14:paraId="1CB48C0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113,94</w:t>
            </w:r>
          </w:p>
        </w:tc>
        <w:tc>
          <w:tcPr>
            <w:tcW w:w="1592" w:type="dxa"/>
            <w:tcBorders>
              <w:top w:val="nil"/>
              <w:left w:val="nil"/>
              <w:bottom w:val="single" w:sz="4" w:space="0" w:color="auto"/>
              <w:right w:val="single" w:sz="4" w:space="0" w:color="auto"/>
            </w:tcBorders>
            <w:shd w:val="clear" w:color="auto" w:fill="auto"/>
            <w:noWrap/>
            <w:vAlign w:val="bottom"/>
            <w:hideMark/>
          </w:tcPr>
          <w:p w14:paraId="556DB2F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7,7774</w:t>
            </w:r>
          </w:p>
        </w:tc>
        <w:tc>
          <w:tcPr>
            <w:tcW w:w="1662" w:type="dxa"/>
            <w:tcBorders>
              <w:top w:val="nil"/>
              <w:left w:val="nil"/>
              <w:bottom w:val="single" w:sz="4" w:space="0" w:color="auto"/>
              <w:right w:val="single" w:sz="4" w:space="0" w:color="auto"/>
            </w:tcBorders>
            <w:shd w:val="clear" w:color="auto" w:fill="auto"/>
            <w:vAlign w:val="center"/>
            <w:hideMark/>
          </w:tcPr>
          <w:p w14:paraId="6C77FC01"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662" w:type="dxa"/>
            <w:tcBorders>
              <w:top w:val="nil"/>
              <w:left w:val="nil"/>
              <w:bottom w:val="single" w:sz="4" w:space="0" w:color="auto"/>
              <w:right w:val="single" w:sz="4" w:space="0" w:color="auto"/>
            </w:tcBorders>
            <w:shd w:val="clear" w:color="auto" w:fill="auto"/>
            <w:noWrap/>
            <w:vAlign w:val="bottom"/>
            <w:hideMark/>
          </w:tcPr>
          <w:p w14:paraId="520BB4BD"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446" w:type="dxa"/>
            <w:tcBorders>
              <w:top w:val="nil"/>
              <w:left w:val="nil"/>
              <w:bottom w:val="single" w:sz="4" w:space="0" w:color="auto"/>
              <w:right w:val="single" w:sz="4" w:space="0" w:color="auto"/>
            </w:tcBorders>
            <w:shd w:val="clear" w:color="auto" w:fill="auto"/>
            <w:noWrap/>
            <w:vAlign w:val="bottom"/>
            <w:hideMark/>
          </w:tcPr>
          <w:p w14:paraId="26219299"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r>
      <w:tr w:rsidR="00F87466" w:rsidRPr="00DD5F1D" w14:paraId="6BAEAD87"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6D11164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2022</w:t>
            </w:r>
          </w:p>
        </w:tc>
        <w:tc>
          <w:tcPr>
            <w:tcW w:w="1402" w:type="dxa"/>
            <w:tcBorders>
              <w:top w:val="nil"/>
              <w:left w:val="nil"/>
              <w:bottom w:val="single" w:sz="4" w:space="0" w:color="auto"/>
              <w:right w:val="single" w:sz="4" w:space="0" w:color="auto"/>
            </w:tcBorders>
            <w:shd w:val="clear" w:color="auto" w:fill="auto"/>
            <w:noWrap/>
            <w:vAlign w:val="bottom"/>
            <w:hideMark/>
          </w:tcPr>
          <w:p w14:paraId="4391D3D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10529,1</w:t>
            </w:r>
          </w:p>
        </w:tc>
        <w:tc>
          <w:tcPr>
            <w:tcW w:w="1402" w:type="dxa"/>
            <w:tcBorders>
              <w:top w:val="nil"/>
              <w:left w:val="nil"/>
              <w:bottom w:val="single" w:sz="4" w:space="0" w:color="auto"/>
              <w:right w:val="single" w:sz="4" w:space="0" w:color="auto"/>
            </w:tcBorders>
            <w:shd w:val="clear" w:color="auto" w:fill="auto"/>
            <w:noWrap/>
            <w:vAlign w:val="bottom"/>
            <w:hideMark/>
          </w:tcPr>
          <w:p w14:paraId="4C79357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1,155</w:t>
            </w:r>
          </w:p>
        </w:tc>
        <w:tc>
          <w:tcPr>
            <w:tcW w:w="1522" w:type="dxa"/>
            <w:tcBorders>
              <w:top w:val="nil"/>
              <w:left w:val="nil"/>
              <w:bottom w:val="single" w:sz="4" w:space="0" w:color="auto"/>
              <w:right w:val="single" w:sz="4" w:space="0" w:color="auto"/>
            </w:tcBorders>
            <w:shd w:val="clear" w:color="auto" w:fill="auto"/>
            <w:noWrap/>
            <w:vAlign w:val="bottom"/>
            <w:hideMark/>
          </w:tcPr>
          <w:p w14:paraId="610556A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1,1734</w:t>
            </w:r>
          </w:p>
        </w:tc>
        <w:tc>
          <w:tcPr>
            <w:tcW w:w="1308" w:type="dxa"/>
            <w:tcBorders>
              <w:top w:val="nil"/>
              <w:left w:val="nil"/>
              <w:bottom w:val="single" w:sz="4" w:space="0" w:color="auto"/>
              <w:right w:val="single" w:sz="4" w:space="0" w:color="auto"/>
            </w:tcBorders>
            <w:shd w:val="clear" w:color="auto" w:fill="auto"/>
            <w:noWrap/>
            <w:vAlign w:val="bottom"/>
            <w:hideMark/>
          </w:tcPr>
          <w:p w14:paraId="24D9E32A"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130,24</w:t>
            </w:r>
          </w:p>
        </w:tc>
        <w:tc>
          <w:tcPr>
            <w:tcW w:w="1592" w:type="dxa"/>
            <w:tcBorders>
              <w:top w:val="nil"/>
              <w:left w:val="nil"/>
              <w:bottom w:val="single" w:sz="4" w:space="0" w:color="auto"/>
              <w:right w:val="single" w:sz="4" w:space="0" w:color="auto"/>
            </w:tcBorders>
            <w:shd w:val="clear" w:color="auto" w:fill="auto"/>
            <w:noWrap/>
            <w:vAlign w:val="bottom"/>
            <w:hideMark/>
          </w:tcPr>
          <w:p w14:paraId="55EC9953"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10,1293</w:t>
            </w:r>
          </w:p>
        </w:tc>
        <w:tc>
          <w:tcPr>
            <w:tcW w:w="1662" w:type="dxa"/>
            <w:tcBorders>
              <w:top w:val="nil"/>
              <w:left w:val="nil"/>
              <w:bottom w:val="single" w:sz="4" w:space="0" w:color="auto"/>
              <w:right w:val="single" w:sz="4" w:space="0" w:color="auto"/>
            </w:tcBorders>
            <w:shd w:val="clear" w:color="auto" w:fill="auto"/>
            <w:vAlign w:val="center"/>
            <w:hideMark/>
          </w:tcPr>
          <w:p w14:paraId="70C2E18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1,2190</w:t>
            </w:r>
          </w:p>
        </w:tc>
        <w:tc>
          <w:tcPr>
            <w:tcW w:w="1662" w:type="dxa"/>
            <w:tcBorders>
              <w:top w:val="nil"/>
              <w:left w:val="nil"/>
              <w:bottom w:val="single" w:sz="4" w:space="0" w:color="auto"/>
              <w:right w:val="single" w:sz="4" w:space="0" w:color="auto"/>
            </w:tcBorders>
            <w:shd w:val="clear" w:color="auto" w:fill="auto"/>
            <w:noWrap/>
            <w:vAlign w:val="bottom"/>
            <w:hideMark/>
          </w:tcPr>
          <w:p w14:paraId="7F53438B"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1,1500</w:t>
            </w:r>
          </w:p>
        </w:tc>
        <w:tc>
          <w:tcPr>
            <w:tcW w:w="1446" w:type="dxa"/>
            <w:tcBorders>
              <w:top w:val="nil"/>
              <w:left w:val="nil"/>
              <w:bottom w:val="single" w:sz="4" w:space="0" w:color="auto"/>
              <w:right w:val="single" w:sz="4" w:space="0" w:color="auto"/>
            </w:tcBorders>
            <w:shd w:val="clear" w:color="auto" w:fill="auto"/>
            <w:noWrap/>
            <w:vAlign w:val="bottom"/>
            <w:hideMark/>
          </w:tcPr>
          <w:p w14:paraId="38533896"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13,94</w:t>
            </w:r>
          </w:p>
        </w:tc>
      </w:tr>
      <w:tr w:rsidR="00F87466" w:rsidRPr="00DD5F1D" w14:paraId="046D84B5"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2744087C"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2023</w:t>
            </w:r>
          </w:p>
        </w:tc>
        <w:tc>
          <w:tcPr>
            <w:tcW w:w="1402" w:type="dxa"/>
            <w:tcBorders>
              <w:top w:val="nil"/>
              <w:left w:val="nil"/>
              <w:bottom w:val="single" w:sz="4" w:space="0" w:color="auto"/>
              <w:right w:val="single" w:sz="4" w:space="0" w:color="auto"/>
            </w:tcBorders>
            <w:shd w:val="clear" w:color="auto" w:fill="auto"/>
            <w:noWrap/>
            <w:vAlign w:val="bottom"/>
            <w:hideMark/>
          </w:tcPr>
          <w:p w14:paraId="78063B0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12354,7</w:t>
            </w:r>
          </w:p>
        </w:tc>
        <w:tc>
          <w:tcPr>
            <w:tcW w:w="1402" w:type="dxa"/>
            <w:tcBorders>
              <w:top w:val="nil"/>
              <w:left w:val="nil"/>
              <w:bottom w:val="single" w:sz="4" w:space="0" w:color="auto"/>
              <w:right w:val="single" w:sz="4" w:space="0" w:color="auto"/>
            </w:tcBorders>
            <w:shd w:val="clear" w:color="auto" w:fill="auto"/>
            <w:noWrap/>
            <w:vAlign w:val="bottom"/>
            <w:hideMark/>
          </w:tcPr>
          <w:p w14:paraId="2212C440"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1,173</w:t>
            </w:r>
          </w:p>
        </w:tc>
        <w:tc>
          <w:tcPr>
            <w:tcW w:w="1522" w:type="dxa"/>
            <w:tcBorders>
              <w:top w:val="nil"/>
              <w:left w:val="nil"/>
              <w:bottom w:val="single" w:sz="4" w:space="0" w:color="auto"/>
              <w:right w:val="single" w:sz="4" w:space="0" w:color="auto"/>
            </w:tcBorders>
            <w:shd w:val="clear" w:color="auto" w:fill="auto"/>
            <w:noWrap/>
            <w:vAlign w:val="bottom"/>
            <w:hideMark/>
          </w:tcPr>
          <w:p w14:paraId="44FF7CE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1,0000</w:t>
            </w:r>
          </w:p>
        </w:tc>
        <w:tc>
          <w:tcPr>
            <w:tcW w:w="1308" w:type="dxa"/>
            <w:tcBorders>
              <w:top w:val="nil"/>
              <w:left w:val="nil"/>
              <w:bottom w:val="single" w:sz="4" w:space="0" w:color="auto"/>
              <w:right w:val="single" w:sz="4" w:space="0" w:color="auto"/>
            </w:tcBorders>
            <w:shd w:val="clear" w:color="auto" w:fill="auto"/>
            <w:noWrap/>
            <w:vAlign w:val="bottom"/>
            <w:hideMark/>
          </w:tcPr>
          <w:p w14:paraId="18687A5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104,20</w:t>
            </w:r>
          </w:p>
        </w:tc>
        <w:tc>
          <w:tcPr>
            <w:tcW w:w="1592" w:type="dxa"/>
            <w:tcBorders>
              <w:top w:val="nil"/>
              <w:left w:val="nil"/>
              <w:bottom w:val="single" w:sz="4" w:space="0" w:color="auto"/>
              <w:right w:val="single" w:sz="4" w:space="0" w:color="auto"/>
            </w:tcBorders>
            <w:shd w:val="clear" w:color="auto" w:fill="auto"/>
            <w:noWrap/>
            <w:vAlign w:val="bottom"/>
            <w:hideMark/>
          </w:tcPr>
          <w:p w14:paraId="7B2A7189"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10,5547</w:t>
            </w:r>
          </w:p>
        </w:tc>
        <w:tc>
          <w:tcPr>
            <w:tcW w:w="1662" w:type="dxa"/>
            <w:tcBorders>
              <w:top w:val="nil"/>
              <w:left w:val="nil"/>
              <w:bottom w:val="single" w:sz="4" w:space="0" w:color="auto"/>
              <w:right w:val="single" w:sz="4" w:space="0" w:color="auto"/>
            </w:tcBorders>
            <w:shd w:val="clear" w:color="auto" w:fill="auto"/>
            <w:vAlign w:val="center"/>
            <w:hideMark/>
          </w:tcPr>
          <w:p w14:paraId="2652805E"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1,0600</w:t>
            </w:r>
          </w:p>
        </w:tc>
        <w:tc>
          <w:tcPr>
            <w:tcW w:w="1662" w:type="dxa"/>
            <w:tcBorders>
              <w:top w:val="nil"/>
              <w:left w:val="nil"/>
              <w:bottom w:val="single" w:sz="4" w:space="0" w:color="auto"/>
              <w:right w:val="single" w:sz="4" w:space="0" w:color="auto"/>
            </w:tcBorders>
            <w:shd w:val="clear" w:color="auto" w:fill="auto"/>
            <w:noWrap/>
            <w:vAlign w:val="bottom"/>
            <w:hideMark/>
          </w:tcPr>
          <w:p w14:paraId="461369B2"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1,0600</w:t>
            </w:r>
          </w:p>
        </w:tc>
        <w:tc>
          <w:tcPr>
            <w:tcW w:w="1446" w:type="dxa"/>
            <w:tcBorders>
              <w:top w:val="nil"/>
              <w:left w:val="nil"/>
              <w:bottom w:val="single" w:sz="4" w:space="0" w:color="auto"/>
              <w:right w:val="single" w:sz="4" w:space="0" w:color="auto"/>
            </w:tcBorders>
            <w:shd w:val="clear" w:color="auto" w:fill="auto"/>
            <w:noWrap/>
            <w:vAlign w:val="bottom"/>
            <w:hideMark/>
          </w:tcPr>
          <w:p w14:paraId="71CA9971"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15,00</w:t>
            </w:r>
          </w:p>
        </w:tc>
      </w:tr>
      <w:tr w:rsidR="00F87466" w:rsidRPr="00DD5F1D" w14:paraId="6D311B71" w14:textId="77777777" w:rsidTr="00100079">
        <w:trPr>
          <w:trHeight w:val="19"/>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7888C295"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2024</w:t>
            </w:r>
          </w:p>
        </w:tc>
        <w:tc>
          <w:tcPr>
            <w:tcW w:w="1402" w:type="dxa"/>
            <w:tcBorders>
              <w:top w:val="nil"/>
              <w:left w:val="nil"/>
              <w:bottom w:val="single" w:sz="4" w:space="0" w:color="auto"/>
              <w:right w:val="single" w:sz="4" w:space="0" w:color="auto"/>
            </w:tcBorders>
            <w:shd w:val="clear" w:color="auto" w:fill="auto"/>
            <w:noWrap/>
            <w:vAlign w:val="bottom"/>
            <w:hideMark/>
          </w:tcPr>
          <w:p w14:paraId="319DBC20"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402" w:type="dxa"/>
            <w:tcBorders>
              <w:top w:val="nil"/>
              <w:left w:val="nil"/>
              <w:bottom w:val="single" w:sz="4" w:space="0" w:color="auto"/>
              <w:right w:val="single" w:sz="4" w:space="0" w:color="auto"/>
            </w:tcBorders>
            <w:shd w:val="clear" w:color="auto" w:fill="auto"/>
            <w:noWrap/>
            <w:vAlign w:val="bottom"/>
            <w:hideMark/>
          </w:tcPr>
          <w:p w14:paraId="0B46E3FB"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522" w:type="dxa"/>
            <w:tcBorders>
              <w:top w:val="nil"/>
              <w:left w:val="nil"/>
              <w:bottom w:val="single" w:sz="4" w:space="0" w:color="auto"/>
              <w:right w:val="single" w:sz="4" w:space="0" w:color="auto"/>
            </w:tcBorders>
            <w:shd w:val="clear" w:color="auto" w:fill="auto"/>
            <w:noWrap/>
            <w:vAlign w:val="bottom"/>
            <w:hideMark/>
          </w:tcPr>
          <w:p w14:paraId="39A4CB2F"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308" w:type="dxa"/>
            <w:tcBorders>
              <w:top w:val="nil"/>
              <w:left w:val="nil"/>
              <w:bottom w:val="single" w:sz="4" w:space="0" w:color="auto"/>
              <w:right w:val="single" w:sz="4" w:space="0" w:color="auto"/>
            </w:tcBorders>
            <w:shd w:val="clear" w:color="auto" w:fill="auto"/>
            <w:noWrap/>
            <w:vAlign w:val="bottom"/>
            <w:hideMark/>
          </w:tcPr>
          <w:p w14:paraId="021389FE"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592" w:type="dxa"/>
            <w:tcBorders>
              <w:top w:val="nil"/>
              <w:left w:val="nil"/>
              <w:bottom w:val="single" w:sz="4" w:space="0" w:color="auto"/>
              <w:right w:val="single" w:sz="4" w:space="0" w:color="auto"/>
            </w:tcBorders>
            <w:shd w:val="clear" w:color="auto" w:fill="auto"/>
            <w:noWrap/>
            <w:vAlign w:val="bottom"/>
            <w:hideMark/>
          </w:tcPr>
          <w:p w14:paraId="42A1866D"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662" w:type="dxa"/>
            <w:tcBorders>
              <w:top w:val="nil"/>
              <w:left w:val="nil"/>
              <w:bottom w:val="single" w:sz="4" w:space="0" w:color="auto"/>
              <w:right w:val="single" w:sz="4" w:space="0" w:color="auto"/>
            </w:tcBorders>
            <w:shd w:val="clear" w:color="auto" w:fill="auto"/>
            <w:vAlign w:val="center"/>
            <w:hideMark/>
          </w:tcPr>
          <w:p w14:paraId="49AEE36F"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1,0000</w:t>
            </w:r>
          </w:p>
        </w:tc>
        <w:tc>
          <w:tcPr>
            <w:tcW w:w="1662" w:type="dxa"/>
            <w:tcBorders>
              <w:top w:val="nil"/>
              <w:left w:val="nil"/>
              <w:bottom w:val="single" w:sz="4" w:space="0" w:color="auto"/>
              <w:right w:val="single" w:sz="4" w:space="0" w:color="auto"/>
            </w:tcBorders>
            <w:shd w:val="clear" w:color="auto" w:fill="auto"/>
            <w:noWrap/>
            <w:vAlign w:val="bottom"/>
            <w:hideMark/>
          </w:tcPr>
          <w:p w14:paraId="5557F004" w14:textId="77777777" w:rsidR="00F87466" w:rsidRPr="00DD5F1D" w:rsidRDefault="00F87466" w:rsidP="00100079">
            <w:pPr>
              <w:spacing w:after="0" w:line="240" w:lineRule="auto"/>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 </w:t>
            </w:r>
          </w:p>
        </w:tc>
        <w:tc>
          <w:tcPr>
            <w:tcW w:w="1446" w:type="dxa"/>
            <w:tcBorders>
              <w:top w:val="nil"/>
              <w:left w:val="nil"/>
              <w:bottom w:val="single" w:sz="4" w:space="0" w:color="auto"/>
              <w:right w:val="single" w:sz="4" w:space="0" w:color="auto"/>
            </w:tcBorders>
            <w:shd w:val="clear" w:color="auto" w:fill="auto"/>
            <w:noWrap/>
            <w:vAlign w:val="bottom"/>
            <w:hideMark/>
          </w:tcPr>
          <w:p w14:paraId="299FA95D" w14:textId="77777777" w:rsidR="00F87466" w:rsidRPr="00DD5F1D" w:rsidRDefault="00F87466" w:rsidP="00100079">
            <w:pPr>
              <w:spacing w:after="0" w:line="240" w:lineRule="auto"/>
              <w:jc w:val="right"/>
              <w:rPr>
                <w:rFonts w:ascii="Times New Roman" w:eastAsia="Times New Roman" w:hAnsi="Times New Roman" w:cs="Times New Roman"/>
                <w:color w:val="000000"/>
                <w:sz w:val="20"/>
                <w:szCs w:val="20"/>
                <w:lang w:val="ro-MD"/>
              </w:rPr>
            </w:pPr>
            <w:r w:rsidRPr="00DD5F1D">
              <w:rPr>
                <w:rFonts w:ascii="Times New Roman" w:eastAsia="Times New Roman" w:hAnsi="Times New Roman" w:cs="Times New Roman"/>
                <w:color w:val="000000"/>
                <w:sz w:val="20"/>
                <w:szCs w:val="20"/>
                <w:lang w:val="ro-MD"/>
              </w:rPr>
              <w:t>6,00</w:t>
            </w:r>
          </w:p>
        </w:tc>
      </w:tr>
    </w:tbl>
    <w:p w14:paraId="3F987B35" w14:textId="4C35042F" w:rsidR="004A48DA" w:rsidRPr="00DD5F1D" w:rsidRDefault="00F87466" w:rsidP="00F87466">
      <w:pPr>
        <w:rPr>
          <w:rFonts w:ascii="Times New Roman" w:hAnsi="Times New Roman" w:cs="Times New Roman"/>
          <w:i/>
          <w:lang w:val="ro-MD"/>
        </w:rPr>
      </w:pPr>
      <w:r w:rsidRPr="00DD5F1D">
        <w:rPr>
          <w:rFonts w:ascii="Times New Roman" w:hAnsi="Times New Roman" w:cs="Times New Roman"/>
          <w:i/>
          <w:lang w:val="ro-MD"/>
        </w:rPr>
        <w:t xml:space="preserve">Sursa: Elaborat de audit în baza actelor normative și informația furnizată de </w:t>
      </w:r>
      <w:hyperlink r:id="rId22" w:history="1">
        <w:r w:rsidRPr="00DD5F1D">
          <w:rPr>
            <w:rStyle w:val="af2"/>
            <w:rFonts w:ascii="Times New Roman" w:hAnsi="Times New Roman" w:cs="Times New Roman"/>
            <w:lang w:val="ro-MD"/>
          </w:rPr>
          <w:t>www.statistica.md</w:t>
        </w:r>
      </w:hyperlink>
    </w:p>
    <w:p w14:paraId="0275C8A1" w14:textId="510830D4" w:rsidR="00806680" w:rsidRPr="00DD5F1D" w:rsidRDefault="00806680" w:rsidP="007A6461">
      <w:pPr>
        <w:rPr>
          <w:rFonts w:ascii="Times New Roman" w:hAnsi="Times New Roman" w:cs="Times New Roman"/>
          <w:b/>
          <w:sz w:val="24"/>
          <w:lang w:val="ro-MD"/>
        </w:rPr>
      </w:pPr>
    </w:p>
    <w:p w14:paraId="57BB8149" w14:textId="70D2D66D" w:rsidR="004A48DA" w:rsidRPr="00DD5F1D" w:rsidRDefault="004A48DA" w:rsidP="00C0495B">
      <w:pPr>
        <w:pStyle w:val="2"/>
        <w:jc w:val="right"/>
        <w:rPr>
          <w:rFonts w:ascii="Times New Roman" w:hAnsi="Times New Roman" w:cs="Times New Roman"/>
          <w:b/>
          <w:color w:val="000000" w:themeColor="text1"/>
          <w:sz w:val="24"/>
          <w:lang w:val="ro-MD"/>
        </w:rPr>
      </w:pPr>
      <w:r w:rsidRPr="00DD5F1D">
        <w:rPr>
          <w:rFonts w:ascii="Times New Roman" w:hAnsi="Times New Roman" w:cs="Times New Roman"/>
          <w:b/>
          <w:color w:val="000000" w:themeColor="text1"/>
          <w:sz w:val="24"/>
          <w:lang w:val="ro-MD"/>
        </w:rPr>
        <w:t>Anexa nr. 1</w:t>
      </w:r>
      <w:r w:rsidR="000E2AC7" w:rsidRPr="00DD5F1D">
        <w:rPr>
          <w:rFonts w:ascii="Times New Roman" w:hAnsi="Times New Roman" w:cs="Times New Roman"/>
          <w:b/>
          <w:color w:val="000000" w:themeColor="text1"/>
          <w:sz w:val="24"/>
          <w:lang w:val="ro-MD"/>
        </w:rPr>
        <w:t>2</w:t>
      </w:r>
    </w:p>
    <w:p w14:paraId="63791658" w14:textId="15D8674D" w:rsidR="00806680" w:rsidRPr="00DD5F1D" w:rsidRDefault="00806680" w:rsidP="00806680">
      <w:pPr>
        <w:jc w:val="center"/>
        <w:rPr>
          <w:rFonts w:ascii="Times New Roman" w:hAnsi="Times New Roman" w:cs="Times New Roman"/>
          <w:b/>
          <w:sz w:val="24"/>
          <w:lang w:val="ro-MD"/>
        </w:rPr>
      </w:pPr>
      <w:r w:rsidRPr="00DD5F1D">
        <w:rPr>
          <w:rFonts w:ascii="Times New Roman" w:hAnsi="Times New Roman" w:cs="Times New Roman"/>
          <w:b/>
          <w:sz w:val="24"/>
          <w:lang w:val="ro-MD"/>
        </w:rPr>
        <w:t>Analiza contribuțiilor de asigurări sociale de stat calculate/achitate în perioada 2022-2023</w:t>
      </w:r>
    </w:p>
    <w:tbl>
      <w:tblPr>
        <w:tblW w:w="15026" w:type="dxa"/>
        <w:tblInd w:w="-572" w:type="dxa"/>
        <w:tblLayout w:type="fixed"/>
        <w:tblLook w:val="04A0" w:firstRow="1" w:lastRow="0" w:firstColumn="1" w:lastColumn="0" w:noHBand="0" w:noVBand="1"/>
      </w:tblPr>
      <w:tblGrid>
        <w:gridCol w:w="851"/>
        <w:gridCol w:w="2443"/>
        <w:gridCol w:w="6"/>
        <w:gridCol w:w="1245"/>
        <w:gridCol w:w="6"/>
        <w:gridCol w:w="1169"/>
        <w:gridCol w:w="6"/>
        <w:gridCol w:w="1155"/>
        <w:gridCol w:w="6"/>
        <w:gridCol w:w="1103"/>
        <w:gridCol w:w="6"/>
        <w:gridCol w:w="964"/>
        <w:gridCol w:w="6"/>
        <w:gridCol w:w="1122"/>
        <w:gridCol w:w="6"/>
        <w:gridCol w:w="1122"/>
        <w:gridCol w:w="6"/>
        <w:gridCol w:w="1021"/>
        <w:gridCol w:w="6"/>
        <w:gridCol w:w="1076"/>
        <w:gridCol w:w="850"/>
        <w:gridCol w:w="851"/>
      </w:tblGrid>
      <w:tr w:rsidR="004A48DA" w:rsidRPr="00DD5F1D" w14:paraId="28B9DA01" w14:textId="77777777" w:rsidTr="000E2AC7">
        <w:trPr>
          <w:trHeight w:val="13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BAFFA"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Cod ECO</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14:paraId="0B7AD73A"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Denumirea</w:t>
            </w:r>
          </w:p>
        </w:tc>
        <w:tc>
          <w:tcPr>
            <w:tcW w:w="1251" w:type="dxa"/>
            <w:gridSpan w:val="2"/>
            <w:tcBorders>
              <w:top w:val="single" w:sz="4" w:space="0" w:color="auto"/>
              <w:left w:val="nil"/>
              <w:bottom w:val="single" w:sz="4" w:space="0" w:color="auto"/>
              <w:right w:val="single" w:sz="4" w:space="0" w:color="auto"/>
            </w:tcBorders>
            <w:shd w:val="clear" w:color="auto" w:fill="auto"/>
            <w:vAlign w:val="center"/>
            <w:hideMark/>
          </w:tcPr>
          <w:p w14:paraId="029F718A"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Plăți calculate în perioada 01.01.2022 - 31.12.2022</w:t>
            </w:r>
          </w:p>
        </w:tc>
        <w:tc>
          <w:tcPr>
            <w:tcW w:w="1175" w:type="dxa"/>
            <w:gridSpan w:val="2"/>
            <w:tcBorders>
              <w:top w:val="single" w:sz="4" w:space="0" w:color="auto"/>
              <w:left w:val="nil"/>
              <w:bottom w:val="single" w:sz="4" w:space="0" w:color="auto"/>
              <w:right w:val="single" w:sz="4" w:space="0" w:color="auto"/>
            </w:tcBorders>
            <w:shd w:val="clear" w:color="auto" w:fill="auto"/>
            <w:vAlign w:val="center"/>
            <w:hideMark/>
          </w:tcPr>
          <w:p w14:paraId="39D367B7"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Plăți calculate în perioada 01.01.2023 - 31.12.2023</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14:paraId="7E3EB43E"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Plăți achitate în perioada 01.01.2022 - 31.12.2022</w:t>
            </w:r>
          </w:p>
        </w:tc>
        <w:tc>
          <w:tcPr>
            <w:tcW w:w="1109" w:type="dxa"/>
            <w:gridSpan w:val="2"/>
            <w:tcBorders>
              <w:top w:val="single" w:sz="4" w:space="0" w:color="auto"/>
              <w:left w:val="nil"/>
              <w:bottom w:val="single" w:sz="4" w:space="0" w:color="auto"/>
              <w:right w:val="single" w:sz="4" w:space="0" w:color="auto"/>
            </w:tcBorders>
            <w:shd w:val="clear" w:color="auto" w:fill="auto"/>
            <w:vAlign w:val="center"/>
            <w:hideMark/>
          </w:tcPr>
          <w:p w14:paraId="46959A6C"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Plăți achitate în perioada 01.01.2023- 31.12.2023</w:t>
            </w:r>
          </w:p>
        </w:tc>
        <w:tc>
          <w:tcPr>
            <w:tcW w:w="970" w:type="dxa"/>
            <w:gridSpan w:val="2"/>
            <w:tcBorders>
              <w:top w:val="single" w:sz="4" w:space="0" w:color="auto"/>
              <w:left w:val="nil"/>
              <w:bottom w:val="single" w:sz="4" w:space="0" w:color="auto"/>
              <w:right w:val="single" w:sz="4" w:space="0" w:color="auto"/>
            </w:tcBorders>
            <w:shd w:val="clear" w:color="auto" w:fill="auto"/>
            <w:vAlign w:val="center"/>
            <w:hideMark/>
          </w:tcPr>
          <w:p w14:paraId="7451EA49"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Diferența calculat/ achitat (2023)</w:t>
            </w: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14:paraId="0595F68C"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Restanța la situația din 31.12.2023</w:t>
            </w: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14:paraId="65200E6E"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Restanța la situația din 31.12.2022</w:t>
            </w:r>
          </w:p>
        </w:tc>
        <w:tc>
          <w:tcPr>
            <w:tcW w:w="1027" w:type="dxa"/>
            <w:gridSpan w:val="2"/>
            <w:tcBorders>
              <w:top w:val="single" w:sz="4" w:space="0" w:color="auto"/>
              <w:left w:val="nil"/>
              <w:bottom w:val="single" w:sz="4" w:space="0" w:color="auto"/>
              <w:right w:val="single" w:sz="4" w:space="0" w:color="auto"/>
            </w:tcBorders>
            <w:shd w:val="clear" w:color="auto" w:fill="auto"/>
            <w:vAlign w:val="center"/>
            <w:hideMark/>
          </w:tcPr>
          <w:p w14:paraId="19D68D4C"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Ponderea restanței în calculat 2023</w:t>
            </w:r>
          </w:p>
        </w:tc>
        <w:tc>
          <w:tcPr>
            <w:tcW w:w="1082" w:type="dxa"/>
            <w:gridSpan w:val="2"/>
            <w:tcBorders>
              <w:top w:val="single" w:sz="4" w:space="0" w:color="auto"/>
              <w:left w:val="nil"/>
              <w:bottom w:val="single" w:sz="4" w:space="0" w:color="auto"/>
              <w:right w:val="single" w:sz="4" w:space="0" w:color="auto"/>
            </w:tcBorders>
            <w:shd w:val="clear" w:color="auto" w:fill="auto"/>
            <w:vAlign w:val="center"/>
            <w:hideMark/>
          </w:tcPr>
          <w:p w14:paraId="56F74F56" w14:textId="7FBD0E39"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Restanța</w:t>
            </w:r>
            <w:r w:rsidR="003B39FF" w:rsidRPr="00DD5F1D">
              <w:rPr>
                <w:rFonts w:ascii="Times New Roman" w:eastAsia="Times New Roman" w:hAnsi="Times New Roman" w:cs="Times New Roman"/>
                <w:b/>
                <w:bCs/>
                <w:sz w:val="18"/>
                <w:szCs w:val="18"/>
                <w:lang w:val="ro-MD"/>
              </w:rPr>
              <w:t>,</w:t>
            </w:r>
            <w:r w:rsidRPr="00DD5F1D">
              <w:rPr>
                <w:rFonts w:ascii="Times New Roman" w:eastAsia="Times New Roman" w:hAnsi="Times New Roman" w:cs="Times New Roman"/>
                <w:b/>
                <w:bCs/>
                <w:sz w:val="18"/>
                <w:szCs w:val="18"/>
                <w:lang w:val="ro-MD"/>
              </w:rPr>
              <w:t xml:space="preserve"> 2023-2022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AB6EF5"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Ritmul creșterii restanței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CC893E" w14:textId="77777777" w:rsidR="004A48DA" w:rsidRPr="00DD5F1D" w:rsidRDefault="004A48DA" w:rsidP="009E3494">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Ritmul creșterii contribuțiilor</w:t>
            </w:r>
          </w:p>
        </w:tc>
      </w:tr>
      <w:tr w:rsidR="004A48DA" w:rsidRPr="00DD5F1D" w14:paraId="0511CADD" w14:textId="77777777" w:rsidTr="000E2AC7">
        <w:trPr>
          <w:trHeight w:val="52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ED20F7" w14:textId="77777777" w:rsidR="004A48DA" w:rsidRPr="00DD5F1D" w:rsidRDefault="004A48DA" w:rsidP="009E3494">
            <w:pPr>
              <w:spacing w:after="0" w:line="240"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121100</w:t>
            </w:r>
          </w:p>
        </w:tc>
        <w:tc>
          <w:tcPr>
            <w:tcW w:w="2443" w:type="dxa"/>
            <w:tcBorders>
              <w:top w:val="nil"/>
              <w:left w:val="nil"/>
              <w:bottom w:val="single" w:sz="4" w:space="0" w:color="auto"/>
              <w:right w:val="single" w:sz="4" w:space="0" w:color="auto"/>
            </w:tcBorders>
            <w:shd w:val="clear" w:color="auto" w:fill="auto"/>
            <w:vAlign w:val="bottom"/>
            <w:hideMark/>
          </w:tcPr>
          <w:p w14:paraId="3016A44F" w14:textId="77777777" w:rsidR="004A48DA" w:rsidRPr="00DD5F1D" w:rsidRDefault="004A48DA" w:rsidP="009E3494">
            <w:pPr>
              <w:spacing w:after="0" w:line="240" w:lineRule="auto"/>
              <w:jc w:val="both"/>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obligatorii virate de angajatori</w:t>
            </w:r>
          </w:p>
        </w:tc>
        <w:tc>
          <w:tcPr>
            <w:tcW w:w="1251" w:type="dxa"/>
            <w:gridSpan w:val="2"/>
            <w:tcBorders>
              <w:top w:val="nil"/>
              <w:left w:val="nil"/>
              <w:bottom w:val="single" w:sz="4" w:space="0" w:color="auto"/>
              <w:right w:val="single" w:sz="4" w:space="0" w:color="auto"/>
            </w:tcBorders>
            <w:shd w:val="clear" w:color="auto" w:fill="auto"/>
            <w:vAlign w:val="center"/>
            <w:hideMark/>
          </w:tcPr>
          <w:p w14:paraId="6FAA38D9"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18259807,69</w:t>
            </w:r>
          </w:p>
        </w:tc>
        <w:tc>
          <w:tcPr>
            <w:tcW w:w="1175" w:type="dxa"/>
            <w:gridSpan w:val="2"/>
            <w:tcBorders>
              <w:top w:val="nil"/>
              <w:left w:val="nil"/>
              <w:bottom w:val="single" w:sz="4" w:space="0" w:color="auto"/>
              <w:right w:val="single" w:sz="4" w:space="0" w:color="auto"/>
            </w:tcBorders>
            <w:shd w:val="clear" w:color="auto" w:fill="auto"/>
            <w:vAlign w:val="center"/>
            <w:hideMark/>
          </w:tcPr>
          <w:p w14:paraId="7053C7F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21310202,79</w:t>
            </w:r>
          </w:p>
        </w:tc>
        <w:tc>
          <w:tcPr>
            <w:tcW w:w="1161" w:type="dxa"/>
            <w:gridSpan w:val="2"/>
            <w:tcBorders>
              <w:top w:val="nil"/>
              <w:left w:val="nil"/>
              <w:bottom w:val="single" w:sz="4" w:space="0" w:color="auto"/>
              <w:right w:val="single" w:sz="4" w:space="0" w:color="auto"/>
            </w:tcBorders>
            <w:shd w:val="clear" w:color="auto" w:fill="auto"/>
            <w:vAlign w:val="center"/>
            <w:hideMark/>
          </w:tcPr>
          <w:p w14:paraId="592BB86E"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18336778,8</w:t>
            </w:r>
          </w:p>
        </w:tc>
        <w:tc>
          <w:tcPr>
            <w:tcW w:w="1109" w:type="dxa"/>
            <w:gridSpan w:val="2"/>
            <w:tcBorders>
              <w:top w:val="nil"/>
              <w:left w:val="nil"/>
              <w:bottom w:val="single" w:sz="4" w:space="0" w:color="auto"/>
              <w:right w:val="single" w:sz="4" w:space="0" w:color="auto"/>
            </w:tcBorders>
            <w:shd w:val="clear" w:color="auto" w:fill="auto"/>
            <w:vAlign w:val="center"/>
            <w:hideMark/>
          </w:tcPr>
          <w:p w14:paraId="7D4F427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21274957</w:t>
            </w:r>
          </w:p>
        </w:tc>
        <w:tc>
          <w:tcPr>
            <w:tcW w:w="970" w:type="dxa"/>
            <w:gridSpan w:val="2"/>
            <w:tcBorders>
              <w:top w:val="nil"/>
              <w:left w:val="nil"/>
              <w:bottom w:val="single" w:sz="4" w:space="0" w:color="auto"/>
              <w:right w:val="single" w:sz="4" w:space="0" w:color="auto"/>
            </w:tcBorders>
            <w:shd w:val="clear" w:color="auto" w:fill="auto"/>
            <w:vAlign w:val="center"/>
            <w:hideMark/>
          </w:tcPr>
          <w:p w14:paraId="64B63F73"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-35245,79</w:t>
            </w:r>
          </w:p>
        </w:tc>
        <w:tc>
          <w:tcPr>
            <w:tcW w:w="1128" w:type="dxa"/>
            <w:gridSpan w:val="2"/>
            <w:tcBorders>
              <w:top w:val="nil"/>
              <w:left w:val="nil"/>
              <w:bottom w:val="single" w:sz="4" w:space="0" w:color="auto"/>
              <w:right w:val="single" w:sz="4" w:space="0" w:color="auto"/>
            </w:tcBorders>
            <w:shd w:val="clear" w:color="auto" w:fill="auto"/>
            <w:vAlign w:val="center"/>
            <w:hideMark/>
          </w:tcPr>
          <w:p w14:paraId="3EAD05CE"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-270887,11</w:t>
            </w:r>
          </w:p>
        </w:tc>
        <w:tc>
          <w:tcPr>
            <w:tcW w:w="1128" w:type="dxa"/>
            <w:gridSpan w:val="2"/>
            <w:tcBorders>
              <w:top w:val="nil"/>
              <w:left w:val="nil"/>
              <w:bottom w:val="single" w:sz="4" w:space="0" w:color="auto"/>
              <w:right w:val="single" w:sz="4" w:space="0" w:color="auto"/>
            </w:tcBorders>
            <w:shd w:val="clear" w:color="auto" w:fill="auto"/>
            <w:vAlign w:val="center"/>
            <w:hideMark/>
          </w:tcPr>
          <w:p w14:paraId="0EC48050"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-202883,44</w:t>
            </w:r>
          </w:p>
        </w:tc>
        <w:tc>
          <w:tcPr>
            <w:tcW w:w="1027" w:type="dxa"/>
            <w:gridSpan w:val="2"/>
            <w:tcBorders>
              <w:top w:val="nil"/>
              <w:left w:val="nil"/>
              <w:bottom w:val="single" w:sz="4" w:space="0" w:color="auto"/>
              <w:right w:val="single" w:sz="4" w:space="0" w:color="auto"/>
            </w:tcBorders>
            <w:shd w:val="clear" w:color="auto" w:fill="auto"/>
            <w:noWrap/>
            <w:vAlign w:val="center"/>
            <w:hideMark/>
          </w:tcPr>
          <w:p w14:paraId="237B33B0"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-1,27%</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487AAA5F"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-68003,7</w:t>
            </w:r>
          </w:p>
        </w:tc>
        <w:tc>
          <w:tcPr>
            <w:tcW w:w="850" w:type="dxa"/>
            <w:tcBorders>
              <w:top w:val="nil"/>
              <w:left w:val="nil"/>
              <w:bottom w:val="single" w:sz="4" w:space="0" w:color="auto"/>
              <w:right w:val="single" w:sz="4" w:space="0" w:color="auto"/>
            </w:tcBorders>
            <w:shd w:val="clear" w:color="auto" w:fill="auto"/>
            <w:noWrap/>
            <w:vAlign w:val="center"/>
            <w:hideMark/>
          </w:tcPr>
          <w:p w14:paraId="24E6EAA3"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33,52%</w:t>
            </w:r>
          </w:p>
        </w:tc>
        <w:tc>
          <w:tcPr>
            <w:tcW w:w="851" w:type="dxa"/>
            <w:tcBorders>
              <w:top w:val="nil"/>
              <w:left w:val="nil"/>
              <w:bottom w:val="single" w:sz="4" w:space="0" w:color="auto"/>
              <w:right w:val="single" w:sz="4" w:space="0" w:color="auto"/>
            </w:tcBorders>
            <w:shd w:val="clear" w:color="auto" w:fill="auto"/>
            <w:noWrap/>
            <w:vAlign w:val="center"/>
            <w:hideMark/>
          </w:tcPr>
          <w:p w14:paraId="49C426D0"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16,71%</w:t>
            </w:r>
          </w:p>
        </w:tc>
      </w:tr>
      <w:tr w:rsidR="004A48DA" w:rsidRPr="00DD5F1D" w14:paraId="15AA2DF9" w14:textId="77777777" w:rsidTr="000E2AC7">
        <w:trPr>
          <w:trHeight w:val="79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A036D6" w14:textId="77777777" w:rsidR="004A48DA" w:rsidRPr="00DD5F1D" w:rsidRDefault="004A48DA" w:rsidP="009E3494">
            <w:pPr>
              <w:spacing w:after="0" w:line="240"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121310</w:t>
            </w:r>
          </w:p>
        </w:tc>
        <w:tc>
          <w:tcPr>
            <w:tcW w:w="2443" w:type="dxa"/>
            <w:tcBorders>
              <w:top w:val="nil"/>
              <w:left w:val="nil"/>
              <w:bottom w:val="single" w:sz="4" w:space="0" w:color="auto"/>
              <w:right w:val="single" w:sz="4" w:space="0" w:color="auto"/>
            </w:tcBorders>
            <w:shd w:val="clear" w:color="auto" w:fill="auto"/>
            <w:vAlign w:val="bottom"/>
            <w:hideMark/>
          </w:tcPr>
          <w:p w14:paraId="1B646C36" w14:textId="77777777" w:rsidR="004A48DA" w:rsidRPr="00DD5F1D" w:rsidRDefault="004A48DA" w:rsidP="009E3494">
            <w:pPr>
              <w:spacing w:after="0" w:line="240" w:lineRule="auto"/>
              <w:jc w:val="both"/>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obligatorii, virate de persoanele fizice ce își desfășoară activitate pe cont propriu</w:t>
            </w:r>
          </w:p>
        </w:tc>
        <w:tc>
          <w:tcPr>
            <w:tcW w:w="1251" w:type="dxa"/>
            <w:gridSpan w:val="2"/>
            <w:tcBorders>
              <w:top w:val="nil"/>
              <w:left w:val="nil"/>
              <w:bottom w:val="single" w:sz="4" w:space="0" w:color="auto"/>
              <w:right w:val="single" w:sz="4" w:space="0" w:color="auto"/>
            </w:tcBorders>
            <w:shd w:val="clear" w:color="auto" w:fill="auto"/>
            <w:vAlign w:val="center"/>
            <w:hideMark/>
          </w:tcPr>
          <w:p w14:paraId="76981D7E"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127875,99</w:t>
            </w:r>
          </w:p>
        </w:tc>
        <w:tc>
          <w:tcPr>
            <w:tcW w:w="1175" w:type="dxa"/>
            <w:gridSpan w:val="2"/>
            <w:tcBorders>
              <w:top w:val="nil"/>
              <w:left w:val="nil"/>
              <w:bottom w:val="single" w:sz="4" w:space="0" w:color="auto"/>
              <w:right w:val="single" w:sz="4" w:space="0" w:color="auto"/>
            </w:tcBorders>
            <w:shd w:val="clear" w:color="auto" w:fill="auto"/>
            <w:vAlign w:val="center"/>
            <w:hideMark/>
          </w:tcPr>
          <w:p w14:paraId="44B06EB9"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154135,88</w:t>
            </w:r>
          </w:p>
        </w:tc>
        <w:tc>
          <w:tcPr>
            <w:tcW w:w="1161" w:type="dxa"/>
            <w:gridSpan w:val="2"/>
            <w:tcBorders>
              <w:top w:val="nil"/>
              <w:left w:val="nil"/>
              <w:bottom w:val="single" w:sz="4" w:space="0" w:color="auto"/>
              <w:right w:val="single" w:sz="4" w:space="0" w:color="auto"/>
            </w:tcBorders>
            <w:shd w:val="clear" w:color="auto" w:fill="auto"/>
            <w:vAlign w:val="center"/>
            <w:hideMark/>
          </w:tcPr>
          <w:p w14:paraId="3F94841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128703,15</w:t>
            </w:r>
          </w:p>
        </w:tc>
        <w:tc>
          <w:tcPr>
            <w:tcW w:w="1109" w:type="dxa"/>
            <w:gridSpan w:val="2"/>
            <w:tcBorders>
              <w:top w:val="nil"/>
              <w:left w:val="nil"/>
              <w:bottom w:val="single" w:sz="4" w:space="0" w:color="auto"/>
              <w:right w:val="single" w:sz="4" w:space="0" w:color="auto"/>
            </w:tcBorders>
            <w:shd w:val="clear" w:color="auto" w:fill="auto"/>
            <w:vAlign w:val="center"/>
            <w:hideMark/>
          </w:tcPr>
          <w:p w14:paraId="3F9CAB91"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150099,97</w:t>
            </w:r>
          </w:p>
        </w:tc>
        <w:tc>
          <w:tcPr>
            <w:tcW w:w="970" w:type="dxa"/>
            <w:gridSpan w:val="2"/>
            <w:tcBorders>
              <w:top w:val="nil"/>
              <w:left w:val="nil"/>
              <w:bottom w:val="single" w:sz="4" w:space="0" w:color="auto"/>
              <w:right w:val="single" w:sz="4" w:space="0" w:color="auto"/>
            </w:tcBorders>
            <w:shd w:val="clear" w:color="auto" w:fill="auto"/>
            <w:vAlign w:val="center"/>
            <w:hideMark/>
          </w:tcPr>
          <w:p w14:paraId="786EB682"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-4035,91</w:t>
            </w:r>
          </w:p>
        </w:tc>
        <w:tc>
          <w:tcPr>
            <w:tcW w:w="1128" w:type="dxa"/>
            <w:gridSpan w:val="2"/>
            <w:tcBorders>
              <w:top w:val="nil"/>
              <w:left w:val="nil"/>
              <w:bottom w:val="single" w:sz="4" w:space="0" w:color="auto"/>
              <w:right w:val="single" w:sz="4" w:space="0" w:color="auto"/>
            </w:tcBorders>
            <w:shd w:val="clear" w:color="auto" w:fill="auto"/>
            <w:vAlign w:val="center"/>
            <w:hideMark/>
          </w:tcPr>
          <w:p w14:paraId="4A5C9B74"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-14433,98</w:t>
            </w:r>
          </w:p>
        </w:tc>
        <w:tc>
          <w:tcPr>
            <w:tcW w:w="1128" w:type="dxa"/>
            <w:gridSpan w:val="2"/>
            <w:tcBorders>
              <w:top w:val="nil"/>
              <w:left w:val="nil"/>
              <w:bottom w:val="single" w:sz="4" w:space="0" w:color="auto"/>
              <w:right w:val="single" w:sz="4" w:space="0" w:color="auto"/>
            </w:tcBorders>
            <w:shd w:val="clear" w:color="auto" w:fill="auto"/>
            <w:vAlign w:val="center"/>
            <w:hideMark/>
          </w:tcPr>
          <w:p w14:paraId="5DC47F4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-8052,41</w:t>
            </w:r>
          </w:p>
        </w:tc>
        <w:tc>
          <w:tcPr>
            <w:tcW w:w="1027" w:type="dxa"/>
            <w:gridSpan w:val="2"/>
            <w:tcBorders>
              <w:top w:val="nil"/>
              <w:left w:val="nil"/>
              <w:bottom w:val="single" w:sz="4" w:space="0" w:color="auto"/>
              <w:right w:val="single" w:sz="4" w:space="0" w:color="auto"/>
            </w:tcBorders>
            <w:shd w:val="clear" w:color="auto" w:fill="auto"/>
            <w:noWrap/>
            <w:vAlign w:val="center"/>
            <w:hideMark/>
          </w:tcPr>
          <w:p w14:paraId="56542507"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-9,36%</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751D7400"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-6381,57</w:t>
            </w:r>
          </w:p>
        </w:tc>
        <w:tc>
          <w:tcPr>
            <w:tcW w:w="850" w:type="dxa"/>
            <w:tcBorders>
              <w:top w:val="nil"/>
              <w:left w:val="nil"/>
              <w:bottom w:val="single" w:sz="4" w:space="0" w:color="auto"/>
              <w:right w:val="single" w:sz="4" w:space="0" w:color="auto"/>
            </w:tcBorders>
            <w:shd w:val="clear" w:color="auto" w:fill="auto"/>
            <w:noWrap/>
            <w:vAlign w:val="center"/>
            <w:hideMark/>
          </w:tcPr>
          <w:p w14:paraId="05F82AE0"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79,25%</w:t>
            </w:r>
          </w:p>
        </w:tc>
        <w:tc>
          <w:tcPr>
            <w:tcW w:w="851" w:type="dxa"/>
            <w:tcBorders>
              <w:top w:val="nil"/>
              <w:left w:val="nil"/>
              <w:bottom w:val="single" w:sz="4" w:space="0" w:color="auto"/>
              <w:right w:val="single" w:sz="4" w:space="0" w:color="auto"/>
            </w:tcBorders>
            <w:shd w:val="clear" w:color="auto" w:fill="auto"/>
            <w:noWrap/>
            <w:vAlign w:val="center"/>
            <w:hideMark/>
          </w:tcPr>
          <w:p w14:paraId="1C91850E"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20,54%</w:t>
            </w:r>
          </w:p>
        </w:tc>
      </w:tr>
      <w:tr w:rsidR="004A48DA" w:rsidRPr="00DD5F1D" w14:paraId="51C039A2" w14:textId="77777777" w:rsidTr="000E2AC7">
        <w:trPr>
          <w:trHeight w:val="79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CB272AA" w14:textId="77777777" w:rsidR="004A48DA" w:rsidRPr="00DD5F1D" w:rsidRDefault="004A48DA" w:rsidP="009E3494">
            <w:pPr>
              <w:spacing w:after="0" w:line="240"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121340</w:t>
            </w:r>
          </w:p>
        </w:tc>
        <w:tc>
          <w:tcPr>
            <w:tcW w:w="2443" w:type="dxa"/>
            <w:tcBorders>
              <w:top w:val="nil"/>
              <w:left w:val="nil"/>
              <w:bottom w:val="single" w:sz="4" w:space="0" w:color="auto"/>
              <w:right w:val="single" w:sz="4" w:space="0" w:color="auto"/>
            </w:tcBorders>
            <w:shd w:val="clear" w:color="auto" w:fill="auto"/>
            <w:vAlign w:val="bottom"/>
            <w:hideMark/>
          </w:tcPr>
          <w:p w14:paraId="24E5A8FE" w14:textId="0B17B861" w:rsidR="004A48DA" w:rsidRPr="00DD5F1D" w:rsidRDefault="004A48DA" w:rsidP="003B39FF">
            <w:pPr>
              <w:spacing w:after="0" w:line="240" w:lineRule="auto"/>
              <w:jc w:val="both"/>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obligatorii, virate de persoanele fizice, proprietari de terenuri agricole</w:t>
            </w:r>
          </w:p>
        </w:tc>
        <w:tc>
          <w:tcPr>
            <w:tcW w:w="1251" w:type="dxa"/>
            <w:gridSpan w:val="2"/>
            <w:tcBorders>
              <w:top w:val="nil"/>
              <w:left w:val="nil"/>
              <w:bottom w:val="single" w:sz="4" w:space="0" w:color="auto"/>
              <w:right w:val="single" w:sz="4" w:space="0" w:color="auto"/>
            </w:tcBorders>
            <w:shd w:val="clear" w:color="auto" w:fill="auto"/>
            <w:vAlign w:val="center"/>
            <w:hideMark/>
          </w:tcPr>
          <w:p w14:paraId="1990EBD2"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9,33</w:t>
            </w:r>
          </w:p>
        </w:tc>
        <w:tc>
          <w:tcPr>
            <w:tcW w:w="1175" w:type="dxa"/>
            <w:gridSpan w:val="2"/>
            <w:tcBorders>
              <w:top w:val="nil"/>
              <w:left w:val="nil"/>
              <w:bottom w:val="single" w:sz="4" w:space="0" w:color="auto"/>
              <w:right w:val="single" w:sz="4" w:space="0" w:color="auto"/>
            </w:tcBorders>
            <w:shd w:val="clear" w:color="auto" w:fill="auto"/>
            <w:vAlign w:val="center"/>
            <w:hideMark/>
          </w:tcPr>
          <w:p w14:paraId="67B39F11"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68,12</w:t>
            </w:r>
          </w:p>
        </w:tc>
        <w:tc>
          <w:tcPr>
            <w:tcW w:w="1161" w:type="dxa"/>
            <w:gridSpan w:val="2"/>
            <w:tcBorders>
              <w:top w:val="nil"/>
              <w:left w:val="nil"/>
              <w:bottom w:val="single" w:sz="4" w:space="0" w:color="auto"/>
              <w:right w:val="single" w:sz="4" w:space="0" w:color="auto"/>
            </w:tcBorders>
            <w:shd w:val="clear" w:color="auto" w:fill="auto"/>
            <w:vAlign w:val="center"/>
            <w:hideMark/>
          </w:tcPr>
          <w:p w14:paraId="70EA4FD3"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86,35</w:t>
            </w:r>
          </w:p>
        </w:tc>
        <w:tc>
          <w:tcPr>
            <w:tcW w:w="1109" w:type="dxa"/>
            <w:gridSpan w:val="2"/>
            <w:tcBorders>
              <w:top w:val="nil"/>
              <w:left w:val="nil"/>
              <w:bottom w:val="single" w:sz="4" w:space="0" w:color="auto"/>
              <w:right w:val="single" w:sz="4" w:space="0" w:color="auto"/>
            </w:tcBorders>
            <w:shd w:val="clear" w:color="auto" w:fill="auto"/>
            <w:vAlign w:val="center"/>
            <w:hideMark/>
          </w:tcPr>
          <w:p w14:paraId="68054D22"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-140,92</w:t>
            </w:r>
          </w:p>
        </w:tc>
        <w:tc>
          <w:tcPr>
            <w:tcW w:w="970" w:type="dxa"/>
            <w:gridSpan w:val="2"/>
            <w:tcBorders>
              <w:top w:val="nil"/>
              <w:left w:val="nil"/>
              <w:bottom w:val="single" w:sz="4" w:space="0" w:color="auto"/>
              <w:right w:val="single" w:sz="4" w:space="0" w:color="auto"/>
            </w:tcBorders>
            <w:shd w:val="clear" w:color="auto" w:fill="auto"/>
            <w:vAlign w:val="center"/>
            <w:hideMark/>
          </w:tcPr>
          <w:p w14:paraId="2E6CF861"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-209,04</w:t>
            </w:r>
          </w:p>
        </w:tc>
        <w:tc>
          <w:tcPr>
            <w:tcW w:w="1128" w:type="dxa"/>
            <w:gridSpan w:val="2"/>
            <w:tcBorders>
              <w:top w:val="nil"/>
              <w:left w:val="nil"/>
              <w:bottom w:val="single" w:sz="4" w:space="0" w:color="auto"/>
              <w:right w:val="single" w:sz="4" w:space="0" w:color="auto"/>
            </w:tcBorders>
            <w:shd w:val="clear" w:color="auto" w:fill="auto"/>
            <w:vAlign w:val="center"/>
            <w:hideMark/>
          </w:tcPr>
          <w:p w14:paraId="258171B7"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-1,73</w:t>
            </w:r>
          </w:p>
        </w:tc>
        <w:tc>
          <w:tcPr>
            <w:tcW w:w="1128" w:type="dxa"/>
            <w:gridSpan w:val="2"/>
            <w:tcBorders>
              <w:top w:val="nil"/>
              <w:left w:val="nil"/>
              <w:bottom w:val="single" w:sz="4" w:space="0" w:color="auto"/>
              <w:right w:val="single" w:sz="4" w:space="0" w:color="auto"/>
            </w:tcBorders>
            <w:shd w:val="clear" w:color="auto" w:fill="auto"/>
            <w:vAlign w:val="center"/>
            <w:hideMark/>
          </w:tcPr>
          <w:p w14:paraId="71F4301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-4,56</w:t>
            </w:r>
          </w:p>
        </w:tc>
        <w:tc>
          <w:tcPr>
            <w:tcW w:w="1027" w:type="dxa"/>
            <w:gridSpan w:val="2"/>
            <w:tcBorders>
              <w:top w:val="nil"/>
              <w:left w:val="nil"/>
              <w:bottom w:val="single" w:sz="4" w:space="0" w:color="auto"/>
              <w:right w:val="single" w:sz="4" w:space="0" w:color="auto"/>
            </w:tcBorders>
            <w:shd w:val="clear" w:color="auto" w:fill="auto"/>
            <w:noWrap/>
            <w:vAlign w:val="center"/>
            <w:hideMark/>
          </w:tcPr>
          <w:p w14:paraId="3FE63F3F"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-2,54%</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7F1519A4"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2,83</w:t>
            </w:r>
          </w:p>
        </w:tc>
        <w:tc>
          <w:tcPr>
            <w:tcW w:w="850" w:type="dxa"/>
            <w:tcBorders>
              <w:top w:val="nil"/>
              <w:left w:val="nil"/>
              <w:bottom w:val="single" w:sz="4" w:space="0" w:color="auto"/>
              <w:right w:val="single" w:sz="4" w:space="0" w:color="auto"/>
            </w:tcBorders>
            <w:shd w:val="clear" w:color="auto" w:fill="auto"/>
            <w:noWrap/>
            <w:vAlign w:val="center"/>
            <w:hideMark/>
          </w:tcPr>
          <w:p w14:paraId="6785ACE6"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-62,06%</w:t>
            </w:r>
          </w:p>
        </w:tc>
        <w:tc>
          <w:tcPr>
            <w:tcW w:w="851" w:type="dxa"/>
            <w:tcBorders>
              <w:top w:val="nil"/>
              <w:left w:val="nil"/>
              <w:bottom w:val="single" w:sz="4" w:space="0" w:color="auto"/>
              <w:right w:val="single" w:sz="4" w:space="0" w:color="auto"/>
            </w:tcBorders>
            <w:shd w:val="clear" w:color="auto" w:fill="auto"/>
            <w:noWrap/>
            <w:vAlign w:val="center"/>
            <w:hideMark/>
          </w:tcPr>
          <w:p w14:paraId="0E46EB5E"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630,12%</w:t>
            </w:r>
          </w:p>
        </w:tc>
      </w:tr>
      <w:tr w:rsidR="004A48DA" w:rsidRPr="00DD5F1D" w14:paraId="4DD04905" w14:textId="77777777" w:rsidTr="000E2AC7">
        <w:trPr>
          <w:trHeight w:val="105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6FD670" w14:textId="77777777" w:rsidR="004A48DA" w:rsidRPr="00DD5F1D" w:rsidRDefault="004A48DA" w:rsidP="009E3494">
            <w:pPr>
              <w:spacing w:after="0" w:line="240"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121410</w:t>
            </w:r>
          </w:p>
        </w:tc>
        <w:tc>
          <w:tcPr>
            <w:tcW w:w="2443" w:type="dxa"/>
            <w:tcBorders>
              <w:top w:val="nil"/>
              <w:left w:val="nil"/>
              <w:bottom w:val="single" w:sz="4" w:space="0" w:color="auto"/>
              <w:right w:val="single" w:sz="4" w:space="0" w:color="auto"/>
            </w:tcBorders>
            <w:shd w:val="clear" w:color="auto" w:fill="auto"/>
            <w:vAlign w:val="bottom"/>
            <w:hideMark/>
          </w:tcPr>
          <w:p w14:paraId="1B8277AF" w14:textId="77777777" w:rsidR="004A48DA" w:rsidRPr="00DD5F1D" w:rsidRDefault="004A48DA" w:rsidP="009E3494">
            <w:pPr>
              <w:spacing w:after="0" w:line="240" w:lineRule="auto"/>
              <w:jc w:val="both"/>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Majorarea de întârziere (penalitatea) calculată pentru neachitarea în termen a contribuțiilor de asigurări sociale de stat obligatorii</w:t>
            </w:r>
          </w:p>
        </w:tc>
        <w:tc>
          <w:tcPr>
            <w:tcW w:w="1251" w:type="dxa"/>
            <w:gridSpan w:val="2"/>
            <w:tcBorders>
              <w:top w:val="nil"/>
              <w:left w:val="nil"/>
              <w:bottom w:val="single" w:sz="4" w:space="0" w:color="auto"/>
              <w:right w:val="single" w:sz="4" w:space="0" w:color="auto"/>
            </w:tcBorders>
            <w:shd w:val="clear" w:color="auto" w:fill="auto"/>
            <w:vAlign w:val="center"/>
            <w:hideMark/>
          </w:tcPr>
          <w:p w14:paraId="773624C0"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76338,23</w:t>
            </w:r>
          </w:p>
        </w:tc>
        <w:tc>
          <w:tcPr>
            <w:tcW w:w="1175" w:type="dxa"/>
            <w:gridSpan w:val="2"/>
            <w:tcBorders>
              <w:top w:val="nil"/>
              <w:left w:val="nil"/>
              <w:bottom w:val="single" w:sz="4" w:space="0" w:color="auto"/>
              <w:right w:val="single" w:sz="4" w:space="0" w:color="auto"/>
            </w:tcBorders>
            <w:shd w:val="clear" w:color="auto" w:fill="auto"/>
            <w:vAlign w:val="center"/>
            <w:hideMark/>
          </w:tcPr>
          <w:p w14:paraId="732CD215"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95333,87</w:t>
            </w:r>
          </w:p>
        </w:tc>
        <w:tc>
          <w:tcPr>
            <w:tcW w:w="1161" w:type="dxa"/>
            <w:gridSpan w:val="2"/>
            <w:tcBorders>
              <w:top w:val="nil"/>
              <w:left w:val="nil"/>
              <w:bottom w:val="single" w:sz="4" w:space="0" w:color="auto"/>
              <w:right w:val="single" w:sz="4" w:space="0" w:color="auto"/>
            </w:tcBorders>
            <w:shd w:val="clear" w:color="auto" w:fill="auto"/>
            <w:vAlign w:val="center"/>
            <w:hideMark/>
          </w:tcPr>
          <w:p w14:paraId="1984650B"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61027,75</w:t>
            </w:r>
          </w:p>
        </w:tc>
        <w:tc>
          <w:tcPr>
            <w:tcW w:w="1109" w:type="dxa"/>
            <w:gridSpan w:val="2"/>
            <w:tcBorders>
              <w:top w:val="nil"/>
              <w:left w:val="nil"/>
              <w:bottom w:val="single" w:sz="4" w:space="0" w:color="auto"/>
              <w:right w:val="single" w:sz="4" w:space="0" w:color="auto"/>
            </w:tcBorders>
            <w:shd w:val="clear" w:color="auto" w:fill="auto"/>
            <w:vAlign w:val="center"/>
            <w:hideMark/>
          </w:tcPr>
          <w:p w14:paraId="072522C1"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53057,23</w:t>
            </w:r>
          </w:p>
        </w:tc>
        <w:tc>
          <w:tcPr>
            <w:tcW w:w="970" w:type="dxa"/>
            <w:gridSpan w:val="2"/>
            <w:tcBorders>
              <w:top w:val="nil"/>
              <w:left w:val="nil"/>
              <w:bottom w:val="single" w:sz="4" w:space="0" w:color="auto"/>
              <w:right w:val="single" w:sz="4" w:space="0" w:color="auto"/>
            </w:tcBorders>
            <w:shd w:val="clear" w:color="auto" w:fill="auto"/>
            <w:vAlign w:val="center"/>
            <w:hideMark/>
          </w:tcPr>
          <w:p w14:paraId="36B2EBB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-42276,64</w:t>
            </w:r>
          </w:p>
        </w:tc>
        <w:tc>
          <w:tcPr>
            <w:tcW w:w="1128" w:type="dxa"/>
            <w:gridSpan w:val="2"/>
            <w:tcBorders>
              <w:top w:val="nil"/>
              <w:left w:val="nil"/>
              <w:bottom w:val="single" w:sz="4" w:space="0" w:color="auto"/>
              <w:right w:val="single" w:sz="4" w:space="0" w:color="auto"/>
            </w:tcBorders>
            <w:shd w:val="clear" w:color="auto" w:fill="auto"/>
            <w:vAlign w:val="center"/>
            <w:hideMark/>
          </w:tcPr>
          <w:p w14:paraId="090A1F75"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-147213,86</w:t>
            </w:r>
          </w:p>
        </w:tc>
        <w:tc>
          <w:tcPr>
            <w:tcW w:w="1128" w:type="dxa"/>
            <w:gridSpan w:val="2"/>
            <w:tcBorders>
              <w:top w:val="nil"/>
              <w:left w:val="nil"/>
              <w:bottom w:val="single" w:sz="4" w:space="0" w:color="auto"/>
              <w:right w:val="single" w:sz="4" w:space="0" w:color="auto"/>
            </w:tcBorders>
            <w:shd w:val="clear" w:color="auto" w:fill="auto"/>
            <w:vAlign w:val="center"/>
            <w:hideMark/>
          </w:tcPr>
          <w:p w14:paraId="646579A8"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-124081,62</w:t>
            </w:r>
          </w:p>
        </w:tc>
        <w:tc>
          <w:tcPr>
            <w:tcW w:w="1027" w:type="dxa"/>
            <w:gridSpan w:val="2"/>
            <w:tcBorders>
              <w:top w:val="nil"/>
              <w:left w:val="nil"/>
              <w:bottom w:val="single" w:sz="4" w:space="0" w:color="auto"/>
              <w:right w:val="single" w:sz="4" w:space="0" w:color="auto"/>
            </w:tcBorders>
            <w:shd w:val="clear" w:color="auto" w:fill="auto"/>
            <w:noWrap/>
            <w:vAlign w:val="center"/>
            <w:hideMark/>
          </w:tcPr>
          <w:p w14:paraId="23F91E0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-154,42%</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270230B6"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-23132,2</w:t>
            </w:r>
          </w:p>
        </w:tc>
        <w:tc>
          <w:tcPr>
            <w:tcW w:w="850" w:type="dxa"/>
            <w:tcBorders>
              <w:top w:val="nil"/>
              <w:left w:val="nil"/>
              <w:bottom w:val="single" w:sz="4" w:space="0" w:color="auto"/>
              <w:right w:val="single" w:sz="4" w:space="0" w:color="auto"/>
            </w:tcBorders>
            <w:shd w:val="clear" w:color="auto" w:fill="auto"/>
            <w:noWrap/>
            <w:vAlign w:val="center"/>
            <w:hideMark/>
          </w:tcPr>
          <w:p w14:paraId="1A13901C"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18,64%</w:t>
            </w:r>
          </w:p>
        </w:tc>
        <w:tc>
          <w:tcPr>
            <w:tcW w:w="851" w:type="dxa"/>
            <w:tcBorders>
              <w:top w:val="nil"/>
              <w:left w:val="nil"/>
              <w:bottom w:val="single" w:sz="4" w:space="0" w:color="auto"/>
              <w:right w:val="single" w:sz="4" w:space="0" w:color="auto"/>
            </w:tcBorders>
            <w:shd w:val="clear" w:color="auto" w:fill="auto"/>
            <w:noWrap/>
            <w:vAlign w:val="center"/>
            <w:hideMark/>
          </w:tcPr>
          <w:p w14:paraId="7B8C3B6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24,88%</w:t>
            </w:r>
          </w:p>
        </w:tc>
      </w:tr>
      <w:tr w:rsidR="004A48DA" w:rsidRPr="00DD5F1D" w14:paraId="012CD2C1" w14:textId="77777777" w:rsidTr="000E2AC7">
        <w:trPr>
          <w:trHeight w:val="79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8E13DE" w14:textId="77777777" w:rsidR="004A48DA" w:rsidRPr="00DD5F1D" w:rsidRDefault="004A48DA" w:rsidP="009E3494">
            <w:pPr>
              <w:spacing w:after="0" w:line="240"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142237</w:t>
            </w:r>
          </w:p>
        </w:tc>
        <w:tc>
          <w:tcPr>
            <w:tcW w:w="2443" w:type="dxa"/>
            <w:tcBorders>
              <w:top w:val="nil"/>
              <w:left w:val="nil"/>
              <w:bottom w:val="single" w:sz="4" w:space="0" w:color="auto"/>
              <w:right w:val="single" w:sz="4" w:space="0" w:color="auto"/>
            </w:tcBorders>
            <w:shd w:val="clear" w:color="auto" w:fill="auto"/>
            <w:vAlign w:val="bottom"/>
            <w:hideMark/>
          </w:tcPr>
          <w:p w14:paraId="479CF753" w14:textId="1554E147" w:rsidR="004A48DA" w:rsidRPr="00DD5F1D" w:rsidRDefault="004A48DA" w:rsidP="009E3494">
            <w:pPr>
              <w:spacing w:after="0" w:line="240" w:lineRule="auto"/>
              <w:jc w:val="both"/>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Mijloacele încasate la bugetul asigu</w:t>
            </w:r>
            <w:r w:rsidR="00806680" w:rsidRPr="00DD5F1D">
              <w:rPr>
                <w:rFonts w:ascii="Times New Roman" w:eastAsia="Times New Roman" w:hAnsi="Times New Roman" w:cs="Times New Roman"/>
                <w:sz w:val="18"/>
                <w:szCs w:val="18"/>
                <w:lang w:val="ro-MD"/>
              </w:rPr>
              <w:t xml:space="preserve">rărilor sociale de stat conform </w:t>
            </w:r>
            <w:r w:rsidRPr="00DD5F1D">
              <w:rPr>
                <w:rFonts w:ascii="Times New Roman" w:eastAsia="Times New Roman" w:hAnsi="Times New Roman" w:cs="Times New Roman"/>
                <w:sz w:val="18"/>
                <w:szCs w:val="18"/>
                <w:lang w:val="ro-MD"/>
              </w:rPr>
              <w:t>documentelor executorii privind răspunderea subsidiară</w:t>
            </w:r>
          </w:p>
        </w:tc>
        <w:tc>
          <w:tcPr>
            <w:tcW w:w="1251" w:type="dxa"/>
            <w:gridSpan w:val="2"/>
            <w:tcBorders>
              <w:top w:val="nil"/>
              <w:left w:val="nil"/>
              <w:bottom w:val="single" w:sz="4" w:space="0" w:color="auto"/>
              <w:right w:val="single" w:sz="4" w:space="0" w:color="auto"/>
            </w:tcBorders>
            <w:shd w:val="clear" w:color="auto" w:fill="auto"/>
            <w:vAlign w:val="center"/>
            <w:hideMark/>
          </w:tcPr>
          <w:p w14:paraId="6BC91686"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w:t>
            </w:r>
          </w:p>
        </w:tc>
        <w:tc>
          <w:tcPr>
            <w:tcW w:w="1175" w:type="dxa"/>
            <w:gridSpan w:val="2"/>
            <w:tcBorders>
              <w:top w:val="nil"/>
              <w:left w:val="nil"/>
              <w:bottom w:val="single" w:sz="4" w:space="0" w:color="auto"/>
              <w:right w:val="single" w:sz="4" w:space="0" w:color="auto"/>
            </w:tcBorders>
            <w:shd w:val="clear" w:color="auto" w:fill="auto"/>
            <w:vAlign w:val="center"/>
            <w:hideMark/>
          </w:tcPr>
          <w:p w14:paraId="1C71F7AF"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1161" w:type="dxa"/>
            <w:gridSpan w:val="2"/>
            <w:tcBorders>
              <w:top w:val="nil"/>
              <w:left w:val="nil"/>
              <w:bottom w:val="single" w:sz="4" w:space="0" w:color="auto"/>
              <w:right w:val="single" w:sz="4" w:space="0" w:color="auto"/>
            </w:tcBorders>
            <w:shd w:val="clear" w:color="auto" w:fill="auto"/>
            <w:vAlign w:val="center"/>
            <w:hideMark/>
          </w:tcPr>
          <w:p w14:paraId="5B37C8B8"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54,59</w:t>
            </w:r>
          </w:p>
        </w:tc>
        <w:tc>
          <w:tcPr>
            <w:tcW w:w="1109" w:type="dxa"/>
            <w:gridSpan w:val="2"/>
            <w:tcBorders>
              <w:top w:val="nil"/>
              <w:left w:val="nil"/>
              <w:bottom w:val="single" w:sz="4" w:space="0" w:color="auto"/>
              <w:right w:val="single" w:sz="4" w:space="0" w:color="auto"/>
            </w:tcBorders>
            <w:shd w:val="clear" w:color="auto" w:fill="auto"/>
            <w:vAlign w:val="center"/>
            <w:hideMark/>
          </w:tcPr>
          <w:p w14:paraId="061C1403"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17,32</w:t>
            </w:r>
          </w:p>
        </w:tc>
        <w:tc>
          <w:tcPr>
            <w:tcW w:w="970" w:type="dxa"/>
            <w:gridSpan w:val="2"/>
            <w:tcBorders>
              <w:top w:val="nil"/>
              <w:left w:val="nil"/>
              <w:bottom w:val="single" w:sz="4" w:space="0" w:color="auto"/>
              <w:right w:val="single" w:sz="4" w:space="0" w:color="auto"/>
            </w:tcBorders>
            <w:shd w:val="clear" w:color="auto" w:fill="auto"/>
            <w:vAlign w:val="center"/>
            <w:hideMark/>
          </w:tcPr>
          <w:p w14:paraId="7E387068"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17,32</w:t>
            </w:r>
          </w:p>
        </w:tc>
        <w:tc>
          <w:tcPr>
            <w:tcW w:w="1128" w:type="dxa"/>
            <w:gridSpan w:val="2"/>
            <w:tcBorders>
              <w:top w:val="nil"/>
              <w:left w:val="nil"/>
              <w:bottom w:val="single" w:sz="4" w:space="0" w:color="auto"/>
              <w:right w:val="single" w:sz="4" w:space="0" w:color="auto"/>
            </w:tcBorders>
            <w:shd w:val="clear" w:color="auto" w:fill="auto"/>
            <w:vAlign w:val="center"/>
            <w:hideMark/>
          </w:tcPr>
          <w:p w14:paraId="563D4442"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-12151,15</w:t>
            </w:r>
          </w:p>
        </w:tc>
        <w:tc>
          <w:tcPr>
            <w:tcW w:w="1128" w:type="dxa"/>
            <w:gridSpan w:val="2"/>
            <w:tcBorders>
              <w:top w:val="nil"/>
              <w:left w:val="nil"/>
              <w:bottom w:val="single" w:sz="4" w:space="0" w:color="auto"/>
              <w:right w:val="single" w:sz="4" w:space="0" w:color="auto"/>
            </w:tcBorders>
            <w:shd w:val="clear" w:color="auto" w:fill="auto"/>
            <w:vAlign w:val="center"/>
            <w:hideMark/>
          </w:tcPr>
          <w:p w14:paraId="07708932"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-11171,24</w:t>
            </w:r>
          </w:p>
        </w:tc>
        <w:tc>
          <w:tcPr>
            <w:tcW w:w="1027" w:type="dxa"/>
            <w:gridSpan w:val="2"/>
            <w:tcBorders>
              <w:top w:val="nil"/>
              <w:left w:val="nil"/>
              <w:bottom w:val="single" w:sz="4" w:space="0" w:color="auto"/>
              <w:right w:val="single" w:sz="4" w:space="0" w:color="auto"/>
            </w:tcBorders>
            <w:shd w:val="clear" w:color="auto" w:fill="auto"/>
            <w:noWrap/>
            <w:vAlign w:val="center"/>
            <w:hideMark/>
          </w:tcPr>
          <w:p w14:paraId="034C0841"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0,00%</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16E544DC"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-979,91</w:t>
            </w:r>
          </w:p>
        </w:tc>
        <w:tc>
          <w:tcPr>
            <w:tcW w:w="850" w:type="dxa"/>
            <w:tcBorders>
              <w:top w:val="nil"/>
              <w:left w:val="nil"/>
              <w:bottom w:val="single" w:sz="4" w:space="0" w:color="auto"/>
              <w:right w:val="single" w:sz="4" w:space="0" w:color="auto"/>
            </w:tcBorders>
            <w:shd w:val="clear" w:color="auto" w:fill="auto"/>
            <w:noWrap/>
            <w:vAlign w:val="center"/>
            <w:hideMark/>
          </w:tcPr>
          <w:p w14:paraId="748F7BF2"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8,77%</w:t>
            </w:r>
          </w:p>
        </w:tc>
        <w:tc>
          <w:tcPr>
            <w:tcW w:w="851" w:type="dxa"/>
            <w:tcBorders>
              <w:top w:val="nil"/>
              <w:left w:val="nil"/>
              <w:bottom w:val="single" w:sz="4" w:space="0" w:color="auto"/>
              <w:right w:val="single" w:sz="4" w:space="0" w:color="auto"/>
            </w:tcBorders>
            <w:shd w:val="clear" w:color="auto" w:fill="auto"/>
            <w:noWrap/>
            <w:vAlign w:val="center"/>
            <w:hideMark/>
          </w:tcPr>
          <w:p w14:paraId="3F92E375"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r>
      <w:tr w:rsidR="004A48DA" w:rsidRPr="00DD5F1D" w14:paraId="6E569409" w14:textId="77777777" w:rsidTr="000E2AC7">
        <w:trPr>
          <w:trHeight w:val="63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F9DE206" w14:textId="77777777" w:rsidR="004A48DA" w:rsidRPr="00DD5F1D" w:rsidRDefault="004A48DA" w:rsidP="009E3494">
            <w:pPr>
              <w:spacing w:after="0" w:line="240"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142238</w:t>
            </w:r>
          </w:p>
        </w:tc>
        <w:tc>
          <w:tcPr>
            <w:tcW w:w="2443" w:type="dxa"/>
            <w:tcBorders>
              <w:top w:val="nil"/>
              <w:left w:val="nil"/>
              <w:bottom w:val="single" w:sz="4" w:space="0" w:color="auto"/>
              <w:right w:val="single" w:sz="4" w:space="0" w:color="auto"/>
            </w:tcBorders>
            <w:shd w:val="clear" w:color="auto" w:fill="auto"/>
            <w:vAlign w:val="bottom"/>
            <w:hideMark/>
          </w:tcPr>
          <w:p w14:paraId="56F4C497" w14:textId="77777777" w:rsidR="004A48DA" w:rsidRPr="00DD5F1D" w:rsidRDefault="004A48DA" w:rsidP="009E3494">
            <w:pPr>
              <w:spacing w:after="0" w:line="240" w:lineRule="auto"/>
              <w:jc w:val="both"/>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 xml:space="preserve">Recuperarea de la angajator a sumelor plătite necuvenit sub formă de prestații de asigurări </w:t>
            </w:r>
          </w:p>
        </w:tc>
        <w:tc>
          <w:tcPr>
            <w:tcW w:w="1251" w:type="dxa"/>
            <w:gridSpan w:val="2"/>
            <w:tcBorders>
              <w:top w:val="nil"/>
              <w:left w:val="nil"/>
              <w:bottom w:val="single" w:sz="4" w:space="0" w:color="auto"/>
              <w:right w:val="single" w:sz="4" w:space="0" w:color="auto"/>
            </w:tcBorders>
            <w:shd w:val="clear" w:color="auto" w:fill="auto"/>
            <w:vAlign w:val="center"/>
            <w:hideMark/>
          </w:tcPr>
          <w:p w14:paraId="0726B3FB"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X</w:t>
            </w:r>
          </w:p>
        </w:tc>
        <w:tc>
          <w:tcPr>
            <w:tcW w:w="1175" w:type="dxa"/>
            <w:gridSpan w:val="2"/>
            <w:tcBorders>
              <w:top w:val="nil"/>
              <w:left w:val="nil"/>
              <w:bottom w:val="single" w:sz="4" w:space="0" w:color="auto"/>
              <w:right w:val="single" w:sz="4" w:space="0" w:color="auto"/>
            </w:tcBorders>
            <w:shd w:val="clear" w:color="auto" w:fill="auto"/>
            <w:vAlign w:val="center"/>
            <w:hideMark/>
          </w:tcPr>
          <w:p w14:paraId="72D35B2E"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288,66</w:t>
            </w:r>
          </w:p>
        </w:tc>
        <w:tc>
          <w:tcPr>
            <w:tcW w:w="1161" w:type="dxa"/>
            <w:gridSpan w:val="2"/>
            <w:tcBorders>
              <w:top w:val="nil"/>
              <w:left w:val="nil"/>
              <w:bottom w:val="single" w:sz="4" w:space="0" w:color="auto"/>
              <w:right w:val="single" w:sz="4" w:space="0" w:color="auto"/>
            </w:tcBorders>
            <w:shd w:val="clear" w:color="auto" w:fill="auto"/>
            <w:vAlign w:val="center"/>
            <w:hideMark/>
          </w:tcPr>
          <w:p w14:paraId="315DD9FD"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X</w:t>
            </w:r>
          </w:p>
        </w:tc>
        <w:tc>
          <w:tcPr>
            <w:tcW w:w="1109" w:type="dxa"/>
            <w:gridSpan w:val="2"/>
            <w:tcBorders>
              <w:top w:val="nil"/>
              <w:left w:val="nil"/>
              <w:bottom w:val="single" w:sz="4" w:space="0" w:color="auto"/>
              <w:right w:val="single" w:sz="4" w:space="0" w:color="auto"/>
            </w:tcBorders>
            <w:shd w:val="clear" w:color="auto" w:fill="auto"/>
            <w:vAlign w:val="center"/>
            <w:hideMark/>
          </w:tcPr>
          <w:p w14:paraId="78809680"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114,99</w:t>
            </w:r>
          </w:p>
        </w:tc>
        <w:tc>
          <w:tcPr>
            <w:tcW w:w="970" w:type="dxa"/>
            <w:gridSpan w:val="2"/>
            <w:tcBorders>
              <w:top w:val="nil"/>
              <w:left w:val="nil"/>
              <w:bottom w:val="single" w:sz="4" w:space="0" w:color="auto"/>
              <w:right w:val="single" w:sz="4" w:space="0" w:color="auto"/>
            </w:tcBorders>
            <w:shd w:val="clear" w:color="auto" w:fill="auto"/>
            <w:vAlign w:val="center"/>
            <w:hideMark/>
          </w:tcPr>
          <w:p w14:paraId="781A934C"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-173,67</w:t>
            </w:r>
          </w:p>
        </w:tc>
        <w:tc>
          <w:tcPr>
            <w:tcW w:w="1128" w:type="dxa"/>
            <w:gridSpan w:val="2"/>
            <w:tcBorders>
              <w:top w:val="nil"/>
              <w:left w:val="nil"/>
              <w:bottom w:val="single" w:sz="4" w:space="0" w:color="auto"/>
              <w:right w:val="single" w:sz="4" w:space="0" w:color="auto"/>
            </w:tcBorders>
            <w:shd w:val="clear" w:color="auto" w:fill="auto"/>
            <w:vAlign w:val="center"/>
            <w:hideMark/>
          </w:tcPr>
          <w:p w14:paraId="2E91D2E8"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-174,92</w:t>
            </w:r>
          </w:p>
        </w:tc>
        <w:tc>
          <w:tcPr>
            <w:tcW w:w="1128" w:type="dxa"/>
            <w:gridSpan w:val="2"/>
            <w:tcBorders>
              <w:top w:val="nil"/>
              <w:left w:val="nil"/>
              <w:bottom w:val="single" w:sz="4" w:space="0" w:color="auto"/>
              <w:right w:val="single" w:sz="4" w:space="0" w:color="auto"/>
            </w:tcBorders>
            <w:shd w:val="clear" w:color="auto" w:fill="auto"/>
            <w:vAlign w:val="center"/>
            <w:hideMark/>
          </w:tcPr>
          <w:p w14:paraId="2B54D158"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X</w:t>
            </w:r>
          </w:p>
        </w:tc>
        <w:tc>
          <w:tcPr>
            <w:tcW w:w="1027" w:type="dxa"/>
            <w:gridSpan w:val="2"/>
            <w:tcBorders>
              <w:top w:val="nil"/>
              <w:left w:val="nil"/>
              <w:bottom w:val="single" w:sz="4" w:space="0" w:color="auto"/>
              <w:right w:val="single" w:sz="4" w:space="0" w:color="auto"/>
            </w:tcBorders>
            <w:shd w:val="clear" w:color="auto" w:fill="auto"/>
            <w:noWrap/>
            <w:vAlign w:val="center"/>
            <w:hideMark/>
          </w:tcPr>
          <w:p w14:paraId="6FEFE63F"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-60,60%</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6160F173"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-174,92</w:t>
            </w:r>
          </w:p>
        </w:tc>
        <w:tc>
          <w:tcPr>
            <w:tcW w:w="850" w:type="dxa"/>
            <w:tcBorders>
              <w:top w:val="nil"/>
              <w:left w:val="nil"/>
              <w:bottom w:val="single" w:sz="4" w:space="0" w:color="auto"/>
              <w:right w:val="single" w:sz="4" w:space="0" w:color="auto"/>
            </w:tcBorders>
            <w:shd w:val="clear" w:color="auto" w:fill="auto"/>
            <w:noWrap/>
            <w:vAlign w:val="center"/>
            <w:hideMark/>
          </w:tcPr>
          <w:p w14:paraId="5F1BBEA3"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66D68B4"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0,00%</w:t>
            </w:r>
          </w:p>
        </w:tc>
      </w:tr>
      <w:tr w:rsidR="004A48DA" w:rsidRPr="00DD5F1D" w14:paraId="198AAAC2" w14:textId="77777777" w:rsidTr="000E2AC7">
        <w:trPr>
          <w:trHeight w:val="58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7A0486" w14:textId="77777777" w:rsidR="004A48DA" w:rsidRPr="00DD5F1D" w:rsidRDefault="004A48DA" w:rsidP="009E3494">
            <w:pPr>
              <w:spacing w:after="0" w:line="240"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143150</w:t>
            </w:r>
          </w:p>
        </w:tc>
        <w:tc>
          <w:tcPr>
            <w:tcW w:w="2443" w:type="dxa"/>
            <w:tcBorders>
              <w:top w:val="nil"/>
              <w:left w:val="nil"/>
              <w:bottom w:val="single" w:sz="4" w:space="0" w:color="auto"/>
              <w:right w:val="single" w:sz="4" w:space="0" w:color="auto"/>
            </w:tcBorders>
            <w:shd w:val="clear" w:color="auto" w:fill="auto"/>
            <w:vAlign w:val="bottom"/>
            <w:hideMark/>
          </w:tcPr>
          <w:p w14:paraId="060C47D9" w14:textId="77777777" w:rsidR="004A48DA" w:rsidRPr="00DD5F1D" w:rsidRDefault="004A48DA" w:rsidP="009E3494">
            <w:pPr>
              <w:spacing w:after="0" w:line="240" w:lineRule="auto"/>
              <w:jc w:val="both"/>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Amenzi și sancțiuni contravenționale încasate în BASS</w:t>
            </w:r>
          </w:p>
        </w:tc>
        <w:tc>
          <w:tcPr>
            <w:tcW w:w="1251" w:type="dxa"/>
            <w:gridSpan w:val="2"/>
            <w:tcBorders>
              <w:top w:val="nil"/>
              <w:left w:val="nil"/>
              <w:bottom w:val="single" w:sz="4" w:space="0" w:color="auto"/>
              <w:right w:val="single" w:sz="4" w:space="0" w:color="auto"/>
            </w:tcBorders>
            <w:shd w:val="clear" w:color="auto" w:fill="auto"/>
            <w:vAlign w:val="center"/>
            <w:hideMark/>
          </w:tcPr>
          <w:p w14:paraId="202D0808"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1175" w:type="dxa"/>
            <w:gridSpan w:val="2"/>
            <w:tcBorders>
              <w:top w:val="nil"/>
              <w:left w:val="nil"/>
              <w:bottom w:val="single" w:sz="4" w:space="0" w:color="auto"/>
              <w:right w:val="single" w:sz="4" w:space="0" w:color="auto"/>
            </w:tcBorders>
            <w:shd w:val="clear" w:color="auto" w:fill="auto"/>
            <w:vAlign w:val="center"/>
            <w:hideMark/>
          </w:tcPr>
          <w:p w14:paraId="7A99D738"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1161" w:type="dxa"/>
            <w:gridSpan w:val="2"/>
            <w:tcBorders>
              <w:top w:val="nil"/>
              <w:left w:val="nil"/>
              <w:bottom w:val="single" w:sz="4" w:space="0" w:color="auto"/>
              <w:right w:val="single" w:sz="4" w:space="0" w:color="auto"/>
            </w:tcBorders>
            <w:shd w:val="clear" w:color="auto" w:fill="auto"/>
            <w:vAlign w:val="center"/>
            <w:hideMark/>
          </w:tcPr>
          <w:p w14:paraId="7AE28802"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40,28</w:t>
            </w:r>
          </w:p>
        </w:tc>
        <w:tc>
          <w:tcPr>
            <w:tcW w:w="1109" w:type="dxa"/>
            <w:gridSpan w:val="2"/>
            <w:tcBorders>
              <w:top w:val="nil"/>
              <w:left w:val="nil"/>
              <w:bottom w:val="single" w:sz="4" w:space="0" w:color="auto"/>
              <w:right w:val="single" w:sz="4" w:space="0" w:color="auto"/>
            </w:tcBorders>
            <w:shd w:val="clear" w:color="auto" w:fill="auto"/>
            <w:vAlign w:val="center"/>
            <w:hideMark/>
          </w:tcPr>
          <w:p w14:paraId="5F88C0E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7,13</w:t>
            </w:r>
          </w:p>
        </w:tc>
        <w:tc>
          <w:tcPr>
            <w:tcW w:w="970" w:type="dxa"/>
            <w:gridSpan w:val="2"/>
            <w:tcBorders>
              <w:top w:val="nil"/>
              <w:left w:val="nil"/>
              <w:bottom w:val="single" w:sz="4" w:space="0" w:color="auto"/>
              <w:right w:val="single" w:sz="4" w:space="0" w:color="auto"/>
            </w:tcBorders>
            <w:shd w:val="clear" w:color="auto" w:fill="auto"/>
            <w:vAlign w:val="center"/>
            <w:hideMark/>
          </w:tcPr>
          <w:p w14:paraId="1C5DCB85"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7,13</w:t>
            </w:r>
          </w:p>
        </w:tc>
        <w:tc>
          <w:tcPr>
            <w:tcW w:w="1128" w:type="dxa"/>
            <w:gridSpan w:val="2"/>
            <w:tcBorders>
              <w:top w:val="nil"/>
              <w:left w:val="nil"/>
              <w:bottom w:val="single" w:sz="4" w:space="0" w:color="auto"/>
              <w:right w:val="single" w:sz="4" w:space="0" w:color="auto"/>
            </w:tcBorders>
            <w:shd w:val="clear" w:color="auto" w:fill="auto"/>
            <w:vAlign w:val="center"/>
            <w:hideMark/>
          </w:tcPr>
          <w:p w14:paraId="5555601E"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1128" w:type="dxa"/>
            <w:gridSpan w:val="2"/>
            <w:tcBorders>
              <w:top w:val="nil"/>
              <w:left w:val="nil"/>
              <w:bottom w:val="single" w:sz="4" w:space="0" w:color="auto"/>
              <w:right w:val="single" w:sz="4" w:space="0" w:color="auto"/>
            </w:tcBorders>
            <w:shd w:val="clear" w:color="auto" w:fill="auto"/>
            <w:vAlign w:val="center"/>
            <w:hideMark/>
          </w:tcPr>
          <w:p w14:paraId="47553E95"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1027" w:type="dxa"/>
            <w:gridSpan w:val="2"/>
            <w:tcBorders>
              <w:top w:val="nil"/>
              <w:left w:val="nil"/>
              <w:bottom w:val="single" w:sz="4" w:space="0" w:color="auto"/>
              <w:right w:val="single" w:sz="4" w:space="0" w:color="auto"/>
            </w:tcBorders>
            <w:shd w:val="clear" w:color="auto" w:fill="auto"/>
            <w:noWrap/>
            <w:vAlign w:val="center"/>
            <w:hideMark/>
          </w:tcPr>
          <w:p w14:paraId="2C4EB23F"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0,00%</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6218E5BD"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850" w:type="dxa"/>
            <w:tcBorders>
              <w:top w:val="nil"/>
              <w:left w:val="nil"/>
              <w:bottom w:val="single" w:sz="4" w:space="0" w:color="auto"/>
              <w:right w:val="single" w:sz="4" w:space="0" w:color="auto"/>
            </w:tcBorders>
            <w:shd w:val="clear" w:color="auto" w:fill="auto"/>
            <w:noWrap/>
            <w:vAlign w:val="center"/>
            <w:hideMark/>
          </w:tcPr>
          <w:p w14:paraId="70326F1B"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9DD4AC7"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0,00%</w:t>
            </w:r>
          </w:p>
        </w:tc>
      </w:tr>
      <w:tr w:rsidR="004A48DA" w:rsidRPr="00DD5F1D" w14:paraId="10B581A5" w14:textId="77777777" w:rsidTr="000E2AC7">
        <w:trPr>
          <w:trHeight w:val="3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C58E9E" w14:textId="77777777" w:rsidR="004A48DA" w:rsidRPr="00DD5F1D" w:rsidRDefault="004A48DA" w:rsidP="009E3494">
            <w:pPr>
              <w:spacing w:after="0" w:line="240"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143430</w:t>
            </w:r>
          </w:p>
        </w:tc>
        <w:tc>
          <w:tcPr>
            <w:tcW w:w="2443" w:type="dxa"/>
            <w:tcBorders>
              <w:top w:val="nil"/>
              <w:left w:val="nil"/>
              <w:bottom w:val="single" w:sz="4" w:space="0" w:color="auto"/>
              <w:right w:val="single" w:sz="4" w:space="0" w:color="auto"/>
            </w:tcBorders>
            <w:shd w:val="clear" w:color="auto" w:fill="auto"/>
            <w:vAlign w:val="bottom"/>
            <w:hideMark/>
          </w:tcPr>
          <w:p w14:paraId="70FD41CD" w14:textId="77777777" w:rsidR="004A48DA" w:rsidRPr="00DD5F1D" w:rsidRDefault="004A48DA" w:rsidP="009E3494">
            <w:pPr>
              <w:spacing w:after="0" w:line="240" w:lineRule="auto"/>
              <w:jc w:val="both"/>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Amenzi aferente plăților la BASS</w:t>
            </w:r>
          </w:p>
        </w:tc>
        <w:tc>
          <w:tcPr>
            <w:tcW w:w="1251" w:type="dxa"/>
            <w:gridSpan w:val="2"/>
            <w:tcBorders>
              <w:top w:val="nil"/>
              <w:left w:val="nil"/>
              <w:bottom w:val="single" w:sz="4" w:space="0" w:color="auto"/>
              <w:right w:val="single" w:sz="4" w:space="0" w:color="auto"/>
            </w:tcBorders>
            <w:shd w:val="clear" w:color="auto" w:fill="auto"/>
            <w:vAlign w:val="center"/>
            <w:hideMark/>
          </w:tcPr>
          <w:p w14:paraId="3ED23FCC"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1627,72</w:t>
            </w:r>
          </w:p>
        </w:tc>
        <w:tc>
          <w:tcPr>
            <w:tcW w:w="1175" w:type="dxa"/>
            <w:gridSpan w:val="2"/>
            <w:tcBorders>
              <w:top w:val="nil"/>
              <w:left w:val="nil"/>
              <w:bottom w:val="single" w:sz="4" w:space="0" w:color="auto"/>
              <w:right w:val="single" w:sz="4" w:space="0" w:color="auto"/>
            </w:tcBorders>
            <w:shd w:val="clear" w:color="auto" w:fill="auto"/>
            <w:vAlign w:val="center"/>
            <w:hideMark/>
          </w:tcPr>
          <w:p w14:paraId="22E6455C"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2890,24</w:t>
            </w:r>
          </w:p>
        </w:tc>
        <w:tc>
          <w:tcPr>
            <w:tcW w:w="1161" w:type="dxa"/>
            <w:gridSpan w:val="2"/>
            <w:tcBorders>
              <w:top w:val="nil"/>
              <w:left w:val="nil"/>
              <w:bottom w:val="single" w:sz="4" w:space="0" w:color="auto"/>
              <w:right w:val="single" w:sz="4" w:space="0" w:color="auto"/>
            </w:tcBorders>
            <w:shd w:val="clear" w:color="auto" w:fill="auto"/>
            <w:vAlign w:val="center"/>
            <w:hideMark/>
          </w:tcPr>
          <w:p w14:paraId="76FFA280"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887,33</w:t>
            </w:r>
          </w:p>
        </w:tc>
        <w:tc>
          <w:tcPr>
            <w:tcW w:w="1109" w:type="dxa"/>
            <w:gridSpan w:val="2"/>
            <w:tcBorders>
              <w:top w:val="nil"/>
              <w:left w:val="nil"/>
              <w:bottom w:val="single" w:sz="4" w:space="0" w:color="auto"/>
              <w:right w:val="single" w:sz="4" w:space="0" w:color="auto"/>
            </w:tcBorders>
            <w:shd w:val="clear" w:color="auto" w:fill="auto"/>
            <w:vAlign w:val="center"/>
            <w:hideMark/>
          </w:tcPr>
          <w:p w14:paraId="4809FEA9"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1386,99</w:t>
            </w:r>
          </w:p>
        </w:tc>
        <w:tc>
          <w:tcPr>
            <w:tcW w:w="970" w:type="dxa"/>
            <w:gridSpan w:val="2"/>
            <w:tcBorders>
              <w:top w:val="nil"/>
              <w:left w:val="nil"/>
              <w:bottom w:val="single" w:sz="4" w:space="0" w:color="auto"/>
              <w:right w:val="single" w:sz="4" w:space="0" w:color="auto"/>
            </w:tcBorders>
            <w:shd w:val="clear" w:color="auto" w:fill="auto"/>
            <w:vAlign w:val="center"/>
            <w:hideMark/>
          </w:tcPr>
          <w:p w14:paraId="427B8478"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-1503,25</w:t>
            </w:r>
          </w:p>
        </w:tc>
        <w:tc>
          <w:tcPr>
            <w:tcW w:w="1128" w:type="dxa"/>
            <w:gridSpan w:val="2"/>
            <w:tcBorders>
              <w:top w:val="nil"/>
              <w:left w:val="nil"/>
              <w:bottom w:val="single" w:sz="4" w:space="0" w:color="auto"/>
              <w:right w:val="single" w:sz="4" w:space="0" w:color="auto"/>
            </w:tcBorders>
            <w:shd w:val="clear" w:color="auto" w:fill="auto"/>
            <w:vAlign w:val="center"/>
            <w:hideMark/>
          </w:tcPr>
          <w:p w14:paraId="1795B8B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-3506,48</w:t>
            </w:r>
          </w:p>
        </w:tc>
        <w:tc>
          <w:tcPr>
            <w:tcW w:w="1128" w:type="dxa"/>
            <w:gridSpan w:val="2"/>
            <w:tcBorders>
              <w:top w:val="nil"/>
              <w:left w:val="nil"/>
              <w:bottom w:val="single" w:sz="4" w:space="0" w:color="auto"/>
              <w:right w:val="single" w:sz="4" w:space="0" w:color="auto"/>
            </w:tcBorders>
            <w:shd w:val="clear" w:color="auto" w:fill="auto"/>
            <w:vAlign w:val="center"/>
            <w:hideMark/>
          </w:tcPr>
          <w:p w14:paraId="65DC75D5"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-7664,91</w:t>
            </w:r>
          </w:p>
        </w:tc>
        <w:tc>
          <w:tcPr>
            <w:tcW w:w="1027" w:type="dxa"/>
            <w:gridSpan w:val="2"/>
            <w:tcBorders>
              <w:top w:val="nil"/>
              <w:left w:val="nil"/>
              <w:bottom w:val="single" w:sz="4" w:space="0" w:color="auto"/>
              <w:right w:val="single" w:sz="4" w:space="0" w:color="auto"/>
            </w:tcBorders>
            <w:shd w:val="clear" w:color="auto" w:fill="auto"/>
            <w:noWrap/>
            <w:vAlign w:val="center"/>
            <w:hideMark/>
          </w:tcPr>
          <w:p w14:paraId="55A16A68"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-121,32%</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2C7C058D"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4158,43</w:t>
            </w:r>
          </w:p>
        </w:tc>
        <w:tc>
          <w:tcPr>
            <w:tcW w:w="850" w:type="dxa"/>
            <w:tcBorders>
              <w:top w:val="nil"/>
              <w:left w:val="nil"/>
              <w:bottom w:val="single" w:sz="4" w:space="0" w:color="auto"/>
              <w:right w:val="single" w:sz="4" w:space="0" w:color="auto"/>
            </w:tcBorders>
            <w:shd w:val="clear" w:color="auto" w:fill="auto"/>
            <w:noWrap/>
            <w:vAlign w:val="center"/>
            <w:hideMark/>
          </w:tcPr>
          <w:p w14:paraId="2CEDD009"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-54,25%</w:t>
            </w:r>
          </w:p>
        </w:tc>
        <w:tc>
          <w:tcPr>
            <w:tcW w:w="851" w:type="dxa"/>
            <w:tcBorders>
              <w:top w:val="nil"/>
              <w:left w:val="nil"/>
              <w:bottom w:val="single" w:sz="4" w:space="0" w:color="auto"/>
              <w:right w:val="single" w:sz="4" w:space="0" w:color="auto"/>
            </w:tcBorders>
            <w:shd w:val="clear" w:color="auto" w:fill="auto"/>
            <w:noWrap/>
            <w:vAlign w:val="center"/>
            <w:hideMark/>
          </w:tcPr>
          <w:p w14:paraId="3A52ACA1"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77,56%</w:t>
            </w:r>
          </w:p>
        </w:tc>
      </w:tr>
      <w:tr w:rsidR="004A48DA" w:rsidRPr="00DD5F1D" w14:paraId="07843C1A" w14:textId="77777777" w:rsidTr="000E2AC7">
        <w:trPr>
          <w:trHeight w:val="52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3B52A9" w14:textId="77777777" w:rsidR="004A48DA" w:rsidRPr="00DD5F1D" w:rsidRDefault="004A48DA" w:rsidP="009E3494">
            <w:pPr>
              <w:spacing w:after="0" w:line="240"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145161</w:t>
            </w:r>
          </w:p>
        </w:tc>
        <w:tc>
          <w:tcPr>
            <w:tcW w:w="2443" w:type="dxa"/>
            <w:tcBorders>
              <w:top w:val="nil"/>
              <w:left w:val="nil"/>
              <w:bottom w:val="single" w:sz="4" w:space="0" w:color="auto"/>
              <w:right w:val="single" w:sz="4" w:space="0" w:color="auto"/>
            </w:tcBorders>
            <w:shd w:val="clear" w:color="auto" w:fill="auto"/>
            <w:vAlign w:val="bottom"/>
            <w:hideMark/>
          </w:tcPr>
          <w:p w14:paraId="64DEEE51" w14:textId="77777777" w:rsidR="004A48DA" w:rsidRPr="00DD5F1D" w:rsidRDefault="004A48DA" w:rsidP="009E3494">
            <w:pPr>
              <w:spacing w:after="0" w:line="240" w:lineRule="auto"/>
              <w:jc w:val="both"/>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Impozit unic perceput de la rezidenții parcurilor pentru tehnologia informației</w:t>
            </w:r>
          </w:p>
        </w:tc>
        <w:tc>
          <w:tcPr>
            <w:tcW w:w="1251" w:type="dxa"/>
            <w:gridSpan w:val="2"/>
            <w:tcBorders>
              <w:top w:val="nil"/>
              <w:left w:val="nil"/>
              <w:bottom w:val="single" w:sz="4" w:space="0" w:color="auto"/>
              <w:right w:val="single" w:sz="4" w:space="0" w:color="auto"/>
            </w:tcBorders>
            <w:shd w:val="clear" w:color="auto" w:fill="auto"/>
            <w:vAlign w:val="center"/>
            <w:hideMark/>
          </w:tcPr>
          <w:p w14:paraId="576979DB"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421365,04</w:t>
            </w:r>
          </w:p>
        </w:tc>
        <w:tc>
          <w:tcPr>
            <w:tcW w:w="1175" w:type="dxa"/>
            <w:gridSpan w:val="2"/>
            <w:tcBorders>
              <w:top w:val="nil"/>
              <w:left w:val="nil"/>
              <w:bottom w:val="single" w:sz="4" w:space="0" w:color="auto"/>
              <w:right w:val="single" w:sz="4" w:space="0" w:color="auto"/>
            </w:tcBorders>
            <w:shd w:val="clear" w:color="auto" w:fill="auto"/>
            <w:vAlign w:val="center"/>
            <w:hideMark/>
          </w:tcPr>
          <w:p w14:paraId="0474BE00"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554869,92</w:t>
            </w:r>
          </w:p>
        </w:tc>
        <w:tc>
          <w:tcPr>
            <w:tcW w:w="1161" w:type="dxa"/>
            <w:gridSpan w:val="2"/>
            <w:tcBorders>
              <w:top w:val="nil"/>
              <w:left w:val="nil"/>
              <w:bottom w:val="single" w:sz="4" w:space="0" w:color="auto"/>
              <w:right w:val="single" w:sz="4" w:space="0" w:color="auto"/>
            </w:tcBorders>
            <w:shd w:val="clear" w:color="auto" w:fill="auto"/>
            <w:vAlign w:val="center"/>
            <w:hideMark/>
          </w:tcPr>
          <w:p w14:paraId="0DA9A7A5"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420811,42</w:t>
            </w:r>
          </w:p>
        </w:tc>
        <w:tc>
          <w:tcPr>
            <w:tcW w:w="1109" w:type="dxa"/>
            <w:gridSpan w:val="2"/>
            <w:tcBorders>
              <w:top w:val="nil"/>
              <w:left w:val="nil"/>
              <w:bottom w:val="single" w:sz="4" w:space="0" w:color="auto"/>
              <w:right w:val="single" w:sz="4" w:space="0" w:color="auto"/>
            </w:tcBorders>
            <w:shd w:val="clear" w:color="auto" w:fill="auto"/>
            <w:vAlign w:val="center"/>
            <w:hideMark/>
          </w:tcPr>
          <w:p w14:paraId="40912DC6"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555258,49</w:t>
            </w:r>
          </w:p>
        </w:tc>
        <w:tc>
          <w:tcPr>
            <w:tcW w:w="970" w:type="dxa"/>
            <w:gridSpan w:val="2"/>
            <w:tcBorders>
              <w:top w:val="nil"/>
              <w:left w:val="nil"/>
              <w:bottom w:val="single" w:sz="4" w:space="0" w:color="auto"/>
              <w:right w:val="single" w:sz="4" w:space="0" w:color="auto"/>
            </w:tcBorders>
            <w:shd w:val="clear" w:color="auto" w:fill="auto"/>
            <w:vAlign w:val="center"/>
            <w:hideMark/>
          </w:tcPr>
          <w:p w14:paraId="1C95CDB0"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388,57</w:t>
            </w:r>
          </w:p>
        </w:tc>
        <w:tc>
          <w:tcPr>
            <w:tcW w:w="1128" w:type="dxa"/>
            <w:gridSpan w:val="2"/>
            <w:tcBorders>
              <w:top w:val="nil"/>
              <w:left w:val="nil"/>
              <w:bottom w:val="single" w:sz="4" w:space="0" w:color="auto"/>
              <w:right w:val="single" w:sz="4" w:space="0" w:color="auto"/>
            </w:tcBorders>
            <w:shd w:val="clear" w:color="auto" w:fill="auto"/>
            <w:vAlign w:val="center"/>
            <w:hideMark/>
          </w:tcPr>
          <w:p w14:paraId="3A009AB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-2645,97</w:t>
            </w:r>
          </w:p>
        </w:tc>
        <w:tc>
          <w:tcPr>
            <w:tcW w:w="1128" w:type="dxa"/>
            <w:gridSpan w:val="2"/>
            <w:tcBorders>
              <w:top w:val="nil"/>
              <w:left w:val="nil"/>
              <w:bottom w:val="single" w:sz="4" w:space="0" w:color="auto"/>
              <w:right w:val="single" w:sz="4" w:space="0" w:color="auto"/>
            </w:tcBorders>
            <w:shd w:val="clear" w:color="auto" w:fill="auto"/>
            <w:vAlign w:val="center"/>
            <w:hideMark/>
          </w:tcPr>
          <w:p w14:paraId="443C977A"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-2589,08</w:t>
            </w:r>
          </w:p>
        </w:tc>
        <w:tc>
          <w:tcPr>
            <w:tcW w:w="1027" w:type="dxa"/>
            <w:gridSpan w:val="2"/>
            <w:tcBorders>
              <w:top w:val="nil"/>
              <w:left w:val="nil"/>
              <w:bottom w:val="single" w:sz="4" w:space="0" w:color="auto"/>
              <w:right w:val="single" w:sz="4" w:space="0" w:color="auto"/>
            </w:tcBorders>
            <w:shd w:val="clear" w:color="auto" w:fill="auto"/>
            <w:noWrap/>
            <w:vAlign w:val="center"/>
            <w:hideMark/>
          </w:tcPr>
          <w:p w14:paraId="638C0F37"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-0,48%</w:t>
            </w:r>
          </w:p>
        </w:tc>
        <w:tc>
          <w:tcPr>
            <w:tcW w:w="1082" w:type="dxa"/>
            <w:gridSpan w:val="2"/>
            <w:tcBorders>
              <w:top w:val="nil"/>
              <w:left w:val="nil"/>
              <w:bottom w:val="single" w:sz="4" w:space="0" w:color="auto"/>
              <w:right w:val="single" w:sz="4" w:space="0" w:color="auto"/>
            </w:tcBorders>
            <w:shd w:val="clear" w:color="auto" w:fill="auto"/>
            <w:noWrap/>
            <w:vAlign w:val="center"/>
            <w:hideMark/>
          </w:tcPr>
          <w:p w14:paraId="0F30A067"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-56,89</w:t>
            </w:r>
          </w:p>
        </w:tc>
        <w:tc>
          <w:tcPr>
            <w:tcW w:w="850" w:type="dxa"/>
            <w:tcBorders>
              <w:top w:val="nil"/>
              <w:left w:val="nil"/>
              <w:bottom w:val="single" w:sz="4" w:space="0" w:color="auto"/>
              <w:right w:val="single" w:sz="4" w:space="0" w:color="auto"/>
            </w:tcBorders>
            <w:shd w:val="clear" w:color="auto" w:fill="auto"/>
            <w:noWrap/>
            <w:vAlign w:val="center"/>
            <w:hideMark/>
          </w:tcPr>
          <w:p w14:paraId="578646B7"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2,20%</w:t>
            </w:r>
          </w:p>
        </w:tc>
        <w:tc>
          <w:tcPr>
            <w:tcW w:w="851" w:type="dxa"/>
            <w:tcBorders>
              <w:top w:val="nil"/>
              <w:left w:val="nil"/>
              <w:bottom w:val="single" w:sz="4" w:space="0" w:color="auto"/>
              <w:right w:val="single" w:sz="4" w:space="0" w:color="auto"/>
            </w:tcBorders>
            <w:shd w:val="clear" w:color="auto" w:fill="auto"/>
            <w:noWrap/>
            <w:vAlign w:val="center"/>
            <w:hideMark/>
          </w:tcPr>
          <w:p w14:paraId="5553B644" w14:textId="77777777" w:rsidR="004A48DA" w:rsidRPr="00DD5F1D" w:rsidRDefault="004A48DA" w:rsidP="009E3494">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31,68%</w:t>
            </w:r>
          </w:p>
        </w:tc>
      </w:tr>
      <w:tr w:rsidR="004A48DA" w:rsidRPr="00DD5F1D" w14:paraId="4378FE63" w14:textId="77777777" w:rsidTr="00806680">
        <w:trPr>
          <w:trHeight w:val="290"/>
        </w:trPr>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026C69"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TOTAL</w:t>
            </w:r>
          </w:p>
        </w:tc>
        <w:tc>
          <w:tcPr>
            <w:tcW w:w="1251" w:type="dxa"/>
            <w:gridSpan w:val="2"/>
            <w:tcBorders>
              <w:top w:val="nil"/>
              <w:left w:val="nil"/>
              <w:bottom w:val="single" w:sz="4" w:space="0" w:color="auto"/>
              <w:right w:val="single" w:sz="4" w:space="0" w:color="auto"/>
            </w:tcBorders>
            <w:shd w:val="clear" w:color="auto" w:fill="auto"/>
            <w:vAlign w:val="center"/>
            <w:hideMark/>
          </w:tcPr>
          <w:p w14:paraId="3305F67A"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 xml:space="preserve">18887033,00  </w:t>
            </w:r>
          </w:p>
        </w:tc>
        <w:tc>
          <w:tcPr>
            <w:tcW w:w="1175" w:type="dxa"/>
            <w:gridSpan w:val="2"/>
            <w:tcBorders>
              <w:top w:val="nil"/>
              <w:left w:val="nil"/>
              <w:bottom w:val="single" w:sz="4" w:space="0" w:color="auto"/>
              <w:right w:val="single" w:sz="4" w:space="0" w:color="auto"/>
            </w:tcBorders>
            <w:shd w:val="clear" w:color="auto" w:fill="auto"/>
            <w:vAlign w:val="center"/>
            <w:hideMark/>
          </w:tcPr>
          <w:p w14:paraId="06CD6364"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22117789,49</w:t>
            </w:r>
          </w:p>
        </w:tc>
        <w:tc>
          <w:tcPr>
            <w:tcW w:w="1161" w:type="dxa"/>
            <w:gridSpan w:val="2"/>
            <w:tcBorders>
              <w:top w:val="nil"/>
              <w:left w:val="nil"/>
              <w:bottom w:val="single" w:sz="4" w:space="0" w:color="auto"/>
              <w:right w:val="single" w:sz="4" w:space="0" w:color="auto"/>
            </w:tcBorders>
            <w:shd w:val="clear" w:color="auto" w:fill="auto"/>
            <w:vAlign w:val="center"/>
            <w:hideMark/>
          </w:tcPr>
          <w:p w14:paraId="106AA83B"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18948389,67</w:t>
            </w:r>
          </w:p>
        </w:tc>
        <w:tc>
          <w:tcPr>
            <w:tcW w:w="1109" w:type="dxa"/>
            <w:gridSpan w:val="2"/>
            <w:tcBorders>
              <w:top w:val="nil"/>
              <w:left w:val="nil"/>
              <w:bottom w:val="single" w:sz="4" w:space="0" w:color="auto"/>
              <w:right w:val="single" w:sz="4" w:space="0" w:color="auto"/>
            </w:tcBorders>
            <w:shd w:val="clear" w:color="auto" w:fill="auto"/>
            <w:vAlign w:val="center"/>
            <w:hideMark/>
          </w:tcPr>
          <w:p w14:paraId="66C49C0C"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22034758,2</w:t>
            </w:r>
          </w:p>
        </w:tc>
        <w:tc>
          <w:tcPr>
            <w:tcW w:w="970" w:type="dxa"/>
            <w:gridSpan w:val="2"/>
            <w:tcBorders>
              <w:top w:val="nil"/>
              <w:left w:val="nil"/>
              <w:bottom w:val="single" w:sz="4" w:space="0" w:color="auto"/>
              <w:right w:val="single" w:sz="4" w:space="0" w:color="auto"/>
            </w:tcBorders>
            <w:shd w:val="clear" w:color="auto" w:fill="auto"/>
            <w:vAlign w:val="center"/>
            <w:hideMark/>
          </w:tcPr>
          <w:p w14:paraId="1FA3768A"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-83031,29</w:t>
            </w:r>
          </w:p>
        </w:tc>
        <w:tc>
          <w:tcPr>
            <w:tcW w:w="1128" w:type="dxa"/>
            <w:gridSpan w:val="2"/>
            <w:tcBorders>
              <w:top w:val="nil"/>
              <w:left w:val="nil"/>
              <w:bottom w:val="single" w:sz="4" w:space="0" w:color="auto"/>
              <w:right w:val="single" w:sz="4" w:space="0" w:color="auto"/>
            </w:tcBorders>
            <w:shd w:val="clear" w:color="auto" w:fill="auto"/>
            <w:vAlign w:val="center"/>
            <w:hideMark/>
          </w:tcPr>
          <w:p w14:paraId="5D07617A"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-451015,21</w:t>
            </w:r>
          </w:p>
        </w:tc>
        <w:tc>
          <w:tcPr>
            <w:tcW w:w="1128" w:type="dxa"/>
            <w:gridSpan w:val="2"/>
            <w:tcBorders>
              <w:top w:val="nil"/>
              <w:left w:val="nil"/>
              <w:bottom w:val="single" w:sz="4" w:space="0" w:color="auto"/>
              <w:right w:val="single" w:sz="4" w:space="0" w:color="auto"/>
            </w:tcBorders>
            <w:shd w:val="clear" w:color="auto" w:fill="auto"/>
            <w:vAlign w:val="center"/>
            <w:hideMark/>
          </w:tcPr>
          <w:p w14:paraId="7F335AE3"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-356447,26</w:t>
            </w:r>
          </w:p>
        </w:tc>
        <w:tc>
          <w:tcPr>
            <w:tcW w:w="1027" w:type="dxa"/>
            <w:gridSpan w:val="2"/>
            <w:tcBorders>
              <w:top w:val="nil"/>
              <w:left w:val="nil"/>
              <w:bottom w:val="single" w:sz="4" w:space="0" w:color="auto"/>
              <w:right w:val="single" w:sz="4" w:space="0" w:color="auto"/>
            </w:tcBorders>
            <w:shd w:val="clear" w:color="auto" w:fill="auto"/>
            <w:noWrap/>
            <w:vAlign w:val="center"/>
            <w:hideMark/>
          </w:tcPr>
          <w:p w14:paraId="7032A0EF"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-2,04%</w:t>
            </w:r>
          </w:p>
        </w:tc>
        <w:tc>
          <w:tcPr>
            <w:tcW w:w="1076" w:type="dxa"/>
            <w:tcBorders>
              <w:top w:val="nil"/>
              <w:left w:val="nil"/>
              <w:bottom w:val="single" w:sz="4" w:space="0" w:color="auto"/>
              <w:right w:val="single" w:sz="4" w:space="0" w:color="auto"/>
            </w:tcBorders>
            <w:shd w:val="clear" w:color="auto" w:fill="auto"/>
            <w:noWrap/>
            <w:vAlign w:val="center"/>
            <w:hideMark/>
          </w:tcPr>
          <w:p w14:paraId="6154F55F"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-94567,95</w:t>
            </w:r>
          </w:p>
        </w:tc>
        <w:tc>
          <w:tcPr>
            <w:tcW w:w="850" w:type="dxa"/>
            <w:tcBorders>
              <w:top w:val="nil"/>
              <w:left w:val="nil"/>
              <w:bottom w:val="single" w:sz="4" w:space="0" w:color="auto"/>
              <w:right w:val="single" w:sz="4" w:space="0" w:color="auto"/>
            </w:tcBorders>
            <w:shd w:val="clear" w:color="auto" w:fill="auto"/>
            <w:noWrap/>
            <w:vAlign w:val="center"/>
            <w:hideMark/>
          </w:tcPr>
          <w:p w14:paraId="135623CB"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26,53%</w:t>
            </w:r>
          </w:p>
        </w:tc>
        <w:tc>
          <w:tcPr>
            <w:tcW w:w="851" w:type="dxa"/>
            <w:tcBorders>
              <w:top w:val="nil"/>
              <w:left w:val="nil"/>
              <w:bottom w:val="single" w:sz="4" w:space="0" w:color="auto"/>
              <w:right w:val="single" w:sz="4" w:space="0" w:color="auto"/>
            </w:tcBorders>
            <w:shd w:val="clear" w:color="auto" w:fill="auto"/>
            <w:noWrap/>
            <w:vAlign w:val="center"/>
            <w:hideMark/>
          </w:tcPr>
          <w:p w14:paraId="6AA7D3E6" w14:textId="77777777" w:rsidR="004A48DA" w:rsidRPr="00DD5F1D" w:rsidRDefault="004A48DA" w:rsidP="009E3494">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17,11%</w:t>
            </w:r>
          </w:p>
        </w:tc>
      </w:tr>
    </w:tbl>
    <w:p w14:paraId="13C40205" w14:textId="40D25102" w:rsidR="004A48DA" w:rsidRPr="00DD5F1D" w:rsidRDefault="004A48DA" w:rsidP="004A48DA">
      <w:pPr>
        <w:spacing w:line="276" w:lineRule="auto"/>
        <w:rPr>
          <w:rFonts w:ascii="Times New Roman" w:hAnsi="Times New Roman" w:cs="Times New Roman"/>
          <w:sz w:val="24"/>
          <w:szCs w:val="24"/>
          <w:lang w:val="ro-MD"/>
        </w:rPr>
      </w:pPr>
      <w:r w:rsidRPr="00DD5F1D">
        <w:rPr>
          <w:rFonts w:ascii="Times New Roman" w:hAnsi="Times New Roman" w:cs="Times New Roman"/>
          <w:b/>
          <w:i/>
          <w:sz w:val="20"/>
          <w:szCs w:val="24"/>
          <w:lang w:val="ro-MD"/>
        </w:rPr>
        <w:t>Sursa</w:t>
      </w:r>
      <w:r w:rsidRPr="00DD5F1D">
        <w:rPr>
          <w:rFonts w:ascii="Times New Roman" w:hAnsi="Times New Roman" w:cs="Times New Roman"/>
          <w:i/>
          <w:sz w:val="20"/>
          <w:szCs w:val="24"/>
          <w:lang w:val="ro-MD"/>
        </w:rPr>
        <w:t>: Întocmit de audit în baza Informației prezentate de SFS</w:t>
      </w:r>
      <w:r w:rsidR="003B39FF" w:rsidRPr="00DD5F1D">
        <w:rPr>
          <w:rFonts w:ascii="Times New Roman" w:hAnsi="Times New Roman" w:cs="Times New Roman"/>
          <w:i/>
          <w:sz w:val="20"/>
          <w:szCs w:val="24"/>
          <w:lang w:val="ro-MD"/>
        </w:rPr>
        <w:t>.</w:t>
      </w:r>
    </w:p>
    <w:p w14:paraId="28B10DCC" w14:textId="77777777" w:rsidR="006F0D8B" w:rsidRPr="00DD5F1D" w:rsidRDefault="006F0D8B" w:rsidP="00C0495B">
      <w:pPr>
        <w:pStyle w:val="2"/>
        <w:jc w:val="right"/>
        <w:rPr>
          <w:rFonts w:ascii="Times New Roman" w:hAnsi="Times New Roman" w:cs="Times New Roman"/>
          <w:b/>
          <w:sz w:val="24"/>
          <w:szCs w:val="24"/>
          <w:lang w:val="ro-MD"/>
        </w:rPr>
      </w:pPr>
      <w:r w:rsidRPr="00DD5F1D">
        <w:rPr>
          <w:rFonts w:ascii="Times New Roman" w:hAnsi="Times New Roman" w:cs="Times New Roman"/>
          <w:b/>
          <w:color w:val="000000" w:themeColor="text1"/>
          <w:sz w:val="24"/>
          <w:szCs w:val="24"/>
          <w:lang w:val="ro-MD"/>
        </w:rPr>
        <w:t xml:space="preserve">Anexa nr. </w:t>
      </w:r>
      <w:r w:rsidR="000E2AC7" w:rsidRPr="00DD5F1D">
        <w:rPr>
          <w:rFonts w:ascii="Times New Roman" w:hAnsi="Times New Roman" w:cs="Times New Roman"/>
          <w:b/>
          <w:color w:val="000000" w:themeColor="text1"/>
          <w:sz w:val="24"/>
          <w:szCs w:val="24"/>
          <w:lang w:val="ro-MD"/>
        </w:rPr>
        <w:t>13</w:t>
      </w:r>
    </w:p>
    <w:p w14:paraId="2B6B09AD" w14:textId="390B1625" w:rsidR="006F0D8B" w:rsidRPr="00DD5F1D" w:rsidRDefault="006F0D8B" w:rsidP="006F0D8B">
      <w:pPr>
        <w:spacing w:after="0" w:line="276" w:lineRule="auto"/>
        <w:jc w:val="center"/>
        <w:rPr>
          <w:rFonts w:ascii="Times New Roman" w:hAnsi="Times New Roman" w:cs="Times New Roman"/>
          <w:b/>
          <w:sz w:val="24"/>
          <w:szCs w:val="24"/>
          <w:lang w:val="ro-MD"/>
        </w:rPr>
      </w:pPr>
      <w:r w:rsidRPr="00DD5F1D">
        <w:rPr>
          <w:rFonts w:ascii="Times New Roman" w:hAnsi="Times New Roman" w:cs="Times New Roman"/>
          <w:b/>
          <w:sz w:val="24"/>
          <w:szCs w:val="24"/>
          <w:lang w:val="ro-MD"/>
        </w:rPr>
        <w:t>Informați</w:t>
      </w:r>
      <w:r w:rsidR="0020086B" w:rsidRPr="00DD5F1D">
        <w:rPr>
          <w:rFonts w:ascii="Times New Roman" w:hAnsi="Times New Roman" w:cs="Times New Roman"/>
          <w:b/>
          <w:sz w:val="24"/>
          <w:szCs w:val="24"/>
          <w:lang w:val="ro-MD"/>
        </w:rPr>
        <w:t>i</w:t>
      </w:r>
      <w:r w:rsidRPr="00DD5F1D">
        <w:rPr>
          <w:rFonts w:ascii="Times New Roman" w:hAnsi="Times New Roman" w:cs="Times New Roman"/>
          <w:b/>
          <w:sz w:val="24"/>
          <w:szCs w:val="24"/>
          <w:lang w:val="ro-MD"/>
        </w:rPr>
        <w:t xml:space="preserve"> privind plățile calculate și cele transferate la BASS</w:t>
      </w:r>
    </w:p>
    <w:p w14:paraId="445EFF06" w14:textId="77777777" w:rsidR="006F0D8B" w:rsidRPr="00DD5F1D" w:rsidRDefault="006F0D8B" w:rsidP="006F0D8B">
      <w:pPr>
        <w:spacing w:after="0" w:line="276" w:lineRule="auto"/>
        <w:jc w:val="right"/>
        <w:rPr>
          <w:rFonts w:ascii="Times New Roman" w:hAnsi="Times New Roman" w:cs="Times New Roman"/>
          <w:b/>
          <w:i/>
          <w:sz w:val="24"/>
          <w:szCs w:val="24"/>
          <w:lang w:val="ro-MD"/>
        </w:rPr>
      </w:pPr>
      <w:r w:rsidRPr="00DD5F1D">
        <w:rPr>
          <w:rFonts w:ascii="Times New Roman" w:hAnsi="Times New Roman" w:cs="Times New Roman"/>
          <w:b/>
          <w:i/>
          <w:sz w:val="24"/>
          <w:szCs w:val="24"/>
          <w:lang w:val="ro-MD"/>
        </w:rPr>
        <w:t>(mii lei)</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917"/>
        <w:gridCol w:w="1075"/>
        <w:gridCol w:w="1215"/>
        <w:gridCol w:w="1338"/>
        <w:gridCol w:w="1215"/>
        <w:gridCol w:w="1212"/>
        <w:gridCol w:w="1263"/>
        <w:gridCol w:w="1009"/>
        <w:gridCol w:w="1177"/>
        <w:gridCol w:w="1189"/>
        <w:gridCol w:w="1192"/>
      </w:tblGrid>
      <w:tr w:rsidR="006F0D8B" w:rsidRPr="00DD5F1D" w14:paraId="44FE4AD7" w14:textId="77777777" w:rsidTr="0055797F">
        <w:trPr>
          <w:trHeight w:val="20"/>
        </w:trPr>
        <w:tc>
          <w:tcPr>
            <w:tcW w:w="521" w:type="pct"/>
            <w:vMerge w:val="restart"/>
            <w:shd w:val="clear" w:color="auto" w:fill="auto"/>
            <w:vAlign w:val="center"/>
            <w:hideMark/>
          </w:tcPr>
          <w:p w14:paraId="0B6A6678" w14:textId="2620918D" w:rsidR="006F0D8B" w:rsidRPr="00DD5F1D" w:rsidRDefault="006F0D8B" w:rsidP="0020086B">
            <w:pPr>
              <w:spacing w:after="0" w:line="276"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Denumi</w:t>
            </w:r>
            <w:r w:rsidR="0020086B" w:rsidRPr="00DD5F1D">
              <w:rPr>
                <w:rFonts w:ascii="Times New Roman" w:eastAsia="Times New Roman" w:hAnsi="Times New Roman" w:cs="Times New Roman"/>
                <w:b/>
                <w:bCs/>
                <w:sz w:val="18"/>
                <w:szCs w:val="18"/>
                <w:lang w:val="ro-MD"/>
              </w:rPr>
              <w:t>rea</w:t>
            </w:r>
            <w:r w:rsidRPr="00DD5F1D">
              <w:rPr>
                <w:rFonts w:ascii="Times New Roman" w:eastAsia="Times New Roman" w:hAnsi="Times New Roman" w:cs="Times New Roman"/>
                <w:b/>
                <w:bCs/>
                <w:sz w:val="18"/>
                <w:szCs w:val="18"/>
                <w:lang w:val="ro-MD"/>
              </w:rPr>
              <w:t xml:space="preserve"> contrib</w:t>
            </w:r>
            <w:r w:rsidR="0020086B" w:rsidRPr="00DD5F1D">
              <w:rPr>
                <w:rFonts w:ascii="Times New Roman" w:eastAsia="Times New Roman" w:hAnsi="Times New Roman" w:cs="Times New Roman"/>
                <w:b/>
                <w:bCs/>
                <w:sz w:val="18"/>
                <w:szCs w:val="18"/>
                <w:lang w:val="ro-MD"/>
              </w:rPr>
              <w:t>uabilului</w:t>
            </w:r>
          </w:p>
        </w:tc>
        <w:tc>
          <w:tcPr>
            <w:tcW w:w="1122" w:type="pct"/>
            <w:gridSpan w:val="3"/>
            <w:shd w:val="clear" w:color="auto" w:fill="auto"/>
            <w:vAlign w:val="center"/>
            <w:hideMark/>
          </w:tcPr>
          <w:p w14:paraId="0BE9C28B"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Sold la 01.01.2023</w:t>
            </w:r>
          </w:p>
        </w:tc>
        <w:tc>
          <w:tcPr>
            <w:tcW w:w="893" w:type="pct"/>
            <w:gridSpan w:val="2"/>
            <w:shd w:val="clear" w:color="auto" w:fill="auto"/>
            <w:vAlign w:val="center"/>
            <w:hideMark/>
          </w:tcPr>
          <w:p w14:paraId="21D903C6"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Calculat</w:t>
            </w:r>
          </w:p>
        </w:tc>
        <w:tc>
          <w:tcPr>
            <w:tcW w:w="866" w:type="pct"/>
            <w:gridSpan w:val="2"/>
            <w:shd w:val="clear" w:color="auto" w:fill="auto"/>
            <w:vAlign w:val="center"/>
            <w:hideMark/>
          </w:tcPr>
          <w:p w14:paraId="1D727C07"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Achitat</w:t>
            </w:r>
          </w:p>
        </w:tc>
        <w:tc>
          <w:tcPr>
            <w:tcW w:w="1181" w:type="pct"/>
            <w:gridSpan w:val="3"/>
            <w:shd w:val="clear" w:color="auto" w:fill="auto"/>
            <w:vAlign w:val="center"/>
            <w:hideMark/>
          </w:tcPr>
          <w:p w14:paraId="4C0CDBC1"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Sold la 31.12.2023</w:t>
            </w:r>
          </w:p>
        </w:tc>
        <w:tc>
          <w:tcPr>
            <w:tcW w:w="417" w:type="pct"/>
            <w:vMerge w:val="restart"/>
            <w:shd w:val="clear" w:color="auto" w:fill="auto"/>
            <w:vAlign w:val="center"/>
            <w:hideMark/>
          </w:tcPr>
          <w:p w14:paraId="24575255"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Diferența sold</w:t>
            </w:r>
          </w:p>
        </w:tc>
      </w:tr>
      <w:tr w:rsidR="006F0D8B" w:rsidRPr="00DD5F1D" w14:paraId="1A68CAD2" w14:textId="77777777" w:rsidTr="0055797F">
        <w:trPr>
          <w:trHeight w:val="20"/>
        </w:trPr>
        <w:tc>
          <w:tcPr>
            <w:tcW w:w="521" w:type="pct"/>
            <w:vMerge/>
            <w:vAlign w:val="center"/>
            <w:hideMark/>
          </w:tcPr>
          <w:p w14:paraId="6A89EA47" w14:textId="77777777" w:rsidR="006F0D8B" w:rsidRPr="00DD5F1D" w:rsidRDefault="006F0D8B" w:rsidP="0055797F">
            <w:pPr>
              <w:spacing w:after="0" w:line="276" w:lineRule="auto"/>
              <w:rPr>
                <w:rFonts w:ascii="Times New Roman" w:eastAsia="Times New Roman" w:hAnsi="Times New Roman" w:cs="Times New Roman"/>
                <w:b/>
                <w:bCs/>
                <w:sz w:val="18"/>
                <w:szCs w:val="18"/>
                <w:lang w:val="ro-MD"/>
              </w:rPr>
            </w:pPr>
          </w:p>
        </w:tc>
        <w:tc>
          <w:tcPr>
            <w:tcW w:w="321" w:type="pct"/>
            <w:shd w:val="clear" w:color="auto" w:fill="auto"/>
            <w:vAlign w:val="center"/>
            <w:hideMark/>
          </w:tcPr>
          <w:p w14:paraId="47ED8D45"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Total</w:t>
            </w:r>
          </w:p>
        </w:tc>
        <w:tc>
          <w:tcPr>
            <w:tcW w:w="376" w:type="pct"/>
            <w:shd w:val="clear" w:color="auto" w:fill="auto"/>
            <w:vAlign w:val="center"/>
            <w:hideMark/>
          </w:tcPr>
          <w:p w14:paraId="7F5163FC" w14:textId="74D56314"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w:t>
            </w:r>
            <w:r w:rsidR="0020086B" w:rsidRPr="00DD5F1D">
              <w:rPr>
                <w:rFonts w:ascii="Times New Roman" w:eastAsia="Times New Roman" w:hAnsi="Times New Roman" w:cs="Times New Roman"/>
                <w:sz w:val="18"/>
                <w:szCs w:val="18"/>
                <w:lang w:val="ro-MD"/>
              </w:rPr>
              <w:t>uții</w:t>
            </w:r>
            <w:r w:rsidRPr="00DD5F1D">
              <w:rPr>
                <w:rFonts w:ascii="Times New Roman" w:eastAsia="Times New Roman" w:hAnsi="Times New Roman" w:cs="Times New Roman"/>
                <w:sz w:val="18"/>
                <w:szCs w:val="18"/>
                <w:lang w:val="ro-MD"/>
              </w:rPr>
              <w:t xml:space="preserve"> (121100)</w:t>
            </w:r>
          </w:p>
        </w:tc>
        <w:tc>
          <w:tcPr>
            <w:tcW w:w="425" w:type="pct"/>
            <w:shd w:val="clear" w:color="auto" w:fill="auto"/>
            <w:vAlign w:val="center"/>
            <w:hideMark/>
          </w:tcPr>
          <w:p w14:paraId="7075A52B"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Penalități (121410)</w:t>
            </w:r>
          </w:p>
        </w:tc>
        <w:tc>
          <w:tcPr>
            <w:tcW w:w="468" w:type="pct"/>
            <w:shd w:val="clear" w:color="auto" w:fill="auto"/>
            <w:vAlign w:val="center"/>
            <w:hideMark/>
          </w:tcPr>
          <w:p w14:paraId="6C4E4EBE" w14:textId="0ADDAA6B"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w:t>
            </w:r>
            <w:r w:rsidR="0020086B" w:rsidRPr="00DD5F1D">
              <w:rPr>
                <w:rFonts w:ascii="Times New Roman" w:eastAsia="Times New Roman" w:hAnsi="Times New Roman" w:cs="Times New Roman"/>
                <w:sz w:val="18"/>
                <w:szCs w:val="18"/>
                <w:lang w:val="ro-MD"/>
              </w:rPr>
              <w:t>uții</w:t>
            </w:r>
            <w:r w:rsidRPr="00DD5F1D">
              <w:rPr>
                <w:rFonts w:ascii="Times New Roman" w:eastAsia="Times New Roman" w:hAnsi="Times New Roman" w:cs="Times New Roman"/>
                <w:sz w:val="18"/>
                <w:szCs w:val="18"/>
                <w:lang w:val="ro-MD"/>
              </w:rPr>
              <w:t xml:space="preserve"> (121100)</w:t>
            </w:r>
          </w:p>
        </w:tc>
        <w:tc>
          <w:tcPr>
            <w:tcW w:w="425" w:type="pct"/>
            <w:shd w:val="clear" w:color="auto" w:fill="auto"/>
            <w:vAlign w:val="center"/>
            <w:hideMark/>
          </w:tcPr>
          <w:p w14:paraId="132FAD10"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Penalități (121410)</w:t>
            </w:r>
          </w:p>
        </w:tc>
        <w:tc>
          <w:tcPr>
            <w:tcW w:w="424" w:type="pct"/>
            <w:shd w:val="clear" w:color="auto" w:fill="auto"/>
            <w:vAlign w:val="center"/>
            <w:hideMark/>
          </w:tcPr>
          <w:p w14:paraId="270EF0CB" w14:textId="6D7D3ECF"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w:t>
            </w:r>
            <w:r w:rsidR="0020086B" w:rsidRPr="00DD5F1D">
              <w:rPr>
                <w:rFonts w:ascii="Times New Roman" w:eastAsia="Times New Roman" w:hAnsi="Times New Roman" w:cs="Times New Roman"/>
                <w:sz w:val="18"/>
                <w:szCs w:val="18"/>
                <w:lang w:val="ro-MD"/>
              </w:rPr>
              <w:t>uții</w:t>
            </w:r>
            <w:r w:rsidRPr="00DD5F1D">
              <w:rPr>
                <w:rFonts w:ascii="Times New Roman" w:eastAsia="Times New Roman" w:hAnsi="Times New Roman" w:cs="Times New Roman"/>
                <w:sz w:val="18"/>
                <w:szCs w:val="18"/>
                <w:lang w:val="ro-MD"/>
              </w:rPr>
              <w:t xml:space="preserve"> (121100)</w:t>
            </w:r>
          </w:p>
        </w:tc>
        <w:tc>
          <w:tcPr>
            <w:tcW w:w="442" w:type="pct"/>
            <w:shd w:val="clear" w:color="auto" w:fill="auto"/>
            <w:vAlign w:val="center"/>
            <w:hideMark/>
          </w:tcPr>
          <w:p w14:paraId="03385525"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Penalități (121410)</w:t>
            </w:r>
          </w:p>
        </w:tc>
        <w:tc>
          <w:tcPr>
            <w:tcW w:w="353" w:type="pct"/>
            <w:shd w:val="clear" w:color="auto" w:fill="auto"/>
            <w:vAlign w:val="center"/>
            <w:hideMark/>
          </w:tcPr>
          <w:p w14:paraId="2327252A"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Total</w:t>
            </w:r>
          </w:p>
        </w:tc>
        <w:tc>
          <w:tcPr>
            <w:tcW w:w="412" w:type="pct"/>
            <w:shd w:val="clear" w:color="auto" w:fill="auto"/>
            <w:vAlign w:val="center"/>
            <w:hideMark/>
          </w:tcPr>
          <w:p w14:paraId="2FC982FE" w14:textId="22C05250"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w:t>
            </w:r>
            <w:r w:rsidR="0020086B" w:rsidRPr="00DD5F1D">
              <w:rPr>
                <w:rFonts w:ascii="Times New Roman" w:eastAsia="Times New Roman" w:hAnsi="Times New Roman" w:cs="Times New Roman"/>
                <w:sz w:val="18"/>
                <w:szCs w:val="18"/>
                <w:lang w:val="ro-MD"/>
              </w:rPr>
              <w:t>uții</w:t>
            </w:r>
            <w:r w:rsidRPr="00DD5F1D">
              <w:rPr>
                <w:rFonts w:ascii="Times New Roman" w:eastAsia="Times New Roman" w:hAnsi="Times New Roman" w:cs="Times New Roman"/>
                <w:sz w:val="18"/>
                <w:szCs w:val="18"/>
                <w:lang w:val="ro-MD"/>
              </w:rPr>
              <w:t xml:space="preserve"> (121100)</w:t>
            </w:r>
          </w:p>
        </w:tc>
        <w:tc>
          <w:tcPr>
            <w:tcW w:w="416" w:type="pct"/>
            <w:shd w:val="clear" w:color="auto" w:fill="auto"/>
            <w:vAlign w:val="center"/>
            <w:hideMark/>
          </w:tcPr>
          <w:p w14:paraId="60B326BC"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Penalități (121410)</w:t>
            </w:r>
          </w:p>
        </w:tc>
        <w:tc>
          <w:tcPr>
            <w:tcW w:w="417" w:type="pct"/>
            <w:vMerge/>
            <w:vAlign w:val="center"/>
            <w:hideMark/>
          </w:tcPr>
          <w:p w14:paraId="53E1D9AE" w14:textId="77777777" w:rsidR="006F0D8B" w:rsidRPr="00DD5F1D" w:rsidRDefault="006F0D8B" w:rsidP="0055797F">
            <w:pPr>
              <w:spacing w:after="0" w:line="276" w:lineRule="auto"/>
              <w:rPr>
                <w:rFonts w:ascii="Times New Roman" w:eastAsia="Times New Roman" w:hAnsi="Times New Roman" w:cs="Times New Roman"/>
                <w:b/>
                <w:bCs/>
                <w:sz w:val="18"/>
                <w:szCs w:val="18"/>
                <w:lang w:val="ro-MD"/>
              </w:rPr>
            </w:pPr>
          </w:p>
        </w:tc>
      </w:tr>
      <w:tr w:rsidR="006F0D8B" w:rsidRPr="00DD5F1D" w14:paraId="39FA55FE" w14:textId="77777777" w:rsidTr="0055797F">
        <w:trPr>
          <w:trHeight w:val="20"/>
        </w:trPr>
        <w:tc>
          <w:tcPr>
            <w:tcW w:w="521" w:type="pct"/>
            <w:shd w:val="clear" w:color="auto" w:fill="auto"/>
            <w:vAlign w:val="center"/>
            <w:hideMark/>
          </w:tcPr>
          <w:p w14:paraId="41398F43" w14:textId="63E458E9" w:rsidR="006F0D8B" w:rsidRPr="00DD5F1D" w:rsidRDefault="0055797F" w:rsidP="0055797F">
            <w:pPr>
              <w:spacing w:after="0" w:line="276"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Contribuabil 1</w:t>
            </w:r>
          </w:p>
        </w:tc>
        <w:tc>
          <w:tcPr>
            <w:tcW w:w="321" w:type="pct"/>
            <w:shd w:val="clear" w:color="auto" w:fill="auto"/>
            <w:vAlign w:val="center"/>
            <w:hideMark/>
          </w:tcPr>
          <w:p w14:paraId="5839E74A"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12164,0</w:t>
            </w:r>
          </w:p>
        </w:tc>
        <w:tc>
          <w:tcPr>
            <w:tcW w:w="376" w:type="pct"/>
            <w:shd w:val="clear" w:color="auto" w:fill="auto"/>
            <w:vAlign w:val="center"/>
            <w:hideMark/>
          </w:tcPr>
          <w:p w14:paraId="406AD594"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11926,9</w:t>
            </w:r>
          </w:p>
        </w:tc>
        <w:tc>
          <w:tcPr>
            <w:tcW w:w="425" w:type="pct"/>
            <w:shd w:val="clear" w:color="auto" w:fill="auto"/>
            <w:vAlign w:val="center"/>
            <w:hideMark/>
          </w:tcPr>
          <w:p w14:paraId="5D90647B"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237,1</w:t>
            </w:r>
          </w:p>
        </w:tc>
        <w:tc>
          <w:tcPr>
            <w:tcW w:w="468" w:type="pct"/>
            <w:shd w:val="clear" w:color="auto" w:fill="auto"/>
            <w:vAlign w:val="center"/>
            <w:hideMark/>
          </w:tcPr>
          <w:p w14:paraId="076BBB19"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147995,4</w:t>
            </w:r>
          </w:p>
        </w:tc>
        <w:tc>
          <w:tcPr>
            <w:tcW w:w="425" w:type="pct"/>
            <w:shd w:val="clear" w:color="auto" w:fill="auto"/>
            <w:vAlign w:val="center"/>
            <w:hideMark/>
          </w:tcPr>
          <w:p w14:paraId="4AF55D96"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2877,4</w:t>
            </w:r>
          </w:p>
        </w:tc>
        <w:tc>
          <w:tcPr>
            <w:tcW w:w="424" w:type="pct"/>
            <w:shd w:val="clear" w:color="auto" w:fill="auto"/>
            <w:vAlign w:val="center"/>
            <w:hideMark/>
          </w:tcPr>
          <w:p w14:paraId="4214237A"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147619,3</w:t>
            </w:r>
          </w:p>
        </w:tc>
        <w:tc>
          <w:tcPr>
            <w:tcW w:w="442" w:type="pct"/>
            <w:shd w:val="clear" w:color="auto" w:fill="auto"/>
            <w:vAlign w:val="center"/>
            <w:hideMark/>
          </w:tcPr>
          <w:p w14:paraId="19A1CCF3"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2857,1</w:t>
            </w:r>
          </w:p>
        </w:tc>
        <w:tc>
          <w:tcPr>
            <w:tcW w:w="353" w:type="pct"/>
            <w:shd w:val="clear" w:color="auto" w:fill="auto"/>
            <w:vAlign w:val="center"/>
            <w:hideMark/>
          </w:tcPr>
          <w:p w14:paraId="6F4040A5" w14:textId="77777777" w:rsidR="006F0D8B" w:rsidRPr="00DD5F1D" w:rsidRDefault="006F0D8B" w:rsidP="0055797F">
            <w:pPr>
              <w:spacing w:after="0" w:line="276"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12560,4</w:t>
            </w:r>
          </w:p>
        </w:tc>
        <w:tc>
          <w:tcPr>
            <w:tcW w:w="412" w:type="pct"/>
            <w:shd w:val="clear" w:color="auto" w:fill="auto"/>
            <w:vAlign w:val="center"/>
            <w:hideMark/>
          </w:tcPr>
          <w:p w14:paraId="0EFCE6E4"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12303,0</w:t>
            </w:r>
          </w:p>
        </w:tc>
        <w:tc>
          <w:tcPr>
            <w:tcW w:w="416" w:type="pct"/>
            <w:shd w:val="clear" w:color="auto" w:fill="auto"/>
            <w:vAlign w:val="center"/>
            <w:hideMark/>
          </w:tcPr>
          <w:p w14:paraId="17327081"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257,4</w:t>
            </w:r>
          </w:p>
        </w:tc>
        <w:tc>
          <w:tcPr>
            <w:tcW w:w="417" w:type="pct"/>
            <w:shd w:val="clear" w:color="auto" w:fill="auto"/>
            <w:vAlign w:val="center"/>
            <w:hideMark/>
          </w:tcPr>
          <w:p w14:paraId="0512B6C5"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+396,4</w:t>
            </w:r>
          </w:p>
        </w:tc>
      </w:tr>
      <w:tr w:rsidR="006F0D8B" w:rsidRPr="00DD5F1D" w14:paraId="2281640B" w14:textId="77777777" w:rsidTr="0055797F">
        <w:trPr>
          <w:trHeight w:val="20"/>
        </w:trPr>
        <w:tc>
          <w:tcPr>
            <w:tcW w:w="521" w:type="pct"/>
            <w:shd w:val="clear" w:color="auto" w:fill="auto"/>
            <w:vAlign w:val="center"/>
          </w:tcPr>
          <w:p w14:paraId="53C1D47A" w14:textId="28A3FEFB" w:rsidR="006F0D8B" w:rsidRPr="00DD5F1D" w:rsidRDefault="0055797F" w:rsidP="0055797F">
            <w:pPr>
              <w:spacing w:after="0" w:line="276"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Contribuabil 2</w:t>
            </w:r>
          </w:p>
        </w:tc>
        <w:tc>
          <w:tcPr>
            <w:tcW w:w="321" w:type="pct"/>
            <w:shd w:val="clear" w:color="auto" w:fill="auto"/>
            <w:vAlign w:val="center"/>
          </w:tcPr>
          <w:p w14:paraId="4E01390A"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8465,2</w:t>
            </w:r>
          </w:p>
        </w:tc>
        <w:tc>
          <w:tcPr>
            <w:tcW w:w="376" w:type="pct"/>
            <w:shd w:val="clear" w:color="auto" w:fill="auto"/>
            <w:vAlign w:val="center"/>
          </w:tcPr>
          <w:p w14:paraId="1FF623FB"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6476,3</w:t>
            </w:r>
          </w:p>
        </w:tc>
        <w:tc>
          <w:tcPr>
            <w:tcW w:w="425" w:type="pct"/>
            <w:shd w:val="clear" w:color="auto" w:fill="auto"/>
            <w:vAlign w:val="center"/>
          </w:tcPr>
          <w:p w14:paraId="40CF0483"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1988,9</w:t>
            </w:r>
          </w:p>
        </w:tc>
        <w:tc>
          <w:tcPr>
            <w:tcW w:w="468" w:type="pct"/>
            <w:shd w:val="clear" w:color="auto" w:fill="auto"/>
            <w:vAlign w:val="center"/>
          </w:tcPr>
          <w:p w14:paraId="60ECF57F"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1941,3</w:t>
            </w:r>
          </w:p>
        </w:tc>
        <w:tc>
          <w:tcPr>
            <w:tcW w:w="425" w:type="pct"/>
            <w:shd w:val="clear" w:color="auto" w:fill="auto"/>
            <w:vAlign w:val="center"/>
          </w:tcPr>
          <w:p w14:paraId="7D92F627"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2514,8</w:t>
            </w:r>
          </w:p>
        </w:tc>
        <w:tc>
          <w:tcPr>
            <w:tcW w:w="424" w:type="pct"/>
            <w:shd w:val="clear" w:color="auto" w:fill="auto"/>
            <w:vAlign w:val="center"/>
          </w:tcPr>
          <w:p w14:paraId="09FA4163"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410</w:t>
            </w:r>
          </w:p>
        </w:tc>
        <w:tc>
          <w:tcPr>
            <w:tcW w:w="442" w:type="pct"/>
            <w:shd w:val="clear" w:color="auto" w:fill="auto"/>
            <w:vAlign w:val="center"/>
          </w:tcPr>
          <w:p w14:paraId="60AB3952"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353" w:type="pct"/>
            <w:shd w:val="clear" w:color="auto" w:fill="auto"/>
            <w:vAlign w:val="center"/>
          </w:tcPr>
          <w:p w14:paraId="23C2EE22" w14:textId="77777777" w:rsidR="006F0D8B" w:rsidRPr="00DD5F1D" w:rsidRDefault="006F0D8B" w:rsidP="0055797F">
            <w:pPr>
              <w:spacing w:after="0" w:line="276"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12511,3</w:t>
            </w:r>
          </w:p>
        </w:tc>
        <w:tc>
          <w:tcPr>
            <w:tcW w:w="412" w:type="pct"/>
            <w:shd w:val="clear" w:color="auto" w:fill="auto"/>
            <w:vAlign w:val="center"/>
          </w:tcPr>
          <w:p w14:paraId="0836650C"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8007,6</w:t>
            </w:r>
          </w:p>
        </w:tc>
        <w:tc>
          <w:tcPr>
            <w:tcW w:w="416" w:type="pct"/>
            <w:shd w:val="clear" w:color="auto" w:fill="auto"/>
            <w:vAlign w:val="center"/>
          </w:tcPr>
          <w:p w14:paraId="29CF36E8"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4503,7</w:t>
            </w:r>
          </w:p>
        </w:tc>
        <w:tc>
          <w:tcPr>
            <w:tcW w:w="417" w:type="pct"/>
            <w:shd w:val="clear" w:color="auto" w:fill="auto"/>
            <w:vAlign w:val="center"/>
          </w:tcPr>
          <w:p w14:paraId="0D7A28F1"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+4046,1</w:t>
            </w:r>
          </w:p>
        </w:tc>
      </w:tr>
      <w:tr w:rsidR="006F0D8B" w:rsidRPr="00DD5F1D" w14:paraId="0E4935C1" w14:textId="77777777" w:rsidTr="0055797F">
        <w:trPr>
          <w:trHeight w:val="20"/>
        </w:trPr>
        <w:tc>
          <w:tcPr>
            <w:tcW w:w="521" w:type="pct"/>
            <w:shd w:val="clear" w:color="auto" w:fill="auto"/>
            <w:vAlign w:val="center"/>
            <w:hideMark/>
          </w:tcPr>
          <w:p w14:paraId="58E7C034" w14:textId="5088EEBF" w:rsidR="006F0D8B" w:rsidRPr="00DD5F1D" w:rsidRDefault="0055797F" w:rsidP="0055797F">
            <w:pPr>
              <w:spacing w:after="0" w:line="276"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Contribuabil 3</w:t>
            </w:r>
          </w:p>
        </w:tc>
        <w:tc>
          <w:tcPr>
            <w:tcW w:w="321" w:type="pct"/>
            <w:shd w:val="clear" w:color="auto" w:fill="auto"/>
            <w:vAlign w:val="center"/>
            <w:hideMark/>
          </w:tcPr>
          <w:p w14:paraId="4DC56C4C"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w:t>
            </w:r>
          </w:p>
        </w:tc>
        <w:tc>
          <w:tcPr>
            <w:tcW w:w="376" w:type="pct"/>
            <w:shd w:val="clear" w:color="auto" w:fill="auto"/>
            <w:vAlign w:val="center"/>
            <w:hideMark/>
          </w:tcPr>
          <w:p w14:paraId="29D87E8C"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425" w:type="pct"/>
            <w:shd w:val="clear" w:color="auto" w:fill="auto"/>
            <w:vAlign w:val="center"/>
            <w:hideMark/>
          </w:tcPr>
          <w:p w14:paraId="717B79A7"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468" w:type="pct"/>
            <w:shd w:val="clear" w:color="auto" w:fill="auto"/>
            <w:vAlign w:val="center"/>
            <w:hideMark/>
          </w:tcPr>
          <w:p w14:paraId="28F6EFBC"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104592,1</w:t>
            </w:r>
          </w:p>
        </w:tc>
        <w:tc>
          <w:tcPr>
            <w:tcW w:w="425" w:type="pct"/>
            <w:shd w:val="clear" w:color="auto" w:fill="auto"/>
            <w:vAlign w:val="center"/>
            <w:hideMark/>
          </w:tcPr>
          <w:p w14:paraId="2457C0B6"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1740,0</w:t>
            </w:r>
          </w:p>
        </w:tc>
        <w:tc>
          <w:tcPr>
            <w:tcW w:w="424" w:type="pct"/>
            <w:shd w:val="clear" w:color="auto" w:fill="auto"/>
            <w:vAlign w:val="center"/>
            <w:hideMark/>
          </w:tcPr>
          <w:p w14:paraId="5588CF8C"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95996,3</w:t>
            </w:r>
          </w:p>
        </w:tc>
        <w:tc>
          <w:tcPr>
            <w:tcW w:w="442" w:type="pct"/>
            <w:shd w:val="clear" w:color="auto" w:fill="auto"/>
            <w:vAlign w:val="center"/>
            <w:hideMark/>
          </w:tcPr>
          <w:p w14:paraId="7C8F07FF"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500,0</w:t>
            </w:r>
          </w:p>
        </w:tc>
        <w:tc>
          <w:tcPr>
            <w:tcW w:w="353" w:type="pct"/>
            <w:shd w:val="clear" w:color="auto" w:fill="auto"/>
            <w:vAlign w:val="center"/>
            <w:hideMark/>
          </w:tcPr>
          <w:p w14:paraId="1632AF2F" w14:textId="77777777" w:rsidR="006F0D8B" w:rsidRPr="00DD5F1D" w:rsidRDefault="006F0D8B" w:rsidP="0055797F">
            <w:pPr>
              <w:spacing w:after="0" w:line="276"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9835,8</w:t>
            </w:r>
          </w:p>
        </w:tc>
        <w:tc>
          <w:tcPr>
            <w:tcW w:w="412" w:type="pct"/>
            <w:shd w:val="clear" w:color="auto" w:fill="auto"/>
            <w:vAlign w:val="center"/>
            <w:hideMark/>
          </w:tcPr>
          <w:p w14:paraId="31776721"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8595,8</w:t>
            </w:r>
          </w:p>
        </w:tc>
        <w:tc>
          <w:tcPr>
            <w:tcW w:w="416" w:type="pct"/>
            <w:shd w:val="clear" w:color="auto" w:fill="auto"/>
            <w:vAlign w:val="center"/>
            <w:hideMark/>
          </w:tcPr>
          <w:p w14:paraId="4CBC3AA6"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1240</w:t>
            </w:r>
          </w:p>
        </w:tc>
        <w:tc>
          <w:tcPr>
            <w:tcW w:w="417" w:type="pct"/>
            <w:shd w:val="clear" w:color="auto" w:fill="auto"/>
            <w:vAlign w:val="center"/>
            <w:hideMark/>
          </w:tcPr>
          <w:p w14:paraId="6C22CE17"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+9835,8</w:t>
            </w:r>
          </w:p>
        </w:tc>
      </w:tr>
      <w:tr w:rsidR="006F0D8B" w:rsidRPr="00DD5F1D" w14:paraId="7305C1B8" w14:textId="77777777" w:rsidTr="0055797F">
        <w:trPr>
          <w:trHeight w:val="20"/>
        </w:trPr>
        <w:tc>
          <w:tcPr>
            <w:tcW w:w="521" w:type="pct"/>
            <w:shd w:val="clear" w:color="auto" w:fill="auto"/>
            <w:vAlign w:val="center"/>
            <w:hideMark/>
          </w:tcPr>
          <w:p w14:paraId="299FE815" w14:textId="51A84FED" w:rsidR="006F0D8B" w:rsidRPr="00DD5F1D" w:rsidRDefault="0055797F" w:rsidP="0055797F">
            <w:pPr>
              <w:spacing w:after="0" w:line="276"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Contribuabil 4</w:t>
            </w:r>
          </w:p>
        </w:tc>
        <w:tc>
          <w:tcPr>
            <w:tcW w:w="321" w:type="pct"/>
            <w:shd w:val="clear" w:color="auto" w:fill="auto"/>
            <w:vAlign w:val="center"/>
            <w:hideMark/>
          </w:tcPr>
          <w:p w14:paraId="76974597"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1427,2</w:t>
            </w:r>
          </w:p>
        </w:tc>
        <w:tc>
          <w:tcPr>
            <w:tcW w:w="376" w:type="pct"/>
            <w:shd w:val="clear" w:color="auto" w:fill="auto"/>
            <w:vAlign w:val="center"/>
            <w:hideMark/>
          </w:tcPr>
          <w:p w14:paraId="2455BB80"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1412,4</w:t>
            </w:r>
          </w:p>
        </w:tc>
        <w:tc>
          <w:tcPr>
            <w:tcW w:w="425" w:type="pct"/>
            <w:shd w:val="clear" w:color="auto" w:fill="auto"/>
            <w:vAlign w:val="center"/>
            <w:hideMark/>
          </w:tcPr>
          <w:p w14:paraId="0806EAE8"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14,8</w:t>
            </w:r>
          </w:p>
        </w:tc>
        <w:tc>
          <w:tcPr>
            <w:tcW w:w="468" w:type="pct"/>
            <w:shd w:val="clear" w:color="auto" w:fill="auto"/>
            <w:vAlign w:val="center"/>
            <w:hideMark/>
          </w:tcPr>
          <w:p w14:paraId="0C6E6BC0"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9975,4</w:t>
            </w:r>
          </w:p>
        </w:tc>
        <w:tc>
          <w:tcPr>
            <w:tcW w:w="425" w:type="pct"/>
            <w:shd w:val="clear" w:color="auto" w:fill="auto"/>
            <w:vAlign w:val="center"/>
            <w:hideMark/>
          </w:tcPr>
          <w:p w14:paraId="03285156"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1598,3</w:t>
            </w:r>
          </w:p>
        </w:tc>
        <w:tc>
          <w:tcPr>
            <w:tcW w:w="424" w:type="pct"/>
            <w:shd w:val="clear" w:color="auto" w:fill="auto"/>
            <w:vAlign w:val="center"/>
            <w:hideMark/>
          </w:tcPr>
          <w:p w14:paraId="3CC506A4"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3845,3</w:t>
            </w:r>
          </w:p>
        </w:tc>
        <w:tc>
          <w:tcPr>
            <w:tcW w:w="442" w:type="pct"/>
            <w:shd w:val="clear" w:color="auto" w:fill="auto"/>
            <w:vAlign w:val="center"/>
            <w:hideMark/>
          </w:tcPr>
          <w:p w14:paraId="6D9C9679"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51,6</w:t>
            </w:r>
          </w:p>
        </w:tc>
        <w:tc>
          <w:tcPr>
            <w:tcW w:w="353" w:type="pct"/>
            <w:shd w:val="clear" w:color="auto" w:fill="auto"/>
            <w:vAlign w:val="center"/>
            <w:hideMark/>
          </w:tcPr>
          <w:p w14:paraId="2B458915" w14:textId="77777777" w:rsidR="006F0D8B" w:rsidRPr="00DD5F1D" w:rsidRDefault="006F0D8B" w:rsidP="0055797F">
            <w:pPr>
              <w:spacing w:after="0" w:line="276"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9104,0</w:t>
            </w:r>
          </w:p>
        </w:tc>
        <w:tc>
          <w:tcPr>
            <w:tcW w:w="412" w:type="pct"/>
            <w:shd w:val="clear" w:color="auto" w:fill="auto"/>
            <w:vAlign w:val="center"/>
            <w:hideMark/>
          </w:tcPr>
          <w:p w14:paraId="25A8BE7A"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7542,5</w:t>
            </w:r>
          </w:p>
        </w:tc>
        <w:tc>
          <w:tcPr>
            <w:tcW w:w="416" w:type="pct"/>
            <w:shd w:val="clear" w:color="auto" w:fill="auto"/>
            <w:vAlign w:val="center"/>
            <w:hideMark/>
          </w:tcPr>
          <w:p w14:paraId="55A00B9C"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1561,5</w:t>
            </w:r>
          </w:p>
        </w:tc>
        <w:tc>
          <w:tcPr>
            <w:tcW w:w="417" w:type="pct"/>
            <w:shd w:val="clear" w:color="auto" w:fill="auto"/>
            <w:vAlign w:val="center"/>
            <w:hideMark/>
          </w:tcPr>
          <w:p w14:paraId="77EA4FD6"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+7676,8</w:t>
            </w:r>
          </w:p>
        </w:tc>
      </w:tr>
      <w:tr w:rsidR="006F0D8B" w:rsidRPr="00DD5F1D" w14:paraId="4B305FFC" w14:textId="77777777" w:rsidTr="0055797F">
        <w:trPr>
          <w:trHeight w:val="20"/>
        </w:trPr>
        <w:tc>
          <w:tcPr>
            <w:tcW w:w="521" w:type="pct"/>
            <w:shd w:val="clear" w:color="auto" w:fill="auto"/>
            <w:vAlign w:val="center"/>
            <w:hideMark/>
          </w:tcPr>
          <w:p w14:paraId="3EE5AF26" w14:textId="4FA5A674" w:rsidR="006F0D8B" w:rsidRPr="00DD5F1D" w:rsidRDefault="0055797F" w:rsidP="0055797F">
            <w:pPr>
              <w:spacing w:after="0" w:line="276"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Contribuabil 5</w:t>
            </w:r>
          </w:p>
        </w:tc>
        <w:tc>
          <w:tcPr>
            <w:tcW w:w="321" w:type="pct"/>
            <w:shd w:val="clear" w:color="auto" w:fill="auto"/>
            <w:vAlign w:val="center"/>
            <w:hideMark/>
          </w:tcPr>
          <w:p w14:paraId="0C7D0FA9" w14:textId="77777777" w:rsidR="006F0D8B" w:rsidRPr="00DD5F1D" w:rsidRDefault="006F0D8B" w:rsidP="0055797F">
            <w:pPr>
              <w:spacing w:after="0" w:line="276"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5465,5</w:t>
            </w:r>
          </w:p>
        </w:tc>
        <w:tc>
          <w:tcPr>
            <w:tcW w:w="376" w:type="pct"/>
            <w:shd w:val="clear" w:color="auto" w:fill="auto"/>
            <w:vAlign w:val="center"/>
            <w:hideMark/>
          </w:tcPr>
          <w:p w14:paraId="34CE8B7B"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3233,9</w:t>
            </w:r>
          </w:p>
        </w:tc>
        <w:tc>
          <w:tcPr>
            <w:tcW w:w="425" w:type="pct"/>
            <w:shd w:val="clear" w:color="auto" w:fill="auto"/>
            <w:vAlign w:val="center"/>
            <w:hideMark/>
          </w:tcPr>
          <w:p w14:paraId="72C9B34A"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2231,6</w:t>
            </w:r>
          </w:p>
        </w:tc>
        <w:tc>
          <w:tcPr>
            <w:tcW w:w="468" w:type="pct"/>
            <w:shd w:val="clear" w:color="auto" w:fill="auto"/>
            <w:vAlign w:val="center"/>
            <w:hideMark/>
          </w:tcPr>
          <w:p w14:paraId="3EF01445"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1909,5</w:t>
            </w:r>
          </w:p>
        </w:tc>
        <w:tc>
          <w:tcPr>
            <w:tcW w:w="425" w:type="pct"/>
            <w:shd w:val="clear" w:color="auto" w:fill="auto"/>
            <w:vAlign w:val="center"/>
            <w:hideMark/>
          </w:tcPr>
          <w:p w14:paraId="1B46749C"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1549,8</w:t>
            </w:r>
          </w:p>
        </w:tc>
        <w:tc>
          <w:tcPr>
            <w:tcW w:w="424" w:type="pct"/>
            <w:shd w:val="clear" w:color="auto" w:fill="auto"/>
            <w:vAlign w:val="center"/>
            <w:hideMark/>
          </w:tcPr>
          <w:p w14:paraId="78F43A78"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442" w:type="pct"/>
            <w:shd w:val="clear" w:color="auto" w:fill="auto"/>
            <w:vAlign w:val="center"/>
            <w:hideMark/>
          </w:tcPr>
          <w:p w14:paraId="4C73F778"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353" w:type="pct"/>
            <w:shd w:val="clear" w:color="auto" w:fill="auto"/>
            <w:vAlign w:val="center"/>
            <w:hideMark/>
          </w:tcPr>
          <w:p w14:paraId="17E98366" w14:textId="77777777" w:rsidR="006F0D8B" w:rsidRPr="00DD5F1D" w:rsidRDefault="006F0D8B" w:rsidP="0055797F">
            <w:pPr>
              <w:spacing w:after="0" w:line="276"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8924,8</w:t>
            </w:r>
          </w:p>
        </w:tc>
        <w:tc>
          <w:tcPr>
            <w:tcW w:w="412" w:type="pct"/>
            <w:shd w:val="clear" w:color="auto" w:fill="auto"/>
            <w:vAlign w:val="center"/>
            <w:hideMark/>
          </w:tcPr>
          <w:p w14:paraId="74629A7F"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5143,4</w:t>
            </w:r>
          </w:p>
        </w:tc>
        <w:tc>
          <w:tcPr>
            <w:tcW w:w="416" w:type="pct"/>
            <w:shd w:val="clear" w:color="auto" w:fill="auto"/>
            <w:vAlign w:val="center"/>
            <w:hideMark/>
          </w:tcPr>
          <w:p w14:paraId="05CDEE0E"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3781,4</w:t>
            </w:r>
          </w:p>
        </w:tc>
        <w:tc>
          <w:tcPr>
            <w:tcW w:w="417" w:type="pct"/>
            <w:shd w:val="clear" w:color="auto" w:fill="auto"/>
            <w:vAlign w:val="center"/>
            <w:hideMark/>
          </w:tcPr>
          <w:p w14:paraId="48324290" w14:textId="77777777" w:rsidR="006F0D8B" w:rsidRPr="00DD5F1D" w:rsidRDefault="006F0D8B" w:rsidP="0055797F">
            <w:pPr>
              <w:spacing w:after="0" w:line="276" w:lineRule="auto"/>
              <w:jc w:val="center"/>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+3459,3</w:t>
            </w:r>
          </w:p>
        </w:tc>
      </w:tr>
    </w:tbl>
    <w:p w14:paraId="19DF1FF0" w14:textId="4A7C8E10" w:rsidR="006F0D8B" w:rsidRPr="00DD5F1D" w:rsidRDefault="006F0D8B" w:rsidP="006F0D8B">
      <w:pPr>
        <w:spacing w:line="276" w:lineRule="auto"/>
        <w:rPr>
          <w:rFonts w:ascii="Times New Roman" w:hAnsi="Times New Roman" w:cs="Times New Roman"/>
          <w:i/>
          <w:sz w:val="20"/>
          <w:szCs w:val="24"/>
          <w:lang w:val="ro-MD"/>
        </w:rPr>
      </w:pPr>
      <w:r w:rsidRPr="00DD5F1D">
        <w:rPr>
          <w:rFonts w:ascii="Times New Roman" w:hAnsi="Times New Roman" w:cs="Times New Roman"/>
          <w:b/>
          <w:i/>
          <w:sz w:val="20"/>
          <w:szCs w:val="24"/>
          <w:lang w:val="ro-MD"/>
        </w:rPr>
        <w:t>Sursa</w:t>
      </w:r>
      <w:r w:rsidRPr="00DD5F1D">
        <w:rPr>
          <w:rFonts w:ascii="Times New Roman" w:hAnsi="Times New Roman" w:cs="Times New Roman"/>
          <w:i/>
          <w:sz w:val="20"/>
          <w:szCs w:val="24"/>
          <w:lang w:val="ro-MD"/>
        </w:rPr>
        <w:t xml:space="preserve">: Întocmit de audit în baza informației extrase din SI </w:t>
      </w:r>
      <w:r w:rsidR="0020086B" w:rsidRPr="00DD5F1D">
        <w:rPr>
          <w:rFonts w:ascii="Times New Roman" w:hAnsi="Times New Roman" w:cs="Times New Roman"/>
          <w:i/>
          <w:sz w:val="20"/>
          <w:szCs w:val="24"/>
          <w:lang w:val="ro-MD"/>
        </w:rPr>
        <w:t>„</w:t>
      </w:r>
      <w:r w:rsidRPr="00DD5F1D">
        <w:rPr>
          <w:rFonts w:ascii="Times New Roman" w:hAnsi="Times New Roman" w:cs="Times New Roman"/>
          <w:i/>
          <w:sz w:val="20"/>
          <w:szCs w:val="24"/>
          <w:lang w:val="ro-MD"/>
        </w:rPr>
        <w:t>Protecția Socială” contul curent al plătitorului la BASS</w:t>
      </w:r>
      <w:r w:rsidR="0020086B" w:rsidRPr="00DD5F1D">
        <w:rPr>
          <w:rFonts w:ascii="Times New Roman" w:hAnsi="Times New Roman" w:cs="Times New Roman"/>
          <w:i/>
          <w:sz w:val="20"/>
          <w:szCs w:val="24"/>
          <w:lang w:val="ro-MD"/>
        </w:rPr>
        <w:t>.</w:t>
      </w:r>
    </w:p>
    <w:p w14:paraId="49EB1072" w14:textId="77777777" w:rsidR="00CF4DFD" w:rsidRPr="00DD5F1D" w:rsidRDefault="00CF4DFD" w:rsidP="00C0495B">
      <w:pPr>
        <w:pStyle w:val="2"/>
        <w:jc w:val="right"/>
        <w:rPr>
          <w:rFonts w:ascii="Times New Roman" w:hAnsi="Times New Roman" w:cs="Times New Roman"/>
          <w:b/>
          <w:color w:val="000000" w:themeColor="text1"/>
          <w:sz w:val="24"/>
          <w:szCs w:val="24"/>
          <w:lang w:val="ro-MD"/>
        </w:rPr>
      </w:pPr>
      <w:r w:rsidRPr="00DD5F1D">
        <w:rPr>
          <w:rFonts w:ascii="Times New Roman" w:hAnsi="Times New Roman" w:cs="Times New Roman"/>
          <w:b/>
          <w:color w:val="000000" w:themeColor="text1"/>
          <w:sz w:val="24"/>
          <w:szCs w:val="24"/>
          <w:lang w:val="ro-MD"/>
        </w:rPr>
        <w:br w:type="page"/>
      </w:r>
    </w:p>
    <w:p w14:paraId="1FD9086A" w14:textId="60C03CD8" w:rsidR="000C0BA9" w:rsidRPr="00DD5F1D" w:rsidRDefault="000C0BA9" w:rsidP="00C0495B">
      <w:pPr>
        <w:pStyle w:val="2"/>
        <w:jc w:val="right"/>
        <w:rPr>
          <w:rFonts w:ascii="Times New Roman" w:hAnsi="Times New Roman" w:cs="Times New Roman"/>
          <w:b/>
          <w:color w:val="000000" w:themeColor="text1"/>
          <w:sz w:val="24"/>
          <w:szCs w:val="24"/>
          <w:lang w:val="ro-MD"/>
        </w:rPr>
      </w:pPr>
      <w:r w:rsidRPr="00DD5F1D">
        <w:rPr>
          <w:rFonts w:ascii="Times New Roman" w:hAnsi="Times New Roman" w:cs="Times New Roman"/>
          <w:b/>
          <w:color w:val="000000" w:themeColor="text1"/>
          <w:sz w:val="24"/>
          <w:szCs w:val="24"/>
          <w:lang w:val="ro-MD"/>
        </w:rPr>
        <w:t>Anexa nr. 1</w:t>
      </w:r>
      <w:r w:rsidR="000E2AC7" w:rsidRPr="00DD5F1D">
        <w:rPr>
          <w:rFonts w:ascii="Times New Roman" w:hAnsi="Times New Roman" w:cs="Times New Roman"/>
          <w:b/>
          <w:color w:val="000000" w:themeColor="text1"/>
          <w:sz w:val="24"/>
          <w:szCs w:val="24"/>
          <w:lang w:val="ro-MD"/>
        </w:rPr>
        <w:t>4</w:t>
      </w:r>
    </w:p>
    <w:p w14:paraId="5C957542" w14:textId="0ED013B9" w:rsidR="004C7BE8" w:rsidRPr="00DD5F1D" w:rsidRDefault="004C7BE8" w:rsidP="004C7BE8">
      <w:pPr>
        <w:jc w:val="center"/>
        <w:rPr>
          <w:rFonts w:ascii="Times New Roman" w:hAnsi="Times New Roman" w:cs="Times New Roman"/>
          <w:b/>
          <w:sz w:val="24"/>
          <w:lang w:val="ro-MD"/>
        </w:rPr>
      </w:pPr>
      <w:r w:rsidRPr="00DD5F1D">
        <w:rPr>
          <w:rFonts w:ascii="Times New Roman" w:hAnsi="Times New Roman" w:cs="Times New Roman"/>
          <w:b/>
          <w:sz w:val="24"/>
          <w:lang w:val="ro-MD"/>
        </w:rPr>
        <w:t>Date privi</w:t>
      </w:r>
      <w:r w:rsidR="00855249" w:rsidRPr="00DD5F1D">
        <w:rPr>
          <w:rFonts w:ascii="Times New Roman" w:hAnsi="Times New Roman" w:cs="Times New Roman"/>
          <w:b/>
          <w:sz w:val="24"/>
          <w:lang w:val="ro-MD"/>
        </w:rPr>
        <w:t xml:space="preserve">nd agenții economici insolvenți, </w:t>
      </w:r>
      <w:r w:rsidRPr="00DD5F1D">
        <w:rPr>
          <w:rFonts w:ascii="Times New Roman" w:hAnsi="Times New Roman" w:cs="Times New Roman"/>
          <w:b/>
          <w:sz w:val="24"/>
          <w:lang w:val="ro-MD"/>
        </w:rPr>
        <w:t>mas</w:t>
      </w:r>
      <w:r w:rsidR="00855249" w:rsidRPr="00DD5F1D">
        <w:rPr>
          <w:rFonts w:ascii="Times New Roman" w:hAnsi="Times New Roman" w:cs="Times New Roman"/>
          <w:b/>
          <w:sz w:val="24"/>
          <w:lang w:val="ro-MD"/>
        </w:rPr>
        <w:t>a</w:t>
      </w:r>
      <w:r w:rsidRPr="00DD5F1D">
        <w:rPr>
          <w:rFonts w:ascii="Times New Roman" w:hAnsi="Times New Roman" w:cs="Times New Roman"/>
          <w:b/>
          <w:sz w:val="24"/>
          <w:lang w:val="ro-MD"/>
        </w:rPr>
        <w:t xml:space="preserve"> debitoare și creanțele la BASS a</w:t>
      </w:r>
      <w:r w:rsidR="00855249" w:rsidRPr="00DD5F1D">
        <w:rPr>
          <w:rFonts w:ascii="Times New Roman" w:hAnsi="Times New Roman" w:cs="Times New Roman"/>
          <w:b/>
          <w:sz w:val="24"/>
          <w:lang w:val="ro-MD"/>
        </w:rPr>
        <w:t>le</w:t>
      </w:r>
      <w:r w:rsidRPr="00DD5F1D">
        <w:rPr>
          <w:rFonts w:ascii="Times New Roman" w:hAnsi="Times New Roman" w:cs="Times New Roman"/>
          <w:b/>
          <w:sz w:val="24"/>
          <w:lang w:val="ro-MD"/>
        </w:rPr>
        <w:t xml:space="preserve"> acestora</w:t>
      </w:r>
    </w:p>
    <w:tbl>
      <w:tblPr>
        <w:tblW w:w="5000" w:type="pct"/>
        <w:tblLook w:val="04A0" w:firstRow="1" w:lastRow="0" w:firstColumn="1" w:lastColumn="0" w:noHBand="0" w:noVBand="1"/>
      </w:tblPr>
      <w:tblGrid>
        <w:gridCol w:w="488"/>
        <w:gridCol w:w="5604"/>
        <w:gridCol w:w="1276"/>
        <w:gridCol w:w="1271"/>
        <w:gridCol w:w="1271"/>
        <w:gridCol w:w="1271"/>
        <w:gridCol w:w="1187"/>
        <w:gridCol w:w="1182"/>
      </w:tblGrid>
      <w:tr w:rsidR="004C7BE8" w:rsidRPr="00DD5F1D" w14:paraId="10D6847A" w14:textId="77777777" w:rsidTr="00100079">
        <w:trPr>
          <w:trHeight w:val="6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04CFA"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Nr d/o</w:t>
            </w:r>
          </w:p>
        </w:tc>
        <w:tc>
          <w:tcPr>
            <w:tcW w:w="20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5F128"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Denumire agent economic</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15963"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Valoarea totală a creanțelor creditorilor acceptate de instanță la prima ședință</w:t>
            </w:r>
            <w:r w:rsidRPr="00DD5F1D">
              <w:rPr>
                <w:rStyle w:val="a5"/>
                <w:rFonts w:ascii="Times New Roman" w:eastAsia="Times New Roman" w:hAnsi="Times New Roman" w:cs="Times New Roman"/>
                <w:b/>
                <w:bCs/>
                <w:color w:val="000000"/>
                <w:sz w:val="16"/>
                <w:szCs w:val="16"/>
                <w:lang w:val="ro-MD"/>
              </w:rPr>
              <w:footnoteReference w:id="164"/>
            </w:r>
            <w:r w:rsidRPr="00DD5F1D">
              <w:rPr>
                <w:rFonts w:ascii="Times New Roman" w:eastAsia="Times New Roman" w:hAnsi="Times New Roman" w:cs="Times New Roman"/>
                <w:b/>
                <w:bCs/>
                <w:color w:val="000000"/>
                <w:sz w:val="16"/>
                <w:szCs w:val="16"/>
                <w:lang w:val="ro-MD"/>
              </w:rPr>
              <w:t>, mii lei</w:t>
            </w:r>
          </w:p>
        </w:tc>
        <w:tc>
          <w:tcPr>
            <w:tcW w:w="469" w:type="pct"/>
            <w:tcBorders>
              <w:top w:val="single" w:sz="4" w:space="0" w:color="auto"/>
              <w:left w:val="single" w:sz="4" w:space="0" w:color="auto"/>
              <w:right w:val="single" w:sz="4" w:space="0" w:color="auto"/>
            </w:tcBorders>
            <w:vAlign w:val="center"/>
          </w:tcPr>
          <w:p w14:paraId="289ED3E1"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 xml:space="preserve">Total creanțe la BPN (BS, BASS, FAOAM), </w:t>
            </w:r>
          </w:p>
          <w:p w14:paraId="703318F4"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mii lei</w:t>
            </w:r>
          </w:p>
        </w:tc>
        <w:tc>
          <w:tcPr>
            <w:tcW w:w="469" w:type="pct"/>
            <w:tcBorders>
              <w:top w:val="single" w:sz="4" w:space="0" w:color="auto"/>
              <w:left w:val="single" w:sz="4" w:space="0" w:color="auto"/>
              <w:bottom w:val="single" w:sz="4" w:space="0" w:color="auto"/>
              <w:right w:val="single" w:sz="4" w:space="0" w:color="auto"/>
            </w:tcBorders>
            <w:vAlign w:val="center"/>
          </w:tcPr>
          <w:p w14:paraId="73514E03"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Ponderea creanțelor BPN în total creanțe ale creditorilor,</w:t>
            </w:r>
          </w:p>
          <w:p w14:paraId="112AAF38"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0C100"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 xml:space="preserve">Suma masei debitoare acceptate, </w:t>
            </w:r>
          </w:p>
          <w:p w14:paraId="2548E5AF"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mii lei</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02564"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 xml:space="preserve">Total creanțe BASS la 31.12.2023, </w:t>
            </w:r>
          </w:p>
          <w:p w14:paraId="32C75DB9"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mii lei</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3475E"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 xml:space="preserve">Total achitări către BASS în 2023, </w:t>
            </w:r>
          </w:p>
          <w:p w14:paraId="6CB5ADB9" w14:textId="77777777" w:rsidR="004C7BE8" w:rsidRPr="00DD5F1D" w:rsidRDefault="004C7BE8" w:rsidP="00100079">
            <w:pPr>
              <w:spacing w:after="0" w:line="240" w:lineRule="auto"/>
              <w:jc w:val="center"/>
              <w:rPr>
                <w:rFonts w:ascii="Times New Roman" w:eastAsia="Times New Roman" w:hAnsi="Times New Roman" w:cs="Times New Roman"/>
                <w:b/>
                <w:bCs/>
                <w:color w:val="000000"/>
                <w:sz w:val="16"/>
                <w:szCs w:val="16"/>
                <w:lang w:val="ro-MD"/>
              </w:rPr>
            </w:pPr>
            <w:r w:rsidRPr="00DD5F1D">
              <w:rPr>
                <w:rFonts w:ascii="Times New Roman" w:eastAsia="Times New Roman" w:hAnsi="Times New Roman" w:cs="Times New Roman"/>
                <w:b/>
                <w:bCs/>
                <w:color w:val="000000"/>
                <w:sz w:val="16"/>
                <w:szCs w:val="16"/>
                <w:lang w:val="ro-MD"/>
              </w:rPr>
              <w:t>mii lei</w:t>
            </w:r>
          </w:p>
        </w:tc>
      </w:tr>
      <w:tr w:rsidR="004C7BE8" w:rsidRPr="00DD5F1D" w14:paraId="60012E0E" w14:textId="77777777" w:rsidTr="00100079">
        <w:trPr>
          <w:trHeight w:val="58"/>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4EFF3"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1</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14:paraId="2295F686"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Colegiul MONDOSTUD-ART</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6E1F43D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588 020,5</w:t>
            </w:r>
          </w:p>
        </w:tc>
        <w:tc>
          <w:tcPr>
            <w:tcW w:w="469" w:type="pct"/>
            <w:tcBorders>
              <w:top w:val="single" w:sz="4" w:space="0" w:color="auto"/>
              <w:left w:val="nil"/>
              <w:bottom w:val="single" w:sz="4" w:space="0" w:color="auto"/>
              <w:right w:val="single" w:sz="4" w:space="0" w:color="auto"/>
            </w:tcBorders>
          </w:tcPr>
          <w:p w14:paraId="4079EAFE"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45 718, 2</w:t>
            </w:r>
          </w:p>
        </w:tc>
        <w:tc>
          <w:tcPr>
            <w:tcW w:w="469" w:type="pct"/>
            <w:tcBorders>
              <w:top w:val="single" w:sz="4" w:space="0" w:color="auto"/>
              <w:left w:val="single" w:sz="4" w:space="0" w:color="auto"/>
              <w:bottom w:val="single" w:sz="4" w:space="0" w:color="auto"/>
              <w:right w:val="single" w:sz="4" w:space="0" w:color="auto"/>
            </w:tcBorders>
            <w:vAlign w:val="center"/>
          </w:tcPr>
          <w:p w14:paraId="2038D72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7.8</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A20A6B"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r w:rsidRPr="00DD5F1D">
              <w:rPr>
                <w:rStyle w:val="a5"/>
                <w:rFonts w:ascii="Times New Roman" w:eastAsia="Times New Roman" w:hAnsi="Times New Roman" w:cs="Times New Roman"/>
                <w:sz w:val="16"/>
                <w:szCs w:val="16"/>
                <w:lang w:val="ro-MD"/>
              </w:rPr>
              <w:footnoteReference w:id="165"/>
            </w:r>
            <w:r w:rsidRPr="00DD5F1D">
              <w:rPr>
                <w:rFonts w:ascii="Times New Roman" w:eastAsia="Times New Roman" w:hAnsi="Times New Roman" w:cs="Times New Roman"/>
                <w:sz w:val="16"/>
                <w:szCs w:val="16"/>
                <w:lang w:val="ro-MD"/>
              </w:rPr>
              <w:t> </w:t>
            </w:r>
          </w:p>
        </w:tc>
        <w:tc>
          <w:tcPr>
            <w:tcW w:w="438" w:type="pct"/>
            <w:tcBorders>
              <w:top w:val="nil"/>
              <w:left w:val="nil"/>
              <w:bottom w:val="single" w:sz="4" w:space="0" w:color="auto"/>
              <w:right w:val="single" w:sz="4" w:space="0" w:color="auto"/>
            </w:tcBorders>
            <w:shd w:val="clear" w:color="auto" w:fill="auto"/>
            <w:vAlign w:val="center"/>
            <w:hideMark/>
          </w:tcPr>
          <w:p w14:paraId="4676874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20 887,6</w:t>
            </w:r>
          </w:p>
        </w:tc>
        <w:tc>
          <w:tcPr>
            <w:tcW w:w="436" w:type="pct"/>
            <w:tcBorders>
              <w:top w:val="nil"/>
              <w:left w:val="nil"/>
              <w:bottom w:val="single" w:sz="4" w:space="0" w:color="auto"/>
              <w:right w:val="single" w:sz="4" w:space="0" w:color="auto"/>
            </w:tcBorders>
            <w:shd w:val="clear" w:color="auto" w:fill="auto"/>
            <w:vAlign w:val="center"/>
            <w:hideMark/>
          </w:tcPr>
          <w:p w14:paraId="4C2FC764"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0,00 </w:t>
            </w:r>
          </w:p>
        </w:tc>
      </w:tr>
      <w:tr w:rsidR="004C7BE8" w:rsidRPr="00DD5F1D" w14:paraId="32237085" w14:textId="77777777" w:rsidTr="00100079">
        <w:trPr>
          <w:trHeight w:val="215"/>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2850AA0D"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2</w:t>
            </w:r>
          </w:p>
        </w:tc>
        <w:tc>
          <w:tcPr>
            <w:tcW w:w="2068" w:type="pct"/>
            <w:tcBorders>
              <w:top w:val="nil"/>
              <w:left w:val="nil"/>
              <w:bottom w:val="single" w:sz="4" w:space="0" w:color="auto"/>
              <w:right w:val="single" w:sz="4" w:space="0" w:color="auto"/>
            </w:tcBorders>
            <w:shd w:val="clear" w:color="auto" w:fill="auto"/>
            <w:vAlign w:val="center"/>
            <w:hideMark/>
          </w:tcPr>
          <w:p w14:paraId="39987BD5" w14:textId="3C579581" w:rsidR="004C7BE8" w:rsidRPr="00DD5F1D" w:rsidRDefault="004A5327" w:rsidP="004A5327">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Colegiul National de Viticultură și</w:t>
            </w:r>
            <w:r w:rsidR="004C7BE8" w:rsidRPr="00DD5F1D">
              <w:rPr>
                <w:rFonts w:ascii="Times New Roman" w:eastAsia="Times New Roman" w:hAnsi="Times New Roman" w:cs="Times New Roman"/>
                <w:color w:val="000000"/>
                <w:sz w:val="16"/>
                <w:szCs w:val="16"/>
                <w:lang w:val="ro-MD"/>
              </w:rPr>
              <w:t xml:space="preserve"> Vinificație din Chișinău</w:t>
            </w:r>
          </w:p>
        </w:tc>
        <w:tc>
          <w:tcPr>
            <w:tcW w:w="471" w:type="pct"/>
            <w:tcBorders>
              <w:top w:val="nil"/>
              <w:left w:val="nil"/>
              <w:bottom w:val="single" w:sz="4" w:space="0" w:color="auto"/>
              <w:right w:val="single" w:sz="4" w:space="0" w:color="auto"/>
            </w:tcBorders>
            <w:shd w:val="clear" w:color="auto" w:fill="auto"/>
            <w:vAlign w:val="center"/>
            <w:hideMark/>
          </w:tcPr>
          <w:p w14:paraId="29D35C51"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98 530,2</w:t>
            </w:r>
          </w:p>
        </w:tc>
        <w:tc>
          <w:tcPr>
            <w:tcW w:w="469" w:type="pct"/>
            <w:tcBorders>
              <w:top w:val="nil"/>
              <w:left w:val="nil"/>
              <w:bottom w:val="single" w:sz="4" w:space="0" w:color="auto"/>
              <w:right w:val="single" w:sz="4" w:space="0" w:color="auto"/>
            </w:tcBorders>
          </w:tcPr>
          <w:p w14:paraId="2C89634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101 858,2</w:t>
            </w:r>
          </w:p>
        </w:tc>
        <w:tc>
          <w:tcPr>
            <w:tcW w:w="469" w:type="pct"/>
            <w:tcBorders>
              <w:top w:val="single" w:sz="4" w:space="0" w:color="auto"/>
              <w:left w:val="single" w:sz="4" w:space="0" w:color="auto"/>
              <w:bottom w:val="single" w:sz="4" w:space="0" w:color="auto"/>
              <w:right w:val="single" w:sz="4" w:space="0" w:color="auto"/>
            </w:tcBorders>
            <w:vAlign w:val="center"/>
          </w:tcPr>
          <w:p w14:paraId="2DB231B9"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103.4</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2A500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r w:rsidRPr="00DD5F1D">
              <w:rPr>
                <w:rStyle w:val="a5"/>
                <w:rFonts w:ascii="Times New Roman" w:eastAsia="Times New Roman" w:hAnsi="Times New Roman" w:cs="Times New Roman"/>
                <w:sz w:val="16"/>
                <w:szCs w:val="16"/>
                <w:lang w:val="ro-MD"/>
              </w:rPr>
              <w:footnoteReference w:id="166"/>
            </w:r>
          </w:p>
        </w:tc>
        <w:tc>
          <w:tcPr>
            <w:tcW w:w="438" w:type="pct"/>
            <w:tcBorders>
              <w:top w:val="nil"/>
              <w:left w:val="nil"/>
              <w:bottom w:val="single" w:sz="4" w:space="0" w:color="auto"/>
              <w:right w:val="single" w:sz="4" w:space="0" w:color="auto"/>
            </w:tcBorders>
            <w:shd w:val="clear" w:color="auto" w:fill="auto"/>
            <w:vAlign w:val="center"/>
            <w:hideMark/>
          </w:tcPr>
          <w:p w14:paraId="7A4C59B4"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49 614,4</w:t>
            </w:r>
          </w:p>
        </w:tc>
        <w:tc>
          <w:tcPr>
            <w:tcW w:w="436" w:type="pct"/>
            <w:tcBorders>
              <w:top w:val="nil"/>
              <w:left w:val="nil"/>
              <w:bottom w:val="single" w:sz="4" w:space="0" w:color="auto"/>
              <w:right w:val="single" w:sz="4" w:space="0" w:color="auto"/>
            </w:tcBorders>
            <w:shd w:val="clear" w:color="auto" w:fill="auto"/>
            <w:vAlign w:val="center"/>
            <w:hideMark/>
          </w:tcPr>
          <w:p w14:paraId="5E1A4DB1"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129,3</w:t>
            </w:r>
          </w:p>
        </w:tc>
      </w:tr>
      <w:tr w:rsidR="004C7BE8" w:rsidRPr="00DD5F1D" w14:paraId="14540FFE" w14:textId="77777777" w:rsidTr="00100079">
        <w:trPr>
          <w:trHeight w:val="107"/>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14A06367"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3</w:t>
            </w:r>
          </w:p>
        </w:tc>
        <w:tc>
          <w:tcPr>
            <w:tcW w:w="2068" w:type="pct"/>
            <w:tcBorders>
              <w:top w:val="nil"/>
              <w:left w:val="nil"/>
              <w:bottom w:val="single" w:sz="4" w:space="0" w:color="auto"/>
              <w:right w:val="single" w:sz="4" w:space="0" w:color="auto"/>
            </w:tcBorders>
            <w:shd w:val="clear" w:color="auto" w:fill="auto"/>
            <w:vAlign w:val="center"/>
            <w:hideMark/>
          </w:tcPr>
          <w:p w14:paraId="68122C06"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MOLDOVAHIDROMAS SA</w:t>
            </w:r>
          </w:p>
        </w:tc>
        <w:tc>
          <w:tcPr>
            <w:tcW w:w="471" w:type="pct"/>
            <w:tcBorders>
              <w:top w:val="nil"/>
              <w:left w:val="nil"/>
              <w:bottom w:val="single" w:sz="4" w:space="0" w:color="auto"/>
              <w:right w:val="single" w:sz="4" w:space="0" w:color="auto"/>
            </w:tcBorders>
            <w:shd w:val="clear" w:color="auto" w:fill="auto"/>
            <w:vAlign w:val="center"/>
          </w:tcPr>
          <w:p w14:paraId="1C2FD89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nil"/>
              <w:bottom w:val="single" w:sz="4" w:space="0" w:color="auto"/>
              <w:right w:val="single" w:sz="4" w:space="0" w:color="auto"/>
            </w:tcBorders>
          </w:tcPr>
          <w:p w14:paraId="72940C3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20 537,7</w:t>
            </w:r>
          </w:p>
        </w:tc>
        <w:tc>
          <w:tcPr>
            <w:tcW w:w="469" w:type="pct"/>
            <w:tcBorders>
              <w:top w:val="single" w:sz="4" w:space="0" w:color="auto"/>
              <w:left w:val="single" w:sz="4" w:space="0" w:color="auto"/>
              <w:bottom w:val="single" w:sz="4" w:space="0" w:color="auto"/>
              <w:right w:val="single" w:sz="4" w:space="0" w:color="auto"/>
            </w:tcBorders>
            <w:vAlign w:val="center"/>
          </w:tcPr>
          <w:p w14:paraId="34A57625"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B22D1A"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r w:rsidRPr="00DD5F1D">
              <w:rPr>
                <w:rFonts w:ascii="Times New Roman" w:eastAsia="Times New Roman" w:hAnsi="Times New Roman" w:cs="Times New Roman"/>
                <w:sz w:val="16"/>
                <w:szCs w:val="16"/>
                <w:vertAlign w:val="superscript"/>
                <w:lang w:val="ro-MD"/>
              </w:rPr>
              <w:t>*</w:t>
            </w:r>
          </w:p>
        </w:tc>
        <w:tc>
          <w:tcPr>
            <w:tcW w:w="438" w:type="pct"/>
            <w:tcBorders>
              <w:top w:val="nil"/>
              <w:left w:val="nil"/>
              <w:bottom w:val="single" w:sz="4" w:space="0" w:color="auto"/>
              <w:right w:val="single" w:sz="4" w:space="0" w:color="auto"/>
            </w:tcBorders>
            <w:shd w:val="clear" w:color="auto" w:fill="auto"/>
            <w:vAlign w:val="center"/>
            <w:hideMark/>
          </w:tcPr>
          <w:p w14:paraId="3079191C"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20 107,6</w:t>
            </w:r>
          </w:p>
        </w:tc>
        <w:tc>
          <w:tcPr>
            <w:tcW w:w="436" w:type="pct"/>
            <w:tcBorders>
              <w:top w:val="nil"/>
              <w:left w:val="nil"/>
              <w:bottom w:val="single" w:sz="4" w:space="0" w:color="auto"/>
              <w:right w:val="single" w:sz="4" w:space="0" w:color="auto"/>
            </w:tcBorders>
            <w:shd w:val="clear" w:color="auto" w:fill="auto"/>
            <w:vAlign w:val="center"/>
            <w:hideMark/>
          </w:tcPr>
          <w:p w14:paraId="30C518C5"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1 280,8</w:t>
            </w:r>
          </w:p>
        </w:tc>
      </w:tr>
      <w:tr w:rsidR="004C7BE8" w:rsidRPr="00DD5F1D" w14:paraId="58B7CF92" w14:textId="77777777" w:rsidTr="00100079">
        <w:trPr>
          <w:trHeight w:val="107"/>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77F62F41"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4</w:t>
            </w:r>
          </w:p>
        </w:tc>
        <w:tc>
          <w:tcPr>
            <w:tcW w:w="2068" w:type="pct"/>
            <w:tcBorders>
              <w:top w:val="nil"/>
              <w:left w:val="nil"/>
              <w:bottom w:val="single" w:sz="4" w:space="0" w:color="auto"/>
              <w:right w:val="single" w:sz="4" w:space="0" w:color="auto"/>
            </w:tcBorders>
            <w:shd w:val="clear" w:color="auto" w:fill="auto"/>
            <w:vAlign w:val="center"/>
            <w:hideMark/>
          </w:tcPr>
          <w:p w14:paraId="3A7FC25B"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SRL INFINITEXTIL</w:t>
            </w:r>
          </w:p>
        </w:tc>
        <w:tc>
          <w:tcPr>
            <w:tcW w:w="471" w:type="pct"/>
            <w:tcBorders>
              <w:top w:val="nil"/>
              <w:left w:val="nil"/>
              <w:bottom w:val="single" w:sz="4" w:space="0" w:color="auto"/>
              <w:right w:val="single" w:sz="4" w:space="0" w:color="auto"/>
            </w:tcBorders>
            <w:shd w:val="clear" w:color="auto" w:fill="auto"/>
            <w:vAlign w:val="center"/>
            <w:hideMark/>
          </w:tcPr>
          <w:p w14:paraId="524FECB5"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32 880,9</w:t>
            </w:r>
          </w:p>
        </w:tc>
        <w:tc>
          <w:tcPr>
            <w:tcW w:w="469" w:type="pct"/>
            <w:tcBorders>
              <w:top w:val="nil"/>
              <w:left w:val="nil"/>
              <w:bottom w:val="single" w:sz="4" w:space="0" w:color="auto"/>
              <w:right w:val="single" w:sz="4" w:space="0" w:color="auto"/>
            </w:tcBorders>
          </w:tcPr>
          <w:p w14:paraId="5F38B8D0"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25 421,6</w:t>
            </w:r>
          </w:p>
        </w:tc>
        <w:tc>
          <w:tcPr>
            <w:tcW w:w="469" w:type="pct"/>
            <w:tcBorders>
              <w:top w:val="single" w:sz="4" w:space="0" w:color="auto"/>
              <w:left w:val="single" w:sz="4" w:space="0" w:color="auto"/>
              <w:bottom w:val="single" w:sz="4" w:space="0" w:color="auto"/>
              <w:right w:val="single" w:sz="4" w:space="0" w:color="auto"/>
            </w:tcBorders>
            <w:vAlign w:val="center"/>
          </w:tcPr>
          <w:p w14:paraId="1E16F455"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77.3</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A8228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13 243,0</w:t>
            </w:r>
            <w:r w:rsidRPr="00DD5F1D">
              <w:rPr>
                <w:rStyle w:val="a5"/>
                <w:rFonts w:ascii="Times New Roman" w:eastAsia="Times New Roman" w:hAnsi="Times New Roman" w:cs="Times New Roman"/>
                <w:sz w:val="16"/>
                <w:szCs w:val="16"/>
                <w:lang w:val="ro-MD"/>
              </w:rPr>
              <w:footnoteReference w:id="167"/>
            </w:r>
          </w:p>
        </w:tc>
        <w:tc>
          <w:tcPr>
            <w:tcW w:w="438" w:type="pct"/>
            <w:tcBorders>
              <w:top w:val="nil"/>
              <w:left w:val="nil"/>
              <w:bottom w:val="single" w:sz="4" w:space="0" w:color="auto"/>
              <w:right w:val="single" w:sz="4" w:space="0" w:color="auto"/>
            </w:tcBorders>
            <w:shd w:val="clear" w:color="auto" w:fill="auto"/>
            <w:vAlign w:val="center"/>
            <w:hideMark/>
          </w:tcPr>
          <w:p w14:paraId="5A410049"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13 212,8</w:t>
            </w:r>
          </w:p>
        </w:tc>
        <w:tc>
          <w:tcPr>
            <w:tcW w:w="436" w:type="pct"/>
            <w:tcBorders>
              <w:top w:val="nil"/>
              <w:left w:val="nil"/>
              <w:bottom w:val="single" w:sz="4" w:space="0" w:color="auto"/>
              <w:right w:val="single" w:sz="4" w:space="0" w:color="auto"/>
            </w:tcBorders>
            <w:shd w:val="clear" w:color="auto" w:fill="auto"/>
            <w:vAlign w:val="center"/>
            <w:hideMark/>
          </w:tcPr>
          <w:p w14:paraId="0AB4E4BD"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2 408,2</w:t>
            </w:r>
          </w:p>
        </w:tc>
      </w:tr>
      <w:tr w:rsidR="004C7BE8" w:rsidRPr="00DD5F1D" w14:paraId="7D18E40B" w14:textId="77777777" w:rsidTr="00100079">
        <w:trPr>
          <w:trHeight w:val="125"/>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1EA2F4A0"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5</w:t>
            </w:r>
          </w:p>
        </w:tc>
        <w:tc>
          <w:tcPr>
            <w:tcW w:w="2068" w:type="pct"/>
            <w:tcBorders>
              <w:top w:val="nil"/>
              <w:left w:val="nil"/>
              <w:bottom w:val="single" w:sz="4" w:space="0" w:color="auto"/>
              <w:right w:val="single" w:sz="4" w:space="0" w:color="auto"/>
            </w:tcBorders>
            <w:shd w:val="clear" w:color="auto" w:fill="auto"/>
            <w:vAlign w:val="center"/>
            <w:hideMark/>
          </w:tcPr>
          <w:p w14:paraId="6C8F56C5"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IANUS SRL</w:t>
            </w:r>
          </w:p>
        </w:tc>
        <w:tc>
          <w:tcPr>
            <w:tcW w:w="471" w:type="pct"/>
            <w:tcBorders>
              <w:top w:val="nil"/>
              <w:left w:val="nil"/>
              <w:bottom w:val="single" w:sz="4" w:space="0" w:color="auto"/>
              <w:right w:val="single" w:sz="4" w:space="0" w:color="auto"/>
            </w:tcBorders>
            <w:shd w:val="clear" w:color="auto" w:fill="auto"/>
            <w:vAlign w:val="center"/>
            <w:hideMark/>
          </w:tcPr>
          <w:p w14:paraId="5200A9B1"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48 116,7</w:t>
            </w:r>
          </w:p>
        </w:tc>
        <w:tc>
          <w:tcPr>
            <w:tcW w:w="469" w:type="pct"/>
            <w:tcBorders>
              <w:top w:val="nil"/>
              <w:left w:val="nil"/>
              <w:bottom w:val="single" w:sz="4" w:space="0" w:color="auto"/>
              <w:right w:val="single" w:sz="4" w:space="0" w:color="auto"/>
            </w:tcBorders>
          </w:tcPr>
          <w:p w14:paraId="7E7ADB51"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12 503,8</w:t>
            </w:r>
          </w:p>
        </w:tc>
        <w:tc>
          <w:tcPr>
            <w:tcW w:w="469" w:type="pct"/>
            <w:tcBorders>
              <w:top w:val="single" w:sz="4" w:space="0" w:color="auto"/>
              <w:left w:val="single" w:sz="4" w:space="0" w:color="auto"/>
              <w:bottom w:val="single" w:sz="4" w:space="0" w:color="auto"/>
              <w:right w:val="single" w:sz="4" w:space="0" w:color="auto"/>
            </w:tcBorders>
            <w:vAlign w:val="center"/>
          </w:tcPr>
          <w:p w14:paraId="4A3CA178"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26.0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0B59EE"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r w:rsidRPr="00DD5F1D">
              <w:rPr>
                <w:rStyle w:val="a5"/>
                <w:rFonts w:ascii="Times New Roman" w:eastAsia="Times New Roman" w:hAnsi="Times New Roman" w:cs="Times New Roman"/>
                <w:sz w:val="16"/>
                <w:szCs w:val="16"/>
                <w:lang w:val="ro-MD"/>
              </w:rPr>
              <w:footnoteReference w:id="168"/>
            </w:r>
          </w:p>
        </w:tc>
        <w:tc>
          <w:tcPr>
            <w:tcW w:w="438" w:type="pct"/>
            <w:tcBorders>
              <w:top w:val="nil"/>
              <w:left w:val="nil"/>
              <w:bottom w:val="single" w:sz="4" w:space="0" w:color="auto"/>
              <w:right w:val="single" w:sz="4" w:space="0" w:color="auto"/>
            </w:tcBorders>
            <w:shd w:val="clear" w:color="auto" w:fill="auto"/>
            <w:vAlign w:val="center"/>
            <w:hideMark/>
          </w:tcPr>
          <w:p w14:paraId="3585B110"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10 513,5</w:t>
            </w:r>
          </w:p>
        </w:tc>
        <w:tc>
          <w:tcPr>
            <w:tcW w:w="436" w:type="pct"/>
            <w:tcBorders>
              <w:top w:val="nil"/>
              <w:left w:val="nil"/>
              <w:bottom w:val="single" w:sz="4" w:space="0" w:color="auto"/>
              <w:right w:val="single" w:sz="4" w:space="0" w:color="auto"/>
            </w:tcBorders>
            <w:shd w:val="clear" w:color="auto" w:fill="auto"/>
            <w:vAlign w:val="center"/>
            <w:hideMark/>
          </w:tcPr>
          <w:p w14:paraId="64E69617"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1132FC08" w14:textId="77777777" w:rsidTr="00100079">
        <w:trPr>
          <w:trHeight w:val="152"/>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3EF16538"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6</w:t>
            </w:r>
          </w:p>
        </w:tc>
        <w:tc>
          <w:tcPr>
            <w:tcW w:w="2068" w:type="pct"/>
            <w:tcBorders>
              <w:top w:val="nil"/>
              <w:left w:val="nil"/>
              <w:bottom w:val="single" w:sz="4" w:space="0" w:color="auto"/>
              <w:right w:val="single" w:sz="4" w:space="0" w:color="auto"/>
            </w:tcBorders>
            <w:shd w:val="clear" w:color="auto" w:fill="auto"/>
            <w:vAlign w:val="center"/>
            <w:hideMark/>
          </w:tcPr>
          <w:p w14:paraId="4DC4EC7C"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SARMAT IS</w:t>
            </w:r>
          </w:p>
        </w:tc>
        <w:tc>
          <w:tcPr>
            <w:tcW w:w="471" w:type="pct"/>
            <w:tcBorders>
              <w:top w:val="nil"/>
              <w:left w:val="nil"/>
              <w:bottom w:val="single" w:sz="4" w:space="0" w:color="auto"/>
              <w:right w:val="single" w:sz="4" w:space="0" w:color="auto"/>
            </w:tcBorders>
            <w:shd w:val="clear" w:color="auto" w:fill="auto"/>
            <w:vAlign w:val="center"/>
            <w:hideMark/>
          </w:tcPr>
          <w:p w14:paraId="16B13468"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18 537,8</w:t>
            </w:r>
          </w:p>
        </w:tc>
        <w:tc>
          <w:tcPr>
            <w:tcW w:w="469" w:type="pct"/>
            <w:tcBorders>
              <w:top w:val="nil"/>
              <w:left w:val="nil"/>
              <w:bottom w:val="single" w:sz="4" w:space="0" w:color="auto"/>
              <w:right w:val="single" w:sz="4" w:space="0" w:color="auto"/>
            </w:tcBorders>
          </w:tcPr>
          <w:p w14:paraId="273427B7"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18 600,9</w:t>
            </w:r>
          </w:p>
        </w:tc>
        <w:tc>
          <w:tcPr>
            <w:tcW w:w="469" w:type="pct"/>
            <w:tcBorders>
              <w:top w:val="single" w:sz="4" w:space="0" w:color="auto"/>
              <w:left w:val="single" w:sz="4" w:space="0" w:color="auto"/>
              <w:bottom w:val="single" w:sz="4" w:space="0" w:color="auto"/>
              <w:right w:val="single" w:sz="4" w:space="0" w:color="auto"/>
            </w:tcBorders>
            <w:vAlign w:val="center"/>
          </w:tcPr>
          <w:p w14:paraId="16E45839"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100.3</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1933C9"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0</w:t>
            </w:r>
          </w:p>
        </w:tc>
        <w:tc>
          <w:tcPr>
            <w:tcW w:w="438" w:type="pct"/>
            <w:tcBorders>
              <w:top w:val="nil"/>
              <w:left w:val="nil"/>
              <w:bottom w:val="single" w:sz="4" w:space="0" w:color="auto"/>
              <w:right w:val="single" w:sz="4" w:space="0" w:color="auto"/>
            </w:tcBorders>
            <w:shd w:val="clear" w:color="auto" w:fill="auto"/>
            <w:vAlign w:val="center"/>
            <w:hideMark/>
          </w:tcPr>
          <w:p w14:paraId="4EE47EE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8 163,7</w:t>
            </w:r>
          </w:p>
        </w:tc>
        <w:tc>
          <w:tcPr>
            <w:tcW w:w="436" w:type="pct"/>
            <w:tcBorders>
              <w:top w:val="nil"/>
              <w:left w:val="nil"/>
              <w:bottom w:val="single" w:sz="4" w:space="0" w:color="auto"/>
              <w:right w:val="single" w:sz="4" w:space="0" w:color="auto"/>
            </w:tcBorders>
            <w:shd w:val="clear" w:color="auto" w:fill="auto"/>
            <w:vAlign w:val="center"/>
            <w:hideMark/>
          </w:tcPr>
          <w:p w14:paraId="2EE48E47"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61E2017B" w14:textId="77777777" w:rsidTr="00100079">
        <w:trPr>
          <w:trHeight w:val="179"/>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6BFB8842"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7</w:t>
            </w:r>
          </w:p>
        </w:tc>
        <w:tc>
          <w:tcPr>
            <w:tcW w:w="2068" w:type="pct"/>
            <w:tcBorders>
              <w:top w:val="nil"/>
              <w:left w:val="nil"/>
              <w:bottom w:val="single" w:sz="4" w:space="0" w:color="auto"/>
              <w:right w:val="single" w:sz="4" w:space="0" w:color="auto"/>
            </w:tcBorders>
            <w:shd w:val="clear" w:color="auto" w:fill="auto"/>
            <w:vAlign w:val="center"/>
            <w:hideMark/>
          </w:tcPr>
          <w:p w14:paraId="2BA74583"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TVARDITA CP</w:t>
            </w:r>
          </w:p>
        </w:tc>
        <w:tc>
          <w:tcPr>
            <w:tcW w:w="471" w:type="pct"/>
            <w:tcBorders>
              <w:top w:val="nil"/>
              <w:left w:val="nil"/>
              <w:bottom w:val="single" w:sz="4" w:space="0" w:color="auto"/>
              <w:right w:val="single" w:sz="4" w:space="0" w:color="auto"/>
            </w:tcBorders>
            <w:shd w:val="clear" w:color="auto" w:fill="auto"/>
            <w:vAlign w:val="center"/>
            <w:hideMark/>
          </w:tcPr>
          <w:p w14:paraId="4B227E0B"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49 640,5</w:t>
            </w:r>
          </w:p>
        </w:tc>
        <w:tc>
          <w:tcPr>
            <w:tcW w:w="469" w:type="pct"/>
            <w:tcBorders>
              <w:top w:val="nil"/>
              <w:left w:val="nil"/>
              <w:bottom w:val="single" w:sz="4" w:space="0" w:color="auto"/>
              <w:right w:val="single" w:sz="4" w:space="0" w:color="auto"/>
            </w:tcBorders>
          </w:tcPr>
          <w:p w14:paraId="054A4278"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30 471,2</w:t>
            </w:r>
          </w:p>
        </w:tc>
        <w:tc>
          <w:tcPr>
            <w:tcW w:w="469" w:type="pct"/>
            <w:tcBorders>
              <w:top w:val="single" w:sz="4" w:space="0" w:color="auto"/>
              <w:left w:val="single" w:sz="4" w:space="0" w:color="auto"/>
              <w:bottom w:val="single" w:sz="4" w:space="0" w:color="auto"/>
              <w:right w:val="single" w:sz="4" w:space="0" w:color="auto"/>
            </w:tcBorders>
            <w:vAlign w:val="center"/>
          </w:tcPr>
          <w:p w14:paraId="0CE49A3D"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61.4</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FDC2D1"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256,5</w:t>
            </w:r>
            <w:r w:rsidRPr="00DD5F1D">
              <w:rPr>
                <w:rStyle w:val="a5"/>
                <w:rFonts w:ascii="Times New Roman" w:eastAsia="Times New Roman" w:hAnsi="Times New Roman" w:cs="Times New Roman"/>
                <w:sz w:val="16"/>
                <w:szCs w:val="16"/>
                <w:lang w:val="ro-MD"/>
              </w:rPr>
              <w:footnoteReference w:id="169"/>
            </w:r>
          </w:p>
        </w:tc>
        <w:tc>
          <w:tcPr>
            <w:tcW w:w="438" w:type="pct"/>
            <w:tcBorders>
              <w:top w:val="nil"/>
              <w:left w:val="nil"/>
              <w:bottom w:val="single" w:sz="4" w:space="0" w:color="auto"/>
              <w:right w:val="single" w:sz="4" w:space="0" w:color="auto"/>
            </w:tcBorders>
            <w:shd w:val="clear" w:color="auto" w:fill="auto"/>
            <w:vAlign w:val="center"/>
            <w:hideMark/>
          </w:tcPr>
          <w:p w14:paraId="7A27AFA7"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8 066,84</w:t>
            </w:r>
          </w:p>
        </w:tc>
        <w:tc>
          <w:tcPr>
            <w:tcW w:w="436" w:type="pct"/>
            <w:tcBorders>
              <w:top w:val="nil"/>
              <w:left w:val="nil"/>
              <w:bottom w:val="single" w:sz="4" w:space="0" w:color="auto"/>
              <w:right w:val="single" w:sz="4" w:space="0" w:color="auto"/>
            </w:tcBorders>
            <w:shd w:val="clear" w:color="auto" w:fill="auto"/>
            <w:vAlign w:val="center"/>
            <w:hideMark/>
          </w:tcPr>
          <w:p w14:paraId="5F8A90CD"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22659B83" w14:textId="77777777" w:rsidTr="00100079">
        <w:trPr>
          <w:trHeight w:val="125"/>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365FB2F0"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8</w:t>
            </w:r>
          </w:p>
        </w:tc>
        <w:tc>
          <w:tcPr>
            <w:tcW w:w="2068" w:type="pct"/>
            <w:tcBorders>
              <w:top w:val="nil"/>
              <w:left w:val="nil"/>
              <w:bottom w:val="single" w:sz="4" w:space="0" w:color="auto"/>
              <w:right w:val="single" w:sz="4" w:space="0" w:color="auto"/>
            </w:tcBorders>
            <w:shd w:val="clear" w:color="auto" w:fill="auto"/>
            <w:vAlign w:val="center"/>
            <w:hideMark/>
          </w:tcPr>
          <w:p w14:paraId="10606035" w14:textId="77777777" w:rsidR="004C7BE8" w:rsidRPr="00DE6156" w:rsidRDefault="004C7BE8" w:rsidP="00100079">
            <w:pPr>
              <w:spacing w:after="0" w:line="240" w:lineRule="auto"/>
              <w:rPr>
                <w:rFonts w:ascii="Times New Roman" w:eastAsia="Times New Roman" w:hAnsi="Times New Roman" w:cs="Times New Roman"/>
                <w:color w:val="000000"/>
                <w:sz w:val="16"/>
                <w:szCs w:val="16"/>
                <w:lang w:val="ro-MD"/>
              </w:rPr>
            </w:pPr>
            <w:r w:rsidRPr="00DE6156">
              <w:rPr>
                <w:rFonts w:ascii="Times New Roman" w:eastAsia="Times New Roman" w:hAnsi="Times New Roman" w:cs="Times New Roman"/>
                <w:color w:val="000000"/>
                <w:sz w:val="16"/>
                <w:szCs w:val="16"/>
                <w:lang w:val="ro-MD"/>
              </w:rPr>
              <w:t>CAP BACII</w:t>
            </w:r>
          </w:p>
        </w:tc>
        <w:tc>
          <w:tcPr>
            <w:tcW w:w="471" w:type="pct"/>
            <w:tcBorders>
              <w:top w:val="nil"/>
              <w:left w:val="nil"/>
              <w:bottom w:val="single" w:sz="4" w:space="0" w:color="auto"/>
              <w:right w:val="single" w:sz="4" w:space="0" w:color="auto"/>
            </w:tcBorders>
            <w:shd w:val="clear" w:color="auto" w:fill="auto"/>
            <w:vAlign w:val="center"/>
            <w:hideMark/>
          </w:tcPr>
          <w:p w14:paraId="5C577B8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23 865,7</w:t>
            </w:r>
          </w:p>
        </w:tc>
        <w:tc>
          <w:tcPr>
            <w:tcW w:w="469" w:type="pct"/>
            <w:tcBorders>
              <w:top w:val="nil"/>
              <w:left w:val="nil"/>
              <w:bottom w:val="single" w:sz="4" w:space="0" w:color="auto"/>
              <w:right w:val="single" w:sz="4" w:space="0" w:color="auto"/>
            </w:tcBorders>
          </w:tcPr>
          <w:p w14:paraId="232A3B84"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14 766,0</w:t>
            </w:r>
          </w:p>
        </w:tc>
        <w:tc>
          <w:tcPr>
            <w:tcW w:w="469" w:type="pct"/>
            <w:tcBorders>
              <w:top w:val="single" w:sz="4" w:space="0" w:color="auto"/>
              <w:left w:val="single" w:sz="4" w:space="0" w:color="auto"/>
              <w:bottom w:val="single" w:sz="4" w:space="0" w:color="auto"/>
              <w:right w:val="single" w:sz="4" w:space="0" w:color="auto"/>
            </w:tcBorders>
            <w:vAlign w:val="center"/>
          </w:tcPr>
          <w:p w14:paraId="2639F22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61.9</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0B6251"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r w:rsidRPr="00DD5F1D">
              <w:rPr>
                <w:rStyle w:val="a5"/>
                <w:rFonts w:ascii="Times New Roman" w:eastAsia="Times New Roman" w:hAnsi="Times New Roman" w:cs="Times New Roman"/>
                <w:sz w:val="16"/>
                <w:szCs w:val="16"/>
                <w:lang w:val="ro-MD"/>
              </w:rPr>
              <w:footnoteReference w:id="170"/>
            </w:r>
          </w:p>
        </w:tc>
        <w:tc>
          <w:tcPr>
            <w:tcW w:w="438" w:type="pct"/>
            <w:tcBorders>
              <w:top w:val="nil"/>
              <w:left w:val="nil"/>
              <w:bottom w:val="single" w:sz="4" w:space="0" w:color="auto"/>
              <w:right w:val="single" w:sz="4" w:space="0" w:color="auto"/>
            </w:tcBorders>
            <w:shd w:val="clear" w:color="auto" w:fill="auto"/>
            <w:vAlign w:val="center"/>
            <w:hideMark/>
          </w:tcPr>
          <w:p w14:paraId="07C76DFC"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7928,1</w:t>
            </w:r>
          </w:p>
        </w:tc>
        <w:tc>
          <w:tcPr>
            <w:tcW w:w="436" w:type="pct"/>
            <w:tcBorders>
              <w:top w:val="nil"/>
              <w:left w:val="nil"/>
              <w:bottom w:val="single" w:sz="4" w:space="0" w:color="auto"/>
              <w:right w:val="single" w:sz="4" w:space="0" w:color="auto"/>
            </w:tcBorders>
            <w:shd w:val="clear" w:color="auto" w:fill="auto"/>
            <w:vAlign w:val="center"/>
            <w:hideMark/>
          </w:tcPr>
          <w:p w14:paraId="08D304A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82,0</w:t>
            </w:r>
          </w:p>
        </w:tc>
      </w:tr>
      <w:tr w:rsidR="004C7BE8" w:rsidRPr="00DD5F1D" w14:paraId="297C99AD" w14:textId="77777777" w:rsidTr="00100079">
        <w:trPr>
          <w:trHeight w:val="62"/>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2F0BB035"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9</w:t>
            </w:r>
          </w:p>
        </w:tc>
        <w:tc>
          <w:tcPr>
            <w:tcW w:w="2068" w:type="pct"/>
            <w:tcBorders>
              <w:top w:val="nil"/>
              <w:left w:val="nil"/>
              <w:bottom w:val="single" w:sz="4" w:space="0" w:color="auto"/>
              <w:right w:val="single" w:sz="4" w:space="0" w:color="auto"/>
            </w:tcBorders>
            <w:shd w:val="clear" w:color="auto" w:fill="auto"/>
            <w:vAlign w:val="center"/>
            <w:hideMark/>
          </w:tcPr>
          <w:p w14:paraId="6E739CE5" w14:textId="77777777" w:rsidR="004C7BE8" w:rsidRPr="00DE6156" w:rsidRDefault="004C7BE8" w:rsidP="00100079">
            <w:pPr>
              <w:spacing w:after="0" w:line="240" w:lineRule="auto"/>
              <w:rPr>
                <w:rFonts w:ascii="Times New Roman" w:eastAsia="Times New Roman" w:hAnsi="Times New Roman" w:cs="Times New Roman"/>
                <w:color w:val="000000"/>
                <w:sz w:val="16"/>
                <w:szCs w:val="16"/>
                <w:lang w:val="ro-MD"/>
              </w:rPr>
            </w:pPr>
            <w:r w:rsidRPr="00DE6156">
              <w:rPr>
                <w:rFonts w:ascii="Times New Roman" w:eastAsia="Times New Roman" w:hAnsi="Times New Roman" w:cs="Times New Roman"/>
                <w:color w:val="000000"/>
                <w:sz w:val="16"/>
                <w:szCs w:val="16"/>
                <w:lang w:val="ro-MD"/>
              </w:rPr>
              <w:t>SA PRODUSE CEREALIERE</w:t>
            </w:r>
          </w:p>
        </w:tc>
        <w:tc>
          <w:tcPr>
            <w:tcW w:w="471" w:type="pct"/>
            <w:tcBorders>
              <w:top w:val="nil"/>
              <w:left w:val="nil"/>
              <w:bottom w:val="single" w:sz="4" w:space="0" w:color="auto"/>
              <w:right w:val="single" w:sz="4" w:space="0" w:color="auto"/>
            </w:tcBorders>
            <w:shd w:val="clear" w:color="auto" w:fill="auto"/>
            <w:vAlign w:val="center"/>
            <w:hideMark/>
          </w:tcPr>
          <w:p w14:paraId="6456ED8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37 414,80</w:t>
            </w:r>
          </w:p>
        </w:tc>
        <w:tc>
          <w:tcPr>
            <w:tcW w:w="469" w:type="pct"/>
            <w:tcBorders>
              <w:top w:val="nil"/>
              <w:left w:val="nil"/>
              <w:bottom w:val="single" w:sz="4" w:space="0" w:color="auto"/>
              <w:right w:val="single" w:sz="4" w:space="0" w:color="auto"/>
            </w:tcBorders>
          </w:tcPr>
          <w:p w14:paraId="75E278DA"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8 834,08</w:t>
            </w:r>
          </w:p>
        </w:tc>
        <w:tc>
          <w:tcPr>
            <w:tcW w:w="469" w:type="pct"/>
            <w:tcBorders>
              <w:top w:val="single" w:sz="4" w:space="0" w:color="auto"/>
              <w:left w:val="single" w:sz="4" w:space="0" w:color="auto"/>
              <w:bottom w:val="single" w:sz="4" w:space="0" w:color="auto"/>
              <w:right w:val="single" w:sz="4" w:space="0" w:color="auto"/>
            </w:tcBorders>
            <w:vAlign w:val="center"/>
          </w:tcPr>
          <w:p w14:paraId="0C43413A"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23.6</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2A15A1"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r w:rsidRPr="00DD5F1D">
              <w:rPr>
                <w:rStyle w:val="a5"/>
                <w:rFonts w:ascii="Times New Roman" w:eastAsia="Times New Roman" w:hAnsi="Times New Roman" w:cs="Times New Roman"/>
                <w:sz w:val="16"/>
                <w:szCs w:val="16"/>
                <w:lang w:val="ro-MD"/>
              </w:rPr>
              <w:footnoteReference w:id="171"/>
            </w:r>
          </w:p>
        </w:tc>
        <w:tc>
          <w:tcPr>
            <w:tcW w:w="438" w:type="pct"/>
            <w:tcBorders>
              <w:top w:val="nil"/>
              <w:left w:val="nil"/>
              <w:bottom w:val="single" w:sz="4" w:space="0" w:color="auto"/>
              <w:right w:val="single" w:sz="4" w:space="0" w:color="auto"/>
            </w:tcBorders>
            <w:shd w:val="clear" w:color="auto" w:fill="auto"/>
            <w:vAlign w:val="center"/>
            <w:hideMark/>
          </w:tcPr>
          <w:p w14:paraId="688C86DF"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7 833,4</w:t>
            </w:r>
          </w:p>
        </w:tc>
        <w:tc>
          <w:tcPr>
            <w:tcW w:w="436" w:type="pct"/>
            <w:tcBorders>
              <w:top w:val="nil"/>
              <w:left w:val="nil"/>
              <w:bottom w:val="single" w:sz="4" w:space="0" w:color="auto"/>
              <w:right w:val="single" w:sz="4" w:space="0" w:color="auto"/>
            </w:tcBorders>
            <w:shd w:val="clear" w:color="auto" w:fill="auto"/>
            <w:vAlign w:val="center"/>
            <w:hideMark/>
          </w:tcPr>
          <w:p w14:paraId="721EFA7E"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623DB6ED" w14:textId="77777777" w:rsidTr="00100079">
        <w:trPr>
          <w:trHeight w:val="47"/>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2C205CE3"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10</w:t>
            </w:r>
          </w:p>
        </w:tc>
        <w:tc>
          <w:tcPr>
            <w:tcW w:w="2068" w:type="pct"/>
            <w:tcBorders>
              <w:top w:val="nil"/>
              <w:left w:val="nil"/>
              <w:bottom w:val="single" w:sz="4" w:space="0" w:color="auto"/>
              <w:right w:val="single" w:sz="4" w:space="0" w:color="auto"/>
            </w:tcBorders>
            <w:shd w:val="clear" w:color="auto" w:fill="auto"/>
            <w:vAlign w:val="center"/>
            <w:hideMark/>
          </w:tcPr>
          <w:p w14:paraId="70983E8A" w14:textId="77777777" w:rsidR="004C7BE8" w:rsidRPr="00DE6156" w:rsidRDefault="004C7BE8" w:rsidP="00100079">
            <w:pPr>
              <w:spacing w:after="0" w:line="240" w:lineRule="auto"/>
              <w:rPr>
                <w:rFonts w:ascii="Times New Roman" w:eastAsia="Times New Roman" w:hAnsi="Times New Roman" w:cs="Times New Roman"/>
                <w:color w:val="000000"/>
                <w:sz w:val="16"/>
                <w:szCs w:val="16"/>
                <w:lang w:val="ro-MD"/>
              </w:rPr>
            </w:pPr>
            <w:r w:rsidRPr="00DE6156">
              <w:rPr>
                <w:rFonts w:ascii="Times New Roman" w:eastAsia="Times New Roman" w:hAnsi="Times New Roman" w:cs="Times New Roman"/>
                <w:color w:val="000000"/>
                <w:sz w:val="16"/>
                <w:szCs w:val="16"/>
                <w:lang w:val="ro-MD"/>
              </w:rPr>
              <w:t>ELVE-CONSTRUCT SRL</w:t>
            </w:r>
          </w:p>
        </w:tc>
        <w:tc>
          <w:tcPr>
            <w:tcW w:w="471" w:type="pct"/>
            <w:tcBorders>
              <w:top w:val="nil"/>
              <w:left w:val="nil"/>
              <w:bottom w:val="single" w:sz="4" w:space="0" w:color="auto"/>
              <w:right w:val="single" w:sz="4" w:space="0" w:color="auto"/>
            </w:tcBorders>
            <w:shd w:val="clear" w:color="auto" w:fill="auto"/>
            <w:vAlign w:val="center"/>
            <w:hideMark/>
          </w:tcPr>
          <w:p w14:paraId="1BA41851"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7 270,7</w:t>
            </w:r>
          </w:p>
        </w:tc>
        <w:tc>
          <w:tcPr>
            <w:tcW w:w="469" w:type="pct"/>
            <w:tcBorders>
              <w:top w:val="nil"/>
              <w:left w:val="nil"/>
              <w:bottom w:val="single" w:sz="4" w:space="0" w:color="auto"/>
              <w:right w:val="single" w:sz="4" w:space="0" w:color="auto"/>
            </w:tcBorders>
          </w:tcPr>
          <w:p w14:paraId="0145895C"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11 638,7</w:t>
            </w:r>
          </w:p>
        </w:tc>
        <w:tc>
          <w:tcPr>
            <w:tcW w:w="469" w:type="pct"/>
            <w:tcBorders>
              <w:top w:val="single" w:sz="4" w:space="0" w:color="auto"/>
              <w:left w:val="single" w:sz="4" w:space="0" w:color="auto"/>
              <w:bottom w:val="single" w:sz="4" w:space="0" w:color="auto"/>
              <w:right w:val="single" w:sz="4" w:space="0" w:color="auto"/>
            </w:tcBorders>
            <w:vAlign w:val="center"/>
          </w:tcPr>
          <w:p w14:paraId="63B34F28"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160.1</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F0AF5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0</w:t>
            </w:r>
          </w:p>
        </w:tc>
        <w:tc>
          <w:tcPr>
            <w:tcW w:w="438" w:type="pct"/>
            <w:tcBorders>
              <w:top w:val="nil"/>
              <w:left w:val="nil"/>
              <w:bottom w:val="single" w:sz="4" w:space="0" w:color="auto"/>
              <w:right w:val="single" w:sz="4" w:space="0" w:color="auto"/>
            </w:tcBorders>
            <w:shd w:val="clear" w:color="auto" w:fill="auto"/>
            <w:vAlign w:val="center"/>
            <w:hideMark/>
          </w:tcPr>
          <w:p w14:paraId="5C835A9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3 899,2</w:t>
            </w:r>
          </w:p>
        </w:tc>
        <w:tc>
          <w:tcPr>
            <w:tcW w:w="436" w:type="pct"/>
            <w:tcBorders>
              <w:top w:val="nil"/>
              <w:left w:val="nil"/>
              <w:bottom w:val="single" w:sz="4" w:space="0" w:color="auto"/>
              <w:right w:val="single" w:sz="4" w:space="0" w:color="auto"/>
            </w:tcBorders>
            <w:shd w:val="clear" w:color="auto" w:fill="auto"/>
            <w:vAlign w:val="center"/>
            <w:hideMark/>
          </w:tcPr>
          <w:p w14:paraId="36367545"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655E76CF" w14:textId="77777777" w:rsidTr="00100079">
        <w:trPr>
          <w:trHeight w:val="58"/>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749F7A49"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11</w:t>
            </w:r>
          </w:p>
        </w:tc>
        <w:tc>
          <w:tcPr>
            <w:tcW w:w="2068" w:type="pct"/>
            <w:tcBorders>
              <w:top w:val="nil"/>
              <w:left w:val="nil"/>
              <w:bottom w:val="single" w:sz="4" w:space="0" w:color="auto"/>
              <w:right w:val="single" w:sz="4" w:space="0" w:color="auto"/>
            </w:tcBorders>
            <w:shd w:val="clear" w:color="auto" w:fill="auto"/>
            <w:vAlign w:val="center"/>
            <w:hideMark/>
          </w:tcPr>
          <w:p w14:paraId="25233AB5" w14:textId="57F833B7" w:rsidR="004C7BE8" w:rsidRPr="00DE6156" w:rsidRDefault="004C7BE8" w:rsidP="00100079">
            <w:pPr>
              <w:spacing w:after="0" w:line="240" w:lineRule="auto"/>
              <w:rPr>
                <w:rFonts w:ascii="Times New Roman" w:eastAsia="Times New Roman" w:hAnsi="Times New Roman" w:cs="Times New Roman"/>
                <w:color w:val="000000"/>
                <w:sz w:val="16"/>
                <w:szCs w:val="16"/>
                <w:lang w:val="ro-MD"/>
              </w:rPr>
            </w:pPr>
            <w:r w:rsidRPr="00DE6156">
              <w:rPr>
                <w:rFonts w:ascii="Times New Roman" w:eastAsia="Times New Roman" w:hAnsi="Times New Roman" w:cs="Times New Roman"/>
                <w:color w:val="000000"/>
                <w:sz w:val="16"/>
                <w:szCs w:val="16"/>
                <w:lang w:val="ro-MD"/>
              </w:rPr>
              <w:t>IP INSTITUTIA DE INVATAMINT PRIVAT UNIVERSITATE</w:t>
            </w:r>
            <w:r w:rsidR="00DE6156" w:rsidRPr="00DE6156">
              <w:rPr>
                <w:rFonts w:ascii="Times New Roman" w:eastAsia="Times New Roman" w:hAnsi="Times New Roman" w:cs="Times New Roman"/>
                <w:color w:val="000000"/>
                <w:sz w:val="16"/>
                <w:szCs w:val="16"/>
                <w:lang w:val="ro-MD"/>
              </w:rPr>
              <w:t>A INTERNAȚIONALĂ MOLDO-RUSĂ</w:t>
            </w:r>
          </w:p>
        </w:tc>
        <w:tc>
          <w:tcPr>
            <w:tcW w:w="471" w:type="pct"/>
            <w:tcBorders>
              <w:top w:val="nil"/>
              <w:left w:val="nil"/>
              <w:bottom w:val="single" w:sz="4" w:space="0" w:color="auto"/>
              <w:right w:val="single" w:sz="4" w:space="0" w:color="auto"/>
            </w:tcBorders>
            <w:shd w:val="clear" w:color="auto" w:fill="auto"/>
            <w:vAlign w:val="center"/>
            <w:hideMark/>
          </w:tcPr>
          <w:p w14:paraId="538FF2B7"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2 274,0</w:t>
            </w:r>
          </w:p>
        </w:tc>
        <w:tc>
          <w:tcPr>
            <w:tcW w:w="469" w:type="pct"/>
            <w:tcBorders>
              <w:top w:val="nil"/>
              <w:left w:val="nil"/>
              <w:bottom w:val="single" w:sz="4" w:space="0" w:color="auto"/>
              <w:right w:val="single" w:sz="4" w:space="0" w:color="auto"/>
            </w:tcBorders>
          </w:tcPr>
          <w:p w14:paraId="545F42D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2 329,4</w:t>
            </w:r>
          </w:p>
        </w:tc>
        <w:tc>
          <w:tcPr>
            <w:tcW w:w="469" w:type="pct"/>
            <w:tcBorders>
              <w:top w:val="single" w:sz="4" w:space="0" w:color="auto"/>
              <w:left w:val="single" w:sz="4" w:space="0" w:color="auto"/>
              <w:bottom w:val="single" w:sz="4" w:space="0" w:color="auto"/>
              <w:right w:val="single" w:sz="4" w:space="0" w:color="auto"/>
            </w:tcBorders>
            <w:vAlign w:val="center"/>
          </w:tcPr>
          <w:p w14:paraId="65938B84"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102.4</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5C3240"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w:t>
            </w:r>
          </w:p>
        </w:tc>
        <w:tc>
          <w:tcPr>
            <w:tcW w:w="438" w:type="pct"/>
            <w:tcBorders>
              <w:top w:val="nil"/>
              <w:left w:val="nil"/>
              <w:bottom w:val="single" w:sz="4" w:space="0" w:color="auto"/>
              <w:right w:val="single" w:sz="4" w:space="0" w:color="auto"/>
            </w:tcBorders>
            <w:shd w:val="clear" w:color="auto" w:fill="auto"/>
            <w:vAlign w:val="center"/>
            <w:hideMark/>
          </w:tcPr>
          <w:p w14:paraId="34009F49"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2 141,9</w:t>
            </w:r>
          </w:p>
        </w:tc>
        <w:tc>
          <w:tcPr>
            <w:tcW w:w="436" w:type="pct"/>
            <w:tcBorders>
              <w:top w:val="nil"/>
              <w:left w:val="nil"/>
              <w:bottom w:val="single" w:sz="4" w:space="0" w:color="auto"/>
              <w:right w:val="single" w:sz="4" w:space="0" w:color="auto"/>
            </w:tcBorders>
            <w:shd w:val="clear" w:color="auto" w:fill="auto"/>
            <w:vAlign w:val="center"/>
            <w:hideMark/>
          </w:tcPr>
          <w:p w14:paraId="16EB8BCA"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50ED0C98" w14:textId="77777777" w:rsidTr="00100079">
        <w:trPr>
          <w:trHeight w:val="188"/>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7400C667"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12</w:t>
            </w:r>
          </w:p>
        </w:tc>
        <w:tc>
          <w:tcPr>
            <w:tcW w:w="2068" w:type="pct"/>
            <w:tcBorders>
              <w:top w:val="nil"/>
              <w:left w:val="nil"/>
              <w:bottom w:val="single" w:sz="4" w:space="0" w:color="auto"/>
              <w:right w:val="single" w:sz="4" w:space="0" w:color="auto"/>
            </w:tcBorders>
            <w:shd w:val="clear" w:color="auto" w:fill="auto"/>
            <w:vAlign w:val="center"/>
            <w:hideMark/>
          </w:tcPr>
          <w:p w14:paraId="5CC84A23" w14:textId="77777777" w:rsidR="004C7BE8" w:rsidRPr="00DE6156" w:rsidRDefault="004C7BE8" w:rsidP="00100079">
            <w:pPr>
              <w:spacing w:after="0" w:line="240" w:lineRule="auto"/>
              <w:rPr>
                <w:rFonts w:ascii="Times New Roman" w:eastAsia="Times New Roman" w:hAnsi="Times New Roman" w:cs="Times New Roman"/>
                <w:color w:val="000000"/>
                <w:sz w:val="16"/>
                <w:szCs w:val="16"/>
                <w:lang w:val="ro-MD"/>
              </w:rPr>
            </w:pPr>
            <w:r w:rsidRPr="00DE6156">
              <w:rPr>
                <w:rFonts w:ascii="Times New Roman" w:eastAsia="Times New Roman" w:hAnsi="Times New Roman" w:cs="Times New Roman"/>
                <w:color w:val="000000"/>
                <w:sz w:val="16"/>
                <w:szCs w:val="16"/>
                <w:lang w:val="ro-MD"/>
              </w:rPr>
              <w:t>SC SENIOR-V SRL</w:t>
            </w:r>
          </w:p>
        </w:tc>
        <w:tc>
          <w:tcPr>
            <w:tcW w:w="471" w:type="pct"/>
            <w:tcBorders>
              <w:top w:val="nil"/>
              <w:left w:val="nil"/>
              <w:bottom w:val="single" w:sz="4" w:space="0" w:color="auto"/>
              <w:right w:val="single" w:sz="4" w:space="0" w:color="auto"/>
            </w:tcBorders>
            <w:shd w:val="clear" w:color="auto" w:fill="auto"/>
            <w:vAlign w:val="center"/>
            <w:hideMark/>
          </w:tcPr>
          <w:p w14:paraId="0AD1102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4 551,3</w:t>
            </w:r>
          </w:p>
        </w:tc>
        <w:tc>
          <w:tcPr>
            <w:tcW w:w="469" w:type="pct"/>
            <w:tcBorders>
              <w:top w:val="nil"/>
              <w:left w:val="nil"/>
              <w:bottom w:val="single" w:sz="4" w:space="0" w:color="auto"/>
              <w:right w:val="single" w:sz="4" w:space="0" w:color="auto"/>
            </w:tcBorders>
          </w:tcPr>
          <w:p w14:paraId="1164C604"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2 928,8</w:t>
            </w:r>
          </w:p>
        </w:tc>
        <w:tc>
          <w:tcPr>
            <w:tcW w:w="469" w:type="pct"/>
            <w:tcBorders>
              <w:top w:val="single" w:sz="4" w:space="0" w:color="auto"/>
              <w:left w:val="single" w:sz="4" w:space="0" w:color="auto"/>
              <w:bottom w:val="single" w:sz="4" w:space="0" w:color="auto"/>
              <w:right w:val="single" w:sz="4" w:space="0" w:color="auto"/>
            </w:tcBorders>
            <w:vAlign w:val="center"/>
          </w:tcPr>
          <w:p w14:paraId="620D3CE0"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64.4</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E54AC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w:t>
            </w:r>
          </w:p>
        </w:tc>
        <w:tc>
          <w:tcPr>
            <w:tcW w:w="438" w:type="pct"/>
            <w:tcBorders>
              <w:top w:val="nil"/>
              <w:left w:val="nil"/>
              <w:bottom w:val="single" w:sz="4" w:space="0" w:color="auto"/>
              <w:right w:val="single" w:sz="4" w:space="0" w:color="auto"/>
            </w:tcBorders>
            <w:shd w:val="clear" w:color="auto" w:fill="auto"/>
            <w:vAlign w:val="center"/>
            <w:hideMark/>
          </w:tcPr>
          <w:p w14:paraId="677248E5"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3 068,9</w:t>
            </w:r>
          </w:p>
        </w:tc>
        <w:tc>
          <w:tcPr>
            <w:tcW w:w="436" w:type="pct"/>
            <w:tcBorders>
              <w:top w:val="nil"/>
              <w:left w:val="nil"/>
              <w:bottom w:val="single" w:sz="4" w:space="0" w:color="auto"/>
              <w:right w:val="single" w:sz="4" w:space="0" w:color="auto"/>
            </w:tcBorders>
            <w:shd w:val="clear" w:color="auto" w:fill="auto"/>
            <w:vAlign w:val="center"/>
            <w:hideMark/>
          </w:tcPr>
          <w:p w14:paraId="2663778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7A9F431B" w14:textId="77777777" w:rsidTr="00100079">
        <w:trPr>
          <w:trHeight w:val="188"/>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310916E9"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13</w:t>
            </w:r>
          </w:p>
        </w:tc>
        <w:tc>
          <w:tcPr>
            <w:tcW w:w="2068" w:type="pct"/>
            <w:tcBorders>
              <w:top w:val="nil"/>
              <w:left w:val="nil"/>
              <w:bottom w:val="single" w:sz="4" w:space="0" w:color="auto"/>
              <w:right w:val="single" w:sz="4" w:space="0" w:color="auto"/>
            </w:tcBorders>
            <w:shd w:val="clear" w:color="auto" w:fill="auto"/>
            <w:vAlign w:val="center"/>
            <w:hideMark/>
          </w:tcPr>
          <w:p w14:paraId="44C0AD81" w14:textId="77777777" w:rsidR="004C7BE8" w:rsidRPr="00DE6156" w:rsidRDefault="004C7BE8" w:rsidP="00100079">
            <w:pPr>
              <w:spacing w:after="0" w:line="240" w:lineRule="auto"/>
              <w:rPr>
                <w:rFonts w:ascii="Times New Roman" w:eastAsia="Times New Roman" w:hAnsi="Times New Roman" w:cs="Times New Roman"/>
                <w:color w:val="000000"/>
                <w:sz w:val="16"/>
                <w:szCs w:val="16"/>
                <w:lang w:val="ro-MD"/>
              </w:rPr>
            </w:pPr>
            <w:r w:rsidRPr="00DE6156">
              <w:rPr>
                <w:rFonts w:ascii="Times New Roman" w:eastAsia="Times New Roman" w:hAnsi="Times New Roman" w:cs="Times New Roman"/>
                <w:color w:val="000000"/>
                <w:sz w:val="16"/>
                <w:szCs w:val="16"/>
                <w:lang w:val="ro-MD"/>
              </w:rPr>
              <w:t>INCOMAS S.A.</w:t>
            </w:r>
          </w:p>
        </w:tc>
        <w:tc>
          <w:tcPr>
            <w:tcW w:w="471" w:type="pct"/>
            <w:tcBorders>
              <w:top w:val="nil"/>
              <w:left w:val="nil"/>
              <w:bottom w:val="single" w:sz="4" w:space="0" w:color="auto"/>
              <w:right w:val="single" w:sz="4" w:space="0" w:color="auto"/>
            </w:tcBorders>
            <w:shd w:val="clear" w:color="auto" w:fill="auto"/>
            <w:vAlign w:val="center"/>
            <w:hideMark/>
          </w:tcPr>
          <w:p w14:paraId="2ECD04EE"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nil"/>
              <w:bottom w:val="single" w:sz="4" w:space="0" w:color="auto"/>
              <w:right w:val="single" w:sz="4" w:space="0" w:color="auto"/>
            </w:tcBorders>
          </w:tcPr>
          <w:p w14:paraId="0A42FADA"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6 329,4</w:t>
            </w:r>
          </w:p>
        </w:tc>
        <w:tc>
          <w:tcPr>
            <w:tcW w:w="469" w:type="pct"/>
            <w:tcBorders>
              <w:top w:val="single" w:sz="4" w:space="0" w:color="auto"/>
              <w:left w:val="single" w:sz="4" w:space="0" w:color="auto"/>
              <w:bottom w:val="single" w:sz="4" w:space="0" w:color="auto"/>
              <w:right w:val="single" w:sz="4" w:space="0" w:color="auto"/>
            </w:tcBorders>
            <w:vAlign w:val="center"/>
          </w:tcPr>
          <w:p w14:paraId="469E2F3F"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876A9D"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47,5</w:t>
            </w:r>
            <w:r w:rsidRPr="00DD5F1D">
              <w:rPr>
                <w:rStyle w:val="a5"/>
                <w:rFonts w:ascii="Times New Roman" w:eastAsia="Times New Roman" w:hAnsi="Times New Roman" w:cs="Times New Roman"/>
                <w:sz w:val="16"/>
                <w:szCs w:val="16"/>
                <w:lang w:val="ro-MD"/>
              </w:rPr>
              <w:footnoteReference w:id="172"/>
            </w:r>
          </w:p>
        </w:tc>
        <w:tc>
          <w:tcPr>
            <w:tcW w:w="438" w:type="pct"/>
            <w:tcBorders>
              <w:top w:val="nil"/>
              <w:left w:val="nil"/>
              <w:bottom w:val="single" w:sz="4" w:space="0" w:color="auto"/>
              <w:right w:val="single" w:sz="4" w:space="0" w:color="auto"/>
            </w:tcBorders>
            <w:shd w:val="clear" w:color="auto" w:fill="auto"/>
            <w:vAlign w:val="center"/>
            <w:hideMark/>
          </w:tcPr>
          <w:p w14:paraId="0F11E400"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2 921,9</w:t>
            </w:r>
          </w:p>
        </w:tc>
        <w:tc>
          <w:tcPr>
            <w:tcW w:w="436" w:type="pct"/>
            <w:tcBorders>
              <w:top w:val="nil"/>
              <w:left w:val="nil"/>
              <w:bottom w:val="single" w:sz="4" w:space="0" w:color="auto"/>
              <w:right w:val="single" w:sz="4" w:space="0" w:color="auto"/>
            </w:tcBorders>
            <w:shd w:val="clear" w:color="auto" w:fill="auto"/>
            <w:vAlign w:val="center"/>
            <w:hideMark/>
          </w:tcPr>
          <w:p w14:paraId="3C649B1C"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3,0</w:t>
            </w:r>
          </w:p>
        </w:tc>
      </w:tr>
      <w:tr w:rsidR="004C7BE8" w:rsidRPr="00DD5F1D" w14:paraId="1E8A2E27" w14:textId="77777777" w:rsidTr="00100079">
        <w:trPr>
          <w:trHeight w:val="107"/>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4ADE5D04"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14</w:t>
            </w:r>
          </w:p>
        </w:tc>
        <w:tc>
          <w:tcPr>
            <w:tcW w:w="2068" w:type="pct"/>
            <w:tcBorders>
              <w:top w:val="nil"/>
              <w:left w:val="nil"/>
              <w:bottom w:val="single" w:sz="4" w:space="0" w:color="auto"/>
              <w:right w:val="single" w:sz="4" w:space="0" w:color="auto"/>
            </w:tcBorders>
            <w:shd w:val="clear" w:color="auto" w:fill="auto"/>
            <w:vAlign w:val="center"/>
            <w:hideMark/>
          </w:tcPr>
          <w:p w14:paraId="4FA3462F" w14:textId="77777777" w:rsidR="004C7BE8" w:rsidRPr="00DE6156" w:rsidRDefault="004C7BE8" w:rsidP="00100079">
            <w:pPr>
              <w:spacing w:after="0" w:line="240" w:lineRule="auto"/>
              <w:rPr>
                <w:rFonts w:ascii="Times New Roman" w:eastAsia="Times New Roman" w:hAnsi="Times New Roman" w:cs="Times New Roman"/>
                <w:color w:val="000000"/>
                <w:sz w:val="16"/>
                <w:szCs w:val="16"/>
                <w:lang w:val="ro-MD"/>
              </w:rPr>
            </w:pPr>
            <w:r w:rsidRPr="00DE6156">
              <w:rPr>
                <w:rFonts w:ascii="Times New Roman" w:eastAsia="Times New Roman" w:hAnsi="Times New Roman" w:cs="Times New Roman"/>
                <w:color w:val="000000"/>
                <w:sz w:val="16"/>
                <w:szCs w:val="16"/>
                <w:lang w:val="ro-MD"/>
              </w:rPr>
              <w:t>FAMILY TAXI S.R.L.</w:t>
            </w:r>
          </w:p>
        </w:tc>
        <w:tc>
          <w:tcPr>
            <w:tcW w:w="471" w:type="pct"/>
            <w:tcBorders>
              <w:top w:val="nil"/>
              <w:left w:val="nil"/>
              <w:bottom w:val="single" w:sz="4" w:space="0" w:color="auto"/>
              <w:right w:val="single" w:sz="4" w:space="0" w:color="auto"/>
            </w:tcBorders>
            <w:shd w:val="clear" w:color="auto" w:fill="auto"/>
            <w:vAlign w:val="center"/>
            <w:hideMark/>
          </w:tcPr>
          <w:p w14:paraId="45C849D9"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3 840,9</w:t>
            </w:r>
          </w:p>
        </w:tc>
        <w:tc>
          <w:tcPr>
            <w:tcW w:w="469" w:type="pct"/>
            <w:tcBorders>
              <w:top w:val="nil"/>
              <w:left w:val="nil"/>
              <w:bottom w:val="single" w:sz="4" w:space="0" w:color="auto"/>
              <w:right w:val="single" w:sz="4" w:space="0" w:color="auto"/>
            </w:tcBorders>
          </w:tcPr>
          <w:p w14:paraId="2FC5DC54"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4 217,3</w:t>
            </w:r>
          </w:p>
        </w:tc>
        <w:tc>
          <w:tcPr>
            <w:tcW w:w="469" w:type="pct"/>
            <w:tcBorders>
              <w:top w:val="single" w:sz="4" w:space="0" w:color="auto"/>
              <w:left w:val="single" w:sz="4" w:space="0" w:color="auto"/>
              <w:bottom w:val="single" w:sz="4" w:space="0" w:color="auto"/>
              <w:right w:val="single" w:sz="4" w:space="0" w:color="auto"/>
            </w:tcBorders>
            <w:vAlign w:val="center"/>
          </w:tcPr>
          <w:p w14:paraId="54A25BD4"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109.8</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A9C1A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5,8</w:t>
            </w:r>
            <w:r w:rsidRPr="00DD5F1D">
              <w:rPr>
                <w:rFonts w:ascii="Times New Roman" w:hAnsi="Times New Roman" w:cs="Times New Roman"/>
                <w:sz w:val="16"/>
                <w:szCs w:val="16"/>
                <w:vertAlign w:val="superscript"/>
                <w:lang w:val="ro-MD"/>
              </w:rPr>
              <w:t>*</w:t>
            </w:r>
          </w:p>
        </w:tc>
        <w:tc>
          <w:tcPr>
            <w:tcW w:w="438" w:type="pct"/>
            <w:tcBorders>
              <w:top w:val="nil"/>
              <w:left w:val="nil"/>
              <w:bottom w:val="single" w:sz="4" w:space="0" w:color="auto"/>
              <w:right w:val="single" w:sz="4" w:space="0" w:color="auto"/>
            </w:tcBorders>
            <w:shd w:val="clear" w:color="auto" w:fill="auto"/>
            <w:vAlign w:val="center"/>
            <w:hideMark/>
          </w:tcPr>
          <w:p w14:paraId="52765A1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1 774,8</w:t>
            </w:r>
          </w:p>
        </w:tc>
        <w:tc>
          <w:tcPr>
            <w:tcW w:w="436" w:type="pct"/>
            <w:tcBorders>
              <w:top w:val="nil"/>
              <w:left w:val="nil"/>
              <w:bottom w:val="single" w:sz="4" w:space="0" w:color="auto"/>
              <w:right w:val="single" w:sz="4" w:space="0" w:color="auto"/>
            </w:tcBorders>
            <w:shd w:val="clear" w:color="auto" w:fill="auto"/>
            <w:vAlign w:val="center"/>
            <w:hideMark/>
          </w:tcPr>
          <w:p w14:paraId="216AF01C"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75ABEC78" w14:textId="77777777" w:rsidTr="00100079">
        <w:trPr>
          <w:trHeight w:val="116"/>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361948B0"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15</w:t>
            </w:r>
          </w:p>
        </w:tc>
        <w:tc>
          <w:tcPr>
            <w:tcW w:w="2068" w:type="pct"/>
            <w:tcBorders>
              <w:top w:val="nil"/>
              <w:left w:val="nil"/>
              <w:bottom w:val="single" w:sz="4" w:space="0" w:color="auto"/>
              <w:right w:val="single" w:sz="4" w:space="0" w:color="auto"/>
            </w:tcBorders>
            <w:shd w:val="clear" w:color="auto" w:fill="auto"/>
            <w:vAlign w:val="center"/>
            <w:hideMark/>
          </w:tcPr>
          <w:p w14:paraId="03065C76" w14:textId="77777777" w:rsidR="004C7BE8" w:rsidRPr="00DE6156" w:rsidRDefault="004C7BE8" w:rsidP="00100079">
            <w:pPr>
              <w:spacing w:after="0" w:line="240" w:lineRule="auto"/>
              <w:rPr>
                <w:rFonts w:ascii="Times New Roman" w:eastAsia="Times New Roman" w:hAnsi="Times New Roman" w:cs="Times New Roman"/>
                <w:color w:val="000000"/>
                <w:sz w:val="16"/>
                <w:szCs w:val="16"/>
                <w:lang w:val="ro-MD"/>
              </w:rPr>
            </w:pPr>
            <w:r w:rsidRPr="00DE6156">
              <w:rPr>
                <w:rFonts w:ascii="Times New Roman" w:eastAsia="Times New Roman" w:hAnsi="Times New Roman" w:cs="Times New Roman"/>
                <w:color w:val="000000"/>
                <w:sz w:val="16"/>
                <w:szCs w:val="16"/>
                <w:lang w:val="ro-MD"/>
              </w:rPr>
              <w:t>GMG PRODUCTION SRL</w:t>
            </w:r>
          </w:p>
        </w:tc>
        <w:tc>
          <w:tcPr>
            <w:tcW w:w="471" w:type="pct"/>
            <w:tcBorders>
              <w:top w:val="nil"/>
              <w:left w:val="nil"/>
              <w:bottom w:val="single" w:sz="4" w:space="0" w:color="auto"/>
              <w:right w:val="single" w:sz="4" w:space="0" w:color="auto"/>
            </w:tcBorders>
            <w:shd w:val="clear" w:color="auto" w:fill="auto"/>
            <w:vAlign w:val="center"/>
            <w:hideMark/>
          </w:tcPr>
          <w:p w14:paraId="2615CA2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225 783,15</w:t>
            </w:r>
          </w:p>
        </w:tc>
        <w:tc>
          <w:tcPr>
            <w:tcW w:w="469" w:type="pct"/>
            <w:tcBorders>
              <w:top w:val="nil"/>
              <w:left w:val="nil"/>
              <w:bottom w:val="single" w:sz="4" w:space="0" w:color="auto"/>
              <w:right w:val="single" w:sz="4" w:space="0" w:color="auto"/>
            </w:tcBorders>
          </w:tcPr>
          <w:p w14:paraId="2CF8DEE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2 514,4</w:t>
            </w:r>
          </w:p>
        </w:tc>
        <w:tc>
          <w:tcPr>
            <w:tcW w:w="469" w:type="pct"/>
            <w:tcBorders>
              <w:top w:val="single" w:sz="4" w:space="0" w:color="auto"/>
              <w:left w:val="single" w:sz="4" w:space="0" w:color="auto"/>
              <w:bottom w:val="single" w:sz="4" w:space="0" w:color="auto"/>
              <w:right w:val="single" w:sz="4" w:space="0" w:color="auto"/>
            </w:tcBorders>
            <w:vAlign w:val="center"/>
          </w:tcPr>
          <w:p w14:paraId="628B7517"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17F04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 -</w:t>
            </w:r>
            <w:r w:rsidRPr="00DD5F1D">
              <w:rPr>
                <w:rStyle w:val="a5"/>
                <w:rFonts w:ascii="Times New Roman" w:eastAsia="Times New Roman" w:hAnsi="Times New Roman" w:cs="Times New Roman"/>
                <w:sz w:val="16"/>
                <w:szCs w:val="16"/>
                <w:lang w:val="ro-MD"/>
              </w:rPr>
              <w:footnoteReference w:id="173"/>
            </w:r>
          </w:p>
        </w:tc>
        <w:tc>
          <w:tcPr>
            <w:tcW w:w="438" w:type="pct"/>
            <w:tcBorders>
              <w:top w:val="nil"/>
              <w:left w:val="nil"/>
              <w:bottom w:val="single" w:sz="4" w:space="0" w:color="auto"/>
              <w:right w:val="single" w:sz="4" w:space="0" w:color="auto"/>
            </w:tcBorders>
            <w:shd w:val="clear" w:color="auto" w:fill="auto"/>
            <w:vAlign w:val="center"/>
            <w:hideMark/>
          </w:tcPr>
          <w:p w14:paraId="00690C51"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1 921,8</w:t>
            </w:r>
          </w:p>
        </w:tc>
        <w:tc>
          <w:tcPr>
            <w:tcW w:w="436" w:type="pct"/>
            <w:tcBorders>
              <w:top w:val="nil"/>
              <w:left w:val="nil"/>
              <w:bottom w:val="single" w:sz="4" w:space="0" w:color="auto"/>
              <w:right w:val="single" w:sz="4" w:space="0" w:color="auto"/>
            </w:tcBorders>
            <w:shd w:val="clear" w:color="auto" w:fill="auto"/>
            <w:vAlign w:val="center"/>
            <w:hideMark/>
          </w:tcPr>
          <w:p w14:paraId="590A27F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870,1</w:t>
            </w:r>
          </w:p>
        </w:tc>
      </w:tr>
      <w:tr w:rsidR="004C7BE8" w:rsidRPr="00DD5F1D" w14:paraId="1ED1A380" w14:textId="77777777" w:rsidTr="00100079">
        <w:trPr>
          <w:trHeight w:val="53"/>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5F9BB998"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16</w:t>
            </w:r>
          </w:p>
        </w:tc>
        <w:tc>
          <w:tcPr>
            <w:tcW w:w="2068" w:type="pct"/>
            <w:tcBorders>
              <w:top w:val="nil"/>
              <w:left w:val="nil"/>
              <w:bottom w:val="single" w:sz="4" w:space="0" w:color="auto"/>
              <w:right w:val="single" w:sz="4" w:space="0" w:color="auto"/>
            </w:tcBorders>
            <w:shd w:val="clear" w:color="auto" w:fill="auto"/>
            <w:vAlign w:val="center"/>
            <w:hideMark/>
          </w:tcPr>
          <w:p w14:paraId="742BDBC0"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SA VITIS-HINCESTI</w:t>
            </w:r>
          </w:p>
        </w:tc>
        <w:tc>
          <w:tcPr>
            <w:tcW w:w="471" w:type="pct"/>
            <w:tcBorders>
              <w:top w:val="nil"/>
              <w:left w:val="nil"/>
              <w:bottom w:val="single" w:sz="4" w:space="0" w:color="auto"/>
              <w:right w:val="single" w:sz="4" w:space="0" w:color="auto"/>
            </w:tcBorders>
            <w:shd w:val="clear" w:color="auto" w:fill="auto"/>
            <w:vAlign w:val="center"/>
          </w:tcPr>
          <w:p w14:paraId="519A454B"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nil"/>
              <w:bottom w:val="single" w:sz="4" w:space="0" w:color="auto"/>
              <w:right w:val="single" w:sz="4" w:space="0" w:color="auto"/>
            </w:tcBorders>
          </w:tcPr>
          <w:p w14:paraId="2661217E"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9 257,7</w:t>
            </w:r>
          </w:p>
        </w:tc>
        <w:tc>
          <w:tcPr>
            <w:tcW w:w="469" w:type="pct"/>
            <w:tcBorders>
              <w:top w:val="single" w:sz="4" w:space="0" w:color="auto"/>
              <w:left w:val="single" w:sz="4" w:space="0" w:color="auto"/>
              <w:bottom w:val="single" w:sz="4" w:space="0" w:color="auto"/>
              <w:right w:val="single" w:sz="4" w:space="0" w:color="auto"/>
            </w:tcBorders>
            <w:vAlign w:val="center"/>
          </w:tcPr>
          <w:p w14:paraId="774EB10B"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EADDC5"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71,5</w:t>
            </w:r>
            <w:r w:rsidRPr="00DD5F1D">
              <w:rPr>
                <w:rFonts w:ascii="Times New Roman" w:hAnsi="Times New Roman" w:cs="Times New Roman"/>
                <w:sz w:val="16"/>
                <w:szCs w:val="16"/>
                <w:vertAlign w:val="superscript"/>
                <w:lang w:val="ro-MD"/>
              </w:rPr>
              <w:t>*</w:t>
            </w:r>
          </w:p>
        </w:tc>
        <w:tc>
          <w:tcPr>
            <w:tcW w:w="438" w:type="pct"/>
            <w:tcBorders>
              <w:top w:val="nil"/>
              <w:left w:val="nil"/>
              <w:bottom w:val="single" w:sz="4" w:space="0" w:color="auto"/>
              <w:right w:val="single" w:sz="4" w:space="0" w:color="auto"/>
            </w:tcBorders>
            <w:shd w:val="clear" w:color="auto" w:fill="auto"/>
            <w:vAlign w:val="center"/>
            <w:hideMark/>
          </w:tcPr>
          <w:p w14:paraId="6D4AA24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2 207,1</w:t>
            </w:r>
          </w:p>
        </w:tc>
        <w:tc>
          <w:tcPr>
            <w:tcW w:w="436" w:type="pct"/>
            <w:tcBorders>
              <w:top w:val="nil"/>
              <w:left w:val="nil"/>
              <w:bottom w:val="single" w:sz="4" w:space="0" w:color="auto"/>
              <w:right w:val="single" w:sz="4" w:space="0" w:color="auto"/>
            </w:tcBorders>
            <w:shd w:val="clear" w:color="auto" w:fill="auto"/>
            <w:vAlign w:val="center"/>
            <w:hideMark/>
          </w:tcPr>
          <w:p w14:paraId="633FBA0E"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72F6FDB9" w14:textId="77777777" w:rsidTr="00100079">
        <w:trPr>
          <w:trHeight w:val="89"/>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6B7A1501"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17</w:t>
            </w:r>
          </w:p>
        </w:tc>
        <w:tc>
          <w:tcPr>
            <w:tcW w:w="2068" w:type="pct"/>
            <w:tcBorders>
              <w:top w:val="nil"/>
              <w:left w:val="nil"/>
              <w:bottom w:val="single" w:sz="4" w:space="0" w:color="auto"/>
              <w:right w:val="single" w:sz="4" w:space="0" w:color="auto"/>
            </w:tcBorders>
            <w:shd w:val="clear" w:color="auto" w:fill="auto"/>
            <w:vAlign w:val="center"/>
            <w:hideMark/>
          </w:tcPr>
          <w:p w14:paraId="4584A759"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CA AIR MOLDOVA SRL</w:t>
            </w:r>
          </w:p>
        </w:tc>
        <w:tc>
          <w:tcPr>
            <w:tcW w:w="471" w:type="pct"/>
            <w:tcBorders>
              <w:top w:val="nil"/>
              <w:left w:val="nil"/>
              <w:bottom w:val="single" w:sz="4" w:space="0" w:color="auto"/>
              <w:right w:val="single" w:sz="4" w:space="0" w:color="auto"/>
            </w:tcBorders>
            <w:shd w:val="clear" w:color="auto" w:fill="auto"/>
            <w:vAlign w:val="center"/>
          </w:tcPr>
          <w:p w14:paraId="0D14CF09"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nil"/>
              <w:bottom w:val="single" w:sz="4" w:space="0" w:color="auto"/>
              <w:right w:val="single" w:sz="4" w:space="0" w:color="auto"/>
            </w:tcBorders>
          </w:tcPr>
          <w:p w14:paraId="72574D9B"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9 959,7</w:t>
            </w:r>
          </w:p>
        </w:tc>
        <w:tc>
          <w:tcPr>
            <w:tcW w:w="469" w:type="pct"/>
            <w:tcBorders>
              <w:top w:val="single" w:sz="4" w:space="0" w:color="auto"/>
              <w:left w:val="single" w:sz="4" w:space="0" w:color="auto"/>
              <w:bottom w:val="single" w:sz="4" w:space="0" w:color="auto"/>
              <w:right w:val="single" w:sz="4" w:space="0" w:color="auto"/>
            </w:tcBorders>
            <w:vAlign w:val="center"/>
          </w:tcPr>
          <w:p w14:paraId="1A491C2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C922B1" w14:textId="77777777" w:rsidR="004C7BE8" w:rsidRPr="00DD5F1D" w:rsidRDefault="004C7BE8" w:rsidP="00100079">
            <w:pPr>
              <w:spacing w:after="0" w:line="240" w:lineRule="auto"/>
              <w:jc w:val="right"/>
              <w:rPr>
                <w:rFonts w:ascii="Times New Roman" w:eastAsia="Times New Roman" w:hAnsi="Times New Roman" w:cs="Times New Roman"/>
                <w:sz w:val="16"/>
                <w:szCs w:val="16"/>
                <w:vertAlign w:val="superscript"/>
                <w:lang w:val="ro-MD"/>
              </w:rPr>
            </w:pPr>
            <w:r w:rsidRPr="00DD5F1D">
              <w:rPr>
                <w:rFonts w:ascii="Times New Roman" w:eastAsia="Times New Roman" w:hAnsi="Times New Roman" w:cs="Times New Roman"/>
                <w:sz w:val="16"/>
                <w:szCs w:val="16"/>
                <w:lang w:val="ro-MD"/>
              </w:rPr>
              <w:t>-</w:t>
            </w:r>
            <w:r w:rsidRPr="00DD5F1D">
              <w:rPr>
                <w:rFonts w:ascii="Times New Roman" w:eastAsia="Times New Roman" w:hAnsi="Times New Roman" w:cs="Times New Roman"/>
                <w:sz w:val="16"/>
                <w:szCs w:val="16"/>
                <w:vertAlign w:val="superscript"/>
                <w:lang w:val="ro-MD"/>
              </w:rPr>
              <w:t>*</w:t>
            </w:r>
          </w:p>
        </w:tc>
        <w:tc>
          <w:tcPr>
            <w:tcW w:w="438" w:type="pct"/>
            <w:tcBorders>
              <w:top w:val="nil"/>
              <w:left w:val="nil"/>
              <w:bottom w:val="single" w:sz="4" w:space="0" w:color="auto"/>
              <w:right w:val="single" w:sz="4" w:space="0" w:color="auto"/>
            </w:tcBorders>
            <w:shd w:val="clear" w:color="auto" w:fill="auto"/>
            <w:vAlign w:val="center"/>
            <w:hideMark/>
          </w:tcPr>
          <w:p w14:paraId="1C4487B7"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8 121,6</w:t>
            </w:r>
          </w:p>
        </w:tc>
        <w:tc>
          <w:tcPr>
            <w:tcW w:w="436" w:type="pct"/>
            <w:tcBorders>
              <w:top w:val="nil"/>
              <w:left w:val="nil"/>
              <w:bottom w:val="single" w:sz="4" w:space="0" w:color="auto"/>
              <w:right w:val="single" w:sz="4" w:space="0" w:color="auto"/>
            </w:tcBorders>
            <w:shd w:val="clear" w:color="auto" w:fill="auto"/>
            <w:vAlign w:val="center"/>
            <w:hideMark/>
          </w:tcPr>
          <w:p w14:paraId="0C173FCB"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13 500,0</w:t>
            </w:r>
          </w:p>
        </w:tc>
      </w:tr>
      <w:tr w:rsidR="004C7BE8" w:rsidRPr="00DD5F1D" w14:paraId="1CDAAFD5" w14:textId="77777777" w:rsidTr="00100079">
        <w:trPr>
          <w:trHeight w:val="125"/>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08709E24"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18</w:t>
            </w:r>
          </w:p>
        </w:tc>
        <w:tc>
          <w:tcPr>
            <w:tcW w:w="2068" w:type="pct"/>
            <w:tcBorders>
              <w:top w:val="nil"/>
              <w:left w:val="nil"/>
              <w:bottom w:val="single" w:sz="4" w:space="0" w:color="auto"/>
              <w:right w:val="single" w:sz="4" w:space="0" w:color="auto"/>
            </w:tcBorders>
            <w:shd w:val="clear" w:color="auto" w:fill="auto"/>
            <w:vAlign w:val="center"/>
            <w:hideMark/>
          </w:tcPr>
          <w:p w14:paraId="636F8F56"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SC VECTRO GRUP SRL</w:t>
            </w:r>
          </w:p>
        </w:tc>
        <w:tc>
          <w:tcPr>
            <w:tcW w:w="471" w:type="pct"/>
            <w:tcBorders>
              <w:top w:val="nil"/>
              <w:left w:val="nil"/>
              <w:bottom w:val="single" w:sz="4" w:space="0" w:color="auto"/>
              <w:right w:val="single" w:sz="4" w:space="0" w:color="auto"/>
            </w:tcBorders>
            <w:shd w:val="clear" w:color="auto" w:fill="auto"/>
            <w:vAlign w:val="center"/>
          </w:tcPr>
          <w:p w14:paraId="49DAC24A"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nil"/>
              <w:bottom w:val="single" w:sz="4" w:space="0" w:color="auto"/>
              <w:right w:val="single" w:sz="4" w:space="0" w:color="auto"/>
            </w:tcBorders>
          </w:tcPr>
          <w:p w14:paraId="685C67DF"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5 396,1</w:t>
            </w:r>
          </w:p>
        </w:tc>
        <w:tc>
          <w:tcPr>
            <w:tcW w:w="469" w:type="pct"/>
            <w:tcBorders>
              <w:top w:val="single" w:sz="4" w:space="0" w:color="auto"/>
              <w:left w:val="single" w:sz="4" w:space="0" w:color="auto"/>
              <w:bottom w:val="single" w:sz="4" w:space="0" w:color="auto"/>
              <w:right w:val="single" w:sz="4" w:space="0" w:color="auto"/>
            </w:tcBorders>
            <w:vAlign w:val="center"/>
          </w:tcPr>
          <w:p w14:paraId="3C09D1CB"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C23548"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r w:rsidRPr="00DD5F1D">
              <w:rPr>
                <w:rFonts w:ascii="Times New Roman" w:eastAsia="Times New Roman" w:hAnsi="Times New Roman" w:cs="Times New Roman"/>
                <w:sz w:val="16"/>
                <w:szCs w:val="16"/>
                <w:vertAlign w:val="superscript"/>
                <w:lang w:val="ro-MD"/>
              </w:rPr>
              <w:t>*</w:t>
            </w:r>
          </w:p>
        </w:tc>
        <w:tc>
          <w:tcPr>
            <w:tcW w:w="438" w:type="pct"/>
            <w:tcBorders>
              <w:top w:val="nil"/>
              <w:left w:val="nil"/>
              <w:bottom w:val="single" w:sz="4" w:space="0" w:color="auto"/>
              <w:right w:val="single" w:sz="4" w:space="0" w:color="auto"/>
            </w:tcBorders>
            <w:shd w:val="clear" w:color="auto" w:fill="auto"/>
            <w:vAlign w:val="center"/>
            <w:hideMark/>
          </w:tcPr>
          <w:p w14:paraId="3882F18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5 427,1</w:t>
            </w:r>
          </w:p>
        </w:tc>
        <w:tc>
          <w:tcPr>
            <w:tcW w:w="436" w:type="pct"/>
            <w:tcBorders>
              <w:top w:val="nil"/>
              <w:left w:val="nil"/>
              <w:bottom w:val="single" w:sz="4" w:space="0" w:color="auto"/>
              <w:right w:val="single" w:sz="4" w:space="0" w:color="auto"/>
            </w:tcBorders>
            <w:shd w:val="clear" w:color="auto" w:fill="auto"/>
            <w:vAlign w:val="center"/>
            <w:hideMark/>
          </w:tcPr>
          <w:p w14:paraId="1277E6B7"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0,2</w:t>
            </w:r>
          </w:p>
        </w:tc>
      </w:tr>
      <w:tr w:rsidR="004C7BE8" w:rsidRPr="00DD5F1D" w14:paraId="595DB19F" w14:textId="77777777" w:rsidTr="00100079">
        <w:trPr>
          <w:trHeight w:val="47"/>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0C983E72"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19</w:t>
            </w:r>
          </w:p>
        </w:tc>
        <w:tc>
          <w:tcPr>
            <w:tcW w:w="2068" w:type="pct"/>
            <w:tcBorders>
              <w:top w:val="nil"/>
              <w:left w:val="nil"/>
              <w:bottom w:val="single" w:sz="4" w:space="0" w:color="auto"/>
              <w:right w:val="single" w:sz="4" w:space="0" w:color="auto"/>
            </w:tcBorders>
            <w:shd w:val="clear" w:color="auto" w:fill="auto"/>
            <w:vAlign w:val="center"/>
            <w:hideMark/>
          </w:tcPr>
          <w:p w14:paraId="47A05A81"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CORTEN CAP</w:t>
            </w:r>
          </w:p>
        </w:tc>
        <w:tc>
          <w:tcPr>
            <w:tcW w:w="471" w:type="pct"/>
            <w:tcBorders>
              <w:top w:val="nil"/>
              <w:left w:val="nil"/>
              <w:bottom w:val="single" w:sz="4" w:space="0" w:color="auto"/>
              <w:right w:val="single" w:sz="4" w:space="0" w:color="auto"/>
            </w:tcBorders>
            <w:shd w:val="clear" w:color="auto" w:fill="auto"/>
            <w:vAlign w:val="center"/>
            <w:hideMark/>
          </w:tcPr>
          <w:p w14:paraId="6DBCDE74"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29 560,7</w:t>
            </w:r>
          </w:p>
        </w:tc>
        <w:tc>
          <w:tcPr>
            <w:tcW w:w="469" w:type="pct"/>
            <w:tcBorders>
              <w:top w:val="nil"/>
              <w:left w:val="nil"/>
              <w:bottom w:val="single" w:sz="4" w:space="0" w:color="auto"/>
              <w:right w:val="single" w:sz="4" w:space="0" w:color="auto"/>
            </w:tcBorders>
          </w:tcPr>
          <w:p w14:paraId="01AEEEF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12 648,4</w:t>
            </w:r>
          </w:p>
        </w:tc>
        <w:tc>
          <w:tcPr>
            <w:tcW w:w="469" w:type="pct"/>
            <w:tcBorders>
              <w:top w:val="single" w:sz="4" w:space="0" w:color="auto"/>
              <w:left w:val="single" w:sz="4" w:space="0" w:color="auto"/>
              <w:bottom w:val="single" w:sz="4" w:space="0" w:color="auto"/>
              <w:right w:val="single" w:sz="4" w:space="0" w:color="auto"/>
            </w:tcBorders>
            <w:vAlign w:val="center"/>
          </w:tcPr>
          <w:p w14:paraId="2F11757C"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42.8</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D4D909"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1 515,0</w:t>
            </w:r>
            <w:r w:rsidRPr="00DD5F1D">
              <w:rPr>
                <w:rStyle w:val="a5"/>
                <w:rFonts w:ascii="Times New Roman" w:eastAsia="Times New Roman" w:hAnsi="Times New Roman" w:cs="Times New Roman"/>
                <w:sz w:val="16"/>
                <w:szCs w:val="16"/>
                <w:lang w:val="ro-MD"/>
              </w:rPr>
              <w:footnoteReference w:id="174"/>
            </w:r>
          </w:p>
        </w:tc>
        <w:tc>
          <w:tcPr>
            <w:tcW w:w="438" w:type="pct"/>
            <w:tcBorders>
              <w:top w:val="nil"/>
              <w:left w:val="nil"/>
              <w:bottom w:val="single" w:sz="4" w:space="0" w:color="auto"/>
              <w:right w:val="single" w:sz="4" w:space="0" w:color="auto"/>
            </w:tcBorders>
            <w:shd w:val="clear" w:color="auto" w:fill="auto"/>
            <w:vAlign w:val="center"/>
            <w:hideMark/>
          </w:tcPr>
          <w:p w14:paraId="3F97079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5 432,2</w:t>
            </w:r>
          </w:p>
        </w:tc>
        <w:tc>
          <w:tcPr>
            <w:tcW w:w="436" w:type="pct"/>
            <w:tcBorders>
              <w:top w:val="nil"/>
              <w:left w:val="nil"/>
              <w:bottom w:val="single" w:sz="4" w:space="0" w:color="auto"/>
              <w:right w:val="single" w:sz="4" w:space="0" w:color="auto"/>
            </w:tcBorders>
            <w:shd w:val="clear" w:color="auto" w:fill="auto"/>
            <w:vAlign w:val="center"/>
            <w:hideMark/>
          </w:tcPr>
          <w:p w14:paraId="200ACCC0"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36D05A2D" w14:textId="77777777" w:rsidTr="00100079">
        <w:trPr>
          <w:trHeight w:val="47"/>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7A7412B9"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20</w:t>
            </w:r>
          </w:p>
        </w:tc>
        <w:tc>
          <w:tcPr>
            <w:tcW w:w="2068" w:type="pct"/>
            <w:tcBorders>
              <w:top w:val="nil"/>
              <w:left w:val="nil"/>
              <w:bottom w:val="single" w:sz="4" w:space="0" w:color="auto"/>
              <w:right w:val="single" w:sz="4" w:space="0" w:color="auto"/>
            </w:tcBorders>
            <w:shd w:val="clear" w:color="auto" w:fill="auto"/>
            <w:vAlign w:val="center"/>
            <w:hideMark/>
          </w:tcPr>
          <w:p w14:paraId="51FF4DF9"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CLUBUL SPORTIV DACIA</w:t>
            </w:r>
          </w:p>
        </w:tc>
        <w:tc>
          <w:tcPr>
            <w:tcW w:w="471" w:type="pct"/>
            <w:tcBorders>
              <w:top w:val="nil"/>
              <w:left w:val="nil"/>
              <w:bottom w:val="single" w:sz="4" w:space="0" w:color="auto"/>
              <w:right w:val="single" w:sz="4" w:space="0" w:color="auto"/>
            </w:tcBorders>
            <w:shd w:val="clear" w:color="auto" w:fill="auto"/>
            <w:vAlign w:val="center"/>
            <w:hideMark/>
          </w:tcPr>
          <w:p w14:paraId="4A5F3295"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6 932,6</w:t>
            </w:r>
          </w:p>
        </w:tc>
        <w:tc>
          <w:tcPr>
            <w:tcW w:w="469" w:type="pct"/>
            <w:tcBorders>
              <w:top w:val="nil"/>
              <w:left w:val="nil"/>
              <w:bottom w:val="single" w:sz="4" w:space="0" w:color="auto"/>
              <w:right w:val="single" w:sz="4" w:space="0" w:color="auto"/>
            </w:tcBorders>
          </w:tcPr>
          <w:p w14:paraId="412451E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6 547,0</w:t>
            </w:r>
          </w:p>
        </w:tc>
        <w:tc>
          <w:tcPr>
            <w:tcW w:w="469" w:type="pct"/>
            <w:tcBorders>
              <w:top w:val="single" w:sz="4" w:space="0" w:color="auto"/>
              <w:left w:val="single" w:sz="4" w:space="0" w:color="auto"/>
              <w:bottom w:val="single" w:sz="4" w:space="0" w:color="auto"/>
              <w:right w:val="single" w:sz="4" w:space="0" w:color="auto"/>
            </w:tcBorders>
            <w:vAlign w:val="center"/>
          </w:tcPr>
          <w:p w14:paraId="2966C13E"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94.4</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10357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r w:rsidRPr="00DD5F1D">
              <w:rPr>
                <w:rFonts w:ascii="Times New Roman" w:eastAsia="Times New Roman" w:hAnsi="Times New Roman" w:cs="Times New Roman"/>
                <w:sz w:val="16"/>
                <w:szCs w:val="16"/>
                <w:vertAlign w:val="superscript"/>
                <w:lang w:val="ro-MD"/>
              </w:rPr>
              <w:t>*</w:t>
            </w:r>
          </w:p>
        </w:tc>
        <w:tc>
          <w:tcPr>
            <w:tcW w:w="438" w:type="pct"/>
            <w:tcBorders>
              <w:top w:val="nil"/>
              <w:left w:val="nil"/>
              <w:bottom w:val="single" w:sz="4" w:space="0" w:color="auto"/>
              <w:right w:val="single" w:sz="4" w:space="0" w:color="auto"/>
            </w:tcBorders>
            <w:shd w:val="clear" w:color="auto" w:fill="auto"/>
            <w:vAlign w:val="center"/>
            <w:hideMark/>
          </w:tcPr>
          <w:p w14:paraId="16DF530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3 740,6</w:t>
            </w:r>
          </w:p>
        </w:tc>
        <w:tc>
          <w:tcPr>
            <w:tcW w:w="436" w:type="pct"/>
            <w:tcBorders>
              <w:top w:val="nil"/>
              <w:left w:val="nil"/>
              <w:bottom w:val="single" w:sz="4" w:space="0" w:color="auto"/>
              <w:right w:val="single" w:sz="4" w:space="0" w:color="auto"/>
            </w:tcBorders>
            <w:shd w:val="clear" w:color="auto" w:fill="auto"/>
            <w:vAlign w:val="center"/>
            <w:hideMark/>
          </w:tcPr>
          <w:p w14:paraId="1080C348"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387041CC" w14:textId="77777777" w:rsidTr="00100079">
        <w:trPr>
          <w:trHeight w:val="47"/>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722052F3"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21</w:t>
            </w:r>
          </w:p>
        </w:tc>
        <w:tc>
          <w:tcPr>
            <w:tcW w:w="2068" w:type="pct"/>
            <w:tcBorders>
              <w:top w:val="nil"/>
              <w:left w:val="nil"/>
              <w:bottom w:val="single" w:sz="4" w:space="0" w:color="auto"/>
              <w:right w:val="single" w:sz="4" w:space="0" w:color="auto"/>
            </w:tcBorders>
            <w:shd w:val="clear" w:color="auto" w:fill="auto"/>
            <w:vAlign w:val="center"/>
            <w:hideMark/>
          </w:tcPr>
          <w:p w14:paraId="5D1B35FA"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ANCHIR S.A.</w:t>
            </w:r>
          </w:p>
        </w:tc>
        <w:tc>
          <w:tcPr>
            <w:tcW w:w="471" w:type="pct"/>
            <w:tcBorders>
              <w:top w:val="nil"/>
              <w:left w:val="nil"/>
              <w:bottom w:val="single" w:sz="4" w:space="0" w:color="auto"/>
              <w:right w:val="single" w:sz="4" w:space="0" w:color="auto"/>
            </w:tcBorders>
            <w:shd w:val="clear" w:color="auto" w:fill="auto"/>
            <w:vAlign w:val="center"/>
            <w:hideMark/>
          </w:tcPr>
          <w:p w14:paraId="77F2A1D7"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84 443,9</w:t>
            </w:r>
          </w:p>
        </w:tc>
        <w:tc>
          <w:tcPr>
            <w:tcW w:w="469" w:type="pct"/>
            <w:tcBorders>
              <w:top w:val="nil"/>
              <w:left w:val="nil"/>
              <w:bottom w:val="single" w:sz="4" w:space="0" w:color="auto"/>
              <w:right w:val="single" w:sz="4" w:space="0" w:color="auto"/>
            </w:tcBorders>
          </w:tcPr>
          <w:p w14:paraId="3237B62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6 715,1</w:t>
            </w:r>
          </w:p>
        </w:tc>
        <w:tc>
          <w:tcPr>
            <w:tcW w:w="469" w:type="pct"/>
            <w:tcBorders>
              <w:top w:val="single" w:sz="4" w:space="0" w:color="auto"/>
              <w:left w:val="single" w:sz="4" w:space="0" w:color="auto"/>
              <w:bottom w:val="single" w:sz="4" w:space="0" w:color="auto"/>
              <w:right w:val="single" w:sz="4" w:space="0" w:color="auto"/>
            </w:tcBorders>
            <w:vAlign w:val="center"/>
          </w:tcPr>
          <w:p w14:paraId="1E53081A"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8.0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6A8770"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7 026,6</w:t>
            </w:r>
            <w:r w:rsidRPr="00DD5F1D">
              <w:rPr>
                <w:rStyle w:val="a5"/>
                <w:rFonts w:ascii="Times New Roman" w:hAnsi="Times New Roman" w:cs="Times New Roman"/>
                <w:sz w:val="16"/>
                <w:szCs w:val="16"/>
                <w:lang w:val="ro-MD"/>
              </w:rPr>
              <w:t>*</w:t>
            </w:r>
          </w:p>
        </w:tc>
        <w:tc>
          <w:tcPr>
            <w:tcW w:w="438" w:type="pct"/>
            <w:tcBorders>
              <w:top w:val="nil"/>
              <w:left w:val="nil"/>
              <w:bottom w:val="single" w:sz="4" w:space="0" w:color="auto"/>
              <w:right w:val="single" w:sz="4" w:space="0" w:color="auto"/>
            </w:tcBorders>
            <w:shd w:val="clear" w:color="auto" w:fill="auto"/>
            <w:vAlign w:val="center"/>
            <w:hideMark/>
          </w:tcPr>
          <w:p w14:paraId="7BDAC427"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3 953,3</w:t>
            </w:r>
          </w:p>
        </w:tc>
        <w:tc>
          <w:tcPr>
            <w:tcW w:w="436" w:type="pct"/>
            <w:tcBorders>
              <w:top w:val="nil"/>
              <w:left w:val="nil"/>
              <w:bottom w:val="single" w:sz="4" w:space="0" w:color="auto"/>
              <w:right w:val="single" w:sz="4" w:space="0" w:color="auto"/>
            </w:tcBorders>
            <w:shd w:val="clear" w:color="auto" w:fill="auto"/>
            <w:vAlign w:val="center"/>
            <w:hideMark/>
          </w:tcPr>
          <w:p w14:paraId="12A3FEBD"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406D1029" w14:textId="77777777" w:rsidTr="00100079">
        <w:trPr>
          <w:trHeight w:val="47"/>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4598FE3C"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22</w:t>
            </w:r>
          </w:p>
        </w:tc>
        <w:tc>
          <w:tcPr>
            <w:tcW w:w="2068" w:type="pct"/>
            <w:tcBorders>
              <w:top w:val="nil"/>
              <w:left w:val="nil"/>
              <w:bottom w:val="single" w:sz="4" w:space="0" w:color="auto"/>
              <w:right w:val="single" w:sz="4" w:space="0" w:color="auto"/>
            </w:tcBorders>
            <w:shd w:val="clear" w:color="auto" w:fill="auto"/>
            <w:vAlign w:val="center"/>
            <w:hideMark/>
          </w:tcPr>
          <w:p w14:paraId="195E1672"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SC VILA DEMETRA SRL</w:t>
            </w:r>
          </w:p>
        </w:tc>
        <w:tc>
          <w:tcPr>
            <w:tcW w:w="471" w:type="pct"/>
            <w:tcBorders>
              <w:top w:val="nil"/>
              <w:left w:val="nil"/>
              <w:bottom w:val="single" w:sz="4" w:space="0" w:color="auto"/>
              <w:right w:val="single" w:sz="4" w:space="0" w:color="auto"/>
            </w:tcBorders>
            <w:shd w:val="clear" w:color="auto" w:fill="auto"/>
            <w:vAlign w:val="center"/>
            <w:hideMark/>
          </w:tcPr>
          <w:p w14:paraId="498FD44D"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nil"/>
              <w:bottom w:val="single" w:sz="4" w:space="0" w:color="auto"/>
              <w:right w:val="single" w:sz="4" w:space="0" w:color="auto"/>
            </w:tcBorders>
          </w:tcPr>
          <w:p w14:paraId="2DD0735A"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5 344,8</w:t>
            </w:r>
          </w:p>
        </w:tc>
        <w:tc>
          <w:tcPr>
            <w:tcW w:w="469" w:type="pct"/>
            <w:tcBorders>
              <w:top w:val="single" w:sz="4" w:space="0" w:color="auto"/>
              <w:left w:val="single" w:sz="4" w:space="0" w:color="auto"/>
              <w:bottom w:val="single" w:sz="4" w:space="0" w:color="auto"/>
              <w:right w:val="single" w:sz="4" w:space="0" w:color="auto"/>
            </w:tcBorders>
            <w:vAlign w:val="center"/>
          </w:tcPr>
          <w:p w14:paraId="30E61452"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A6525A"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w:t>
            </w:r>
            <w:r w:rsidRPr="00DD5F1D">
              <w:rPr>
                <w:rFonts w:ascii="Times New Roman" w:eastAsia="Times New Roman" w:hAnsi="Times New Roman" w:cs="Times New Roman"/>
                <w:sz w:val="16"/>
                <w:szCs w:val="16"/>
                <w:vertAlign w:val="superscript"/>
                <w:lang w:val="ro-MD"/>
              </w:rPr>
              <w:t>*</w:t>
            </w:r>
          </w:p>
        </w:tc>
        <w:tc>
          <w:tcPr>
            <w:tcW w:w="438" w:type="pct"/>
            <w:tcBorders>
              <w:top w:val="nil"/>
              <w:left w:val="nil"/>
              <w:bottom w:val="single" w:sz="4" w:space="0" w:color="auto"/>
              <w:right w:val="single" w:sz="4" w:space="0" w:color="auto"/>
            </w:tcBorders>
            <w:shd w:val="clear" w:color="auto" w:fill="auto"/>
            <w:vAlign w:val="center"/>
            <w:hideMark/>
          </w:tcPr>
          <w:p w14:paraId="58B201E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7 294,7</w:t>
            </w:r>
          </w:p>
        </w:tc>
        <w:tc>
          <w:tcPr>
            <w:tcW w:w="436" w:type="pct"/>
            <w:tcBorders>
              <w:top w:val="nil"/>
              <w:left w:val="nil"/>
              <w:bottom w:val="single" w:sz="4" w:space="0" w:color="auto"/>
              <w:right w:val="single" w:sz="4" w:space="0" w:color="auto"/>
            </w:tcBorders>
            <w:shd w:val="clear" w:color="auto" w:fill="auto"/>
            <w:vAlign w:val="center"/>
            <w:hideMark/>
          </w:tcPr>
          <w:p w14:paraId="3FFF4E56"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42320755" w14:textId="77777777" w:rsidTr="00100079">
        <w:trPr>
          <w:trHeight w:val="47"/>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14:paraId="3311C358"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23</w:t>
            </w:r>
          </w:p>
        </w:tc>
        <w:tc>
          <w:tcPr>
            <w:tcW w:w="2068" w:type="pct"/>
            <w:tcBorders>
              <w:top w:val="nil"/>
              <w:left w:val="nil"/>
              <w:bottom w:val="single" w:sz="4" w:space="0" w:color="auto"/>
              <w:right w:val="single" w:sz="4" w:space="0" w:color="auto"/>
            </w:tcBorders>
            <w:shd w:val="clear" w:color="auto" w:fill="auto"/>
            <w:vAlign w:val="center"/>
            <w:hideMark/>
          </w:tcPr>
          <w:p w14:paraId="4B7FE7A0"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SRL GEAMTAL</w:t>
            </w:r>
          </w:p>
        </w:tc>
        <w:tc>
          <w:tcPr>
            <w:tcW w:w="471" w:type="pct"/>
            <w:tcBorders>
              <w:top w:val="nil"/>
              <w:left w:val="nil"/>
              <w:bottom w:val="single" w:sz="4" w:space="0" w:color="auto"/>
              <w:right w:val="single" w:sz="4" w:space="0" w:color="auto"/>
            </w:tcBorders>
            <w:shd w:val="clear" w:color="auto" w:fill="auto"/>
            <w:vAlign w:val="center"/>
            <w:hideMark/>
          </w:tcPr>
          <w:p w14:paraId="04E5CB1B"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5 522,9</w:t>
            </w:r>
          </w:p>
        </w:tc>
        <w:tc>
          <w:tcPr>
            <w:tcW w:w="469" w:type="pct"/>
            <w:tcBorders>
              <w:top w:val="nil"/>
              <w:left w:val="nil"/>
              <w:bottom w:val="single" w:sz="4" w:space="0" w:color="auto"/>
              <w:right w:val="single" w:sz="4" w:space="0" w:color="auto"/>
            </w:tcBorders>
          </w:tcPr>
          <w:p w14:paraId="7EAD8673"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6 224,0</w:t>
            </w:r>
          </w:p>
        </w:tc>
        <w:tc>
          <w:tcPr>
            <w:tcW w:w="469" w:type="pct"/>
            <w:tcBorders>
              <w:top w:val="single" w:sz="4" w:space="0" w:color="auto"/>
              <w:left w:val="single" w:sz="4" w:space="0" w:color="auto"/>
              <w:bottom w:val="single" w:sz="4" w:space="0" w:color="auto"/>
              <w:right w:val="single" w:sz="4" w:space="0" w:color="auto"/>
            </w:tcBorders>
            <w:vAlign w:val="center"/>
          </w:tcPr>
          <w:p w14:paraId="620BDA18"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112.7</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BAAF58"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15,3</w:t>
            </w:r>
            <w:r w:rsidRPr="00DD5F1D">
              <w:rPr>
                <w:rStyle w:val="a5"/>
                <w:rFonts w:ascii="Times New Roman" w:eastAsia="Times New Roman" w:hAnsi="Times New Roman" w:cs="Times New Roman"/>
                <w:sz w:val="16"/>
                <w:szCs w:val="16"/>
                <w:lang w:val="ro-MD"/>
              </w:rPr>
              <w:footnoteReference w:id="175"/>
            </w:r>
          </w:p>
        </w:tc>
        <w:tc>
          <w:tcPr>
            <w:tcW w:w="438" w:type="pct"/>
            <w:tcBorders>
              <w:top w:val="nil"/>
              <w:left w:val="nil"/>
              <w:bottom w:val="single" w:sz="4" w:space="0" w:color="auto"/>
              <w:right w:val="single" w:sz="4" w:space="0" w:color="auto"/>
            </w:tcBorders>
            <w:shd w:val="clear" w:color="auto" w:fill="auto"/>
            <w:vAlign w:val="center"/>
            <w:hideMark/>
          </w:tcPr>
          <w:p w14:paraId="43E5C100"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2 660,28</w:t>
            </w:r>
          </w:p>
        </w:tc>
        <w:tc>
          <w:tcPr>
            <w:tcW w:w="436" w:type="pct"/>
            <w:tcBorders>
              <w:top w:val="nil"/>
              <w:left w:val="nil"/>
              <w:bottom w:val="single" w:sz="4" w:space="0" w:color="auto"/>
              <w:right w:val="single" w:sz="4" w:space="0" w:color="auto"/>
            </w:tcBorders>
            <w:shd w:val="clear" w:color="auto" w:fill="auto"/>
            <w:vAlign w:val="center"/>
            <w:hideMark/>
          </w:tcPr>
          <w:p w14:paraId="6029E48E"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06DED6E9" w14:textId="77777777" w:rsidTr="00100079">
        <w:trPr>
          <w:trHeight w:val="8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0295D" w14:textId="77777777" w:rsidR="004C7BE8" w:rsidRPr="00DD5F1D" w:rsidRDefault="004C7BE8" w:rsidP="00100079">
            <w:pPr>
              <w:spacing w:after="0" w:line="240" w:lineRule="auto"/>
              <w:jc w:val="center"/>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24</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14:paraId="624F9453" w14:textId="77777777" w:rsidR="004C7BE8" w:rsidRPr="00DD5F1D" w:rsidRDefault="004C7BE8" w:rsidP="00100079">
            <w:pPr>
              <w:spacing w:after="0" w:line="240" w:lineRule="auto"/>
              <w:rPr>
                <w:rFonts w:ascii="Times New Roman" w:eastAsia="Times New Roman" w:hAnsi="Times New Roman" w:cs="Times New Roman"/>
                <w:color w:val="000000"/>
                <w:sz w:val="16"/>
                <w:szCs w:val="16"/>
                <w:lang w:val="ro-MD"/>
              </w:rPr>
            </w:pPr>
            <w:r w:rsidRPr="00DD5F1D">
              <w:rPr>
                <w:rFonts w:ascii="Times New Roman" w:eastAsia="Times New Roman" w:hAnsi="Times New Roman" w:cs="Times New Roman"/>
                <w:color w:val="000000"/>
                <w:sz w:val="16"/>
                <w:szCs w:val="16"/>
                <w:lang w:val="ro-MD"/>
              </w:rPr>
              <w:t>SRL DAGL CONSTRUCT</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21FA0F31"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3 253,8</w:t>
            </w:r>
          </w:p>
        </w:tc>
        <w:tc>
          <w:tcPr>
            <w:tcW w:w="469" w:type="pct"/>
            <w:tcBorders>
              <w:top w:val="single" w:sz="4" w:space="0" w:color="auto"/>
              <w:left w:val="nil"/>
              <w:bottom w:val="single" w:sz="4" w:space="0" w:color="auto"/>
              <w:right w:val="single" w:sz="4" w:space="0" w:color="auto"/>
            </w:tcBorders>
          </w:tcPr>
          <w:p w14:paraId="112598E1"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3 190,4</w:t>
            </w:r>
          </w:p>
        </w:tc>
        <w:tc>
          <w:tcPr>
            <w:tcW w:w="469" w:type="pct"/>
            <w:tcBorders>
              <w:top w:val="single" w:sz="4" w:space="0" w:color="auto"/>
              <w:left w:val="single" w:sz="4" w:space="0" w:color="auto"/>
              <w:bottom w:val="single" w:sz="4" w:space="0" w:color="auto"/>
              <w:right w:val="single" w:sz="4" w:space="0" w:color="auto"/>
            </w:tcBorders>
            <w:vAlign w:val="center"/>
          </w:tcPr>
          <w:p w14:paraId="6A66AD8D"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98.1</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CF4CF"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144,6</w:t>
            </w:r>
          </w:p>
        </w:tc>
        <w:tc>
          <w:tcPr>
            <w:tcW w:w="438" w:type="pct"/>
            <w:tcBorders>
              <w:top w:val="single" w:sz="4" w:space="0" w:color="auto"/>
              <w:left w:val="nil"/>
              <w:bottom w:val="single" w:sz="4" w:space="0" w:color="auto"/>
              <w:right w:val="single" w:sz="4" w:space="0" w:color="auto"/>
            </w:tcBorders>
            <w:shd w:val="clear" w:color="auto" w:fill="auto"/>
            <w:vAlign w:val="center"/>
            <w:hideMark/>
          </w:tcPr>
          <w:p w14:paraId="71E862F7"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3 304,1</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7B299FA8" w14:textId="77777777" w:rsidR="004C7BE8" w:rsidRPr="00DD5F1D" w:rsidRDefault="004C7BE8" w:rsidP="00100079">
            <w:pPr>
              <w:spacing w:after="0" w:line="240" w:lineRule="auto"/>
              <w:jc w:val="right"/>
              <w:rPr>
                <w:rFonts w:ascii="Times New Roman" w:eastAsia="Times New Roman" w:hAnsi="Times New Roman" w:cs="Times New Roman"/>
                <w:sz w:val="16"/>
                <w:szCs w:val="16"/>
                <w:lang w:val="ro-MD"/>
              </w:rPr>
            </w:pPr>
            <w:r w:rsidRPr="00DD5F1D">
              <w:rPr>
                <w:rFonts w:ascii="Times New Roman" w:eastAsia="Times New Roman" w:hAnsi="Times New Roman" w:cs="Times New Roman"/>
                <w:sz w:val="16"/>
                <w:szCs w:val="16"/>
                <w:lang w:val="ro-MD"/>
              </w:rPr>
              <w:t>0.0</w:t>
            </w:r>
          </w:p>
        </w:tc>
      </w:tr>
      <w:tr w:rsidR="004C7BE8" w:rsidRPr="00DD5F1D" w14:paraId="327D294F" w14:textId="77777777" w:rsidTr="00100079">
        <w:trPr>
          <w:trHeight w:val="80"/>
        </w:trPr>
        <w:tc>
          <w:tcPr>
            <w:tcW w:w="22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E76B42" w14:textId="77777777" w:rsidR="004C7BE8" w:rsidRPr="00DD5F1D" w:rsidRDefault="004C7BE8" w:rsidP="00100079">
            <w:pPr>
              <w:spacing w:after="0" w:line="240" w:lineRule="auto"/>
              <w:rPr>
                <w:rFonts w:ascii="Times New Roman" w:eastAsia="Times New Roman" w:hAnsi="Times New Roman" w:cs="Times New Roman"/>
                <w:b/>
                <w:color w:val="000000"/>
                <w:sz w:val="16"/>
                <w:szCs w:val="16"/>
                <w:lang w:val="ro-MD"/>
              </w:rPr>
            </w:pPr>
            <w:r w:rsidRPr="00DD5F1D">
              <w:rPr>
                <w:rFonts w:ascii="Times New Roman" w:eastAsia="Times New Roman" w:hAnsi="Times New Roman" w:cs="Times New Roman"/>
                <w:b/>
                <w:color w:val="000000"/>
                <w:sz w:val="16"/>
                <w:szCs w:val="16"/>
                <w:lang w:val="ro-MD"/>
              </w:rPr>
              <w:t>Total</w:t>
            </w:r>
          </w:p>
        </w:tc>
        <w:tc>
          <w:tcPr>
            <w:tcW w:w="471" w:type="pct"/>
            <w:tcBorders>
              <w:top w:val="single" w:sz="4" w:space="0" w:color="auto"/>
              <w:left w:val="nil"/>
              <w:bottom w:val="single" w:sz="4" w:space="0" w:color="auto"/>
              <w:right w:val="single" w:sz="4" w:space="0" w:color="auto"/>
            </w:tcBorders>
            <w:shd w:val="clear" w:color="auto" w:fill="auto"/>
            <w:vAlign w:val="center"/>
          </w:tcPr>
          <w:p w14:paraId="220A88D0" w14:textId="77777777" w:rsidR="004C7BE8" w:rsidRPr="00DD5F1D" w:rsidRDefault="004C7BE8" w:rsidP="00100079">
            <w:pPr>
              <w:spacing w:after="0" w:line="240" w:lineRule="auto"/>
              <w:jc w:val="right"/>
              <w:rPr>
                <w:rFonts w:ascii="Times New Roman" w:eastAsia="Times New Roman" w:hAnsi="Times New Roman" w:cs="Times New Roman"/>
                <w:b/>
                <w:sz w:val="16"/>
                <w:szCs w:val="16"/>
                <w:lang w:val="ro-MD"/>
              </w:rPr>
            </w:pPr>
            <w:r w:rsidRPr="00DD5F1D">
              <w:rPr>
                <w:rFonts w:ascii="Times New Roman" w:eastAsia="Times New Roman" w:hAnsi="Times New Roman" w:cs="Times New Roman"/>
                <w:b/>
                <w:sz w:val="16"/>
                <w:szCs w:val="16"/>
                <w:lang w:val="ro-MD"/>
              </w:rPr>
              <w:t>1 270 441, 2</w:t>
            </w:r>
          </w:p>
        </w:tc>
        <w:tc>
          <w:tcPr>
            <w:tcW w:w="469" w:type="pct"/>
            <w:tcBorders>
              <w:top w:val="single" w:sz="4" w:space="0" w:color="auto"/>
              <w:left w:val="nil"/>
              <w:bottom w:val="single" w:sz="4" w:space="0" w:color="auto"/>
              <w:right w:val="single" w:sz="4" w:space="0" w:color="auto"/>
            </w:tcBorders>
          </w:tcPr>
          <w:p w14:paraId="092F5222" w14:textId="77777777" w:rsidR="004C7BE8" w:rsidRPr="00DD5F1D" w:rsidRDefault="004C7BE8" w:rsidP="00100079">
            <w:pPr>
              <w:spacing w:after="0" w:line="240" w:lineRule="auto"/>
              <w:jc w:val="right"/>
              <w:rPr>
                <w:rFonts w:ascii="Times New Roman" w:eastAsia="Times New Roman" w:hAnsi="Times New Roman" w:cs="Times New Roman"/>
                <w:b/>
                <w:sz w:val="16"/>
                <w:szCs w:val="16"/>
                <w:lang w:val="ro-MD"/>
              </w:rPr>
            </w:pPr>
            <w:r w:rsidRPr="00DD5F1D">
              <w:rPr>
                <w:rFonts w:ascii="Times New Roman" w:eastAsia="Times New Roman" w:hAnsi="Times New Roman" w:cs="Times New Roman"/>
                <w:b/>
                <w:sz w:val="16"/>
                <w:szCs w:val="16"/>
                <w:lang w:val="ro-MD"/>
              </w:rPr>
              <w:t>373 953,0</w:t>
            </w:r>
          </w:p>
        </w:tc>
        <w:tc>
          <w:tcPr>
            <w:tcW w:w="469" w:type="pct"/>
            <w:tcBorders>
              <w:top w:val="single" w:sz="4" w:space="0" w:color="auto"/>
              <w:left w:val="single" w:sz="4" w:space="0" w:color="auto"/>
              <w:bottom w:val="single" w:sz="4" w:space="0" w:color="auto"/>
              <w:right w:val="single" w:sz="4" w:space="0" w:color="auto"/>
            </w:tcBorders>
          </w:tcPr>
          <w:p w14:paraId="776E8929" w14:textId="77777777" w:rsidR="004C7BE8" w:rsidRPr="00DD5F1D" w:rsidRDefault="004C7BE8" w:rsidP="00100079">
            <w:pPr>
              <w:spacing w:after="0" w:line="240" w:lineRule="auto"/>
              <w:jc w:val="right"/>
              <w:rPr>
                <w:rFonts w:ascii="Times New Roman" w:eastAsia="Times New Roman" w:hAnsi="Times New Roman" w:cs="Times New Roman"/>
                <w:b/>
                <w:sz w:val="16"/>
                <w:szCs w:val="16"/>
                <w:lang w:val="ro-MD"/>
              </w:rPr>
            </w:pPr>
            <w:r w:rsidRPr="00DD5F1D">
              <w:rPr>
                <w:rFonts w:ascii="Times New Roman" w:eastAsia="Times New Roman" w:hAnsi="Times New Roman" w:cs="Times New Roman"/>
                <w:b/>
                <w:sz w:val="16"/>
                <w:szCs w:val="16"/>
                <w:lang w:val="ro-MD"/>
              </w:rPr>
              <w:t>29,43</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690ED8B" w14:textId="77777777" w:rsidR="004C7BE8" w:rsidRPr="00DD5F1D" w:rsidRDefault="004C7BE8" w:rsidP="00100079">
            <w:pPr>
              <w:spacing w:after="0" w:line="240" w:lineRule="auto"/>
              <w:jc w:val="right"/>
              <w:rPr>
                <w:rFonts w:ascii="Times New Roman" w:eastAsia="Times New Roman" w:hAnsi="Times New Roman" w:cs="Times New Roman"/>
                <w:b/>
                <w:sz w:val="16"/>
                <w:szCs w:val="16"/>
                <w:lang w:val="ro-MD"/>
              </w:rPr>
            </w:pPr>
            <w:r w:rsidRPr="00DD5F1D">
              <w:rPr>
                <w:rFonts w:ascii="Times New Roman" w:eastAsia="Times New Roman" w:hAnsi="Times New Roman" w:cs="Times New Roman"/>
                <w:b/>
                <w:sz w:val="16"/>
                <w:szCs w:val="16"/>
                <w:lang w:val="ro-MD"/>
              </w:rPr>
              <w:t>223 ,0</w:t>
            </w:r>
          </w:p>
        </w:tc>
        <w:tc>
          <w:tcPr>
            <w:tcW w:w="438" w:type="pct"/>
            <w:tcBorders>
              <w:top w:val="single" w:sz="4" w:space="0" w:color="auto"/>
              <w:left w:val="nil"/>
              <w:bottom w:val="single" w:sz="4" w:space="0" w:color="auto"/>
              <w:right w:val="single" w:sz="4" w:space="0" w:color="auto"/>
            </w:tcBorders>
            <w:shd w:val="clear" w:color="auto" w:fill="auto"/>
            <w:vAlign w:val="center"/>
          </w:tcPr>
          <w:p w14:paraId="60F5CCE1" w14:textId="77777777" w:rsidR="004C7BE8" w:rsidRPr="00DD5F1D" w:rsidRDefault="004C7BE8" w:rsidP="00100079">
            <w:pPr>
              <w:spacing w:after="0" w:line="240" w:lineRule="auto"/>
              <w:jc w:val="right"/>
              <w:rPr>
                <w:rFonts w:ascii="Times New Roman" w:eastAsia="Times New Roman" w:hAnsi="Times New Roman" w:cs="Times New Roman"/>
                <w:b/>
                <w:sz w:val="16"/>
                <w:szCs w:val="16"/>
                <w:lang w:val="ro-MD"/>
              </w:rPr>
            </w:pPr>
            <w:r w:rsidRPr="00DD5F1D">
              <w:rPr>
                <w:rFonts w:ascii="Times New Roman" w:eastAsia="Times New Roman" w:hAnsi="Times New Roman" w:cs="Times New Roman"/>
                <w:b/>
                <w:sz w:val="16"/>
                <w:szCs w:val="16"/>
                <w:lang w:val="ro-MD"/>
              </w:rPr>
              <w:t>204 197,8</w:t>
            </w:r>
          </w:p>
        </w:tc>
        <w:tc>
          <w:tcPr>
            <w:tcW w:w="436" w:type="pct"/>
            <w:tcBorders>
              <w:top w:val="single" w:sz="4" w:space="0" w:color="auto"/>
              <w:left w:val="nil"/>
              <w:bottom w:val="single" w:sz="4" w:space="0" w:color="auto"/>
              <w:right w:val="single" w:sz="4" w:space="0" w:color="auto"/>
            </w:tcBorders>
            <w:shd w:val="clear" w:color="auto" w:fill="auto"/>
            <w:vAlign w:val="center"/>
          </w:tcPr>
          <w:p w14:paraId="50C1B658" w14:textId="77777777" w:rsidR="004C7BE8" w:rsidRPr="00DD5F1D" w:rsidRDefault="004C7BE8" w:rsidP="00100079">
            <w:pPr>
              <w:spacing w:after="0" w:line="240" w:lineRule="auto"/>
              <w:jc w:val="right"/>
              <w:rPr>
                <w:rFonts w:ascii="Times New Roman" w:eastAsia="Times New Roman" w:hAnsi="Times New Roman" w:cs="Times New Roman"/>
                <w:b/>
                <w:sz w:val="16"/>
                <w:szCs w:val="16"/>
                <w:lang w:val="ro-MD"/>
              </w:rPr>
            </w:pPr>
            <w:r w:rsidRPr="00DD5F1D">
              <w:rPr>
                <w:rFonts w:ascii="Times New Roman" w:eastAsia="Times New Roman" w:hAnsi="Times New Roman" w:cs="Times New Roman"/>
                <w:b/>
                <w:sz w:val="16"/>
                <w:szCs w:val="16"/>
                <w:lang w:val="ro-MD"/>
              </w:rPr>
              <w:t>18 273,7</w:t>
            </w:r>
          </w:p>
        </w:tc>
      </w:tr>
    </w:tbl>
    <w:p w14:paraId="3C6DE737" w14:textId="5C26E4FF" w:rsidR="004C7BE8" w:rsidRPr="00DD5F1D" w:rsidRDefault="004C7BE8" w:rsidP="004C7BE8">
      <w:pPr>
        <w:tabs>
          <w:tab w:val="left" w:pos="372"/>
        </w:tabs>
        <w:rPr>
          <w:rFonts w:ascii="Times New Roman" w:hAnsi="Times New Roman" w:cs="Times New Roman"/>
          <w:i/>
          <w:lang w:val="ro-MD"/>
        </w:rPr>
      </w:pPr>
      <w:r w:rsidRPr="00DD5F1D">
        <w:rPr>
          <w:rFonts w:ascii="Times New Roman" w:hAnsi="Times New Roman" w:cs="Times New Roman"/>
          <w:b/>
          <w:i/>
          <w:lang w:val="ro-MD"/>
        </w:rPr>
        <w:t>Sursa:</w:t>
      </w:r>
      <w:r w:rsidRPr="00DD5F1D">
        <w:rPr>
          <w:rFonts w:ascii="Times New Roman" w:hAnsi="Times New Roman" w:cs="Times New Roman"/>
          <w:i/>
          <w:lang w:val="ro-MD"/>
        </w:rPr>
        <w:t xml:space="preserve"> Elaborat de audit în baza informațiilor din dosarele agenților economici insolvenți</w:t>
      </w:r>
      <w:r w:rsidR="004A5327" w:rsidRPr="00DD5F1D">
        <w:rPr>
          <w:rFonts w:ascii="Times New Roman" w:hAnsi="Times New Roman" w:cs="Times New Roman"/>
          <w:i/>
          <w:lang w:val="ro-MD"/>
        </w:rPr>
        <w:t>.</w:t>
      </w:r>
    </w:p>
    <w:p w14:paraId="3109F02E" w14:textId="7D45B16C" w:rsidR="001E765F" w:rsidRPr="00DD5F1D" w:rsidRDefault="001E765F" w:rsidP="007F4823">
      <w:pPr>
        <w:rPr>
          <w:rFonts w:ascii="Times New Roman" w:hAnsi="Times New Roman" w:cs="Times New Roman"/>
          <w:b/>
          <w:i/>
          <w:lang w:val="ro-MD"/>
        </w:rPr>
      </w:pPr>
    </w:p>
    <w:p w14:paraId="654FD24D" w14:textId="5CB583A1" w:rsidR="00084F96" w:rsidRPr="00DD5F1D" w:rsidRDefault="00084F96" w:rsidP="009E3494">
      <w:pPr>
        <w:pStyle w:val="2"/>
        <w:jc w:val="right"/>
        <w:rPr>
          <w:rFonts w:ascii="Times New Roman" w:hAnsi="Times New Roman" w:cs="Times New Roman"/>
          <w:b/>
          <w:color w:val="000000" w:themeColor="text1"/>
          <w:sz w:val="24"/>
          <w:szCs w:val="24"/>
          <w:lang w:val="ro-MD"/>
        </w:rPr>
      </w:pPr>
      <w:r w:rsidRPr="00DD5F1D">
        <w:rPr>
          <w:rFonts w:ascii="Times New Roman" w:hAnsi="Times New Roman" w:cs="Times New Roman"/>
          <w:b/>
          <w:color w:val="000000" w:themeColor="text1"/>
          <w:sz w:val="24"/>
          <w:szCs w:val="24"/>
          <w:lang w:val="ro-MD"/>
        </w:rPr>
        <w:t>Anexa nr.</w:t>
      </w:r>
      <w:r w:rsidR="000E2AC7" w:rsidRPr="00DD5F1D">
        <w:rPr>
          <w:rFonts w:ascii="Times New Roman" w:hAnsi="Times New Roman" w:cs="Times New Roman"/>
          <w:b/>
          <w:color w:val="000000" w:themeColor="text1"/>
          <w:sz w:val="24"/>
          <w:szCs w:val="24"/>
          <w:lang w:val="ro-MD"/>
        </w:rPr>
        <w:t xml:space="preserve"> 15</w:t>
      </w:r>
    </w:p>
    <w:p w14:paraId="3A87AF4D" w14:textId="61B701A4" w:rsidR="00806680" w:rsidRPr="00DD5F1D" w:rsidRDefault="00806680" w:rsidP="00806680">
      <w:pPr>
        <w:jc w:val="center"/>
        <w:rPr>
          <w:rFonts w:ascii="Times New Roman" w:hAnsi="Times New Roman" w:cs="Times New Roman"/>
          <w:b/>
          <w:sz w:val="24"/>
          <w:lang w:val="ro-MD"/>
        </w:rPr>
      </w:pPr>
      <w:r w:rsidRPr="00DD5F1D">
        <w:rPr>
          <w:rFonts w:ascii="Times New Roman" w:hAnsi="Times New Roman" w:cs="Times New Roman"/>
          <w:b/>
          <w:sz w:val="24"/>
          <w:lang w:val="ro-MD"/>
        </w:rPr>
        <w:t xml:space="preserve">Analiza transferurilor de la bugetul de stat pe subprograme, </w:t>
      </w:r>
      <w:r w:rsidRPr="00DD5F1D">
        <w:rPr>
          <w:rFonts w:ascii="Times New Roman" w:hAnsi="Times New Roman" w:cs="Times New Roman"/>
          <w:b/>
          <w:i/>
          <w:sz w:val="24"/>
          <w:lang w:val="ro-MD"/>
        </w:rPr>
        <w:t>mii lei</w:t>
      </w:r>
    </w:p>
    <w:tbl>
      <w:tblPr>
        <w:tblW w:w="5000" w:type="pct"/>
        <w:tblLook w:val="04A0" w:firstRow="1" w:lastRow="0" w:firstColumn="1" w:lastColumn="0" w:noHBand="0" w:noVBand="1"/>
      </w:tblPr>
      <w:tblGrid>
        <w:gridCol w:w="5603"/>
        <w:gridCol w:w="1345"/>
        <w:gridCol w:w="1344"/>
        <w:gridCol w:w="1404"/>
        <w:gridCol w:w="1404"/>
        <w:gridCol w:w="1225"/>
        <w:gridCol w:w="1225"/>
      </w:tblGrid>
      <w:tr w:rsidR="00084F96" w:rsidRPr="00DD5F1D" w14:paraId="37CD5952" w14:textId="77777777" w:rsidTr="00084F96">
        <w:trPr>
          <w:trHeight w:val="288"/>
        </w:trPr>
        <w:tc>
          <w:tcPr>
            <w:tcW w:w="20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43B9A7" w14:textId="77777777" w:rsidR="00084F96" w:rsidRPr="00DD5F1D" w:rsidRDefault="00084F96" w:rsidP="00084F96">
            <w:pPr>
              <w:spacing w:after="0" w:line="240" w:lineRule="auto"/>
              <w:jc w:val="center"/>
              <w:rPr>
                <w:rFonts w:ascii="Times New Roman" w:eastAsia="Times New Roman" w:hAnsi="Times New Roman" w:cs="Times New Roman"/>
                <w:b/>
                <w:bCs/>
                <w:sz w:val="20"/>
                <w:szCs w:val="20"/>
                <w:lang w:val="ro-MD"/>
              </w:rPr>
            </w:pPr>
            <w:bookmarkStart w:id="6" w:name="RANGE!A1:G64"/>
            <w:r w:rsidRPr="00DD5F1D">
              <w:rPr>
                <w:rFonts w:ascii="Times New Roman" w:eastAsia="Times New Roman" w:hAnsi="Times New Roman" w:cs="Times New Roman"/>
                <w:b/>
                <w:bCs/>
                <w:sz w:val="20"/>
                <w:szCs w:val="20"/>
                <w:lang w:val="ro-MD"/>
              </w:rPr>
              <w:t>Denumirea</w:t>
            </w:r>
            <w:bookmarkEnd w:id="6"/>
          </w:p>
        </w:tc>
        <w:tc>
          <w:tcPr>
            <w:tcW w:w="496" w:type="pct"/>
            <w:vMerge w:val="restart"/>
            <w:tcBorders>
              <w:top w:val="single" w:sz="4" w:space="0" w:color="auto"/>
              <w:left w:val="nil"/>
              <w:bottom w:val="single" w:sz="4" w:space="0" w:color="000000"/>
              <w:right w:val="single" w:sz="4" w:space="0" w:color="auto"/>
            </w:tcBorders>
            <w:shd w:val="clear" w:color="auto" w:fill="auto"/>
            <w:vAlign w:val="center"/>
            <w:hideMark/>
          </w:tcPr>
          <w:p w14:paraId="3B3601CD" w14:textId="77777777" w:rsidR="00084F96" w:rsidRPr="00DD5F1D" w:rsidRDefault="00084F96" w:rsidP="00084F96">
            <w:pPr>
              <w:spacing w:after="0" w:line="240" w:lineRule="auto"/>
              <w:jc w:val="cente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Precizat pe an</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EFEFEA" w14:textId="77777777" w:rsidR="00084F96" w:rsidRPr="00DD5F1D" w:rsidRDefault="00084F96" w:rsidP="00084F96">
            <w:pPr>
              <w:spacing w:after="0" w:line="240" w:lineRule="auto"/>
              <w:jc w:val="cente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Finanțat</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D3A0B4" w14:textId="77777777" w:rsidR="00084F96" w:rsidRPr="00DD5F1D" w:rsidRDefault="00084F96" w:rsidP="00084F96">
            <w:pPr>
              <w:spacing w:after="0" w:line="240" w:lineRule="auto"/>
              <w:jc w:val="cente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Calculat</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C8D1D0" w14:textId="77777777" w:rsidR="00084F96" w:rsidRPr="00DD5F1D" w:rsidRDefault="00084F96" w:rsidP="00084F96">
            <w:pPr>
              <w:spacing w:after="0" w:line="240" w:lineRule="auto"/>
              <w:jc w:val="cente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Achitat</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C25E9CA" w14:textId="77777777" w:rsidR="00084F96" w:rsidRPr="00DD5F1D" w:rsidRDefault="00084F96" w:rsidP="00084F96">
            <w:pPr>
              <w:spacing w:after="0" w:line="240" w:lineRule="auto"/>
              <w:jc w:val="cente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Creanțele bugetului de stat la sfârșitul perioadei de gestiune</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58699F7" w14:textId="77777777" w:rsidR="00084F96" w:rsidRPr="00DD5F1D" w:rsidRDefault="00084F96" w:rsidP="00084F96">
            <w:pPr>
              <w:spacing w:after="0" w:line="240" w:lineRule="auto"/>
              <w:jc w:val="center"/>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Datoriile bugetului de stat  la sfârșitul perioadei de gestiune</w:t>
            </w:r>
          </w:p>
        </w:tc>
      </w:tr>
      <w:tr w:rsidR="00084F96" w:rsidRPr="00DD5F1D" w14:paraId="560357BF" w14:textId="77777777" w:rsidTr="00084F96">
        <w:trPr>
          <w:trHeight w:val="450"/>
        </w:trPr>
        <w:tc>
          <w:tcPr>
            <w:tcW w:w="2067" w:type="pct"/>
            <w:vMerge/>
            <w:tcBorders>
              <w:top w:val="single" w:sz="4" w:space="0" w:color="auto"/>
              <w:left w:val="single" w:sz="4" w:space="0" w:color="auto"/>
              <w:bottom w:val="single" w:sz="4" w:space="0" w:color="000000"/>
              <w:right w:val="single" w:sz="4" w:space="0" w:color="auto"/>
            </w:tcBorders>
            <w:vAlign w:val="center"/>
            <w:hideMark/>
          </w:tcPr>
          <w:p w14:paraId="5BE8684B"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96" w:type="pct"/>
            <w:vMerge/>
            <w:tcBorders>
              <w:top w:val="single" w:sz="4" w:space="0" w:color="auto"/>
              <w:left w:val="nil"/>
              <w:bottom w:val="single" w:sz="4" w:space="0" w:color="000000"/>
              <w:right w:val="single" w:sz="4" w:space="0" w:color="auto"/>
            </w:tcBorders>
            <w:vAlign w:val="center"/>
            <w:hideMark/>
          </w:tcPr>
          <w:p w14:paraId="7DF5E65A"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14:paraId="5D92F41E"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14:paraId="69AC129D"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14:paraId="09530A93"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51C94E57"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32CF4E80"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r>
      <w:tr w:rsidR="00084F96" w:rsidRPr="00DD5F1D" w14:paraId="531282EE" w14:textId="77777777" w:rsidTr="00084F96">
        <w:trPr>
          <w:trHeight w:val="450"/>
        </w:trPr>
        <w:tc>
          <w:tcPr>
            <w:tcW w:w="2067" w:type="pct"/>
            <w:vMerge/>
            <w:tcBorders>
              <w:top w:val="single" w:sz="4" w:space="0" w:color="auto"/>
              <w:left w:val="single" w:sz="4" w:space="0" w:color="auto"/>
              <w:bottom w:val="single" w:sz="4" w:space="0" w:color="000000"/>
              <w:right w:val="single" w:sz="4" w:space="0" w:color="auto"/>
            </w:tcBorders>
            <w:vAlign w:val="center"/>
            <w:hideMark/>
          </w:tcPr>
          <w:p w14:paraId="594A0CA8"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96" w:type="pct"/>
            <w:vMerge/>
            <w:tcBorders>
              <w:top w:val="single" w:sz="4" w:space="0" w:color="auto"/>
              <w:left w:val="nil"/>
              <w:bottom w:val="single" w:sz="4" w:space="0" w:color="000000"/>
              <w:right w:val="single" w:sz="4" w:space="0" w:color="auto"/>
            </w:tcBorders>
            <w:vAlign w:val="center"/>
            <w:hideMark/>
          </w:tcPr>
          <w:p w14:paraId="08D473CF"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14:paraId="596B7974"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14:paraId="0B1F4C42"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14:paraId="4ABD2FC8"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56DEE126"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3F70524F"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r>
      <w:tr w:rsidR="00084F96" w:rsidRPr="00DD5F1D" w14:paraId="3CACCE92" w14:textId="77777777" w:rsidTr="00084F96">
        <w:trPr>
          <w:trHeight w:val="450"/>
        </w:trPr>
        <w:tc>
          <w:tcPr>
            <w:tcW w:w="2067" w:type="pct"/>
            <w:vMerge/>
            <w:tcBorders>
              <w:top w:val="single" w:sz="4" w:space="0" w:color="auto"/>
              <w:left w:val="single" w:sz="4" w:space="0" w:color="auto"/>
              <w:bottom w:val="single" w:sz="4" w:space="0" w:color="000000"/>
              <w:right w:val="single" w:sz="4" w:space="0" w:color="auto"/>
            </w:tcBorders>
            <w:vAlign w:val="center"/>
            <w:hideMark/>
          </w:tcPr>
          <w:p w14:paraId="0835C353"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96" w:type="pct"/>
            <w:vMerge/>
            <w:tcBorders>
              <w:top w:val="single" w:sz="4" w:space="0" w:color="auto"/>
              <w:left w:val="nil"/>
              <w:bottom w:val="single" w:sz="4" w:space="0" w:color="000000"/>
              <w:right w:val="single" w:sz="4" w:space="0" w:color="auto"/>
            </w:tcBorders>
            <w:vAlign w:val="center"/>
            <w:hideMark/>
          </w:tcPr>
          <w:p w14:paraId="1192F8FC"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14:paraId="4E668701"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14:paraId="4E5618B0"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14:paraId="57FE0448"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46F73105"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1420781E"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p>
        </w:tc>
      </w:tr>
      <w:tr w:rsidR="000D40B3" w:rsidRPr="00DD5F1D" w14:paraId="31294F7B" w14:textId="77777777" w:rsidTr="00084F96">
        <w:trPr>
          <w:trHeight w:val="28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4C7D8F4E" w14:textId="24BE586A" w:rsidR="00084F96" w:rsidRPr="00DD5F1D" w:rsidRDefault="00084F96" w:rsidP="007D5E94">
            <w:pPr>
              <w:spacing w:after="0" w:line="240" w:lineRule="auto"/>
              <w:jc w:val="center"/>
              <w:rPr>
                <w:rFonts w:ascii="Times New Roman" w:eastAsia="Times New Roman" w:hAnsi="Times New Roman" w:cs="Times New Roman"/>
                <w:b/>
                <w:bCs/>
                <w:sz w:val="20"/>
                <w:szCs w:val="20"/>
                <w:u w:val="single"/>
                <w:lang w:val="ro-MD"/>
              </w:rPr>
            </w:pPr>
            <w:r w:rsidRPr="00DD5F1D">
              <w:rPr>
                <w:rFonts w:ascii="Times New Roman" w:eastAsia="Times New Roman" w:hAnsi="Times New Roman" w:cs="Times New Roman"/>
                <w:b/>
                <w:bCs/>
                <w:sz w:val="20"/>
                <w:szCs w:val="20"/>
                <w:u w:val="single"/>
                <w:lang w:val="ro-MD"/>
              </w:rPr>
              <w:t xml:space="preserve">Programul 90 </w:t>
            </w:r>
            <w:r w:rsidR="007D5E94" w:rsidRPr="00DD5F1D">
              <w:rPr>
                <w:rFonts w:ascii="Times New Roman" w:eastAsia="Times New Roman" w:hAnsi="Times New Roman" w:cs="Times New Roman"/>
                <w:b/>
                <w:bCs/>
                <w:sz w:val="20"/>
                <w:szCs w:val="20"/>
                <w:u w:val="single"/>
                <w:lang w:val="ro-MD"/>
              </w:rPr>
              <w:t>„</w:t>
            </w:r>
            <w:r w:rsidRPr="00DD5F1D">
              <w:rPr>
                <w:rFonts w:ascii="Times New Roman" w:eastAsia="Times New Roman" w:hAnsi="Times New Roman" w:cs="Times New Roman"/>
                <w:b/>
                <w:bCs/>
                <w:sz w:val="20"/>
                <w:szCs w:val="20"/>
                <w:u w:val="single"/>
                <w:lang w:val="ro-MD"/>
              </w:rPr>
              <w:t>Protecția socială”</w:t>
            </w:r>
          </w:p>
        </w:tc>
        <w:tc>
          <w:tcPr>
            <w:tcW w:w="496" w:type="pct"/>
            <w:tcBorders>
              <w:top w:val="nil"/>
              <w:left w:val="nil"/>
              <w:bottom w:val="single" w:sz="4" w:space="0" w:color="auto"/>
              <w:right w:val="single" w:sz="4" w:space="0" w:color="auto"/>
            </w:tcBorders>
            <w:shd w:val="clear" w:color="auto" w:fill="auto"/>
            <w:noWrap/>
            <w:vAlign w:val="center"/>
            <w:hideMark/>
          </w:tcPr>
          <w:p w14:paraId="07EF7C21"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16829730,3</w:t>
            </w:r>
          </w:p>
        </w:tc>
        <w:tc>
          <w:tcPr>
            <w:tcW w:w="496" w:type="pct"/>
            <w:tcBorders>
              <w:top w:val="nil"/>
              <w:left w:val="nil"/>
              <w:bottom w:val="single" w:sz="4" w:space="0" w:color="auto"/>
              <w:right w:val="single" w:sz="4" w:space="0" w:color="auto"/>
            </w:tcBorders>
            <w:shd w:val="clear" w:color="auto" w:fill="auto"/>
            <w:noWrap/>
            <w:vAlign w:val="center"/>
            <w:hideMark/>
          </w:tcPr>
          <w:p w14:paraId="0979BAD5"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16511597,0</w:t>
            </w:r>
          </w:p>
        </w:tc>
        <w:tc>
          <w:tcPr>
            <w:tcW w:w="518" w:type="pct"/>
            <w:tcBorders>
              <w:top w:val="nil"/>
              <w:left w:val="nil"/>
              <w:bottom w:val="single" w:sz="4" w:space="0" w:color="auto"/>
              <w:right w:val="single" w:sz="4" w:space="0" w:color="auto"/>
            </w:tcBorders>
            <w:shd w:val="clear" w:color="auto" w:fill="auto"/>
            <w:noWrap/>
            <w:vAlign w:val="center"/>
            <w:hideMark/>
          </w:tcPr>
          <w:p w14:paraId="1E0143BD"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16472801,6</w:t>
            </w:r>
          </w:p>
        </w:tc>
        <w:tc>
          <w:tcPr>
            <w:tcW w:w="518" w:type="pct"/>
            <w:tcBorders>
              <w:top w:val="nil"/>
              <w:left w:val="nil"/>
              <w:bottom w:val="single" w:sz="4" w:space="0" w:color="auto"/>
              <w:right w:val="single" w:sz="4" w:space="0" w:color="auto"/>
            </w:tcBorders>
            <w:shd w:val="clear" w:color="auto" w:fill="auto"/>
            <w:noWrap/>
            <w:vAlign w:val="center"/>
            <w:hideMark/>
          </w:tcPr>
          <w:p w14:paraId="319072A4"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16450357,7</w:t>
            </w:r>
          </w:p>
        </w:tc>
        <w:tc>
          <w:tcPr>
            <w:tcW w:w="452" w:type="pct"/>
            <w:tcBorders>
              <w:top w:val="nil"/>
              <w:left w:val="nil"/>
              <w:bottom w:val="single" w:sz="4" w:space="0" w:color="auto"/>
              <w:right w:val="single" w:sz="4" w:space="0" w:color="auto"/>
            </w:tcBorders>
            <w:shd w:val="clear" w:color="auto" w:fill="auto"/>
            <w:noWrap/>
            <w:vAlign w:val="center"/>
            <w:hideMark/>
          </w:tcPr>
          <w:p w14:paraId="0D8AD446"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38546,0</w:t>
            </w:r>
          </w:p>
        </w:tc>
        <w:tc>
          <w:tcPr>
            <w:tcW w:w="452" w:type="pct"/>
            <w:tcBorders>
              <w:top w:val="nil"/>
              <w:left w:val="nil"/>
              <w:bottom w:val="single" w:sz="4" w:space="0" w:color="auto"/>
              <w:right w:val="single" w:sz="4" w:space="0" w:color="auto"/>
            </w:tcBorders>
            <w:shd w:val="clear" w:color="auto" w:fill="auto"/>
            <w:noWrap/>
            <w:vAlign w:val="center"/>
            <w:hideMark/>
          </w:tcPr>
          <w:p w14:paraId="21FE3AFA"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5777,2</w:t>
            </w:r>
          </w:p>
        </w:tc>
      </w:tr>
      <w:tr w:rsidR="000D40B3" w:rsidRPr="00DD5F1D" w14:paraId="2B2B9C78" w14:textId="77777777" w:rsidTr="00084F96">
        <w:trPr>
          <w:trHeight w:val="545"/>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18DAE02D" w14:textId="070B1BD5" w:rsidR="00084F96" w:rsidRPr="00DD5F1D" w:rsidRDefault="00084F96" w:rsidP="007D5E94">
            <w:pPr>
              <w:spacing w:after="0" w:line="240" w:lineRule="auto"/>
              <w:rPr>
                <w:rFonts w:ascii="Times New Roman" w:eastAsia="Times New Roman" w:hAnsi="Times New Roman" w:cs="Times New Roman"/>
                <w:b/>
                <w:bCs/>
                <w:i/>
                <w:iCs/>
                <w:sz w:val="20"/>
                <w:szCs w:val="20"/>
                <w:lang w:val="ro-MD"/>
              </w:rPr>
            </w:pPr>
            <w:r w:rsidRPr="00DD5F1D">
              <w:rPr>
                <w:rFonts w:ascii="Times New Roman" w:eastAsia="Times New Roman" w:hAnsi="Times New Roman" w:cs="Times New Roman"/>
                <w:b/>
                <w:bCs/>
                <w:i/>
                <w:iCs/>
                <w:sz w:val="20"/>
                <w:szCs w:val="20"/>
                <w:lang w:val="ro-MD"/>
              </w:rPr>
              <w:t xml:space="preserve">Subprogramul 90.11 </w:t>
            </w:r>
            <w:r w:rsidR="007D5E94" w:rsidRPr="00DD5F1D">
              <w:rPr>
                <w:rFonts w:ascii="Times New Roman" w:eastAsia="Times New Roman" w:hAnsi="Times New Roman" w:cs="Times New Roman"/>
                <w:b/>
                <w:bCs/>
                <w:i/>
                <w:iCs/>
                <w:sz w:val="20"/>
                <w:szCs w:val="20"/>
                <w:lang w:val="ro-MD"/>
              </w:rPr>
              <w:t>„</w:t>
            </w:r>
            <w:r w:rsidRPr="00DD5F1D">
              <w:rPr>
                <w:rFonts w:ascii="Times New Roman" w:eastAsia="Times New Roman" w:hAnsi="Times New Roman" w:cs="Times New Roman"/>
                <w:b/>
                <w:bCs/>
                <w:i/>
                <w:iCs/>
                <w:sz w:val="20"/>
                <w:szCs w:val="20"/>
                <w:lang w:val="ro-MD"/>
              </w:rPr>
              <w:t>Susținerea suplimentară a unor categorii de populație” (Gr:10.99)</w:t>
            </w:r>
          </w:p>
        </w:tc>
        <w:tc>
          <w:tcPr>
            <w:tcW w:w="496" w:type="pct"/>
            <w:tcBorders>
              <w:top w:val="nil"/>
              <w:left w:val="nil"/>
              <w:bottom w:val="single" w:sz="4" w:space="0" w:color="auto"/>
              <w:right w:val="single" w:sz="4" w:space="0" w:color="auto"/>
            </w:tcBorders>
            <w:shd w:val="clear" w:color="auto" w:fill="auto"/>
            <w:noWrap/>
            <w:vAlign w:val="center"/>
            <w:hideMark/>
          </w:tcPr>
          <w:p w14:paraId="1FD6E48F"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149255,5</w:t>
            </w:r>
          </w:p>
        </w:tc>
        <w:tc>
          <w:tcPr>
            <w:tcW w:w="496" w:type="pct"/>
            <w:tcBorders>
              <w:top w:val="nil"/>
              <w:left w:val="nil"/>
              <w:bottom w:val="single" w:sz="4" w:space="0" w:color="auto"/>
              <w:right w:val="single" w:sz="4" w:space="0" w:color="auto"/>
            </w:tcBorders>
            <w:shd w:val="clear" w:color="auto" w:fill="auto"/>
            <w:noWrap/>
            <w:vAlign w:val="center"/>
            <w:hideMark/>
          </w:tcPr>
          <w:p w14:paraId="120AFCFF"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147074,1</w:t>
            </w:r>
          </w:p>
        </w:tc>
        <w:tc>
          <w:tcPr>
            <w:tcW w:w="518" w:type="pct"/>
            <w:tcBorders>
              <w:top w:val="nil"/>
              <w:left w:val="nil"/>
              <w:bottom w:val="single" w:sz="4" w:space="0" w:color="auto"/>
              <w:right w:val="single" w:sz="4" w:space="0" w:color="auto"/>
            </w:tcBorders>
            <w:shd w:val="clear" w:color="auto" w:fill="auto"/>
            <w:noWrap/>
            <w:vAlign w:val="center"/>
            <w:hideMark/>
          </w:tcPr>
          <w:p w14:paraId="4A987B35"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144287,6</w:t>
            </w:r>
          </w:p>
        </w:tc>
        <w:tc>
          <w:tcPr>
            <w:tcW w:w="518" w:type="pct"/>
            <w:tcBorders>
              <w:top w:val="nil"/>
              <w:left w:val="nil"/>
              <w:bottom w:val="single" w:sz="4" w:space="0" w:color="auto"/>
              <w:right w:val="single" w:sz="4" w:space="0" w:color="auto"/>
            </w:tcBorders>
            <w:shd w:val="clear" w:color="auto" w:fill="auto"/>
            <w:noWrap/>
            <w:vAlign w:val="center"/>
            <w:hideMark/>
          </w:tcPr>
          <w:p w14:paraId="56BB7F69"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148254,2</w:t>
            </w:r>
          </w:p>
        </w:tc>
        <w:tc>
          <w:tcPr>
            <w:tcW w:w="452" w:type="pct"/>
            <w:tcBorders>
              <w:top w:val="nil"/>
              <w:left w:val="nil"/>
              <w:bottom w:val="single" w:sz="4" w:space="0" w:color="auto"/>
              <w:right w:val="single" w:sz="4" w:space="0" w:color="auto"/>
            </w:tcBorders>
            <w:shd w:val="clear" w:color="auto" w:fill="auto"/>
            <w:noWrap/>
            <w:vAlign w:val="center"/>
            <w:hideMark/>
          </w:tcPr>
          <w:p w14:paraId="7213D335"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3157,2</w:t>
            </w:r>
          </w:p>
        </w:tc>
        <w:tc>
          <w:tcPr>
            <w:tcW w:w="452" w:type="pct"/>
            <w:tcBorders>
              <w:top w:val="nil"/>
              <w:left w:val="nil"/>
              <w:bottom w:val="single" w:sz="4" w:space="0" w:color="auto"/>
              <w:right w:val="single" w:sz="4" w:space="0" w:color="auto"/>
            </w:tcBorders>
            <w:shd w:val="clear" w:color="auto" w:fill="auto"/>
            <w:noWrap/>
            <w:vAlign w:val="center"/>
            <w:hideMark/>
          </w:tcPr>
          <w:p w14:paraId="7D9A7FF4"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0,0</w:t>
            </w:r>
          </w:p>
        </w:tc>
      </w:tr>
      <w:tr w:rsidR="000D40B3" w:rsidRPr="00DD5F1D" w14:paraId="42D592A3" w14:textId="77777777" w:rsidTr="00084F96">
        <w:trPr>
          <w:trHeight w:val="284"/>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431E5F91"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Susținerea financiară a unor beneficiari de pensii de asigurări sociale de stat</w:t>
            </w:r>
          </w:p>
        </w:tc>
        <w:tc>
          <w:tcPr>
            <w:tcW w:w="496" w:type="pct"/>
            <w:tcBorders>
              <w:top w:val="nil"/>
              <w:left w:val="nil"/>
              <w:bottom w:val="single" w:sz="4" w:space="0" w:color="auto"/>
              <w:right w:val="single" w:sz="4" w:space="0" w:color="auto"/>
            </w:tcBorders>
            <w:shd w:val="clear" w:color="auto" w:fill="auto"/>
            <w:vAlign w:val="center"/>
            <w:hideMark/>
          </w:tcPr>
          <w:p w14:paraId="7F450B7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24217,8</w:t>
            </w:r>
          </w:p>
        </w:tc>
        <w:tc>
          <w:tcPr>
            <w:tcW w:w="496" w:type="pct"/>
            <w:tcBorders>
              <w:top w:val="nil"/>
              <w:left w:val="nil"/>
              <w:bottom w:val="single" w:sz="4" w:space="0" w:color="auto"/>
              <w:right w:val="single" w:sz="4" w:space="0" w:color="auto"/>
            </w:tcBorders>
            <w:shd w:val="clear" w:color="auto" w:fill="auto"/>
            <w:noWrap/>
            <w:vAlign w:val="center"/>
            <w:hideMark/>
          </w:tcPr>
          <w:p w14:paraId="16D5297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24217,8</w:t>
            </w:r>
          </w:p>
        </w:tc>
        <w:tc>
          <w:tcPr>
            <w:tcW w:w="518" w:type="pct"/>
            <w:tcBorders>
              <w:top w:val="nil"/>
              <w:left w:val="nil"/>
              <w:bottom w:val="single" w:sz="4" w:space="0" w:color="auto"/>
              <w:right w:val="single" w:sz="4" w:space="0" w:color="auto"/>
            </w:tcBorders>
            <w:shd w:val="clear" w:color="auto" w:fill="auto"/>
            <w:noWrap/>
            <w:vAlign w:val="center"/>
            <w:hideMark/>
          </w:tcPr>
          <w:p w14:paraId="0AA3DF3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23944,6</w:t>
            </w:r>
          </w:p>
        </w:tc>
        <w:tc>
          <w:tcPr>
            <w:tcW w:w="518" w:type="pct"/>
            <w:tcBorders>
              <w:top w:val="nil"/>
              <w:left w:val="nil"/>
              <w:bottom w:val="single" w:sz="4" w:space="0" w:color="auto"/>
              <w:right w:val="single" w:sz="4" w:space="0" w:color="auto"/>
            </w:tcBorders>
            <w:shd w:val="clear" w:color="auto" w:fill="auto"/>
            <w:noWrap/>
            <w:vAlign w:val="center"/>
            <w:hideMark/>
          </w:tcPr>
          <w:p w14:paraId="4BB6406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24153,1</w:t>
            </w:r>
          </w:p>
        </w:tc>
        <w:tc>
          <w:tcPr>
            <w:tcW w:w="452" w:type="pct"/>
            <w:tcBorders>
              <w:top w:val="nil"/>
              <w:left w:val="nil"/>
              <w:bottom w:val="single" w:sz="4" w:space="0" w:color="auto"/>
              <w:right w:val="single" w:sz="4" w:space="0" w:color="auto"/>
            </w:tcBorders>
            <w:shd w:val="clear" w:color="auto" w:fill="auto"/>
            <w:noWrap/>
            <w:vAlign w:val="center"/>
            <w:hideMark/>
          </w:tcPr>
          <w:p w14:paraId="29D194F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527,2</w:t>
            </w:r>
          </w:p>
        </w:tc>
        <w:tc>
          <w:tcPr>
            <w:tcW w:w="452" w:type="pct"/>
            <w:tcBorders>
              <w:top w:val="nil"/>
              <w:left w:val="nil"/>
              <w:bottom w:val="single" w:sz="4" w:space="0" w:color="auto"/>
              <w:right w:val="single" w:sz="4" w:space="0" w:color="auto"/>
            </w:tcBorders>
            <w:shd w:val="clear" w:color="auto" w:fill="auto"/>
            <w:noWrap/>
            <w:vAlign w:val="center"/>
            <w:hideMark/>
          </w:tcPr>
          <w:p w14:paraId="684BE67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795879DD" w14:textId="77777777" w:rsidTr="00084F96">
        <w:trPr>
          <w:trHeight w:val="220"/>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16675986"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Susținerea financiară a beneficiarilor de alocații sociale de stat</w:t>
            </w:r>
          </w:p>
        </w:tc>
        <w:tc>
          <w:tcPr>
            <w:tcW w:w="496" w:type="pct"/>
            <w:tcBorders>
              <w:top w:val="nil"/>
              <w:left w:val="nil"/>
              <w:bottom w:val="single" w:sz="4" w:space="0" w:color="auto"/>
              <w:right w:val="single" w:sz="4" w:space="0" w:color="auto"/>
            </w:tcBorders>
            <w:shd w:val="clear" w:color="auto" w:fill="auto"/>
            <w:vAlign w:val="center"/>
            <w:hideMark/>
          </w:tcPr>
          <w:p w14:paraId="15E2292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119855,7</w:t>
            </w:r>
          </w:p>
        </w:tc>
        <w:tc>
          <w:tcPr>
            <w:tcW w:w="496" w:type="pct"/>
            <w:tcBorders>
              <w:top w:val="nil"/>
              <w:left w:val="nil"/>
              <w:bottom w:val="single" w:sz="4" w:space="0" w:color="auto"/>
              <w:right w:val="single" w:sz="4" w:space="0" w:color="auto"/>
            </w:tcBorders>
            <w:shd w:val="clear" w:color="auto" w:fill="auto"/>
            <w:noWrap/>
            <w:vAlign w:val="center"/>
            <w:hideMark/>
          </w:tcPr>
          <w:p w14:paraId="2051448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118503,9</w:t>
            </w:r>
          </w:p>
        </w:tc>
        <w:tc>
          <w:tcPr>
            <w:tcW w:w="518" w:type="pct"/>
            <w:tcBorders>
              <w:top w:val="nil"/>
              <w:left w:val="nil"/>
              <w:bottom w:val="single" w:sz="4" w:space="0" w:color="auto"/>
              <w:right w:val="single" w:sz="4" w:space="0" w:color="auto"/>
            </w:tcBorders>
            <w:shd w:val="clear" w:color="auto" w:fill="auto"/>
            <w:noWrap/>
            <w:vAlign w:val="center"/>
            <w:hideMark/>
          </w:tcPr>
          <w:p w14:paraId="68BE27C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118421,4</w:t>
            </w:r>
          </w:p>
        </w:tc>
        <w:tc>
          <w:tcPr>
            <w:tcW w:w="518" w:type="pct"/>
            <w:tcBorders>
              <w:top w:val="nil"/>
              <w:left w:val="nil"/>
              <w:bottom w:val="single" w:sz="4" w:space="0" w:color="auto"/>
              <w:right w:val="single" w:sz="4" w:space="0" w:color="auto"/>
            </w:tcBorders>
            <w:shd w:val="clear" w:color="auto" w:fill="auto"/>
            <w:noWrap/>
            <w:vAlign w:val="center"/>
            <w:hideMark/>
          </w:tcPr>
          <w:p w14:paraId="62092DD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118710,3</w:t>
            </w:r>
          </w:p>
        </w:tc>
        <w:tc>
          <w:tcPr>
            <w:tcW w:w="452" w:type="pct"/>
            <w:tcBorders>
              <w:top w:val="nil"/>
              <w:left w:val="nil"/>
              <w:bottom w:val="single" w:sz="4" w:space="0" w:color="auto"/>
              <w:right w:val="single" w:sz="4" w:space="0" w:color="auto"/>
            </w:tcBorders>
            <w:shd w:val="clear" w:color="auto" w:fill="auto"/>
            <w:noWrap/>
            <w:vAlign w:val="center"/>
            <w:hideMark/>
          </w:tcPr>
          <w:p w14:paraId="152FCF6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320,4</w:t>
            </w:r>
          </w:p>
        </w:tc>
        <w:tc>
          <w:tcPr>
            <w:tcW w:w="452" w:type="pct"/>
            <w:tcBorders>
              <w:top w:val="nil"/>
              <w:left w:val="nil"/>
              <w:bottom w:val="single" w:sz="4" w:space="0" w:color="auto"/>
              <w:right w:val="single" w:sz="4" w:space="0" w:color="auto"/>
            </w:tcBorders>
            <w:shd w:val="clear" w:color="auto" w:fill="auto"/>
            <w:noWrap/>
            <w:vAlign w:val="center"/>
            <w:hideMark/>
          </w:tcPr>
          <w:p w14:paraId="6634241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1C4D1559" w14:textId="77777777" w:rsidTr="00084F96">
        <w:trPr>
          <w:trHeight w:val="393"/>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5247FD62" w14:textId="130DF80B" w:rsidR="00084F96" w:rsidRPr="00DD5F1D" w:rsidRDefault="00084F96" w:rsidP="007D5E94">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Susținerea financiară a unor beneficiari de pensii, participanți la lichidarea avariei de la C.A.E. Cernob</w:t>
            </w:r>
            <w:r w:rsidR="007D5E94" w:rsidRPr="00DD5F1D">
              <w:rPr>
                <w:rFonts w:ascii="Times New Roman" w:eastAsia="Times New Roman" w:hAnsi="Times New Roman" w:cs="Times New Roman"/>
                <w:sz w:val="20"/>
                <w:szCs w:val="20"/>
                <w:lang w:val="ro-MD"/>
              </w:rPr>
              <w:t>â</w:t>
            </w:r>
            <w:r w:rsidRPr="00DD5F1D">
              <w:rPr>
                <w:rFonts w:ascii="Times New Roman" w:eastAsia="Times New Roman" w:hAnsi="Times New Roman" w:cs="Times New Roman"/>
                <w:sz w:val="20"/>
                <w:szCs w:val="20"/>
                <w:lang w:val="ro-MD"/>
              </w:rPr>
              <w:t>l și familiilor acestora</w:t>
            </w:r>
          </w:p>
        </w:tc>
        <w:tc>
          <w:tcPr>
            <w:tcW w:w="496" w:type="pct"/>
            <w:tcBorders>
              <w:top w:val="nil"/>
              <w:left w:val="nil"/>
              <w:bottom w:val="single" w:sz="4" w:space="0" w:color="auto"/>
              <w:right w:val="single" w:sz="4" w:space="0" w:color="auto"/>
            </w:tcBorders>
            <w:shd w:val="clear" w:color="auto" w:fill="auto"/>
            <w:vAlign w:val="center"/>
            <w:hideMark/>
          </w:tcPr>
          <w:p w14:paraId="2ED07A3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17,3</w:t>
            </w:r>
          </w:p>
        </w:tc>
        <w:tc>
          <w:tcPr>
            <w:tcW w:w="496" w:type="pct"/>
            <w:tcBorders>
              <w:top w:val="nil"/>
              <w:left w:val="nil"/>
              <w:bottom w:val="single" w:sz="4" w:space="0" w:color="auto"/>
              <w:right w:val="single" w:sz="4" w:space="0" w:color="auto"/>
            </w:tcBorders>
            <w:shd w:val="clear" w:color="auto" w:fill="auto"/>
            <w:noWrap/>
            <w:vAlign w:val="center"/>
            <w:hideMark/>
          </w:tcPr>
          <w:p w14:paraId="0EEE1D4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17,2</w:t>
            </w:r>
          </w:p>
        </w:tc>
        <w:tc>
          <w:tcPr>
            <w:tcW w:w="518" w:type="pct"/>
            <w:tcBorders>
              <w:top w:val="nil"/>
              <w:left w:val="nil"/>
              <w:bottom w:val="single" w:sz="4" w:space="0" w:color="auto"/>
              <w:right w:val="single" w:sz="4" w:space="0" w:color="auto"/>
            </w:tcBorders>
            <w:shd w:val="clear" w:color="auto" w:fill="auto"/>
            <w:noWrap/>
            <w:vAlign w:val="center"/>
            <w:hideMark/>
          </w:tcPr>
          <w:p w14:paraId="5FE5D93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17,1</w:t>
            </w:r>
          </w:p>
        </w:tc>
        <w:tc>
          <w:tcPr>
            <w:tcW w:w="518" w:type="pct"/>
            <w:tcBorders>
              <w:top w:val="nil"/>
              <w:left w:val="nil"/>
              <w:bottom w:val="single" w:sz="4" w:space="0" w:color="auto"/>
              <w:right w:val="single" w:sz="4" w:space="0" w:color="auto"/>
            </w:tcBorders>
            <w:shd w:val="clear" w:color="auto" w:fill="auto"/>
            <w:noWrap/>
            <w:vAlign w:val="center"/>
            <w:hideMark/>
          </w:tcPr>
          <w:p w14:paraId="0FCB54E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17,4</w:t>
            </w:r>
          </w:p>
        </w:tc>
        <w:tc>
          <w:tcPr>
            <w:tcW w:w="452" w:type="pct"/>
            <w:tcBorders>
              <w:top w:val="nil"/>
              <w:left w:val="nil"/>
              <w:bottom w:val="single" w:sz="4" w:space="0" w:color="auto"/>
              <w:right w:val="single" w:sz="4" w:space="0" w:color="auto"/>
            </w:tcBorders>
            <w:shd w:val="clear" w:color="auto" w:fill="auto"/>
            <w:noWrap/>
            <w:vAlign w:val="center"/>
            <w:hideMark/>
          </w:tcPr>
          <w:p w14:paraId="0684B25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0,1</w:t>
            </w:r>
          </w:p>
        </w:tc>
        <w:tc>
          <w:tcPr>
            <w:tcW w:w="452" w:type="pct"/>
            <w:tcBorders>
              <w:top w:val="nil"/>
              <w:left w:val="nil"/>
              <w:bottom w:val="single" w:sz="4" w:space="0" w:color="auto"/>
              <w:right w:val="single" w:sz="4" w:space="0" w:color="auto"/>
            </w:tcBorders>
            <w:shd w:val="clear" w:color="auto" w:fill="auto"/>
            <w:noWrap/>
            <w:vAlign w:val="center"/>
            <w:hideMark/>
          </w:tcPr>
          <w:p w14:paraId="2BBA11E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5CC6F989" w14:textId="77777777" w:rsidTr="00084F96">
        <w:trPr>
          <w:trHeight w:val="485"/>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5438AFAD" w14:textId="1511F547" w:rsidR="00084F96" w:rsidRPr="00DD5F1D" w:rsidRDefault="00084F96" w:rsidP="007D5E94">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Susținerea financiară a unor beneficiari de pensii din r</w:t>
            </w:r>
            <w:r w:rsidR="007D5E94" w:rsidRPr="00DD5F1D">
              <w:rPr>
                <w:rFonts w:ascii="Times New Roman" w:eastAsia="Times New Roman" w:hAnsi="Times New Roman" w:cs="Times New Roman"/>
                <w:sz w:val="20"/>
                <w:szCs w:val="20"/>
                <w:lang w:val="ro-MD"/>
              </w:rPr>
              <w:t>â</w:t>
            </w:r>
            <w:r w:rsidRPr="00DD5F1D">
              <w:rPr>
                <w:rFonts w:ascii="Times New Roman" w:eastAsia="Times New Roman" w:hAnsi="Times New Roman" w:cs="Times New Roman"/>
                <w:sz w:val="20"/>
                <w:szCs w:val="20"/>
                <w:lang w:val="ro-MD"/>
              </w:rPr>
              <w:t>ndul militarilor în termen și familiilor acestora</w:t>
            </w:r>
          </w:p>
        </w:tc>
        <w:tc>
          <w:tcPr>
            <w:tcW w:w="496" w:type="pct"/>
            <w:tcBorders>
              <w:top w:val="nil"/>
              <w:left w:val="nil"/>
              <w:bottom w:val="single" w:sz="4" w:space="0" w:color="auto"/>
              <w:right w:val="single" w:sz="4" w:space="0" w:color="auto"/>
            </w:tcBorders>
            <w:shd w:val="clear" w:color="auto" w:fill="auto"/>
            <w:vAlign w:val="center"/>
            <w:hideMark/>
          </w:tcPr>
          <w:p w14:paraId="1DB8707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546,5</w:t>
            </w:r>
          </w:p>
        </w:tc>
        <w:tc>
          <w:tcPr>
            <w:tcW w:w="496" w:type="pct"/>
            <w:tcBorders>
              <w:top w:val="nil"/>
              <w:left w:val="nil"/>
              <w:bottom w:val="single" w:sz="4" w:space="0" w:color="auto"/>
              <w:right w:val="single" w:sz="4" w:space="0" w:color="auto"/>
            </w:tcBorders>
            <w:shd w:val="clear" w:color="auto" w:fill="auto"/>
            <w:noWrap/>
            <w:vAlign w:val="center"/>
            <w:hideMark/>
          </w:tcPr>
          <w:p w14:paraId="47BF5F4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546,5</w:t>
            </w:r>
          </w:p>
        </w:tc>
        <w:tc>
          <w:tcPr>
            <w:tcW w:w="518" w:type="pct"/>
            <w:tcBorders>
              <w:top w:val="nil"/>
              <w:left w:val="nil"/>
              <w:bottom w:val="single" w:sz="4" w:space="0" w:color="auto"/>
              <w:right w:val="single" w:sz="4" w:space="0" w:color="auto"/>
            </w:tcBorders>
            <w:shd w:val="clear" w:color="auto" w:fill="auto"/>
            <w:noWrap/>
            <w:vAlign w:val="center"/>
            <w:hideMark/>
          </w:tcPr>
          <w:p w14:paraId="13B7A6D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541,5</w:t>
            </w:r>
          </w:p>
        </w:tc>
        <w:tc>
          <w:tcPr>
            <w:tcW w:w="518" w:type="pct"/>
            <w:tcBorders>
              <w:top w:val="nil"/>
              <w:left w:val="nil"/>
              <w:bottom w:val="single" w:sz="4" w:space="0" w:color="auto"/>
              <w:right w:val="single" w:sz="4" w:space="0" w:color="auto"/>
            </w:tcBorders>
            <w:shd w:val="clear" w:color="auto" w:fill="auto"/>
            <w:noWrap/>
            <w:vAlign w:val="center"/>
            <w:hideMark/>
          </w:tcPr>
          <w:p w14:paraId="0787B9A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542,2</w:t>
            </w:r>
          </w:p>
        </w:tc>
        <w:tc>
          <w:tcPr>
            <w:tcW w:w="452" w:type="pct"/>
            <w:tcBorders>
              <w:top w:val="nil"/>
              <w:left w:val="nil"/>
              <w:bottom w:val="single" w:sz="4" w:space="0" w:color="auto"/>
              <w:right w:val="single" w:sz="4" w:space="0" w:color="auto"/>
            </w:tcBorders>
            <w:shd w:val="clear" w:color="auto" w:fill="auto"/>
            <w:noWrap/>
            <w:vAlign w:val="center"/>
            <w:hideMark/>
          </w:tcPr>
          <w:p w14:paraId="7CEB178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19,4</w:t>
            </w:r>
          </w:p>
        </w:tc>
        <w:tc>
          <w:tcPr>
            <w:tcW w:w="452" w:type="pct"/>
            <w:tcBorders>
              <w:top w:val="nil"/>
              <w:left w:val="nil"/>
              <w:bottom w:val="single" w:sz="4" w:space="0" w:color="auto"/>
              <w:right w:val="single" w:sz="4" w:space="0" w:color="auto"/>
            </w:tcBorders>
            <w:shd w:val="clear" w:color="auto" w:fill="auto"/>
            <w:noWrap/>
            <w:vAlign w:val="center"/>
            <w:hideMark/>
          </w:tcPr>
          <w:p w14:paraId="61F3B08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0DC3B7E8" w14:textId="77777777" w:rsidTr="00084F96">
        <w:trPr>
          <w:trHeight w:val="563"/>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585FF135"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 xml:space="preserve">Susținerea financiară a unor beneficiari de pensii din </w:t>
            </w:r>
            <w:r w:rsidR="000C0BA9" w:rsidRPr="00DD5F1D">
              <w:rPr>
                <w:rFonts w:ascii="Times New Roman" w:eastAsia="Times New Roman" w:hAnsi="Times New Roman" w:cs="Times New Roman"/>
                <w:sz w:val="20"/>
                <w:szCs w:val="20"/>
                <w:lang w:val="ro-MD"/>
              </w:rPr>
              <w:t>rândul</w:t>
            </w:r>
            <w:r w:rsidRPr="00DD5F1D">
              <w:rPr>
                <w:rFonts w:ascii="Times New Roman" w:eastAsia="Times New Roman" w:hAnsi="Times New Roman" w:cs="Times New Roman"/>
                <w:sz w:val="20"/>
                <w:szCs w:val="20"/>
                <w:lang w:val="ro-MD"/>
              </w:rPr>
              <w:t xml:space="preserve"> militarilor și a persoanelor din corpul de comandă și din trupele organelor afacerilor interne</w:t>
            </w:r>
          </w:p>
        </w:tc>
        <w:tc>
          <w:tcPr>
            <w:tcW w:w="496" w:type="pct"/>
            <w:tcBorders>
              <w:top w:val="nil"/>
              <w:left w:val="nil"/>
              <w:bottom w:val="single" w:sz="4" w:space="0" w:color="auto"/>
              <w:right w:val="single" w:sz="4" w:space="0" w:color="auto"/>
            </w:tcBorders>
            <w:shd w:val="clear" w:color="auto" w:fill="auto"/>
            <w:vAlign w:val="center"/>
            <w:hideMark/>
          </w:tcPr>
          <w:p w14:paraId="73B5626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56,5</w:t>
            </w:r>
          </w:p>
        </w:tc>
        <w:tc>
          <w:tcPr>
            <w:tcW w:w="496" w:type="pct"/>
            <w:tcBorders>
              <w:top w:val="nil"/>
              <w:left w:val="nil"/>
              <w:bottom w:val="single" w:sz="4" w:space="0" w:color="auto"/>
              <w:right w:val="single" w:sz="4" w:space="0" w:color="auto"/>
            </w:tcBorders>
            <w:shd w:val="clear" w:color="auto" w:fill="auto"/>
            <w:noWrap/>
            <w:vAlign w:val="center"/>
            <w:hideMark/>
          </w:tcPr>
          <w:p w14:paraId="108E108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56,5</w:t>
            </w:r>
          </w:p>
        </w:tc>
        <w:tc>
          <w:tcPr>
            <w:tcW w:w="518" w:type="pct"/>
            <w:tcBorders>
              <w:top w:val="nil"/>
              <w:left w:val="nil"/>
              <w:bottom w:val="single" w:sz="4" w:space="0" w:color="auto"/>
              <w:right w:val="single" w:sz="4" w:space="0" w:color="auto"/>
            </w:tcBorders>
            <w:shd w:val="clear" w:color="auto" w:fill="auto"/>
            <w:noWrap/>
            <w:vAlign w:val="center"/>
            <w:hideMark/>
          </w:tcPr>
          <w:p w14:paraId="351D84A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58,3</w:t>
            </w:r>
          </w:p>
        </w:tc>
        <w:tc>
          <w:tcPr>
            <w:tcW w:w="518" w:type="pct"/>
            <w:tcBorders>
              <w:top w:val="nil"/>
              <w:left w:val="nil"/>
              <w:bottom w:val="single" w:sz="4" w:space="0" w:color="auto"/>
              <w:right w:val="single" w:sz="4" w:space="0" w:color="auto"/>
            </w:tcBorders>
            <w:shd w:val="clear" w:color="auto" w:fill="auto"/>
            <w:noWrap/>
            <w:vAlign w:val="center"/>
            <w:hideMark/>
          </w:tcPr>
          <w:p w14:paraId="4875F00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58,5</w:t>
            </w:r>
          </w:p>
        </w:tc>
        <w:tc>
          <w:tcPr>
            <w:tcW w:w="452" w:type="pct"/>
            <w:tcBorders>
              <w:top w:val="nil"/>
              <w:left w:val="nil"/>
              <w:bottom w:val="single" w:sz="4" w:space="0" w:color="auto"/>
              <w:right w:val="single" w:sz="4" w:space="0" w:color="auto"/>
            </w:tcBorders>
            <w:shd w:val="clear" w:color="auto" w:fill="auto"/>
            <w:noWrap/>
            <w:vAlign w:val="center"/>
            <w:hideMark/>
          </w:tcPr>
          <w:p w14:paraId="6F86FB3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0,7</w:t>
            </w:r>
          </w:p>
        </w:tc>
        <w:tc>
          <w:tcPr>
            <w:tcW w:w="452" w:type="pct"/>
            <w:tcBorders>
              <w:top w:val="nil"/>
              <w:left w:val="nil"/>
              <w:bottom w:val="single" w:sz="4" w:space="0" w:color="auto"/>
              <w:right w:val="single" w:sz="4" w:space="0" w:color="auto"/>
            </w:tcBorders>
            <w:shd w:val="clear" w:color="auto" w:fill="auto"/>
            <w:noWrap/>
            <w:vAlign w:val="center"/>
            <w:hideMark/>
          </w:tcPr>
          <w:p w14:paraId="2860345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60A14FC9" w14:textId="77777777" w:rsidTr="00084F96">
        <w:trPr>
          <w:trHeight w:val="431"/>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287306C4"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 xml:space="preserve">Realizarea dreptului la suport financiar unic unor beneficiari de pensii şi </w:t>
            </w:r>
            <w:r w:rsidR="000C0BA9" w:rsidRPr="00DD5F1D">
              <w:rPr>
                <w:rFonts w:ascii="Times New Roman" w:eastAsia="Times New Roman" w:hAnsi="Times New Roman" w:cs="Times New Roman"/>
                <w:sz w:val="20"/>
                <w:szCs w:val="20"/>
                <w:lang w:val="ro-MD"/>
              </w:rPr>
              <w:t>alocații</w:t>
            </w:r>
            <w:r w:rsidRPr="00DD5F1D">
              <w:rPr>
                <w:rFonts w:ascii="Times New Roman" w:eastAsia="Times New Roman" w:hAnsi="Times New Roman" w:cs="Times New Roman"/>
                <w:sz w:val="20"/>
                <w:szCs w:val="20"/>
                <w:lang w:val="ro-MD"/>
              </w:rPr>
              <w:t xml:space="preserve"> sociale</w:t>
            </w:r>
          </w:p>
        </w:tc>
        <w:tc>
          <w:tcPr>
            <w:tcW w:w="496" w:type="pct"/>
            <w:tcBorders>
              <w:top w:val="nil"/>
              <w:left w:val="nil"/>
              <w:bottom w:val="single" w:sz="4" w:space="0" w:color="auto"/>
              <w:right w:val="single" w:sz="4" w:space="0" w:color="auto"/>
            </w:tcBorders>
            <w:shd w:val="clear" w:color="auto" w:fill="auto"/>
            <w:vAlign w:val="center"/>
            <w:hideMark/>
          </w:tcPr>
          <w:p w14:paraId="5FD74B9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4561,7</w:t>
            </w:r>
          </w:p>
        </w:tc>
        <w:tc>
          <w:tcPr>
            <w:tcW w:w="496" w:type="pct"/>
            <w:tcBorders>
              <w:top w:val="nil"/>
              <w:left w:val="nil"/>
              <w:bottom w:val="single" w:sz="4" w:space="0" w:color="auto"/>
              <w:right w:val="single" w:sz="4" w:space="0" w:color="auto"/>
            </w:tcBorders>
            <w:shd w:val="clear" w:color="auto" w:fill="auto"/>
            <w:noWrap/>
            <w:vAlign w:val="center"/>
            <w:hideMark/>
          </w:tcPr>
          <w:p w14:paraId="617CD20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3732,2</w:t>
            </w:r>
          </w:p>
        </w:tc>
        <w:tc>
          <w:tcPr>
            <w:tcW w:w="518" w:type="pct"/>
            <w:tcBorders>
              <w:top w:val="nil"/>
              <w:left w:val="nil"/>
              <w:bottom w:val="single" w:sz="4" w:space="0" w:color="auto"/>
              <w:right w:val="single" w:sz="4" w:space="0" w:color="auto"/>
            </w:tcBorders>
            <w:shd w:val="clear" w:color="auto" w:fill="auto"/>
            <w:noWrap/>
            <w:vAlign w:val="center"/>
            <w:hideMark/>
          </w:tcPr>
          <w:p w14:paraId="0C912F8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1304,7</w:t>
            </w:r>
          </w:p>
        </w:tc>
        <w:tc>
          <w:tcPr>
            <w:tcW w:w="518" w:type="pct"/>
            <w:tcBorders>
              <w:top w:val="nil"/>
              <w:left w:val="nil"/>
              <w:bottom w:val="single" w:sz="4" w:space="0" w:color="auto"/>
              <w:right w:val="single" w:sz="4" w:space="0" w:color="auto"/>
            </w:tcBorders>
            <w:shd w:val="clear" w:color="auto" w:fill="auto"/>
            <w:noWrap/>
            <w:vAlign w:val="center"/>
            <w:hideMark/>
          </w:tcPr>
          <w:p w14:paraId="38D92C9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4772,7</w:t>
            </w:r>
          </w:p>
        </w:tc>
        <w:tc>
          <w:tcPr>
            <w:tcW w:w="452" w:type="pct"/>
            <w:tcBorders>
              <w:top w:val="nil"/>
              <w:left w:val="nil"/>
              <w:bottom w:val="single" w:sz="4" w:space="0" w:color="auto"/>
              <w:right w:val="single" w:sz="4" w:space="0" w:color="auto"/>
            </w:tcBorders>
            <w:shd w:val="clear" w:color="auto" w:fill="auto"/>
            <w:noWrap/>
            <w:vAlign w:val="center"/>
            <w:hideMark/>
          </w:tcPr>
          <w:p w14:paraId="7E90F29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2289,4</w:t>
            </w:r>
          </w:p>
        </w:tc>
        <w:tc>
          <w:tcPr>
            <w:tcW w:w="452" w:type="pct"/>
            <w:tcBorders>
              <w:top w:val="nil"/>
              <w:left w:val="nil"/>
              <w:bottom w:val="single" w:sz="4" w:space="0" w:color="auto"/>
              <w:right w:val="single" w:sz="4" w:space="0" w:color="auto"/>
            </w:tcBorders>
            <w:shd w:val="clear" w:color="auto" w:fill="auto"/>
            <w:noWrap/>
            <w:vAlign w:val="center"/>
            <w:hideMark/>
          </w:tcPr>
          <w:p w14:paraId="19B8C66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64000000" w14:textId="77777777" w:rsidTr="00084F96">
        <w:trPr>
          <w:trHeight w:val="396"/>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277ECC74" w14:textId="29660D9D" w:rsidR="00084F96" w:rsidRPr="00DD5F1D" w:rsidRDefault="00084F96" w:rsidP="007D5E94">
            <w:pPr>
              <w:spacing w:after="0" w:line="240" w:lineRule="auto"/>
              <w:rPr>
                <w:rFonts w:ascii="Times New Roman" w:eastAsia="Times New Roman" w:hAnsi="Times New Roman" w:cs="Times New Roman"/>
                <w:b/>
                <w:bCs/>
                <w:i/>
                <w:iCs/>
                <w:sz w:val="20"/>
                <w:szCs w:val="20"/>
                <w:lang w:val="ro-MD"/>
              </w:rPr>
            </w:pPr>
            <w:r w:rsidRPr="00DD5F1D">
              <w:rPr>
                <w:rFonts w:ascii="Times New Roman" w:eastAsia="Times New Roman" w:hAnsi="Times New Roman" w:cs="Times New Roman"/>
                <w:b/>
                <w:bCs/>
                <w:i/>
                <w:iCs/>
                <w:sz w:val="20"/>
                <w:szCs w:val="20"/>
                <w:lang w:val="ro-MD"/>
              </w:rPr>
              <w:t xml:space="preserve">Subprogramul 90.15 </w:t>
            </w:r>
            <w:r w:rsidR="007D5E94" w:rsidRPr="00DD5F1D">
              <w:rPr>
                <w:rFonts w:ascii="Times New Roman" w:eastAsia="Times New Roman" w:hAnsi="Times New Roman" w:cs="Times New Roman"/>
                <w:b/>
                <w:bCs/>
                <w:i/>
                <w:iCs/>
                <w:sz w:val="20"/>
                <w:szCs w:val="20"/>
                <w:lang w:val="ro-MD"/>
              </w:rPr>
              <w:t>„</w:t>
            </w:r>
            <w:r w:rsidRPr="00DD5F1D">
              <w:rPr>
                <w:rFonts w:ascii="Times New Roman" w:eastAsia="Times New Roman" w:hAnsi="Times New Roman" w:cs="Times New Roman"/>
                <w:b/>
                <w:bCs/>
                <w:i/>
                <w:iCs/>
                <w:sz w:val="20"/>
                <w:szCs w:val="20"/>
                <w:lang w:val="ro-MD"/>
              </w:rPr>
              <w:t>Protecția socială a persoanelor în situații de risc” (Gr:10.99)</w:t>
            </w:r>
          </w:p>
        </w:tc>
        <w:tc>
          <w:tcPr>
            <w:tcW w:w="496" w:type="pct"/>
            <w:tcBorders>
              <w:top w:val="nil"/>
              <w:left w:val="nil"/>
              <w:bottom w:val="single" w:sz="4" w:space="0" w:color="auto"/>
              <w:right w:val="single" w:sz="4" w:space="0" w:color="auto"/>
            </w:tcBorders>
            <w:shd w:val="clear" w:color="auto" w:fill="auto"/>
            <w:noWrap/>
            <w:vAlign w:val="center"/>
            <w:hideMark/>
          </w:tcPr>
          <w:p w14:paraId="46765056"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10941174,2</w:t>
            </w:r>
          </w:p>
        </w:tc>
        <w:tc>
          <w:tcPr>
            <w:tcW w:w="496" w:type="pct"/>
            <w:tcBorders>
              <w:top w:val="nil"/>
              <w:left w:val="nil"/>
              <w:bottom w:val="single" w:sz="4" w:space="0" w:color="auto"/>
              <w:right w:val="single" w:sz="4" w:space="0" w:color="auto"/>
            </w:tcBorders>
            <w:shd w:val="clear" w:color="auto" w:fill="auto"/>
            <w:noWrap/>
            <w:vAlign w:val="center"/>
            <w:hideMark/>
          </w:tcPr>
          <w:p w14:paraId="43F4D70C"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10869758,2</w:t>
            </w:r>
          </w:p>
        </w:tc>
        <w:tc>
          <w:tcPr>
            <w:tcW w:w="518" w:type="pct"/>
            <w:tcBorders>
              <w:top w:val="nil"/>
              <w:left w:val="nil"/>
              <w:bottom w:val="single" w:sz="4" w:space="0" w:color="auto"/>
              <w:right w:val="single" w:sz="4" w:space="0" w:color="auto"/>
            </w:tcBorders>
            <w:shd w:val="clear" w:color="auto" w:fill="auto"/>
            <w:noWrap/>
            <w:vAlign w:val="center"/>
            <w:hideMark/>
          </w:tcPr>
          <w:p w14:paraId="22EABF1A"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10835141,3</w:t>
            </w:r>
          </w:p>
        </w:tc>
        <w:tc>
          <w:tcPr>
            <w:tcW w:w="518" w:type="pct"/>
            <w:tcBorders>
              <w:top w:val="nil"/>
              <w:left w:val="nil"/>
              <w:bottom w:val="single" w:sz="4" w:space="0" w:color="auto"/>
              <w:right w:val="single" w:sz="4" w:space="0" w:color="auto"/>
            </w:tcBorders>
            <w:shd w:val="clear" w:color="auto" w:fill="auto"/>
            <w:noWrap/>
            <w:vAlign w:val="center"/>
            <w:hideMark/>
          </w:tcPr>
          <w:p w14:paraId="22B216D3"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10810174,8</w:t>
            </w:r>
          </w:p>
        </w:tc>
        <w:tc>
          <w:tcPr>
            <w:tcW w:w="452" w:type="pct"/>
            <w:tcBorders>
              <w:top w:val="nil"/>
              <w:left w:val="nil"/>
              <w:bottom w:val="single" w:sz="4" w:space="0" w:color="auto"/>
              <w:right w:val="single" w:sz="4" w:space="0" w:color="auto"/>
            </w:tcBorders>
            <w:shd w:val="clear" w:color="auto" w:fill="auto"/>
            <w:noWrap/>
            <w:vAlign w:val="center"/>
            <w:hideMark/>
          </w:tcPr>
          <w:p w14:paraId="25224FFB"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33996,8</w:t>
            </w:r>
          </w:p>
        </w:tc>
        <w:tc>
          <w:tcPr>
            <w:tcW w:w="452" w:type="pct"/>
            <w:tcBorders>
              <w:top w:val="nil"/>
              <w:left w:val="nil"/>
              <w:bottom w:val="single" w:sz="4" w:space="0" w:color="auto"/>
              <w:right w:val="single" w:sz="4" w:space="0" w:color="auto"/>
            </w:tcBorders>
            <w:shd w:val="clear" w:color="auto" w:fill="auto"/>
            <w:noWrap/>
            <w:vAlign w:val="center"/>
            <w:hideMark/>
          </w:tcPr>
          <w:p w14:paraId="306313EC"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5777,2</w:t>
            </w:r>
          </w:p>
        </w:tc>
      </w:tr>
      <w:tr w:rsidR="000D40B3" w:rsidRPr="00DD5F1D" w14:paraId="4E5D0C44"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noWrap/>
            <w:vAlign w:val="center"/>
            <w:hideMark/>
          </w:tcPr>
          <w:p w14:paraId="6F0CF3D6" w14:textId="77777777" w:rsidR="00084F96" w:rsidRPr="00DD5F1D" w:rsidRDefault="00084F96" w:rsidP="00084F96">
            <w:pPr>
              <w:spacing w:after="0" w:line="240" w:lineRule="auto"/>
              <w:jc w:val="center"/>
              <w:rPr>
                <w:rFonts w:ascii="Times New Roman" w:eastAsia="Times New Roman" w:hAnsi="Times New Roman" w:cs="Times New Roman"/>
                <w:b/>
                <w:bCs/>
                <w:i/>
                <w:iCs/>
                <w:sz w:val="20"/>
                <w:szCs w:val="20"/>
                <w:lang w:val="ro-MD"/>
              </w:rPr>
            </w:pPr>
            <w:r w:rsidRPr="00DD5F1D">
              <w:rPr>
                <w:rFonts w:ascii="Times New Roman" w:eastAsia="Times New Roman" w:hAnsi="Times New Roman" w:cs="Times New Roman"/>
                <w:b/>
                <w:bCs/>
                <w:i/>
                <w:iCs/>
                <w:sz w:val="20"/>
                <w:szCs w:val="20"/>
                <w:lang w:val="ro-MD"/>
              </w:rPr>
              <w:t xml:space="preserve">Total PENSII </w:t>
            </w:r>
          </w:p>
        </w:tc>
        <w:tc>
          <w:tcPr>
            <w:tcW w:w="496" w:type="pct"/>
            <w:tcBorders>
              <w:top w:val="nil"/>
              <w:left w:val="nil"/>
              <w:bottom w:val="single" w:sz="4" w:space="0" w:color="auto"/>
              <w:right w:val="single" w:sz="4" w:space="0" w:color="auto"/>
            </w:tcBorders>
            <w:shd w:val="clear" w:color="auto" w:fill="auto"/>
            <w:noWrap/>
            <w:vAlign w:val="center"/>
            <w:hideMark/>
          </w:tcPr>
          <w:p w14:paraId="5EF351E6"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2187542,6</w:t>
            </w:r>
          </w:p>
        </w:tc>
        <w:tc>
          <w:tcPr>
            <w:tcW w:w="496" w:type="pct"/>
            <w:tcBorders>
              <w:top w:val="nil"/>
              <w:left w:val="nil"/>
              <w:bottom w:val="single" w:sz="4" w:space="0" w:color="auto"/>
              <w:right w:val="single" w:sz="4" w:space="0" w:color="auto"/>
            </w:tcBorders>
            <w:shd w:val="clear" w:color="auto" w:fill="auto"/>
            <w:noWrap/>
            <w:vAlign w:val="center"/>
            <w:hideMark/>
          </w:tcPr>
          <w:p w14:paraId="3799D9D1"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2186058,0</w:t>
            </w:r>
          </w:p>
        </w:tc>
        <w:tc>
          <w:tcPr>
            <w:tcW w:w="518" w:type="pct"/>
            <w:tcBorders>
              <w:top w:val="nil"/>
              <w:left w:val="nil"/>
              <w:bottom w:val="single" w:sz="4" w:space="0" w:color="auto"/>
              <w:right w:val="single" w:sz="4" w:space="0" w:color="auto"/>
            </w:tcBorders>
            <w:shd w:val="clear" w:color="auto" w:fill="auto"/>
            <w:noWrap/>
            <w:vAlign w:val="center"/>
            <w:hideMark/>
          </w:tcPr>
          <w:p w14:paraId="24460B08"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2183366,8</w:t>
            </w:r>
          </w:p>
        </w:tc>
        <w:tc>
          <w:tcPr>
            <w:tcW w:w="518" w:type="pct"/>
            <w:tcBorders>
              <w:top w:val="nil"/>
              <w:left w:val="nil"/>
              <w:bottom w:val="single" w:sz="4" w:space="0" w:color="auto"/>
              <w:right w:val="single" w:sz="4" w:space="0" w:color="auto"/>
            </w:tcBorders>
            <w:shd w:val="clear" w:color="auto" w:fill="auto"/>
            <w:noWrap/>
            <w:vAlign w:val="center"/>
            <w:hideMark/>
          </w:tcPr>
          <w:p w14:paraId="2E21FF29"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2182915,0</w:t>
            </w:r>
          </w:p>
        </w:tc>
        <w:tc>
          <w:tcPr>
            <w:tcW w:w="452" w:type="pct"/>
            <w:tcBorders>
              <w:top w:val="nil"/>
              <w:left w:val="nil"/>
              <w:bottom w:val="single" w:sz="4" w:space="0" w:color="auto"/>
              <w:right w:val="single" w:sz="4" w:space="0" w:color="auto"/>
            </w:tcBorders>
            <w:shd w:val="clear" w:color="auto" w:fill="auto"/>
            <w:noWrap/>
            <w:vAlign w:val="center"/>
            <w:hideMark/>
          </w:tcPr>
          <w:p w14:paraId="694685C8"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5250,3</w:t>
            </w:r>
          </w:p>
        </w:tc>
        <w:tc>
          <w:tcPr>
            <w:tcW w:w="452" w:type="pct"/>
            <w:tcBorders>
              <w:top w:val="nil"/>
              <w:left w:val="nil"/>
              <w:bottom w:val="single" w:sz="4" w:space="0" w:color="auto"/>
              <w:right w:val="single" w:sz="4" w:space="0" w:color="auto"/>
            </w:tcBorders>
            <w:shd w:val="clear" w:color="auto" w:fill="auto"/>
            <w:noWrap/>
            <w:vAlign w:val="center"/>
            <w:hideMark/>
          </w:tcPr>
          <w:p w14:paraId="51874B35"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233,0</w:t>
            </w:r>
          </w:p>
        </w:tc>
      </w:tr>
      <w:tr w:rsidR="000D40B3" w:rsidRPr="00DD5F1D" w14:paraId="63F065A7" w14:textId="77777777" w:rsidTr="00084F96">
        <w:trPr>
          <w:trHeight w:val="80"/>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62AC68A3"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pensie  pentru deputați</w:t>
            </w:r>
          </w:p>
        </w:tc>
        <w:tc>
          <w:tcPr>
            <w:tcW w:w="496" w:type="pct"/>
            <w:tcBorders>
              <w:top w:val="nil"/>
              <w:left w:val="nil"/>
              <w:bottom w:val="single" w:sz="4" w:space="0" w:color="auto"/>
              <w:right w:val="single" w:sz="4" w:space="0" w:color="auto"/>
            </w:tcBorders>
            <w:shd w:val="clear" w:color="auto" w:fill="auto"/>
            <w:vAlign w:val="center"/>
            <w:hideMark/>
          </w:tcPr>
          <w:p w14:paraId="0B37308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6819,1</w:t>
            </w:r>
          </w:p>
        </w:tc>
        <w:tc>
          <w:tcPr>
            <w:tcW w:w="496" w:type="pct"/>
            <w:tcBorders>
              <w:top w:val="nil"/>
              <w:left w:val="nil"/>
              <w:bottom w:val="single" w:sz="4" w:space="0" w:color="auto"/>
              <w:right w:val="single" w:sz="4" w:space="0" w:color="auto"/>
            </w:tcBorders>
            <w:shd w:val="clear" w:color="auto" w:fill="auto"/>
            <w:noWrap/>
            <w:vAlign w:val="center"/>
            <w:hideMark/>
          </w:tcPr>
          <w:p w14:paraId="5F4E43F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6814,2</w:t>
            </w:r>
          </w:p>
        </w:tc>
        <w:tc>
          <w:tcPr>
            <w:tcW w:w="518" w:type="pct"/>
            <w:tcBorders>
              <w:top w:val="nil"/>
              <w:left w:val="nil"/>
              <w:bottom w:val="single" w:sz="4" w:space="0" w:color="auto"/>
              <w:right w:val="single" w:sz="4" w:space="0" w:color="auto"/>
            </w:tcBorders>
            <w:shd w:val="clear" w:color="auto" w:fill="auto"/>
            <w:noWrap/>
            <w:vAlign w:val="center"/>
            <w:hideMark/>
          </w:tcPr>
          <w:p w14:paraId="589199F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6818,5</w:t>
            </w:r>
          </w:p>
        </w:tc>
        <w:tc>
          <w:tcPr>
            <w:tcW w:w="518" w:type="pct"/>
            <w:tcBorders>
              <w:top w:val="nil"/>
              <w:left w:val="nil"/>
              <w:bottom w:val="single" w:sz="4" w:space="0" w:color="auto"/>
              <w:right w:val="single" w:sz="4" w:space="0" w:color="auto"/>
            </w:tcBorders>
            <w:shd w:val="clear" w:color="auto" w:fill="auto"/>
            <w:noWrap/>
            <w:vAlign w:val="center"/>
            <w:hideMark/>
          </w:tcPr>
          <w:p w14:paraId="64CD818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6821,9</w:t>
            </w:r>
          </w:p>
        </w:tc>
        <w:tc>
          <w:tcPr>
            <w:tcW w:w="452" w:type="pct"/>
            <w:tcBorders>
              <w:top w:val="nil"/>
              <w:left w:val="nil"/>
              <w:bottom w:val="single" w:sz="4" w:space="0" w:color="auto"/>
              <w:right w:val="single" w:sz="4" w:space="0" w:color="auto"/>
            </w:tcBorders>
            <w:shd w:val="clear" w:color="auto" w:fill="auto"/>
            <w:vAlign w:val="center"/>
            <w:hideMark/>
          </w:tcPr>
          <w:p w14:paraId="3AEE491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nil"/>
              <w:left w:val="nil"/>
              <w:bottom w:val="single" w:sz="4" w:space="0" w:color="auto"/>
              <w:right w:val="single" w:sz="4" w:space="0" w:color="auto"/>
            </w:tcBorders>
            <w:shd w:val="clear" w:color="auto" w:fill="auto"/>
            <w:noWrap/>
            <w:vAlign w:val="center"/>
            <w:hideMark/>
          </w:tcPr>
          <w:p w14:paraId="6276002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058D7371" w14:textId="77777777" w:rsidTr="00084F96">
        <w:trPr>
          <w:trHeight w:val="9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1878AC2F"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pensie  pentru membrii Guvernului</w:t>
            </w:r>
          </w:p>
        </w:tc>
        <w:tc>
          <w:tcPr>
            <w:tcW w:w="496" w:type="pct"/>
            <w:tcBorders>
              <w:top w:val="nil"/>
              <w:left w:val="nil"/>
              <w:bottom w:val="single" w:sz="4" w:space="0" w:color="auto"/>
              <w:right w:val="single" w:sz="4" w:space="0" w:color="auto"/>
            </w:tcBorders>
            <w:shd w:val="clear" w:color="auto" w:fill="auto"/>
            <w:vAlign w:val="center"/>
            <w:hideMark/>
          </w:tcPr>
          <w:p w14:paraId="68724BD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1359,3</w:t>
            </w:r>
          </w:p>
        </w:tc>
        <w:tc>
          <w:tcPr>
            <w:tcW w:w="496" w:type="pct"/>
            <w:tcBorders>
              <w:top w:val="nil"/>
              <w:left w:val="nil"/>
              <w:bottom w:val="single" w:sz="4" w:space="0" w:color="auto"/>
              <w:right w:val="single" w:sz="4" w:space="0" w:color="auto"/>
            </w:tcBorders>
            <w:shd w:val="clear" w:color="auto" w:fill="auto"/>
            <w:noWrap/>
            <w:vAlign w:val="center"/>
            <w:hideMark/>
          </w:tcPr>
          <w:p w14:paraId="03D5070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1357,5</w:t>
            </w:r>
          </w:p>
        </w:tc>
        <w:tc>
          <w:tcPr>
            <w:tcW w:w="518" w:type="pct"/>
            <w:tcBorders>
              <w:top w:val="nil"/>
              <w:left w:val="nil"/>
              <w:bottom w:val="single" w:sz="4" w:space="0" w:color="auto"/>
              <w:right w:val="single" w:sz="4" w:space="0" w:color="auto"/>
            </w:tcBorders>
            <w:shd w:val="clear" w:color="auto" w:fill="auto"/>
            <w:noWrap/>
            <w:vAlign w:val="center"/>
            <w:hideMark/>
          </w:tcPr>
          <w:p w14:paraId="1E7B2B5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1359,2</w:t>
            </w:r>
          </w:p>
        </w:tc>
        <w:tc>
          <w:tcPr>
            <w:tcW w:w="518" w:type="pct"/>
            <w:tcBorders>
              <w:top w:val="nil"/>
              <w:left w:val="nil"/>
              <w:bottom w:val="single" w:sz="4" w:space="0" w:color="auto"/>
              <w:right w:val="single" w:sz="4" w:space="0" w:color="auto"/>
            </w:tcBorders>
            <w:shd w:val="clear" w:color="auto" w:fill="auto"/>
            <w:noWrap/>
            <w:vAlign w:val="center"/>
            <w:hideMark/>
          </w:tcPr>
          <w:p w14:paraId="7639E73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1359,2</w:t>
            </w:r>
          </w:p>
        </w:tc>
        <w:tc>
          <w:tcPr>
            <w:tcW w:w="452" w:type="pct"/>
            <w:tcBorders>
              <w:top w:val="nil"/>
              <w:left w:val="nil"/>
              <w:bottom w:val="single" w:sz="4" w:space="0" w:color="auto"/>
              <w:right w:val="single" w:sz="4" w:space="0" w:color="auto"/>
            </w:tcBorders>
            <w:shd w:val="clear" w:color="auto" w:fill="auto"/>
            <w:vAlign w:val="center"/>
            <w:hideMark/>
          </w:tcPr>
          <w:p w14:paraId="26672D0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nil"/>
              <w:left w:val="nil"/>
              <w:bottom w:val="single" w:sz="4" w:space="0" w:color="auto"/>
              <w:right w:val="single" w:sz="4" w:space="0" w:color="auto"/>
            </w:tcBorders>
            <w:shd w:val="clear" w:color="auto" w:fill="auto"/>
            <w:vAlign w:val="center"/>
            <w:hideMark/>
          </w:tcPr>
          <w:p w14:paraId="5F38151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w:t>
            </w:r>
          </w:p>
        </w:tc>
      </w:tr>
      <w:tr w:rsidR="000D40B3" w:rsidRPr="00DD5F1D" w14:paraId="11C34AC5" w14:textId="77777777" w:rsidTr="00084F96">
        <w:trPr>
          <w:trHeight w:val="2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1E925AFE"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pensie  pentru procurori</w:t>
            </w:r>
          </w:p>
        </w:tc>
        <w:tc>
          <w:tcPr>
            <w:tcW w:w="496" w:type="pct"/>
            <w:tcBorders>
              <w:top w:val="nil"/>
              <w:left w:val="nil"/>
              <w:bottom w:val="single" w:sz="4" w:space="0" w:color="auto"/>
              <w:right w:val="single" w:sz="4" w:space="0" w:color="auto"/>
            </w:tcBorders>
            <w:shd w:val="clear" w:color="auto" w:fill="auto"/>
            <w:vAlign w:val="center"/>
            <w:hideMark/>
          </w:tcPr>
          <w:p w14:paraId="6FB98AC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25396,8</w:t>
            </w:r>
          </w:p>
        </w:tc>
        <w:tc>
          <w:tcPr>
            <w:tcW w:w="496" w:type="pct"/>
            <w:tcBorders>
              <w:top w:val="nil"/>
              <w:left w:val="nil"/>
              <w:bottom w:val="single" w:sz="4" w:space="0" w:color="auto"/>
              <w:right w:val="single" w:sz="4" w:space="0" w:color="auto"/>
            </w:tcBorders>
            <w:shd w:val="clear" w:color="auto" w:fill="auto"/>
            <w:noWrap/>
            <w:vAlign w:val="center"/>
            <w:hideMark/>
          </w:tcPr>
          <w:p w14:paraId="3C0ED41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25371,1</w:t>
            </w:r>
          </w:p>
        </w:tc>
        <w:tc>
          <w:tcPr>
            <w:tcW w:w="518" w:type="pct"/>
            <w:tcBorders>
              <w:top w:val="nil"/>
              <w:left w:val="nil"/>
              <w:bottom w:val="single" w:sz="4" w:space="0" w:color="auto"/>
              <w:right w:val="single" w:sz="4" w:space="0" w:color="auto"/>
            </w:tcBorders>
            <w:shd w:val="clear" w:color="auto" w:fill="auto"/>
            <w:noWrap/>
            <w:vAlign w:val="center"/>
            <w:hideMark/>
          </w:tcPr>
          <w:p w14:paraId="1FEAFBF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25271,0</w:t>
            </w:r>
          </w:p>
        </w:tc>
        <w:tc>
          <w:tcPr>
            <w:tcW w:w="518" w:type="pct"/>
            <w:tcBorders>
              <w:top w:val="nil"/>
              <w:left w:val="nil"/>
              <w:bottom w:val="single" w:sz="4" w:space="0" w:color="auto"/>
              <w:right w:val="single" w:sz="4" w:space="0" w:color="auto"/>
            </w:tcBorders>
            <w:shd w:val="clear" w:color="auto" w:fill="auto"/>
            <w:noWrap/>
            <w:vAlign w:val="center"/>
            <w:hideMark/>
          </w:tcPr>
          <w:p w14:paraId="14D1713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25267,6</w:t>
            </w:r>
          </w:p>
        </w:tc>
        <w:tc>
          <w:tcPr>
            <w:tcW w:w="452" w:type="pct"/>
            <w:tcBorders>
              <w:top w:val="nil"/>
              <w:left w:val="nil"/>
              <w:bottom w:val="single" w:sz="4" w:space="0" w:color="auto"/>
              <w:right w:val="single" w:sz="4" w:space="0" w:color="auto"/>
            </w:tcBorders>
            <w:shd w:val="clear" w:color="auto" w:fill="auto"/>
            <w:noWrap/>
            <w:vAlign w:val="center"/>
            <w:hideMark/>
          </w:tcPr>
          <w:p w14:paraId="41F0810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219,7</w:t>
            </w:r>
          </w:p>
        </w:tc>
        <w:tc>
          <w:tcPr>
            <w:tcW w:w="452" w:type="pct"/>
            <w:tcBorders>
              <w:top w:val="nil"/>
              <w:left w:val="nil"/>
              <w:bottom w:val="single" w:sz="4" w:space="0" w:color="auto"/>
              <w:right w:val="single" w:sz="4" w:space="0" w:color="auto"/>
            </w:tcBorders>
            <w:shd w:val="clear" w:color="auto" w:fill="auto"/>
            <w:vAlign w:val="center"/>
            <w:hideMark/>
          </w:tcPr>
          <w:p w14:paraId="4292B8A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0CB8B38C" w14:textId="77777777" w:rsidTr="00084F96">
        <w:trPr>
          <w:trHeight w:val="134"/>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0C182875"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pensie  pentru funcţionari publici</w:t>
            </w:r>
          </w:p>
        </w:tc>
        <w:tc>
          <w:tcPr>
            <w:tcW w:w="496" w:type="pct"/>
            <w:tcBorders>
              <w:top w:val="nil"/>
              <w:left w:val="nil"/>
              <w:bottom w:val="single" w:sz="4" w:space="0" w:color="auto"/>
              <w:right w:val="single" w:sz="4" w:space="0" w:color="auto"/>
            </w:tcBorders>
            <w:shd w:val="clear" w:color="auto" w:fill="auto"/>
            <w:vAlign w:val="center"/>
            <w:hideMark/>
          </w:tcPr>
          <w:p w14:paraId="15D4CF8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136466,5</w:t>
            </w:r>
          </w:p>
        </w:tc>
        <w:tc>
          <w:tcPr>
            <w:tcW w:w="496" w:type="pct"/>
            <w:tcBorders>
              <w:top w:val="nil"/>
              <w:left w:val="nil"/>
              <w:bottom w:val="single" w:sz="4" w:space="0" w:color="auto"/>
              <w:right w:val="single" w:sz="4" w:space="0" w:color="auto"/>
            </w:tcBorders>
            <w:shd w:val="clear" w:color="auto" w:fill="auto"/>
            <w:noWrap/>
            <w:vAlign w:val="center"/>
            <w:hideMark/>
          </w:tcPr>
          <w:p w14:paraId="2029F1F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136368,7</w:t>
            </w:r>
          </w:p>
        </w:tc>
        <w:tc>
          <w:tcPr>
            <w:tcW w:w="518" w:type="pct"/>
            <w:tcBorders>
              <w:top w:val="nil"/>
              <w:left w:val="nil"/>
              <w:bottom w:val="single" w:sz="4" w:space="0" w:color="auto"/>
              <w:right w:val="single" w:sz="4" w:space="0" w:color="auto"/>
            </w:tcBorders>
            <w:shd w:val="clear" w:color="auto" w:fill="auto"/>
            <w:noWrap/>
            <w:vAlign w:val="center"/>
            <w:hideMark/>
          </w:tcPr>
          <w:p w14:paraId="04336F1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136553,1</w:t>
            </w:r>
          </w:p>
        </w:tc>
        <w:tc>
          <w:tcPr>
            <w:tcW w:w="518" w:type="pct"/>
            <w:tcBorders>
              <w:top w:val="nil"/>
              <w:left w:val="nil"/>
              <w:bottom w:val="single" w:sz="4" w:space="0" w:color="auto"/>
              <w:right w:val="single" w:sz="4" w:space="0" w:color="auto"/>
            </w:tcBorders>
            <w:shd w:val="clear" w:color="auto" w:fill="auto"/>
            <w:noWrap/>
            <w:vAlign w:val="center"/>
            <w:hideMark/>
          </w:tcPr>
          <w:p w14:paraId="443A66B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136515,5</w:t>
            </w:r>
          </w:p>
        </w:tc>
        <w:tc>
          <w:tcPr>
            <w:tcW w:w="452" w:type="pct"/>
            <w:tcBorders>
              <w:top w:val="nil"/>
              <w:left w:val="nil"/>
              <w:bottom w:val="single" w:sz="4" w:space="0" w:color="auto"/>
              <w:right w:val="single" w:sz="4" w:space="0" w:color="auto"/>
            </w:tcBorders>
            <w:shd w:val="clear" w:color="auto" w:fill="auto"/>
            <w:noWrap/>
            <w:vAlign w:val="center"/>
            <w:hideMark/>
          </w:tcPr>
          <w:p w14:paraId="0F83DA7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nil"/>
              <w:left w:val="nil"/>
              <w:bottom w:val="single" w:sz="4" w:space="0" w:color="auto"/>
              <w:right w:val="single" w:sz="4" w:space="0" w:color="auto"/>
            </w:tcBorders>
            <w:shd w:val="clear" w:color="auto" w:fill="auto"/>
            <w:vAlign w:val="center"/>
            <w:hideMark/>
          </w:tcPr>
          <w:p w14:paraId="505FF7F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119,8</w:t>
            </w:r>
          </w:p>
        </w:tc>
      </w:tr>
      <w:tr w:rsidR="000D40B3" w:rsidRPr="00DD5F1D" w14:paraId="2A430F77" w14:textId="77777777" w:rsidTr="00084F96">
        <w:trPr>
          <w:trHeight w:val="152"/>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24CCBC28"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pensie  pentru aleşii locali</w:t>
            </w:r>
          </w:p>
        </w:tc>
        <w:tc>
          <w:tcPr>
            <w:tcW w:w="496" w:type="pct"/>
            <w:tcBorders>
              <w:top w:val="nil"/>
              <w:left w:val="nil"/>
              <w:bottom w:val="single" w:sz="4" w:space="0" w:color="auto"/>
              <w:right w:val="single" w:sz="4" w:space="0" w:color="auto"/>
            </w:tcBorders>
            <w:shd w:val="clear" w:color="auto" w:fill="auto"/>
            <w:vAlign w:val="center"/>
            <w:hideMark/>
          </w:tcPr>
          <w:p w14:paraId="5D5B0A2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9765,6</w:t>
            </w:r>
          </w:p>
        </w:tc>
        <w:tc>
          <w:tcPr>
            <w:tcW w:w="496" w:type="pct"/>
            <w:tcBorders>
              <w:top w:val="nil"/>
              <w:left w:val="nil"/>
              <w:bottom w:val="single" w:sz="4" w:space="0" w:color="auto"/>
              <w:right w:val="single" w:sz="4" w:space="0" w:color="auto"/>
            </w:tcBorders>
            <w:shd w:val="clear" w:color="auto" w:fill="auto"/>
            <w:noWrap/>
            <w:vAlign w:val="center"/>
            <w:hideMark/>
          </w:tcPr>
          <w:p w14:paraId="08A10F7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9755,9</w:t>
            </w:r>
          </w:p>
        </w:tc>
        <w:tc>
          <w:tcPr>
            <w:tcW w:w="518" w:type="pct"/>
            <w:tcBorders>
              <w:top w:val="nil"/>
              <w:left w:val="nil"/>
              <w:bottom w:val="single" w:sz="4" w:space="0" w:color="auto"/>
              <w:right w:val="single" w:sz="4" w:space="0" w:color="auto"/>
            </w:tcBorders>
            <w:shd w:val="clear" w:color="auto" w:fill="auto"/>
            <w:noWrap/>
            <w:vAlign w:val="center"/>
            <w:hideMark/>
          </w:tcPr>
          <w:p w14:paraId="25DA78B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9726,1</w:t>
            </w:r>
          </w:p>
        </w:tc>
        <w:tc>
          <w:tcPr>
            <w:tcW w:w="518" w:type="pct"/>
            <w:tcBorders>
              <w:top w:val="nil"/>
              <w:left w:val="nil"/>
              <w:bottom w:val="single" w:sz="4" w:space="0" w:color="auto"/>
              <w:right w:val="single" w:sz="4" w:space="0" w:color="auto"/>
            </w:tcBorders>
            <w:shd w:val="clear" w:color="auto" w:fill="auto"/>
            <w:noWrap/>
            <w:vAlign w:val="center"/>
            <w:hideMark/>
          </w:tcPr>
          <w:p w14:paraId="4956827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9726,0</w:t>
            </w:r>
          </w:p>
        </w:tc>
        <w:tc>
          <w:tcPr>
            <w:tcW w:w="452" w:type="pct"/>
            <w:tcBorders>
              <w:top w:val="nil"/>
              <w:left w:val="nil"/>
              <w:bottom w:val="single" w:sz="4" w:space="0" w:color="auto"/>
              <w:right w:val="single" w:sz="4" w:space="0" w:color="auto"/>
            </w:tcBorders>
            <w:shd w:val="clear" w:color="auto" w:fill="auto"/>
            <w:noWrap/>
            <w:vAlign w:val="center"/>
            <w:hideMark/>
          </w:tcPr>
          <w:p w14:paraId="16D8C61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31,8</w:t>
            </w:r>
          </w:p>
        </w:tc>
        <w:tc>
          <w:tcPr>
            <w:tcW w:w="452" w:type="pct"/>
            <w:tcBorders>
              <w:top w:val="nil"/>
              <w:left w:val="nil"/>
              <w:bottom w:val="single" w:sz="4" w:space="0" w:color="auto"/>
              <w:right w:val="single" w:sz="4" w:space="0" w:color="auto"/>
            </w:tcBorders>
            <w:shd w:val="clear" w:color="auto" w:fill="auto"/>
            <w:vAlign w:val="center"/>
            <w:hideMark/>
          </w:tcPr>
          <w:p w14:paraId="1534EBB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27D1A157" w14:textId="77777777" w:rsidTr="00084F96">
        <w:trPr>
          <w:trHeight w:val="325"/>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69B50F1C"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pensie  pentru colaboratorii vamali</w:t>
            </w:r>
          </w:p>
        </w:tc>
        <w:tc>
          <w:tcPr>
            <w:tcW w:w="496" w:type="pct"/>
            <w:tcBorders>
              <w:top w:val="nil"/>
              <w:left w:val="nil"/>
              <w:bottom w:val="single" w:sz="4" w:space="0" w:color="auto"/>
              <w:right w:val="single" w:sz="4" w:space="0" w:color="auto"/>
            </w:tcBorders>
            <w:shd w:val="clear" w:color="auto" w:fill="auto"/>
            <w:vAlign w:val="center"/>
            <w:hideMark/>
          </w:tcPr>
          <w:p w14:paraId="62119EE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23,5</w:t>
            </w:r>
          </w:p>
        </w:tc>
        <w:tc>
          <w:tcPr>
            <w:tcW w:w="496" w:type="pct"/>
            <w:tcBorders>
              <w:top w:val="nil"/>
              <w:left w:val="nil"/>
              <w:bottom w:val="single" w:sz="4" w:space="0" w:color="auto"/>
              <w:right w:val="single" w:sz="4" w:space="0" w:color="auto"/>
            </w:tcBorders>
            <w:shd w:val="clear" w:color="auto" w:fill="auto"/>
            <w:noWrap/>
            <w:vAlign w:val="center"/>
            <w:hideMark/>
          </w:tcPr>
          <w:p w14:paraId="590AF0A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22,6</w:t>
            </w:r>
          </w:p>
        </w:tc>
        <w:tc>
          <w:tcPr>
            <w:tcW w:w="518" w:type="pct"/>
            <w:tcBorders>
              <w:top w:val="nil"/>
              <w:left w:val="nil"/>
              <w:bottom w:val="single" w:sz="4" w:space="0" w:color="auto"/>
              <w:right w:val="single" w:sz="4" w:space="0" w:color="auto"/>
            </w:tcBorders>
            <w:shd w:val="clear" w:color="auto" w:fill="auto"/>
            <w:noWrap/>
            <w:vAlign w:val="center"/>
            <w:hideMark/>
          </w:tcPr>
          <w:p w14:paraId="13BFB2A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23,4</w:t>
            </w:r>
          </w:p>
        </w:tc>
        <w:tc>
          <w:tcPr>
            <w:tcW w:w="518" w:type="pct"/>
            <w:tcBorders>
              <w:top w:val="nil"/>
              <w:left w:val="nil"/>
              <w:bottom w:val="single" w:sz="4" w:space="0" w:color="auto"/>
              <w:right w:val="single" w:sz="4" w:space="0" w:color="auto"/>
            </w:tcBorders>
            <w:shd w:val="clear" w:color="auto" w:fill="auto"/>
            <w:noWrap/>
            <w:vAlign w:val="center"/>
            <w:hideMark/>
          </w:tcPr>
          <w:p w14:paraId="3C35850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23,4</w:t>
            </w:r>
          </w:p>
        </w:tc>
        <w:tc>
          <w:tcPr>
            <w:tcW w:w="452" w:type="pct"/>
            <w:tcBorders>
              <w:top w:val="nil"/>
              <w:left w:val="nil"/>
              <w:bottom w:val="single" w:sz="4" w:space="0" w:color="auto"/>
              <w:right w:val="single" w:sz="4" w:space="0" w:color="auto"/>
            </w:tcBorders>
            <w:shd w:val="clear" w:color="auto" w:fill="auto"/>
            <w:noWrap/>
            <w:vAlign w:val="center"/>
            <w:hideMark/>
          </w:tcPr>
          <w:p w14:paraId="6C3D985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nil"/>
              <w:left w:val="nil"/>
              <w:bottom w:val="single" w:sz="4" w:space="0" w:color="auto"/>
              <w:right w:val="single" w:sz="4" w:space="0" w:color="auto"/>
            </w:tcBorders>
            <w:shd w:val="clear" w:color="auto" w:fill="auto"/>
            <w:vAlign w:val="center"/>
            <w:hideMark/>
          </w:tcPr>
          <w:p w14:paraId="120A14E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0,8</w:t>
            </w:r>
          </w:p>
        </w:tc>
      </w:tr>
      <w:tr w:rsidR="000D40B3" w:rsidRPr="00DD5F1D" w14:paraId="1FC73440"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302746E5"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pensie  pentru judecători</w:t>
            </w:r>
          </w:p>
        </w:tc>
        <w:tc>
          <w:tcPr>
            <w:tcW w:w="496" w:type="pct"/>
            <w:tcBorders>
              <w:top w:val="nil"/>
              <w:left w:val="nil"/>
              <w:bottom w:val="single" w:sz="4" w:space="0" w:color="auto"/>
              <w:right w:val="single" w:sz="4" w:space="0" w:color="auto"/>
            </w:tcBorders>
            <w:shd w:val="clear" w:color="auto" w:fill="auto"/>
            <w:vAlign w:val="center"/>
            <w:hideMark/>
          </w:tcPr>
          <w:p w14:paraId="6DD7932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45216,2</w:t>
            </w:r>
          </w:p>
        </w:tc>
        <w:tc>
          <w:tcPr>
            <w:tcW w:w="496" w:type="pct"/>
            <w:tcBorders>
              <w:top w:val="nil"/>
              <w:left w:val="nil"/>
              <w:bottom w:val="single" w:sz="4" w:space="0" w:color="auto"/>
              <w:right w:val="single" w:sz="4" w:space="0" w:color="auto"/>
            </w:tcBorders>
            <w:shd w:val="clear" w:color="auto" w:fill="auto"/>
            <w:noWrap/>
            <w:vAlign w:val="center"/>
            <w:hideMark/>
          </w:tcPr>
          <w:p w14:paraId="023663A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45182,5</w:t>
            </w:r>
          </w:p>
        </w:tc>
        <w:tc>
          <w:tcPr>
            <w:tcW w:w="518" w:type="pct"/>
            <w:tcBorders>
              <w:top w:val="nil"/>
              <w:left w:val="nil"/>
              <w:bottom w:val="single" w:sz="4" w:space="0" w:color="auto"/>
              <w:right w:val="single" w:sz="4" w:space="0" w:color="auto"/>
            </w:tcBorders>
            <w:shd w:val="clear" w:color="auto" w:fill="auto"/>
            <w:noWrap/>
            <w:vAlign w:val="center"/>
            <w:hideMark/>
          </w:tcPr>
          <w:p w14:paraId="7B9A58A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45305,8</w:t>
            </w:r>
          </w:p>
        </w:tc>
        <w:tc>
          <w:tcPr>
            <w:tcW w:w="518" w:type="pct"/>
            <w:tcBorders>
              <w:top w:val="nil"/>
              <w:left w:val="nil"/>
              <w:bottom w:val="single" w:sz="4" w:space="0" w:color="auto"/>
              <w:right w:val="single" w:sz="4" w:space="0" w:color="auto"/>
            </w:tcBorders>
            <w:shd w:val="clear" w:color="auto" w:fill="auto"/>
            <w:noWrap/>
            <w:vAlign w:val="center"/>
            <w:hideMark/>
          </w:tcPr>
          <w:p w14:paraId="6B4908F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45326,0</w:t>
            </w:r>
          </w:p>
        </w:tc>
        <w:tc>
          <w:tcPr>
            <w:tcW w:w="452" w:type="pct"/>
            <w:tcBorders>
              <w:top w:val="nil"/>
              <w:left w:val="nil"/>
              <w:bottom w:val="single" w:sz="4" w:space="0" w:color="auto"/>
              <w:right w:val="single" w:sz="4" w:space="0" w:color="auto"/>
            </w:tcBorders>
            <w:shd w:val="clear" w:color="auto" w:fill="auto"/>
            <w:noWrap/>
            <w:vAlign w:val="center"/>
            <w:hideMark/>
          </w:tcPr>
          <w:p w14:paraId="6BE8EE8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nil"/>
              <w:left w:val="nil"/>
              <w:bottom w:val="single" w:sz="4" w:space="0" w:color="auto"/>
              <w:right w:val="single" w:sz="4" w:space="0" w:color="auto"/>
            </w:tcBorders>
            <w:shd w:val="clear" w:color="auto" w:fill="auto"/>
            <w:vAlign w:val="center"/>
            <w:hideMark/>
          </w:tcPr>
          <w:p w14:paraId="621376F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100,9</w:t>
            </w:r>
          </w:p>
        </w:tc>
      </w:tr>
      <w:tr w:rsidR="000D40B3" w:rsidRPr="00DD5F1D" w14:paraId="754FC45D" w14:textId="77777777" w:rsidTr="00084F96">
        <w:trPr>
          <w:trHeight w:val="291"/>
        </w:trPr>
        <w:tc>
          <w:tcPr>
            <w:tcW w:w="2067" w:type="pct"/>
            <w:tcBorders>
              <w:top w:val="single" w:sz="4" w:space="0" w:color="auto"/>
              <w:left w:val="single" w:sz="4" w:space="0" w:color="auto"/>
              <w:bottom w:val="single" w:sz="4" w:space="0" w:color="auto"/>
              <w:right w:val="nil"/>
            </w:tcBorders>
            <w:shd w:val="clear" w:color="auto" w:fill="auto"/>
            <w:vAlign w:val="bottom"/>
            <w:hideMark/>
          </w:tcPr>
          <w:p w14:paraId="382C4B46" w14:textId="6B7B5B37" w:rsidR="00084F96" w:rsidRPr="00DD5F1D" w:rsidRDefault="00084F96" w:rsidP="007D5E94">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la pensii a cetăţenilor care au participat la lichidarea urmărilor avariei de la C.A.E Cernob</w:t>
            </w:r>
            <w:r w:rsidR="007D5E94" w:rsidRPr="00DD5F1D">
              <w:rPr>
                <w:rFonts w:ascii="Times New Roman" w:eastAsia="Times New Roman" w:hAnsi="Times New Roman" w:cs="Times New Roman"/>
                <w:sz w:val="20"/>
                <w:szCs w:val="20"/>
                <w:lang w:val="ro-MD"/>
              </w:rPr>
              <w:t>â</w:t>
            </w:r>
            <w:r w:rsidRPr="00DD5F1D">
              <w:rPr>
                <w:rFonts w:ascii="Times New Roman" w:eastAsia="Times New Roman" w:hAnsi="Times New Roman" w:cs="Times New Roman"/>
                <w:sz w:val="20"/>
                <w:szCs w:val="20"/>
                <w:lang w:val="ro-MD"/>
              </w:rPr>
              <w:t>l şi familiilor acestora</w:t>
            </w:r>
          </w:p>
        </w:tc>
        <w:tc>
          <w:tcPr>
            <w:tcW w:w="496" w:type="pct"/>
            <w:tcBorders>
              <w:top w:val="nil"/>
              <w:left w:val="single" w:sz="4" w:space="0" w:color="auto"/>
              <w:bottom w:val="single" w:sz="4" w:space="0" w:color="auto"/>
              <w:right w:val="single" w:sz="4" w:space="0" w:color="auto"/>
            </w:tcBorders>
            <w:shd w:val="clear" w:color="auto" w:fill="auto"/>
            <w:vAlign w:val="center"/>
            <w:hideMark/>
          </w:tcPr>
          <w:p w14:paraId="165095F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98906,4</w:t>
            </w:r>
          </w:p>
        </w:tc>
        <w:tc>
          <w:tcPr>
            <w:tcW w:w="496" w:type="pct"/>
            <w:tcBorders>
              <w:top w:val="nil"/>
              <w:left w:val="nil"/>
              <w:bottom w:val="single" w:sz="4" w:space="0" w:color="auto"/>
              <w:right w:val="single" w:sz="4" w:space="0" w:color="auto"/>
            </w:tcBorders>
            <w:shd w:val="clear" w:color="auto" w:fill="auto"/>
            <w:noWrap/>
            <w:vAlign w:val="center"/>
            <w:hideMark/>
          </w:tcPr>
          <w:p w14:paraId="2C96274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98829,9</w:t>
            </w:r>
          </w:p>
        </w:tc>
        <w:tc>
          <w:tcPr>
            <w:tcW w:w="518" w:type="pct"/>
            <w:tcBorders>
              <w:top w:val="nil"/>
              <w:left w:val="nil"/>
              <w:bottom w:val="single" w:sz="4" w:space="0" w:color="auto"/>
              <w:right w:val="single" w:sz="4" w:space="0" w:color="auto"/>
            </w:tcBorders>
            <w:shd w:val="clear" w:color="auto" w:fill="auto"/>
            <w:noWrap/>
            <w:vAlign w:val="center"/>
            <w:hideMark/>
          </w:tcPr>
          <w:p w14:paraId="176CD27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98759,4</w:t>
            </w:r>
          </w:p>
        </w:tc>
        <w:tc>
          <w:tcPr>
            <w:tcW w:w="518" w:type="pct"/>
            <w:tcBorders>
              <w:top w:val="nil"/>
              <w:left w:val="nil"/>
              <w:bottom w:val="single" w:sz="4" w:space="0" w:color="auto"/>
              <w:right w:val="single" w:sz="4" w:space="0" w:color="auto"/>
            </w:tcBorders>
            <w:shd w:val="clear" w:color="auto" w:fill="auto"/>
            <w:noWrap/>
            <w:vAlign w:val="center"/>
            <w:hideMark/>
          </w:tcPr>
          <w:p w14:paraId="44D3D22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98726,5</w:t>
            </w:r>
          </w:p>
        </w:tc>
        <w:tc>
          <w:tcPr>
            <w:tcW w:w="452" w:type="pct"/>
            <w:tcBorders>
              <w:top w:val="nil"/>
              <w:left w:val="nil"/>
              <w:bottom w:val="single" w:sz="4" w:space="0" w:color="auto"/>
              <w:right w:val="single" w:sz="4" w:space="0" w:color="auto"/>
            </w:tcBorders>
            <w:shd w:val="clear" w:color="auto" w:fill="auto"/>
            <w:noWrap/>
            <w:vAlign w:val="center"/>
            <w:hideMark/>
          </w:tcPr>
          <w:p w14:paraId="0D31628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108,7</w:t>
            </w:r>
          </w:p>
        </w:tc>
        <w:tc>
          <w:tcPr>
            <w:tcW w:w="452" w:type="pct"/>
            <w:tcBorders>
              <w:top w:val="nil"/>
              <w:left w:val="nil"/>
              <w:bottom w:val="single" w:sz="4" w:space="0" w:color="auto"/>
              <w:right w:val="single" w:sz="4" w:space="0" w:color="auto"/>
            </w:tcBorders>
            <w:shd w:val="clear" w:color="auto" w:fill="auto"/>
            <w:vAlign w:val="center"/>
            <w:hideMark/>
          </w:tcPr>
          <w:p w14:paraId="3A9EB34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2CC18115" w14:textId="77777777" w:rsidTr="00084F96">
        <w:trPr>
          <w:trHeight w:val="99"/>
        </w:trPr>
        <w:tc>
          <w:tcPr>
            <w:tcW w:w="2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D1860"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cu pensii militarilor în termen şi familiilor acestora</w:t>
            </w:r>
          </w:p>
        </w:tc>
        <w:tc>
          <w:tcPr>
            <w:tcW w:w="496" w:type="pct"/>
            <w:tcBorders>
              <w:top w:val="nil"/>
              <w:left w:val="nil"/>
              <w:bottom w:val="single" w:sz="4" w:space="0" w:color="auto"/>
              <w:right w:val="single" w:sz="4" w:space="0" w:color="auto"/>
            </w:tcBorders>
            <w:shd w:val="clear" w:color="auto" w:fill="auto"/>
            <w:vAlign w:val="center"/>
            <w:hideMark/>
          </w:tcPr>
          <w:p w14:paraId="2D0CE6A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19541,4</w:t>
            </w:r>
          </w:p>
        </w:tc>
        <w:tc>
          <w:tcPr>
            <w:tcW w:w="496" w:type="pct"/>
            <w:tcBorders>
              <w:top w:val="nil"/>
              <w:left w:val="nil"/>
              <w:bottom w:val="single" w:sz="4" w:space="0" w:color="auto"/>
              <w:right w:val="single" w:sz="4" w:space="0" w:color="auto"/>
            </w:tcBorders>
            <w:shd w:val="clear" w:color="auto" w:fill="auto"/>
            <w:noWrap/>
            <w:vAlign w:val="center"/>
            <w:hideMark/>
          </w:tcPr>
          <w:p w14:paraId="62F87A7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19522,1</w:t>
            </w:r>
          </w:p>
        </w:tc>
        <w:tc>
          <w:tcPr>
            <w:tcW w:w="518" w:type="pct"/>
            <w:tcBorders>
              <w:top w:val="nil"/>
              <w:left w:val="nil"/>
              <w:bottom w:val="single" w:sz="4" w:space="0" w:color="auto"/>
              <w:right w:val="single" w:sz="4" w:space="0" w:color="auto"/>
            </w:tcBorders>
            <w:shd w:val="clear" w:color="auto" w:fill="auto"/>
            <w:noWrap/>
            <w:vAlign w:val="center"/>
            <w:hideMark/>
          </w:tcPr>
          <w:p w14:paraId="717F081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19485,0</w:t>
            </w:r>
          </w:p>
        </w:tc>
        <w:tc>
          <w:tcPr>
            <w:tcW w:w="518" w:type="pct"/>
            <w:tcBorders>
              <w:top w:val="nil"/>
              <w:left w:val="nil"/>
              <w:bottom w:val="single" w:sz="4" w:space="0" w:color="auto"/>
              <w:right w:val="single" w:sz="4" w:space="0" w:color="auto"/>
            </w:tcBorders>
            <w:shd w:val="clear" w:color="auto" w:fill="auto"/>
            <w:noWrap/>
            <w:vAlign w:val="center"/>
            <w:hideMark/>
          </w:tcPr>
          <w:p w14:paraId="3167150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19473,5</w:t>
            </w:r>
          </w:p>
        </w:tc>
        <w:tc>
          <w:tcPr>
            <w:tcW w:w="452" w:type="pct"/>
            <w:tcBorders>
              <w:top w:val="nil"/>
              <w:left w:val="nil"/>
              <w:bottom w:val="single" w:sz="4" w:space="0" w:color="auto"/>
              <w:right w:val="single" w:sz="4" w:space="0" w:color="auto"/>
            </w:tcBorders>
            <w:shd w:val="clear" w:color="auto" w:fill="auto"/>
            <w:noWrap/>
            <w:vAlign w:val="center"/>
            <w:hideMark/>
          </w:tcPr>
          <w:p w14:paraId="5A9F8FB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44,0</w:t>
            </w:r>
          </w:p>
        </w:tc>
        <w:tc>
          <w:tcPr>
            <w:tcW w:w="452" w:type="pct"/>
            <w:tcBorders>
              <w:top w:val="nil"/>
              <w:left w:val="nil"/>
              <w:bottom w:val="single" w:sz="4" w:space="0" w:color="auto"/>
              <w:right w:val="single" w:sz="4" w:space="0" w:color="auto"/>
            </w:tcBorders>
            <w:shd w:val="clear" w:color="auto" w:fill="auto"/>
            <w:vAlign w:val="center"/>
            <w:hideMark/>
          </w:tcPr>
          <w:p w14:paraId="3659C40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2DFD75B3" w14:textId="77777777" w:rsidTr="00084F96">
        <w:trPr>
          <w:trHeight w:val="260"/>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1681BBE1"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pensie unor categorii de angajaţi din domeniul culturii</w:t>
            </w:r>
          </w:p>
        </w:tc>
        <w:tc>
          <w:tcPr>
            <w:tcW w:w="496" w:type="pct"/>
            <w:tcBorders>
              <w:top w:val="nil"/>
              <w:left w:val="nil"/>
              <w:bottom w:val="single" w:sz="4" w:space="0" w:color="auto"/>
              <w:right w:val="single" w:sz="4" w:space="0" w:color="auto"/>
            </w:tcBorders>
            <w:shd w:val="clear" w:color="auto" w:fill="auto"/>
            <w:vAlign w:val="center"/>
            <w:hideMark/>
          </w:tcPr>
          <w:p w14:paraId="0A11518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429,1</w:t>
            </w:r>
          </w:p>
        </w:tc>
        <w:tc>
          <w:tcPr>
            <w:tcW w:w="496" w:type="pct"/>
            <w:tcBorders>
              <w:top w:val="nil"/>
              <w:left w:val="nil"/>
              <w:bottom w:val="single" w:sz="4" w:space="0" w:color="auto"/>
              <w:right w:val="single" w:sz="4" w:space="0" w:color="auto"/>
            </w:tcBorders>
            <w:shd w:val="clear" w:color="auto" w:fill="auto"/>
            <w:noWrap/>
            <w:vAlign w:val="center"/>
            <w:hideMark/>
          </w:tcPr>
          <w:p w14:paraId="557150A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422,0</w:t>
            </w:r>
          </w:p>
        </w:tc>
        <w:tc>
          <w:tcPr>
            <w:tcW w:w="518" w:type="pct"/>
            <w:tcBorders>
              <w:top w:val="nil"/>
              <w:left w:val="nil"/>
              <w:bottom w:val="single" w:sz="4" w:space="0" w:color="auto"/>
              <w:right w:val="single" w:sz="4" w:space="0" w:color="auto"/>
            </w:tcBorders>
            <w:shd w:val="clear" w:color="auto" w:fill="auto"/>
            <w:noWrap/>
            <w:vAlign w:val="center"/>
            <w:hideMark/>
          </w:tcPr>
          <w:p w14:paraId="773001B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431,8</w:t>
            </w:r>
          </w:p>
        </w:tc>
        <w:tc>
          <w:tcPr>
            <w:tcW w:w="518" w:type="pct"/>
            <w:tcBorders>
              <w:top w:val="nil"/>
              <w:left w:val="nil"/>
              <w:bottom w:val="single" w:sz="4" w:space="0" w:color="auto"/>
              <w:right w:val="single" w:sz="4" w:space="0" w:color="auto"/>
            </w:tcBorders>
            <w:shd w:val="clear" w:color="auto" w:fill="auto"/>
            <w:noWrap/>
            <w:vAlign w:val="center"/>
            <w:hideMark/>
          </w:tcPr>
          <w:p w14:paraId="07BF9F2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431,8</w:t>
            </w:r>
          </w:p>
        </w:tc>
        <w:tc>
          <w:tcPr>
            <w:tcW w:w="452" w:type="pct"/>
            <w:tcBorders>
              <w:top w:val="nil"/>
              <w:left w:val="nil"/>
              <w:bottom w:val="single" w:sz="4" w:space="0" w:color="auto"/>
              <w:right w:val="single" w:sz="4" w:space="0" w:color="auto"/>
            </w:tcBorders>
            <w:shd w:val="clear" w:color="auto" w:fill="auto"/>
            <w:noWrap/>
            <w:vAlign w:val="center"/>
            <w:hideMark/>
          </w:tcPr>
          <w:p w14:paraId="5D497FC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nil"/>
              <w:left w:val="nil"/>
              <w:bottom w:val="single" w:sz="4" w:space="0" w:color="auto"/>
              <w:right w:val="single" w:sz="4" w:space="0" w:color="auto"/>
            </w:tcBorders>
            <w:shd w:val="clear" w:color="auto" w:fill="auto"/>
            <w:vAlign w:val="center"/>
            <w:hideMark/>
          </w:tcPr>
          <w:p w14:paraId="67B88CC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9,8</w:t>
            </w:r>
          </w:p>
        </w:tc>
      </w:tr>
      <w:tr w:rsidR="000D40B3" w:rsidRPr="00DD5F1D" w14:paraId="1CE622DB" w14:textId="77777777" w:rsidTr="00084F96">
        <w:trPr>
          <w:trHeight w:val="265"/>
        </w:trPr>
        <w:tc>
          <w:tcPr>
            <w:tcW w:w="20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9931D6"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pensie de dizabilitate pensionarilor din rândul militarilor, persoanelor din corpul de comandă şi din trupele organelor afacerilor interne</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9C87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54993,2</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C627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54943,5</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A0B8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54841,9</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A138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54851,6</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C5D8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174,2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C564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16DF278A" w14:textId="77777777" w:rsidTr="00084F96">
        <w:trPr>
          <w:trHeight w:val="289"/>
        </w:trPr>
        <w:tc>
          <w:tcPr>
            <w:tcW w:w="2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3EF38" w14:textId="525BB6A8" w:rsidR="00084F96" w:rsidRPr="00DD5F1D" w:rsidRDefault="00084F96" w:rsidP="007D5E94">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pensie pentru vechime în muncă pensionarilor din r</w:t>
            </w:r>
            <w:r w:rsidR="007D5E94" w:rsidRPr="00DD5F1D">
              <w:rPr>
                <w:rFonts w:ascii="Times New Roman" w:eastAsia="Times New Roman" w:hAnsi="Times New Roman" w:cs="Times New Roman"/>
                <w:sz w:val="20"/>
                <w:szCs w:val="20"/>
                <w:lang w:val="ro-MD"/>
              </w:rPr>
              <w:t>â</w:t>
            </w:r>
            <w:r w:rsidRPr="00DD5F1D">
              <w:rPr>
                <w:rFonts w:ascii="Times New Roman" w:eastAsia="Times New Roman" w:hAnsi="Times New Roman" w:cs="Times New Roman"/>
                <w:sz w:val="20"/>
                <w:szCs w:val="20"/>
                <w:lang w:val="ro-MD"/>
              </w:rPr>
              <w:t xml:space="preserve">ndul militarilor </w:t>
            </w:r>
            <w:r w:rsidR="007D5E94" w:rsidRPr="00DD5F1D">
              <w:rPr>
                <w:rFonts w:ascii="Times New Roman" w:eastAsia="Times New Roman" w:hAnsi="Times New Roman" w:cs="Times New Roman"/>
                <w:sz w:val="20"/>
                <w:szCs w:val="20"/>
                <w:lang w:val="ro-MD"/>
              </w:rPr>
              <w:t>ș</w:t>
            </w:r>
            <w:r w:rsidRPr="00DD5F1D">
              <w:rPr>
                <w:rFonts w:ascii="Times New Roman" w:eastAsia="Times New Roman" w:hAnsi="Times New Roman" w:cs="Times New Roman"/>
                <w:sz w:val="20"/>
                <w:szCs w:val="20"/>
                <w:lang w:val="ro-MD"/>
              </w:rPr>
              <w:t>i a</w:t>
            </w:r>
            <w:r w:rsidR="007D5E94" w:rsidRPr="00DD5F1D">
              <w:rPr>
                <w:rFonts w:ascii="Times New Roman" w:eastAsia="Times New Roman" w:hAnsi="Times New Roman" w:cs="Times New Roman"/>
                <w:sz w:val="20"/>
                <w:szCs w:val="20"/>
                <w:lang w:val="ro-MD"/>
              </w:rPr>
              <w:t>l</w:t>
            </w:r>
            <w:r w:rsidRPr="00DD5F1D">
              <w:rPr>
                <w:rFonts w:ascii="Times New Roman" w:eastAsia="Times New Roman" w:hAnsi="Times New Roman" w:cs="Times New Roman"/>
                <w:sz w:val="20"/>
                <w:szCs w:val="20"/>
                <w:lang w:val="ro-MD"/>
              </w:rPr>
              <w:t xml:space="preserve"> persoanelor din corpul de comand</w:t>
            </w:r>
            <w:r w:rsidR="007D5E94" w:rsidRPr="00DD5F1D">
              <w:rPr>
                <w:rFonts w:ascii="Times New Roman" w:eastAsia="Times New Roman" w:hAnsi="Times New Roman" w:cs="Times New Roman"/>
                <w:sz w:val="20"/>
                <w:szCs w:val="20"/>
                <w:lang w:val="ro-MD"/>
              </w:rPr>
              <w:t>ă</w:t>
            </w:r>
            <w:r w:rsidRPr="00DD5F1D">
              <w:rPr>
                <w:rFonts w:ascii="Times New Roman" w:eastAsia="Times New Roman" w:hAnsi="Times New Roman" w:cs="Times New Roman"/>
                <w:sz w:val="20"/>
                <w:szCs w:val="20"/>
                <w:lang w:val="ro-MD"/>
              </w:rPr>
              <w:t xml:space="preserve"> </w:t>
            </w:r>
            <w:r w:rsidR="007D5E94" w:rsidRPr="00DD5F1D">
              <w:rPr>
                <w:rFonts w:ascii="Times New Roman" w:eastAsia="Times New Roman" w:hAnsi="Times New Roman" w:cs="Times New Roman"/>
                <w:sz w:val="20"/>
                <w:szCs w:val="20"/>
                <w:lang w:val="ro-MD"/>
              </w:rPr>
              <w:t>ș</w:t>
            </w:r>
            <w:r w:rsidRPr="00DD5F1D">
              <w:rPr>
                <w:rFonts w:ascii="Times New Roman" w:eastAsia="Times New Roman" w:hAnsi="Times New Roman" w:cs="Times New Roman"/>
                <w:sz w:val="20"/>
                <w:szCs w:val="20"/>
                <w:lang w:val="ro-MD"/>
              </w:rPr>
              <w:t>i din trupele organ</w:t>
            </w:r>
            <w:r w:rsidR="007D5E94" w:rsidRPr="00DD5F1D">
              <w:rPr>
                <w:rFonts w:ascii="Times New Roman" w:eastAsia="Times New Roman" w:hAnsi="Times New Roman" w:cs="Times New Roman"/>
                <w:sz w:val="20"/>
                <w:szCs w:val="20"/>
                <w:lang w:val="ro-MD"/>
              </w:rPr>
              <w:t>e</w:t>
            </w:r>
            <w:r w:rsidRPr="00DD5F1D">
              <w:rPr>
                <w:rFonts w:ascii="Times New Roman" w:eastAsia="Times New Roman" w:hAnsi="Times New Roman" w:cs="Times New Roman"/>
                <w:sz w:val="20"/>
                <w:szCs w:val="20"/>
                <w:lang w:val="ro-MD"/>
              </w:rPr>
              <w:t>lor afacerilor interne</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348D120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1707799,7</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22F8A85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1707799,7</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14:paraId="385E4A9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1705873,4</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14:paraId="145FBBC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1705463,0</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37B2802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3827,0</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55EA417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3F2B0196" w14:textId="77777777" w:rsidTr="00084F96">
        <w:trPr>
          <w:trHeight w:val="426"/>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09FC856B"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pensie de urmaş pensionarilor din rândul militarilor și a persoanelor din corpul de comandă și din trupele organelor afacerilor interne</w:t>
            </w:r>
          </w:p>
        </w:tc>
        <w:tc>
          <w:tcPr>
            <w:tcW w:w="496" w:type="pct"/>
            <w:tcBorders>
              <w:top w:val="nil"/>
              <w:left w:val="nil"/>
              <w:bottom w:val="single" w:sz="4" w:space="0" w:color="auto"/>
              <w:right w:val="single" w:sz="4" w:space="0" w:color="auto"/>
            </w:tcBorders>
            <w:shd w:val="clear" w:color="auto" w:fill="auto"/>
            <w:vAlign w:val="center"/>
            <w:hideMark/>
          </w:tcPr>
          <w:p w14:paraId="37971AC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80825,8</w:t>
            </w:r>
          </w:p>
        </w:tc>
        <w:tc>
          <w:tcPr>
            <w:tcW w:w="496" w:type="pct"/>
            <w:tcBorders>
              <w:top w:val="nil"/>
              <w:left w:val="nil"/>
              <w:bottom w:val="single" w:sz="4" w:space="0" w:color="auto"/>
              <w:right w:val="single" w:sz="4" w:space="0" w:color="auto"/>
            </w:tcBorders>
            <w:shd w:val="clear" w:color="auto" w:fill="auto"/>
            <w:noWrap/>
            <w:vAlign w:val="center"/>
            <w:hideMark/>
          </w:tcPr>
          <w:p w14:paraId="3AEA69D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79668,3</w:t>
            </w:r>
          </w:p>
        </w:tc>
        <w:tc>
          <w:tcPr>
            <w:tcW w:w="518" w:type="pct"/>
            <w:tcBorders>
              <w:top w:val="nil"/>
              <w:left w:val="nil"/>
              <w:bottom w:val="single" w:sz="4" w:space="0" w:color="auto"/>
              <w:right w:val="single" w:sz="4" w:space="0" w:color="auto"/>
            </w:tcBorders>
            <w:shd w:val="clear" w:color="auto" w:fill="auto"/>
            <w:noWrap/>
            <w:vAlign w:val="center"/>
            <w:hideMark/>
          </w:tcPr>
          <w:p w14:paraId="4DEBC72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78918,2</w:t>
            </w:r>
          </w:p>
        </w:tc>
        <w:tc>
          <w:tcPr>
            <w:tcW w:w="518" w:type="pct"/>
            <w:tcBorders>
              <w:top w:val="nil"/>
              <w:left w:val="nil"/>
              <w:bottom w:val="single" w:sz="4" w:space="0" w:color="auto"/>
              <w:right w:val="single" w:sz="4" w:space="0" w:color="auto"/>
            </w:tcBorders>
            <w:shd w:val="clear" w:color="auto" w:fill="auto"/>
            <w:noWrap/>
            <w:vAlign w:val="center"/>
            <w:hideMark/>
          </w:tcPr>
          <w:p w14:paraId="69451AA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78929,0</w:t>
            </w:r>
          </w:p>
        </w:tc>
        <w:tc>
          <w:tcPr>
            <w:tcW w:w="452" w:type="pct"/>
            <w:tcBorders>
              <w:top w:val="nil"/>
              <w:left w:val="nil"/>
              <w:bottom w:val="single" w:sz="4" w:space="0" w:color="auto"/>
              <w:right w:val="single" w:sz="4" w:space="0" w:color="auto"/>
            </w:tcBorders>
            <w:shd w:val="clear" w:color="auto" w:fill="auto"/>
            <w:noWrap/>
            <w:vAlign w:val="center"/>
            <w:hideMark/>
          </w:tcPr>
          <w:p w14:paraId="1B1B9A6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844,9</w:t>
            </w:r>
          </w:p>
        </w:tc>
        <w:tc>
          <w:tcPr>
            <w:tcW w:w="452" w:type="pct"/>
            <w:tcBorders>
              <w:top w:val="nil"/>
              <w:left w:val="nil"/>
              <w:bottom w:val="single" w:sz="4" w:space="0" w:color="auto"/>
              <w:right w:val="single" w:sz="4" w:space="0" w:color="auto"/>
            </w:tcBorders>
            <w:shd w:val="clear" w:color="auto" w:fill="auto"/>
            <w:vAlign w:val="center"/>
            <w:hideMark/>
          </w:tcPr>
          <w:p w14:paraId="0CFF74A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266196C0"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6FE8A5F1" w14:textId="77777777" w:rsidR="00084F96" w:rsidRPr="00DD5F1D" w:rsidRDefault="00084F96" w:rsidP="00084F96">
            <w:pPr>
              <w:spacing w:after="0" w:line="240" w:lineRule="auto"/>
              <w:jc w:val="center"/>
              <w:rPr>
                <w:rFonts w:ascii="Times New Roman" w:eastAsia="Times New Roman" w:hAnsi="Times New Roman" w:cs="Times New Roman"/>
                <w:b/>
                <w:bCs/>
                <w:i/>
                <w:iCs/>
                <w:sz w:val="20"/>
                <w:szCs w:val="20"/>
                <w:lang w:val="ro-MD"/>
              </w:rPr>
            </w:pPr>
            <w:r w:rsidRPr="00DD5F1D">
              <w:rPr>
                <w:rFonts w:ascii="Times New Roman" w:eastAsia="Times New Roman" w:hAnsi="Times New Roman" w:cs="Times New Roman"/>
                <w:b/>
                <w:bCs/>
                <w:i/>
                <w:iCs/>
                <w:sz w:val="20"/>
                <w:szCs w:val="20"/>
                <w:lang w:val="ro-MD"/>
              </w:rPr>
              <w:t xml:space="preserve"> Total ALOCAŢII </w:t>
            </w:r>
          </w:p>
        </w:tc>
        <w:tc>
          <w:tcPr>
            <w:tcW w:w="496" w:type="pct"/>
            <w:tcBorders>
              <w:top w:val="nil"/>
              <w:left w:val="nil"/>
              <w:bottom w:val="single" w:sz="4" w:space="0" w:color="auto"/>
              <w:right w:val="single" w:sz="4" w:space="0" w:color="auto"/>
            </w:tcBorders>
            <w:shd w:val="clear" w:color="auto" w:fill="auto"/>
            <w:noWrap/>
            <w:vAlign w:val="center"/>
            <w:hideMark/>
          </w:tcPr>
          <w:p w14:paraId="4B32EF35"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2326550,2</w:t>
            </w:r>
          </w:p>
        </w:tc>
        <w:tc>
          <w:tcPr>
            <w:tcW w:w="496" w:type="pct"/>
            <w:tcBorders>
              <w:top w:val="nil"/>
              <w:left w:val="nil"/>
              <w:bottom w:val="single" w:sz="4" w:space="0" w:color="auto"/>
              <w:right w:val="single" w:sz="4" w:space="0" w:color="auto"/>
            </w:tcBorders>
            <w:shd w:val="clear" w:color="auto" w:fill="auto"/>
            <w:noWrap/>
            <w:vAlign w:val="center"/>
            <w:hideMark/>
          </w:tcPr>
          <w:p w14:paraId="7C0FAA61"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2318143,0</w:t>
            </w:r>
          </w:p>
        </w:tc>
        <w:tc>
          <w:tcPr>
            <w:tcW w:w="518" w:type="pct"/>
            <w:tcBorders>
              <w:top w:val="nil"/>
              <w:left w:val="nil"/>
              <w:bottom w:val="single" w:sz="4" w:space="0" w:color="auto"/>
              <w:right w:val="single" w:sz="4" w:space="0" w:color="auto"/>
            </w:tcBorders>
            <w:shd w:val="clear" w:color="auto" w:fill="auto"/>
            <w:noWrap/>
            <w:vAlign w:val="center"/>
            <w:hideMark/>
          </w:tcPr>
          <w:p w14:paraId="00083B2F"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2308635,9</w:t>
            </w:r>
          </w:p>
        </w:tc>
        <w:tc>
          <w:tcPr>
            <w:tcW w:w="518" w:type="pct"/>
            <w:tcBorders>
              <w:top w:val="nil"/>
              <w:left w:val="nil"/>
              <w:bottom w:val="single" w:sz="4" w:space="0" w:color="auto"/>
              <w:right w:val="single" w:sz="4" w:space="0" w:color="auto"/>
            </w:tcBorders>
            <w:shd w:val="clear" w:color="auto" w:fill="auto"/>
            <w:noWrap/>
            <w:vAlign w:val="center"/>
            <w:hideMark/>
          </w:tcPr>
          <w:p w14:paraId="56D33BEF"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2308756,6</w:t>
            </w:r>
          </w:p>
        </w:tc>
        <w:tc>
          <w:tcPr>
            <w:tcW w:w="452" w:type="pct"/>
            <w:tcBorders>
              <w:top w:val="nil"/>
              <w:left w:val="nil"/>
              <w:bottom w:val="single" w:sz="4" w:space="0" w:color="auto"/>
              <w:right w:val="single" w:sz="4" w:space="0" w:color="auto"/>
            </w:tcBorders>
            <w:shd w:val="clear" w:color="auto" w:fill="auto"/>
            <w:noWrap/>
            <w:vAlign w:val="center"/>
            <w:hideMark/>
          </w:tcPr>
          <w:p w14:paraId="00AF3312"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6630,8</w:t>
            </w:r>
          </w:p>
        </w:tc>
        <w:tc>
          <w:tcPr>
            <w:tcW w:w="452" w:type="pct"/>
            <w:tcBorders>
              <w:top w:val="nil"/>
              <w:left w:val="nil"/>
              <w:bottom w:val="single" w:sz="4" w:space="0" w:color="auto"/>
              <w:right w:val="single" w:sz="4" w:space="0" w:color="auto"/>
            </w:tcBorders>
            <w:shd w:val="clear" w:color="auto" w:fill="auto"/>
            <w:noWrap/>
            <w:vAlign w:val="center"/>
            <w:hideMark/>
          </w:tcPr>
          <w:p w14:paraId="5C46E239"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0,0</w:t>
            </w:r>
          </w:p>
        </w:tc>
      </w:tr>
      <w:tr w:rsidR="000D40B3" w:rsidRPr="00DD5F1D" w14:paraId="6061C467"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08E1143A"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 xml:space="preserve"> Susţinerea financiară în cazul îngrijirii persoanelor cu dizabilităţi</w:t>
            </w:r>
          </w:p>
        </w:tc>
        <w:tc>
          <w:tcPr>
            <w:tcW w:w="496" w:type="pct"/>
            <w:tcBorders>
              <w:top w:val="nil"/>
              <w:left w:val="nil"/>
              <w:bottom w:val="single" w:sz="4" w:space="0" w:color="auto"/>
              <w:right w:val="single" w:sz="4" w:space="0" w:color="auto"/>
            </w:tcBorders>
            <w:shd w:val="clear" w:color="auto" w:fill="auto"/>
            <w:vAlign w:val="center"/>
            <w:hideMark/>
          </w:tcPr>
          <w:p w14:paraId="3DD1ABB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320695,8</w:t>
            </w:r>
          </w:p>
        </w:tc>
        <w:tc>
          <w:tcPr>
            <w:tcW w:w="496" w:type="pct"/>
            <w:tcBorders>
              <w:top w:val="nil"/>
              <w:left w:val="nil"/>
              <w:bottom w:val="single" w:sz="4" w:space="0" w:color="auto"/>
              <w:right w:val="single" w:sz="4" w:space="0" w:color="auto"/>
            </w:tcBorders>
            <w:shd w:val="clear" w:color="auto" w:fill="auto"/>
            <w:noWrap/>
            <w:vAlign w:val="center"/>
            <w:hideMark/>
          </w:tcPr>
          <w:p w14:paraId="2FB48F1A" w14:textId="77777777" w:rsidR="00084F96" w:rsidRPr="00DD5F1D" w:rsidRDefault="00084F96" w:rsidP="00084F96">
            <w:pPr>
              <w:spacing w:after="0" w:line="240" w:lineRule="auto"/>
              <w:jc w:val="right"/>
              <w:rPr>
                <w:rFonts w:ascii="Times New Roman" w:eastAsia="Times New Roman" w:hAnsi="Times New Roman" w:cs="Times New Roman"/>
                <w:i/>
                <w:iCs/>
                <w:lang w:val="ro-MD"/>
              </w:rPr>
            </w:pPr>
            <w:r w:rsidRPr="00DD5F1D">
              <w:rPr>
                <w:rFonts w:ascii="Times New Roman" w:eastAsia="Times New Roman" w:hAnsi="Times New Roman" w:cs="Times New Roman"/>
                <w:i/>
                <w:iCs/>
                <w:lang w:val="ro-MD"/>
              </w:rPr>
              <w:t>320966,4</w:t>
            </w:r>
          </w:p>
        </w:tc>
        <w:tc>
          <w:tcPr>
            <w:tcW w:w="518" w:type="pct"/>
            <w:tcBorders>
              <w:top w:val="nil"/>
              <w:left w:val="nil"/>
              <w:bottom w:val="single" w:sz="4" w:space="0" w:color="auto"/>
              <w:right w:val="single" w:sz="4" w:space="0" w:color="auto"/>
            </w:tcBorders>
            <w:shd w:val="clear" w:color="auto" w:fill="auto"/>
            <w:noWrap/>
            <w:vAlign w:val="center"/>
            <w:hideMark/>
          </w:tcPr>
          <w:p w14:paraId="3CE29E34" w14:textId="77777777" w:rsidR="00084F96" w:rsidRPr="00DD5F1D" w:rsidRDefault="00084F96" w:rsidP="00084F96">
            <w:pPr>
              <w:spacing w:after="0" w:line="240" w:lineRule="auto"/>
              <w:jc w:val="right"/>
              <w:rPr>
                <w:rFonts w:ascii="Times New Roman" w:eastAsia="Times New Roman" w:hAnsi="Times New Roman" w:cs="Times New Roman"/>
                <w:i/>
                <w:iCs/>
                <w:lang w:val="ro-MD"/>
              </w:rPr>
            </w:pPr>
            <w:r w:rsidRPr="00DD5F1D">
              <w:rPr>
                <w:rFonts w:ascii="Times New Roman" w:eastAsia="Times New Roman" w:hAnsi="Times New Roman" w:cs="Times New Roman"/>
                <w:i/>
                <w:iCs/>
                <w:lang w:val="ro-MD"/>
              </w:rPr>
              <w:t>321211,6</w:t>
            </w:r>
          </w:p>
        </w:tc>
        <w:tc>
          <w:tcPr>
            <w:tcW w:w="518" w:type="pct"/>
            <w:tcBorders>
              <w:top w:val="nil"/>
              <w:left w:val="nil"/>
              <w:bottom w:val="single" w:sz="4" w:space="0" w:color="auto"/>
              <w:right w:val="single" w:sz="4" w:space="0" w:color="auto"/>
            </w:tcBorders>
            <w:shd w:val="clear" w:color="auto" w:fill="auto"/>
            <w:noWrap/>
            <w:vAlign w:val="center"/>
            <w:hideMark/>
          </w:tcPr>
          <w:p w14:paraId="5CDC0ED9" w14:textId="77777777" w:rsidR="00084F96" w:rsidRPr="00DD5F1D" w:rsidRDefault="00084F96" w:rsidP="00084F96">
            <w:pPr>
              <w:spacing w:after="0" w:line="240" w:lineRule="auto"/>
              <w:jc w:val="right"/>
              <w:rPr>
                <w:rFonts w:ascii="Times New Roman" w:eastAsia="Times New Roman" w:hAnsi="Times New Roman" w:cs="Times New Roman"/>
                <w:i/>
                <w:iCs/>
                <w:lang w:val="ro-MD"/>
              </w:rPr>
            </w:pPr>
            <w:r w:rsidRPr="00DD5F1D">
              <w:rPr>
                <w:rFonts w:ascii="Times New Roman" w:eastAsia="Times New Roman" w:hAnsi="Times New Roman" w:cs="Times New Roman"/>
                <w:i/>
                <w:iCs/>
                <w:lang w:val="ro-MD"/>
              </w:rPr>
              <w:t>321330,9</w:t>
            </w:r>
          </w:p>
        </w:tc>
        <w:tc>
          <w:tcPr>
            <w:tcW w:w="452" w:type="pct"/>
            <w:tcBorders>
              <w:top w:val="nil"/>
              <w:left w:val="nil"/>
              <w:bottom w:val="single" w:sz="4" w:space="0" w:color="auto"/>
              <w:right w:val="single" w:sz="4" w:space="0" w:color="auto"/>
            </w:tcBorders>
            <w:shd w:val="clear" w:color="auto" w:fill="auto"/>
            <w:noWrap/>
            <w:vAlign w:val="center"/>
            <w:hideMark/>
          </w:tcPr>
          <w:p w14:paraId="0132927F" w14:textId="77777777" w:rsidR="00084F96" w:rsidRPr="00DD5F1D" w:rsidRDefault="00084F96" w:rsidP="00084F96">
            <w:pPr>
              <w:spacing w:after="0" w:line="240" w:lineRule="auto"/>
              <w:jc w:val="right"/>
              <w:rPr>
                <w:rFonts w:ascii="Times New Roman" w:eastAsia="Times New Roman" w:hAnsi="Times New Roman" w:cs="Times New Roman"/>
                <w:i/>
                <w:iCs/>
                <w:lang w:val="ro-MD"/>
              </w:rPr>
            </w:pPr>
            <w:r w:rsidRPr="00DD5F1D">
              <w:rPr>
                <w:rFonts w:ascii="Times New Roman" w:eastAsia="Times New Roman" w:hAnsi="Times New Roman" w:cs="Times New Roman"/>
                <w:i/>
                <w:iCs/>
                <w:lang w:val="ro-MD"/>
              </w:rPr>
              <w:t>1243,9</w:t>
            </w:r>
          </w:p>
        </w:tc>
        <w:tc>
          <w:tcPr>
            <w:tcW w:w="452" w:type="pct"/>
            <w:tcBorders>
              <w:top w:val="nil"/>
              <w:left w:val="nil"/>
              <w:bottom w:val="single" w:sz="4" w:space="0" w:color="auto"/>
              <w:right w:val="single" w:sz="4" w:space="0" w:color="auto"/>
            </w:tcBorders>
            <w:shd w:val="clear" w:color="auto" w:fill="auto"/>
            <w:noWrap/>
            <w:vAlign w:val="center"/>
            <w:hideMark/>
          </w:tcPr>
          <w:p w14:paraId="0C2AC8B0" w14:textId="77777777" w:rsidR="00084F96" w:rsidRPr="00DD5F1D" w:rsidRDefault="00084F96" w:rsidP="00084F96">
            <w:pPr>
              <w:spacing w:after="0" w:line="240" w:lineRule="auto"/>
              <w:jc w:val="right"/>
              <w:rPr>
                <w:rFonts w:ascii="Times New Roman" w:eastAsia="Times New Roman" w:hAnsi="Times New Roman" w:cs="Times New Roman"/>
                <w:i/>
                <w:iCs/>
                <w:lang w:val="ro-MD"/>
              </w:rPr>
            </w:pPr>
            <w:r w:rsidRPr="00DD5F1D">
              <w:rPr>
                <w:rFonts w:ascii="Times New Roman" w:eastAsia="Times New Roman" w:hAnsi="Times New Roman" w:cs="Times New Roman"/>
                <w:i/>
                <w:iCs/>
                <w:lang w:val="ro-MD"/>
              </w:rPr>
              <w:t>0,0</w:t>
            </w:r>
          </w:p>
        </w:tc>
      </w:tr>
      <w:tr w:rsidR="000D40B3" w:rsidRPr="00DD5F1D" w14:paraId="6F649985" w14:textId="77777777" w:rsidTr="00084F96">
        <w:trPr>
          <w:trHeight w:val="329"/>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21B89F2A"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Susţinerea financiară a persoanelor când nu se îndeplinesc condiţiile pentru obţinerea dreptului la pensie de asigurări sociale de stat</w:t>
            </w:r>
          </w:p>
        </w:tc>
        <w:tc>
          <w:tcPr>
            <w:tcW w:w="496" w:type="pct"/>
            <w:tcBorders>
              <w:top w:val="nil"/>
              <w:left w:val="nil"/>
              <w:bottom w:val="single" w:sz="4" w:space="0" w:color="auto"/>
              <w:right w:val="single" w:sz="4" w:space="0" w:color="auto"/>
            </w:tcBorders>
            <w:shd w:val="clear" w:color="auto" w:fill="auto"/>
            <w:vAlign w:val="center"/>
            <w:hideMark/>
          </w:tcPr>
          <w:p w14:paraId="42BED41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1507373,4</w:t>
            </w:r>
          </w:p>
        </w:tc>
        <w:tc>
          <w:tcPr>
            <w:tcW w:w="496" w:type="pct"/>
            <w:tcBorders>
              <w:top w:val="nil"/>
              <w:left w:val="nil"/>
              <w:bottom w:val="single" w:sz="4" w:space="0" w:color="auto"/>
              <w:right w:val="single" w:sz="4" w:space="0" w:color="auto"/>
            </w:tcBorders>
            <w:shd w:val="clear" w:color="auto" w:fill="auto"/>
            <w:noWrap/>
            <w:vAlign w:val="center"/>
            <w:hideMark/>
          </w:tcPr>
          <w:p w14:paraId="2DDB5B4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1503588,6</w:t>
            </w:r>
          </w:p>
        </w:tc>
        <w:tc>
          <w:tcPr>
            <w:tcW w:w="518" w:type="pct"/>
            <w:tcBorders>
              <w:top w:val="nil"/>
              <w:left w:val="nil"/>
              <w:bottom w:val="single" w:sz="4" w:space="0" w:color="auto"/>
              <w:right w:val="single" w:sz="4" w:space="0" w:color="auto"/>
            </w:tcBorders>
            <w:shd w:val="clear" w:color="auto" w:fill="auto"/>
            <w:noWrap/>
            <w:vAlign w:val="center"/>
            <w:hideMark/>
          </w:tcPr>
          <w:p w14:paraId="5349CCB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1494938,8</w:t>
            </w:r>
          </w:p>
        </w:tc>
        <w:tc>
          <w:tcPr>
            <w:tcW w:w="518" w:type="pct"/>
            <w:tcBorders>
              <w:top w:val="nil"/>
              <w:left w:val="nil"/>
              <w:bottom w:val="single" w:sz="4" w:space="0" w:color="auto"/>
              <w:right w:val="single" w:sz="4" w:space="0" w:color="auto"/>
            </w:tcBorders>
            <w:shd w:val="clear" w:color="auto" w:fill="auto"/>
            <w:noWrap/>
            <w:vAlign w:val="center"/>
            <w:hideMark/>
          </w:tcPr>
          <w:p w14:paraId="513EA5F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1495175,8</w:t>
            </w:r>
          </w:p>
        </w:tc>
        <w:tc>
          <w:tcPr>
            <w:tcW w:w="452" w:type="pct"/>
            <w:tcBorders>
              <w:top w:val="nil"/>
              <w:left w:val="nil"/>
              <w:bottom w:val="single" w:sz="4" w:space="0" w:color="auto"/>
              <w:right w:val="single" w:sz="4" w:space="0" w:color="auto"/>
            </w:tcBorders>
            <w:shd w:val="clear" w:color="auto" w:fill="auto"/>
            <w:noWrap/>
            <w:vAlign w:val="center"/>
            <w:hideMark/>
          </w:tcPr>
          <w:p w14:paraId="6B713A9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4336,8</w:t>
            </w:r>
          </w:p>
        </w:tc>
        <w:tc>
          <w:tcPr>
            <w:tcW w:w="452" w:type="pct"/>
            <w:tcBorders>
              <w:top w:val="nil"/>
              <w:left w:val="nil"/>
              <w:bottom w:val="single" w:sz="4" w:space="0" w:color="auto"/>
              <w:right w:val="single" w:sz="4" w:space="0" w:color="auto"/>
            </w:tcBorders>
            <w:shd w:val="clear" w:color="auto" w:fill="auto"/>
            <w:noWrap/>
            <w:vAlign w:val="center"/>
            <w:hideMark/>
          </w:tcPr>
          <w:p w14:paraId="71E1682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6193F9EB" w14:textId="77777777" w:rsidTr="00084F96">
        <w:trPr>
          <w:trHeight w:val="353"/>
        </w:trPr>
        <w:tc>
          <w:tcPr>
            <w:tcW w:w="2067" w:type="pct"/>
            <w:tcBorders>
              <w:top w:val="nil"/>
              <w:left w:val="single" w:sz="4" w:space="0" w:color="auto"/>
              <w:bottom w:val="single" w:sz="4" w:space="0" w:color="auto"/>
              <w:right w:val="single" w:sz="4" w:space="0" w:color="auto"/>
            </w:tcBorders>
            <w:shd w:val="clear" w:color="auto" w:fill="auto"/>
            <w:vAlign w:val="bottom"/>
            <w:hideMark/>
          </w:tcPr>
          <w:p w14:paraId="016273F0"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Acordarea dreptului la alocaţie lunară integrală de stat beneficiarilor de pensii și alocații sociale, categorii de populaţie din stânga Nistrului</w:t>
            </w:r>
          </w:p>
        </w:tc>
        <w:tc>
          <w:tcPr>
            <w:tcW w:w="496" w:type="pct"/>
            <w:tcBorders>
              <w:top w:val="nil"/>
              <w:left w:val="nil"/>
              <w:bottom w:val="single" w:sz="4" w:space="0" w:color="auto"/>
              <w:right w:val="single" w:sz="4" w:space="0" w:color="auto"/>
            </w:tcBorders>
            <w:shd w:val="clear" w:color="auto" w:fill="auto"/>
            <w:vAlign w:val="center"/>
            <w:hideMark/>
          </w:tcPr>
          <w:p w14:paraId="390671F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50707,1</w:t>
            </w:r>
          </w:p>
        </w:tc>
        <w:tc>
          <w:tcPr>
            <w:tcW w:w="496" w:type="pct"/>
            <w:tcBorders>
              <w:top w:val="nil"/>
              <w:left w:val="nil"/>
              <w:bottom w:val="single" w:sz="4" w:space="0" w:color="auto"/>
              <w:right w:val="single" w:sz="4" w:space="0" w:color="auto"/>
            </w:tcBorders>
            <w:shd w:val="clear" w:color="auto" w:fill="auto"/>
            <w:noWrap/>
            <w:vAlign w:val="center"/>
            <w:hideMark/>
          </w:tcPr>
          <w:p w14:paraId="474ED7E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48264,5</w:t>
            </w:r>
          </w:p>
        </w:tc>
        <w:tc>
          <w:tcPr>
            <w:tcW w:w="518" w:type="pct"/>
            <w:tcBorders>
              <w:top w:val="nil"/>
              <w:left w:val="nil"/>
              <w:bottom w:val="single" w:sz="4" w:space="0" w:color="auto"/>
              <w:right w:val="single" w:sz="4" w:space="0" w:color="auto"/>
            </w:tcBorders>
            <w:shd w:val="clear" w:color="auto" w:fill="auto"/>
            <w:noWrap/>
            <w:vAlign w:val="center"/>
            <w:hideMark/>
          </w:tcPr>
          <w:p w14:paraId="36BE006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47602,5</w:t>
            </w:r>
          </w:p>
        </w:tc>
        <w:tc>
          <w:tcPr>
            <w:tcW w:w="518" w:type="pct"/>
            <w:tcBorders>
              <w:top w:val="nil"/>
              <w:left w:val="nil"/>
              <w:bottom w:val="single" w:sz="4" w:space="0" w:color="auto"/>
              <w:right w:val="single" w:sz="4" w:space="0" w:color="auto"/>
            </w:tcBorders>
            <w:shd w:val="clear" w:color="auto" w:fill="auto"/>
            <w:noWrap/>
            <w:vAlign w:val="center"/>
            <w:hideMark/>
          </w:tcPr>
          <w:p w14:paraId="322150F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47625,5</w:t>
            </w:r>
          </w:p>
        </w:tc>
        <w:tc>
          <w:tcPr>
            <w:tcW w:w="452" w:type="pct"/>
            <w:tcBorders>
              <w:top w:val="nil"/>
              <w:left w:val="nil"/>
              <w:bottom w:val="single" w:sz="4" w:space="0" w:color="auto"/>
              <w:right w:val="single" w:sz="4" w:space="0" w:color="auto"/>
            </w:tcBorders>
            <w:shd w:val="clear" w:color="auto" w:fill="auto"/>
            <w:noWrap/>
            <w:vAlign w:val="center"/>
            <w:hideMark/>
          </w:tcPr>
          <w:p w14:paraId="432B273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491,7</w:t>
            </w:r>
          </w:p>
        </w:tc>
        <w:tc>
          <w:tcPr>
            <w:tcW w:w="452" w:type="pct"/>
            <w:tcBorders>
              <w:top w:val="nil"/>
              <w:left w:val="nil"/>
              <w:bottom w:val="single" w:sz="4" w:space="0" w:color="auto"/>
              <w:right w:val="single" w:sz="4" w:space="0" w:color="auto"/>
            </w:tcBorders>
            <w:shd w:val="clear" w:color="auto" w:fill="auto"/>
            <w:noWrap/>
            <w:vAlign w:val="center"/>
            <w:hideMark/>
          </w:tcPr>
          <w:p w14:paraId="698D020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34EC0277" w14:textId="77777777" w:rsidTr="00084F96">
        <w:trPr>
          <w:trHeight w:val="222"/>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04E7A6BC"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Acordarea dreptului la alocaţii de stat pentru merite deosebite față de stat</w:t>
            </w:r>
          </w:p>
        </w:tc>
        <w:tc>
          <w:tcPr>
            <w:tcW w:w="496" w:type="pct"/>
            <w:tcBorders>
              <w:top w:val="nil"/>
              <w:left w:val="nil"/>
              <w:bottom w:val="single" w:sz="4" w:space="0" w:color="auto"/>
              <w:right w:val="single" w:sz="4" w:space="0" w:color="auto"/>
            </w:tcBorders>
            <w:shd w:val="clear" w:color="auto" w:fill="auto"/>
            <w:vAlign w:val="center"/>
            <w:hideMark/>
          </w:tcPr>
          <w:p w14:paraId="45F41F2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15816,8</w:t>
            </w:r>
          </w:p>
        </w:tc>
        <w:tc>
          <w:tcPr>
            <w:tcW w:w="496" w:type="pct"/>
            <w:tcBorders>
              <w:top w:val="nil"/>
              <w:left w:val="nil"/>
              <w:bottom w:val="single" w:sz="4" w:space="0" w:color="auto"/>
              <w:right w:val="single" w:sz="4" w:space="0" w:color="auto"/>
            </w:tcBorders>
            <w:shd w:val="clear" w:color="auto" w:fill="auto"/>
            <w:noWrap/>
            <w:vAlign w:val="center"/>
            <w:hideMark/>
          </w:tcPr>
          <w:p w14:paraId="415C4FD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15769,1</w:t>
            </w:r>
          </w:p>
        </w:tc>
        <w:tc>
          <w:tcPr>
            <w:tcW w:w="518" w:type="pct"/>
            <w:tcBorders>
              <w:top w:val="nil"/>
              <w:left w:val="nil"/>
              <w:bottom w:val="single" w:sz="4" w:space="0" w:color="auto"/>
              <w:right w:val="single" w:sz="4" w:space="0" w:color="auto"/>
            </w:tcBorders>
            <w:shd w:val="clear" w:color="auto" w:fill="auto"/>
            <w:noWrap/>
            <w:vAlign w:val="center"/>
            <w:hideMark/>
          </w:tcPr>
          <w:p w14:paraId="0D6F02A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15655,7</w:t>
            </w:r>
          </w:p>
        </w:tc>
        <w:tc>
          <w:tcPr>
            <w:tcW w:w="518" w:type="pct"/>
            <w:tcBorders>
              <w:top w:val="nil"/>
              <w:left w:val="nil"/>
              <w:bottom w:val="single" w:sz="4" w:space="0" w:color="auto"/>
              <w:right w:val="single" w:sz="4" w:space="0" w:color="auto"/>
            </w:tcBorders>
            <w:shd w:val="clear" w:color="auto" w:fill="auto"/>
            <w:noWrap/>
            <w:vAlign w:val="center"/>
            <w:hideMark/>
          </w:tcPr>
          <w:p w14:paraId="76C5B8E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15684,7</w:t>
            </w:r>
          </w:p>
        </w:tc>
        <w:tc>
          <w:tcPr>
            <w:tcW w:w="452" w:type="pct"/>
            <w:tcBorders>
              <w:top w:val="nil"/>
              <w:left w:val="nil"/>
              <w:bottom w:val="single" w:sz="4" w:space="0" w:color="auto"/>
              <w:right w:val="single" w:sz="4" w:space="0" w:color="auto"/>
            </w:tcBorders>
            <w:shd w:val="clear" w:color="auto" w:fill="auto"/>
            <w:noWrap/>
            <w:vAlign w:val="center"/>
            <w:hideMark/>
          </w:tcPr>
          <w:p w14:paraId="1A544A6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113,6</w:t>
            </w:r>
          </w:p>
        </w:tc>
        <w:tc>
          <w:tcPr>
            <w:tcW w:w="452" w:type="pct"/>
            <w:tcBorders>
              <w:top w:val="nil"/>
              <w:left w:val="nil"/>
              <w:bottom w:val="single" w:sz="4" w:space="0" w:color="auto"/>
              <w:right w:val="single" w:sz="4" w:space="0" w:color="auto"/>
            </w:tcBorders>
            <w:shd w:val="clear" w:color="auto" w:fill="auto"/>
            <w:noWrap/>
            <w:vAlign w:val="center"/>
            <w:hideMark/>
          </w:tcPr>
          <w:p w14:paraId="2EB6C68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7CA224F3" w14:textId="77777777" w:rsidTr="00084F96">
        <w:trPr>
          <w:trHeight w:val="313"/>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5D2750A4"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Acordarea dreptului la alocaţie lunară de stat unor categorii de populaţie din rîndul beneficiarilor de pensii sau de alocaţii sociale de stat şi familiilor lor</w:t>
            </w:r>
          </w:p>
        </w:tc>
        <w:tc>
          <w:tcPr>
            <w:tcW w:w="496" w:type="pct"/>
            <w:tcBorders>
              <w:top w:val="nil"/>
              <w:left w:val="nil"/>
              <w:bottom w:val="single" w:sz="4" w:space="0" w:color="auto"/>
              <w:right w:val="single" w:sz="4" w:space="0" w:color="auto"/>
            </w:tcBorders>
            <w:shd w:val="clear" w:color="auto" w:fill="auto"/>
            <w:vAlign w:val="center"/>
            <w:hideMark/>
          </w:tcPr>
          <w:p w14:paraId="484D935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431895,4</w:t>
            </w:r>
          </w:p>
        </w:tc>
        <w:tc>
          <w:tcPr>
            <w:tcW w:w="496" w:type="pct"/>
            <w:tcBorders>
              <w:top w:val="nil"/>
              <w:left w:val="nil"/>
              <w:bottom w:val="single" w:sz="4" w:space="0" w:color="auto"/>
              <w:right w:val="single" w:sz="4" w:space="0" w:color="auto"/>
            </w:tcBorders>
            <w:shd w:val="clear" w:color="auto" w:fill="auto"/>
            <w:noWrap/>
            <w:vAlign w:val="center"/>
            <w:hideMark/>
          </w:tcPr>
          <w:p w14:paraId="631B7DA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429500,6</w:t>
            </w:r>
          </w:p>
        </w:tc>
        <w:tc>
          <w:tcPr>
            <w:tcW w:w="518" w:type="pct"/>
            <w:tcBorders>
              <w:top w:val="nil"/>
              <w:left w:val="nil"/>
              <w:bottom w:val="single" w:sz="4" w:space="0" w:color="auto"/>
              <w:right w:val="single" w:sz="4" w:space="0" w:color="auto"/>
            </w:tcBorders>
            <w:shd w:val="clear" w:color="auto" w:fill="auto"/>
            <w:noWrap/>
            <w:vAlign w:val="center"/>
            <w:hideMark/>
          </w:tcPr>
          <w:p w14:paraId="30B036D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429176,0</w:t>
            </w:r>
          </w:p>
        </w:tc>
        <w:tc>
          <w:tcPr>
            <w:tcW w:w="518" w:type="pct"/>
            <w:tcBorders>
              <w:top w:val="nil"/>
              <w:left w:val="nil"/>
              <w:bottom w:val="single" w:sz="4" w:space="0" w:color="auto"/>
              <w:right w:val="single" w:sz="4" w:space="0" w:color="auto"/>
            </w:tcBorders>
            <w:shd w:val="clear" w:color="auto" w:fill="auto"/>
            <w:noWrap/>
            <w:vAlign w:val="center"/>
            <w:hideMark/>
          </w:tcPr>
          <w:p w14:paraId="7335121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428886,6</w:t>
            </w:r>
          </w:p>
        </w:tc>
        <w:tc>
          <w:tcPr>
            <w:tcW w:w="452" w:type="pct"/>
            <w:tcBorders>
              <w:top w:val="nil"/>
              <w:left w:val="nil"/>
              <w:bottom w:val="single" w:sz="4" w:space="0" w:color="auto"/>
              <w:right w:val="single" w:sz="4" w:space="0" w:color="auto"/>
            </w:tcBorders>
            <w:shd w:val="clear" w:color="auto" w:fill="auto"/>
            <w:noWrap/>
            <w:vAlign w:val="center"/>
            <w:hideMark/>
          </w:tcPr>
          <w:p w14:paraId="56043F2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441,7</w:t>
            </w:r>
          </w:p>
        </w:tc>
        <w:tc>
          <w:tcPr>
            <w:tcW w:w="452" w:type="pct"/>
            <w:tcBorders>
              <w:top w:val="nil"/>
              <w:left w:val="nil"/>
              <w:bottom w:val="single" w:sz="4" w:space="0" w:color="auto"/>
              <w:right w:val="single" w:sz="4" w:space="0" w:color="auto"/>
            </w:tcBorders>
            <w:shd w:val="clear" w:color="auto" w:fill="auto"/>
            <w:noWrap/>
            <w:vAlign w:val="center"/>
            <w:hideMark/>
          </w:tcPr>
          <w:p w14:paraId="7BF838A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15D411DC" w14:textId="77777777" w:rsidTr="00084F96">
        <w:trPr>
          <w:trHeight w:val="182"/>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737066CD"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Măsuri de protecţie socială a şomerilor</w:t>
            </w:r>
          </w:p>
        </w:tc>
        <w:tc>
          <w:tcPr>
            <w:tcW w:w="496" w:type="pct"/>
            <w:tcBorders>
              <w:top w:val="nil"/>
              <w:left w:val="nil"/>
              <w:bottom w:val="single" w:sz="4" w:space="0" w:color="auto"/>
              <w:right w:val="single" w:sz="4" w:space="0" w:color="auto"/>
            </w:tcBorders>
            <w:shd w:val="clear" w:color="auto" w:fill="auto"/>
            <w:vAlign w:val="center"/>
            <w:hideMark/>
          </w:tcPr>
          <w:p w14:paraId="3A24AF4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61,7</w:t>
            </w:r>
          </w:p>
        </w:tc>
        <w:tc>
          <w:tcPr>
            <w:tcW w:w="496" w:type="pct"/>
            <w:tcBorders>
              <w:top w:val="nil"/>
              <w:left w:val="nil"/>
              <w:bottom w:val="single" w:sz="4" w:space="0" w:color="auto"/>
              <w:right w:val="single" w:sz="4" w:space="0" w:color="auto"/>
            </w:tcBorders>
            <w:shd w:val="clear" w:color="auto" w:fill="auto"/>
            <w:noWrap/>
            <w:vAlign w:val="center"/>
            <w:hideMark/>
          </w:tcPr>
          <w:p w14:paraId="2C65D4F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53,8</w:t>
            </w:r>
          </w:p>
        </w:tc>
        <w:tc>
          <w:tcPr>
            <w:tcW w:w="518" w:type="pct"/>
            <w:tcBorders>
              <w:top w:val="nil"/>
              <w:left w:val="nil"/>
              <w:bottom w:val="single" w:sz="4" w:space="0" w:color="auto"/>
              <w:right w:val="single" w:sz="4" w:space="0" w:color="auto"/>
            </w:tcBorders>
            <w:shd w:val="clear" w:color="auto" w:fill="auto"/>
            <w:noWrap/>
            <w:vAlign w:val="center"/>
            <w:hideMark/>
          </w:tcPr>
          <w:p w14:paraId="59A715B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51,3</w:t>
            </w:r>
          </w:p>
        </w:tc>
        <w:tc>
          <w:tcPr>
            <w:tcW w:w="518" w:type="pct"/>
            <w:tcBorders>
              <w:top w:val="nil"/>
              <w:left w:val="nil"/>
              <w:bottom w:val="single" w:sz="4" w:space="0" w:color="auto"/>
              <w:right w:val="single" w:sz="4" w:space="0" w:color="auto"/>
            </w:tcBorders>
            <w:shd w:val="clear" w:color="auto" w:fill="auto"/>
            <w:noWrap/>
            <w:vAlign w:val="center"/>
            <w:hideMark/>
          </w:tcPr>
          <w:p w14:paraId="79F7EF9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53,1</w:t>
            </w:r>
          </w:p>
        </w:tc>
        <w:tc>
          <w:tcPr>
            <w:tcW w:w="452" w:type="pct"/>
            <w:tcBorders>
              <w:top w:val="nil"/>
              <w:left w:val="nil"/>
              <w:bottom w:val="single" w:sz="4" w:space="0" w:color="auto"/>
              <w:right w:val="single" w:sz="4" w:space="0" w:color="auto"/>
            </w:tcBorders>
            <w:shd w:val="clear" w:color="auto" w:fill="auto"/>
            <w:noWrap/>
            <w:vAlign w:val="center"/>
            <w:hideMark/>
          </w:tcPr>
          <w:p w14:paraId="37AFF20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3,1</w:t>
            </w:r>
          </w:p>
        </w:tc>
        <w:tc>
          <w:tcPr>
            <w:tcW w:w="452" w:type="pct"/>
            <w:tcBorders>
              <w:top w:val="nil"/>
              <w:left w:val="nil"/>
              <w:bottom w:val="single" w:sz="4" w:space="0" w:color="auto"/>
              <w:right w:val="single" w:sz="4" w:space="0" w:color="auto"/>
            </w:tcBorders>
            <w:shd w:val="clear" w:color="auto" w:fill="auto"/>
            <w:noWrap/>
            <w:vAlign w:val="center"/>
            <w:hideMark/>
          </w:tcPr>
          <w:p w14:paraId="73E43BB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5EFCAEE6" w14:textId="77777777" w:rsidTr="00084F96">
        <w:trPr>
          <w:trHeight w:val="28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03BDDCE6" w14:textId="77777777" w:rsidR="00084F96" w:rsidRPr="00DD5F1D" w:rsidRDefault="00084F96" w:rsidP="00084F96">
            <w:pPr>
              <w:spacing w:after="0" w:line="240" w:lineRule="auto"/>
              <w:jc w:val="center"/>
              <w:rPr>
                <w:rFonts w:ascii="Times New Roman" w:eastAsia="Times New Roman" w:hAnsi="Times New Roman" w:cs="Times New Roman"/>
                <w:b/>
                <w:bCs/>
                <w:i/>
                <w:iCs/>
                <w:sz w:val="20"/>
                <w:szCs w:val="20"/>
                <w:lang w:val="ro-MD"/>
              </w:rPr>
            </w:pPr>
            <w:r w:rsidRPr="00DD5F1D">
              <w:rPr>
                <w:rFonts w:ascii="Times New Roman" w:eastAsia="Times New Roman" w:hAnsi="Times New Roman" w:cs="Times New Roman"/>
                <w:b/>
                <w:bCs/>
                <w:i/>
                <w:iCs/>
                <w:sz w:val="20"/>
                <w:szCs w:val="20"/>
                <w:lang w:val="ro-MD"/>
              </w:rPr>
              <w:t>Total INDEMNIZAŢII</w:t>
            </w:r>
          </w:p>
        </w:tc>
        <w:tc>
          <w:tcPr>
            <w:tcW w:w="496" w:type="pct"/>
            <w:tcBorders>
              <w:top w:val="nil"/>
              <w:left w:val="nil"/>
              <w:bottom w:val="single" w:sz="4" w:space="0" w:color="auto"/>
              <w:right w:val="single" w:sz="4" w:space="0" w:color="auto"/>
            </w:tcBorders>
            <w:shd w:val="clear" w:color="auto" w:fill="auto"/>
            <w:noWrap/>
            <w:vAlign w:val="center"/>
            <w:hideMark/>
          </w:tcPr>
          <w:p w14:paraId="25D00AF8"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1311380,6</w:t>
            </w:r>
          </w:p>
        </w:tc>
        <w:tc>
          <w:tcPr>
            <w:tcW w:w="496" w:type="pct"/>
            <w:tcBorders>
              <w:top w:val="nil"/>
              <w:left w:val="nil"/>
              <w:bottom w:val="single" w:sz="4" w:space="0" w:color="auto"/>
              <w:right w:val="single" w:sz="4" w:space="0" w:color="auto"/>
            </w:tcBorders>
            <w:shd w:val="clear" w:color="auto" w:fill="auto"/>
            <w:noWrap/>
            <w:vAlign w:val="center"/>
            <w:hideMark/>
          </w:tcPr>
          <w:p w14:paraId="39419466"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1272658,7</w:t>
            </w:r>
          </w:p>
        </w:tc>
        <w:tc>
          <w:tcPr>
            <w:tcW w:w="518" w:type="pct"/>
            <w:tcBorders>
              <w:top w:val="nil"/>
              <w:left w:val="nil"/>
              <w:bottom w:val="single" w:sz="4" w:space="0" w:color="auto"/>
              <w:right w:val="single" w:sz="4" w:space="0" w:color="auto"/>
            </w:tcBorders>
            <w:shd w:val="clear" w:color="auto" w:fill="auto"/>
            <w:noWrap/>
            <w:vAlign w:val="center"/>
            <w:hideMark/>
          </w:tcPr>
          <w:p w14:paraId="23E6F1C3"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1268778,1</w:t>
            </w:r>
          </w:p>
        </w:tc>
        <w:tc>
          <w:tcPr>
            <w:tcW w:w="518" w:type="pct"/>
            <w:tcBorders>
              <w:top w:val="nil"/>
              <w:left w:val="nil"/>
              <w:bottom w:val="single" w:sz="4" w:space="0" w:color="auto"/>
              <w:right w:val="single" w:sz="4" w:space="0" w:color="auto"/>
            </w:tcBorders>
            <w:shd w:val="clear" w:color="auto" w:fill="auto"/>
            <w:noWrap/>
            <w:vAlign w:val="center"/>
            <w:hideMark/>
          </w:tcPr>
          <w:p w14:paraId="6DD57E1C"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1262842,8</w:t>
            </w:r>
          </w:p>
        </w:tc>
        <w:tc>
          <w:tcPr>
            <w:tcW w:w="452" w:type="pct"/>
            <w:tcBorders>
              <w:top w:val="nil"/>
              <w:left w:val="nil"/>
              <w:bottom w:val="single" w:sz="4" w:space="0" w:color="auto"/>
              <w:right w:val="single" w:sz="4" w:space="0" w:color="auto"/>
            </w:tcBorders>
            <w:shd w:val="clear" w:color="auto" w:fill="auto"/>
            <w:noWrap/>
            <w:vAlign w:val="center"/>
            <w:hideMark/>
          </w:tcPr>
          <w:p w14:paraId="3253E1D2"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4126,4</w:t>
            </w:r>
          </w:p>
        </w:tc>
        <w:tc>
          <w:tcPr>
            <w:tcW w:w="452" w:type="pct"/>
            <w:tcBorders>
              <w:top w:val="nil"/>
              <w:left w:val="nil"/>
              <w:bottom w:val="single" w:sz="4" w:space="0" w:color="auto"/>
              <w:right w:val="single" w:sz="4" w:space="0" w:color="auto"/>
            </w:tcBorders>
            <w:shd w:val="clear" w:color="auto" w:fill="auto"/>
            <w:noWrap/>
            <w:vAlign w:val="center"/>
            <w:hideMark/>
          </w:tcPr>
          <w:p w14:paraId="570B139F"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178,0</w:t>
            </w:r>
          </w:p>
        </w:tc>
      </w:tr>
      <w:tr w:rsidR="000D40B3" w:rsidRPr="00DD5F1D" w14:paraId="05D013B0"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1ECE9C3A"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Susținerea financiară a familiei la nașterea copilului</w:t>
            </w:r>
          </w:p>
        </w:tc>
        <w:tc>
          <w:tcPr>
            <w:tcW w:w="496" w:type="pct"/>
            <w:tcBorders>
              <w:top w:val="nil"/>
              <w:left w:val="nil"/>
              <w:bottom w:val="single" w:sz="4" w:space="0" w:color="auto"/>
              <w:right w:val="single" w:sz="4" w:space="0" w:color="auto"/>
            </w:tcBorders>
            <w:shd w:val="clear" w:color="auto" w:fill="auto"/>
            <w:vAlign w:val="center"/>
            <w:hideMark/>
          </w:tcPr>
          <w:p w14:paraId="774C1B6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380215,0</w:t>
            </w:r>
          </w:p>
        </w:tc>
        <w:tc>
          <w:tcPr>
            <w:tcW w:w="496" w:type="pct"/>
            <w:tcBorders>
              <w:top w:val="nil"/>
              <w:left w:val="nil"/>
              <w:bottom w:val="single" w:sz="4" w:space="0" w:color="auto"/>
              <w:right w:val="single" w:sz="4" w:space="0" w:color="auto"/>
            </w:tcBorders>
            <w:shd w:val="clear" w:color="auto" w:fill="auto"/>
            <w:noWrap/>
            <w:vAlign w:val="center"/>
            <w:hideMark/>
          </w:tcPr>
          <w:p w14:paraId="3DC469C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366621,6</w:t>
            </w:r>
          </w:p>
        </w:tc>
        <w:tc>
          <w:tcPr>
            <w:tcW w:w="518" w:type="pct"/>
            <w:tcBorders>
              <w:top w:val="nil"/>
              <w:left w:val="nil"/>
              <w:bottom w:val="single" w:sz="4" w:space="0" w:color="auto"/>
              <w:right w:val="single" w:sz="4" w:space="0" w:color="auto"/>
            </w:tcBorders>
            <w:shd w:val="clear" w:color="auto" w:fill="auto"/>
            <w:noWrap/>
            <w:vAlign w:val="center"/>
            <w:hideMark/>
          </w:tcPr>
          <w:p w14:paraId="331AE10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365927,2</w:t>
            </w:r>
          </w:p>
        </w:tc>
        <w:tc>
          <w:tcPr>
            <w:tcW w:w="518" w:type="pct"/>
            <w:tcBorders>
              <w:top w:val="nil"/>
              <w:left w:val="nil"/>
              <w:bottom w:val="single" w:sz="4" w:space="0" w:color="auto"/>
              <w:right w:val="single" w:sz="4" w:space="0" w:color="auto"/>
            </w:tcBorders>
            <w:shd w:val="clear" w:color="auto" w:fill="auto"/>
            <w:noWrap/>
            <w:vAlign w:val="center"/>
            <w:hideMark/>
          </w:tcPr>
          <w:p w14:paraId="29373B9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361929,1</w:t>
            </w:r>
          </w:p>
        </w:tc>
        <w:tc>
          <w:tcPr>
            <w:tcW w:w="452" w:type="pct"/>
            <w:tcBorders>
              <w:top w:val="nil"/>
              <w:left w:val="nil"/>
              <w:bottom w:val="single" w:sz="4" w:space="0" w:color="auto"/>
              <w:right w:val="single" w:sz="4" w:space="0" w:color="auto"/>
            </w:tcBorders>
            <w:shd w:val="clear" w:color="auto" w:fill="auto"/>
            <w:noWrap/>
            <w:vAlign w:val="center"/>
            <w:hideMark/>
          </w:tcPr>
          <w:p w14:paraId="46F68B6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705,2</w:t>
            </w:r>
          </w:p>
        </w:tc>
        <w:tc>
          <w:tcPr>
            <w:tcW w:w="452" w:type="pct"/>
            <w:tcBorders>
              <w:top w:val="nil"/>
              <w:left w:val="nil"/>
              <w:bottom w:val="single" w:sz="4" w:space="0" w:color="auto"/>
              <w:right w:val="single" w:sz="4" w:space="0" w:color="auto"/>
            </w:tcBorders>
            <w:shd w:val="clear" w:color="auto" w:fill="auto"/>
            <w:noWrap/>
            <w:vAlign w:val="center"/>
            <w:hideMark/>
          </w:tcPr>
          <w:p w14:paraId="7B4E4C3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21EC1306" w14:textId="77777777" w:rsidTr="00084F96">
        <w:trPr>
          <w:trHeight w:val="194"/>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1A8FF1B9"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Susţinerea financiară a familiei pentru îngrijirea copilului cu vârsta de până la 2 ani, ca persoană neasigurată</w:t>
            </w:r>
          </w:p>
        </w:tc>
        <w:tc>
          <w:tcPr>
            <w:tcW w:w="496" w:type="pct"/>
            <w:tcBorders>
              <w:top w:val="nil"/>
              <w:left w:val="nil"/>
              <w:bottom w:val="single" w:sz="4" w:space="0" w:color="auto"/>
              <w:right w:val="single" w:sz="4" w:space="0" w:color="auto"/>
            </w:tcBorders>
            <w:shd w:val="clear" w:color="auto" w:fill="auto"/>
            <w:vAlign w:val="center"/>
            <w:hideMark/>
          </w:tcPr>
          <w:p w14:paraId="1F39152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 </w:t>
            </w:r>
          </w:p>
        </w:tc>
        <w:tc>
          <w:tcPr>
            <w:tcW w:w="496" w:type="pct"/>
            <w:tcBorders>
              <w:top w:val="nil"/>
              <w:left w:val="nil"/>
              <w:bottom w:val="single" w:sz="4" w:space="0" w:color="auto"/>
              <w:right w:val="single" w:sz="4" w:space="0" w:color="auto"/>
            </w:tcBorders>
            <w:shd w:val="clear" w:color="auto" w:fill="auto"/>
            <w:noWrap/>
            <w:vAlign w:val="center"/>
            <w:hideMark/>
          </w:tcPr>
          <w:p w14:paraId="6BEE70C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244844,3</w:t>
            </w:r>
          </w:p>
        </w:tc>
        <w:tc>
          <w:tcPr>
            <w:tcW w:w="518" w:type="pct"/>
            <w:tcBorders>
              <w:top w:val="nil"/>
              <w:left w:val="nil"/>
              <w:bottom w:val="single" w:sz="4" w:space="0" w:color="auto"/>
              <w:right w:val="single" w:sz="4" w:space="0" w:color="auto"/>
            </w:tcBorders>
            <w:shd w:val="clear" w:color="auto" w:fill="auto"/>
            <w:noWrap/>
            <w:vAlign w:val="center"/>
            <w:hideMark/>
          </w:tcPr>
          <w:p w14:paraId="3569982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243586,4</w:t>
            </w:r>
          </w:p>
        </w:tc>
        <w:tc>
          <w:tcPr>
            <w:tcW w:w="518" w:type="pct"/>
            <w:tcBorders>
              <w:top w:val="nil"/>
              <w:left w:val="nil"/>
              <w:bottom w:val="single" w:sz="4" w:space="0" w:color="auto"/>
              <w:right w:val="single" w:sz="4" w:space="0" w:color="auto"/>
            </w:tcBorders>
            <w:shd w:val="clear" w:color="auto" w:fill="auto"/>
            <w:noWrap/>
            <w:vAlign w:val="center"/>
            <w:hideMark/>
          </w:tcPr>
          <w:p w14:paraId="2EFECE6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248093,3</w:t>
            </w:r>
          </w:p>
        </w:tc>
        <w:tc>
          <w:tcPr>
            <w:tcW w:w="452" w:type="pct"/>
            <w:tcBorders>
              <w:top w:val="nil"/>
              <w:left w:val="nil"/>
              <w:bottom w:val="single" w:sz="4" w:space="0" w:color="auto"/>
              <w:right w:val="single" w:sz="4" w:space="0" w:color="auto"/>
            </w:tcBorders>
            <w:shd w:val="clear" w:color="auto" w:fill="auto"/>
            <w:noWrap/>
            <w:vAlign w:val="center"/>
            <w:hideMark/>
          </w:tcPr>
          <w:p w14:paraId="00424FF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1289,8</w:t>
            </w:r>
          </w:p>
        </w:tc>
        <w:tc>
          <w:tcPr>
            <w:tcW w:w="452" w:type="pct"/>
            <w:tcBorders>
              <w:top w:val="nil"/>
              <w:left w:val="nil"/>
              <w:bottom w:val="single" w:sz="4" w:space="0" w:color="auto"/>
              <w:right w:val="single" w:sz="4" w:space="0" w:color="auto"/>
            </w:tcBorders>
            <w:shd w:val="clear" w:color="auto" w:fill="auto"/>
            <w:noWrap/>
            <w:vAlign w:val="center"/>
            <w:hideMark/>
          </w:tcPr>
          <w:p w14:paraId="0B038AA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5BC1F72E"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78A29EEA"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Susţinerea financiară a familiei pentru îngrijirea copilului cu vârsta de până la 2 ani</w:t>
            </w:r>
          </w:p>
        </w:tc>
        <w:tc>
          <w:tcPr>
            <w:tcW w:w="496" w:type="pct"/>
            <w:tcBorders>
              <w:top w:val="nil"/>
              <w:left w:val="nil"/>
              <w:bottom w:val="single" w:sz="4" w:space="0" w:color="auto"/>
              <w:right w:val="single" w:sz="4" w:space="0" w:color="auto"/>
            </w:tcBorders>
            <w:shd w:val="clear" w:color="auto" w:fill="auto"/>
            <w:vAlign w:val="center"/>
            <w:hideMark/>
          </w:tcPr>
          <w:p w14:paraId="11B76E7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888447,4</w:t>
            </w:r>
          </w:p>
        </w:tc>
        <w:tc>
          <w:tcPr>
            <w:tcW w:w="496" w:type="pct"/>
            <w:tcBorders>
              <w:top w:val="nil"/>
              <w:left w:val="nil"/>
              <w:bottom w:val="single" w:sz="4" w:space="0" w:color="auto"/>
              <w:right w:val="single" w:sz="4" w:space="0" w:color="auto"/>
            </w:tcBorders>
            <w:shd w:val="clear" w:color="auto" w:fill="auto"/>
            <w:noWrap/>
            <w:vAlign w:val="center"/>
            <w:hideMark/>
          </w:tcPr>
          <w:p w14:paraId="4516437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619290,0</w:t>
            </w:r>
          </w:p>
        </w:tc>
        <w:tc>
          <w:tcPr>
            <w:tcW w:w="518" w:type="pct"/>
            <w:tcBorders>
              <w:top w:val="nil"/>
              <w:left w:val="nil"/>
              <w:bottom w:val="single" w:sz="4" w:space="0" w:color="auto"/>
              <w:right w:val="single" w:sz="4" w:space="0" w:color="auto"/>
            </w:tcBorders>
            <w:shd w:val="clear" w:color="auto" w:fill="auto"/>
            <w:noWrap/>
            <w:vAlign w:val="center"/>
            <w:hideMark/>
          </w:tcPr>
          <w:p w14:paraId="022723D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617368,6</w:t>
            </w:r>
          </w:p>
        </w:tc>
        <w:tc>
          <w:tcPr>
            <w:tcW w:w="518" w:type="pct"/>
            <w:tcBorders>
              <w:top w:val="nil"/>
              <w:left w:val="nil"/>
              <w:bottom w:val="single" w:sz="4" w:space="0" w:color="auto"/>
              <w:right w:val="single" w:sz="4" w:space="0" w:color="auto"/>
            </w:tcBorders>
            <w:shd w:val="clear" w:color="auto" w:fill="auto"/>
            <w:noWrap/>
            <w:vAlign w:val="center"/>
            <w:hideMark/>
          </w:tcPr>
          <w:p w14:paraId="3295DED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610826,1</w:t>
            </w:r>
          </w:p>
        </w:tc>
        <w:tc>
          <w:tcPr>
            <w:tcW w:w="452" w:type="pct"/>
            <w:tcBorders>
              <w:top w:val="nil"/>
              <w:left w:val="nil"/>
              <w:bottom w:val="single" w:sz="4" w:space="0" w:color="auto"/>
              <w:right w:val="single" w:sz="4" w:space="0" w:color="auto"/>
            </w:tcBorders>
            <w:shd w:val="clear" w:color="auto" w:fill="auto"/>
            <w:noWrap/>
            <w:vAlign w:val="center"/>
            <w:hideMark/>
          </w:tcPr>
          <w:p w14:paraId="3A93D19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1964,0</w:t>
            </w:r>
          </w:p>
        </w:tc>
        <w:tc>
          <w:tcPr>
            <w:tcW w:w="452" w:type="pct"/>
            <w:tcBorders>
              <w:top w:val="nil"/>
              <w:left w:val="nil"/>
              <w:bottom w:val="single" w:sz="4" w:space="0" w:color="auto"/>
              <w:right w:val="single" w:sz="4" w:space="0" w:color="auto"/>
            </w:tcBorders>
            <w:shd w:val="clear" w:color="auto" w:fill="auto"/>
            <w:noWrap/>
            <w:vAlign w:val="center"/>
            <w:hideMark/>
          </w:tcPr>
          <w:p w14:paraId="53DCE17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78AC7700" w14:textId="77777777" w:rsidTr="00084F96">
        <w:trPr>
          <w:trHeight w:val="250"/>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3B3489F6" w14:textId="3C95B79F" w:rsidR="00084F96" w:rsidRPr="00DD5F1D" w:rsidRDefault="00084F96" w:rsidP="007D5E94">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Susţinerea financiară a familiei pentru creşterea până la v</w:t>
            </w:r>
            <w:r w:rsidR="007D5E94" w:rsidRPr="00DD5F1D">
              <w:rPr>
                <w:rFonts w:ascii="Times New Roman" w:eastAsia="Times New Roman" w:hAnsi="Times New Roman" w:cs="Times New Roman"/>
                <w:sz w:val="20"/>
                <w:szCs w:val="20"/>
                <w:lang w:val="ro-MD"/>
              </w:rPr>
              <w:t>â</w:t>
            </w:r>
            <w:r w:rsidRPr="00DD5F1D">
              <w:rPr>
                <w:rFonts w:ascii="Times New Roman" w:eastAsia="Times New Roman" w:hAnsi="Times New Roman" w:cs="Times New Roman"/>
                <w:sz w:val="20"/>
                <w:szCs w:val="20"/>
                <w:lang w:val="ro-MD"/>
              </w:rPr>
              <w:t>rsta de 3 ani a copiilor gemeni sau a mai mul</w:t>
            </w:r>
            <w:r w:rsidR="007D5E94" w:rsidRPr="00DD5F1D">
              <w:rPr>
                <w:rFonts w:ascii="Times New Roman" w:eastAsia="Times New Roman" w:hAnsi="Times New Roman" w:cs="Times New Roman"/>
                <w:sz w:val="20"/>
                <w:szCs w:val="20"/>
                <w:lang w:val="ro-MD"/>
              </w:rPr>
              <w:t>tor</w:t>
            </w:r>
            <w:r w:rsidRPr="00DD5F1D">
              <w:rPr>
                <w:rFonts w:ascii="Times New Roman" w:eastAsia="Times New Roman" w:hAnsi="Times New Roman" w:cs="Times New Roman"/>
                <w:sz w:val="20"/>
                <w:szCs w:val="20"/>
                <w:lang w:val="ro-MD"/>
              </w:rPr>
              <w:t xml:space="preserve"> copii născuţi dintr-o singură sarcină</w:t>
            </w:r>
          </w:p>
        </w:tc>
        <w:tc>
          <w:tcPr>
            <w:tcW w:w="496" w:type="pct"/>
            <w:tcBorders>
              <w:top w:val="nil"/>
              <w:left w:val="nil"/>
              <w:bottom w:val="single" w:sz="4" w:space="0" w:color="auto"/>
              <w:right w:val="single" w:sz="4" w:space="0" w:color="auto"/>
            </w:tcBorders>
            <w:shd w:val="clear" w:color="auto" w:fill="auto"/>
            <w:vAlign w:val="center"/>
            <w:hideMark/>
          </w:tcPr>
          <w:p w14:paraId="699D6B9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18318,0</w:t>
            </w:r>
          </w:p>
        </w:tc>
        <w:tc>
          <w:tcPr>
            <w:tcW w:w="496" w:type="pct"/>
            <w:tcBorders>
              <w:top w:val="nil"/>
              <w:left w:val="nil"/>
              <w:bottom w:val="single" w:sz="4" w:space="0" w:color="auto"/>
              <w:right w:val="single" w:sz="4" w:space="0" w:color="auto"/>
            </w:tcBorders>
            <w:shd w:val="clear" w:color="auto" w:fill="auto"/>
            <w:noWrap/>
            <w:vAlign w:val="center"/>
            <w:hideMark/>
          </w:tcPr>
          <w:p w14:paraId="5734ABA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17788,9</w:t>
            </w:r>
          </w:p>
        </w:tc>
        <w:tc>
          <w:tcPr>
            <w:tcW w:w="518" w:type="pct"/>
            <w:tcBorders>
              <w:top w:val="nil"/>
              <w:left w:val="nil"/>
              <w:bottom w:val="single" w:sz="4" w:space="0" w:color="auto"/>
              <w:right w:val="single" w:sz="4" w:space="0" w:color="auto"/>
            </w:tcBorders>
            <w:shd w:val="clear" w:color="auto" w:fill="auto"/>
            <w:noWrap/>
            <w:vAlign w:val="center"/>
            <w:hideMark/>
          </w:tcPr>
          <w:p w14:paraId="1AA95FC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17650,2</w:t>
            </w:r>
          </w:p>
        </w:tc>
        <w:tc>
          <w:tcPr>
            <w:tcW w:w="518" w:type="pct"/>
            <w:tcBorders>
              <w:top w:val="nil"/>
              <w:left w:val="nil"/>
              <w:bottom w:val="single" w:sz="4" w:space="0" w:color="auto"/>
              <w:right w:val="single" w:sz="4" w:space="0" w:color="auto"/>
            </w:tcBorders>
            <w:shd w:val="clear" w:color="auto" w:fill="auto"/>
            <w:noWrap/>
            <w:vAlign w:val="center"/>
            <w:hideMark/>
          </w:tcPr>
          <w:p w14:paraId="6ECB839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17676,5</w:t>
            </w:r>
          </w:p>
        </w:tc>
        <w:tc>
          <w:tcPr>
            <w:tcW w:w="452" w:type="pct"/>
            <w:tcBorders>
              <w:top w:val="nil"/>
              <w:left w:val="nil"/>
              <w:bottom w:val="single" w:sz="4" w:space="0" w:color="auto"/>
              <w:right w:val="single" w:sz="4" w:space="0" w:color="auto"/>
            </w:tcBorders>
            <w:shd w:val="clear" w:color="auto" w:fill="auto"/>
            <w:noWrap/>
            <w:vAlign w:val="center"/>
            <w:hideMark/>
          </w:tcPr>
          <w:p w14:paraId="1085450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138,7</w:t>
            </w:r>
          </w:p>
        </w:tc>
        <w:tc>
          <w:tcPr>
            <w:tcW w:w="452" w:type="pct"/>
            <w:tcBorders>
              <w:top w:val="nil"/>
              <w:left w:val="nil"/>
              <w:bottom w:val="single" w:sz="4" w:space="0" w:color="auto"/>
              <w:right w:val="single" w:sz="4" w:space="0" w:color="auto"/>
            </w:tcBorders>
            <w:shd w:val="clear" w:color="auto" w:fill="auto"/>
            <w:noWrap/>
            <w:vAlign w:val="center"/>
            <w:hideMark/>
          </w:tcPr>
          <w:p w14:paraId="63B6D8E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024B8EE0" w14:textId="77777777" w:rsidTr="00084F96">
        <w:trPr>
          <w:trHeight w:val="132"/>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0B5E2DB8"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Acordarea dreptului la indemnizație viageră sportivilor de performanță care s-au retras din activitatea sportivă și antrenorilor acestora</w:t>
            </w:r>
          </w:p>
        </w:tc>
        <w:tc>
          <w:tcPr>
            <w:tcW w:w="496" w:type="pct"/>
            <w:tcBorders>
              <w:top w:val="nil"/>
              <w:left w:val="nil"/>
              <w:bottom w:val="single" w:sz="4" w:space="0" w:color="auto"/>
              <w:right w:val="single" w:sz="4" w:space="0" w:color="auto"/>
            </w:tcBorders>
            <w:shd w:val="clear" w:color="auto" w:fill="auto"/>
            <w:vAlign w:val="center"/>
            <w:hideMark/>
          </w:tcPr>
          <w:p w14:paraId="370CA2E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10415,4</w:t>
            </w:r>
          </w:p>
        </w:tc>
        <w:tc>
          <w:tcPr>
            <w:tcW w:w="496" w:type="pct"/>
            <w:tcBorders>
              <w:top w:val="nil"/>
              <w:left w:val="nil"/>
              <w:bottom w:val="nil"/>
              <w:right w:val="nil"/>
            </w:tcBorders>
            <w:shd w:val="clear" w:color="auto" w:fill="auto"/>
            <w:noWrap/>
            <w:vAlign w:val="bottom"/>
            <w:hideMark/>
          </w:tcPr>
          <w:p w14:paraId="7AD2D84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10415,4</w:t>
            </w:r>
          </w:p>
        </w:tc>
        <w:tc>
          <w:tcPr>
            <w:tcW w:w="518" w:type="pct"/>
            <w:tcBorders>
              <w:top w:val="nil"/>
              <w:left w:val="single" w:sz="4" w:space="0" w:color="auto"/>
              <w:bottom w:val="single" w:sz="4" w:space="0" w:color="auto"/>
              <w:right w:val="single" w:sz="4" w:space="0" w:color="auto"/>
            </w:tcBorders>
            <w:shd w:val="clear" w:color="auto" w:fill="auto"/>
            <w:noWrap/>
            <w:vAlign w:val="center"/>
            <w:hideMark/>
          </w:tcPr>
          <w:p w14:paraId="05BF090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10411,9</w:t>
            </w:r>
          </w:p>
        </w:tc>
        <w:tc>
          <w:tcPr>
            <w:tcW w:w="518" w:type="pct"/>
            <w:tcBorders>
              <w:top w:val="nil"/>
              <w:left w:val="nil"/>
              <w:bottom w:val="single" w:sz="4" w:space="0" w:color="auto"/>
              <w:right w:val="single" w:sz="4" w:space="0" w:color="auto"/>
            </w:tcBorders>
            <w:shd w:val="clear" w:color="auto" w:fill="auto"/>
            <w:noWrap/>
            <w:vAlign w:val="center"/>
            <w:hideMark/>
          </w:tcPr>
          <w:p w14:paraId="0CC9720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10452,3</w:t>
            </w:r>
          </w:p>
        </w:tc>
        <w:tc>
          <w:tcPr>
            <w:tcW w:w="452" w:type="pct"/>
            <w:tcBorders>
              <w:top w:val="nil"/>
              <w:left w:val="nil"/>
              <w:bottom w:val="single" w:sz="4" w:space="0" w:color="auto"/>
              <w:right w:val="single" w:sz="4" w:space="0" w:color="auto"/>
            </w:tcBorders>
            <w:shd w:val="clear" w:color="auto" w:fill="auto"/>
            <w:noWrap/>
            <w:vAlign w:val="center"/>
            <w:hideMark/>
          </w:tcPr>
          <w:p w14:paraId="2727A03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3,5</w:t>
            </w:r>
          </w:p>
        </w:tc>
        <w:tc>
          <w:tcPr>
            <w:tcW w:w="452" w:type="pct"/>
            <w:tcBorders>
              <w:top w:val="nil"/>
              <w:left w:val="nil"/>
              <w:bottom w:val="single" w:sz="4" w:space="0" w:color="auto"/>
              <w:right w:val="single" w:sz="4" w:space="0" w:color="auto"/>
            </w:tcBorders>
            <w:shd w:val="clear" w:color="auto" w:fill="auto"/>
            <w:noWrap/>
            <w:vAlign w:val="center"/>
            <w:hideMark/>
          </w:tcPr>
          <w:p w14:paraId="363AA15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4ABD1FDF"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27B4D0D0" w14:textId="7C46468E" w:rsidR="00084F96" w:rsidRPr="00DD5F1D" w:rsidRDefault="00084F96" w:rsidP="007D5E94">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Susţinere</w:t>
            </w:r>
            <w:r w:rsidR="007D5E94" w:rsidRPr="00DD5F1D">
              <w:rPr>
                <w:rFonts w:ascii="Times New Roman" w:eastAsia="Times New Roman" w:hAnsi="Times New Roman" w:cs="Times New Roman"/>
                <w:sz w:val="20"/>
                <w:szCs w:val="20"/>
                <w:lang w:val="ro-MD"/>
              </w:rPr>
              <w:t>a</w:t>
            </w:r>
            <w:r w:rsidRPr="00DD5F1D">
              <w:rPr>
                <w:rFonts w:ascii="Times New Roman" w:eastAsia="Times New Roman" w:hAnsi="Times New Roman" w:cs="Times New Roman"/>
                <w:sz w:val="20"/>
                <w:szCs w:val="20"/>
                <w:lang w:val="ro-MD"/>
              </w:rPr>
              <w:t xml:space="preserve"> financiar</w:t>
            </w:r>
            <w:r w:rsidR="007D5E94" w:rsidRPr="00DD5F1D">
              <w:rPr>
                <w:rFonts w:ascii="Times New Roman" w:eastAsia="Times New Roman" w:hAnsi="Times New Roman" w:cs="Times New Roman"/>
                <w:sz w:val="20"/>
                <w:szCs w:val="20"/>
                <w:lang w:val="ro-MD"/>
              </w:rPr>
              <w:t>ă</w:t>
            </w:r>
            <w:r w:rsidRPr="00DD5F1D">
              <w:rPr>
                <w:rFonts w:ascii="Times New Roman" w:eastAsia="Times New Roman" w:hAnsi="Times New Roman" w:cs="Times New Roman"/>
                <w:sz w:val="20"/>
                <w:szCs w:val="20"/>
                <w:lang w:val="ro-MD"/>
              </w:rPr>
              <w:t xml:space="preserve"> în caz de deces a pensionarilor din rândul militarilor și a persoanelor din corpul de comandă și din trupele organelor afacerilor interne</w:t>
            </w:r>
          </w:p>
        </w:tc>
        <w:tc>
          <w:tcPr>
            <w:tcW w:w="496" w:type="pct"/>
            <w:tcBorders>
              <w:top w:val="nil"/>
              <w:left w:val="nil"/>
              <w:bottom w:val="single" w:sz="4" w:space="0" w:color="auto"/>
              <w:right w:val="single" w:sz="4" w:space="0" w:color="auto"/>
            </w:tcBorders>
            <w:shd w:val="clear" w:color="auto" w:fill="auto"/>
            <w:vAlign w:val="center"/>
            <w:hideMark/>
          </w:tcPr>
          <w:p w14:paraId="5EBB803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3241,7</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5A31FDB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3213,4</w:t>
            </w:r>
          </w:p>
        </w:tc>
        <w:tc>
          <w:tcPr>
            <w:tcW w:w="518" w:type="pct"/>
            <w:tcBorders>
              <w:top w:val="nil"/>
              <w:left w:val="nil"/>
              <w:bottom w:val="single" w:sz="4" w:space="0" w:color="auto"/>
              <w:right w:val="single" w:sz="4" w:space="0" w:color="auto"/>
            </w:tcBorders>
            <w:shd w:val="clear" w:color="auto" w:fill="auto"/>
            <w:noWrap/>
            <w:vAlign w:val="center"/>
            <w:hideMark/>
          </w:tcPr>
          <w:p w14:paraId="4ADE4EF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3208,6</w:t>
            </w:r>
          </w:p>
        </w:tc>
        <w:tc>
          <w:tcPr>
            <w:tcW w:w="518" w:type="pct"/>
            <w:tcBorders>
              <w:top w:val="nil"/>
              <w:left w:val="nil"/>
              <w:bottom w:val="single" w:sz="4" w:space="0" w:color="auto"/>
              <w:right w:val="single" w:sz="4" w:space="0" w:color="auto"/>
            </w:tcBorders>
            <w:shd w:val="clear" w:color="auto" w:fill="auto"/>
            <w:noWrap/>
            <w:vAlign w:val="center"/>
            <w:hideMark/>
          </w:tcPr>
          <w:p w14:paraId="4D88F1A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3255,6</w:t>
            </w:r>
          </w:p>
        </w:tc>
        <w:tc>
          <w:tcPr>
            <w:tcW w:w="452" w:type="pct"/>
            <w:tcBorders>
              <w:top w:val="nil"/>
              <w:left w:val="nil"/>
              <w:bottom w:val="single" w:sz="4" w:space="0" w:color="auto"/>
              <w:right w:val="single" w:sz="4" w:space="0" w:color="auto"/>
            </w:tcBorders>
            <w:shd w:val="clear" w:color="auto" w:fill="auto"/>
            <w:noWrap/>
            <w:vAlign w:val="center"/>
            <w:hideMark/>
          </w:tcPr>
          <w:p w14:paraId="19ABD19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24,6</w:t>
            </w:r>
          </w:p>
        </w:tc>
        <w:tc>
          <w:tcPr>
            <w:tcW w:w="452" w:type="pct"/>
            <w:tcBorders>
              <w:top w:val="nil"/>
              <w:left w:val="nil"/>
              <w:bottom w:val="single" w:sz="4" w:space="0" w:color="auto"/>
              <w:right w:val="single" w:sz="4" w:space="0" w:color="auto"/>
            </w:tcBorders>
            <w:shd w:val="clear" w:color="auto" w:fill="auto"/>
            <w:noWrap/>
            <w:vAlign w:val="center"/>
            <w:hideMark/>
          </w:tcPr>
          <w:p w14:paraId="6F95391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6F1DC85C" w14:textId="77777777" w:rsidTr="00084F96">
        <w:trPr>
          <w:trHeight w:val="265"/>
        </w:trPr>
        <w:tc>
          <w:tcPr>
            <w:tcW w:w="2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C7E1C" w14:textId="16B466F3" w:rsidR="00084F96" w:rsidRPr="00DD5F1D" w:rsidRDefault="00084F96" w:rsidP="007D5E94">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indemniza</w:t>
            </w:r>
            <w:r w:rsidR="007D5E94" w:rsidRPr="00DD5F1D">
              <w:rPr>
                <w:rFonts w:ascii="Times New Roman" w:eastAsia="Times New Roman" w:hAnsi="Times New Roman" w:cs="Times New Roman"/>
                <w:sz w:val="20"/>
                <w:szCs w:val="20"/>
                <w:lang w:val="ro-MD"/>
              </w:rPr>
              <w:t>ț</w:t>
            </w:r>
            <w:r w:rsidRPr="00DD5F1D">
              <w:rPr>
                <w:rFonts w:ascii="Times New Roman" w:eastAsia="Times New Roman" w:hAnsi="Times New Roman" w:cs="Times New Roman"/>
                <w:sz w:val="20"/>
                <w:szCs w:val="20"/>
                <w:lang w:val="ro-MD"/>
              </w:rPr>
              <w:t>ii urma</w:t>
            </w:r>
            <w:r w:rsidR="007D5E94" w:rsidRPr="00DD5F1D">
              <w:rPr>
                <w:rFonts w:ascii="Times New Roman" w:eastAsia="Times New Roman" w:hAnsi="Times New Roman" w:cs="Times New Roman"/>
                <w:sz w:val="20"/>
                <w:szCs w:val="20"/>
                <w:lang w:val="ro-MD"/>
              </w:rPr>
              <w:t>ș</w:t>
            </w:r>
            <w:r w:rsidRPr="00DD5F1D">
              <w:rPr>
                <w:rFonts w:ascii="Times New Roman" w:eastAsia="Times New Roman" w:hAnsi="Times New Roman" w:cs="Times New Roman"/>
                <w:sz w:val="20"/>
                <w:szCs w:val="20"/>
                <w:lang w:val="ro-MD"/>
              </w:rPr>
              <w:t xml:space="preserve">ilor personalului medical decedat </w:t>
            </w:r>
            <w:r w:rsidR="007D5E94" w:rsidRPr="00DD5F1D">
              <w:rPr>
                <w:rFonts w:ascii="Times New Roman" w:eastAsia="Times New Roman" w:hAnsi="Times New Roman" w:cs="Times New Roman"/>
                <w:sz w:val="20"/>
                <w:szCs w:val="20"/>
                <w:lang w:val="ro-MD"/>
              </w:rPr>
              <w:t>î</w:t>
            </w:r>
            <w:r w:rsidRPr="00DD5F1D">
              <w:rPr>
                <w:rFonts w:ascii="Times New Roman" w:eastAsia="Times New Roman" w:hAnsi="Times New Roman" w:cs="Times New Roman"/>
                <w:sz w:val="20"/>
                <w:szCs w:val="20"/>
                <w:lang w:val="ro-MD"/>
              </w:rPr>
              <w:t>n lupta cu COVID-19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ED8A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8756,0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B634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8750,5</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787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8891,2</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A8FB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8895,4</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D7F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5D87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178,0</w:t>
            </w:r>
          </w:p>
        </w:tc>
      </w:tr>
      <w:tr w:rsidR="000D40B3" w:rsidRPr="00DD5F1D" w14:paraId="2FB5669A" w14:textId="77777777" w:rsidTr="00084F96">
        <w:trPr>
          <w:trHeight w:val="265"/>
        </w:trPr>
        <w:tc>
          <w:tcPr>
            <w:tcW w:w="2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C52AD"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Protecţia socială a angajaţilor cu copii în cazul suspendării procesului educaţional</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5C1CAE5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5359CE6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 </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14:paraId="374FE3C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14:paraId="0EE19F5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00AA648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23DEA6E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15E72158" w14:textId="77777777" w:rsidTr="00084F96">
        <w:trPr>
          <w:trHeight w:val="22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5D2DE4E4"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Protecţia socială a angajaţilor în caz de şomaj tehnic</w:t>
            </w:r>
          </w:p>
        </w:tc>
        <w:tc>
          <w:tcPr>
            <w:tcW w:w="496" w:type="pct"/>
            <w:tcBorders>
              <w:top w:val="nil"/>
              <w:left w:val="nil"/>
              <w:bottom w:val="single" w:sz="4" w:space="0" w:color="auto"/>
              <w:right w:val="single" w:sz="4" w:space="0" w:color="auto"/>
            </w:tcBorders>
            <w:shd w:val="clear" w:color="auto" w:fill="auto"/>
            <w:vAlign w:val="center"/>
            <w:hideMark/>
          </w:tcPr>
          <w:p w14:paraId="44B2F73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1987,1</w:t>
            </w:r>
          </w:p>
        </w:tc>
        <w:tc>
          <w:tcPr>
            <w:tcW w:w="496" w:type="pct"/>
            <w:tcBorders>
              <w:top w:val="nil"/>
              <w:left w:val="nil"/>
              <w:bottom w:val="single" w:sz="4" w:space="0" w:color="auto"/>
              <w:right w:val="single" w:sz="4" w:space="0" w:color="auto"/>
            </w:tcBorders>
            <w:shd w:val="clear" w:color="auto" w:fill="auto"/>
            <w:noWrap/>
            <w:vAlign w:val="center"/>
            <w:hideMark/>
          </w:tcPr>
          <w:p w14:paraId="20C2452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1734,6</w:t>
            </w:r>
          </w:p>
        </w:tc>
        <w:tc>
          <w:tcPr>
            <w:tcW w:w="518" w:type="pct"/>
            <w:tcBorders>
              <w:top w:val="nil"/>
              <w:left w:val="nil"/>
              <w:bottom w:val="single" w:sz="4" w:space="0" w:color="auto"/>
              <w:right w:val="single" w:sz="4" w:space="0" w:color="auto"/>
            </w:tcBorders>
            <w:shd w:val="clear" w:color="auto" w:fill="auto"/>
            <w:noWrap/>
            <w:vAlign w:val="center"/>
            <w:hideMark/>
          </w:tcPr>
          <w:p w14:paraId="57E2E88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1734,0</w:t>
            </w:r>
          </w:p>
        </w:tc>
        <w:tc>
          <w:tcPr>
            <w:tcW w:w="518" w:type="pct"/>
            <w:tcBorders>
              <w:top w:val="nil"/>
              <w:left w:val="nil"/>
              <w:bottom w:val="single" w:sz="4" w:space="0" w:color="auto"/>
              <w:right w:val="single" w:sz="4" w:space="0" w:color="auto"/>
            </w:tcBorders>
            <w:shd w:val="clear" w:color="auto" w:fill="auto"/>
            <w:noWrap/>
            <w:vAlign w:val="center"/>
            <w:hideMark/>
          </w:tcPr>
          <w:p w14:paraId="36FEEE8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1714,5</w:t>
            </w:r>
          </w:p>
        </w:tc>
        <w:tc>
          <w:tcPr>
            <w:tcW w:w="452" w:type="pct"/>
            <w:tcBorders>
              <w:top w:val="nil"/>
              <w:left w:val="nil"/>
              <w:bottom w:val="single" w:sz="4" w:space="0" w:color="auto"/>
              <w:right w:val="single" w:sz="4" w:space="0" w:color="auto"/>
            </w:tcBorders>
            <w:shd w:val="clear" w:color="auto" w:fill="auto"/>
            <w:noWrap/>
            <w:vAlign w:val="center"/>
            <w:hideMark/>
          </w:tcPr>
          <w:p w14:paraId="6D10FA4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0,6</w:t>
            </w:r>
          </w:p>
        </w:tc>
        <w:tc>
          <w:tcPr>
            <w:tcW w:w="452" w:type="pct"/>
            <w:tcBorders>
              <w:top w:val="nil"/>
              <w:left w:val="nil"/>
              <w:bottom w:val="single" w:sz="4" w:space="0" w:color="auto"/>
              <w:right w:val="single" w:sz="4" w:space="0" w:color="auto"/>
            </w:tcBorders>
            <w:shd w:val="clear" w:color="auto" w:fill="auto"/>
            <w:noWrap/>
            <w:vAlign w:val="center"/>
            <w:hideMark/>
          </w:tcPr>
          <w:p w14:paraId="3F5E0B5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3ABFA18D" w14:textId="77777777" w:rsidTr="00084F96">
        <w:trPr>
          <w:trHeight w:val="105"/>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5EF6DAAC" w14:textId="77777777" w:rsidR="00084F96" w:rsidRPr="00DD5F1D" w:rsidRDefault="00084F96" w:rsidP="00084F96">
            <w:pPr>
              <w:spacing w:after="0" w:line="240" w:lineRule="auto"/>
              <w:jc w:val="center"/>
              <w:rPr>
                <w:rFonts w:ascii="Times New Roman" w:eastAsia="Times New Roman" w:hAnsi="Times New Roman" w:cs="Times New Roman"/>
                <w:b/>
                <w:bCs/>
                <w:i/>
                <w:iCs/>
                <w:sz w:val="20"/>
                <w:szCs w:val="20"/>
                <w:lang w:val="ro-MD"/>
              </w:rPr>
            </w:pPr>
            <w:r w:rsidRPr="00DD5F1D">
              <w:rPr>
                <w:rFonts w:ascii="Times New Roman" w:eastAsia="Times New Roman" w:hAnsi="Times New Roman" w:cs="Times New Roman"/>
                <w:b/>
                <w:bCs/>
                <w:i/>
                <w:iCs/>
                <w:sz w:val="20"/>
                <w:szCs w:val="20"/>
                <w:lang w:val="ro-MD"/>
              </w:rPr>
              <w:t xml:space="preserve">Total COMPENSAŢII </w:t>
            </w:r>
          </w:p>
        </w:tc>
        <w:tc>
          <w:tcPr>
            <w:tcW w:w="496" w:type="pct"/>
            <w:tcBorders>
              <w:top w:val="nil"/>
              <w:left w:val="nil"/>
              <w:bottom w:val="single" w:sz="4" w:space="0" w:color="auto"/>
              <w:right w:val="single" w:sz="4" w:space="0" w:color="auto"/>
            </w:tcBorders>
            <w:shd w:val="clear" w:color="auto" w:fill="auto"/>
            <w:noWrap/>
            <w:vAlign w:val="center"/>
            <w:hideMark/>
          </w:tcPr>
          <w:p w14:paraId="3F2FF10B"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293943,5</w:t>
            </w:r>
          </w:p>
        </w:tc>
        <w:tc>
          <w:tcPr>
            <w:tcW w:w="496" w:type="pct"/>
            <w:tcBorders>
              <w:top w:val="nil"/>
              <w:left w:val="nil"/>
              <w:bottom w:val="single" w:sz="4" w:space="0" w:color="auto"/>
              <w:right w:val="single" w:sz="4" w:space="0" w:color="auto"/>
            </w:tcBorders>
            <w:shd w:val="clear" w:color="auto" w:fill="auto"/>
            <w:noWrap/>
            <w:vAlign w:val="center"/>
            <w:hideMark/>
          </w:tcPr>
          <w:p w14:paraId="2D3F16CD"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291517,0</w:t>
            </w:r>
          </w:p>
        </w:tc>
        <w:tc>
          <w:tcPr>
            <w:tcW w:w="518" w:type="pct"/>
            <w:tcBorders>
              <w:top w:val="nil"/>
              <w:left w:val="nil"/>
              <w:bottom w:val="single" w:sz="4" w:space="0" w:color="auto"/>
              <w:right w:val="single" w:sz="4" w:space="0" w:color="auto"/>
            </w:tcBorders>
            <w:shd w:val="clear" w:color="auto" w:fill="auto"/>
            <w:noWrap/>
            <w:vAlign w:val="center"/>
            <w:hideMark/>
          </w:tcPr>
          <w:p w14:paraId="685A8E36"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290835,1</w:t>
            </w:r>
          </w:p>
        </w:tc>
        <w:tc>
          <w:tcPr>
            <w:tcW w:w="518" w:type="pct"/>
            <w:tcBorders>
              <w:top w:val="nil"/>
              <w:left w:val="nil"/>
              <w:bottom w:val="single" w:sz="4" w:space="0" w:color="auto"/>
              <w:right w:val="single" w:sz="4" w:space="0" w:color="auto"/>
            </w:tcBorders>
            <w:shd w:val="clear" w:color="auto" w:fill="auto"/>
            <w:noWrap/>
            <w:vAlign w:val="center"/>
            <w:hideMark/>
          </w:tcPr>
          <w:p w14:paraId="750EA25A"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267194,6</w:t>
            </w:r>
          </w:p>
        </w:tc>
        <w:tc>
          <w:tcPr>
            <w:tcW w:w="452" w:type="pct"/>
            <w:tcBorders>
              <w:top w:val="nil"/>
              <w:left w:val="nil"/>
              <w:bottom w:val="single" w:sz="4" w:space="0" w:color="auto"/>
              <w:right w:val="single" w:sz="4" w:space="0" w:color="auto"/>
            </w:tcBorders>
            <w:shd w:val="clear" w:color="auto" w:fill="auto"/>
            <w:noWrap/>
            <w:vAlign w:val="center"/>
            <w:hideMark/>
          </w:tcPr>
          <w:p w14:paraId="4D7756BF"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684,2</w:t>
            </w:r>
          </w:p>
        </w:tc>
        <w:tc>
          <w:tcPr>
            <w:tcW w:w="452" w:type="pct"/>
            <w:tcBorders>
              <w:top w:val="nil"/>
              <w:left w:val="nil"/>
              <w:bottom w:val="single" w:sz="4" w:space="0" w:color="auto"/>
              <w:right w:val="single" w:sz="4" w:space="0" w:color="auto"/>
            </w:tcBorders>
            <w:shd w:val="clear" w:color="auto" w:fill="auto"/>
            <w:noWrap/>
            <w:vAlign w:val="center"/>
            <w:hideMark/>
          </w:tcPr>
          <w:p w14:paraId="7647C78F"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0,0</w:t>
            </w:r>
          </w:p>
        </w:tc>
      </w:tr>
      <w:tr w:rsidR="000D40B3" w:rsidRPr="00DD5F1D" w14:paraId="305DC588" w14:textId="77777777" w:rsidTr="00084F96">
        <w:trPr>
          <w:trHeight w:val="520"/>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64A56793"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Susținerea financiară a persoanelor în caz de dizabilitate sau deces survenită în urma accidentelor de muncă prin capitalizarea plăţilor periodice</w:t>
            </w:r>
          </w:p>
        </w:tc>
        <w:tc>
          <w:tcPr>
            <w:tcW w:w="496" w:type="pct"/>
            <w:tcBorders>
              <w:top w:val="nil"/>
              <w:left w:val="nil"/>
              <w:bottom w:val="single" w:sz="4" w:space="0" w:color="auto"/>
              <w:right w:val="single" w:sz="4" w:space="0" w:color="auto"/>
            </w:tcBorders>
            <w:shd w:val="clear" w:color="auto" w:fill="auto"/>
            <w:vAlign w:val="center"/>
            <w:hideMark/>
          </w:tcPr>
          <w:p w14:paraId="38836BF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1292,5</w:t>
            </w:r>
          </w:p>
        </w:tc>
        <w:tc>
          <w:tcPr>
            <w:tcW w:w="496" w:type="pct"/>
            <w:tcBorders>
              <w:top w:val="nil"/>
              <w:left w:val="nil"/>
              <w:bottom w:val="single" w:sz="4" w:space="0" w:color="auto"/>
              <w:right w:val="single" w:sz="4" w:space="0" w:color="auto"/>
            </w:tcBorders>
            <w:shd w:val="clear" w:color="auto" w:fill="auto"/>
            <w:noWrap/>
            <w:vAlign w:val="center"/>
            <w:hideMark/>
          </w:tcPr>
          <w:p w14:paraId="24D0A17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1275,3</w:t>
            </w:r>
          </w:p>
        </w:tc>
        <w:tc>
          <w:tcPr>
            <w:tcW w:w="518" w:type="pct"/>
            <w:tcBorders>
              <w:top w:val="nil"/>
              <w:left w:val="nil"/>
              <w:bottom w:val="single" w:sz="4" w:space="0" w:color="auto"/>
              <w:right w:val="single" w:sz="4" w:space="0" w:color="auto"/>
            </w:tcBorders>
            <w:shd w:val="clear" w:color="auto" w:fill="auto"/>
            <w:noWrap/>
            <w:vAlign w:val="center"/>
            <w:hideMark/>
          </w:tcPr>
          <w:p w14:paraId="72D0274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1270,0</w:t>
            </w:r>
          </w:p>
        </w:tc>
        <w:tc>
          <w:tcPr>
            <w:tcW w:w="518" w:type="pct"/>
            <w:tcBorders>
              <w:top w:val="nil"/>
              <w:left w:val="nil"/>
              <w:bottom w:val="single" w:sz="4" w:space="0" w:color="auto"/>
              <w:right w:val="single" w:sz="4" w:space="0" w:color="auto"/>
            </w:tcBorders>
            <w:shd w:val="clear" w:color="auto" w:fill="auto"/>
            <w:noWrap/>
            <w:vAlign w:val="center"/>
            <w:hideMark/>
          </w:tcPr>
          <w:p w14:paraId="3680AE9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1274,9</w:t>
            </w:r>
          </w:p>
        </w:tc>
        <w:tc>
          <w:tcPr>
            <w:tcW w:w="452" w:type="pct"/>
            <w:tcBorders>
              <w:top w:val="nil"/>
              <w:left w:val="nil"/>
              <w:bottom w:val="single" w:sz="4" w:space="0" w:color="auto"/>
              <w:right w:val="single" w:sz="4" w:space="0" w:color="auto"/>
            </w:tcBorders>
            <w:shd w:val="clear" w:color="auto" w:fill="auto"/>
            <w:noWrap/>
            <w:vAlign w:val="center"/>
            <w:hideMark/>
          </w:tcPr>
          <w:p w14:paraId="01B65C7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5,3</w:t>
            </w:r>
          </w:p>
        </w:tc>
        <w:tc>
          <w:tcPr>
            <w:tcW w:w="452" w:type="pct"/>
            <w:tcBorders>
              <w:top w:val="nil"/>
              <w:left w:val="nil"/>
              <w:bottom w:val="single" w:sz="4" w:space="0" w:color="auto"/>
              <w:right w:val="single" w:sz="4" w:space="0" w:color="auto"/>
            </w:tcBorders>
            <w:shd w:val="clear" w:color="auto" w:fill="auto"/>
            <w:noWrap/>
            <w:vAlign w:val="center"/>
            <w:hideMark/>
          </w:tcPr>
          <w:p w14:paraId="4C067FB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769AB85F" w14:textId="77777777" w:rsidTr="00084F96">
        <w:trPr>
          <w:trHeight w:val="132"/>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186FB22C"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Susţinerea financiară a participanţilor la lichidarea consecinţelor avariei de la Cernobîl şi familiilor lor</w:t>
            </w:r>
          </w:p>
        </w:tc>
        <w:tc>
          <w:tcPr>
            <w:tcW w:w="496" w:type="pct"/>
            <w:tcBorders>
              <w:top w:val="nil"/>
              <w:left w:val="nil"/>
              <w:bottom w:val="single" w:sz="4" w:space="0" w:color="auto"/>
              <w:right w:val="single" w:sz="4" w:space="0" w:color="auto"/>
            </w:tcBorders>
            <w:shd w:val="clear" w:color="auto" w:fill="auto"/>
            <w:noWrap/>
            <w:vAlign w:val="center"/>
            <w:hideMark/>
          </w:tcPr>
          <w:p w14:paraId="10130B9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85547,8</w:t>
            </w:r>
          </w:p>
        </w:tc>
        <w:tc>
          <w:tcPr>
            <w:tcW w:w="496" w:type="pct"/>
            <w:tcBorders>
              <w:top w:val="nil"/>
              <w:left w:val="nil"/>
              <w:bottom w:val="single" w:sz="4" w:space="0" w:color="auto"/>
              <w:right w:val="single" w:sz="4" w:space="0" w:color="auto"/>
            </w:tcBorders>
            <w:shd w:val="clear" w:color="auto" w:fill="auto"/>
            <w:noWrap/>
            <w:vAlign w:val="center"/>
            <w:hideMark/>
          </w:tcPr>
          <w:p w14:paraId="45AF7B6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83138,5</w:t>
            </w:r>
          </w:p>
        </w:tc>
        <w:tc>
          <w:tcPr>
            <w:tcW w:w="518" w:type="pct"/>
            <w:tcBorders>
              <w:top w:val="nil"/>
              <w:left w:val="nil"/>
              <w:bottom w:val="single" w:sz="4" w:space="0" w:color="auto"/>
              <w:right w:val="single" w:sz="4" w:space="0" w:color="auto"/>
            </w:tcBorders>
            <w:shd w:val="clear" w:color="auto" w:fill="auto"/>
            <w:noWrap/>
            <w:vAlign w:val="center"/>
            <w:hideMark/>
          </w:tcPr>
          <w:p w14:paraId="781D6A4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82461,9</w:t>
            </w:r>
          </w:p>
        </w:tc>
        <w:tc>
          <w:tcPr>
            <w:tcW w:w="518" w:type="pct"/>
            <w:tcBorders>
              <w:top w:val="nil"/>
              <w:left w:val="nil"/>
              <w:bottom w:val="single" w:sz="4" w:space="0" w:color="auto"/>
              <w:right w:val="single" w:sz="4" w:space="0" w:color="auto"/>
            </w:tcBorders>
            <w:shd w:val="clear" w:color="auto" w:fill="auto"/>
            <w:noWrap/>
            <w:vAlign w:val="center"/>
            <w:hideMark/>
          </w:tcPr>
          <w:p w14:paraId="1B82A2B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82488,5</w:t>
            </w:r>
          </w:p>
        </w:tc>
        <w:tc>
          <w:tcPr>
            <w:tcW w:w="452" w:type="pct"/>
            <w:tcBorders>
              <w:top w:val="nil"/>
              <w:left w:val="nil"/>
              <w:bottom w:val="single" w:sz="4" w:space="0" w:color="auto"/>
              <w:right w:val="single" w:sz="4" w:space="0" w:color="auto"/>
            </w:tcBorders>
            <w:shd w:val="clear" w:color="auto" w:fill="auto"/>
            <w:noWrap/>
            <w:vAlign w:val="center"/>
            <w:hideMark/>
          </w:tcPr>
          <w:p w14:paraId="7DA95BF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678,9</w:t>
            </w:r>
          </w:p>
        </w:tc>
        <w:tc>
          <w:tcPr>
            <w:tcW w:w="452" w:type="pct"/>
            <w:tcBorders>
              <w:top w:val="nil"/>
              <w:left w:val="nil"/>
              <w:bottom w:val="single" w:sz="4" w:space="0" w:color="auto"/>
              <w:right w:val="single" w:sz="4" w:space="0" w:color="auto"/>
            </w:tcBorders>
            <w:shd w:val="clear" w:color="auto" w:fill="auto"/>
            <w:noWrap/>
            <w:vAlign w:val="center"/>
            <w:hideMark/>
          </w:tcPr>
          <w:p w14:paraId="6539D48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49EB6F43"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28A00E59"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Acordarea compensației la energie sub formă de plată monetară</w:t>
            </w:r>
          </w:p>
        </w:tc>
        <w:tc>
          <w:tcPr>
            <w:tcW w:w="496" w:type="pct"/>
            <w:tcBorders>
              <w:top w:val="nil"/>
              <w:left w:val="nil"/>
              <w:bottom w:val="single" w:sz="4" w:space="0" w:color="auto"/>
              <w:right w:val="single" w:sz="4" w:space="0" w:color="auto"/>
            </w:tcBorders>
            <w:shd w:val="clear" w:color="auto" w:fill="auto"/>
            <w:noWrap/>
            <w:vAlign w:val="center"/>
            <w:hideMark/>
          </w:tcPr>
          <w:p w14:paraId="1F532D4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207103,2</w:t>
            </w:r>
          </w:p>
        </w:tc>
        <w:tc>
          <w:tcPr>
            <w:tcW w:w="496" w:type="pct"/>
            <w:tcBorders>
              <w:top w:val="nil"/>
              <w:left w:val="nil"/>
              <w:bottom w:val="single" w:sz="4" w:space="0" w:color="auto"/>
              <w:right w:val="single" w:sz="4" w:space="0" w:color="auto"/>
            </w:tcBorders>
            <w:shd w:val="clear" w:color="auto" w:fill="auto"/>
            <w:noWrap/>
            <w:vAlign w:val="center"/>
            <w:hideMark/>
          </w:tcPr>
          <w:p w14:paraId="54FD829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207103,2</w:t>
            </w:r>
          </w:p>
        </w:tc>
        <w:tc>
          <w:tcPr>
            <w:tcW w:w="518" w:type="pct"/>
            <w:tcBorders>
              <w:top w:val="nil"/>
              <w:left w:val="nil"/>
              <w:bottom w:val="single" w:sz="4" w:space="0" w:color="auto"/>
              <w:right w:val="single" w:sz="4" w:space="0" w:color="auto"/>
            </w:tcBorders>
            <w:shd w:val="clear" w:color="auto" w:fill="auto"/>
            <w:noWrap/>
            <w:vAlign w:val="center"/>
            <w:hideMark/>
          </w:tcPr>
          <w:p w14:paraId="1C87CDB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207103,2</w:t>
            </w:r>
          </w:p>
        </w:tc>
        <w:tc>
          <w:tcPr>
            <w:tcW w:w="518" w:type="pct"/>
            <w:tcBorders>
              <w:top w:val="nil"/>
              <w:left w:val="nil"/>
              <w:bottom w:val="single" w:sz="4" w:space="0" w:color="auto"/>
              <w:right w:val="single" w:sz="4" w:space="0" w:color="auto"/>
            </w:tcBorders>
            <w:shd w:val="clear" w:color="auto" w:fill="auto"/>
            <w:noWrap/>
            <w:vAlign w:val="center"/>
            <w:hideMark/>
          </w:tcPr>
          <w:p w14:paraId="20EBF72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183431,2</w:t>
            </w:r>
          </w:p>
        </w:tc>
        <w:tc>
          <w:tcPr>
            <w:tcW w:w="452" w:type="pct"/>
            <w:tcBorders>
              <w:top w:val="nil"/>
              <w:left w:val="nil"/>
              <w:bottom w:val="single" w:sz="4" w:space="0" w:color="auto"/>
              <w:right w:val="single" w:sz="4" w:space="0" w:color="auto"/>
            </w:tcBorders>
            <w:shd w:val="clear" w:color="auto" w:fill="auto"/>
            <w:noWrap/>
            <w:vAlign w:val="center"/>
            <w:hideMark/>
          </w:tcPr>
          <w:p w14:paraId="1774FE1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nil"/>
              <w:left w:val="nil"/>
              <w:bottom w:val="single" w:sz="4" w:space="0" w:color="auto"/>
              <w:right w:val="single" w:sz="4" w:space="0" w:color="auto"/>
            </w:tcBorders>
            <w:shd w:val="clear" w:color="auto" w:fill="auto"/>
            <w:noWrap/>
            <w:vAlign w:val="center"/>
            <w:hideMark/>
          </w:tcPr>
          <w:p w14:paraId="7E4576C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43AB027E" w14:textId="77777777" w:rsidTr="00084F96">
        <w:trPr>
          <w:trHeight w:val="114"/>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6818409E" w14:textId="77777777" w:rsidR="00084F96" w:rsidRPr="00DD5F1D" w:rsidRDefault="00084F96" w:rsidP="00084F96">
            <w:pPr>
              <w:spacing w:after="0" w:line="240" w:lineRule="auto"/>
              <w:jc w:val="center"/>
              <w:rPr>
                <w:rFonts w:ascii="Times New Roman" w:eastAsia="Times New Roman" w:hAnsi="Times New Roman" w:cs="Times New Roman"/>
                <w:b/>
                <w:bCs/>
                <w:i/>
                <w:iCs/>
                <w:sz w:val="20"/>
                <w:szCs w:val="20"/>
                <w:lang w:val="ro-MD"/>
              </w:rPr>
            </w:pPr>
            <w:r w:rsidRPr="00DD5F1D">
              <w:rPr>
                <w:rFonts w:ascii="Times New Roman" w:eastAsia="Times New Roman" w:hAnsi="Times New Roman" w:cs="Times New Roman"/>
                <w:b/>
                <w:bCs/>
                <w:i/>
                <w:iCs/>
                <w:sz w:val="20"/>
                <w:szCs w:val="20"/>
                <w:lang w:val="ro-MD"/>
              </w:rPr>
              <w:t>Total AJUTOARE BĂNEŞTI</w:t>
            </w:r>
          </w:p>
        </w:tc>
        <w:tc>
          <w:tcPr>
            <w:tcW w:w="496" w:type="pct"/>
            <w:tcBorders>
              <w:top w:val="nil"/>
              <w:left w:val="nil"/>
              <w:bottom w:val="single" w:sz="4" w:space="0" w:color="auto"/>
              <w:right w:val="single" w:sz="4" w:space="0" w:color="auto"/>
            </w:tcBorders>
            <w:shd w:val="clear" w:color="auto" w:fill="auto"/>
            <w:noWrap/>
            <w:vAlign w:val="center"/>
            <w:hideMark/>
          </w:tcPr>
          <w:p w14:paraId="0573E117"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1363722,2</w:t>
            </w:r>
          </w:p>
        </w:tc>
        <w:tc>
          <w:tcPr>
            <w:tcW w:w="496" w:type="pct"/>
            <w:tcBorders>
              <w:top w:val="nil"/>
              <w:left w:val="nil"/>
              <w:bottom w:val="single" w:sz="4" w:space="0" w:color="auto"/>
              <w:right w:val="single" w:sz="4" w:space="0" w:color="auto"/>
            </w:tcBorders>
            <w:shd w:val="clear" w:color="auto" w:fill="auto"/>
            <w:noWrap/>
            <w:vAlign w:val="center"/>
            <w:hideMark/>
          </w:tcPr>
          <w:p w14:paraId="498EF437"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1346447,0</w:t>
            </w:r>
          </w:p>
        </w:tc>
        <w:tc>
          <w:tcPr>
            <w:tcW w:w="518" w:type="pct"/>
            <w:tcBorders>
              <w:top w:val="nil"/>
              <w:left w:val="nil"/>
              <w:bottom w:val="single" w:sz="4" w:space="0" w:color="auto"/>
              <w:right w:val="single" w:sz="4" w:space="0" w:color="auto"/>
            </w:tcBorders>
            <w:shd w:val="clear" w:color="auto" w:fill="auto"/>
            <w:noWrap/>
            <w:vAlign w:val="center"/>
            <w:hideMark/>
          </w:tcPr>
          <w:p w14:paraId="0C3BB90D"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1340829,5</w:t>
            </w:r>
          </w:p>
        </w:tc>
        <w:tc>
          <w:tcPr>
            <w:tcW w:w="518" w:type="pct"/>
            <w:tcBorders>
              <w:top w:val="nil"/>
              <w:left w:val="nil"/>
              <w:bottom w:val="single" w:sz="4" w:space="0" w:color="auto"/>
              <w:right w:val="single" w:sz="4" w:space="0" w:color="auto"/>
            </w:tcBorders>
            <w:shd w:val="clear" w:color="auto" w:fill="auto"/>
            <w:noWrap/>
            <w:vAlign w:val="center"/>
            <w:hideMark/>
          </w:tcPr>
          <w:p w14:paraId="6A36DDBE"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1347139,5</w:t>
            </w:r>
          </w:p>
        </w:tc>
        <w:tc>
          <w:tcPr>
            <w:tcW w:w="452" w:type="pct"/>
            <w:tcBorders>
              <w:top w:val="nil"/>
              <w:left w:val="nil"/>
              <w:bottom w:val="single" w:sz="4" w:space="0" w:color="auto"/>
              <w:right w:val="single" w:sz="4" w:space="0" w:color="auto"/>
            </w:tcBorders>
            <w:shd w:val="clear" w:color="auto" w:fill="auto"/>
            <w:noWrap/>
            <w:vAlign w:val="center"/>
            <w:hideMark/>
          </w:tcPr>
          <w:p w14:paraId="55E5C0CD"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12089,8</w:t>
            </w:r>
          </w:p>
        </w:tc>
        <w:tc>
          <w:tcPr>
            <w:tcW w:w="452" w:type="pct"/>
            <w:tcBorders>
              <w:top w:val="nil"/>
              <w:left w:val="nil"/>
              <w:bottom w:val="single" w:sz="4" w:space="0" w:color="auto"/>
              <w:right w:val="single" w:sz="4" w:space="0" w:color="auto"/>
            </w:tcBorders>
            <w:shd w:val="clear" w:color="auto" w:fill="auto"/>
            <w:noWrap/>
            <w:vAlign w:val="center"/>
            <w:hideMark/>
          </w:tcPr>
          <w:p w14:paraId="6A225F32"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0,0</w:t>
            </w:r>
          </w:p>
        </w:tc>
      </w:tr>
      <w:tr w:rsidR="000D40B3" w:rsidRPr="00DD5F1D" w14:paraId="157607EB"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128B62E2"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Susţinere financiară în caz de deces a persoanelor neasigurate</w:t>
            </w:r>
          </w:p>
        </w:tc>
        <w:tc>
          <w:tcPr>
            <w:tcW w:w="496" w:type="pct"/>
            <w:tcBorders>
              <w:top w:val="nil"/>
              <w:left w:val="nil"/>
              <w:bottom w:val="single" w:sz="4" w:space="0" w:color="auto"/>
              <w:right w:val="single" w:sz="4" w:space="0" w:color="auto"/>
            </w:tcBorders>
            <w:shd w:val="clear" w:color="auto" w:fill="auto"/>
            <w:vAlign w:val="center"/>
            <w:hideMark/>
          </w:tcPr>
          <w:p w14:paraId="085D3A0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4378,9</w:t>
            </w:r>
          </w:p>
        </w:tc>
        <w:tc>
          <w:tcPr>
            <w:tcW w:w="496" w:type="pct"/>
            <w:tcBorders>
              <w:top w:val="nil"/>
              <w:left w:val="nil"/>
              <w:bottom w:val="single" w:sz="4" w:space="0" w:color="auto"/>
              <w:right w:val="single" w:sz="4" w:space="0" w:color="auto"/>
            </w:tcBorders>
            <w:shd w:val="clear" w:color="auto" w:fill="auto"/>
            <w:noWrap/>
            <w:vAlign w:val="center"/>
            <w:hideMark/>
          </w:tcPr>
          <w:p w14:paraId="7B88657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4378,9</w:t>
            </w:r>
          </w:p>
        </w:tc>
        <w:tc>
          <w:tcPr>
            <w:tcW w:w="518" w:type="pct"/>
            <w:tcBorders>
              <w:top w:val="nil"/>
              <w:left w:val="nil"/>
              <w:bottom w:val="single" w:sz="4" w:space="0" w:color="auto"/>
              <w:right w:val="single" w:sz="4" w:space="0" w:color="auto"/>
            </w:tcBorders>
            <w:shd w:val="clear" w:color="auto" w:fill="auto"/>
            <w:noWrap/>
            <w:vAlign w:val="center"/>
            <w:hideMark/>
          </w:tcPr>
          <w:p w14:paraId="3AA9DCF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4343,5</w:t>
            </w:r>
          </w:p>
        </w:tc>
        <w:tc>
          <w:tcPr>
            <w:tcW w:w="518" w:type="pct"/>
            <w:tcBorders>
              <w:top w:val="nil"/>
              <w:left w:val="nil"/>
              <w:bottom w:val="single" w:sz="4" w:space="0" w:color="auto"/>
              <w:right w:val="single" w:sz="4" w:space="0" w:color="auto"/>
            </w:tcBorders>
            <w:shd w:val="clear" w:color="auto" w:fill="auto"/>
            <w:noWrap/>
            <w:vAlign w:val="center"/>
            <w:hideMark/>
          </w:tcPr>
          <w:p w14:paraId="218F2CC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4349,0</w:t>
            </w:r>
          </w:p>
        </w:tc>
        <w:tc>
          <w:tcPr>
            <w:tcW w:w="452" w:type="pct"/>
            <w:tcBorders>
              <w:top w:val="nil"/>
              <w:left w:val="nil"/>
              <w:bottom w:val="single" w:sz="4" w:space="0" w:color="auto"/>
              <w:right w:val="single" w:sz="4" w:space="0" w:color="auto"/>
            </w:tcBorders>
            <w:shd w:val="clear" w:color="auto" w:fill="auto"/>
            <w:noWrap/>
            <w:vAlign w:val="center"/>
            <w:hideMark/>
          </w:tcPr>
          <w:p w14:paraId="0CB58C7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35,4</w:t>
            </w:r>
          </w:p>
        </w:tc>
        <w:tc>
          <w:tcPr>
            <w:tcW w:w="452" w:type="pct"/>
            <w:tcBorders>
              <w:top w:val="nil"/>
              <w:left w:val="nil"/>
              <w:bottom w:val="single" w:sz="4" w:space="0" w:color="auto"/>
              <w:right w:val="single" w:sz="4" w:space="0" w:color="auto"/>
            </w:tcBorders>
            <w:shd w:val="clear" w:color="auto" w:fill="auto"/>
            <w:noWrap/>
            <w:vAlign w:val="center"/>
            <w:hideMark/>
          </w:tcPr>
          <w:p w14:paraId="2BDB41B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33B6C154" w14:textId="77777777" w:rsidTr="00084F96">
        <w:trPr>
          <w:trHeight w:val="150"/>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6C1A7971"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Susținerea financiară a familiilor defavorizate prin acordarea ajutorului social</w:t>
            </w:r>
          </w:p>
        </w:tc>
        <w:tc>
          <w:tcPr>
            <w:tcW w:w="496" w:type="pct"/>
            <w:tcBorders>
              <w:top w:val="nil"/>
              <w:left w:val="nil"/>
              <w:bottom w:val="single" w:sz="4" w:space="0" w:color="auto"/>
              <w:right w:val="single" w:sz="4" w:space="0" w:color="auto"/>
            </w:tcBorders>
            <w:shd w:val="clear" w:color="auto" w:fill="auto"/>
            <w:vAlign w:val="center"/>
            <w:hideMark/>
          </w:tcPr>
          <w:p w14:paraId="4EB1D14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712406,7</w:t>
            </w:r>
          </w:p>
        </w:tc>
        <w:tc>
          <w:tcPr>
            <w:tcW w:w="496" w:type="pct"/>
            <w:tcBorders>
              <w:top w:val="nil"/>
              <w:left w:val="nil"/>
              <w:bottom w:val="single" w:sz="4" w:space="0" w:color="auto"/>
              <w:right w:val="single" w:sz="4" w:space="0" w:color="auto"/>
            </w:tcBorders>
            <w:shd w:val="clear" w:color="auto" w:fill="auto"/>
            <w:noWrap/>
            <w:vAlign w:val="center"/>
            <w:hideMark/>
          </w:tcPr>
          <w:p w14:paraId="16B7242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704935,1</w:t>
            </w:r>
          </w:p>
        </w:tc>
        <w:tc>
          <w:tcPr>
            <w:tcW w:w="518" w:type="pct"/>
            <w:tcBorders>
              <w:top w:val="nil"/>
              <w:left w:val="nil"/>
              <w:bottom w:val="single" w:sz="4" w:space="0" w:color="auto"/>
              <w:right w:val="single" w:sz="4" w:space="0" w:color="auto"/>
            </w:tcBorders>
            <w:shd w:val="clear" w:color="auto" w:fill="auto"/>
            <w:noWrap/>
            <w:vAlign w:val="center"/>
            <w:hideMark/>
          </w:tcPr>
          <w:p w14:paraId="0AF2DA5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701459,7</w:t>
            </w:r>
          </w:p>
        </w:tc>
        <w:tc>
          <w:tcPr>
            <w:tcW w:w="518" w:type="pct"/>
            <w:tcBorders>
              <w:top w:val="nil"/>
              <w:left w:val="nil"/>
              <w:bottom w:val="single" w:sz="4" w:space="0" w:color="auto"/>
              <w:right w:val="single" w:sz="4" w:space="0" w:color="auto"/>
            </w:tcBorders>
            <w:shd w:val="clear" w:color="auto" w:fill="auto"/>
            <w:noWrap/>
            <w:vAlign w:val="center"/>
            <w:hideMark/>
          </w:tcPr>
          <w:p w14:paraId="21AE095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701227,9</w:t>
            </w:r>
          </w:p>
        </w:tc>
        <w:tc>
          <w:tcPr>
            <w:tcW w:w="452" w:type="pct"/>
            <w:tcBorders>
              <w:top w:val="nil"/>
              <w:left w:val="nil"/>
              <w:bottom w:val="single" w:sz="4" w:space="0" w:color="auto"/>
              <w:right w:val="single" w:sz="4" w:space="0" w:color="auto"/>
            </w:tcBorders>
            <w:shd w:val="clear" w:color="auto" w:fill="auto"/>
            <w:noWrap/>
            <w:vAlign w:val="center"/>
            <w:hideMark/>
          </w:tcPr>
          <w:p w14:paraId="2CA996D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9237,2</w:t>
            </w:r>
          </w:p>
        </w:tc>
        <w:tc>
          <w:tcPr>
            <w:tcW w:w="452" w:type="pct"/>
            <w:tcBorders>
              <w:top w:val="nil"/>
              <w:left w:val="nil"/>
              <w:bottom w:val="single" w:sz="4" w:space="0" w:color="auto"/>
              <w:right w:val="single" w:sz="4" w:space="0" w:color="auto"/>
            </w:tcBorders>
            <w:shd w:val="clear" w:color="auto" w:fill="auto"/>
            <w:noWrap/>
            <w:vAlign w:val="center"/>
            <w:hideMark/>
          </w:tcPr>
          <w:p w14:paraId="010B909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1FCDDD1D"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05239082"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Susținerea financiară a familiilor defavorizate prin acordarea ajutorului pentru perioada rece a anului</w:t>
            </w:r>
          </w:p>
        </w:tc>
        <w:tc>
          <w:tcPr>
            <w:tcW w:w="496" w:type="pct"/>
            <w:tcBorders>
              <w:top w:val="nil"/>
              <w:left w:val="nil"/>
              <w:bottom w:val="single" w:sz="4" w:space="0" w:color="auto"/>
              <w:right w:val="single" w:sz="4" w:space="0" w:color="auto"/>
            </w:tcBorders>
            <w:shd w:val="clear" w:color="auto" w:fill="auto"/>
            <w:vAlign w:val="center"/>
            <w:hideMark/>
          </w:tcPr>
          <w:p w14:paraId="406B73C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646936,6</w:t>
            </w:r>
          </w:p>
        </w:tc>
        <w:tc>
          <w:tcPr>
            <w:tcW w:w="496" w:type="pct"/>
            <w:tcBorders>
              <w:top w:val="nil"/>
              <w:left w:val="nil"/>
              <w:bottom w:val="single" w:sz="4" w:space="0" w:color="auto"/>
              <w:right w:val="single" w:sz="4" w:space="0" w:color="auto"/>
            </w:tcBorders>
            <w:shd w:val="clear" w:color="auto" w:fill="auto"/>
            <w:noWrap/>
            <w:vAlign w:val="center"/>
            <w:hideMark/>
          </w:tcPr>
          <w:p w14:paraId="754653E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637133,0</w:t>
            </w:r>
          </w:p>
        </w:tc>
        <w:tc>
          <w:tcPr>
            <w:tcW w:w="518" w:type="pct"/>
            <w:tcBorders>
              <w:top w:val="nil"/>
              <w:left w:val="nil"/>
              <w:bottom w:val="single" w:sz="4" w:space="0" w:color="auto"/>
              <w:right w:val="single" w:sz="4" w:space="0" w:color="auto"/>
            </w:tcBorders>
            <w:shd w:val="clear" w:color="auto" w:fill="auto"/>
            <w:noWrap/>
            <w:vAlign w:val="center"/>
            <w:hideMark/>
          </w:tcPr>
          <w:p w14:paraId="260CBD2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635026,3</w:t>
            </w:r>
          </w:p>
        </w:tc>
        <w:tc>
          <w:tcPr>
            <w:tcW w:w="518" w:type="pct"/>
            <w:tcBorders>
              <w:top w:val="nil"/>
              <w:left w:val="nil"/>
              <w:bottom w:val="single" w:sz="4" w:space="0" w:color="auto"/>
              <w:right w:val="single" w:sz="4" w:space="0" w:color="auto"/>
            </w:tcBorders>
            <w:shd w:val="clear" w:color="auto" w:fill="auto"/>
            <w:noWrap/>
            <w:vAlign w:val="center"/>
            <w:hideMark/>
          </w:tcPr>
          <w:p w14:paraId="51C12F8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641562,6</w:t>
            </w:r>
          </w:p>
        </w:tc>
        <w:tc>
          <w:tcPr>
            <w:tcW w:w="452" w:type="pct"/>
            <w:tcBorders>
              <w:top w:val="nil"/>
              <w:left w:val="nil"/>
              <w:bottom w:val="single" w:sz="4" w:space="0" w:color="auto"/>
              <w:right w:val="single" w:sz="4" w:space="0" w:color="auto"/>
            </w:tcBorders>
            <w:shd w:val="clear" w:color="auto" w:fill="auto"/>
            <w:noWrap/>
            <w:vAlign w:val="center"/>
            <w:hideMark/>
          </w:tcPr>
          <w:p w14:paraId="7B49F86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2607,2</w:t>
            </w:r>
          </w:p>
        </w:tc>
        <w:tc>
          <w:tcPr>
            <w:tcW w:w="452" w:type="pct"/>
            <w:tcBorders>
              <w:top w:val="nil"/>
              <w:left w:val="nil"/>
              <w:bottom w:val="single" w:sz="4" w:space="0" w:color="auto"/>
              <w:right w:val="single" w:sz="4" w:space="0" w:color="auto"/>
            </w:tcBorders>
            <w:shd w:val="clear" w:color="auto" w:fill="auto"/>
            <w:noWrap/>
            <w:vAlign w:val="center"/>
            <w:hideMark/>
          </w:tcPr>
          <w:p w14:paraId="5FCB92D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5A448A4B" w14:textId="77777777" w:rsidTr="00084F96">
        <w:trPr>
          <w:trHeight w:val="191"/>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37A8572F"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Acordarea ajutorului material unic unor categorii de populație din rîndul beneficiarilor de alocații lunare de stat</w:t>
            </w:r>
          </w:p>
        </w:tc>
        <w:tc>
          <w:tcPr>
            <w:tcW w:w="496" w:type="pct"/>
            <w:tcBorders>
              <w:top w:val="nil"/>
              <w:left w:val="nil"/>
              <w:bottom w:val="single" w:sz="4" w:space="0" w:color="auto"/>
              <w:right w:val="single" w:sz="4" w:space="0" w:color="auto"/>
            </w:tcBorders>
            <w:shd w:val="clear" w:color="auto" w:fill="auto"/>
            <w:vAlign w:val="center"/>
            <w:hideMark/>
          </w:tcPr>
          <w:p w14:paraId="5025820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 </w:t>
            </w:r>
          </w:p>
        </w:tc>
        <w:tc>
          <w:tcPr>
            <w:tcW w:w="496" w:type="pct"/>
            <w:tcBorders>
              <w:top w:val="nil"/>
              <w:left w:val="nil"/>
              <w:bottom w:val="single" w:sz="4" w:space="0" w:color="auto"/>
              <w:right w:val="single" w:sz="4" w:space="0" w:color="auto"/>
            </w:tcBorders>
            <w:shd w:val="clear" w:color="auto" w:fill="auto"/>
            <w:noWrap/>
            <w:vAlign w:val="center"/>
            <w:hideMark/>
          </w:tcPr>
          <w:p w14:paraId="49F9820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 </w:t>
            </w:r>
          </w:p>
        </w:tc>
        <w:tc>
          <w:tcPr>
            <w:tcW w:w="518" w:type="pct"/>
            <w:tcBorders>
              <w:top w:val="nil"/>
              <w:left w:val="nil"/>
              <w:bottom w:val="single" w:sz="4" w:space="0" w:color="auto"/>
              <w:right w:val="single" w:sz="4" w:space="0" w:color="auto"/>
            </w:tcBorders>
            <w:shd w:val="clear" w:color="auto" w:fill="auto"/>
            <w:noWrap/>
            <w:vAlign w:val="center"/>
            <w:hideMark/>
          </w:tcPr>
          <w:p w14:paraId="03FF528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 </w:t>
            </w:r>
          </w:p>
        </w:tc>
        <w:tc>
          <w:tcPr>
            <w:tcW w:w="518" w:type="pct"/>
            <w:tcBorders>
              <w:top w:val="nil"/>
              <w:left w:val="nil"/>
              <w:bottom w:val="single" w:sz="4" w:space="0" w:color="auto"/>
              <w:right w:val="single" w:sz="4" w:space="0" w:color="auto"/>
            </w:tcBorders>
            <w:shd w:val="clear" w:color="auto" w:fill="auto"/>
            <w:noWrap/>
            <w:vAlign w:val="center"/>
            <w:hideMark/>
          </w:tcPr>
          <w:p w14:paraId="750E50D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 </w:t>
            </w:r>
          </w:p>
        </w:tc>
        <w:tc>
          <w:tcPr>
            <w:tcW w:w="452" w:type="pct"/>
            <w:tcBorders>
              <w:top w:val="nil"/>
              <w:left w:val="nil"/>
              <w:bottom w:val="single" w:sz="4" w:space="0" w:color="auto"/>
              <w:right w:val="single" w:sz="4" w:space="0" w:color="auto"/>
            </w:tcBorders>
            <w:shd w:val="clear" w:color="auto" w:fill="auto"/>
            <w:noWrap/>
            <w:vAlign w:val="center"/>
            <w:hideMark/>
          </w:tcPr>
          <w:p w14:paraId="4140711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210,0</w:t>
            </w:r>
          </w:p>
        </w:tc>
        <w:tc>
          <w:tcPr>
            <w:tcW w:w="452" w:type="pct"/>
            <w:tcBorders>
              <w:top w:val="nil"/>
              <w:left w:val="nil"/>
              <w:bottom w:val="single" w:sz="4" w:space="0" w:color="auto"/>
              <w:right w:val="single" w:sz="4" w:space="0" w:color="auto"/>
            </w:tcBorders>
            <w:shd w:val="clear" w:color="auto" w:fill="auto"/>
            <w:noWrap/>
            <w:vAlign w:val="center"/>
            <w:hideMark/>
          </w:tcPr>
          <w:p w14:paraId="603E8A1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 </w:t>
            </w:r>
          </w:p>
        </w:tc>
      </w:tr>
      <w:tr w:rsidR="000D40B3" w:rsidRPr="00DD5F1D" w14:paraId="0425B76E"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127A3558" w14:textId="77777777" w:rsidR="00084F96" w:rsidRPr="00DD5F1D" w:rsidRDefault="00084F96" w:rsidP="00084F96">
            <w:pPr>
              <w:spacing w:after="0" w:line="240" w:lineRule="auto"/>
              <w:jc w:val="center"/>
              <w:rPr>
                <w:rFonts w:ascii="Times New Roman" w:eastAsia="Times New Roman" w:hAnsi="Times New Roman" w:cs="Times New Roman"/>
                <w:b/>
                <w:bCs/>
                <w:i/>
                <w:iCs/>
                <w:sz w:val="20"/>
                <w:szCs w:val="20"/>
                <w:lang w:val="ro-MD"/>
              </w:rPr>
            </w:pPr>
            <w:r w:rsidRPr="00DD5F1D">
              <w:rPr>
                <w:rFonts w:ascii="Times New Roman" w:eastAsia="Times New Roman" w:hAnsi="Times New Roman" w:cs="Times New Roman"/>
                <w:b/>
                <w:bCs/>
                <w:i/>
                <w:iCs/>
                <w:sz w:val="20"/>
                <w:szCs w:val="20"/>
                <w:lang w:val="ro-MD"/>
              </w:rPr>
              <w:t>Alte plăți sociale</w:t>
            </w:r>
          </w:p>
        </w:tc>
        <w:tc>
          <w:tcPr>
            <w:tcW w:w="496" w:type="pct"/>
            <w:tcBorders>
              <w:top w:val="nil"/>
              <w:left w:val="nil"/>
              <w:bottom w:val="single" w:sz="4" w:space="0" w:color="auto"/>
              <w:right w:val="single" w:sz="4" w:space="0" w:color="auto"/>
            </w:tcBorders>
            <w:shd w:val="clear" w:color="auto" w:fill="auto"/>
            <w:noWrap/>
            <w:vAlign w:val="center"/>
            <w:hideMark/>
          </w:tcPr>
          <w:p w14:paraId="755D1921"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3458035,1</w:t>
            </w:r>
          </w:p>
        </w:tc>
        <w:tc>
          <w:tcPr>
            <w:tcW w:w="496" w:type="pct"/>
            <w:tcBorders>
              <w:top w:val="nil"/>
              <w:left w:val="nil"/>
              <w:bottom w:val="single" w:sz="4" w:space="0" w:color="auto"/>
              <w:right w:val="single" w:sz="4" w:space="0" w:color="auto"/>
            </w:tcBorders>
            <w:shd w:val="clear" w:color="auto" w:fill="auto"/>
            <w:noWrap/>
            <w:vAlign w:val="center"/>
            <w:hideMark/>
          </w:tcPr>
          <w:p w14:paraId="0F99EE9E"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3454934,5</w:t>
            </w:r>
          </w:p>
        </w:tc>
        <w:tc>
          <w:tcPr>
            <w:tcW w:w="518" w:type="pct"/>
            <w:tcBorders>
              <w:top w:val="nil"/>
              <w:left w:val="nil"/>
              <w:bottom w:val="single" w:sz="4" w:space="0" w:color="auto"/>
              <w:right w:val="single" w:sz="4" w:space="0" w:color="auto"/>
            </w:tcBorders>
            <w:shd w:val="clear" w:color="auto" w:fill="auto"/>
            <w:noWrap/>
            <w:vAlign w:val="center"/>
            <w:hideMark/>
          </w:tcPr>
          <w:p w14:paraId="1F63DEF8"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3442695,9</w:t>
            </w:r>
          </w:p>
        </w:tc>
        <w:tc>
          <w:tcPr>
            <w:tcW w:w="518" w:type="pct"/>
            <w:tcBorders>
              <w:top w:val="nil"/>
              <w:left w:val="nil"/>
              <w:bottom w:val="single" w:sz="4" w:space="0" w:color="auto"/>
              <w:right w:val="single" w:sz="4" w:space="0" w:color="auto"/>
            </w:tcBorders>
            <w:shd w:val="clear" w:color="auto" w:fill="auto"/>
            <w:noWrap/>
            <w:vAlign w:val="center"/>
            <w:hideMark/>
          </w:tcPr>
          <w:p w14:paraId="556D9314"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3441326,3</w:t>
            </w:r>
          </w:p>
        </w:tc>
        <w:tc>
          <w:tcPr>
            <w:tcW w:w="452" w:type="pct"/>
            <w:tcBorders>
              <w:top w:val="nil"/>
              <w:left w:val="nil"/>
              <w:bottom w:val="single" w:sz="4" w:space="0" w:color="auto"/>
              <w:right w:val="single" w:sz="4" w:space="0" w:color="auto"/>
            </w:tcBorders>
            <w:shd w:val="clear" w:color="auto" w:fill="auto"/>
            <w:noWrap/>
            <w:vAlign w:val="center"/>
            <w:hideMark/>
          </w:tcPr>
          <w:p w14:paraId="67B04EF0"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5215,3</w:t>
            </w:r>
          </w:p>
        </w:tc>
        <w:tc>
          <w:tcPr>
            <w:tcW w:w="452" w:type="pct"/>
            <w:tcBorders>
              <w:top w:val="nil"/>
              <w:left w:val="nil"/>
              <w:bottom w:val="single" w:sz="4" w:space="0" w:color="auto"/>
              <w:right w:val="single" w:sz="4" w:space="0" w:color="auto"/>
            </w:tcBorders>
            <w:shd w:val="clear" w:color="auto" w:fill="auto"/>
            <w:noWrap/>
            <w:vAlign w:val="center"/>
            <w:hideMark/>
          </w:tcPr>
          <w:p w14:paraId="71D143DF"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5366,2</w:t>
            </w:r>
          </w:p>
        </w:tc>
      </w:tr>
      <w:tr w:rsidR="000D40B3" w:rsidRPr="00DD5F1D" w14:paraId="2A95BB0D"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35FA9C5A"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Organizarea odihnei de vară a copiilor şi adolescenţilor</w:t>
            </w:r>
          </w:p>
        </w:tc>
        <w:tc>
          <w:tcPr>
            <w:tcW w:w="496" w:type="pct"/>
            <w:tcBorders>
              <w:top w:val="nil"/>
              <w:left w:val="nil"/>
              <w:bottom w:val="single" w:sz="4" w:space="0" w:color="auto"/>
              <w:right w:val="single" w:sz="4" w:space="0" w:color="auto"/>
            </w:tcBorders>
            <w:shd w:val="clear" w:color="auto" w:fill="auto"/>
            <w:noWrap/>
            <w:vAlign w:val="center"/>
            <w:hideMark/>
          </w:tcPr>
          <w:p w14:paraId="6A4CF4A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9000,0</w:t>
            </w:r>
          </w:p>
        </w:tc>
        <w:tc>
          <w:tcPr>
            <w:tcW w:w="496" w:type="pct"/>
            <w:tcBorders>
              <w:top w:val="nil"/>
              <w:left w:val="nil"/>
              <w:bottom w:val="single" w:sz="4" w:space="0" w:color="auto"/>
              <w:right w:val="single" w:sz="4" w:space="0" w:color="auto"/>
            </w:tcBorders>
            <w:shd w:val="clear" w:color="auto" w:fill="auto"/>
            <w:noWrap/>
            <w:vAlign w:val="center"/>
            <w:hideMark/>
          </w:tcPr>
          <w:p w14:paraId="25534B5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9000,0</w:t>
            </w:r>
          </w:p>
        </w:tc>
        <w:tc>
          <w:tcPr>
            <w:tcW w:w="518" w:type="pct"/>
            <w:tcBorders>
              <w:top w:val="nil"/>
              <w:left w:val="nil"/>
              <w:bottom w:val="single" w:sz="4" w:space="0" w:color="auto"/>
              <w:right w:val="single" w:sz="4" w:space="0" w:color="auto"/>
            </w:tcBorders>
            <w:shd w:val="clear" w:color="auto" w:fill="auto"/>
            <w:noWrap/>
            <w:vAlign w:val="center"/>
            <w:hideMark/>
          </w:tcPr>
          <w:p w14:paraId="077F29A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9000,0</w:t>
            </w:r>
          </w:p>
        </w:tc>
        <w:tc>
          <w:tcPr>
            <w:tcW w:w="518" w:type="pct"/>
            <w:tcBorders>
              <w:top w:val="nil"/>
              <w:left w:val="nil"/>
              <w:bottom w:val="single" w:sz="4" w:space="0" w:color="auto"/>
              <w:right w:val="single" w:sz="4" w:space="0" w:color="auto"/>
            </w:tcBorders>
            <w:shd w:val="clear" w:color="auto" w:fill="auto"/>
            <w:noWrap/>
            <w:vAlign w:val="center"/>
            <w:hideMark/>
          </w:tcPr>
          <w:p w14:paraId="346E5AC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9000,0</w:t>
            </w:r>
          </w:p>
        </w:tc>
        <w:tc>
          <w:tcPr>
            <w:tcW w:w="452" w:type="pct"/>
            <w:tcBorders>
              <w:top w:val="nil"/>
              <w:left w:val="nil"/>
              <w:bottom w:val="single" w:sz="4" w:space="0" w:color="auto"/>
              <w:right w:val="single" w:sz="4" w:space="0" w:color="auto"/>
            </w:tcBorders>
            <w:shd w:val="clear" w:color="auto" w:fill="auto"/>
            <w:noWrap/>
            <w:vAlign w:val="center"/>
            <w:hideMark/>
          </w:tcPr>
          <w:p w14:paraId="089CDC4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nil"/>
              <w:left w:val="nil"/>
              <w:bottom w:val="single" w:sz="4" w:space="0" w:color="auto"/>
              <w:right w:val="single" w:sz="4" w:space="0" w:color="auto"/>
            </w:tcBorders>
            <w:shd w:val="clear" w:color="auto" w:fill="auto"/>
            <w:noWrap/>
            <w:vAlign w:val="center"/>
            <w:hideMark/>
          </w:tcPr>
          <w:p w14:paraId="04BB902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191FB0A4"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4D35B2DF"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dreptului la tratament balneo-sanatorial</w:t>
            </w:r>
          </w:p>
        </w:tc>
        <w:tc>
          <w:tcPr>
            <w:tcW w:w="496" w:type="pct"/>
            <w:tcBorders>
              <w:top w:val="nil"/>
              <w:left w:val="nil"/>
              <w:bottom w:val="single" w:sz="4" w:space="0" w:color="auto"/>
              <w:right w:val="single" w:sz="4" w:space="0" w:color="auto"/>
            </w:tcBorders>
            <w:shd w:val="clear" w:color="auto" w:fill="auto"/>
            <w:vAlign w:val="center"/>
            <w:hideMark/>
          </w:tcPr>
          <w:p w14:paraId="201BE3F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70678,2</w:t>
            </w:r>
          </w:p>
        </w:tc>
        <w:tc>
          <w:tcPr>
            <w:tcW w:w="496" w:type="pct"/>
            <w:tcBorders>
              <w:top w:val="nil"/>
              <w:left w:val="nil"/>
              <w:bottom w:val="single" w:sz="4" w:space="0" w:color="auto"/>
              <w:right w:val="single" w:sz="4" w:space="0" w:color="auto"/>
            </w:tcBorders>
            <w:shd w:val="clear" w:color="auto" w:fill="auto"/>
            <w:noWrap/>
            <w:vAlign w:val="center"/>
            <w:hideMark/>
          </w:tcPr>
          <w:p w14:paraId="6906259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70605,6</w:t>
            </w:r>
          </w:p>
        </w:tc>
        <w:tc>
          <w:tcPr>
            <w:tcW w:w="518" w:type="pct"/>
            <w:tcBorders>
              <w:top w:val="nil"/>
              <w:left w:val="nil"/>
              <w:bottom w:val="single" w:sz="4" w:space="0" w:color="auto"/>
              <w:right w:val="single" w:sz="4" w:space="0" w:color="auto"/>
            </w:tcBorders>
            <w:shd w:val="clear" w:color="auto" w:fill="auto"/>
            <w:noWrap/>
            <w:vAlign w:val="center"/>
            <w:hideMark/>
          </w:tcPr>
          <w:p w14:paraId="2BDE0DE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70467,5</w:t>
            </w:r>
          </w:p>
        </w:tc>
        <w:tc>
          <w:tcPr>
            <w:tcW w:w="518" w:type="pct"/>
            <w:tcBorders>
              <w:top w:val="nil"/>
              <w:left w:val="nil"/>
              <w:bottom w:val="single" w:sz="4" w:space="0" w:color="auto"/>
              <w:right w:val="single" w:sz="4" w:space="0" w:color="auto"/>
            </w:tcBorders>
            <w:shd w:val="clear" w:color="auto" w:fill="auto"/>
            <w:noWrap/>
            <w:vAlign w:val="center"/>
            <w:hideMark/>
          </w:tcPr>
          <w:p w14:paraId="00C7C87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70467,5</w:t>
            </w:r>
          </w:p>
        </w:tc>
        <w:tc>
          <w:tcPr>
            <w:tcW w:w="452" w:type="pct"/>
            <w:tcBorders>
              <w:top w:val="nil"/>
              <w:left w:val="nil"/>
              <w:bottom w:val="single" w:sz="4" w:space="0" w:color="auto"/>
              <w:right w:val="single" w:sz="4" w:space="0" w:color="auto"/>
            </w:tcBorders>
            <w:shd w:val="clear" w:color="auto" w:fill="auto"/>
            <w:noWrap/>
            <w:vAlign w:val="center"/>
            <w:hideMark/>
          </w:tcPr>
          <w:p w14:paraId="0B62082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 </w:t>
            </w:r>
          </w:p>
        </w:tc>
        <w:tc>
          <w:tcPr>
            <w:tcW w:w="452" w:type="pct"/>
            <w:tcBorders>
              <w:top w:val="nil"/>
              <w:left w:val="nil"/>
              <w:bottom w:val="single" w:sz="4" w:space="0" w:color="auto"/>
              <w:right w:val="single" w:sz="4" w:space="0" w:color="auto"/>
            </w:tcBorders>
            <w:shd w:val="clear" w:color="auto" w:fill="auto"/>
            <w:noWrap/>
            <w:vAlign w:val="center"/>
            <w:hideMark/>
          </w:tcPr>
          <w:p w14:paraId="4AE0476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487,2</w:t>
            </w:r>
          </w:p>
        </w:tc>
      </w:tr>
      <w:tr w:rsidR="000D40B3" w:rsidRPr="00DD5F1D" w14:paraId="384D0989" w14:textId="77777777" w:rsidTr="00084F96">
        <w:trPr>
          <w:trHeight w:val="82"/>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6FC8558C"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Compensarea diferenţei de tarife de asigurări sociale de stat obligatorii în sectorul agrar</w:t>
            </w:r>
          </w:p>
        </w:tc>
        <w:tc>
          <w:tcPr>
            <w:tcW w:w="496" w:type="pct"/>
            <w:tcBorders>
              <w:top w:val="nil"/>
              <w:left w:val="nil"/>
              <w:bottom w:val="single" w:sz="4" w:space="0" w:color="auto"/>
              <w:right w:val="single" w:sz="4" w:space="0" w:color="auto"/>
            </w:tcBorders>
            <w:shd w:val="clear" w:color="auto" w:fill="auto"/>
            <w:noWrap/>
            <w:vAlign w:val="center"/>
            <w:hideMark/>
          </w:tcPr>
          <w:p w14:paraId="7386D11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99599,7</w:t>
            </w:r>
          </w:p>
        </w:tc>
        <w:tc>
          <w:tcPr>
            <w:tcW w:w="496" w:type="pct"/>
            <w:tcBorders>
              <w:top w:val="nil"/>
              <w:left w:val="nil"/>
              <w:bottom w:val="single" w:sz="4" w:space="0" w:color="auto"/>
              <w:right w:val="single" w:sz="4" w:space="0" w:color="auto"/>
            </w:tcBorders>
            <w:shd w:val="clear" w:color="auto" w:fill="auto"/>
            <w:noWrap/>
            <w:vAlign w:val="center"/>
            <w:hideMark/>
          </w:tcPr>
          <w:p w14:paraId="1611767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99599,7</w:t>
            </w:r>
          </w:p>
        </w:tc>
        <w:tc>
          <w:tcPr>
            <w:tcW w:w="518" w:type="pct"/>
            <w:tcBorders>
              <w:top w:val="nil"/>
              <w:left w:val="nil"/>
              <w:bottom w:val="single" w:sz="4" w:space="0" w:color="auto"/>
              <w:right w:val="single" w:sz="4" w:space="0" w:color="auto"/>
            </w:tcBorders>
            <w:shd w:val="clear" w:color="auto" w:fill="auto"/>
            <w:noWrap/>
            <w:vAlign w:val="center"/>
            <w:hideMark/>
          </w:tcPr>
          <w:p w14:paraId="36F9A15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93399,8</w:t>
            </w:r>
          </w:p>
        </w:tc>
        <w:tc>
          <w:tcPr>
            <w:tcW w:w="518" w:type="pct"/>
            <w:tcBorders>
              <w:top w:val="nil"/>
              <w:left w:val="nil"/>
              <w:bottom w:val="single" w:sz="4" w:space="0" w:color="auto"/>
              <w:right w:val="single" w:sz="4" w:space="0" w:color="auto"/>
            </w:tcBorders>
            <w:shd w:val="clear" w:color="auto" w:fill="auto"/>
            <w:noWrap/>
            <w:vAlign w:val="center"/>
            <w:hideMark/>
          </w:tcPr>
          <w:p w14:paraId="21AF941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93399,8</w:t>
            </w:r>
          </w:p>
        </w:tc>
        <w:tc>
          <w:tcPr>
            <w:tcW w:w="452" w:type="pct"/>
            <w:tcBorders>
              <w:top w:val="nil"/>
              <w:left w:val="nil"/>
              <w:bottom w:val="single" w:sz="4" w:space="0" w:color="auto"/>
              <w:right w:val="single" w:sz="4" w:space="0" w:color="auto"/>
            </w:tcBorders>
            <w:shd w:val="clear" w:color="auto" w:fill="auto"/>
            <w:noWrap/>
            <w:vAlign w:val="center"/>
            <w:hideMark/>
          </w:tcPr>
          <w:p w14:paraId="67D04DF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 </w:t>
            </w:r>
          </w:p>
        </w:tc>
        <w:tc>
          <w:tcPr>
            <w:tcW w:w="452" w:type="pct"/>
            <w:tcBorders>
              <w:top w:val="nil"/>
              <w:left w:val="nil"/>
              <w:bottom w:val="single" w:sz="4" w:space="0" w:color="auto"/>
              <w:right w:val="single" w:sz="4" w:space="0" w:color="auto"/>
            </w:tcBorders>
            <w:shd w:val="clear" w:color="auto" w:fill="auto"/>
            <w:noWrap/>
            <w:vAlign w:val="center"/>
            <w:hideMark/>
          </w:tcPr>
          <w:p w14:paraId="3D4C6F0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4879,0</w:t>
            </w:r>
          </w:p>
        </w:tc>
      </w:tr>
      <w:tr w:rsidR="000D40B3" w:rsidRPr="00DD5F1D" w14:paraId="1FF37855" w14:textId="77777777" w:rsidTr="00084F96">
        <w:trPr>
          <w:trHeight w:val="5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7E738F01"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acoperirii diferenţei până la pensia minimă</w:t>
            </w:r>
          </w:p>
        </w:tc>
        <w:tc>
          <w:tcPr>
            <w:tcW w:w="496" w:type="pct"/>
            <w:tcBorders>
              <w:top w:val="nil"/>
              <w:left w:val="nil"/>
              <w:bottom w:val="single" w:sz="4" w:space="0" w:color="auto"/>
              <w:right w:val="single" w:sz="4" w:space="0" w:color="auto"/>
            </w:tcBorders>
            <w:shd w:val="clear" w:color="auto" w:fill="auto"/>
            <w:vAlign w:val="center"/>
            <w:hideMark/>
          </w:tcPr>
          <w:p w14:paraId="3242091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2333089,6</w:t>
            </w:r>
          </w:p>
        </w:tc>
        <w:tc>
          <w:tcPr>
            <w:tcW w:w="496" w:type="pct"/>
            <w:tcBorders>
              <w:top w:val="nil"/>
              <w:left w:val="nil"/>
              <w:bottom w:val="single" w:sz="4" w:space="0" w:color="auto"/>
              <w:right w:val="single" w:sz="4" w:space="0" w:color="auto"/>
            </w:tcBorders>
            <w:shd w:val="clear" w:color="auto" w:fill="auto"/>
            <w:noWrap/>
            <w:vAlign w:val="center"/>
            <w:hideMark/>
          </w:tcPr>
          <w:p w14:paraId="2A633DE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2331342,6</w:t>
            </w:r>
          </w:p>
        </w:tc>
        <w:tc>
          <w:tcPr>
            <w:tcW w:w="518" w:type="pct"/>
            <w:tcBorders>
              <w:top w:val="nil"/>
              <w:left w:val="nil"/>
              <w:bottom w:val="single" w:sz="4" w:space="0" w:color="auto"/>
              <w:right w:val="single" w:sz="4" w:space="0" w:color="auto"/>
            </w:tcBorders>
            <w:shd w:val="clear" w:color="auto" w:fill="auto"/>
            <w:noWrap/>
            <w:vAlign w:val="center"/>
            <w:hideMark/>
          </w:tcPr>
          <w:p w14:paraId="3C498CA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2326873,9</w:t>
            </w:r>
          </w:p>
        </w:tc>
        <w:tc>
          <w:tcPr>
            <w:tcW w:w="518" w:type="pct"/>
            <w:tcBorders>
              <w:top w:val="nil"/>
              <w:left w:val="nil"/>
              <w:bottom w:val="single" w:sz="4" w:space="0" w:color="auto"/>
              <w:right w:val="single" w:sz="4" w:space="0" w:color="auto"/>
            </w:tcBorders>
            <w:shd w:val="clear" w:color="auto" w:fill="auto"/>
            <w:noWrap/>
            <w:vAlign w:val="center"/>
            <w:hideMark/>
          </w:tcPr>
          <w:p w14:paraId="6CA580B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2325792,4</w:t>
            </w:r>
          </w:p>
        </w:tc>
        <w:tc>
          <w:tcPr>
            <w:tcW w:w="452" w:type="pct"/>
            <w:tcBorders>
              <w:top w:val="nil"/>
              <w:left w:val="nil"/>
              <w:bottom w:val="single" w:sz="4" w:space="0" w:color="auto"/>
              <w:right w:val="single" w:sz="4" w:space="0" w:color="auto"/>
            </w:tcBorders>
            <w:shd w:val="clear" w:color="auto" w:fill="auto"/>
            <w:noWrap/>
            <w:vAlign w:val="center"/>
            <w:hideMark/>
          </w:tcPr>
          <w:p w14:paraId="2447C01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4824,5</w:t>
            </w:r>
          </w:p>
        </w:tc>
        <w:tc>
          <w:tcPr>
            <w:tcW w:w="452" w:type="pct"/>
            <w:tcBorders>
              <w:top w:val="nil"/>
              <w:left w:val="nil"/>
              <w:bottom w:val="single" w:sz="4" w:space="0" w:color="auto"/>
              <w:right w:val="single" w:sz="4" w:space="0" w:color="auto"/>
            </w:tcBorders>
            <w:shd w:val="clear" w:color="auto" w:fill="auto"/>
            <w:noWrap/>
            <w:vAlign w:val="center"/>
            <w:hideMark/>
          </w:tcPr>
          <w:p w14:paraId="6FA1743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1E82B68D" w14:textId="77777777" w:rsidTr="00084F96">
        <w:trPr>
          <w:trHeight w:val="58"/>
        </w:trPr>
        <w:tc>
          <w:tcPr>
            <w:tcW w:w="2067" w:type="pct"/>
            <w:tcBorders>
              <w:top w:val="nil"/>
              <w:left w:val="single" w:sz="4" w:space="0" w:color="auto"/>
              <w:bottom w:val="nil"/>
              <w:right w:val="single" w:sz="4" w:space="0" w:color="auto"/>
            </w:tcBorders>
            <w:shd w:val="clear" w:color="auto" w:fill="auto"/>
            <w:vAlign w:val="center"/>
            <w:hideMark/>
          </w:tcPr>
          <w:p w14:paraId="5A5C2A85"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Asigurarea acoperirii cheltuielilor aferente perioadelor necontributive incluse în stagiul de cotizare</w:t>
            </w:r>
          </w:p>
        </w:tc>
        <w:tc>
          <w:tcPr>
            <w:tcW w:w="496" w:type="pct"/>
            <w:tcBorders>
              <w:top w:val="nil"/>
              <w:left w:val="nil"/>
              <w:bottom w:val="single" w:sz="4" w:space="0" w:color="auto"/>
              <w:right w:val="single" w:sz="4" w:space="0" w:color="auto"/>
            </w:tcBorders>
            <w:shd w:val="clear" w:color="auto" w:fill="auto"/>
            <w:vAlign w:val="center"/>
            <w:hideMark/>
          </w:tcPr>
          <w:p w14:paraId="1CD821C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944302,0</w:t>
            </w:r>
          </w:p>
        </w:tc>
        <w:tc>
          <w:tcPr>
            <w:tcW w:w="496" w:type="pct"/>
            <w:tcBorders>
              <w:top w:val="nil"/>
              <w:left w:val="nil"/>
              <w:bottom w:val="single" w:sz="4" w:space="0" w:color="auto"/>
              <w:right w:val="single" w:sz="4" w:space="0" w:color="auto"/>
            </w:tcBorders>
            <w:shd w:val="clear" w:color="auto" w:fill="auto"/>
            <w:noWrap/>
            <w:vAlign w:val="center"/>
            <w:hideMark/>
          </w:tcPr>
          <w:p w14:paraId="2A93E97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943313,2</w:t>
            </w:r>
          </w:p>
        </w:tc>
        <w:tc>
          <w:tcPr>
            <w:tcW w:w="518" w:type="pct"/>
            <w:tcBorders>
              <w:top w:val="nil"/>
              <w:left w:val="nil"/>
              <w:bottom w:val="single" w:sz="4" w:space="0" w:color="auto"/>
              <w:right w:val="single" w:sz="4" w:space="0" w:color="auto"/>
            </w:tcBorders>
            <w:shd w:val="clear" w:color="auto" w:fill="auto"/>
            <w:noWrap/>
            <w:vAlign w:val="center"/>
            <w:hideMark/>
          </w:tcPr>
          <w:p w14:paraId="077059D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941881,3</w:t>
            </w:r>
          </w:p>
        </w:tc>
        <w:tc>
          <w:tcPr>
            <w:tcW w:w="518" w:type="pct"/>
            <w:tcBorders>
              <w:top w:val="nil"/>
              <w:left w:val="nil"/>
              <w:bottom w:val="single" w:sz="4" w:space="0" w:color="auto"/>
              <w:right w:val="single" w:sz="4" w:space="0" w:color="auto"/>
            </w:tcBorders>
            <w:shd w:val="clear" w:color="auto" w:fill="auto"/>
            <w:noWrap/>
            <w:vAlign w:val="center"/>
            <w:hideMark/>
          </w:tcPr>
          <w:p w14:paraId="7C335E40"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941593,2</w:t>
            </w:r>
          </w:p>
        </w:tc>
        <w:tc>
          <w:tcPr>
            <w:tcW w:w="452" w:type="pct"/>
            <w:tcBorders>
              <w:top w:val="nil"/>
              <w:left w:val="nil"/>
              <w:bottom w:val="single" w:sz="4" w:space="0" w:color="auto"/>
              <w:right w:val="single" w:sz="4" w:space="0" w:color="auto"/>
            </w:tcBorders>
            <w:shd w:val="clear" w:color="auto" w:fill="auto"/>
            <w:noWrap/>
            <w:vAlign w:val="center"/>
            <w:hideMark/>
          </w:tcPr>
          <w:p w14:paraId="59B3B296"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390,8</w:t>
            </w:r>
          </w:p>
        </w:tc>
        <w:tc>
          <w:tcPr>
            <w:tcW w:w="452" w:type="pct"/>
            <w:tcBorders>
              <w:top w:val="nil"/>
              <w:left w:val="nil"/>
              <w:bottom w:val="single" w:sz="4" w:space="0" w:color="auto"/>
              <w:right w:val="single" w:sz="4" w:space="0" w:color="auto"/>
            </w:tcBorders>
            <w:shd w:val="clear" w:color="auto" w:fill="auto"/>
            <w:noWrap/>
            <w:vAlign w:val="center"/>
            <w:hideMark/>
          </w:tcPr>
          <w:p w14:paraId="5DD70FB7"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40B34A7A" w14:textId="77777777" w:rsidTr="00084F96">
        <w:trPr>
          <w:trHeight w:val="58"/>
        </w:trPr>
        <w:tc>
          <w:tcPr>
            <w:tcW w:w="2067" w:type="pct"/>
            <w:tcBorders>
              <w:top w:val="single" w:sz="4" w:space="0" w:color="auto"/>
              <w:left w:val="single" w:sz="4" w:space="0" w:color="auto"/>
              <w:bottom w:val="nil"/>
              <w:right w:val="single" w:sz="4" w:space="0" w:color="auto"/>
            </w:tcBorders>
            <w:shd w:val="clear" w:color="auto" w:fill="auto"/>
            <w:vAlign w:val="center"/>
            <w:hideMark/>
          </w:tcPr>
          <w:p w14:paraId="17A1F540"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Compensarea sumelor anulate a contribuţiilor de asigurări sociale de stat obligatorii</w:t>
            </w:r>
          </w:p>
        </w:tc>
        <w:tc>
          <w:tcPr>
            <w:tcW w:w="496" w:type="pct"/>
            <w:tcBorders>
              <w:top w:val="nil"/>
              <w:left w:val="nil"/>
              <w:bottom w:val="single" w:sz="4" w:space="0" w:color="auto"/>
              <w:right w:val="single" w:sz="4" w:space="0" w:color="auto"/>
            </w:tcBorders>
            <w:shd w:val="clear" w:color="auto" w:fill="auto"/>
            <w:noWrap/>
            <w:vAlign w:val="center"/>
            <w:hideMark/>
          </w:tcPr>
          <w:p w14:paraId="3B4A4A4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1365,6</w:t>
            </w:r>
          </w:p>
        </w:tc>
        <w:tc>
          <w:tcPr>
            <w:tcW w:w="496" w:type="pct"/>
            <w:tcBorders>
              <w:top w:val="nil"/>
              <w:left w:val="nil"/>
              <w:bottom w:val="single" w:sz="4" w:space="0" w:color="auto"/>
              <w:right w:val="single" w:sz="4" w:space="0" w:color="auto"/>
            </w:tcBorders>
            <w:shd w:val="clear" w:color="auto" w:fill="auto"/>
            <w:noWrap/>
            <w:vAlign w:val="center"/>
            <w:hideMark/>
          </w:tcPr>
          <w:p w14:paraId="2C1152B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1073,4</w:t>
            </w:r>
          </w:p>
        </w:tc>
        <w:tc>
          <w:tcPr>
            <w:tcW w:w="518" w:type="pct"/>
            <w:tcBorders>
              <w:top w:val="nil"/>
              <w:left w:val="nil"/>
              <w:bottom w:val="single" w:sz="4" w:space="0" w:color="auto"/>
              <w:right w:val="single" w:sz="4" w:space="0" w:color="auto"/>
            </w:tcBorders>
            <w:shd w:val="clear" w:color="auto" w:fill="auto"/>
            <w:noWrap/>
            <w:vAlign w:val="center"/>
            <w:hideMark/>
          </w:tcPr>
          <w:p w14:paraId="2F9E77F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1073,4</w:t>
            </w:r>
          </w:p>
        </w:tc>
        <w:tc>
          <w:tcPr>
            <w:tcW w:w="518" w:type="pct"/>
            <w:tcBorders>
              <w:top w:val="nil"/>
              <w:left w:val="nil"/>
              <w:bottom w:val="single" w:sz="4" w:space="0" w:color="auto"/>
              <w:right w:val="single" w:sz="4" w:space="0" w:color="auto"/>
            </w:tcBorders>
            <w:shd w:val="clear" w:color="auto" w:fill="auto"/>
            <w:noWrap/>
            <w:vAlign w:val="center"/>
            <w:hideMark/>
          </w:tcPr>
          <w:p w14:paraId="6D6E126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1073,4</w:t>
            </w:r>
          </w:p>
        </w:tc>
        <w:tc>
          <w:tcPr>
            <w:tcW w:w="452" w:type="pct"/>
            <w:tcBorders>
              <w:top w:val="nil"/>
              <w:left w:val="nil"/>
              <w:bottom w:val="single" w:sz="4" w:space="0" w:color="auto"/>
              <w:right w:val="single" w:sz="4" w:space="0" w:color="auto"/>
            </w:tcBorders>
            <w:shd w:val="clear" w:color="auto" w:fill="auto"/>
            <w:noWrap/>
            <w:vAlign w:val="center"/>
            <w:hideMark/>
          </w:tcPr>
          <w:p w14:paraId="32C3FB8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nil"/>
              <w:left w:val="nil"/>
              <w:bottom w:val="single" w:sz="4" w:space="0" w:color="auto"/>
              <w:right w:val="single" w:sz="4" w:space="0" w:color="auto"/>
            </w:tcBorders>
            <w:shd w:val="clear" w:color="auto" w:fill="auto"/>
            <w:noWrap/>
            <w:vAlign w:val="center"/>
            <w:hideMark/>
          </w:tcPr>
          <w:p w14:paraId="2395B0FB"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4D407598" w14:textId="77777777" w:rsidTr="00084F96">
        <w:trPr>
          <w:trHeight w:val="248"/>
        </w:trPr>
        <w:tc>
          <w:tcPr>
            <w:tcW w:w="2067" w:type="pct"/>
            <w:tcBorders>
              <w:top w:val="single" w:sz="4" w:space="0" w:color="auto"/>
              <w:left w:val="single" w:sz="4" w:space="0" w:color="auto"/>
              <w:bottom w:val="nil"/>
              <w:right w:val="single" w:sz="4" w:space="0" w:color="auto"/>
            </w:tcBorders>
            <w:shd w:val="clear" w:color="auto" w:fill="auto"/>
            <w:vAlign w:val="center"/>
            <w:hideMark/>
          </w:tcPr>
          <w:p w14:paraId="393CF420" w14:textId="00B68B22" w:rsidR="00084F96" w:rsidRPr="00DD5F1D" w:rsidRDefault="00084F96" w:rsidP="007D5E94">
            <w:pPr>
              <w:spacing w:after="0" w:line="240" w:lineRule="auto"/>
              <w:rPr>
                <w:rFonts w:ascii="Times New Roman" w:eastAsia="Times New Roman" w:hAnsi="Times New Roman" w:cs="Times New Roman"/>
                <w:b/>
                <w:bCs/>
                <w:i/>
                <w:iCs/>
                <w:sz w:val="20"/>
                <w:szCs w:val="20"/>
                <w:lang w:val="ro-MD"/>
              </w:rPr>
            </w:pPr>
            <w:r w:rsidRPr="00DD5F1D">
              <w:rPr>
                <w:rFonts w:ascii="Times New Roman" w:eastAsia="Times New Roman" w:hAnsi="Times New Roman" w:cs="Times New Roman"/>
                <w:b/>
                <w:bCs/>
                <w:i/>
                <w:iCs/>
                <w:sz w:val="20"/>
                <w:szCs w:val="20"/>
                <w:lang w:val="ro-MD"/>
              </w:rPr>
              <w:t xml:space="preserve">Subprogramul 90.16 </w:t>
            </w:r>
            <w:r w:rsidR="007D5E94" w:rsidRPr="00DD5F1D">
              <w:rPr>
                <w:rFonts w:ascii="Times New Roman" w:eastAsia="Times New Roman" w:hAnsi="Times New Roman" w:cs="Times New Roman"/>
                <w:b/>
                <w:bCs/>
                <w:i/>
                <w:iCs/>
                <w:sz w:val="20"/>
                <w:szCs w:val="20"/>
                <w:lang w:val="ro-MD"/>
              </w:rPr>
              <w:t>„</w:t>
            </w:r>
            <w:r w:rsidRPr="00DD5F1D">
              <w:rPr>
                <w:rFonts w:ascii="Times New Roman" w:eastAsia="Times New Roman" w:hAnsi="Times New Roman" w:cs="Times New Roman"/>
                <w:b/>
                <w:bCs/>
                <w:i/>
                <w:iCs/>
                <w:sz w:val="20"/>
                <w:szCs w:val="20"/>
                <w:lang w:val="ro-MD"/>
              </w:rPr>
              <w:t>Susținerea sistemului public de asigurări sociale” (Gr:10.93)</w:t>
            </w:r>
          </w:p>
        </w:tc>
        <w:tc>
          <w:tcPr>
            <w:tcW w:w="496" w:type="pct"/>
            <w:tcBorders>
              <w:top w:val="nil"/>
              <w:left w:val="nil"/>
              <w:bottom w:val="nil"/>
              <w:right w:val="single" w:sz="4" w:space="0" w:color="auto"/>
            </w:tcBorders>
            <w:shd w:val="clear" w:color="auto" w:fill="auto"/>
            <w:noWrap/>
            <w:vAlign w:val="center"/>
            <w:hideMark/>
          </w:tcPr>
          <w:p w14:paraId="726E463D"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5657926,9</w:t>
            </w:r>
          </w:p>
        </w:tc>
        <w:tc>
          <w:tcPr>
            <w:tcW w:w="496" w:type="pct"/>
            <w:tcBorders>
              <w:top w:val="nil"/>
              <w:left w:val="nil"/>
              <w:bottom w:val="nil"/>
              <w:right w:val="single" w:sz="4" w:space="0" w:color="auto"/>
            </w:tcBorders>
            <w:shd w:val="clear" w:color="auto" w:fill="auto"/>
            <w:noWrap/>
            <w:vAlign w:val="center"/>
            <w:hideMark/>
          </w:tcPr>
          <w:p w14:paraId="0B899178"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5417926,9</w:t>
            </w:r>
          </w:p>
        </w:tc>
        <w:tc>
          <w:tcPr>
            <w:tcW w:w="518" w:type="pct"/>
            <w:tcBorders>
              <w:top w:val="nil"/>
              <w:left w:val="nil"/>
              <w:bottom w:val="nil"/>
              <w:right w:val="single" w:sz="4" w:space="0" w:color="auto"/>
            </w:tcBorders>
            <w:shd w:val="clear" w:color="auto" w:fill="auto"/>
            <w:noWrap/>
            <w:vAlign w:val="center"/>
            <w:hideMark/>
          </w:tcPr>
          <w:p w14:paraId="379E4D16"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5417926,9</w:t>
            </w:r>
          </w:p>
        </w:tc>
        <w:tc>
          <w:tcPr>
            <w:tcW w:w="518" w:type="pct"/>
            <w:tcBorders>
              <w:top w:val="nil"/>
              <w:left w:val="nil"/>
              <w:bottom w:val="nil"/>
              <w:right w:val="single" w:sz="4" w:space="0" w:color="auto"/>
            </w:tcBorders>
            <w:shd w:val="clear" w:color="auto" w:fill="auto"/>
            <w:noWrap/>
            <w:vAlign w:val="center"/>
            <w:hideMark/>
          </w:tcPr>
          <w:p w14:paraId="4F000A13"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5417926,9</w:t>
            </w:r>
          </w:p>
        </w:tc>
        <w:tc>
          <w:tcPr>
            <w:tcW w:w="452" w:type="pct"/>
            <w:tcBorders>
              <w:top w:val="nil"/>
              <w:left w:val="nil"/>
              <w:bottom w:val="nil"/>
              <w:right w:val="single" w:sz="4" w:space="0" w:color="auto"/>
            </w:tcBorders>
            <w:shd w:val="clear" w:color="auto" w:fill="auto"/>
            <w:noWrap/>
            <w:vAlign w:val="center"/>
            <w:hideMark/>
          </w:tcPr>
          <w:p w14:paraId="4F8F66E0"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0,0</w:t>
            </w:r>
          </w:p>
        </w:tc>
        <w:tc>
          <w:tcPr>
            <w:tcW w:w="452" w:type="pct"/>
            <w:tcBorders>
              <w:top w:val="nil"/>
              <w:left w:val="nil"/>
              <w:bottom w:val="nil"/>
              <w:right w:val="single" w:sz="4" w:space="0" w:color="auto"/>
            </w:tcBorders>
            <w:shd w:val="clear" w:color="auto" w:fill="auto"/>
            <w:noWrap/>
            <w:vAlign w:val="center"/>
            <w:hideMark/>
          </w:tcPr>
          <w:p w14:paraId="4B6A6F66" w14:textId="77777777" w:rsidR="00084F96" w:rsidRPr="00DD5F1D" w:rsidRDefault="00084F96" w:rsidP="00084F96">
            <w:pPr>
              <w:spacing w:after="0" w:line="240" w:lineRule="auto"/>
              <w:jc w:val="right"/>
              <w:rPr>
                <w:rFonts w:ascii="Times New Roman" w:eastAsia="Times New Roman" w:hAnsi="Times New Roman" w:cs="Times New Roman"/>
                <w:b/>
                <w:bCs/>
                <w:i/>
                <w:iCs/>
                <w:lang w:val="ro-MD"/>
              </w:rPr>
            </w:pPr>
            <w:r w:rsidRPr="00DD5F1D">
              <w:rPr>
                <w:rFonts w:ascii="Times New Roman" w:eastAsia="Times New Roman" w:hAnsi="Times New Roman" w:cs="Times New Roman"/>
                <w:b/>
                <w:bCs/>
                <w:i/>
                <w:iCs/>
                <w:lang w:val="ro-MD"/>
              </w:rPr>
              <w:t>0,0</w:t>
            </w:r>
          </w:p>
        </w:tc>
      </w:tr>
      <w:tr w:rsidR="000D40B3" w:rsidRPr="00DD5F1D" w14:paraId="3D378A41" w14:textId="77777777" w:rsidTr="00084F96">
        <w:trPr>
          <w:trHeight w:val="58"/>
        </w:trPr>
        <w:tc>
          <w:tcPr>
            <w:tcW w:w="20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C2462" w14:textId="77777777" w:rsidR="00084F96" w:rsidRPr="00DD5F1D" w:rsidRDefault="00084F96" w:rsidP="00084F96">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Acoperirea deficitului bugetului asigurărilor sociale de stat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4A3C871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5657926,9</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0F183044"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5417926,9</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14:paraId="2E00542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5417926,9</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14:paraId="5DAA3A62"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5417926,9</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668E9AF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07DCD081"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4E1E0CEE" w14:textId="77777777" w:rsidTr="00084F96">
        <w:trPr>
          <w:trHeight w:val="88"/>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16BFAB98"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 xml:space="preserve">Cheltuieli pentru distribuirea: </w:t>
            </w:r>
            <w:r w:rsidRPr="00DD5F1D">
              <w:rPr>
                <w:rFonts w:ascii="Times New Roman" w:eastAsia="Times New Roman" w:hAnsi="Times New Roman" w:cs="Times New Roman"/>
                <w:b/>
                <w:bCs/>
                <w:i/>
                <w:iCs/>
                <w:sz w:val="20"/>
                <w:szCs w:val="20"/>
                <w:lang w:val="ro-MD"/>
              </w:rPr>
              <w:t>pensiilor, alocațiilor, indemnizațiilor, compensațiilor și ajutoarelor, inclusiv prin mandate poștale</w:t>
            </w:r>
          </w:p>
        </w:tc>
        <w:tc>
          <w:tcPr>
            <w:tcW w:w="496" w:type="pct"/>
            <w:tcBorders>
              <w:top w:val="nil"/>
              <w:left w:val="nil"/>
              <w:bottom w:val="single" w:sz="4" w:space="0" w:color="auto"/>
              <w:right w:val="single" w:sz="4" w:space="0" w:color="auto"/>
            </w:tcBorders>
            <w:shd w:val="clear" w:color="auto" w:fill="auto"/>
            <w:noWrap/>
            <w:vAlign w:val="center"/>
            <w:hideMark/>
          </w:tcPr>
          <w:p w14:paraId="5226A0BD"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68696,3</w:t>
            </w:r>
          </w:p>
        </w:tc>
        <w:tc>
          <w:tcPr>
            <w:tcW w:w="496" w:type="pct"/>
            <w:tcBorders>
              <w:top w:val="nil"/>
              <w:left w:val="nil"/>
              <w:bottom w:val="single" w:sz="4" w:space="0" w:color="auto"/>
              <w:right w:val="single" w:sz="4" w:space="0" w:color="auto"/>
            </w:tcBorders>
            <w:shd w:val="clear" w:color="auto" w:fill="auto"/>
            <w:noWrap/>
            <w:vAlign w:val="center"/>
            <w:hideMark/>
          </w:tcPr>
          <w:p w14:paraId="2EF1472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68696,3</w:t>
            </w:r>
          </w:p>
        </w:tc>
        <w:tc>
          <w:tcPr>
            <w:tcW w:w="518" w:type="pct"/>
            <w:tcBorders>
              <w:top w:val="nil"/>
              <w:left w:val="nil"/>
              <w:bottom w:val="single" w:sz="4" w:space="0" w:color="auto"/>
              <w:right w:val="single" w:sz="4" w:space="0" w:color="auto"/>
            </w:tcBorders>
            <w:shd w:val="clear" w:color="auto" w:fill="auto"/>
            <w:noWrap/>
            <w:vAlign w:val="center"/>
            <w:hideMark/>
          </w:tcPr>
          <w:p w14:paraId="7944855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68572,6</w:t>
            </w:r>
          </w:p>
        </w:tc>
        <w:tc>
          <w:tcPr>
            <w:tcW w:w="518" w:type="pct"/>
            <w:tcBorders>
              <w:top w:val="nil"/>
              <w:left w:val="nil"/>
              <w:bottom w:val="single" w:sz="4" w:space="0" w:color="auto"/>
              <w:right w:val="single" w:sz="4" w:space="0" w:color="auto"/>
            </w:tcBorders>
            <w:shd w:val="clear" w:color="auto" w:fill="auto"/>
            <w:noWrap/>
            <w:vAlign w:val="center"/>
            <w:hideMark/>
          </w:tcPr>
          <w:p w14:paraId="54BCBF23"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67214,1</w:t>
            </w:r>
          </w:p>
        </w:tc>
        <w:tc>
          <w:tcPr>
            <w:tcW w:w="452" w:type="pct"/>
            <w:tcBorders>
              <w:top w:val="nil"/>
              <w:left w:val="nil"/>
              <w:bottom w:val="single" w:sz="4" w:space="0" w:color="auto"/>
              <w:right w:val="single" w:sz="4" w:space="0" w:color="auto"/>
            </w:tcBorders>
            <w:shd w:val="clear" w:color="auto" w:fill="auto"/>
            <w:noWrap/>
            <w:vAlign w:val="center"/>
            <w:hideMark/>
          </w:tcPr>
          <w:p w14:paraId="67FD7BD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123,7</w:t>
            </w:r>
          </w:p>
        </w:tc>
        <w:tc>
          <w:tcPr>
            <w:tcW w:w="452" w:type="pct"/>
            <w:tcBorders>
              <w:top w:val="nil"/>
              <w:left w:val="nil"/>
              <w:bottom w:val="single" w:sz="4" w:space="0" w:color="auto"/>
              <w:right w:val="single" w:sz="4" w:space="0" w:color="auto"/>
            </w:tcBorders>
            <w:shd w:val="clear" w:color="auto" w:fill="auto"/>
            <w:noWrap/>
            <w:vAlign w:val="center"/>
            <w:hideMark/>
          </w:tcPr>
          <w:p w14:paraId="028547BF"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r w:rsidR="000D40B3" w:rsidRPr="00DD5F1D" w14:paraId="4C47BBBD" w14:textId="77777777" w:rsidTr="00084F96">
        <w:trPr>
          <w:trHeight w:val="381"/>
        </w:trPr>
        <w:tc>
          <w:tcPr>
            <w:tcW w:w="2067" w:type="pct"/>
            <w:tcBorders>
              <w:top w:val="nil"/>
              <w:left w:val="single" w:sz="4" w:space="0" w:color="auto"/>
              <w:bottom w:val="single" w:sz="4" w:space="0" w:color="auto"/>
              <w:right w:val="single" w:sz="4" w:space="0" w:color="auto"/>
            </w:tcBorders>
            <w:shd w:val="clear" w:color="auto" w:fill="auto"/>
            <w:vAlign w:val="center"/>
            <w:hideMark/>
          </w:tcPr>
          <w:p w14:paraId="71E2D62F" w14:textId="77777777" w:rsidR="00084F96" w:rsidRPr="00DD5F1D" w:rsidRDefault="00084F96" w:rsidP="00084F96">
            <w:pPr>
              <w:spacing w:after="0" w:line="240" w:lineRule="auto"/>
              <w:rPr>
                <w:rFonts w:ascii="Times New Roman" w:eastAsia="Times New Roman" w:hAnsi="Times New Roman" w:cs="Times New Roman"/>
                <w:b/>
                <w:bCs/>
                <w:sz w:val="20"/>
                <w:szCs w:val="20"/>
                <w:lang w:val="ro-MD"/>
              </w:rPr>
            </w:pPr>
            <w:r w:rsidRPr="00DD5F1D">
              <w:rPr>
                <w:rFonts w:ascii="Times New Roman" w:eastAsia="Times New Roman" w:hAnsi="Times New Roman" w:cs="Times New Roman"/>
                <w:b/>
                <w:bCs/>
                <w:sz w:val="20"/>
                <w:szCs w:val="20"/>
                <w:lang w:val="ro-MD"/>
              </w:rPr>
              <w:t xml:space="preserve">Cheltuieli pentru taxa de comision </w:t>
            </w:r>
            <w:r w:rsidRPr="00DD5F1D">
              <w:rPr>
                <w:rFonts w:ascii="Times New Roman" w:eastAsia="Times New Roman" w:hAnsi="Times New Roman" w:cs="Times New Roman"/>
                <w:b/>
                <w:bCs/>
                <w:i/>
                <w:iCs/>
                <w:sz w:val="20"/>
                <w:szCs w:val="20"/>
                <w:lang w:val="ro-MD"/>
              </w:rPr>
              <w:t>la sumele eliberate în numerar</w:t>
            </w:r>
          </w:p>
        </w:tc>
        <w:tc>
          <w:tcPr>
            <w:tcW w:w="496" w:type="pct"/>
            <w:tcBorders>
              <w:top w:val="nil"/>
              <w:left w:val="nil"/>
              <w:bottom w:val="single" w:sz="4" w:space="0" w:color="auto"/>
              <w:right w:val="single" w:sz="4" w:space="0" w:color="auto"/>
            </w:tcBorders>
            <w:shd w:val="clear" w:color="auto" w:fill="auto"/>
            <w:noWrap/>
            <w:vAlign w:val="center"/>
            <w:hideMark/>
          </w:tcPr>
          <w:p w14:paraId="263FC41C"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12677,4</w:t>
            </w:r>
          </w:p>
        </w:tc>
        <w:tc>
          <w:tcPr>
            <w:tcW w:w="496" w:type="pct"/>
            <w:tcBorders>
              <w:top w:val="nil"/>
              <w:left w:val="nil"/>
              <w:bottom w:val="single" w:sz="4" w:space="0" w:color="auto"/>
              <w:right w:val="single" w:sz="4" w:space="0" w:color="auto"/>
            </w:tcBorders>
            <w:shd w:val="clear" w:color="auto" w:fill="auto"/>
            <w:noWrap/>
            <w:vAlign w:val="center"/>
            <w:hideMark/>
          </w:tcPr>
          <w:p w14:paraId="77532389"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8141,5</w:t>
            </w:r>
          </w:p>
        </w:tc>
        <w:tc>
          <w:tcPr>
            <w:tcW w:w="518" w:type="pct"/>
            <w:tcBorders>
              <w:top w:val="nil"/>
              <w:left w:val="nil"/>
              <w:bottom w:val="single" w:sz="4" w:space="0" w:color="auto"/>
              <w:right w:val="single" w:sz="4" w:space="0" w:color="auto"/>
            </w:tcBorders>
            <w:shd w:val="clear" w:color="auto" w:fill="auto"/>
            <w:noWrap/>
            <w:vAlign w:val="center"/>
            <w:hideMark/>
          </w:tcPr>
          <w:p w14:paraId="4B8735E8"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6873,2</w:t>
            </w:r>
          </w:p>
        </w:tc>
        <w:tc>
          <w:tcPr>
            <w:tcW w:w="518" w:type="pct"/>
            <w:tcBorders>
              <w:top w:val="nil"/>
              <w:left w:val="nil"/>
              <w:bottom w:val="single" w:sz="4" w:space="0" w:color="auto"/>
              <w:right w:val="single" w:sz="4" w:space="0" w:color="auto"/>
            </w:tcBorders>
            <w:shd w:val="clear" w:color="auto" w:fill="auto"/>
            <w:noWrap/>
            <w:vAlign w:val="center"/>
            <w:hideMark/>
          </w:tcPr>
          <w:p w14:paraId="1D2BD7EE"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6787,7</w:t>
            </w:r>
          </w:p>
        </w:tc>
        <w:tc>
          <w:tcPr>
            <w:tcW w:w="452" w:type="pct"/>
            <w:tcBorders>
              <w:top w:val="nil"/>
              <w:left w:val="nil"/>
              <w:bottom w:val="single" w:sz="4" w:space="0" w:color="auto"/>
              <w:right w:val="single" w:sz="4" w:space="0" w:color="auto"/>
            </w:tcBorders>
            <w:shd w:val="clear" w:color="auto" w:fill="auto"/>
            <w:noWrap/>
            <w:vAlign w:val="center"/>
            <w:hideMark/>
          </w:tcPr>
          <w:p w14:paraId="3607865A"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1268,3</w:t>
            </w:r>
          </w:p>
        </w:tc>
        <w:tc>
          <w:tcPr>
            <w:tcW w:w="452" w:type="pct"/>
            <w:tcBorders>
              <w:top w:val="nil"/>
              <w:left w:val="nil"/>
              <w:bottom w:val="single" w:sz="4" w:space="0" w:color="auto"/>
              <w:right w:val="single" w:sz="4" w:space="0" w:color="auto"/>
            </w:tcBorders>
            <w:shd w:val="clear" w:color="auto" w:fill="auto"/>
            <w:noWrap/>
            <w:vAlign w:val="center"/>
            <w:hideMark/>
          </w:tcPr>
          <w:p w14:paraId="59B9E9B5" w14:textId="77777777" w:rsidR="00084F96" w:rsidRPr="00DD5F1D" w:rsidRDefault="00084F96" w:rsidP="00084F96">
            <w:pPr>
              <w:spacing w:after="0" w:line="240" w:lineRule="auto"/>
              <w:jc w:val="right"/>
              <w:rPr>
                <w:rFonts w:ascii="Times New Roman" w:eastAsia="Times New Roman" w:hAnsi="Times New Roman" w:cs="Times New Roman"/>
                <w:lang w:val="ro-MD"/>
              </w:rPr>
            </w:pPr>
            <w:r w:rsidRPr="00DD5F1D">
              <w:rPr>
                <w:rFonts w:ascii="Times New Roman" w:eastAsia="Times New Roman" w:hAnsi="Times New Roman" w:cs="Times New Roman"/>
                <w:lang w:val="ro-MD"/>
              </w:rPr>
              <w:t>0,0</w:t>
            </w:r>
          </w:p>
        </w:tc>
      </w:tr>
    </w:tbl>
    <w:p w14:paraId="76FA2C94" w14:textId="3AAC600E" w:rsidR="00084F96" w:rsidRPr="00DD5F1D" w:rsidRDefault="00084F96" w:rsidP="000C47DA">
      <w:pPr>
        <w:rPr>
          <w:rFonts w:ascii="Times New Roman" w:hAnsi="Times New Roman" w:cs="Times New Roman"/>
          <w:b/>
          <w:i/>
          <w:szCs w:val="24"/>
          <w:lang w:val="ro-MD"/>
        </w:rPr>
        <w:sectPr w:rsidR="00084F96" w:rsidRPr="00DD5F1D" w:rsidSect="00940349">
          <w:pgSz w:w="15840" w:h="12240" w:orient="landscape"/>
          <w:pgMar w:top="1355" w:right="1140" w:bottom="851" w:left="1140" w:header="720" w:footer="720" w:gutter="0"/>
          <w:cols w:space="720"/>
          <w:titlePg/>
          <w:docGrid w:linePitch="360"/>
        </w:sectPr>
      </w:pPr>
      <w:r w:rsidRPr="00DD5F1D">
        <w:rPr>
          <w:rFonts w:ascii="Times New Roman" w:hAnsi="Times New Roman" w:cs="Times New Roman"/>
          <w:b/>
          <w:i/>
          <w:szCs w:val="24"/>
          <w:lang w:val="ro-MD"/>
        </w:rPr>
        <w:t xml:space="preserve">Sursa: </w:t>
      </w:r>
      <w:r w:rsidRPr="00DD5F1D">
        <w:rPr>
          <w:rFonts w:ascii="Times New Roman" w:hAnsi="Times New Roman" w:cs="Times New Roman"/>
          <w:i/>
          <w:szCs w:val="24"/>
          <w:lang w:val="ro-MD"/>
        </w:rPr>
        <w:t>Întocmit de audit în baza informații</w:t>
      </w:r>
      <w:r w:rsidR="007D5E94" w:rsidRPr="00DD5F1D">
        <w:rPr>
          <w:rFonts w:ascii="Times New Roman" w:hAnsi="Times New Roman" w:cs="Times New Roman"/>
          <w:i/>
          <w:szCs w:val="24"/>
          <w:lang w:val="ro-MD"/>
        </w:rPr>
        <w:t>lor</w:t>
      </w:r>
      <w:r w:rsidRPr="00DD5F1D">
        <w:rPr>
          <w:rFonts w:ascii="Times New Roman" w:hAnsi="Times New Roman" w:cs="Times New Roman"/>
          <w:i/>
          <w:szCs w:val="24"/>
          <w:lang w:val="ro-MD"/>
        </w:rPr>
        <w:t xml:space="preserve"> din Formularul nr. 6 CNAS</w:t>
      </w:r>
      <w:r w:rsidR="007D5E94" w:rsidRPr="00DD5F1D">
        <w:rPr>
          <w:rFonts w:ascii="Times New Roman" w:hAnsi="Times New Roman" w:cs="Times New Roman"/>
          <w:i/>
          <w:szCs w:val="24"/>
          <w:lang w:val="ro-MD"/>
        </w:rPr>
        <w:t>.</w:t>
      </w:r>
    </w:p>
    <w:p w14:paraId="768D31AF" w14:textId="77777777" w:rsidR="00084F96" w:rsidRPr="00DD5F1D" w:rsidRDefault="000E2AC7" w:rsidP="009E3494">
      <w:pPr>
        <w:pStyle w:val="2"/>
        <w:jc w:val="right"/>
        <w:rPr>
          <w:rFonts w:ascii="Times New Roman" w:hAnsi="Times New Roman" w:cs="Times New Roman"/>
          <w:b/>
          <w:color w:val="000000" w:themeColor="text1"/>
          <w:sz w:val="24"/>
          <w:lang w:val="ro-MD"/>
        </w:rPr>
      </w:pPr>
      <w:r w:rsidRPr="00DD5F1D">
        <w:rPr>
          <w:rFonts w:ascii="Times New Roman" w:hAnsi="Times New Roman" w:cs="Times New Roman"/>
          <w:b/>
          <w:color w:val="000000" w:themeColor="text1"/>
          <w:sz w:val="24"/>
          <w:lang w:val="ro-MD"/>
        </w:rPr>
        <w:t>Anexa nr. 16</w:t>
      </w:r>
    </w:p>
    <w:p w14:paraId="21B7F399" w14:textId="77777777" w:rsidR="00775DBA" w:rsidRPr="00DD5F1D" w:rsidRDefault="00775DBA" w:rsidP="00775DBA">
      <w:pPr>
        <w:spacing w:after="0"/>
        <w:jc w:val="center"/>
        <w:rPr>
          <w:rFonts w:ascii="Times New Roman" w:hAnsi="Times New Roman" w:cs="Times New Roman"/>
          <w:b/>
          <w:sz w:val="24"/>
          <w:szCs w:val="18"/>
          <w:lang w:val="ro-MD"/>
        </w:rPr>
      </w:pPr>
      <w:r w:rsidRPr="00DD5F1D">
        <w:rPr>
          <w:rFonts w:ascii="Times New Roman" w:hAnsi="Times New Roman" w:cs="Times New Roman"/>
          <w:b/>
          <w:sz w:val="24"/>
          <w:szCs w:val="18"/>
          <w:lang w:val="ro-MD"/>
        </w:rPr>
        <w:t>Analiza veniturilor pe tipuri de indicatori în anul 2023</w:t>
      </w:r>
    </w:p>
    <w:p w14:paraId="2908F326" w14:textId="77777777" w:rsidR="00775DBA" w:rsidRPr="00DD5F1D" w:rsidRDefault="00775DBA" w:rsidP="00775DBA">
      <w:pPr>
        <w:spacing w:after="0"/>
        <w:jc w:val="right"/>
        <w:rPr>
          <w:rFonts w:ascii="Times New Roman" w:hAnsi="Times New Roman" w:cs="Times New Roman"/>
          <w:b/>
          <w:i/>
          <w:sz w:val="18"/>
          <w:szCs w:val="18"/>
          <w:lang w:val="ro-MD"/>
        </w:rPr>
      </w:pPr>
      <w:r w:rsidRPr="00DD5F1D">
        <w:rPr>
          <w:rFonts w:ascii="Times New Roman" w:hAnsi="Times New Roman" w:cs="Times New Roman"/>
          <w:b/>
          <w:i/>
          <w:sz w:val="18"/>
          <w:szCs w:val="18"/>
          <w:lang w:val="ro-MD"/>
        </w:rPr>
        <w:t>(mii lei)</w:t>
      </w:r>
    </w:p>
    <w:tbl>
      <w:tblPr>
        <w:tblW w:w="14175" w:type="dxa"/>
        <w:tblLook w:val="04A0" w:firstRow="1" w:lastRow="0" w:firstColumn="1" w:lastColumn="0" w:noHBand="0" w:noVBand="1"/>
      </w:tblPr>
      <w:tblGrid>
        <w:gridCol w:w="7083"/>
        <w:gridCol w:w="756"/>
        <w:gridCol w:w="1161"/>
        <w:gridCol w:w="1161"/>
        <w:gridCol w:w="9"/>
        <w:gridCol w:w="1062"/>
        <w:gridCol w:w="9"/>
        <w:gridCol w:w="1062"/>
        <w:gridCol w:w="9"/>
        <w:gridCol w:w="972"/>
        <w:gridCol w:w="891"/>
      </w:tblGrid>
      <w:tr w:rsidR="00775DBA" w:rsidRPr="00DD5F1D" w14:paraId="39211A05" w14:textId="77777777" w:rsidTr="00F73820">
        <w:trPr>
          <w:trHeight w:val="161"/>
        </w:trPr>
        <w:tc>
          <w:tcPr>
            <w:tcW w:w="70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64C5FB"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Denumirea</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0C0B78"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ECO</w:t>
            </w:r>
          </w:p>
        </w:tc>
        <w:tc>
          <w:tcPr>
            <w:tcW w:w="233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920D9E6"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Plan</w:t>
            </w:r>
          </w:p>
        </w:tc>
        <w:tc>
          <w:tcPr>
            <w:tcW w:w="107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C544E8D"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p>
        </w:tc>
        <w:tc>
          <w:tcPr>
            <w:tcW w:w="107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9567D1F"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p>
        </w:tc>
        <w:tc>
          <w:tcPr>
            <w:tcW w:w="1863" w:type="dxa"/>
            <w:gridSpan w:val="2"/>
            <w:tcBorders>
              <w:top w:val="single" w:sz="4" w:space="0" w:color="auto"/>
              <w:left w:val="nil"/>
              <w:bottom w:val="single" w:sz="4" w:space="0" w:color="auto"/>
              <w:right w:val="single" w:sz="4" w:space="0" w:color="000000"/>
            </w:tcBorders>
            <w:shd w:val="clear" w:color="auto" w:fill="auto"/>
            <w:vAlign w:val="center"/>
            <w:hideMark/>
          </w:tcPr>
          <w:p w14:paraId="160AD885"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 xml:space="preserve">Total </w:t>
            </w:r>
          </w:p>
        </w:tc>
      </w:tr>
      <w:tr w:rsidR="000D40B3" w:rsidRPr="00DD5F1D" w14:paraId="4D24DA39" w14:textId="77777777" w:rsidTr="002578F5">
        <w:trPr>
          <w:trHeight w:val="235"/>
        </w:trPr>
        <w:tc>
          <w:tcPr>
            <w:tcW w:w="7083" w:type="dxa"/>
            <w:vMerge/>
            <w:tcBorders>
              <w:top w:val="single" w:sz="4" w:space="0" w:color="auto"/>
              <w:left w:val="single" w:sz="4" w:space="0" w:color="auto"/>
              <w:bottom w:val="single" w:sz="4" w:space="0" w:color="000000"/>
              <w:right w:val="single" w:sz="4" w:space="0" w:color="auto"/>
            </w:tcBorders>
            <w:vAlign w:val="center"/>
            <w:hideMark/>
          </w:tcPr>
          <w:p w14:paraId="45EFF208"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2124E9EF"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p>
        </w:tc>
        <w:tc>
          <w:tcPr>
            <w:tcW w:w="1161" w:type="dxa"/>
            <w:tcBorders>
              <w:top w:val="nil"/>
              <w:left w:val="nil"/>
              <w:bottom w:val="nil"/>
              <w:right w:val="single" w:sz="4" w:space="0" w:color="auto"/>
            </w:tcBorders>
            <w:shd w:val="clear" w:color="auto" w:fill="auto"/>
            <w:vAlign w:val="center"/>
            <w:hideMark/>
          </w:tcPr>
          <w:p w14:paraId="202F452D" w14:textId="77777777" w:rsidR="00F73820" w:rsidRPr="00DD5F1D" w:rsidRDefault="00F73820" w:rsidP="002578F5">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 xml:space="preserve">Aprobat </w:t>
            </w:r>
            <w:r w:rsidRPr="00DD5F1D">
              <w:rPr>
                <w:rFonts w:ascii="Times New Roman" w:eastAsia="Times New Roman" w:hAnsi="Times New Roman" w:cs="Times New Roman"/>
                <w:b/>
                <w:bCs/>
                <w:sz w:val="18"/>
                <w:szCs w:val="18"/>
                <w:lang w:val="ro-MD"/>
              </w:rPr>
              <w:br/>
              <w:t>pe an</w:t>
            </w:r>
          </w:p>
        </w:tc>
        <w:tc>
          <w:tcPr>
            <w:tcW w:w="1161" w:type="dxa"/>
            <w:tcBorders>
              <w:top w:val="nil"/>
              <w:left w:val="nil"/>
              <w:bottom w:val="nil"/>
              <w:right w:val="single" w:sz="4" w:space="0" w:color="auto"/>
            </w:tcBorders>
            <w:shd w:val="clear" w:color="auto" w:fill="auto"/>
            <w:vAlign w:val="center"/>
            <w:hideMark/>
          </w:tcPr>
          <w:p w14:paraId="507D9089" w14:textId="77777777" w:rsidR="00F73820" w:rsidRPr="00DD5F1D" w:rsidRDefault="00F73820" w:rsidP="002578F5">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Precizat</w:t>
            </w:r>
            <w:r w:rsidRPr="00DD5F1D">
              <w:rPr>
                <w:rFonts w:ascii="Times New Roman" w:eastAsia="Times New Roman" w:hAnsi="Times New Roman" w:cs="Times New Roman"/>
                <w:b/>
                <w:bCs/>
                <w:sz w:val="18"/>
                <w:szCs w:val="18"/>
                <w:lang w:val="ro-MD"/>
              </w:rPr>
              <w:br/>
              <w:t>pe an</w:t>
            </w:r>
          </w:p>
        </w:tc>
        <w:tc>
          <w:tcPr>
            <w:tcW w:w="1071" w:type="dxa"/>
            <w:gridSpan w:val="2"/>
            <w:tcBorders>
              <w:top w:val="single" w:sz="4" w:space="0" w:color="auto"/>
              <w:left w:val="single" w:sz="4" w:space="0" w:color="auto"/>
              <w:bottom w:val="single" w:sz="4" w:space="0" w:color="000000"/>
              <w:right w:val="single" w:sz="4" w:space="0" w:color="auto"/>
            </w:tcBorders>
            <w:vAlign w:val="center"/>
            <w:hideMark/>
          </w:tcPr>
          <w:p w14:paraId="7C1EB2A7" w14:textId="77777777" w:rsidR="00F73820" w:rsidRPr="00DD5F1D" w:rsidRDefault="00F73820" w:rsidP="002578F5">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Executat</w:t>
            </w:r>
          </w:p>
        </w:tc>
        <w:tc>
          <w:tcPr>
            <w:tcW w:w="1071" w:type="dxa"/>
            <w:gridSpan w:val="2"/>
            <w:tcBorders>
              <w:top w:val="single" w:sz="4" w:space="0" w:color="auto"/>
              <w:left w:val="single" w:sz="4" w:space="0" w:color="auto"/>
              <w:bottom w:val="single" w:sz="4" w:space="0" w:color="000000"/>
              <w:right w:val="single" w:sz="4" w:space="0" w:color="auto"/>
            </w:tcBorders>
            <w:vAlign w:val="center"/>
            <w:hideMark/>
          </w:tcPr>
          <w:p w14:paraId="40B8BD89" w14:textId="77777777" w:rsidR="00F73820" w:rsidRPr="00DD5F1D" w:rsidRDefault="00F73820" w:rsidP="002578F5">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Efective</w:t>
            </w:r>
          </w:p>
        </w:tc>
        <w:tc>
          <w:tcPr>
            <w:tcW w:w="981" w:type="dxa"/>
            <w:gridSpan w:val="2"/>
            <w:tcBorders>
              <w:top w:val="nil"/>
              <w:left w:val="nil"/>
              <w:bottom w:val="single" w:sz="4" w:space="0" w:color="auto"/>
              <w:right w:val="single" w:sz="4" w:space="0" w:color="auto"/>
            </w:tcBorders>
            <w:shd w:val="clear" w:color="auto" w:fill="auto"/>
            <w:vAlign w:val="center"/>
            <w:hideMark/>
          </w:tcPr>
          <w:p w14:paraId="0A4BF6D5" w14:textId="77777777" w:rsidR="00F73820" w:rsidRPr="00DD5F1D" w:rsidRDefault="00F73820" w:rsidP="002578F5">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Creanțe</w:t>
            </w:r>
          </w:p>
        </w:tc>
        <w:tc>
          <w:tcPr>
            <w:tcW w:w="891" w:type="dxa"/>
            <w:tcBorders>
              <w:top w:val="nil"/>
              <w:left w:val="nil"/>
              <w:bottom w:val="single" w:sz="4" w:space="0" w:color="auto"/>
              <w:right w:val="single" w:sz="4" w:space="0" w:color="auto"/>
            </w:tcBorders>
            <w:shd w:val="clear" w:color="auto" w:fill="auto"/>
            <w:vAlign w:val="center"/>
            <w:hideMark/>
          </w:tcPr>
          <w:p w14:paraId="1F48F67D" w14:textId="77777777" w:rsidR="00F73820" w:rsidRPr="00DD5F1D" w:rsidRDefault="00F73820" w:rsidP="002578F5">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Datorii</w:t>
            </w:r>
          </w:p>
        </w:tc>
      </w:tr>
      <w:tr w:rsidR="000D40B3" w:rsidRPr="00DD5F1D" w14:paraId="24925424" w14:textId="77777777" w:rsidTr="00636C42">
        <w:trPr>
          <w:trHeight w:val="99"/>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19D49B1F" w14:textId="77777777" w:rsidR="00F73820" w:rsidRPr="00DD5F1D" w:rsidRDefault="00F73820" w:rsidP="00F73820">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w:t>
            </w:r>
          </w:p>
        </w:tc>
        <w:tc>
          <w:tcPr>
            <w:tcW w:w="756" w:type="dxa"/>
            <w:tcBorders>
              <w:top w:val="nil"/>
              <w:left w:val="nil"/>
              <w:bottom w:val="single" w:sz="4" w:space="0" w:color="auto"/>
              <w:right w:val="single" w:sz="4" w:space="0" w:color="auto"/>
            </w:tcBorders>
            <w:shd w:val="clear" w:color="auto" w:fill="auto"/>
            <w:noWrap/>
            <w:vAlign w:val="center"/>
            <w:hideMark/>
          </w:tcPr>
          <w:p w14:paraId="0C4FA2A5" w14:textId="77777777" w:rsidR="00F73820" w:rsidRPr="00DD5F1D" w:rsidRDefault="00F73820" w:rsidP="00F73820">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661F5820" w14:textId="77777777" w:rsidR="00F73820" w:rsidRPr="00DD5F1D" w:rsidRDefault="00F73820" w:rsidP="00F73820">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5B84A8B4" w14:textId="77777777" w:rsidR="00F73820" w:rsidRPr="00DD5F1D" w:rsidRDefault="00F73820" w:rsidP="00F73820">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B48DC82" w14:textId="77777777" w:rsidR="00F73820" w:rsidRPr="00DD5F1D" w:rsidRDefault="00F73820" w:rsidP="00F73820">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5</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54015E9" w14:textId="77777777" w:rsidR="00F73820" w:rsidRPr="00DD5F1D" w:rsidRDefault="00F73820" w:rsidP="00F73820">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6</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06954558" w14:textId="77777777" w:rsidR="00F73820" w:rsidRPr="00DD5F1D" w:rsidRDefault="00F73820" w:rsidP="00F73820">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7</w:t>
            </w:r>
          </w:p>
        </w:tc>
        <w:tc>
          <w:tcPr>
            <w:tcW w:w="891" w:type="dxa"/>
            <w:tcBorders>
              <w:top w:val="nil"/>
              <w:left w:val="nil"/>
              <w:bottom w:val="single" w:sz="4" w:space="0" w:color="auto"/>
              <w:right w:val="single" w:sz="4" w:space="0" w:color="auto"/>
            </w:tcBorders>
            <w:shd w:val="clear" w:color="auto" w:fill="auto"/>
            <w:noWrap/>
            <w:vAlign w:val="center"/>
            <w:hideMark/>
          </w:tcPr>
          <w:p w14:paraId="2791EF34" w14:textId="77777777" w:rsidR="00F73820" w:rsidRPr="00DD5F1D" w:rsidRDefault="00F73820" w:rsidP="00F73820">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8</w:t>
            </w:r>
          </w:p>
        </w:tc>
      </w:tr>
      <w:tr w:rsidR="000D40B3" w:rsidRPr="00DD5F1D" w14:paraId="0F7ABD5F" w14:textId="77777777" w:rsidTr="00636C42">
        <w:trPr>
          <w:trHeight w:val="158"/>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1CB2B00A"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I.  VENITURI</w:t>
            </w:r>
          </w:p>
        </w:tc>
        <w:tc>
          <w:tcPr>
            <w:tcW w:w="756" w:type="dxa"/>
            <w:tcBorders>
              <w:top w:val="nil"/>
              <w:left w:val="nil"/>
              <w:bottom w:val="single" w:sz="4" w:space="0" w:color="auto"/>
              <w:right w:val="single" w:sz="4" w:space="0" w:color="auto"/>
            </w:tcBorders>
            <w:shd w:val="clear" w:color="auto" w:fill="auto"/>
            <w:noWrap/>
            <w:vAlign w:val="center"/>
            <w:hideMark/>
          </w:tcPr>
          <w:p w14:paraId="0E1823A3"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w:t>
            </w:r>
          </w:p>
        </w:tc>
        <w:tc>
          <w:tcPr>
            <w:tcW w:w="1161" w:type="dxa"/>
            <w:tcBorders>
              <w:top w:val="nil"/>
              <w:left w:val="nil"/>
              <w:bottom w:val="single" w:sz="4" w:space="0" w:color="auto"/>
              <w:right w:val="single" w:sz="4" w:space="0" w:color="auto"/>
            </w:tcBorders>
            <w:shd w:val="clear" w:color="000000" w:fill="FFFFFF"/>
            <w:noWrap/>
            <w:vAlign w:val="center"/>
            <w:hideMark/>
          </w:tcPr>
          <w:p w14:paraId="4F1BD9F0"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38735</w:t>
            </w:r>
            <w:r w:rsidR="00F73820" w:rsidRPr="00DD5F1D">
              <w:rPr>
                <w:rFonts w:ascii="Times New Roman" w:eastAsia="Times New Roman" w:hAnsi="Times New Roman" w:cs="Times New Roman"/>
                <w:b/>
                <w:bCs/>
                <w:sz w:val="18"/>
                <w:szCs w:val="18"/>
                <w:lang w:val="ro-MD"/>
              </w:rPr>
              <w:t>604,7</w:t>
            </w:r>
          </w:p>
        </w:tc>
        <w:tc>
          <w:tcPr>
            <w:tcW w:w="1161" w:type="dxa"/>
            <w:tcBorders>
              <w:top w:val="nil"/>
              <w:left w:val="nil"/>
              <w:bottom w:val="single" w:sz="4" w:space="0" w:color="auto"/>
              <w:right w:val="single" w:sz="4" w:space="0" w:color="auto"/>
            </w:tcBorders>
            <w:shd w:val="clear" w:color="auto" w:fill="auto"/>
            <w:noWrap/>
            <w:vAlign w:val="center"/>
            <w:hideMark/>
          </w:tcPr>
          <w:p w14:paraId="7A84AF17"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38.870</w:t>
            </w:r>
            <w:r w:rsidR="00F73820" w:rsidRPr="00DD5F1D">
              <w:rPr>
                <w:rFonts w:ascii="Times New Roman" w:eastAsia="Times New Roman" w:hAnsi="Times New Roman" w:cs="Times New Roman"/>
                <w:b/>
                <w:bCs/>
                <w:sz w:val="18"/>
                <w:szCs w:val="18"/>
                <w:lang w:val="ro-MD"/>
              </w:rPr>
              <w:t>665,7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F3DFC91"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38604434,4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80F2038"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39026760,2</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753BA25"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2572490,2</w:t>
            </w:r>
          </w:p>
        </w:tc>
        <w:tc>
          <w:tcPr>
            <w:tcW w:w="891" w:type="dxa"/>
            <w:tcBorders>
              <w:top w:val="nil"/>
              <w:left w:val="nil"/>
              <w:bottom w:val="single" w:sz="4" w:space="0" w:color="auto"/>
              <w:right w:val="single" w:sz="4" w:space="0" w:color="auto"/>
            </w:tcBorders>
            <w:shd w:val="clear" w:color="auto" w:fill="auto"/>
            <w:noWrap/>
            <w:vAlign w:val="center"/>
            <w:hideMark/>
          </w:tcPr>
          <w:p w14:paraId="0218E0F5"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175867,1</w:t>
            </w:r>
          </w:p>
        </w:tc>
      </w:tr>
      <w:tr w:rsidR="000D40B3" w:rsidRPr="00DD5F1D" w14:paraId="16C7A31B" w14:textId="77777777" w:rsidTr="00636C42">
        <w:trPr>
          <w:trHeight w:val="218"/>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72BF98FD"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CONTRIBUŢII ŞI PRIME DE ASIGURĂRI OBLIGATORII</w:t>
            </w:r>
          </w:p>
        </w:tc>
        <w:tc>
          <w:tcPr>
            <w:tcW w:w="756" w:type="dxa"/>
            <w:tcBorders>
              <w:top w:val="nil"/>
              <w:left w:val="nil"/>
              <w:bottom w:val="single" w:sz="4" w:space="0" w:color="auto"/>
              <w:right w:val="single" w:sz="4" w:space="0" w:color="auto"/>
            </w:tcBorders>
            <w:shd w:val="clear" w:color="auto" w:fill="auto"/>
            <w:noWrap/>
            <w:vAlign w:val="center"/>
            <w:hideMark/>
          </w:tcPr>
          <w:p w14:paraId="3B5D0A96"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12</w:t>
            </w:r>
          </w:p>
        </w:tc>
        <w:tc>
          <w:tcPr>
            <w:tcW w:w="1161" w:type="dxa"/>
            <w:tcBorders>
              <w:top w:val="nil"/>
              <w:left w:val="nil"/>
              <w:bottom w:val="single" w:sz="4" w:space="0" w:color="auto"/>
              <w:right w:val="single" w:sz="4" w:space="0" w:color="auto"/>
            </w:tcBorders>
            <w:shd w:val="clear" w:color="auto" w:fill="auto"/>
            <w:noWrap/>
            <w:vAlign w:val="center"/>
            <w:hideMark/>
          </w:tcPr>
          <w:p w14:paraId="7B6BECE3"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21164</w:t>
            </w:r>
            <w:r w:rsidR="00F73820" w:rsidRPr="00DD5F1D">
              <w:rPr>
                <w:rFonts w:ascii="Times New Roman" w:eastAsia="Times New Roman" w:hAnsi="Times New Roman" w:cs="Times New Roman"/>
                <w:b/>
                <w:bCs/>
                <w:sz w:val="18"/>
                <w:szCs w:val="18"/>
                <w:lang w:val="ro-MD"/>
              </w:rPr>
              <w:t>035,4</w:t>
            </w:r>
          </w:p>
        </w:tc>
        <w:tc>
          <w:tcPr>
            <w:tcW w:w="1161" w:type="dxa"/>
            <w:tcBorders>
              <w:top w:val="nil"/>
              <w:left w:val="nil"/>
              <w:bottom w:val="single" w:sz="4" w:space="0" w:color="auto"/>
              <w:right w:val="single" w:sz="4" w:space="0" w:color="auto"/>
            </w:tcBorders>
            <w:shd w:val="clear" w:color="auto" w:fill="auto"/>
            <w:noWrap/>
            <w:vAlign w:val="center"/>
            <w:hideMark/>
          </w:tcPr>
          <w:p w14:paraId="766BBCD8"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21495</w:t>
            </w:r>
            <w:r w:rsidR="00F73820" w:rsidRPr="00DD5F1D">
              <w:rPr>
                <w:rFonts w:ascii="Times New Roman" w:eastAsia="Times New Roman" w:hAnsi="Times New Roman" w:cs="Times New Roman"/>
                <w:b/>
                <w:bCs/>
                <w:sz w:val="18"/>
                <w:szCs w:val="18"/>
                <w:lang w:val="ro-MD"/>
              </w:rPr>
              <w:t>235,4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E389864"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21524191,3</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C3AF9C9"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21941696,8</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7D8D7C77"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2474986,8</w:t>
            </w:r>
          </w:p>
        </w:tc>
        <w:tc>
          <w:tcPr>
            <w:tcW w:w="891" w:type="dxa"/>
            <w:tcBorders>
              <w:top w:val="nil"/>
              <w:left w:val="nil"/>
              <w:bottom w:val="single" w:sz="4" w:space="0" w:color="auto"/>
              <w:right w:val="single" w:sz="4" w:space="0" w:color="auto"/>
            </w:tcBorders>
            <w:shd w:val="clear" w:color="auto" w:fill="auto"/>
            <w:noWrap/>
            <w:vAlign w:val="center"/>
            <w:hideMark/>
          </w:tcPr>
          <w:p w14:paraId="37ECE987"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154986,1</w:t>
            </w:r>
          </w:p>
        </w:tc>
      </w:tr>
      <w:tr w:rsidR="000D40B3" w:rsidRPr="00DD5F1D" w14:paraId="07357782" w14:textId="77777777" w:rsidTr="00636C42">
        <w:trPr>
          <w:trHeight w:val="136"/>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03C90C18"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CONTRIBUŢII DE ASIGURĂRI SOCIALE DE STAT OBLIGATORII</w:t>
            </w:r>
          </w:p>
        </w:tc>
        <w:tc>
          <w:tcPr>
            <w:tcW w:w="756" w:type="dxa"/>
            <w:tcBorders>
              <w:top w:val="nil"/>
              <w:left w:val="nil"/>
              <w:bottom w:val="single" w:sz="4" w:space="0" w:color="auto"/>
              <w:right w:val="single" w:sz="4" w:space="0" w:color="auto"/>
            </w:tcBorders>
            <w:shd w:val="clear" w:color="auto" w:fill="auto"/>
            <w:noWrap/>
            <w:vAlign w:val="center"/>
            <w:hideMark/>
          </w:tcPr>
          <w:p w14:paraId="52E19A8F"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121</w:t>
            </w:r>
          </w:p>
        </w:tc>
        <w:tc>
          <w:tcPr>
            <w:tcW w:w="1161" w:type="dxa"/>
            <w:tcBorders>
              <w:top w:val="nil"/>
              <w:left w:val="nil"/>
              <w:bottom w:val="single" w:sz="4" w:space="0" w:color="auto"/>
              <w:right w:val="single" w:sz="4" w:space="0" w:color="auto"/>
            </w:tcBorders>
            <w:shd w:val="clear" w:color="auto" w:fill="auto"/>
            <w:noWrap/>
            <w:vAlign w:val="center"/>
            <w:hideMark/>
          </w:tcPr>
          <w:p w14:paraId="33F32F60"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21164</w:t>
            </w:r>
            <w:r w:rsidR="00F73820" w:rsidRPr="00DD5F1D">
              <w:rPr>
                <w:rFonts w:ascii="Times New Roman" w:eastAsia="Times New Roman" w:hAnsi="Times New Roman" w:cs="Times New Roman"/>
                <w:b/>
                <w:bCs/>
                <w:sz w:val="18"/>
                <w:szCs w:val="18"/>
                <w:lang w:val="ro-MD"/>
              </w:rPr>
              <w:t>035,4</w:t>
            </w:r>
          </w:p>
        </w:tc>
        <w:tc>
          <w:tcPr>
            <w:tcW w:w="1161" w:type="dxa"/>
            <w:tcBorders>
              <w:top w:val="nil"/>
              <w:left w:val="nil"/>
              <w:bottom w:val="single" w:sz="4" w:space="0" w:color="auto"/>
              <w:right w:val="single" w:sz="4" w:space="0" w:color="auto"/>
            </w:tcBorders>
            <w:shd w:val="clear" w:color="000000" w:fill="FFFFFF"/>
            <w:noWrap/>
            <w:vAlign w:val="center"/>
            <w:hideMark/>
          </w:tcPr>
          <w:p w14:paraId="136D3E09"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21</w:t>
            </w:r>
            <w:r w:rsidR="00F73820" w:rsidRPr="00DD5F1D">
              <w:rPr>
                <w:rFonts w:ascii="Times New Roman" w:eastAsia="Times New Roman" w:hAnsi="Times New Roman" w:cs="Times New Roman"/>
                <w:b/>
                <w:bCs/>
                <w:sz w:val="18"/>
                <w:szCs w:val="18"/>
                <w:lang w:val="ro-MD"/>
              </w:rPr>
              <w:t>495.235,4</w:t>
            </w:r>
          </w:p>
        </w:tc>
        <w:tc>
          <w:tcPr>
            <w:tcW w:w="1071" w:type="dxa"/>
            <w:gridSpan w:val="2"/>
            <w:tcBorders>
              <w:top w:val="nil"/>
              <w:left w:val="nil"/>
              <w:bottom w:val="single" w:sz="4" w:space="0" w:color="auto"/>
              <w:right w:val="single" w:sz="4" w:space="0" w:color="auto"/>
            </w:tcBorders>
            <w:shd w:val="clear" w:color="000000" w:fill="FFFFFF"/>
            <w:noWrap/>
            <w:vAlign w:val="center"/>
            <w:hideMark/>
          </w:tcPr>
          <w:p w14:paraId="60F18FAC"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21524191,3</w:t>
            </w:r>
          </w:p>
        </w:tc>
        <w:tc>
          <w:tcPr>
            <w:tcW w:w="1071" w:type="dxa"/>
            <w:gridSpan w:val="2"/>
            <w:tcBorders>
              <w:top w:val="nil"/>
              <w:left w:val="nil"/>
              <w:bottom w:val="single" w:sz="4" w:space="0" w:color="auto"/>
              <w:right w:val="single" w:sz="4" w:space="0" w:color="auto"/>
            </w:tcBorders>
            <w:shd w:val="clear" w:color="000000" w:fill="FFFFFF"/>
            <w:noWrap/>
            <w:vAlign w:val="center"/>
            <w:hideMark/>
          </w:tcPr>
          <w:p w14:paraId="2E21A05D"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21941696,8</w:t>
            </w:r>
          </w:p>
        </w:tc>
        <w:tc>
          <w:tcPr>
            <w:tcW w:w="981" w:type="dxa"/>
            <w:gridSpan w:val="2"/>
            <w:tcBorders>
              <w:top w:val="nil"/>
              <w:left w:val="nil"/>
              <w:bottom w:val="single" w:sz="4" w:space="0" w:color="auto"/>
              <w:right w:val="single" w:sz="4" w:space="0" w:color="auto"/>
            </w:tcBorders>
            <w:shd w:val="clear" w:color="000000" w:fill="FFFFFF"/>
            <w:noWrap/>
            <w:vAlign w:val="center"/>
            <w:hideMark/>
          </w:tcPr>
          <w:p w14:paraId="5B11D252"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2474986,8</w:t>
            </w:r>
          </w:p>
        </w:tc>
        <w:tc>
          <w:tcPr>
            <w:tcW w:w="891" w:type="dxa"/>
            <w:tcBorders>
              <w:top w:val="nil"/>
              <w:left w:val="nil"/>
              <w:bottom w:val="single" w:sz="4" w:space="0" w:color="auto"/>
              <w:right w:val="single" w:sz="4" w:space="0" w:color="auto"/>
            </w:tcBorders>
            <w:shd w:val="clear" w:color="000000" w:fill="FFFFFF"/>
            <w:noWrap/>
            <w:vAlign w:val="center"/>
            <w:hideMark/>
          </w:tcPr>
          <w:p w14:paraId="55BE7904"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154986,1</w:t>
            </w:r>
          </w:p>
        </w:tc>
      </w:tr>
      <w:tr w:rsidR="000D40B3" w:rsidRPr="00DD5F1D" w14:paraId="422F3E02" w14:textId="77777777" w:rsidTr="00636C42">
        <w:trPr>
          <w:trHeight w:val="19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29365CAB"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obligatorii virate de angajatori</w:t>
            </w:r>
          </w:p>
        </w:tc>
        <w:tc>
          <w:tcPr>
            <w:tcW w:w="756" w:type="dxa"/>
            <w:tcBorders>
              <w:top w:val="nil"/>
              <w:left w:val="nil"/>
              <w:bottom w:val="single" w:sz="4" w:space="0" w:color="auto"/>
              <w:right w:val="single" w:sz="4" w:space="0" w:color="auto"/>
            </w:tcBorders>
            <w:shd w:val="clear" w:color="auto" w:fill="auto"/>
            <w:noWrap/>
            <w:vAlign w:val="center"/>
            <w:hideMark/>
          </w:tcPr>
          <w:p w14:paraId="258DC691"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121100</w:t>
            </w:r>
          </w:p>
        </w:tc>
        <w:tc>
          <w:tcPr>
            <w:tcW w:w="1161" w:type="dxa"/>
            <w:tcBorders>
              <w:top w:val="nil"/>
              <w:left w:val="nil"/>
              <w:bottom w:val="single" w:sz="4" w:space="0" w:color="auto"/>
              <w:right w:val="single" w:sz="4" w:space="0" w:color="auto"/>
            </w:tcBorders>
            <w:shd w:val="clear" w:color="auto" w:fill="auto"/>
            <w:vAlign w:val="center"/>
            <w:hideMark/>
          </w:tcPr>
          <w:p w14:paraId="4B07763A"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20951</w:t>
            </w:r>
            <w:r w:rsidR="00F73820" w:rsidRPr="00DD5F1D">
              <w:rPr>
                <w:rFonts w:ascii="Times New Roman" w:eastAsia="Times New Roman" w:hAnsi="Times New Roman" w:cs="Times New Roman"/>
                <w:sz w:val="18"/>
                <w:szCs w:val="18"/>
                <w:lang w:val="ro-MD"/>
              </w:rPr>
              <w:t>300,0</w:t>
            </w:r>
          </w:p>
        </w:tc>
        <w:tc>
          <w:tcPr>
            <w:tcW w:w="1161" w:type="dxa"/>
            <w:tcBorders>
              <w:top w:val="nil"/>
              <w:left w:val="nil"/>
              <w:bottom w:val="single" w:sz="4" w:space="0" w:color="auto"/>
              <w:right w:val="single" w:sz="4" w:space="0" w:color="auto"/>
            </w:tcBorders>
            <w:shd w:val="clear" w:color="auto" w:fill="auto"/>
            <w:noWrap/>
            <w:vAlign w:val="center"/>
            <w:hideMark/>
          </w:tcPr>
          <w:p w14:paraId="784F68D5"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21</w:t>
            </w:r>
            <w:r w:rsidR="00F73820" w:rsidRPr="00DD5F1D">
              <w:rPr>
                <w:rFonts w:ascii="Times New Roman" w:eastAsia="Times New Roman" w:hAnsi="Times New Roman" w:cs="Times New Roman"/>
                <w:sz w:val="18"/>
                <w:szCs w:val="18"/>
                <w:lang w:val="ro-MD"/>
              </w:rPr>
              <w:t>260.300,0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975A473"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21277785,5</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1328700"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21631018,4</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A71DFD2"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2052852,4</w:t>
            </w:r>
          </w:p>
        </w:tc>
        <w:tc>
          <w:tcPr>
            <w:tcW w:w="891" w:type="dxa"/>
            <w:tcBorders>
              <w:top w:val="nil"/>
              <w:left w:val="nil"/>
              <w:bottom w:val="single" w:sz="4" w:space="0" w:color="auto"/>
              <w:right w:val="single" w:sz="4" w:space="0" w:color="auto"/>
            </w:tcBorders>
            <w:shd w:val="clear" w:color="auto" w:fill="auto"/>
            <w:noWrap/>
            <w:vAlign w:val="center"/>
            <w:hideMark/>
          </w:tcPr>
          <w:p w14:paraId="1DA44672"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110637,5</w:t>
            </w:r>
          </w:p>
        </w:tc>
      </w:tr>
      <w:tr w:rsidR="000D40B3" w:rsidRPr="00DD5F1D" w14:paraId="6986A612" w14:textId="77777777" w:rsidTr="00636C42">
        <w:trPr>
          <w:trHeight w:val="389"/>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296AAE37"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obligatorii, virate de persoanele fizice ce își desfășoară activitate pe cont propriu</w:t>
            </w:r>
          </w:p>
        </w:tc>
        <w:tc>
          <w:tcPr>
            <w:tcW w:w="756" w:type="dxa"/>
            <w:tcBorders>
              <w:top w:val="nil"/>
              <w:left w:val="nil"/>
              <w:bottom w:val="single" w:sz="4" w:space="0" w:color="auto"/>
              <w:right w:val="single" w:sz="4" w:space="0" w:color="auto"/>
            </w:tcBorders>
            <w:shd w:val="clear" w:color="auto" w:fill="auto"/>
            <w:vAlign w:val="center"/>
            <w:hideMark/>
          </w:tcPr>
          <w:p w14:paraId="7CAA4580"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121310</w:t>
            </w:r>
          </w:p>
        </w:tc>
        <w:tc>
          <w:tcPr>
            <w:tcW w:w="1161" w:type="dxa"/>
            <w:tcBorders>
              <w:top w:val="nil"/>
              <w:left w:val="nil"/>
              <w:bottom w:val="single" w:sz="4" w:space="0" w:color="auto"/>
              <w:right w:val="single" w:sz="4" w:space="0" w:color="auto"/>
            </w:tcBorders>
            <w:shd w:val="clear" w:color="auto" w:fill="auto"/>
            <w:vAlign w:val="center"/>
            <w:hideMark/>
          </w:tcPr>
          <w:p w14:paraId="2B393151"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152</w:t>
            </w:r>
            <w:r w:rsidR="00F73820" w:rsidRPr="00DD5F1D">
              <w:rPr>
                <w:rFonts w:ascii="Times New Roman" w:eastAsia="Times New Roman" w:hAnsi="Times New Roman" w:cs="Times New Roman"/>
                <w:sz w:val="18"/>
                <w:szCs w:val="18"/>
                <w:lang w:val="ro-MD"/>
              </w:rPr>
              <w:t>887,9</w:t>
            </w:r>
          </w:p>
        </w:tc>
        <w:tc>
          <w:tcPr>
            <w:tcW w:w="1161" w:type="dxa"/>
            <w:tcBorders>
              <w:top w:val="nil"/>
              <w:left w:val="nil"/>
              <w:bottom w:val="single" w:sz="4" w:space="0" w:color="auto"/>
              <w:right w:val="single" w:sz="4" w:space="0" w:color="auto"/>
            </w:tcBorders>
            <w:shd w:val="clear" w:color="000000" w:fill="FFFFFF"/>
            <w:vAlign w:val="center"/>
            <w:hideMark/>
          </w:tcPr>
          <w:p w14:paraId="4C25C6F8"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157</w:t>
            </w:r>
            <w:r w:rsidR="00F73820" w:rsidRPr="00DD5F1D">
              <w:rPr>
                <w:rFonts w:ascii="Times New Roman" w:eastAsia="Times New Roman" w:hAnsi="Times New Roman" w:cs="Times New Roman"/>
                <w:sz w:val="18"/>
                <w:szCs w:val="18"/>
                <w:lang w:val="ro-MD"/>
              </w:rPr>
              <w:t>683,7</w:t>
            </w:r>
          </w:p>
        </w:tc>
        <w:tc>
          <w:tcPr>
            <w:tcW w:w="1071" w:type="dxa"/>
            <w:gridSpan w:val="2"/>
            <w:tcBorders>
              <w:top w:val="nil"/>
              <w:left w:val="nil"/>
              <w:bottom w:val="single" w:sz="4" w:space="0" w:color="auto"/>
              <w:right w:val="single" w:sz="4" w:space="0" w:color="auto"/>
            </w:tcBorders>
            <w:shd w:val="clear" w:color="auto" w:fill="auto"/>
            <w:vAlign w:val="center"/>
            <w:hideMark/>
          </w:tcPr>
          <w:p w14:paraId="604EEA10"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149478,0</w:t>
            </w:r>
          </w:p>
        </w:tc>
        <w:tc>
          <w:tcPr>
            <w:tcW w:w="1071" w:type="dxa"/>
            <w:gridSpan w:val="2"/>
            <w:tcBorders>
              <w:top w:val="nil"/>
              <w:left w:val="nil"/>
              <w:bottom w:val="single" w:sz="4" w:space="0" w:color="auto"/>
              <w:right w:val="single" w:sz="4" w:space="0" w:color="auto"/>
            </w:tcBorders>
            <w:shd w:val="clear" w:color="auto" w:fill="auto"/>
            <w:vAlign w:val="center"/>
            <w:hideMark/>
          </w:tcPr>
          <w:p w14:paraId="4E765D13"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159466,1</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2DDD8602"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36826,0</w:t>
            </w:r>
          </w:p>
        </w:tc>
        <w:tc>
          <w:tcPr>
            <w:tcW w:w="891" w:type="dxa"/>
            <w:tcBorders>
              <w:top w:val="nil"/>
              <w:left w:val="nil"/>
              <w:bottom w:val="single" w:sz="4" w:space="0" w:color="auto"/>
              <w:right w:val="single" w:sz="4" w:space="0" w:color="auto"/>
            </w:tcBorders>
            <w:shd w:val="clear" w:color="auto" w:fill="auto"/>
            <w:noWrap/>
            <w:vAlign w:val="center"/>
            <w:hideMark/>
          </w:tcPr>
          <w:p w14:paraId="266AC7FB"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21237,8</w:t>
            </w:r>
          </w:p>
        </w:tc>
      </w:tr>
      <w:tr w:rsidR="000D40B3" w:rsidRPr="00DD5F1D" w14:paraId="299FB447" w14:textId="77777777" w:rsidTr="00636C42">
        <w:trPr>
          <w:trHeight w:val="269"/>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D9E0216"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individuale virate de persoanele fizice care au încheiat contract individual</w:t>
            </w:r>
          </w:p>
        </w:tc>
        <w:tc>
          <w:tcPr>
            <w:tcW w:w="756" w:type="dxa"/>
            <w:tcBorders>
              <w:top w:val="nil"/>
              <w:left w:val="nil"/>
              <w:bottom w:val="single" w:sz="4" w:space="0" w:color="auto"/>
              <w:right w:val="single" w:sz="4" w:space="0" w:color="auto"/>
            </w:tcBorders>
            <w:shd w:val="clear" w:color="auto" w:fill="auto"/>
            <w:noWrap/>
            <w:vAlign w:val="center"/>
            <w:hideMark/>
          </w:tcPr>
          <w:p w14:paraId="61C3085E"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121320</w:t>
            </w:r>
          </w:p>
        </w:tc>
        <w:tc>
          <w:tcPr>
            <w:tcW w:w="1161" w:type="dxa"/>
            <w:tcBorders>
              <w:top w:val="nil"/>
              <w:left w:val="nil"/>
              <w:bottom w:val="single" w:sz="4" w:space="0" w:color="auto"/>
              <w:right w:val="single" w:sz="4" w:space="0" w:color="auto"/>
            </w:tcBorders>
            <w:shd w:val="clear" w:color="auto" w:fill="auto"/>
            <w:noWrap/>
            <w:vAlign w:val="center"/>
            <w:hideMark/>
          </w:tcPr>
          <w:p w14:paraId="1224DA17"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w:t>
            </w:r>
            <w:r w:rsidR="00F73820" w:rsidRPr="00DD5F1D">
              <w:rPr>
                <w:rFonts w:ascii="Times New Roman" w:eastAsia="Times New Roman" w:hAnsi="Times New Roman" w:cs="Times New Roman"/>
                <w:sz w:val="18"/>
                <w:szCs w:val="18"/>
                <w:lang w:val="ro-MD"/>
              </w:rPr>
              <w:t>235,8</w:t>
            </w:r>
          </w:p>
        </w:tc>
        <w:tc>
          <w:tcPr>
            <w:tcW w:w="1161" w:type="dxa"/>
            <w:tcBorders>
              <w:top w:val="nil"/>
              <w:left w:val="nil"/>
              <w:bottom w:val="single" w:sz="4" w:space="0" w:color="auto"/>
              <w:right w:val="single" w:sz="4" w:space="0" w:color="auto"/>
            </w:tcBorders>
            <w:shd w:val="clear" w:color="000000" w:fill="FFFFFF"/>
            <w:noWrap/>
            <w:vAlign w:val="center"/>
            <w:hideMark/>
          </w:tcPr>
          <w:p w14:paraId="2ACF52F6"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w:t>
            </w:r>
            <w:r w:rsidR="00F73820" w:rsidRPr="00DD5F1D">
              <w:rPr>
                <w:rFonts w:ascii="Times New Roman" w:eastAsia="Times New Roman" w:hAnsi="Times New Roman" w:cs="Times New Roman"/>
                <w:sz w:val="18"/>
                <w:szCs w:val="18"/>
                <w:lang w:val="ro-MD"/>
              </w:rPr>
              <w:t>656,5</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EAE8074"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5872,9</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3782E138"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5386,7</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3306FD95"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179,9</w:t>
            </w:r>
          </w:p>
        </w:tc>
        <w:tc>
          <w:tcPr>
            <w:tcW w:w="891" w:type="dxa"/>
            <w:tcBorders>
              <w:top w:val="nil"/>
              <w:left w:val="nil"/>
              <w:bottom w:val="single" w:sz="4" w:space="0" w:color="auto"/>
              <w:right w:val="single" w:sz="4" w:space="0" w:color="auto"/>
            </w:tcBorders>
            <w:shd w:val="clear" w:color="auto" w:fill="auto"/>
            <w:noWrap/>
            <w:vAlign w:val="center"/>
            <w:hideMark/>
          </w:tcPr>
          <w:p w14:paraId="2E3B079C"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2250,2</w:t>
            </w:r>
          </w:p>
        </w:tc>
      </w:tr>
      <w:tr w:rsidR="000D40B3" w:rsidRPr="00DD5F1D" w14:paraId="7928270E" w14:textId="77777777" w:rsidTr="00636C42">
        <w:trPr>
          <w:trHeight w:val="419"/>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6ED3E201"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obligatorii, virate de titularii de patentă de întreprinzător</w:t>
            </w:r>
          </w:p>
        </w:tc>
        <w:tc>
          <w:tcPr>
            <w:tcW w:w="756" w:type="dxa"/>
            <w:tcBorders>
              <w:top w:val="nil"/>
              <w:left w:val="nil"/>
              <w:bottom w:val="single" w:sz="4" w:space="0" w:color="auto"/>
              <w:right w:val="single" w:sz="4" w:space="0" w:color="auto"/>
            </w:tcBorders>
            <w:shd w:val="clear" w:color="auto" w:fill="auto"/>
            <w:vAlign w:val="center"/>
            <w:hideMark/>
          </w:tcPr>
          <w:p w14:paraId="519234E0"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121330</w:t>
            </w:r>
          </w:p>
        </w:tc>
        <w:tc>
          <w:tcPr>
            <w:tcW w:w="1161" w:type="dxa"/>
            <w:tcBorders>
              <w:top w:val="nil"/>
              <w:left w:val="nil"/>
              <w:bottom w:val="single" w:sz="4" w:space="0" w:color="auto"/>
              <w:right w:val="single" w:sz="4" w:space="0" w:color="auto"/>
            </w:tcBorders>
            <w:shd w:val="clear" w:color="auto" w:fill="auto"/>
            <w:vAlign w:val="center"/>
            <w:hideMark/>
          </w:tcPr>
          <w:p w14:paraId="71036098"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52</w:t>
            </w:r>
            <w:r w:rsidR="00F73820" w:rsidRPr="00DD5F1D">
              <w:rPr>
                <w:rFonts w:ascii="Times New Roman" w:eastAsia="Times New Roman" w:hAnsi="Times New Roman" w:cs="Times New Roman"/>
                <w:sz w:val="18"/>
                <w:szCs w:val="18"/>
                <w:lang w:val="ro-MD"/>
              </w:rPr>
              <w:t>611,7</w:t>
            </w:r>
          </w:p>
        </w:tc>
        <w:tc>
          <w:tcPr>
            <w:tcW w:w="1161" w:type="dxa"/>
            <w:tcBorders>
              <w:top w:val="nil"/>
              <w:left w:val="nil"/>
              <w:bottom w:val="single" w:sz="4" w:space="0" w:color="auto"/>
              <w:right w:val="single" w:sz="4" w:space="0" w:color="auto"/>
            </w:tcBorders>
            <w:shd w:val="clear" w:color="000000" w:fill="FFFFFF"/>
            <w:vAlign w:val="center"/>
            <w:hideMark/>
          </w:tcPr>
          <w:p w14:paraId="299DA4A7"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41</w:t>
            </w:r>
            <w:r w:rsidR="00F73820" w:rsidRPr="00DD5F1D">
              <w:rPr>
                <w:rFonts w:ascii="Times New Roman" w:eastAsia="Times New Roman" w:hAnsi="Times New Roman" w:cs="Times New Roman"/>
                <w:sz w:val="18"/>
                <w:szCs w:val="18"/>
                <w:lang w:val="ro-MD"/>
              </w:rPr>
              <w:t>595,2</w:t>
            </w:r>
          </w:p>
        </w:tc>
        <w:tc>
          <w:tcPr>
            <w:tcW w:w="1071" w:type="dxa"/>
            <w:gridSpan w:val="2"/>
            <w:tcBorders>
              <w:top w:val="nil"/>
              <w:left w:val="nil"/>
              <w:bottom w:val="single" w:sz="4" w:space="0" w:color="auto"/>
              <w:right w:val="single" w:sz="4" w:space="0" w:color="auto"/>
            </w:tcBorders>
            <w:shd w:val="clear" w:color="auto" w:fill="auto"/>
            <w:vAlign w:val="center"/>
            <w:hideMark/>
          </w:tcPr>
          <w:p w14:paraId="1FC250D8"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41578,9</w:t>
            </w:r>
          </w:p>
        </w:tc>
        <w:tc>
          <w:tcPr>
            <w:tcW w:w="1071" w:type="dxa"/>
            <w:gridSpan w:val="2"/>
            <w:tcBorders>
              <w:top w:val="nil"/>
              <w:left w:val="nil"/>
              <w:bottom w:val="single" w:sz="4" w:space="0" w:color="auto"/>
              <w:right w:val="single" w:sz="4" w:space="0" w:color="auto"/>
            </w:tcBorders>
            <w:shd w:val="clear" w:color="auto" w:fill="auto"/>
            <w:vAlign w:val="center"/>
            <w:hideMark/>
          </w:tcPr>
          <w:p w14:paraId="7CA42E74"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48240,8</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1971CFD"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13845,9</w:t>
            </w:r>
          </w:p>
        </w:tc>
        <w:tc>
          <w:tcPr>
            <w:tcW w:w="891" w:type="dxa"/>
            <w:tcBorders>
              <w:top w:val="nil"/>
              <w:left w:val="nil"/>
              <w:bottom w:val="single" w:sz="4" w:space="0" w:color="auto"/>
              <w:right w:val="single" w:sz="4" w:space="0" w:color="auto"/>
            </w:tcBorders>
            <w:shd w:val="clear" w:color="auto" w:fill="auto"/>
            <w:noWrap/>
            <w:vAlign w:val="center"/>
            <w:hideMark/>
          </w:tcPr>
          <w:p w14:paraId="5D3FF1B2"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17481,4</w:t>
            </w:r>
          </w:p>
        </w:tc>
      </w:tr>
      <w:tr w:rsidR="000D40B3" w:rsidRPr="00DD5F1D" w14:paraId="33577A81" w14:textId="77777777" w:rsidTr="00636C42">
        <w:trPr>
          <w:trHeight w:val="132"/>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146F4BC9"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obligatorii, virate de persoanele fizice, proprietarii de terenuri agricole</w:t>
            </w:r>
          </w:p>
        </w:tc>
        <w:tc>
          <w:tcPr>
            <w:tcW w:w="756" w:type="dxa"/>
            <w:tcBorders>
              <w:top w:val="nil"/>
              <w:left w:val="nil"/>
              <w:bottom w:val="single" w:sz="4" w:space="0" w:color="auto"/>
              <w:right w:val="single" w:sz="4" w:space="0" w:color="auto"/>
            </w:tcBorders>
            <w:shd w:val="clear" w:color="auto" w:fill="auto"/>
            <w:vAlign w:val="center"/>
            <w:hideMark/>
          </w:tcPr>
          <w:p w14:paraId="0CBB0FB3"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121340</w:t>
            </w:r>
          </w:p>
        </w:tc>
        <w:tc>
          <w:tcPr>
            <w:tcW w:w="1161" w:type="dxa"/>
            <w:tcBorders>
              <w:top w:val="nil"/>
              <w:left w:val="nil"/>
              <w:bottom w:val="single" w:sz="4" w:space="0" w:color="auto"/>
              <w:right w:val="single" w:sz="4" w:space="0" w:color="auto"/>
            </w:tcBorders>
            <w:shd w:val="clear" w:color="auto" w:fill="auto"/>
            <w:vAlign w:val="center"/>
            <w:hideMark/>
          </w:tcPr>
          <w:p w14:paraId="7F5609E9"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1161" w:type="dxa"/>
            <w:tcBorders>
              <w:top w:val="nil"/>
              <w:left w:val="nil"/>
              <w:bottom w:val="single" w:sz="4" w:space="0" w:color="auto"/>
              <w:right w:val="single" w:sz="4" w:space="0" w:color="auto"/>
            </w:tcBorders>
            <w:shd w:val="clear" w:color="000000" w:fill="FFFFFF"/>
            <w:vAlign w:val="center"/>
            <w:hideMark/>
          </w:tcPr>
          <w:p w14:paraId="22C71F37"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1071" w:type="dxa"/>
            <w:gridSpan w:val="2"/>
            <w:tcBorders>
              <w:top w:val="nil"/>
              <w:left w:val="nil"/>
              <w:bottom w:val="single" w:sz="4" w:space="0" w:color="auto"/>
              <w:right w:val="single" w:sz="4" w:space="0" w:color="auto"/>
            </w:tcBorders>
            <w:shd w:val="clear" w:color="auto" w:fill="auto"/>
            <w:vAlign w:val="center"/>
            <w:hideMark/>
          </w:tcPr>
          <w:p w14:paraId="4C05464A"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72,7</w:t>
            </w:r>
          </w:p>
        </w:tc>
        <w:tc>
          <w:tcPr>
            <w:tcW w:w="1071" w:type="dxa"/>
            <w:gridSpan w:val="2"/>
            <w:tcBorders>
              <w:top w:val="nil"/>
              <w:left w:val="nil"/>
              <w:bottom w:val="single" w:sz="4" w:space="0" w:color="auto"/>
              <w:right w:val="single" w:sz="4" w:space="0" w:color="auto"/>
            </w:tcBorders>
            <w:shd w:val="clear" w:color="auto" w:fill="auto"/>
            <w:vAlign w:val="center"/>
            <w:hideMark/>
          </w:tcPr>
          <w:p w14:paraId="01665F66"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69,2</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F668FB7"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3,4</w:t>
            </w:r>
          </w:p>
        </w:tc>
        <w:tc>
          <w:tcPr>
            <w:tcW w:w="891" w:type="dxa"/>
            <w:tcBorders>
              <w:top w:val="nil"/>
              <w:left w:val="nil"/>
              <w:bottom w:val="single" w:sz="4" w:space="0" w:color="auto"/>
              <w:right w:val="single" w:sz="4" w:space="0" w:color="auto"/>
            </w:tcBorders>
            <w:shd w:val="clear" w:color="auto" w:fill="auto"/>
            <w:noWrap/>
            <w:vAlign w:val="center"/>
            <w:hideMark/>
          </w:tcPr>
          <w:p w14:paraId="2CA43A25"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707,0</w:t>
            </w:r>
          </w:p>
        </w:tc>
      </w:tr>
      <w:tr w:rsidR="000D40B3" w:rsidRPr="00DD5F1D" w14:paraId="52A9AB46" w14:textId="77777777" w:rsidTr="00636C42">
        <w:trPr>
          <w:trHeight w:val="224"/>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3E037144"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Majorarea de întârziere (penalitatea)calculată pentru neachitarea în termen a contribuțiilor de asigurări sociale de stat obligatorii</w:t>
            </w:r>
          </w:p>
        </w:tc>
        <w:tc>
          <w:tcPr>
            <w:tcW w:w="756" w:type="dxa"/>
            <w:tcBorders>
              <w:top w:val="nil"/>
              <w:left w:val="nil"/>
              <w:bottom w:val="single" w:sz="4" w:space="0" w:color="auto"/>
              <w:right w:val="single" w:sz="4" w:space="0" w:color="auto"/>
            </w:tcBorders>
            <w:shd w:val="clear" w:color="auto" w:fill="auto"/>
            <w:vAlign w:val="center"/>
            <w:hideMark/>
          </w:tcPr>
          <w:p w14:paraId="251D25B5"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121410</w:t>
            </w:r>
          </w:p>
        </w:tc>
        <w:tc>
          <w:tcPr>
            <w:tcW w:w="1161" w:type="dxa"/>
            <w:tcBorders>
              <w:top w:val="nil"/>
              <w:left w:val="nil"/>
              <w:bottom w:val="single" w:sz="4" w:space="0" w:color="auto"/>
              <w:right w:val="single" w:sz="4" w:space="0" w:color="auto"/>
            </w:tcBorders>
            <w:shd w:val="clear" w:color="auto" w:fill="auto"/>
            <w:vAlign w:val="center"/>
            <w:hideMark/>
          </w:tcPr>
          <w:p w14:paraId="6A3C48B9"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1161" w:type="dxa"/>
            <w:tcBorders>
              <w:top w:val="nil"/>
              <w:left w:val="nil"/>
              <w:bottom w:val="single" w:sz="4" w:space="0" w:color="auto"/>
              <w:right w:val="single" w:sz="4" w:space="0" w:color="auto"/>
            </w:tcBorders>
            <w:shd w:val="clear" w:color="auto" w:fill="auto"/>
            <w:vAlign w:val="center"/>
            <w:hideMark/>
          </w:tcPr>
          <w:p w14:paraId="25BED559"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30000,0</w:t>
            </w:r>
          </w:p>
        </w:tc>
        <w:tc>
          <w:tcPr>
            <w:tcW w:w="1071" w:type="dxa"/>
            <w:gridSpan w:val="2"/>
            <w:tcBorders>
              <w:top w:val="nil"/>
              <w:left w:val="nil"/>
              <w:bottom w:val="single" w:sz="4" w:space="0" w:color="auto"/>
              <w:right w:val="single" w:sz="4" w:space="0" w:color="auto"/>
            </w:tcBorders>
            <w:shd w:val="clear" w:color="auto" w:fill="auto"/>
            <w:vAlign w:val="center"/>
            <w:hideMark/>
          </w:tcPr>
          <w:p w14:paraId="250B7FA4"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49403,3</w:t>
            </w:r>
          </w:p>
        </w:tc>
        <w:tc>
          <w:tcPr>
            <w:tcW w:w="1071" w:type="dxa"/>
            <w:gridSpan w:val="2"/>
            <w:tcBorders>
              <w:top w:val="nil"/>
              <w:left w:val="nil"/>
              <w:bottom w:val="single" w:sz="4" w:space="0" w:color="auto"/>
              <w:right w:val="single" w:sz="4" w:space="0" w:color="auto"/>
            </w:tcBorders>
            <w:shd w:val="clear" w:color="auto" w:fill="auto"/>
            <w:vAlign w:val="center"/>
            <w:hideMark/>
          </w:tcPr>
          <w:p w14:paraId="452C74EB"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97515,6</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558E3A01"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371279,2</w:t>
            </w:r>
          </w:p>
        </w:tc>
        <w:tc>
          <w:tcPr>
            <w:tcW w:w="891" w:type="dxa"/>
            <w:tcBorders>
              <w:top w:val="nil"/>
              <w:left w:val="nil"/>
              <w:bottom w:val="single" w:sz="4" w:space="0" w:color="auto"/>
              <w:right w:val="single" w:sz="4" w:space="0" w:color="auto"/>
            </w:tcBorders>
            <w:shd w:val="clear" w:color="auto" w:fill="auto"/>
            <w:noWrap/>
            <w:vAlign w:val="center"/>
            <w:hideMark/>
          </w:tcPr>
          <w:p w14:paraId="4C542203"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2672,2</w:t>
            </w:r>
          </w:p>
        </w:tc>
      </w:tr>
      <w:tr w:rsidR="000D40B3" w:rsidRPr="00DD5F1D" w14:paraId="493951D5" w14:textId="77777777" w:rsidTr="00636C42">
        <w:trPr>
          <w:trHeight w:val="13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21C82A2"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ALTE VENITURI</w:t>
            </w:r>
          </w:p>
        </w:tc>
        <w:tc>
          <w:tcPr>
            <w:tcW w:w="756" w:type="dxa"/>
            <w:tcBorders>
              <w:top w:val="nil"/>
              <w:left w:val="nil"/>
              <w:bottom w:val="single" w:sz="4" w:space="0" w:color="auto"/>
              <w:right w:val="single" w:sz="4" w:space="0" w:color="auto"/>
            </w:tcBorders>
            <w:shd w:val="clear" w:color="auto" w:fill="auto"/>
            <w:noWrap/>
            <w:vAlign w:val="center"/>
            <w:hideMark/>
          </w:tcPr>
          <w:p w14:paraId="2ACC5167"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14</w:t>
            </w:r>
          </w:p>
        </w:tc>
        <w:tc>
          <w:tcPr>
            <w:tcW w:w="1161" w:type="dxa"/>
            <w:tcBorders>
              <w:top w:val="nil"/>
              <w:left w:val="nil"/>
              <w:bottom w:val="single" w:sz="4" w:space="0" w:color="auto"/>
              <w:right w:val="single" w:sz="4" w:space="0" w:color="auto"/>
            </w:tcBorders>
            <w:shd w:val="clear" w:color="auto" w:fill="auto"/>
            <w:noWrap/>
            <w:vAlign w:val="center"/>
            <w:hideMark/>
          </w:tcPr>
          <w:p w14:paraId="7B5B9A01"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401</w:t>
            </w:r>
            <w:r w:rsidR="00F73820" w:rsidRPr="00DD5F1D">
              <w:rPr>
                <w:rFonts w:ascii="Times New Roman" w:eastAsia="Times New Roman" w:hAnsi="Times New Roman" w:cs="Times New Roman"/>
                <w:b/>
                <w:bCs/>
                <w:sz w:val="18"/>
                <w:szCs w:val="18"/>
                <w:lang w:val="ro-MD"/>
              </w:rPr>
              <w:t>700,0</w:t>
            </w:r>
          </w:p>
        </w:tc>
        <w:tc>
          <w:tcPr>
            <w:tcW w:w="1161" w:type="dxa"/>
            <w:tcBorders>
              <w:top w:val="nil"/>
              <w:left w:val="nil"/>
              <w:bottom w:val="single" w:sz="4" w:space="0" w:color="auto"/>
              <w:right w:val="single" w:sz="4" w:space="0" w:color="auto"/>
            </w:tcBorders>
            <w:shd w:val="clear" w:color="000000" w:fill="FFFFFF"/>
            <w:noWrap/>
            <w:vAlign w:val="center"/>
            <w:hideMark/>
          </w:tcPr>
          <w:p w14:paraId="04302469"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545</w:t>
            </w:r>
            <w:r w:rsidR="00F73820" w:rsidRPr="00DD5F1D">
              <w:rPr>
                <w:rFonts w:ascii="Times New Roman" w:eastAsia="Times New Roman" w:hAnsi="Times New Roman" w:cs="Times New Roman"/>
                <w:b/>
                <w:bCs/>
                <w:sz w:val="18"/>
                <w:szCs w:val="18"/>
                <w:lang w:val="ro-MD"/>
              </w:rPr>
              <w:t>700,0</w:t>
            </w:r>
          </w:p>
        </w:tc>
        <w:tc>
          <w:tcPr>
            <w:tcW w:w="1071" w:type="dxa"/>
            <w:gridSpan w:val="2"/>
            <w:tcBorders>
              <w:top w:val="nil"/>
              <w:left w:val="nil"/>
              <w:bottom w:val="single" w:sz="4" w:space="0" w:color="auto"/>
              <w:right w:val="single" w:sz="4" w:space="0" w:color="auto"/>
            </w:tcBorders>
            <w:shd w:val="clear" w:color="000000" w:fill="FFFFFF"/>
            <w:noWrap/>
            <w:vAlign w:val="center"/>
            <w:hideMark/>
          </w:tcPr>
          <w:p w14:paraId="45F16FFD"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568646,1</w:t>
            </w:r>
          </w:p>
        </w:tc>
        <w:tc>
          <w:tcPr>
            <w:tcW w:w="1071" w:type="dxa"/>
            <w:gridSpan w:val="2"/>
            <w:tcBorders>
              <w:top w:val="nil"/>
              <w:left w:val="nil"/>
              <w:bottom w:val="single" w:sz="4" w:space="0" w:color="auto"/>
              <w:right w:val="single" w:sz="4" w:space="0" w:color="auto"/>
            </w:tcBorders>
            <w:shd w:val="clear" w:color="000000" w:fill="FFFFFF"/>
            <w:noWrap/>
            <w:vAlign w:val="center"/>
            <w:hideMark/>
          </w:tcPr>
          <w:p w14:paraId="5A621E51"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573466,4</w:t>
            </w:r>
          </w:p>
        </w:tc>
        <w:tc>
          <w:tcPr>
            <w:tcW w:w="981" w:type="dxa"/>
            <w:gridSpan w:val="2"/>
            <w:tcBorders>
              <w:top w:val="nil"/>
              <w:left w:val="nil"/>
              <w:bottom w:val="single" w:sz="4" w:space="0" w:color="auto"/>
              <w:right w:val="single" w:sz="4" w:space="0" w:color="auto"/>
            </w:tcBorders>
            <w:shd w:val="clear" w:color="000000" w:fill="FFFFFF"/>
            <w:noWrap/>
            <w:vAlign w:val="center"/>
            <w:hideMark/>
          </w:tcPr>
          <w:p w14:paraId="0131E85D"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97503,4</w:t>
            </w:r>
          </w:p>
        </w:tc>
        <w:tc>
          <w:tcPr>
            <w:tcW w:w="891" w:type="dxa"/>
            <w:tcBorders>
              <w:top w:val="nil"/>
              <w:left w:val="nil"/>
              <w:bottom w:val="single" w:sz="4" w:space="0" w:color="auto"/>
              <w:right w:val="single" w:sz="4" w:space="0" w:color="auto"/>
            </w:tcBorders>
            <w:shd w:val="clear" w:color="000000" w:fill="FFFFFF"/>
            <w:noWrap/>
            <w:vAlign w:val="center"/>
            <w:hideMark/>
          </w:tcPr>
          <w:p w14:paraId="72ABF094"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20881,0</w:t>
            </w:r>
          </w:p>
        </w:tc>
      </w:tr>
      <w:tr w:rsidR="000D40B3" w:rsidRPr="00DD5F1D" w14:paraId="49BC346B" w14:textId="77777777" w:rsidTr="00636C42">
        <w:trPr>
          <w:trHeight w:val="134"/>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7052555"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VENITURI DIN PROPRIETATE</w:t>
            </w:r>
          </w:p>
        </w:tc>
        <w:tc>
          <w:tcPr>
            <w:tcW w:w="756" w:type="dxa"/>
            <w:tcBorders>
              <w:top w:val="nil"/>
              <w:left w:val="nil"/>
              <w:bottom w:val="single" w:sz="4" w:space="0" w:color="auto"/>
              <w:right w:val="single" w:sz="4" w:space="0" w:color="auto"/>
            </w:tcBorders>
            <w:shd w:val="clear" w:color="auto" w:fill="auto"/>
            <w:noWrap/>
            <w:vAlign w:val="center"/>
            <w:hideMark/>
          </w:tcPr>
          <w:p w14:paraId="5B75F642"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141</w:t>
            </w:r>
          </w:p>
        </w:tc>
        <w:tc>
          <w:tcPr>
            <w:tcW w:w="1161" w:type="dxa"/>
            <w:tcBorders>
              <w:top w:val="nil"/>
              <w:left w:val="nil"/>
              <w:bottom w:val="single" w:sz="4" w:space="0" w:color="auto"/>
              <w:right w:val="single" w:sz="4" w:space="0" w:color="auto"/>
            </w:tcBorders>
            <w:shd w:val="clear" w:color="auto" w:fill="auto"/>
            <w:noWrap/>
            <w:vAlign w:val="center"/>
            <w:hideMark/>
          </w:tcPr>
          <w:p w14:paraId="57752DA6"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w:t>
            </w:r>
            <w:r w:rsidR="00F73820" w:rsidRPr="00DD5F1D">
              <w:rPr>
                <w:rFonts w:ascii="Times New Roman" w:eastAsia="Times New Roman" w:hAnsi="Times New Roman" w:cs="Times New Roman"/>
                <w:b/>
                <w:bCs/>
                <w:sz w:val="18"/>
                <w:szCs w:val="18"/>
                <w:lang w:val="ro-MD"/>
              </w:rPr>
              <w:t>500,0</w:t>
            </w:r>
          </w:p>
        </w:tc>
        <w:tc>
          <w:tcPr>
            <w:tcW w:w="1161" w:type="dxa"/>
            <w:tcBorders>
              <w:top w:val="nil"/>
              <w:left w:val="nil"/>
              <w:bottom w:val="single" w:sz="4" w:space="0" w:color="auto"/>
              <w:right w:val="single" w:sz="4" w:space="0" w:color="auto"/>
            </w:tcBorders>
            <w:shd w:val="clear" w:color="000000" w:fill="FFFFFF"/>
            <w:noWrap/>
            <w:vAlign w:val="center"/>
            <w:hideMark/>
          </w:tcPr>
          <w:p w14:paraId="456513D1"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6</w:t>
            </w:r>
            <w:r w:rsidR="00F73820" w:rsidRPr="00DD5F1D">
              <w:rPr>
                <w:rFonts w:ascii="Times New Roman" w:eastAsia="Times New Roman" w:hAnsi="Times New Roman" w:cs="Times New Roman"/>
                <w:b/>
                <w:bCs/>
                <w:sz w:val="18"/>
                <w:szCs w:val="18"/>
                <w:lang w:val="ro-MD"/>
              </w:rPr>
              <w:t>500,0</w:t>
            </w:r>
          </w:p>
        </w:tc>
        <w:tc>
          <w:tcPr>
            <w:tcW w:w="1071" w:type="dxa"/>
            <w:gridSpan w:val="2"/>
            <w:tcBorders>
              <w:top w:val="nil"/>
              <w:left w:val="nil"/>
              <w:bottom w:val="single" w:sz="4" w:space="0" w:color="auto"/>
              <w:right w:val="single" w:sz="4" w:space="0" w:color="auto"/>
            </w:tcBorders>
            <w:shd w:val="clear" w:color="000000" w:fill="FFFFFF"/>
            <w:noWrap/>
            <w:vAlign w:val="center"/>
            <w:hideMark/>
          </w:tcPr>
          <w:p w14:paraId="51B622F3"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10876,8</w:t>
            </w:r>
          </w:p>
        </w:tc>
        <w:tc>
          <w:tcPr>
            <w:tcW w:w="1071" w:type="dxa"/>
            <w:gridSpan w:val="2"/>
            <w:tcBorders>
              <w:top w:val="nil"/>
              <w:left w:val="nil"/>
              <w:bottom w:val="single" w:sz="4" w:space="0" w:color="auto"/>
              <w:right w:val="single" w:sz="4" w:space="0" w:color="auto"/>
            </w:tcBorders>
            <w:shd w:val="clear" w:color="000000" w:fill="FFFFFF"/>
            <w:noWrap/>
            <w:vAlign w:val="center"/>
            <w:hideMark/>
          </w:tcPr>
          <w:p w14:paraId="53679EF1"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10876,8</w:t>
            </w:r>
          </w:p>
        </w:tc>
        <w:tc>
          <w:tcPr>
            <w:tcW w:w="981" w:type="dxa"/>
            <w:gridSpan w:val="2"/>
            <w:tcBorders>
              <w:top w:val="nil"/>
              <w:left w:val="nil"/>
              <w:bottom w:val="single" w:sz="4" w:space="0" w:color="auto"/>
              <w:right w:val="single" w:sz="4" w:space="0" w:color="auto"/>
            </w:tcBorders>
            <w:shd w:val="clear" w:color="000000" w:fill="FFFFFF"/>
            <w:noWrap/>
            <w:vAlign w:val="center"/>
            <w:hideMark/>
          </w:tcPr>
          <w:p w14:paraId="49495526"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0,0</w:t>
            </w:r>
          </w:p>
        </w:tc>
        <w:tc>
          <w:tcPr>
            <w:tcW w:w="891" w:type="dxa"/>
            <w:tcBorders>
              <w:top w:val="nil"/>
              <w:left w:val="nil"/>
              <w:bottom w:val="single" w:sz="4" w:space="0" w:color="auto"/>
              <w:right w:val="single" w:sz="4" w:space="0" w:color="auto"/>
            </w:tcBorders>
            <w:shd w:val="clear" w:color="000000" w:fill="FFFFFF"/>
            <w:noWrap/>
            <w:vAlign w:val="center"/>
            <w:hideMark/>
          </w:tcPr>
          <w:p w14:paraId="1D54653A"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0,0</w:t>
            </w:r>
          </w:p>
        </w:tc>
      </w:tr>
      <w:tr w:rsidR="000D40B3" w:rsidRPr="00DD5F1D" w14:paraId="41C777CC" w14:textId="77777777" w:rsidTr="00636C42">
        <w:trPr>
          <w:trHeight w:val="207"/>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433B840"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Dobânzi încasate la soldurile mijloacelor bănești la conturile bancare ale bugetului asigurărilor sociale de stat</w:t>
            </w:r>
          </w:p>
        </w:tc>
        <w:tc>
          <w:tcPr>
            <w:tcW w:w="756" w:type="dxa"/>
            <w:tcBorders>
              <w:top w:val="nil"/>
              <w:left w:val="nil"/>
              <w:bottom w:val="single" w:sz="4" w:space="0" w:color="auto"/>
              <w:right w:val="single" w:sz="4" w:space="0" w:color="auto"/>
            </w:tcBorders>
            <w:shd w:val="clear" w:color="auto" w:fill="auto"/>
            <w:noWrap/>
            <w:vAlign w:val="center"/>
            <w:hideMark/>
          </w:tcPr>
          <w:p w14:paraId="5F303EBF"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141115</w:t>
            </w:r>
          </w:p>
        </w:tc>
        <w:tc>
          <w:tcPr>
            <w:tcW w:w="1161" w:type="dxa"/>
            <w:tcBorders>
              <w:top w:val="nil"/>
              <w:left w:val="nil"/>
              <w:bottom w:val="single" w:sz="4" w:space="0" w:color="auto"/>
              <w:right w:val="single" w:sz="4" w:space="0" w:color="auto"/>
            </w:tcBorders>
            <w:shd w:val="clear" w:color="auto" w:fill="auto"/>
            <w:noWrap/>
            <w:vAlign w:val="center"/>
            <w:hideMark/>
          </w:tcPr>
          <w:p w14:paraId="58E41AE0"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w:t>
            </w:r>
            <w:r w:rsidR="00F73820" w:rsidRPr="00DD5F1D">
              <w:rPr>
                <w:rFonts w:ascii="Times New Roman" w:eastAsia="Times New Roman" w:hAnsi="Times New Roman" w:cs="Times New Roman"/>
                <w:sz w:val="18"/>
                <w:szCs w:val="18"/>
                <w:lang w:val="ro-MD"/>
              </w:rPr>
              <w:t>500,0</w:t>
            </w:r>
          </w:p>
        </w:tc>
        <w:tc>
          <w:tcPr>
            <w:tcW w:w="1161" w:type="dxa"/>
            <w:tcBorders>
              <w:top w:val="nil"/>
              <w:left w:val="nil"/>
              <w:bottom w:val="single" w:sz="4" w:space="0" w:color="auto"/>
              <w:right w:val="single" w:sz="4" w:space="0" w:color="auto"/>
            </w:tcBorders>
            <w:shd w:val="clear" w:color="000000" w:fill="FFFFFF"/>
            <w:noWrap/>
            <w:vAlign w:val="center"/>
            <w:hideMark/>
          </w:tcPr>
          <w:p w14:paraId="41E7D605"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w:t>
            </w:r>
            <w:r w:rsidR="00F73820" w:rsidRPr="00DD5F1D">
              <w:rPr>
                <w:rFonts w:ascii="Times New Roman" w:eastAsia="Times New Roman" w:hAnsi="Times New Roman" w:cs="Times New Roman"/>
                <w:sz w:val="18"/>
                <w:szCs w:val="18"/>
                <w:lang w:val="ro-MD"/>
              </w:rPr>
              <w:t>500,0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60A6511"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10876,8</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7D4228F"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10876,8</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703E7248"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891" w:type="dxa"/>
            <w:tcBorders>
              <w:top w:val="nil"/>
              <w:left w:val="nil"/>
              <w:bottom w:val="single" w:sz="4" w:space="0" w:color="auto"/>
              <w:right w:val="single" w:sz="4" w:space="0" w:color="auto"/>
            </w:tcBorders>
            <w:shd w:val="clear" w:color="auto" w:fill="auto"/>
            <w:noWrap/>
            <w:vAlign w:val="center"/>
            <w:hideMark/>
          </w:tcPr>
          <w:p w14:paraId="26B3260D"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r>
      <w:tr w:rsidR="000D40B3" w:rsidRPr="00DD5F1D" w14:paraId="7227B065" w14:textId="77777777" w:rsidTr="00636C42">
        <w:trPr>
          <w:trHeight w:val="7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1C4B93FE"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VENITURI DIN VÎNZAREA MĂRFURILOR ŞI SERVICIILOR</w:t>
            </w:r>
          </w:p>
        </w:tc>
        <w:tc>
          <w:tcPr>
            <w:tcW w:w="756" w:type="dxa"/>
            <w:tcBorders>
              <w:top w:val="nil"/>
              <w:left w:val="nil"/>
              <w:bottom w:val="single" w:sz="4" w:space="0" w:color="auto"/>
              <w:right w:val="single" w:sz="4" w:space="0" w:color="auto"/>
            </w:tcBorders>
            <w:shd w:val="clear" w:color="auto" w:fill="auto"/>
            <w:noWrap/>
            <w:vAlign w:val="center"/>
            <w:hideMark/>
          </w:tcPr>
          <w:p w14:paraId="1A794AAC"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142</w:t>
            </w:r>
          </w:p>
        </w:tc>
        <w:tc>
          <w:tcPr>
            <w:tcW w:w="1161" w:type="dxa"/>
            <w:tcBorders>
              <w:top w:val="nil"/>
              <w:left w:val="nil"/>
              <w:bottom w:val="single" w:sz="4" w:space="0" w:color="auto"/>
              <w:right w:val="single" w:sz="4" w:space="0" w:color="auto"/>
            </w:tcBorders>
            <w:shd w:val="clear" w:color="auto" w:fill="auto"/>
            <w:noWrap/>
            <w:vAlign w:val="center"/>
            <w:hideMark/>
          </w:tcPr>
          <w:p w14:paraId="3A326254"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1161" w:type="dxa"/>
            <w:tcBorders>
              <w:top w:val="nil"/>
              <w:left w:val="nil"/>
              <w:bottom w:val="single" w:sz="4" w:space="0" w:color="auto"/>
              <w:right w:val="single" w:sz="4" w:space="0" w:color="auto"/>
            </w:tcBorders>
            <w:shd w:val="clear" w:color="000000" w:fill="FFFFFF"/>
            <w:noWrap/>
            <w:vAlign w:val="center"/>
            <w:hideMark/>
          </w:tcPr>
          <w:p w14:paraId="39F3130C"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3D2E87BB"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132,4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3D19D8A4"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1526,8</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2398DEE7"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12664,2</w:t>
            </w:r>
          </w:p>
        </w:tc>
        <w:tc>
          <w:tcPr>
            <w:tcW w:w="891" w:type="dxa"/>
            <w:tcBorders>
              <w:top w:val="nil"/>
              <w:left w:val="nil"/>
              <w:bottom w:val="single" w:sz="4" w:space="0" w:color="auto"/>
              <w:right w:val="single" w:sz="4" w:space="0" w:color="auto"/>
            </w:tcBorders>
            <w:shd w:val="clear" w:color="auto" w:fill="auto"/>
            <w:noWrap/>
            <w:vAlign w:val="center"/>
            <w:hideMark/>
          </w:tcPr>
          <w:p w14:paraId="3AABF6CC"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9,6</w:t>
            </w:r>
          </w:p>
        </w:tc>
      </w:tr>
      <w:tr w:rsidR="000D40B3" w:rsidRPr="00DD5F1D" w14:paraId="4FCE977E" w14:textId="77777777" w:rsidTr="00636C42">
        <w:trPr>
          <w:trHeight w:val="58"/>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77A70D0C"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Mijloace încasate în bugetul asigurărilor sociale de stat conform documentelor executorii privind răspunderea subsidiară</w:t>
            </w:r>
          </w:p>
        </w:tc>
        <w:tc>
          <w:tcPr>
            <w:tcW w:w="756" w:type="dxa"/>
            <w:tcBorders>
              <w:top w:val="nil"/>
              <w:left w:val="nil"/>
              <w:bottom w:val="single" w:sz="4" w:space="0" w:color="auto"/>
              <w:right w:val="single" w:sz="4" w:space="0" w:color="auto"/>
            </w:tcBorders>
            <w:shd w:val="clear" w:color="auto" w:fill="auto"/>
            <w:noWrap/>
            <w:vAlign w:val="center"/>
            <w:hideMark/>
          </w:tcPr>
          <w:p w14:paraId="5EAC7706"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142237</w:t>
            </w:r>
          </w:p>
        </w:tc>
        <w:tc>
          <w:tcPr>
            <w:tcW w:w="1161" w:type="dxa"/>
            <w:tcBorders>
              <w:top w:val="nil"/>
              <w:left w:val="nil"/>
              <w:bottom w:val="single" w:sz="4" w:space="0" w:color="auto"/>
              <w:right w:val="single" w:sz="4" w:space="0" w:color="auto"/>
            </w:tcBorders>
            <w:shd w:val="clear" w:color="auto" w:fill="auto"/>
            <w:noWrap/>
            <w:vAlign w:val="center"/>
            <w:hideMark/>
          </w:tcPr>
          <w:p w14:paraId="195F1027"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1161" w:type="dxa"/>
            <w:tcBorders>
              <w:top w:val="nil"/>
              <w:left w:val="nil"/>
              <w:bottom w:val="single" w:sz="4" w:space="0" w:color="auto"/>
              <w:right w:val="single" w:sz="4" w:space="0" w:color="auto"/>
            </w:tcBorders>
            <w:shd w:val="clear" w:color="000000" w:fill="FFFFFF"/>
            <w:noWrap/>
            <w:vAlign w:val="center"/>
            <w:hideMark/>
          </w:tcPr>
          <w:p w14:paraId="6EFB5C04"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3C05F9F8"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17,4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C5363F4"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1239,5</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362E5EB5"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12492,0</w:t>
            </w:r>
          </w:p>
        </w:tc>
        <w:tc>
          <w:tcPr>
            <w:tcW w:w="891" w:type="dxa"/>
            <w:tcBorders>
              <w:top w:val="nil"/>
              <w:left w:val="nil"/>
              <w:bottom w:val="single" w:sz="4" w:space="0" w:color="auto"/>
              <w:right w:val="single" w:sz="4" w:space="0" w:color="auto"/>
            </w:tcBorders>
            <w:shd w:val="clear" w:color="auto" w:fill="auto"/>
            <w:noWrap/>
            <w:vAlign w:val="center"/>
            <w:hideMark/>
          </w:tcPr>
          <w:p w14:paraId="2BF42224"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9,6</w:t>
            </w:r>
          </w:p>
        </w:tc>
      </w:tr>
      <w:tr w:rsidR="000D40B3" w:rsidRPr="00DD5F1D" w14:paraId="3CD35A64" w14:textId="77777777" w:rsidTr="00636C42">
        <w:trPr>
          <w:trHeight w:val="123"/>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396A380"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Recuperarea de la angajator a sumelor plătite necuvenit sub formă de prestații de asigurări soc</w:t>
            </w:r>
          </w:p>
        </w:tc>
        <w:tc>
          <w:tcPr>
            <w:tcW w:w="756" w:type="dxa"/>
            <w:tcBorders>
              <w:top w:val="nil"/>
              <w:left w:val="nil"/>
              <w:bottom w:val="single" w:sz="4" w:space="0" w:color="auto"/>
              <w:right w:val="single" w:sz="4" w:space="0" w:color="auto"/>
            </w:tcBorders>
            <w:shd w:val="clear" w:color="auto" w:fill="auto"/>
            <w:noWrap/>
            <w:vAlign w:val="center"/>
            <w:hideMark/>
          </w:tcPr>
          <w:p w14:paraId="050B4078"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142238</w:t>
            </w:r>
          </w:p>
        </w:tc>
        <w:tc>
          <w:tcPr>
            <w:tcW w:w="1161" w:type="dxa"/>
            <w:tcBorders>
              <w:top w:val="nil"/>
              <w:left w:val="nil"/>
              <w:bottom w:val="single" w:sz="4" w:space="0" w:color="auto"/>
              <w:right w:val="single" w:sz="4" w:space="0" w:color="auto"/>
            </w:tcBorders>
            <w:shd w:val="clear" w:color="auto" w:fill="auto"/>
            <w:noWrap/>
            <w:vAlign w:val="center"/>
            <w:hideMark/>
          </w:tcPr>
          <w:p w14:paraId="1BB4DC57"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1161" w:type="dxa"/>
            <w:tcBorders>
              <w:top w:val="nil"/>
              <w:left w:val="nil"/>
              <w:bottom w:val="single" w:sz="4" w:space="0" w:color="auto"/>
              <w:right w:val="single" w:sz="4" w:space="0" w:color="auto"/>
            </w:tcBorders>
            <w:shd w:val="clear" w:color="000000" w:fill="FFFFFF"/>
            <w:noWrap/>
            <w:vAlign w:val="center"/>
            <w:hideMark/>
          </w:tcPr>
          <w:p w14:paraId="0475B78C"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330F2358"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115,0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6CBA442"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287,3</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2D696825"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172,2</w:t>
            </w:r>
          </w:p>
        </w:tc>
        <w:tc>
          <w:tcPr>
            <w:tcW w:w="891" w:type="dxa"/>
            <w:tcBorders>
              <w:top w:val="nil"/>
              <w:left w:val="nil"/>
              <w:bottom w:val="single" w:sz="4" w:space="0" w:color="auto"/>
              <w:right w:val="single" w:sz="4" w:space="0" w:color="auto"/>
            </w:tcBorders>
            <w:shd w:val="clear" w:color="auto" w:fill="auto"/>
            <w:noWrap/>
            <w:vAlign w:val="center"/>
            <w:hideMark/>
          </w:tcPr>
          <w:p w14:paraId="3FCD2A0F"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r>
      <w:tr w:rsidR="000D40B3" w:rsidRPr="00DD5F1D" w14:paraId="76FE6B3E" w14:textId="77777777" w:rsidTr="00636C42">
        <w:trPr>
          <w:trHeight w:val="58"/>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133F791C"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AMENZI ŞI SANCŢIUNI</w:t>
            </w:r>
          </w:p>
        </w:tc>
        <w:tc>
          <w:tcPr>
            <w:tcW w:w="756" w:type="dxa"/>
            <w:tcBorders>
              <w:top w:val="nil"/>
              <w:left w:val="nil"/>
              <w:bottom w:val="single" w:sz="4" w:space="0" w:color="auto"/>
              <w:right w:val="single" w:sz="4" w:space="0" w:color="auto"/>
            </w:tcBorders>
            <w:shd w:val="clear" w:color="auto" w:fill="auto"/>
            <w:noWrap/>
            <w:vAlign w:val="center"/>
            <w:hideMark/>
          </w:tcPr>
          <w:p w14:paraId="0515E54B"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143</w:t>
            </w:r>
          </w:p>
        </w:tc>
        <w:tc>
          <w:tcPr>
            <w:tcW w:w="1161" w:type="dxa"/>
            <w:tcBorders>
              <w:top w:val="nil"/>
              <w:left w:val="nil"/>
              <w:bottom w:val="single" w:sz="4" w:space="0" w:color="auto"/>
              <w:right w:val="single" w:sz="4" w:space="0" w:color="auto"/>
            </w:tcBorders>
            <w:shd w:val="clear" w:color="auto" w:fill="auto"/>
            <w:noWrap/>
            <w:vAlign w:val="center"/>
            <w:hideMark/>
          </w:tcPr>
          <w:p w14:paraId="340A119D"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w:t>
            </w:r>
            <w:r w:rsidR="00F73820" w:rsidRPr="00DD5F1D">
              <w:rPr>
                <w:rFonts w:ascii="Times New Roman" w:eastAsia="Times New Roman" w:hAnsi="Times New Roman" w:cs="Times New Roman"/>
                <w:b/>
                <w:bCs/>
                <w:sz w:val="18"/>
                <w:szCs w:val="18"/>
                <w:lang w:val="ro-MD"/>
              </w:rPr>
              <w:t>100,0</w:t>
            </w:r>
          </w:p>
        </w:tc>
        <w:tc>
          <w:tcPr>
            <w:tcW w:w="1161" w:type="dxa"/>
            <w:tcBorders>
              <w:top w:val="nil"/>
              <w:left w:val="nil"/>
              <w:bottom w:val="single" w:sz="4" w:space="0" w:color="auto"/>
              <w:right w:val="single" w:sz="4" w:space="0" w:color="auto"/>
            </w:tcBorders>
            <w:shd w:val="clear" w:color="000000" w:fill="FFFFFF"/>
            <w:noWrap/>
            <w:vAlign w:val="center"/>
            <w:hideMark/>
          </w:tcPr>
          <w:p w14:paraId="015283B0"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w:t>
            </w:r>
            <w:r w:rsidR="00F73820" w:rsidRPr="00DD5F1D">
              <w:rPr>
                <w:rFonts w:ascii="Times New Roman" w:eastAsia="Times New Roman" w:hAnsi="Times New Roman" w:cs="Times New Roman"/>
                <w:b/>
                <w:bCs/>
                <w:sz w:val="18"/>
                <w:szCs w:val="18"/>
                <w:lang w:val="ro-MD"/>
              </w:rPr>
              <w:t>100,0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592ADA2"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1394,1</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71C109E"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3259,6</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0AB670DE"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29250,3</w:t>
            </w:r>
          </w:p>
        </w:tc>
        <w:tc>
          <w:tcPr>
            <w:tcW w:w="891" w:type="dxa"/>
            <w:tcBorders>
              <w:top w:val="nil"/>
              <w:left w:val="nil"/>
              <w:bottom w:val="single" w:sz="4" w:space="0" w:color="auto"/>
              <w:right w:val="single" w:sz="4" w:space="0" w:color="auto"/>
            </w:tcBorders>
            <w:shd w:val="clear" w:color="auto" w:fill="auto"/>
            <w:noWrap/>
            <w:vAlign w:val="center"/>
            <w:hideMark/>
          </w:tcPr>
          <w:p w14:paraId="1414A4AE"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627,4</w:t>
            </w:r>
          </w:p>
        </w:tc>
      </w:tr>
      <w:tr w:rsidR="000D40B3" w:rsidRPr="00DD5F1D" w14:paraId="27884E9B" w14:textId="77777777" w:rsidTr="00636C42">
        <w:trPr>
          <w:trHeight w:val="58"/>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19652708"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 xml:space="preserve">Amenzi și sancțiuni contravenționale încasate în bugetul asigurărilor sociale de stat </w:t>
            </w:r>
          </w:p>
        </w:tc>
        <w:tc>
          <w:tcPr>
            <w:tcW w:w="756" w:type="dxa"/>
            <w:tcBorders>
              <w:top w:val="nil"/>
              <w:left w:val="nil"/>
              <w:bottom w:val="single" w:sz="4" w:space="0" w:color="auto"/>
              <w:right w:val="single" w:sz="4" w:space="0" w:color="auto"/>
            </w:tcBorders>
            <w:shd w:val="clear" w:color="auto" w:fill="auto"/>
            <w:noWrap/>
            <w:vAlign w:val="center"/>
            <w:hideMark/>
          </w:tcPr>
          <w:p w14:paraId="58971AF9"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143150</w:t>
            </w:r>
          </w:p>
        </w:tc>
        <w:tc>
          <w:tcPr>
            <w:tcW w:w="1161" w:type="dxa"/>
            <w:tcBorders>
              <w:top w:val="nil"/>
              <w:left w:val="nil"/>
              <w:bottom w:val="single" w:sz="4" w:space="0" w:color="auto"/>
              <w:right w:val="single" w:sz="4" w:space="0" w:color="auto"/>
            </w:tcBorders>
            <w:shd w:val="clear" w:color="auto" w:fill="auto"/>
            <w:noWrap/>
            <w:vAlign w:val="center"/>
            <w:hideMark/>
          </w:tcPr>
          <w:p w14:paraId="37F29DB8"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100,0</w:t>
            </w:r>
          </w:p>
        </w:tc>
        <w:tc>
          <w:tcPr>
            <w:tcW w:w="1161" w:type="dxa"/>
            <w:tcBorders>
              <w:top w:val="nil"/>
              <w:left w:val="nil"/>
              <w:bottom w:val="single" w:sz="4" w:space="0" w:color="auto"/>
              <w:right w:val="single" w:sz="4" w:space="0" w:color="auto"/>
            </w:tcBorders>
            <w:shd w:val="clear" w:color="000000" w:fill="FFFFFF"/>
            <w:noWrap/>
            <w:vAlign w:val="center"/>
            <w:hideMark/>
          </w:tcPr>
          <w:p w14:paraId="71997ED2"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28A33C78"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7,1</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9539CF1"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37B878C2"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891" w:type="dxa"/>
            <w:tcBorders>
              <w:top w:val="nil"/>
              <w:left w:val="nil"/>
              <w:bottom w:val="single" w:sz="4" w:space="0" w:color="auto"/>
              <w:right w:val="single" w:sz="4" w:space="0" w:color="auto"/>
            </w:tcBorders>
            <w:shd w:val="clear" w:color="auto" w:fill="auto"/>
            <w:noWrap/>
            <w:vAlign w:val="center"/>
            <w:hideMark/>
          </w:tcPr>
          <w:p w14:paraId="3AFD6E96"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r>
      <w:tr w:rsidR="000D40B3" w:rsidRPr="00DD5F1D" w14:paraId="42249F47" w14:textId="77777777" w:rsidTr="00636C42">
        <w:trPr>
          <w:trHeight w:val="19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33C492E"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 xml:space="preserve">Amenzi aferente plăților la bugetul asigurărilor sociale de stat </w:t>
            </w:r>
          </w:p>
        </w:tc>
        <w:tc>
          <w:tcPr>
            <w:tcW w:w="756" w:type="dxa"/>
            <w:tcBorders>
              <w:top w:val="nil"/>
              <w:left w:val="nil"/>
              <w:bottom w:val="single" w:sz="4" w:space="0" w:color="auto"/>
              <w:right w:val="single" w:sz="4" w:space="0" w:color="auto"/>
            </w:tcBorders>
            <w:shd w:val="clear" w:color="auto" w:fill="auto"/>
            <w:noWrap/>
            <w:vAlign w:val="center"/>
            <w:hideMark/>
          </w:tcPr>
          <w:p w14:paraId="2AD03E62"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143430</w:t>
            </w:r>
          </w:p>
        </w:tc>
        <w:tc>
          <w:tcPr>
            <w:tcW w:w="1161" w:type="dxa"/>
            <w:tcBorders>
              <w:top w:val="nil"/>
              <w:left w:val="nil"/>
              <w:bottom w:val="single" w:sz="4" w:space="0" w:color="auto"/>
              <w:right w:val="single" w:sz="4" w:space="0" w:color="auto"/>
            </w:tcBorders>
            <w:shd w:val="clear" w:color="auto" w:fill="auto"/>
            <w:noWrap/>
            <w:vAlign w:val="center"/>
            <w:hideMark/>
          </w:tcPr>
          <w:p w14:paraId="11F5F2D2"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w:t>
            </w:r>
            <w:r w:rsidR="00F73820" w:rsidRPr="00DD5F1D">
              <w:rPr>
                <w:rFonts w:ascii="Times New Roman" w:eastAsia="Times New Roman" w:hAnsi="Times New Roman" w:cs="Times New Roman"/>
                <w:sz w:val="18"/>
                <w:szCs w:val="18"/>
                <w:lang w:val="ro-MD"/>
              </w:rPr>
              <w:t>000,0</w:t>
            </w:r>
          </w:p>
        </w:tc>
        <w:tc>
          <w:tcPr>
            <w:tcW w:w="1161" w:type="dxa"/>
            <w:tcBorders>
              <w:top w:val="nil"/>
              <w:left w:val="nil"/>
              <w:bottom w:val="single" w:sz="4" w:space="0" w:color="auto"/>
              <w:right w:val="single" w:sz="4" w:space="0" w:color="auto"/>
            </w:tcBorders>
            <w:shd w:val="clear" w:color="000000" w:fill="FFFFFF"/>
            <w:noWrap/>
            <w:vAlign w:val="center"/>
            <w:hideMark/>
          </w:tcPr>
          <w:p w14:paraId="23712521"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w:t>
            </w:r>
            <w:r w:rsidR="00F73820" w:rsidRPr="00DD5F1D">
              <w:rPr>
                <w:rFonts w:ascii="Times New Roman" w:eastAsia="Times New Roman" w:hAnsi="Times New Roman" w:cs="Times New Roman"/>
                <w:sz w:val="18"/>
                <w:szCs w:val="18"/>
                <w:lang w:val="ro-MD"/>
              </w:rPr>
              <w:t>080,0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6AA175D"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1387,0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64F235B"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3259,6</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250C01FF"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29250,3</w:t>
            </w:r>
          </w:p>
        </w:tc>
        <w:tc>
          <w:tcPr>
            <w:tcW w:w="891" w:type="dxa"/>
            <w:tcBorders>
              <w:top w:val="nil"/>
              <w:left w:val="nil"/>
              <w:bottom w:val="single" w:sz="4" w:space="0" w:color="auto"/>
              <w:right w:val="single" w:sz="4" w:space="0" w:color="auto"/>
            </w:tcBorders>
            <w:shd w:val="clear" w:color="auto" w:fill="auto"/>
            <w:noWrap/>
            <w:vAlign w:val="center"/>
            <w:hideMark/>
          </w:tcPr>
          <w:p w14:paraId="58B5665B"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627,4</w:t>
            </w:r>
          </w:p>
        </w:tc>
      </w:tr>
      <w:tr w:rsidR="000D40B3" w:rsidRPr="00DD5F1D" w14:paraId="26FACFAA" w14:textId="77777777" w:rsidTr="00636C42">
        <w:trPr>
          <w:trHeight w:val="58"/>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11FF480E"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ALTE VENITURI ŞI VENITURI NEIDENTIFICATE</w:t>
            </w:r>
          </w:p>
        </w:tc>
        <w:tc>
          <w:tcPr>
            <w:tcW w:w="756" w:type="dxa"/>
            <w:tcBorders>
              <w:top w:val="nil"/>
              <w:left w:val="nil"/>
              <w:bottom w:val="single" w:sz="4" w:space="0" w:color="auto"/>
              <w:right w:val="single" w:sz="4" w:space="0" w:color="auto"/>
            </w:tcBorders>
            <w:shd w:val="clear" w:color="auto" w:fill="auto"/>
            <w:noWrap/>
            <w:vAlign w:val="center"/>
            <w:hideMark/>
          </w:tcPr>
          <w:p w14:paraId="097BEBB9"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145</w:t>
            </w:r>
          </w:p>
        </w:tc>
        <w:tc>
          <w:tcPr>
            <w:tcW w:w="1161" w:type="dxa"/>
            <w:tcBorders>
              <w:top w:val="nil"/>
              <w:left w:val="nil"/>
              <w:bottom w:val="single" w:sz="4" w:space="0" w:color="auto"/>
              <w:right w:val="single" w:sz="4" w:space="0" w:color="auto"/>
            </w:tcBorders>
            <w:shd w:val="clear" w:color="auto" w:fill="auto"/>
            <w:noWrap/>
            <w:vAlign w:val="center"/>
            <w:hideMark/>
          </w:tcPr>
          <w:p w14:paraId="720ED93E"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398</w:t>
            </w:r>
            <w:r w:rsidR="00F73820" w:rsidRPr="00DD5F1D">
              <w:rPr>
                <w:rFonts w:ascii="Times New Roman" w:eastAsia="Times New Roman" w:hAnsi="Times New Roman" w:cs="Times New Roman"/>
                <w:b/>
                <w:bCs/>
                <w:sz w:val="18"/>
                <w:szCs w:val="18"/>
                <w:lang w:val="ro-MD"/>
              </w:rPr>
              <w:t>100,0</w:t>
            </w:r>
          </w:p>
        </w:tc>
        <w:tc>
          <w:tcPr>
            <w:tcW w:w="1161" w:type="dxa"/>
            <w:tcBorders>
              <w:top w:val="nil"/>
              <w:left w:val="nil"/>
              <w:bottom w:val="single" w:sz="4" w:space="0" w:color="auto"/>
              <w:right w:val="single" w:sz="4" w:space="0" w:color="auto"/>
            </w:tcBorders>
            <w:shd w:val="clear" w:color="000000" w:fill="FFFFFF"/>
            <w:noWrap/>
            <w:vAlign w:val="center"/>
            <w:hideMark/>
          </w:tcPr>
          <w:p w14:paraId="3EB112D7"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538</w:t>
            </w:r>
            <w:r w:rsidR="00F73820" w:rsidRPr="00DD5F1D">
              <w:rPr>
                <w:rFonts w:ascii="Times New Roman" w:eastAsia="Times New Roman" w:hAnsi="Times New Roman" w:cs="Times New Roman"/>
                <w:b/>
                <w:bCs/>
                <w:sz w:val="18"/>
                <w:szCs w:val="18"/>
                <w:lang w:val="ro-MD"/>
              </w:rPr>
              <w:t>100,0</w:t>
            </w:r>
          </w:p>
        </w:tc>
        <w:tc>
          <w:tcPr>
            <w:tcW w:w="1071" w:type="dxa"/>
            <w:gridSpan w:val="2"/>
            <w:tcBorders>
              <w:top w:val="nil"/>
              <w:left w:val="nil"/>
              <w:bottom w:val="single" w:sz="4" w:space="0" w:color="auto"/>
              <w:right w:val="single" w:sz="4" w:space="0" w:color="auto"/>
            </w:tcBorders>
            <w:shd w:val="clear" w:color="000000" w:fill="FFFFFF"/>
            <w:noWrap/>
            <w:vAlign w:val="center"/>
            <w:hideMark/>
          </w:tcPr>
          <w:p w14:paraId="2A2C8A90"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556242,8</w:t>
            </w:r>
          </w:p>
        </w:tc>
        <w:tc>
          <w:tcPr>
            <w:tcW w:w="1071" w:type="dxa"/>
            <w:gridSpan w:val="2"/>
            <w:tcBorders>
              <w:top w:val="nil"/>
              <w:left w:val="nil"/>
              <w:bottom w:val="single" w:sz="4" w:space="0" w:color="auto"/>
              <w:right w:val="single" w:sz="4" w:space="0" w:color="auto"/>
            </w:tcBorders>
            <w:shd w:val="clear" w:color="000000" w:fill="FFFFFF"/>
            <w:noWrap/>
            <w:vAlign w:val="center"/>
            <w:hideMark/>
          </w:tcPr>
          <w:p w14:paraId="09CC8298"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557803,2</w:t>
            </w:r>
          </w:p>
        </w:tc>
        <w:tc>
          <w:tcPr>
            <w:tcW w:w="981" w:type="dxa"/>
            <w:gridSpan w:val="2"/>
            <w:tcBorders>
              <w:top w:val="nil"/>
              <w:left w:val="nil"/>
              <w:bottom w:val="single" w:sz="4" w:space="0" w:color="auto"/>
              <w:right w:val="single" w:sz="4" w:space="0" w:color="auto"/>
            </w:tcBorders>
            <w:shd w:val="clear" w:color="000000" w:fill="FFFFFF"/>
            <w:noWrap/>
            <w:vAlign w:val="center"/>
            <w:hideMark/>
          </w:tcPr>
          <w:p w14:paraId="05BAB140"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55588,9</w:t>
            </w:r>
          </w:p>
        </w:tc>
        <w:tc>
          <w:tcPr>
            <w:tcW w:w="891" w:type="dxa"/>
            <w:tcBorders>
              <w:top w:val="nil"/>
              <w:left w:val="nil"/>
              <w:bottom w:val="single" w:sz="4" w:space="0" w:color="auto"/>
              <w:right w:val="single" w:sz="4" w:space="0" w:color="auto"/>
            </w:tcBorders>
            <w:shd w:val="clear" w:color="000000" w:fill="FFFFFF"/>
            <w:noWrap/>
            <w:vAlign w:val="center"/>
            <w:hideMark/>
          </w:tcPr>
          <w:p w14:paraId="662EA848"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20244,0</w:t>
            </w:r>
          </w:p>
        </w:tc>
      </w:tr>
      <w:tr w:rsidR="000D40B3" w:rsidRPr="00DD5F1D" w14:paraId="5E9DAAA3" w14:textId="77777777" w:rsidTr="00636C42">
        <w:trPr>
          <w:trHeight w:val="183"/>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7EFD69BF"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 xml:space="preserve">Alte venituri încasate în bugetul asigurărilor sociale de stat </w:t>
            </w:r>
          </w:p>
        </w:tc>
        <w:tc>
          <w:tcPr>
            <w:tcW w:w="756" w:type="dxa"/>
            <w:tcBorders>
              <w:top w:val="nil"/>
              <w:left w:val="nil"/>
              <w:bottom w:val="single" w:sz="4" w:space="0" w:color="auto"/>
              <w:right w:val="single" w:sz="4" w:space="0" w:color="auto"/>
            </w:tcBorders>
            <w:shd w:val="clear" w:color="auto" w:fill="auto"/>
            <w:noWrap/>
            <w:vAlign w:val="center"/>
            <w:hideMark/>
          </w:tcPr>
          <w:p w14:paraId="5ACEBF0B"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145120</w:t>
            </w:r>
          </w:p>
        </w:tc>
        <w:tc>
          <w:tcPr>
            <w:tcW w:w="1161" w:type="dxa"/>
            <w:tcBorders>
              <w:top w:val="nil"/>
              <w:left w:val="nil"/>
              <w:bottom w:val="single" w:sz="4" w:space="0" w:color="auto"/>
              <w:right w:val="single" w:sz="4" w:space="0" w:color="auto"/>
            </w:tcBorders>
            <w:shd w:val="clear" w:color="auto" w:fill="auto"/>
            <w:noWrap/>
            <w:vAlign w:val="center"/>
            <w:hideMark/>
          </w:tcPr>
          <w:p w14:paraId="4883F02C"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w:t>
            </w:r>
            <w:r w:rsidR="00F73820" w:rsidRPr="00DD5F1D">
              <w:rPr>
                <w:rFonts w:ascii="Times New Roman" w:eastAsia="Times New Roman" w:hAnsi="Times New Roman" w:cs="Times New Roman"/>
                <w:sz w:val="18"/>
                <w:szCs w:val="18"/>
                <w:lang w:val="ro-MD"/>
              </w:rPr>
              <w:t>000,0</w:t>
            </w:r>
          </w:p>
        </w:tc>
        <w:tc>
          <w:tcPr>
            <w:tcW w:w="1161" w:type="dxa"/>
            <w:tcBorders>
              <w:top w:val="nil"/>
              <w:left w:val="nil"/>
              <w:bottom w:val="single" w:sz="4" w:space="0" w:color="auto"/>
              <w:right w:val="single" w:sz="4" w:space="0" w:color="auto"/>
            </w:tcBorders>
            <w:shd w:val="clear" w:color="000000" w:fill="FFFFFF"/>
            <w:noWrap/>
            <w:vAlign w:val="center"/>
            <w:hideMark/>
          </w:tcPr>
          <w:p w14:paraId="08A1A666"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w:t>
            </w:r>
            <w:r w:rsidR="00F73820" w:rsidRPr="00DD5F1D">
              <w:rPr>
                <w:rFonts w:ascii="Times New Roman" w:eastAsia="Times New Roman" w:hAnsi="Times New Roman" w:cs="Times New Roman"/>
                <w:sz w:val="18"/>
                <w:szCs w:val="18"/>
                <w:lang w:val="ro-MD"/>
              </w:rPr>
              <w:t>000,0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3C794570"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984,4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3699DE0"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985,7</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55DA5917"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2,2</w:t>
            </w:r>
          </w:p>
        </w:tc>
        <w:tc>
          <w:tcPr>
            <w:tcW w:w="891" w:type="dxa"/>
            <w:tcBorders>
              <w:top w:val="nil"/>
              <w:left w:val="nil"/>
              <w:bottom w:val="single" w:sz="4" w:space="0" w:color="auto"/>
              <w:right w:val="single" w:sz="4" w:space="0" w:color="auto"/>
            </w:tcBorders>
            <w:shd w:val="clear" w:color="auto" w:fill="auto"/>
            <w:noWrap/>
            <w:vAlign w:val="center"/>
            <w:hideMark/>
          </w:tcPr>
          <w:p w14:paraId="3498A278"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r>
      <w:tr w:rsidR="000D40B3" w:rsidRPr="00DD5F1D" w14:paraId="5E58C773" w14:textId="77777777" w:rsidTr="00636C42">
        <w:trPr>
          <w:trHeight w:val="102"/>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61A80F45"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Impozit unic perceput  de la rezidenții parcurilor pentru tehnologii informaționale</w:t>
            </w:r>
          </w:p>
        </w:tc>
        <w:tc>
          <w:tcPr>
            <w:tcW w:w="756" w:type="dxa"/>
            <w:tcBorders>
              <w:top w:val="nil"/>
              <w:left w:val="nil"/>
              <w:bottom w:val="single" w:sz="4" w:space="0" w:color="auto"/>
              <w:right w:val="single" w:sz="4" w:space="0" w:color="auto"/>
            </w:tcBorders>
            <w:shd w:val="clear" w:color="auto" w:fill="auto"/>
            <w:noWrap/>
            <w:vAlign w:val="center"/>
            <w:hideMark/>
          </w:tcPr>
          <w:p w14:paraId="075EC507"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145161</w:t>
            </w:r>
          </w:p>
        </w:tc>
        <w:tc>
          <w:tcPr>
            <w:tcW w:w="1161" w:type="dxa"/>
            <w:tcBorders>
              <w:top w:val="nil"/>
              <w:left w:val="nil"/>
              <w:bottom w:val="single" w:sz="4" w:space="0" w:color="auto"/>
              <w:right w:val="single" w:sz="4" w:space="0" w:color="auto"/>
            </w:tcBorders>
            <w:shd w:val="clear" w:color="auto" w:fill="auto"/>
            <w:noWrap/>
            <w:vAlign w:val="center"/>
            <w:hideMark/>
          </w:tcPr>
          <w:p w14:paraId="59B953CA"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397</w:t>
            </w:r>
            <w:r w:rsidR="00F73820" w:rsidRPr="00DD5F1D">
              <w:rPr>
                <w:rFonts w:ascii="Times New Roman" w:eastAsia="Times New Roman" w:hAnsi="Times New Roman" w:cs="Times New Roman"/>
                <w:sz w:val="18"/>
                <w:szCs w:val="18"/>
                <w:lang w:val="ro-MD"/>
              </w:rPr>
              <w:t>100,0</w:t>
            </w:r>
          </w:p>
        </w:tc>
        <w:tc>
          <w:tcPr>
            <w:tcW w:w="1161" w:type="dxa"/>
            <w:tcBorders>
              <w:top w:val="nil"/>
              <w:left w:val="nil"/>
              <w:bottom w:val="single" w:sz="4" w:space="0" w:color="auto"/>
              <w:right w:val="single" w:sz="4" w:space="0" w:color="auto"/>
            </w:tcBorders>
            <w:shd w:val="clear" w:color="000000" w:fill="FFFFFF"/>
            <w:noWrap/>
            <w:vAlign w:val="center"/>
            <w:hideMark/>
          </w:tcPr>
          <w:p w14:paraId="35D059B4"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537</w:t>
            </w:r>
            <w:r w:rsidR="00F73820" w:rsidRPr="00DD5F1D">
              <w:rPr>
                <w:rFonts w:ascii="Times New Roman" w:eastAsia="Times New Roman" w:hAnsi="Times New Roman" w:cs="Times New Roman"/>
                <w:sz w:val="18"/>
                <w:szCs w:val="18"/>
                <w:lang w:val="ro-MD"/>
              </w:rPr>
              <w:t>100,0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50E28C2"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555258,4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B3E5033"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556817,5</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00979770"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55586,7</w:t>
            </w:r>
          </w:p>
        </w:tc>
        <w:tc>
          <w:tcPr>
            <w:tcW w:w="891" w:type="dxa"/>
            <w:tcBorders>
              <w:top w:val="nil"/>
              <w:left w:val="nil"/>
              <w:bottom w:val="single" w:sz="4" w:space="0" w:color="auto"/>
              <w:right w:val="single" w:sz="4" w:space="0" w:color="auto"/>
            </w:tcBorders>
            <w:shd w:val="clear" w:color="auto" w:fill="auto"/>
            <w:noWrap/>
            <w:vAlign w:val="center"/>
            <w:hideMark/>
          </w:tcPr>
          <w:p w14:paraId="52994E2C"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20244,0</w:t>
            </w:r>
          </w:p>
        </w:tc>
      </w:tr>
      <w:tr w:rsidR="000D40B3" w:rsidRPr="00DD5F1D" w14:paraId="48495EC3" w14:textId="77777777" w:rsidTr="00636C42">
        <w:trPr>
          <w:trHeight w:val="161"/>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0EE86770"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Venituri neidentificate ale bugetului asigurărilor sociale de stat</w:t>
            </w:r>
          </w:p>
        </w:tc>
        <w:tc>
          <w:tcPr>
            <w:tcW w:w="756" w:type="dxa"/>
            <w:tcBorders>
              <w:top w:val="nil"/>
              <w:left w:val="nil"/>
              <w:bottom w:val="single" w:sz="4" w:space="0" w:color="auto"/>
              <w:right w:val="single" w:sz="4" w:space="0" w:color="auto"/>
            </w:tcBorders>
            <w:shd w:val="clear" w:color="auto" w:fill="auto"/>
            <w:noWrap/>
            <w:vAlign w:val="center"/>
            <w:hideMark/>
          </w:tcPr>
          <w:p w14:paraId="04D4F34E"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145220</w:t>
            </w:r>
          </w:p>
        </w:tc>
        <w:tc>
          <w:tcPr>
            <w:tcW w:w="1161" w:type="dxa"/>
            <w:tcBorders>
              <w:top w:val="nil"/>
              <w:left w:val="nil"/>
              <w:bottom w:val="single" w:sz="4" w:space="0" w:color="auto"/>
              <w:right w:val="single" w:sz="4" w:space="0" w:color="auto"/>
            </w:tcBorders>
            <w:shd w:val="clear" w:color="auto" w:fill="auto"/>
            <w:noWrap/>
            <w:vAlign w:val="center"/>
            <w:hideMark/>
          </w:tcPr>
          <w:p w14:paraId="7886B2FA"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1161" w:type="dxa"/>
            <w:tcBorders>
              <w:top w:val="nil"/>
              <w:left w:val="nil"/>
              <w:bottom w:val="single" w:sz="4" w:space="0" w:color="auto"/>
              <w:right w:val="single" w:sz="4" w:space="0" w:color="auto"/>
            </w:tcBorders>
            <w:shd w:val="clear" w:color="000000" w:fill="FFFFFF"/>
            <w:noWrap/>
            <w:vAlign w:val="center"/>
            <w:hideMark/>
          </w:tcPr>
          <w:p w14:paraId="628D1123"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8D75058"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73217A2"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37C18F9F"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891" w:type="dxa"/>
            <w:tcBorders>
              <w:top w:val="nil"/>
              <w:left w:val="nil"/>
              <w:bottom w:val="single" w:sz="4" w:space="0" w:color="auto"/>
              <w:right w:val="single" w:sz="4" w:space="0" w:color="auto"/>
            </w:tcBorders>
            <w:shd w:val="clear" w:color="auto" w:fill="auto"/>
            <w:noWrap/>
            <w:vAlign w:val="center"/>
            <w:hideMark/>
          </w:tcPr>
          <w:p w14:paraId="17AFA493"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r>
      <w:tr w:rsidR="000D40B3" w:rsidRPr="00DD5F1D" w14:paraId="582FC553" w14:textId="77777777" w:rsidTr="00636C42">
        <w:trPr>
          <w:trHeight w:val="58"/>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41C543FE"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TRANSFERURI PRIMITE ÎN CADRUL BUGETULUI PUBLIC NAŢIONAL</w:t>
            </w:r>
          </w:p>
        </w:tc>
        <w:tc>
          <w:tcPr>
            <w:tcW w:w="756" w:type="dxa"/>
            <w:tcBorders>
              <w:top w:val="nil"/>
              <w:left w:val="nil"/>
              <w:bottom w:val="single" w:sz="4" w:space="0" w:color="auto"/>
              <w:right w:val="single" w:sz="4" w:space="0" w:color="auto"/>
            </w:tcBorders>
            <w:shd w:val="clear" w:color="auto" w:fill="auto"/>
            <w:noWrap/>
            <w:vAlign w:val="center"/>
            <w:hideMark/>
          </w:tcPr>
          <w:p w14:paraId="47CE495B"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19</w:t>
            </w:r>
          </w:p>
        </w:tc>
        <w:tc>
          <w:tcPr>
            <w:tcW w:w="1161" w:type="dxa"/>
            <w:tcBorders>
              <w:top w:val="nil"/>
              <w:left w:val="nil"/>
              <w:bottom w:val="single" w:sz="4" w:space="0" w:color="auto"/>
              <w:right w:val="single" w:sz="4" w:space="0" w:color="auto"/>
            </w:tcBorders>
            <w:shd w:val="clear" w:color="auto" w:fill="auto"/>
            <w:noWrap/>
            <w:vAlign w:val="center"/>
            <w:hideMark/>
          </w:tcPr>
          <w:p w14:paraId="4FE0F8FB"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17169</w:t>
            </w:r>
            <w:r w:rsidR="00F73820" w:rsidRPr="00DD5F1D">
              <w:rPr>
                <w:rFonts w:ascii="Times New Roman" w:eastAsia="Times New Roman" w:hAnsi="Times New Roman" w:cs="Times New Roman"/>
                <w:b/>
                <w:bCs/>
                <w:sz w:val="18"/>
                <w:szCs w:val="18"/>
                <w:lang w:val="ro-MD"/>
              </w:rPr>
              <w:t>869,3</w:t>
            </w:r>
          </w:p>
        </w:tc>
        <w:tc>
          <w:tcPr>
            <w:tcW w:w="1161" w:type="dxa"/>
            <w:tcBorders>
              <w:top w:val="nil"/>
              <w:left w:val="nil"/>
              <w:bottom w:val="single" w:sz="4" w:space="0" w:color="auto"/>
              <w:right w:val="single" w:sz="4" w:space="0" w:color="auto"/>
            </w:tcBorders>
            <w:shd w:val="clear" w:color="000000" w:fill="FFFFFF"/>
            <w:noWrap/>
            <w:vAlign w:val="center"/>
            <w:hideMark/>
          </w:tcPr>
          <w:p w14:paraId="04BC959F"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16829</w:t>
            </w:r>
            <w:r w:rsidR="00F73820" w:rsidRPr="00DD5F1D">
              <w:rPr>
                <w:rFonts w:ascii="Times New Roman" w:eastAsia="Times New Roman" w:hAnsi="Times New Roman" w:cs="Times New Roman"/>
                <w:b/>
                <w:bCs/>
                <w:sz w:val="18"/>
                <w:szCs w:val="18"/>
                <w:lang w:val="ro-MD"/>
              </w:rPr>
              <w:t>730,3</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1C49F78"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16511597,0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F26ACF6"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16511597,0</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09C64890"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0,0</w:t>
            </w:r>
          </w:p>
        </w:tc>
        <w:tc>
          <w:tcPr>
            <w:tcW w:w="891" w:type="dxa"/>
            <w:tcBorders>
              <w:top w:val="nil"/>
              <w:left w:val="nil"/>
              <w:bottom w:val="single" w:sz="4" w:space="0" w:color="auto"/>
              <w:right w:val="single" w:sz="4" w:space="0" w:color="auto"/>
            </w:tcBorders>
            <w:shd w:val="clear" w:color="auto" w:fill="auto"/>
            <w:noWrap/>
            <w:vAlign w:val="center"/>
            <w:hideMark/>
          </w:tcPr>
          <w:p w14:paraId="16DA8512"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0,0</w:t>
            </w:r>
          </w:p>
        </w:tc>
      </w:tr>
      <w:tr w:rsidR="000D40B3" w:rsidRPr="00DD5F1D" w14:paraId="573EA095" w14:textId="77777777" w:rsidTr="00636C42">
        <w:trPr>
          <w:trHeight w:val="154"/>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3BB1ED6D" w14:textId="77777777" w:rsidR="00F73820" w:rsidRPr="00DD5F1D" w:rsidRDefault="00F73820" w:rsidP="00F73820">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Transferuri primite în cadrul bugetului consolidat central</w:t>
            </w:r>
          </w:p>
        </w:tc>
        <w:tc>
          <w:tcPr>
            <w:tcW w:w="756" w:type="dxa"/>
            <w:tcBorders>
              <w:top w:val="nil"/>
              <w:left w:val="nil"/>
              <w:bottom w:val="single" w:sz="4" w:space="0" w:color="auto"/>
              <w:right w:val="single" w:sz="4" w:space="0" w:color="auto"/>
            </w:tcBorders>
            <w:shd w:val="clear" w:color="auto" w:fill="auto"/>
            <w:noWrap/>
            <w:vAlign w:val="center"/>
            <w:hideMark/>
          </w:tcPr>
          <w:p w14:paraId="33EE3422"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192</w:t>
            </w:r>
          </w:p>
        </w:tc>
        <w:tc>
          <w:tcPr>
            <w:tcW w:w="1161" w:type="dxa"/>
            <w:tcBorders>
              <w:top w:val="nil"/>
              <w:left w:val="nil"/>
              <w:bottom w:val="single" w:sz="4" w:space="0" w:color="auto"/>
              <w:right w:val="single" w:sz="4" w:space="0" w:color="auto"/>
            </w:tcBorders>
            <w:shd w:val="clear" w:color="auto" w:fill="auto"/>
            <w:noWrap/>
            <w:vAlign w:val="center"/>
            <w:hideMark/>
          </w:tcPr>
          <w:p w14:paraId="5452C568"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17169</w:t>
            </w:r>
            <w:r w:rsidR="00F73820" w:rsidRPr="00DD5F1D">
              <w:rPr>
                <w:rFonts w:ascii="Times New Roman" w:eastAsia="Times New Roman" w:hAnsi="Times New Roman" w:cs="Times New Roman"/>
                <w:b/>
                <w:bCs/>
                <w:sz w:val="18"/>
                <w:szCs w:val="18"/>
                <w:lang w:val="ro-MD"/>
              </w:rPr>
              <w:t>869,3</w:t>
            </w:r>
          </w:p>
        </w:tc>
        <w:tc>
          <w:tcPr>
            <w:tcW w:w="1161" w:type="dxa"/>
            <w:tcBorders>
              <w:top w:val="nil"/>
              <w:left w:val="nil"/>
              <w:bottom w:val="single" w:sz="4" w:space="0" w:color="auto"/>
              <w:right w:val="single" w:sz="4" w:space="0" w:color="auto"/>
            </w:tcBorders>
            <w:shd w:val="clear" w:color="000000" w:fill="FFFFFF"/>
            <w:noWrap/>
            <w:vAlign w:val="center"/>
            <w:hideMark/>
          </w:tcPr>
          <w:p w14:paraId="066C0472" w14:textId="77777777" w:rsidR="00F73820" w:rsidRPr="00DD5F1D" w:rsidRDefault="002578F5"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16829</w:t>
            </w:r>
            <w:r w:rsidR="00F73820" w:rsidRPr="00DD5F1D">
              <w:rPr>
                <w:rFonts w:ascii="Times New Roman" w:eastAsia="Times New Roman" w:hAnsi="Times New Roman" w:cs="Times New Roman"/>
                <w:b/>
                <w:bCs/>
                <w:sz w:val="18"/>
                <w:szCs w:val="18"/>
                <w:lang w:val="ro-MD"/>
              </w:rPr>
              <w:t>730,3</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8F33ED6"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16511597,0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26BE8524"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16511597,0</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7606710B"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0,0</w:t>
            </w:r>
          </w:p>
        </w:tc>
        <w:tc>
          <w:tcPr>
            <w:tcW w:w="891" w:type="dxa"/>
            <w:tcBorders>
              <w:top w:val="nil"/>
              <w:left w:val="nil"/>
              <w:bottom w:val="single" w:sz="4" w:space="0" w:color="auto"/>
              <w:right w:val="single" w:sz="4" w:space="0" w:color="auto"/>
            </w:tcBorders>
            <w:shd w:val="clear" w:color="auto" w:fill="auto"/>
            <w:noWrap/>
            <w:vAlign w:val="center"/>
            <w:hideMark/>
          </w:tcPr>
          <w:p w14:paraId="702BB153" w14:textId="77777777" w:rsidR="00F73820" w:rsidRPr="00DD5F1D" w:rsidRDefault="00F73820" w:rsidP="00F73820">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0,0</w:t>
            </w:r>
          </w:p>
        </w:tc>
      </w:tr>
      <w:tr w:rsidR="000D40B3" w:rsidRPr="00DD5F1D" w14:paraId="1D8ED523" w14:textId="77777777" w:rsidTr="00636C42">
        <w:trPr>
          <w:trHeight w:val="58"/>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18A34F78"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Transferuri curente primite cu destinație specială între bugetul de stat si bugetul asigurărilor sociale de stat</w:t>
            </w:r>
          </w:p>
        </w:tc>
        <w:tc>
          <w:tcPr>
            <w:tcW w:w="756" w:type="dxa"/>
            <w:tcBorders>
              <w:top w:val="nil"/>
              <w:left w:val="nil"/>
              <w:bottom w:val="single" w:sz="4" w:space="0" w:color="auto"/>
              <w:right w:val="single" w:sz="4" w:space="0" w:color="auto"/>
            </w:tcBorders>
            <w:shd w:val="clear" w:color="auto" w:fill="auto"/>
            <w:vAlign w:val="center"/>
            <w:hideMark/>
          </w:tcPr>
          <w:p w14:paraId="4C2C722E"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192110</w:t>
            </w:r>
          </w:p>
        </w:tc>
        <w:tc>
          <w:tcPr>
            <w:tcW w:w="1161" w:type="dxa"/>
            <w:tcBorders>
              <w:top w:val="nil"/>
              <w:left w:val="nil"/>
              <w:bottom w:val="single" w:sz="4" w:space="0" w:color="auto"/>
              <w:right w:val="single" w:sz="4" w:space="0" w:color="auto"/>
            </w:tcBorders>
            <w:shd w:val="clear" w:color="auto" w:fill="auto"/>
            <w:vAlign w:val="center"/>
            <w:hideMark/>
          </w:tcPr>
          <w:p w14:paraId="60252267"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11003</w:t>
            </w:r>
            <w:r w:rsidR="00F73820" w:rsidRPr="00DD5F1D">
              <w:rPr>
                <w:rFonts w:ascii="Times New Roman" w:eastAsia="Times New Roman" w:hAnsi="Times New Roman" w:cs="Times New Roman"/>
                <w:sz w:val="18"/>
                <w:szCs w:val="18"/>
                <w:lang w:val="ro-MD"/>
              </w:rPr>
              <w:t>442,4</w:t>
            </w:r>
          </w:p>
        </w:tc>
        <w:tc>
          <w:tcPr>
            <w:tcW w:w="1161" w:type="dxa"/>
            <w:tcBorders>
              <w:top w:val="nil"/>
              <w:left w:val="nil"/>
              <w:bottom w:val="single" w:sz="4" w:space="0" w:color="auto"/>
              <w:right w:val="single" w:sz="4" w:space="0" w:color="auto"/>
            </w:tcBorders>
            <w:shd w:val="clear" w:color="000000" w:fill="FFFFFF"/>
            <w:vAlign w:val="center"/>
            <w:hideMark/>
          </w:tcPr>
          <w:p w14:paraId="0BA5C581"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11171</w:t>
            </w:r>
            <w:r w:rsidR="00F73820" w:rsidRPr="00DD5F1D">
              <w:rPr>
                <w:rFonts w:ascii="Times New Roman" w:eastAsia="Times New Roman" w:hAnsi="Times New Roman" w:cs="Times New Roman"/>
                <w:sz w:val="18"/>
                <w:szCs w:val="18"/>
                <w:lang w:val="ro-MD"/>
              </w:rPr>
              <w:t>803,4</w:t>
            </w:r>
          </w:p>
        </w:tc>
        <w:tc>
          <w:tcPr>
            <w:tcW w:w="1071" w:type="dxa"/>
            <w:gridSpan w:val="2"/>
            <w:tcBorders>
              <w:top w:val="nil"/>
              <w:left w:val="nil"/>
              <w:bottom w:val="single" w:sz="4" w:space="0" w:color="auto"/>
              <w:right w:val="single" w:sz="4" w:space="0" w:color="auto"/>
            </w:tcBorders>
            <w:shd w:val="clear" w:color="auto" w:fill="auto"/>
            <w:vAlign w:val="center"/>
            <w:hideMark/>
          </w:tcPr>
          <w:p w14:paraId="7196918B"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11093670,1</w:t>
            </w:r>
          </w:p>
        </w:tc>
        <w:tc>
          <w:tcPr>
            <w:tcW w:w="1071" w:type="dxa"/>
            <w:gridSpan w:val="2"/>
            <w:tcBorders>
              <w:top w:val="nil"/>
              <w:left w:val="nil"/>
              <w:bottom w:val="single" w:sz="4" w:space="0" w:color="auto"/>
              <w:right w:val="single" w:sz="4" w:space="0" w:color="auto"/>
            </w:tcBorders>
            <w:shd w:val="clear" w:color="auto" w:fill="auto"/>
            <w:vAlign w:val="center"/>
            <w:hideMark/>
          </w:tcPr>
          <w:p w14:paraId="385A7DBA"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11093670,1</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029628B5"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 </w:t>
            </w:r>
          </w:p>
        </w:tc>
        <w:tc>
          <w:tcPr>
            <w:tcW w:w="891" w:type="dxa"/>
            <w:tcBorders>
              <w:top w:val="nil"/>
              <w:left w:val="nil"/>
              <w:bottom w:val="single" w:sz="4" w:space="0" w:color="auto"/>
              <w:right w:val="single" w:sz="4" w:space="0" w:color="auto"/>
            </w:tcBorders>
            <w:shd w:val="clear" w:color="auto" w:fill="auto"/>
            <w:noWrap/>
            <w:vAlign w:val="center"/>
            <w:hideMark/>
          </w:tcPr>
          <w:p w14:paraId="55A45CF4"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 </w:t>
            </w:r>
          </w:p>
        </w:tc>
      </w:tr>
      <w:tr w:rsidR="00F73820" w:rsidRPr="00DD5F1D" w14:paraId="713F1DE4" w14:textId="77777777" w:rsidTr="00636C42">
        <w:trPr>
          <w:trHeight w:val="58"/>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0B9357B1" w14:textId="77777777" w:rsidR="00F73820" w:rsidRPr="00DD5F1D" w:rsidRDefault="00F73820" w:rsidP="00F73820">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Transferuri curente primite cu destinație generală între bugetul de stat si bugetul asigurărilor sociale de stat</w:t>
            </w:r>
          </w:p>
        </w:tc>
        <w:tc>
          <w:tcPr>
            <w:tcW w:w="756" w:type="dxa"/>
            <w:tcBorders>
              <w:top w:val="nil"/>
              <w:left w:val="nil"/>
              <w:bottom w:val="single" w:sz="4" w:space="0" w:color="auto"/>
              <w:right w:val="single" w:sz="4" w:space="0" w:color="auto"/>
            </w:tcBorders>
            <w:shd w:val="clear" w:color="auto" w:fill="auto"/>
            <w:vAlign w:val="center"/>
            <w:hideMark/>
          </w:tcPr>
          <w:p w14:paraId="2E97C8B7"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192130</w:t>
            </w:r>
          </w:p>
        </w:tc>
        <w:tc>
          <w:tcPr>
            <w:tcW w:w="1161" w:type="dxa"/>
            <w:tcBorders>
              <w:top w:val="nil"/>
              <w:left w:val="nil"/>
              <w:bottom w:val="single" w:sz="4" w:space="0" w:color="auto"/>
              <w:right w:val="single" w:sz="4" w:space="0" w:color="auto"/>
            </w:tcBorders>
            <w:shd w:val="clear" w:color="auto" w:fill="auto"/>
            <w:vAlign w:val="center"/>
            <w:hideMark/>
          </w:tcPr>
          <w:p w14:paraId="0FFBDCCA"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6166</w:t>
            </w:r>
            <w:r w:rsidR="00F73820" w:rsidRPr="00DD5F1D">
              <w:rPr>
                <w:rFonts w:ascii="Times New Roman" w:eastAsia="Times New Roman" w:hAnsi="Times New Roman" w:cs="Times New Roman"/>
                <w:sz w:val="18"/>
                <w:szCs w:val="18"/>
                <w:lang w:val="ro-MD"/>
              </w:rPr>
              <w:t>426,9</w:t>
            </w:r>
          </w:p>
        </w:tc>
        <w:tc>
          <w:tcPr>
            <w:tcW w:w="1161" w:type="dxa"/>
            <w:tcBorders>
              <w:top w:val="nil"/>
              <w:left w:val="nil"/>
              <w:bottom w:val="single" w:sz="4" w:space="0" w:color="auto"/>
              <w:right w:val="single" w:sz="4" w:space="0" w:color="auto"/>
            </w:tcBorders>
            <w:shd w:val="clear" w:color="000000" w:fill="FFFFFF"/>
            <w:vAlign w:val="center"/>
            <w:hideMark/>
          </w:tcPr>
          <w:p w14:paraId="4C51EFB9" w14:textId="77777777" w:rsidR="00F73820" w:rsidRPr="00DD5F1D" w:rsidRDefault="002578F5"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5657</w:t>
            </w:r>
            <w:r w:rsidR="00F73820" w:rsidRPr="00DD5F1D">
              <w:rPr>
                <w:rFonts w:ascii="Times New Roman" w:eastAsia="Times New Roman" w:hAnsi="Times New Roman" w:cs="Times New Roman"/>
                <w:sz w:val="18"/>
                <w:szCs w:val="18"/>
                <w:lang w:val="ro-MD"/>
              </w:rPr>
              <w:t>926,9</w:t>
            </w:r>
          </w:p>
        </w:tc>
        <w:tc>
          <w:tcPr>
            <w:tcW w:w="1071" w:type="dxa"/>
            <w:gridSpan w:val="2"/>
            <w:tcBorders>
              <w:top w:val="nil"/>
              <w:left w:val="nil"/>
              <w:bottom w:val="single" w:sz="4" w:space="0" w:color="auto"/>
              <w:right w:val="single" w:sz="4" w:space="0" w:color="auto"/>
            </w:tcBorders>
            <w:shd w:val="clear" w:color="auto" w:fill="auto"/>
            <w:vAlign w:val="center"/>
            <w:hideMark/>
          </w:tcPr>
          <w:p w14:paraId="7E666AD7"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5417926,9</w:t>
            </w:r>
          </w:p>
        </w:tc>
        <w:tc>
          <w:tcPr>
            <w:tcW w:w="1071" w:type="dxa"/>
            <w:gridSpan w:val="2"/>
            <w:tcBorders>
              <w:top w:val="nil"/>
              <w:left w:val="nil"/>
              <w:bottom w:val="single" w:sz="4" w:space="0" w:color="auto"/>
              <w:right w:val="single" w:sz="4" w:space="0" w:color="auto"/>
            </w:tcBorders>
            <w:shd w:val="clear" w:color="auto" w:fill="auto"/>
            <w:vAlign w:val="center"/>
            <w:hideMark/>
          </w:tcPr>
          <w:p w14:paraId="3A1DA3C1"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5417926,9</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E200173"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 </w:t>
            </w:r>
          </w:p>
        </w:tc>
        <w:tc>
          <w:tcPr>
            <w:tcW w:w="891" w:type="dxa"/>
            <w:tcBorders>
              <w:top w:val="nil"/>
              <w:left w:val="nil"/>
              <w:bottom w:val="single" w:sz="4" w:space="0" w:color="auto"/>
              <w:right w:val="single" w:sz="4" w:space="0" w:color="auto"/>
            </w:tcBorders>
            <w:shd w:val="clear" w:color="auto" w:fill="auto"/>
            <w:noWrap/>
            <w:vAlign w:val="center"/>
            <w:hideMark/>
          </w:tcPr>
          <w:p w14:paraId="4CE4668D" w14:textId="77777777" w:rsidR="00F73820" w:rsidRPr="00DD5F1D" w:rsidRDefault="00F73820" w:rsidP="00F73820">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 </w:t>
            </w:r>
          </w:p>
        </w:tc>
      </w:tr>
    </w:tbl>
    <w:p w14:paraId="1D6A9889" w14:textId="77777777" w:rsidR="00775DBA" w:rsidRPr="00DD5F1D" w:rsidRDefault="00775DBA" w:rsidP="00775DBA">
      <w:pPr>
        <w:rPr>
          <w:rFonts w:ascii="Times New Roman" w:hAnsi="Times New Roman" w:cs="Times New Roman"/>
          <w:i/>
          <w:sz w:val="20"/>
          <w:szCs w:val="20"/>
          <w:lang w:val="ro-MD"/>
        </w:rPr>
      </w:pPr>
      <w:r w:rsidRPr="00DD5F1D">
        <w:rPr>
          <w:rFonts w:ascii="Times New Roman" w:hAnsi="Times New Roman" w:cs="Times New Roman"/>
          <w:b/>
          <w:bCs/>
          <w:i/>
          <w:sz w:val="20"/>
          <w:szCs w:val="20"/>
          <w:lang w:val="ro-MD"/>
        </w:rPr>
        <w:t>Sursă:</w:t>
      </w:r>
      <w:r w:rsidRPr="00DD5F1D">
        <w:rPr>
          <w:rFonts w:ascii="Times New Roman" w:hAnsi="Times New Roman" w:cs="Times New Roman"/>
          <w:i/>
          <w:sz w:val="20"/>
          <w:szCs w:val="20"/>
          <w:lang w:val="ro-MD"/>
        </w:rPr>
        <w:t xml:space="preserve"> Raportul privind executarea bugetului asigurărilor sociale de stat pentru anul 2023 (Formularul nr.4.2 CNAS).</w:t>
      </w:r>
    </w:p>
    <w:p w14:paraId="1D6A780B" w14:textId="77777777" w:rsidR="00775DBA" w:rsidRPr="00DD5F1D" w:rsidRDefault="000D40B3" w:rsidP="009E3494">
      <w:pPr>
        <w:pStyle w:val="2"/>
        <w:jc w:val="right"/>
        <w:rPr>
          <w:rFonts w:ascii="Times New Roman" w:eastAsia="Times New Roman" w:hAnsi="Times New Roman" w:cs="Times New Roman"/>
          <w:b/>
          <w:color w:val="000000" w:themeColor="text1"/>
          <w:sz w:val="24"/>
          <w:szCs w:val="24"/>
          <w:lang w:val="ro-MD"/>
        </w:rPr>
      </w:pPr>
      <w:r w:rsidRPr="00DD5F1D">
        <w:rPr>
          <w:rFonts w:ascii="Times New Roman" w:eastAsia="Times New Roman" w:hAnsi="Times New Roman" w:cs="Times New Roman"/>
          <w:b/>
          <w:color w:val="000000" w:themeColor="text1"/>
          <w:sz w:val="24"/>
          <w:szCs w:val="24"/>
          <w:lang w:val="ro-MD"/>
        </w:rPr>
        <w:t xml:space="preserve">Anexa nr. </w:t>
      </w:r>
      <w:r w:rsidR="000E2AC7" w:rsidRPr="00DD5F1D">
        <w:rPr>
          <w:rFonts w:ascii="Times New Roman" w:eastAsia="Times New Roman" w:hAnsi="Times New Roman" w:cs="Times New Roman"/>
          <w:b/>
          <w:color w:val="000000" w:themeColor="text1"/>
          <w:sz w:val="24"/>
          <w:szCs w:val="24"/>
          <w:lang w:val="ro-MD"/>
        </w:rPr>
        <w:t>17</w:t>
      </w:r>
    </w:p>
    <w:p w14:paraId="188C0149" w14:textId="77777777" w:rsidR="00775DBA" w:rsidRPr="00DD5F1D" w:rsidRDefault="00775DBA" w:rsidP="00775DBA">
      <w:pPr>
        <w:tabs>
          <w:tab w:val="left" w:pos="162"/>
        </w:tabs>
        <w:spacing w:after="0" w:line="276" w:lineRule="auto"/>
        <w:jc w:val="center"/>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 xml:space="preserve">Executarea veniturilor bugetului asigurărilor sociale de stat în anii 2022-2023 </w:t>
      </w:r>
    </w:p>
    <w:p w14:paraId="4E1A0557" w14:textId="77777777" w:rsidR="00775DBA" w:rsidRPr="00DD5F1D" w:rsidRDefault="00775DBA" w:rsidP="00775DBA">
      <w:pPr>
        <w:tabs>
          <w:tab w:val="left" w:pos="162"/>
        </w:tabs>
        <w:spacing w:after="0" w:line="276" w:lineRule="auto"/>
        <w:jc w:val="right"/>
        <w:rPr>
          <w:rFonts w:ascii="Times New Roman" w:eastAsia="Times New Roman" w:hAnsi="Times New Roman" w:cs="Times New Roman"/>
          <w:b/>
          <w:i/>
          <w:sz w:val="20"/>
          <w:szCs w:val="20"/>
          <w:lang w:val="ro-MD"/>
        </w:rPr>
      </w:pPr>
      <w:r w:rsidRPr="00DD5F1D">
        <w:rPr>
          <w:rFonts w:ascii="Times New Roman" w:eastAsia="Times New Roman" w:hAnsi="Times New Roman" w:cs="Times New Roman"/>
          <w:b/>
          <w:i/>
          <w:sz w:val="20"/>
          <w:szCs w:val="20"/>
          <w:lang w:val="ro-MD"/>
        </w:rPr>
        <w:t>(mil. lei)</w:t>
      </w:r>
    </w:p>
    <w:tbl>
      <w:tblPr>
        <w:tblW w:w="136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60"/>
        <w:gridCol w:w="845"/>
        <w:gridCol w:w="960"/>
        <w:gridCol w:w="962"/>
        <w:gridCol w:w="958"/>
        <w:gridCol w:w="807"/>
        <w:gridCol w:w="850"/>
        <w:gridCol w:w="851"/>
        <w:gridCol w:w="1100"/>
        <w:gridCol w:w="11"/>
      </w:tblGrid>
      <w:tr w:rsidR="00775DBA" w:rsidRPr="00DD5F1D" w14:paraId="085ADA1C" w14:textId="77777777" w:rsidTr="00FF7F7E">
        <w:trPr>
          <w:trHeight w:val="20"/>
        </w:trPr>
        <w:tc>
          <w:tcPr>
            <w:tcW w:w="5387" w:type="dxa"/>
            <w:vMerge w:val="restart"/>
            <w:shd w:val="clear" w:color="auto" w:fill="auto"/>
            <w:vAlign w:val="center"/>
            <w:hideMark/>
          </w:tcPr>
          <w:p w14:paraId="574BC0CE"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Indicatorii</w:t>
            </w:r>
          </w:p>
        </w:tc>
        <w:tc>
          <w:tcPr>
            <w:tcW w:w="960" w:type="dxa"/>
            <w:shd w:val="clear" w:color="auto" w:fill="auto"/>
            <w:vAlign w:val="center"/>
            <w:hideMark/>
          </w:tcPr>
          <w:p w14:paraId="103095C0"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Anul</w:t>
            </w:r>
          </w:p>
        </w:tc>
        <w:tc>
          <w:tcPr>
            <w:tcW w:w="2767" w:type="dxa"/>
            <w:gridSpan w:val="3"/>
            <w:shd w:val="clear" w:color="auto" w:fill="auto"/>
            <w:vAlign w:val="center"/>
            <w:hideMark/>
          </w:tcPr>
          <w:p w14:paraId="32EDA458"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Anul 2023</w:t>
            </w:r>
          </w:p>
        </w:tc>
        <w:tc>
          <w:tcPr>
            <w:tcW w:w="958" w:type="dxa"/>
            <w:vMerge w:val="restart"/>
            <w:shd w:val="clear" w:color="auto" w:fill="auto"/>
            <w:vAlign w:val="center"/>
            <w:hideMark/>
          </w:tcPr>
          <w:p w14:paraId="61C68348" w14:textId="434F6D6A" w:rsidR="00775DBA" w:rsidRPr="00DD5F1D" w:rsidRDefault="00775DBA" w:rsidP="00BD3EA8">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Ponderea executat în suma totală</w:t>
            </w:r>
          </w:p>
        </w:tc>
        <w:tc>
          <w:tcPr>
            <w:tcW w:w="3619" w:type="dxa"/>
            <w:gridSpan w:val="5"/>
            <w:shd w:val="clear" w:color="auto" w:fill="auto"/>
            <w:vAlign w:val="center"/>
            <w:hideMark/>
          </w:tcPr>
          <w:p w14:paraId="17A74DA8"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Executat 2023, față de:</w:t>
            </w:r>
          </w:p>
        </w:tc>
      </w:tr>
      <w:tr w:rsidR="00775DBA" w:rsidRPr="00DD5F1D" w14:paraId="21C1C842" w14:textId="77777777" w:rsidTr="00FF7F7E">
        <w:trPr>
          <w:gridAfter w:val="1"/>
          <w:wAfter w:w="11" w:type="dxa"/>
          <w:trHeight w:val="20"/>
        </w:trPr>
        <w:tc>
          <w:tcPr>
            <w:tcW w:w="5387" w:type="dxa"/>
            <w:vMerge/>
            <w:vAlign w:val="center"/>
            <w:hideMark/>
          </w:tcPr>
          <w:p w14:paraId="206E20DE"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p>
        </w:tc>
        <w:tc>
          <w:tcPr>
            <w:tcW w:w="960" w:type="dxa"/>
            <w:shd w:val="clear" w:color="auto" w:fill="auto"/>
            <w:vAlign w:val="center"/>
            <w:hideMark/>
          </w:tcPr>
          <w:p w14:paraId="3BEF9D12"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2022</w:t>
            </w:r>
          </w:p>
        </w:tc>
        <w:tc>
          <w:tcPr>
            <w:tcW w:w="845" w:type="dxa"/>
            <w:vMerge w:val="restart"/>
            <w:shd w:val="clear" w:color="auto" w:fill="auto"/>
            <w:vAlign w:val="center"/>
            <w:hideMark/>
          </w:tcPr>
          <w:p w14:paraId="72698CC2"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aprobat</w:t>
            </w:r>
          </w:p>
        </w:tc>
        <w:tc>
          <w:tcPr>
            <w:tcW w:w="960" w:type="dxa"/>
            <w:vMerge w:val="restart"/>
            <w:shd w:val="clear" w:color="auto" w:fill="auto"/>
            <w:vAlign w:val="center"/>
            <w:hideMark/>
          </w:tcPr>
          <w:p w14:paraId="5649EAC8"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precizat</w:t>
            </w:r>
          </w:p>
        </w:tc>
        <w:tc>
          <w:tcPr>
            <w:tcW w:w="962" w:type="dxa"/>
            <w:vMerge w:val="restart"/>
            <w:shd w:val="clear" w:color="auto" w:fill="auto"/>
            <w:vAlign w:val="center"/>
            <w:hideMark/>
          </w:tcPr>
          <w:p w14:paraId="6CC0E1AE"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executat</w:t>
            </w:r>
          </w:p>
        </w:tc>
        <w:tc>
          <w:tcPr>
            <w:tcW w:w="958" w:type="dxa"/>
            <w:vMerge/>
            <w:vAlign w:val="center"/>
            <w:hideMark/>
          </w:tcPr>
          <w:p w14:paraId="3E9EC70C"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p>
        </w:tc>
        <w:tc>
          <w:tcPr>
            <w:tcW w:w="1657" w:type="dxa"/>
            <w:gridSpan w:val="2"/>
            <w:shd w:val="clear" w:color="auto" w:fill="auto"/>
            <w:vAlign w:val="center"/>
            <w:hideMark/>
          </w:tcPr>
          <w:p w14:paraId="6C46F47E"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executat 2022</w:t>
            </w:r>
          </w:p>
        </w:tc>
        <w:tc>
          <w:tcPr>
            <w:tcW w:w="1951" w:type="dxa"/>
            <w:gridSpan w:val="2"/>
            <w:shd w:val="clear" w:color="auto" w:fill="auto"/>
            <w:vAlign w:val="center"/>
            <w:hideMark/>
          </w:tcPr>
          <w:p w14:paraId="791E7D81" w14:textId="77777777" w:rsidR="00775DBA" w:rsidRPr="00DD5F1D" w:rsidRDefault="00775DBA" w:rsidP="00D030D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precizat 2023</w:t>
            </w:r>
          </w:p>
        </w:tc>
      </w:tr>
      <w:tr w:rsidR="000D40B3" w:rsidRPr="00DD5F1D" w14:paraId="1070166E" w14:textId="77777777" w:rsidTr="00FF7F7E">
        <w:trPr>
          <w:gridAfter w:val="1"/>
          <w:wAfter w:w="11" w:type="dxa"/>
          <w:trHeight w:val="20"/>
        </w:trPr>
        <w:tc>
          <w:tcPr>
            <w:tcW w:w="5387" w:type="dxa"/>
            <w:vMerge/>
            <w:vAlign w:val="center"/>
            <w:hideMark/>
          </w:tcPr>
          <w:p w14:paraId="222C5256"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p>
        </w:tc>
        <w:tc>
          <w:tcPr>
            <w:tcW w:w="960" w:type="dxa"/>
            <w:shd w:val="clear" w:color="auto" w:fill="auto"/>
            <w:hideMark/>
          </w:tcPr>
          <w:p w14:paraId="195F763A"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executat</w:t>
            </w:r>
          </w:p>
        </w:tc>
        <w:tc>
          <w:tcPr>
            <w:tcW w:w="845" w:type="dxa"/>
            <w:vMerge/>
            <w:vAlign w:val="center"/>
            <w:hideMark/>
          </w:tcPr>
          <w:p w14:paraId="7E473F65"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p>
        </w:tc>
        <w:tc>
          <w:tcPr>
            <w:tcW w:w="960" w:type="dxa"/>
            <w:vMerge/>
            <w:vAlign w:val="center"/>
            <w:hideMark/>
          </w:tcPr>
          <w:p w14:paraId="0E580BF7"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p>
        </w:tc>
        <w:tc>
          <w:tcPr>
            <w:tcW w:w="962" w:type="dxa"/>
            <w:vMerge/>
            <w:vAlign w:val="center"/>
            <w:hideMark/>
          </w:tcPr>
          <w:p w14:paraId="62CFC963"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p>
        </w:tc>
        <w:tc>
          <w:tcPr>
            <w:tcW w:w="958" w:type="dxa"/>
            <w:shd w:val="clear" w:color="auto" w:fill="auto"/>
            <w:hideMark/>
          </w:tcPr>
          <w:p w14:paraId="586DBFD1"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807" w:type="dxa"/>
            <w:shd w:val="clear" w:color="auto" w:fill="auto"/>
            <w:hideMark/>
          </w:tcPr>
          <w:p w14:paraId="0564A180"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850" w:type="dxa"/>
            <w:shd w:val="clear" w:color="auto" w:fill="auto"/>
            <w:hideMark/>
          </w:tcPr>
          <w:p w14:paraId="0094668C"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851" w:type="dxa"/>
            <w:shd w:val="clear" w:color="auto" w:fill="auto"/>
            <w:hideMark/>
          </w:tcPr>
          <w:p w14:paraId="582EC16E"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1100" w:type="dxa"/>
            <w:shd w:val="clear" w:color="auto" w:fill="auto"/>
            <w:hideMark/>
          </w:tcPr>
          <w:p w14:paraId="14BF7820"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r>
      <w:tr w:rsidR="000D40B3" w:rsidRPr="00DD5F1D" w14:paraId="583D5C40" w14:textId="77777777" w:rsidTr="00FF7F7E">
        <w:trPr>
          <w:gridAfter w:val="1"/>
          <w:wAfter w:w="11" w:type="dxa"/>
          <w:trHeight w:val="20"/>
        </w:trPr>
        <w:tc>
          <w:tcPr>
            <w:tcW w:w="5387" w:type="dxa"/>
            <w:shd w:val="clear" w:color="auto" w:fill="auto"/>
            <w:hideMark/>
          </w:tcPr>
          <w:p w14:paraId="37193348"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A</w:t>
            </w:r>
          </w:p>
        </w:tc>
        <w:tc>
          <w:tcPr>
            <w:tcW w:w="960" w:type="dxa"/>
            <w:shd w:val="clear" w:color="auto" w:fill="auto"/>
            <w:hideMark/>
          </w:tcPr>
          <w:p w14:paraId="5CD12945"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w:t>
            </w:r>
          </w:p>
        </w:tc>
        <w:tc>
          <w:tcPr>
            <w:tcW w:w="845" w:type="dxa"/>
            <w:shd w:val="clear" w:color="auto" w:fill="auto"/>
            <w:hideMark/>
          </w:tcPr>
          <w:p w14:paraId="5F292D48"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w:t>
            </w:r>
          </w:p>
        </w:tc>
        <w:tc>
          <w:tcPr>
            <w:tcW w:w="960" w:type="dxa"/>
            <w:shd w:val="clear" w:color="auto" w:fill="auto"/>
            <w:hideMark/>
          </w:tcPr>
          <w:p w14:paraId="49BB0E9A"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3</w:t>
            </w:r>
          </w:p>
        </w:tc>
        <w:tc>
          <w:tcPr>
            <w:tcW w:w="962" w:type="dxa"/>
            <w:shd w:val="clear" w:color="auto" w:fill="auto"/>
            <w:hideMark/>
          </w:tcPr>
          <w:p w14:paraId="282C15EB"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4</w:t>
            </w:r>
          </w:p>
        </w:tc>
        <w:tc>
          <w:tcPr>
            <w:tcW w:w="958" w:type="dxa"/>
            <w:shd w:val="clear" w:color="auto" w:fill="auto"/>
            <w:hideMark/>
          </w:tcPr>
          <w:p w14:paraId="3E51A865"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5.0</w:t>
            </w:r>
          </w:p>
        </w:tc>
        <w:tc>
          <w:tcPr>
            <w:tcW w:w="807" w:type="dxa"/>
            <w:shd w:val="clear" w:color="auto" w:fill="auto"/>
            <w:hideMark/>
          </w:tcPr>
          <w:p w14:paraId="5DB6043B"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6</w:t>
            </w:r>
          </w:p>
        </w:tc>
        <w:tc>
          <w:tcPr>
            <w:tcW w:w="850" w:type="dxa"/>
            <w:shd w:val="clear" w:color="auto" w:fill="auto"/>
            <w:hideMark/>
          </w:tcPr>
          <w:p w14:paraId="2ACD2799"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7</w:t>
            </w:r>
          </w:p>
        </w:tc>
        <w:tc>
          <w:tcPr>
            <w:tcW w:w="851" w:type="dxa"/>
            <w:shd w:val="clear" w:color="auto" w:fill="auto"/>
            <w:hideMark/>
          </w:tcPr>
          <w:p w14:paraId="1B74DC18"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8</w:t>
            </w:r>
          </w:p>
        </w:tc>
        <w:tc>
          <w:tcPr>
            <w:tcW w:w="1100" w:type="dxa"/>
            <w:shd w:val="clear" w:color="auto" w:fill="auto"/>
            <w:hideMark/>
          </w:tcPr>
          <w:p w14:paraId="6D2C5171"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9</w:t>
            </w:r>
          </w:p>
        </w:tc>
      </w:tr>
      <w:tr w:rsidR="000D40B3" w:rsidRPr="00DD5F1D" w14:paraId="7D758106" w14:textId="77777777" w:rsidTr="00FF7F7E">
        <w:trPr>
          <w:gridAfter w:val="1"/>
          <w:wAfter w:w="11" w:type="dxa"/>
          <w:trHeight w:val="20"/>
        </w:trPr>
        <w:tc>
          <w:tcPr>
            <w:tcW w:w="5387" w:type="dxa"/>
            <w:shd w:val="clear" w:color="auto" w:fill="auto"/>
            <w:vAlign w:val="center"/>
            <w:hideMark/>
          </w:tcPr>
          <w:p w14:paraId="4508FB5C" w14:textId="77777777" w:rsidR="00775DBA" w:rsidRPr="00DD5F1D" w:rsidRDefault="00775DBA" w:rsidP="00D030D2">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Venituri, total</w:t>
            </w:r>
          </w:p>
        </w:tc>
        <w:tc>
          <w:tcPr>
            <w:tcW w:w="960" w:type="dxa"/>
            <w:shd w:val="clear" w:color="auto" w:fill="auto"/>
            <w:vAlign w:val="center"/>
            <w:hideMark/>
          </w:tcPr>
          <w:p w14:paraId="049FD8C9"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33796,1</w:t>
            </w:r>
          </w:p>
        </w:tc>
        <w:tc>
          <w:tcPr>
            <w:tcW w:w="845" w:type="dxa"/>
            <w:shd w:val="clear" w:color="auto" w:fill="auto"/>
            <w:vAlign w:val="center"/>
            <w:hideMark/>
          </w:tcPr>
          <w:p w14:paraId="034C3AC4"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38735,6</w:t>
            </w:r>
          </w:p>
        </w:tc>
        <w:tc>
          <w:tcPr>
            <w:tcW w:w="960" w:type="dxa"/>
            <w:shd w:val="clear" w:color="auto" w:fill="auto"/>
            <w:vAlign w:val="center"/>
            <w:hideMark/>
          </w:tcPr>
          <w:p w14:paraId="1E7716F8"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38870,6</w:t>
            </w:r>
          </w:p>
        </w:tc>
        <w:tc>
          <w:tcPr>
            <w:tcW w:w="962" w:type="dxa"/>
            <w:shd w:val="clear" w:color="auto" w:fill="auto"/>
            <w:vAlign w:val="center"/>
            <w:hideMark/>
          </w:tcPr>
          <w:p w14:paraId="59B8F08D"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38604,4</w:t>
            </w:r>
          </w:p>
        </w:tc>
        <w:tc>
          <w:tcPr>
            <w:tcW w:w="958" w:type="dxa"/>
            <w:shd w:val="clear" w:color="auto" w:fill="auto"/>
            <w:vAlign w:val="center"/>
            <w:hideMark/>
          </w:tcPr>
          <w:p w14:paraId="26F13481"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100,0%</w:t>
            </w:r>
          </w:p>
        </w:tc>
        <w:tc>
          <w:tcPr>
            <w:tcW w:w="807" w:type="dxa"/>
            <w:shd w:val="clear" w:color="auto" w:fill="auto"/>
            <w:vAlign w:val="center"/>
            <w:hideMark/>
          </w:tcPr>
          <w:p w14:paraId="0E780631"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4808,3</w:t>
            </w:r>
          </w:p>
        </w:tc>
        <w:tc>
          <w:tcPr>
            <w:tcW w:w="850" w:type="dxa"/>
            <w:shd w:val="clear" w:color="auto" w:fill="auto"/>
            <w:vAlign w:val="center"/>
            <w:hideMark/>
          </w:tcPr>
          <w:p w14:paraId="2D924AA9"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114,2</w:t>
            </w:r>
          </w:p>
        </w:tc>
        <w:tc>
          <w:tcPr>
            <w:tcW w:w="851" w:type="dxa"/>
            <w:shd w:val="clear" w:color="auto" w:fill="auto"/>
            <w:vAlign w:val="center"/>
            <w:hideMark/>
          </w:tcPr>
          <w:p w14:paraId="60470C76"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-266,2</w:t>
            </w:r>
          </w:p>
        </w:tc>
        <w:tc>
          <w:tcPr>
            <w:tcW w:w="1100" w:type="dxa"/>
            <w:shd w:val="clear" w:color="auto" w:fill="auto"/>
            <w:vAlign w:val="center"/>
            <w:hideMark/>
          </w:tcPr>
          <w:p w14:paraId="20B5E742"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99,3</w:t>
            </w:r>
          </w:p>
        </w:tc>
      </w:tr>
      <w:tr w:rsidR="000D40B3" w:rsidRPr="00DD5F1D" w14:paraId="47F293FC" w14:textId="77777777" w:rsidTr="00FF7F7E">
        <w:trPr>
          <w:gridAfter w:val="1"/>
          <w:wAfter w:w="11" w:type="dxa"/>
          <w:trHeight w:val="20"/>
        </w:trPr>
        <w:tc>
          <w:tcPr>
            <w:tcW w:w="5387" w:type="dxa"/>
            <w:shd w:val="clear" w:color="auto" w:fill="auto"/>
            <w:vAlign w:val="center"/>
            <w:hideMark/>
          </w:tcPr>
          <w:p w14:paraId="1FE3D046" w14:textId="77777777" w:rsidR="00775DBA" w:rsidRPr="00DD5F1D" w:rsidRDefault="00775DBA" w:rsidP="00D030D2">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 Resurse proprii ale BASS</w:t>
            </w:r>
          </w:p>
        </w:tc>
        <w:tc>
          <w:tcPr>
            <w:tcW w:w="960" w:type="dxa"/>
            <w:shd w:val="clear" w:color="auto" w:fill="auto"/>
            <w:vAlign w:val="center"/>
            <w:hideMark/>
          </w:tcPr>
          <w:p w14:paraId="01B9C21C"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19002,0</w:t>
            </w:r>
          </w:p>
        </w:tc>
        <w:tc>
          <w:tcPr>
            <w:tcW w:w="845" w:type="dxa"/>
            <w:shd w:val="clear" w:color="auto" w:fill="auto"/>
            <w:vAlign w:val="center"/>
            <w:hideMark/>
          </w:tcPr>
          <w:p w14:paraId="4E5853E2"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21565,7</w:t>
            </w:r>
          </w:p>
        </w:tc>
        <w:tc>
          <w:tcPr>
            <w:tcW w:w="960" w:type="dxa"/>
            <w:shd w:val="clear" w:color="auto" w:fill="auto"/>
            <w:vAlign w:val="center"/>
            <w:hideMark/>
          </w:tcPr>
          <w:p w14:paraId="2D96E949"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22040,9</w:t>
            </w:r>
          </w:p>
        </w:tc>
        <w:tc>
          <w:tcPr>
            <w:tcW w:w="962" w:type="dxa"/>
            <w:shd w:val="clear" w:color="auto" w:fill="auto"/>
            <w:vAlign w:val="center"/>
            <w:hideMark/>
          </w:tcPr>
          <w:p w14:paraId="11805A62"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22092,9</w:t>
            </w:r>
          </w:p>
        </w:tc>
        <w:tc>
          <w:tcPr>
            <w:tcW w:w="958" w:type="dxa"/>
            <w:shd w:val="clear" w:color="auto" w:fill="auto"/>
            <w:vAlign w:val="center"/>
            <w:hideMark/>
          </w:tcPr>
          <w:p w14:paraId="0418124F"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57,2%</w:t>
            </w:r>
          </w:p>
        </w:tc>
        <w:tc>
          <w:tcPr>
            <w:tcW w:w="807" w:type="dxa"/>
            <w:shd w:val="clear" w:color="auto" w:fill="auto"/>
            <w:vAlign w:val="center"/>
            <w:hideMark/>
          </w:tcPr>
          <w:p w14:paraId="2A8316B9"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3090,9</w:t>
            </w:r>
          </w:p>
        </w:tc>
        <w:tc>
          <w:tcPr>
            <w:tcW w:w="850" w:type="dxa"/>
            <w:shd w:val="clear" w:color="auto" w:fill="auto"/>
            <w:vAlign w:val="center"/>
            <w:hideMark/>
          </w:tcPr>
          <w:p w14:paraId="020B8FA0"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116,3</w:t>
            </w:r>
          </w:p>
        </w:tc>
        <w:tc>
          <w:tcPr>
            <w:tcW w:w="851" w:type="dxa"/>
            <w:shd w:val="clear" w:color="auto" w:fill="auto"/>
            <w:vAlign w:val="center"/>
            <w:hideMark/>
          </w:tcPr>
          <w:p w14:paraId="1091AD7E"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52,0</w:t>
            </w:r>
          </w:p>
        </w:tc>
        <w:tc>
          <w:tcPr>
            <w:tcW w:w="1100" w:type="dxa"/>
            <w:shd w:val="clear" w:color="auto" w:fill="auto"/>
            <w:vAlign w:val="center"/>
            <w:hideMark/>
          </w:tcPr>
          <w:p w14:paraId="3FB96F60"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100,2</w:t>
            </w:r>
          </w:p>
        </w:tc>
      </w:tr>
      <w:tr w:rsidR="000D40B3" w:rsidRPr="00DD5F1D" w14:paraId="02B4BF35" w14:textId="77777777" w:rsidTr="00FF7F7E">
        <w:trPr>
          <w:gridAfter w:val="1"/>
          <w:wAfter w:w="11" w:type="dxa"/>
          <w:trHeight w:val="20"/>
        </w:trPr>
        <w:tc>
          <w:tcPr>
            <w:tcW w:w="5387" w:type="dxa"/>
            <w:shd w:val="clear" w:color="auto" w:fill="auto"/>
            <w:vAlign w:val="center"/>
            <w:hideMark/>
          </w:tcPr>
          <w:p w14:paraId="402409C8" w14:textId="77777777" w:rsidR="00775DBA" w:rsidRPr="00DD5F1D" w:rsidRDefault="00775DBA" w:rsidP="00D030D2">
            <w:pPr>
              <w:spacing w:after="0" w:line="240" w:lineRule="auto"/>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1.1. Contribuții de asigurări sociale de stat obligatorii,  inclusiv:</w:t>
            </w:r>
          </w:p>
        </w:tc>
        <w:tc>
          <w:tcPr>
            <w:tcW w:w="960" w:type="dxa"/>
            <w:shd w:val="clear" w:color="auto" w:fill="auto"/>
            <w:vAlign w:val="center"/>
            <w:hideMark/>
          </w:tcPr>
          <w:p w14:paraId="41981253"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18573,3</w:t>
            </w:r>
          </w:p>
        </w:tc>
        <w:tc>
          <w:tcPr>
            <w:tcW w:w="845" w:type="dxa"/>
            <w:shd w:val="clear" w:color="auto" w:fill="auto"/>
            <w:vAlign w:val="center"/>
            <w:hideMark/>
          </w:tcPr>
          <w:p w14:paraId="0203DDBC"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21164,0</w:t>
            </w:r>
          </w:p>
        </w:tc>
        <w:tc>
          <w:tcPr>
            <w:tcW w:w="960" w:type="dxa"/>
            <w:shd w:val="clear" w:color="auto" w:fill="auto"/>
            <w:vAlign w:val="center"/>
            <w:hideMark/>
          </w:tcPr>
          <w:p w14:paraId="695E3821"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21495,2</w:t>
            </w:r>
          </w:p>
        </w:tc>
        <w:tc>
          <w:tcPr>
            <w:tcW w:w="962" w:type="dxa"/>
            <w:shd w:val="clear" w:color="auto" w:fill="auto"/>
            <w:vAlign w:val="center"/>
            <w:hideMark/>
          </w:tcPr>
          <w:p w14:paraId="5E9C4B17"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21524,2</w:t>
            </w:r>
          </w:p>
        </w:tc>
        <w:tc>
          <w:tcPr>
            <w:tcW w:w="958" w:type="dxa"/>
            <w:shd w:val="clear" w:color="auto" w:fill="auto"/>
            <w:vAlign w:val="center"/>
            <w:hideMark/>
          </w:tcPr>
          <w:p w14:paraId="2CF9A0ED"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97,4%</w:t>
            </w:r>
          </w:p>
        </w:tc>
        <w:tc>
          <w:tcPr>
            <w:tcW w:w="807" w:type="dxa"/>
            <w:shd w:val="clear" w:color="auto" w:fill="auto"/>
            <w:vAlign w:val="center"/>
            <w:hideMark/>
          </w:tcPr>
          <w:p w14:paraId="7F9F6954"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2950,9</w:t>
            </w:r>
          </w:p>
        </w:tc>
        <w:tc>
          <w:tcPr>
            <w:tcW w:w="850" w:type="dxa"/>
            <w:shd w:val="clear" w:color="auto" w:fill="auto"/>
            <w:vAlign w:val="center"/>
            <w:hideMark/>
          </w:tcPr>
          <w:p w14:paraId="2198B56D"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115,9</w:t>
            </w:r>
          </w:p>
        </w:tc>
        <w:tc>
          <w:tcPr>
            <w:tcW w:w="851" w:type="dxa"/>
            <w:shd w:val="clear" w:color="auto" w:fill="auto"/>
            <w:vAlign w:val="center"/>
            <w:hideMark/>
          </w:tcPr>
          <w:p w14:paraId="7A74DE73"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29,0</w:t>
            </w:r>
          </w:p>
        </w:tc>
        <w:tc>
          <w:tcPr>
            <w:tcW w:w="1100" w:type="dxa"/>
            <w:shd w:val="clear" w:color="auto" w:fill="auto"/>
            <w:vAlign w:val="center"/>
            <w:hideMark/>
          </w:tcPr>
          <w:p w14:paraId="7086E965"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100,1</w:t>
            </w:r>
          </w:p>
        </w:tc>
      </w:tr>
      <w:tr w:rsidR="000D40B3" w:rsidRPr="00DD5F1D" w14:paraId="566C0D2E" w14:textId="77777777" w:rsidTr="00FF7F7E">
        <w:trPr>
          <w:gridAfter w:val="1"/>
          <w:wAfter w:w="11" w:type="dxa"/>
          <w:trHeight w:val="20"/>
        </w:trPr>
        <w:tc>
          <w:tcPr>
            <w:tcW w:w="5387" w:type="dxa"/>
            <w:shd w:val="clear" w:color="auto" w:fill="auto"/>
            <w:vAlign w:val="center"/>
            <w:hideMark/>
          </w:tcPr>
          <w:p w14:paraId="6B17FCF0" w14:textId="77777777" w:rsidR="00775DBA" w:rsidRPr="00DD5F1D" w:rsidRDefault="00775DBA" w:rsidP="00D030D2">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obligatorii virate de angajatori</w:t>
            </w:r>
          </w:p>
        </w:tc>
        <w:tc>
          <w:tcPr>
            <w:tcW w:w="960" w:type="dxa"/>
            <w:shd w:val="clear" w:color="auto" w:fill="auto"/>
            <w:noWrap/>
            <w:vAlign w:val="center"/>
            <w:hideMark/>
          </w:tcPr>
          <w:p w14:paraId="124F753C"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18335,6</w:t>
            </w:r>
          </w:p>
        </w:tc>
        <w:tc>
          <w:tcPr>
            <w:tcW w:w="845" w:type="dxa"/>
            <w:shd w:val="clear" w:color="auto" w:fill="auto"/>
            <w:noWrap/>
            <w:vAlign w:val="center"/>
            <w:hideMark/>
          </w:tcPr>
          <w:p w14:paraId="0D513486"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20951,3</w:t>
            </w:r>
          </w:p>
        </w:tc>
        <w:tc>
          <w:tcPr>
            <w:tcW w:w="960" w:type="dxa"/>
            <w:shd w:val="clear" w:color="auto" w:fill="auto"/>
            <w:noWrap/>
            <w:vAlign w:val="center"/>
            <w:hideMark/>
          </w:tcPr>
          <w:p w14:paraId="7F58B538"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21260,3</w:t>
            </w:r>
          </w:p>
        </w:tc>
        <w:tc>
          <w:tcPr>
            <w:tcW w:w="962" w:type="dxa"/>
            <w:shd w:val="clear" w:color="auto" w:fill="auto"/>
            <w:noWrap/>
            <w:vAlign w:val="center"/>
            <w:hideMark/>
          </w:tcPr>
          <w:p w14:paraId="092D1C8F"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21277,8</w:t>
            </w:r>
          </w:p>
        </w:tc>
        <w:tc>
          <w:tcPr>
            <w:tcW w:w="958" w:type="dxa"/>
            <w:shd w:val="clear" w:color="auto" w:fill="auto"/>
            <w:vAlign w:val="center"/>
            <w:hideMark/>
          </w:tcPr>
          <w:p w14:paraId="22AD4D21"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98,8%</w:t>
            </w:r>
          </w:p>
        </w:tc>
        <w:tc>
          <w:tcPr>
            <w:tcW w:w="807" w:type="dxa"/>
            <w:shd w:val="clear" w:color="auto" w:fill="auto"/>
            <w:vAlign w:val="center"/>
            <w:hideMark/>
          </w:tcPr>
          <w:p w14:paraId="6D74A0C9"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2942,2</w:t>
            </w:r>
          </w:p>
        </w:tc>
        <w:tc>
          <w:tcPr>
            <w:tcW w:w="850" w:type="dxa"/>
            <w:shd w:val="clear" w:color="auto" w:fill="auto"/>
            <w:vAlign w:val="center"/>
            <w:hideMark/>
          </w:tcPr>
          <w:p w14:paraId="2E4928E5"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116,0</w:t>
            </w:r>
          </w:p>
        </w:tc>
        <w:tc>
          <w:tcPr>
            <w:tcW w:w="851" w:type="dxa"/>
            <w:shd w:val="clear" w:color="auto" w:fill="auto"/>
            <w:vAlign w:val="center"/>
            <w:hideMark/>
          </w:tcPr>
          <w:p w14:paraId="47B2A5FE"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17,5</w:t>
            </w:r>
          </w:p>
        </w:tc>
        <w:tc>
          <w:tcPr>
            <w:tcW w:w="1100" w:type="dxa"/>
            <w:shd w:val="clear" w:color="auto" w:fill="auto"/>
            <w:vAlign w:val="center"/>
            <w:hideMark/>
          </w:tcPr>
          <w:p w14:paraId="2B96E215"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100,1</w:t>
            </w:r>
          </w:p>
        </w:tc>
      </w:tr>
      <w:tr w:rsidR="000D40B3" w:rsidRPr="00DD5F1D" w14:paraId="4746E205" w14:textId="77777777" w:rsidTr="00FF7F7E">
        <w:trPr>
          <w:gridAfter w:val="1"/>
          <w:wAfter w:w="11" w:type="dxa"/>
          <w:trHeight w:val="20"/>
        </w:trPr>
        <w:tc>
          <w:tcPr>
            <w:tcW w:w="5387" w:type="dxa"/>
            <w:shd w:val="clear" w:color="auto" w:fill="auto"/>
            <w:vAlign w:val="center"/>
            <w:hideMark/>
          </w:tcPr>
          <w:p w14:paraId="0A42777B" w14:textId="77777777" w:rsidR="00775DBA" w:rsidRPr="00DD5F1D" w:rsidRDefault="00775DBA" w:rsidP="00D030D2">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obligatorii, virate de persoanele fizice ce îşi desfășoară activitatea pe cont propriu</w:t>
            </w:r>
          </w:p>
        </w:tc>
        <w:tc>
          <w:tcPr>
            <w:tcW w:w="960" w:type="dxa"/>
            <w:shd w:val="clear" w:color="auto" w:fill="auto"/>
            <w:vAlign w:val="center"/>
            <w:hideMark/>
          </w:tcPr>
          <w:p w14:paraId="32EE4E06"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128,2</w:t>
            </w:r>
          </w:p>
        </w:tc>
        <w:tc>
          <w:tcPr>
            <w:tcW w:w="845" w:type="dxa"/>
            <w:shd w:val="clear" w:color="auto" w:fill="auto"/>
            <w:vAlign w:val="center"/>
            <w:hideMark/>
          </w:tcPr>
          <w:p w14:paraId="7B3419B0"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152,8</w:t>
            </w:r>
          </w:p>
        </w:tc>
        <w:tc>
          <w:tcPr>
            <w:tcW w:w="960" w:type="dxa"/>
            <w:shd w:val="clear" w:color="auto" w:fill="auto"/>
            <w:vAlign w:val="center"/>
            <w:hideMark/>
          </w:tcPr>
          <w:p w14:paraId="18CA6927"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157,7</w:t>
            </w:r>
          </w:p>
        </w:tc>
        <w:tc>
          <w:tcPr>
            <w:tcW w:w="962" w:type="dxa"/>
            <w:shd w:val="clear" w:color="auto" w:fill="auto"/>
            <w:vAlign w:val="center"/>
            <w:hideMark/>
          </w:tcPr>
          <w:p w14:paraId="2830CC85"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149,5</w:t>
            </w:r>
          </w:p>
        </w:tc>
        <w:tc>
          <w:tcPr>
            <w:tcW w:w="958" w:type="dxa"/>
            <w:shd w:val="clear" w:color="auto" w:fill="auto"/>
            <w:vAlign w:val="center"/>
            <w:hideMark/>
          </w:tcPr>
          <w:p w14:paraId="7322CB80"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0,6%</w:t>
            </w:r>
          </w:p>
        </w:tc>
        <w:tc>
          <w:tcPr>
            <w:tcW w:w="807" w:type="dxa"/>
            <w:shd w:val="clear" w:color="auto" w:fill="auto"/>
            <w:vAlign w:val="center"/>
            <w:hideMark/>
          </w:tcPr>
          <w:p w14:paraId="18E5EEC1"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21,3</w:t>
            </w:r>
          </w:p>
        </w:tc>
        <w:tc>
          <w:tcPr>
            <w:tcW w:w="850" w:type="dxa"/>
            <w:shd w:val="clear" w:color="auto" w:fill="auto"/>
            <w:vAlign w:val="center"/>
            <w:hideMark/>
          </w:tcPr>
          <w:p w14:paraId="48052254"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116,6</w:t>
            </w:r>
          </w:p>
        </w:tc>
        <w:tc>
          <w:tcPr>
            <w:tcW w:w="851" w:type="dxa"/>
            <w:shd w:val="clear" w:color="auto" w:fill="auto"/>
            <w:vAlign w:val="center"/>
            <w:hideMark/>
          </w:tcPr>
          <w:p w14:paraId="0802BD8C"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-8,2</w:t>
            </w:r>
          </w:p>
        </w:tc>
        <w:tc>
          <w:tcPr>
            <w:tcW w:w="1100" w:type="dxa"/>
            <w:shd w:val="clear" w:color="auto" w:fill="auto"/>
            <w:vAlign w:val="center"/>
            <w:hideMark/>
          </w:tcPr>
          <w:p w14:paraId="6C2E4CD8"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94,8</w:t>
            </w:r>
          </w:p>
        </w:tc>
      </w:tr>
      <w:tr w:rsidR="000D40B3" w:rsidRPr="00DD5F1D" w14:paraId="5C7EBCEF" w14:textId="77777777" w:rsidTr="00FF7F7E">
        <w:trPr>
          <w:gridAfter w:val="1"/>
          <w:wAfter w:w="11" w:type="dxa"/>
          <w:trHeight w:val="20"/>
        </w:trPr>
        <w:tc>
          <w:tcPr>
            <w:tcW w:w="5387" w:type="dxa"/>
            <w:shd w:val="clear" w:color="auto" w:fill="auto"/>
            <w:vAlign w:val="center"/>
            <w:hideMark/>
          </w:tcPr>
          <w:p w14:paraId="0559B4DC" w14:textId="77777777" w:rsidR="00775DBA" w:rsidRPr="00DD5F1D" w:rsidRDefault="00775DBA" w:rsidP="00D030D2">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individuale virate de persoanele fizice care au încheiat contract individual</w:t>
            </w:r>
          </w:p>
        </w:tc>
        <w:tc>
          <w:tcPr>
            <w:tcW w:w="960" w:type="dxa"/>
            <w:shd w:val="clear" w:color="auto" w:fill="auto"/>
            <w:noWrap/>
            <w:vAlign w:val="center"/>
            <w:hideMark/>
          </w:tcPr>
          <w:p w14:paraId="5D7C03A2"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4,9</w:t>
            </w:r>
          </w:p>
        </w:tc>
        <w:tc>
          <w:tcPr>
            <w:tcW w:w="845" w:type="dxa"/>
            <w:shd w:val="clear" w:color="auto" w:fill="auto"/>
            <w:noWrap/>
            <w:vAlign w:val="center"/>
            <w:hideMark/>
          </w:tcPr>
          <w:p w14:paraId="79A44207"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7,2</w:t>
            </w:r>
          </w:p>
        </w:tc>
        <w:tc>
          <w:tcPr>
            <w:tcW w:w="960" w:type="dxa"/>
            <w:shd w:val="clear" w:color="auto" w:fill="auto"/>
            <w:noWrap/>
            <w:vAlign w:val="center"/>
            <w:hideMark/>
          </w:tcPr>
          <w:p w14:paraId="2D860121"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5,6</w:t>
            </w:r>
          </w:p>
        </w:tc>
        <w:tc>
          <w:tcPr>
            <w:tcW w:w="962" w:type="dxa"/>
            <w:shd w:val="clear" w:color="auto" w:fill="auto"/>
            <w:noWrap/>
            <w:vAlign w:val="center"/>
            <w:hideMark/>
          </w:tcPr>
          <w:p w14:paraId="08E608C3"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5,8</w:t>
            </w:r>
          </w:p>
        </w:tc>
        <w:tc>
          <w:tcPr>
            <w:tcW w:w="958" w:type="dxa"/>
            <w:shd w:val="clear" w:color="auto" w:fill="auto"/>
            <w:vAlign w:val="center"/>
            <w:hideMark/>
          </w:tcPr>
          <w:p w14:paraId="7BEAD609"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0,0%</w:t>
            </w:r>
          </w:p>
        </w:tc>
        <w:tc>
          <w:tcPr>
            <w:tcW w:w="807" w:type="dxa"/>
            <w:shd w:val="clear" w:color="auto" w:fill="auto"/>
            <w:vAlign w:val="center"/>
            <w:hideMark/>
          </w:tcPr>
          <w:p w14:paraId="7B22161F"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0,9</w:t>
            </w:r>
          </w:p>
        </w:tc>
        <w:tc>
          <w:tcPr>
            <w:tcW w:w="850" w:type="dxa"/>
            <w:shd w:val="clear" w:color="auto" w:fill="auto"/>
            <w:vAlign w:val="center"/>
            <w:hideMark/>
          </w:tcPr>
          <w:p w14:paraId="65B79108"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118,4</w:t>
            </w:r>
          </w:p>
        </w:tc>
        <w:tc>
          <w:tcPr>
            <w:tcW w:w="851" w:type="dxa"/>
            <w:shd w:val="clear" w:color="auto" w:fill="auto"/>
            <w:vAlign w:val="center"/>
            <w:hideMark/>
          </w:tcPr>
          <w:p w14:paraId="4E43BDCA"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0,2</w:t>
            </w:r>
          </w:p>
        </w:tc>
        <w:tc>
          <w:tcPr>
            <w:tcW w:w="1100" w:type="dxa"/>
            <w:shd w:val="clear" w:color="auto" w:fill="auto"/>
            <w:vAlign w:val="center"/>
            <w:hideMark/>
          </w:tcPr>
          <w:p w14:paraId="17D4DF14"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103,6</w:t>
            </w:r>
          </w:p>
        </w:tc>
      </w:tr>
      <w:tr w:rsidR="000D40B3" w:rsidRPr="00DD5F1D" w14:paraId="0E8DEA56" w14:textId="77777777" w:rsidTr="00FF7F7E">
        <w:trPr>
          <w:gridAfter w:val="1"/>
          <w:wAfter w:w="11" w:type="dxa"/>
          <w:trHeight w:val="20"/>
        </w:trPr>
        <w:tc>
          <w:tcPr>
            <w:tcW w:w="5387" w:type="dxa"/>
            <w:shd w:val="clear" w:color="auto" w:fill="auto"/>
            <w:vAlign w:val="center"/>
            <w:hideMark/>
          </w:tcPr>
          <w:p w14:paraId="0522FF49" w14:textId="77777777" w:rsidR="00775DBA" w:rsidRPr="00DD5F1D" w:rsidRDefault="00775DBA" w:rsidP="00D030D2">
            <w:pPr>
              <w:spacing w:after="0" w:line="240" w:lineRule="auto"/>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Contribuții  de asigurări sociale de stat obligatorii, virate de titularii de patentă de întreprinzător</w:t>
            </w:r>
          </w:p>
        </w:tc>
        <w:tc>
          <w:tcPr>
            <w:tcW w:w="960" w:type="dxa"/>
            <w:shd w:val="clear" w:color="auto" w:fill="auto"/>
            <w:vAlign w:val="center"/>
            <w:hideMark/>
          </w:tcPr>
          <w:p w14:paraId="2AA83A8F"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43,2</w:t>
            </w:r>
          </w:p>
        </w:tc>
        <w:tc>
          <w:tcPr>
            <w:tcW w:w="845" w:type="dxa"/>
            <w:shd w:val="clear" w:color="auto" w:fill="auto"/>
            <w:vAlign w:val="center"/>
            <w:hideMark/>
          </w:tcPr>
          <w:p w14:paraId="12DB4BC8"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52,6</w:t>
            </w:r>
          </w:p>
        </w:tc>
        <w:tc>
          <w:tcPr>
            <w:tcW w:w="960" w:type="dxa"/>
            <w:shd w:val="clear" w:color="auto" w:fill="auto"/>
            <w:vAlign w:val="center"/>
            <w:hideMark/>
          </w:tcPr>
          <w:p w14:paraId="01F6E43E"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41,6</w:t>
            </w:r>
          </w:p>
        </w:tc>
        <w:tc>
          <w:tcPr>
            <w:tcW w:w="962" w:type="dxa"/>
            <w:shd w:val="clear" w:color="auto" w:fill="auto"/>
            <w:vAlign w:val="center"/>
            <w:hideMark/>
          </w:tcPr>
          <w:p w14:paraId="779ED4EB"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41,6</w:t>
            </w:r>
          </w:p>
        </w:tc>
        <w:tc>
          <w:tcPr>
            <w:tcW w:w="958" w:type="dxa"/>
            <w:shd w:val="clear" w:color="auto" w:fill="auto"/>
            <w:vAlign w:val="center"/>
            <w:hideMark/>
          </w:tcPr>
          <w:p w14:paraId="235B36A2"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0,2%</w:t>
            </w:r>
          </w:p>
        </w:tc>
        <w:tc>
          <w:tcPr>
            <w:tcW w:w="807" w:type="dxa"/>
            <w:shd w:val="clear" w:color="auto" w:fill="auto"/>
            <w:vAlign w:val="center"/>
            <w:hideMark/>
          </w:tcPr>
          <w:p w14:paraId="7D4BA79C"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-1,6</w:t>
            </w:r>
          </w:p>
        </w:tc>
        <w:tc>
          <w:tcPr>
            <w:tcW w:w="850" w:type="dxa"/>
            <w:shd w:val="clear" w:color="auto" w:fill="auto"/>
            <w:vAlign w:val="center"/>
            <w:hideMark/>
          </w:tcPr>
          <w:p w14:paraId="5A6A05CE"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96,3</w:t>
            </w:r>
          </w:p>
        </w:tc>
        <w:tc>
          <w:tcPr>
            <w:tcW w:w="851" w:type="dxa"/>
            <w:shd w:val="clear" w:color="auto" w:fill="auto"/>
            <w:vAlign w:val="center"/>
            <w:hideMark/>
          </w:tcPr>
          <w:p w14:paraId="306D8CAC"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0,0</w:t>
            </w:r>
          </w:p>
        </w:tc>
        <w:tc>
          <w:tcPr>
            <w:tcW w:w="1100" w:type="dxa"/>
            <w:shd w:val="clear" w:color="auto" w:fill="auto"/>
            <w:vAlign w:val="center"/>
            <w:hideMark/>
          </w:tcPr>
          <w:p w14:paraId="75BA7E58"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100,0</w:t>
            </w:r>
          </w:p>
        </w:tc>
      </w:tr>
      <w:tr w:rsidR="000D40B3" w:rsidRPr="00DD5F1D" w14:paraId="4CED9496" w14:textId="77777777" w:rsidTr="00FF7F7E">
        <w:trPr>
          <w:gridAfter w:val="1"/>
          <w:wAfter w:w="11" w:type="dxa"/>
          <w:trHeight w:val="20"/>
        </w:trPr>
        <w:tc>
          <w:tcPr>
            <w:tcW w:w="5387" w:type="dxa"/>
            <w:shd w:val="clear" w:color="auto" w:fill="auto"/>
            <w:vAlign w:val="center"/>
            <w:hideMark/>
          </w:tcPr>
          <w:p w14:paraId="75639C29" w14:textId="77777777" w:rsidR="00775DBA" w:rsidRPr="00DD5F1D" w:rsidRDefault="00775DBA" w:rsidP="00D030D2">
            <w:pPr>
              <w:spacing w:after="0" w:line="240" w:lineRule="auto"/>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Contribuții de asigurări sociale de stat obligatorii, virate de persoanele fizice, proprietarii de terenuri agricole</w:t>
            </w:r>
          </w:p>
        </w:tc>
        <w:tc>
          <w:tcPr>
            <w:tcW w:w="960" w:type="dxa"/>
            <w:shd w:val="clear" w:color="auto" w:fill="auto"/>
            <w:vAlign w:val="center"/>
            <w:hideMark/>
          </w:tcPr>
          <w:p w14:paraId="096AD692"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0,2</w:t>
            </w:r>
          </w:p>
        </w:tc>
        <w:tc>
          <w:tcPr>
            <w:tcW w:w="845" w:type="dxa"/>
            <w:shd w:val="clear" w:color="auto" w:fill="auto"/>
            <w:vAlign w:val="center"/>
            <w:hideMark/>
          </w:tcPr>
          <w:p w14:paraId="62B65450"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960" w:type="dxa"/>
            <w:shd w:val="clear" w:color="auto" w:fill="auto"/>
            <w:vAlign w:val="center"/>
            <w:hideMark/>
          </w:tcPr>
          <w:p w14:paraId="07CD6086"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962" w:type="dxa"/>
            <w:shd w:val="clear" w:color="auto" w:fill="auto"/>
            <w:vAlign w:val="center"/>
            <w:hideMark/>
          </w:tcPr>
          <w:p w14:paraId="6CFCB7E3"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0,1</w:t>
            </w:r>
          </w:p>
        </w:tc>
        <w:tc>
          <w:tcPr>
            <w:tcW w:w="958" w:type="dxa"/>
            <w:shd w:val="clear" w:color="auto" w:fill="auto"/>
            <w:vAlign w:val="center"/>
            <w:hideMark/>
          </w:tcPr>
          <w:p w14:paraId="36277D0C"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0,2%</w:t>
            </w:r>
          </w:p>
        </w:tc>
        <w:tc>
          <w:tcPr>
            <w:tcW w:w="807" w:type="dxa"/>
            <w:shd w:val="clear" w:color="auto" w:fill="auto"/>
            <w:vAlign w:val="center"/>
            <w:hideMark/>
          </w:tcPr>
          <w:p w14:paraId="23F4F952"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-0,1</w:t>
            </w:r>
          </w:p>
        </w:tc>
        <w:tc>
          <w:tcPr>
            <w:tcW w:w="850" w:type="dxa"/>
            <w:shd w:val="clear" w:color="auto" w:fill="auto"/>
            <w:vAlign w:val="center"/>
            <w:hideMark/>
          </w:tcPr>
          <w:p w14:paraId="080D8EF7"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35,0</w:t>
            </w:r>
          </w:p>
        </w:tc>
        <w:tc>
          <w:tcPr>
            <w:tcW w:w="851" w:type="dxa"/>
            <w:shd w:val="clear" w:color="auto" w:fill="auto"/>
            <w:vAlign w:val="center"/>
            <w:hideMark/>
          </w:tcPr>
          <w:p w14:paraId="0B325AD9"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0,1</w:t>
            </w:r>
          </w:p>
        </w:tc>
        <w:tc>
          <w:tcPr>
            <w:tcW w:w="1100" w:type="dxa"/>
            <w:shd w:val="clear" w:color="auto" w:fill="auto"/>
            <w:vAlign w:val="center"/>
            <w:hideMark/>
          </w:tcPr>
          <w:p w14:paraId="25D3E464"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x</w:t>
            </w:r>
          </w:p>
        </w:tc>
      </w:tr>
      <w:tr w:rsidR="000D40B3" w:rsidRPr="00DD5F1D" w14:paraId="78DA9768" w14:textId="77777777" w:rsidTr="00FF7F7E">
        <w:trPr>
          <w:gridAfter w:val="1"/>
          <w:wAfter w:w="11" w:type="dxa"/>
          <w:trHeight w:val="20"/>
        </w:trPr>
        <w:tc>
          <w:tcPr>
            <w:tcW w:w="5387" w:type="dxa"/>
            <w:shd w:val="clear" w:color="auto" w:fill="auto"/>
            <w:vAlign w:val="center"/>
            <w:hideMark/>
          </w:tcPr>
          <w:p w14:paraId="516A2A8A" w14:textId="77777777" w:rsidR="00775DBA" w:rsidRPr="00DD5F1D" w:rsidRDefault="00775DBA" w:rsidP="00D030D2">
            <w:pPr>
              <w:spacing w:after="0" w:line="240" w:lineRule="auto"/>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Majorarea de întârziere (penalitatea) calculată pentru neachitarea în termen a contribuțiilor de asigurări sociale de stat obligatorii</w:t>
            </w:r>
          </w:p>
        </w:tc>
        <w:tc>
          <w:tcPr>
            <w:tcW w:w="960" w:type="dxa"/>
            <w:shd w:val="clear" w:color="auto" w:fill="auto"/>
            <w:vAlign w:val="center"/>
            <w:hideMark/>
          </w:tcPr>
          <w:p w14:paraId="70EEC71F"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61,2</w:t>
            </w:r>
          </w:p>
        </w:tc>
        <w:tc>
          <w:tcPr>
            <w:tcW w:w="845" w:type="dxa"/>
            <w:shd w:val="clear" w:color="auto" w:fill="auto"/>
            <w:vAlign w:val="center"/>
            <w:hideMark/>
          </w:tcPr>
          <w:p w14:paraId="1359EC0C"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w:t>
            </w:r>
          </w:p>
        </w:tc>
        <w:tc>
          <w:tcPr>
            <w:tcW w:w="960" w:type="dxa"/>
            <w:shd w:val="clear" w:color="auto" w:fill="auto"/>
            <w:vAlign w:val="center"/>
            <w:hideMark/>
          </w:tcPr>
          <w:p w14:paraId="7BC13E87"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30,0</w:t>
            </w:r>
          </w:p>
        </w:tc>
        <w:tc>
          <w:tcPr>
            <w:tcW w:w="962" w:type="dxa"/>
            <w:shd w:val="clear" w:color="auto" w:fill="auto"/>
            <w:vAlign w:val="center"/>
            <w:hideMark/>
          </w:tcPr>
          <w:p w14:paraId="3F88CDC2" w14:textId="77777777" w:rsidR="00775DBA" w:rsidRPr="00DD5F1D" w:rsidRDefault="00775DBA" w:rsidP="00D030D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49,4</w:t>
            </w:r>
          </w:p>
        </w:tc>
        <w:tc>
          <w:tcPr>
            <w:tcW w:w="958" w:type="dxa"/>
            <w:shd w:val="clear" w:color="auto" w:fill="auto"/>
            <w:vAlign w:val="center"/>
            <w:hideMark/>
          </w:tcPr>
          <w:p w14:paraId="7E4A6A1C"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0,2%</w:t>
            </w:r>
          </w:p>
        </w:tc>
        <w:tc>
          <w:tcPr>
            <w:tcW w:w="807" w:type="dxa"/>
            <w:shd w:val="clear" w:color="auto" w:fill="auto"/>
            <w:vAlign w:val="center"/>
            <w:hideMark/>
          </w:tcPr>
          <w:p w14:paraId="07D59DD3"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-11,8</w:t>
            </w:r>
          </w:p>
        </w:tc>
        <w:tc>
          <w:tcPr>
            <w:tcW w:w="850" w:type="dxa"/>
            <w:shd w:val="clear" w:color="auto" w:fill="auto"/>
            <w:vAlign w:val="center"/>
            <w:hideMark/>
          </w:tcPr>
          <w:p w14:paraId="29145FA0"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80,7</w:t>
            </w:r>
          </w:p>
        </w:tc>
        <w:tc>
          <w:tcPr>
            <w:tcW w:w="851" w:type="dxa"/>
            <w:shd w:val="clear" w:color="auto" w:fill="auto"/>
            <w:vAlign w:val="center"/>
            <w:hideMark/>
          </w:tcPr>
          <w:p w14:paraId="0DA54AE7"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19,4</w:t>
            </w:r>
          </w:p>
        </w:tc>
        <w:tc>
          <w:tcPr>
            <w:tcW w:w="1100" w:type="dxa"/>
            <w:shd w:val="clear" w:color="auto" w:fill="auto"/>
            <w:vAlign w:val="center"/>
            <w:hideMark/>
          </w:tcPr>
          <w:p w14:paraId="1937483A"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164,7</w:t>
            </w:r>
          </w:p>
        </w:tc>
      </w:tr>
      <w:tr w:rsidR="000D40B3" w:rsidRPr="00DD5F1D" w14:paraId="5DC6C8DC" w14:textId="77777777" w:rsidTr="00FF7F7E">
        <w:trPr>
          <w:gridAfter w:val="1"/>
          <w:wAfter w:w="11" w:type="dxa"/>
          <w:trHeight w:val="20"/>
        </w:trPr>
        <w:tc>
          <w:tcPr>
            <w:tcW w:w="5387" w:type="dxa"/>
            <w:shd w:val="clear" w:color="auto" w:fill="auto"/>
            <w:vAlign w:val="center"/>
            <w:hideMark/>
          </w:tcPr>
          <w:p w14:paraId="74EF75C7" w14:textId="77777777" w:rsidR="00775DBA" w:rsidRPr="00DD5F1D" w:rsidRDefault="00775DBA" w:rsidP="00D030D2">
            <w:pPr>
              <w:spacing w:after="0" w:line="240" w:lineRule="auto"/>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1.2. Alte venituri</w:t>
            </w:r>
          </w:p>
        </w:tc>
        <w:tc>
          <w:tcPr>
            <w:tcW w:w="960" w:type="dxa"/>
            <w:shd w:val="clear" w:color="auto" w:fill="auto"/>
            <w:vAlign w:val="center"/>
            <w:hideMark/>
          </w:tcPr>
          <w:p w14:paraId="21863D05"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428,7</w:t>
            </w:r>
          </w:p>
        </w:tc>
        <w:tc>
          <w:tcPr>
            <w:tcW w:w="845" w:type="dxa"/>
            <w:shd w:val="clear" w:color="auto" w:fill="auto"/>
            <w:vAlign w:val="center"/>
            <w:hideMark/>
          </w:tcPr>
          <w:p w14:paraId="35DFA7AF"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401,7</w:t>
            </w:r>
          </w:p>
        </w:tc>
        <w:tc>
          <w:tcPr>
            <w:tcW w:w="960" w:type="dxa"/>
            <w:shd w:val="clear" w:color="auto" w:fill="auto"/>
            <w:vAlign w:val="center"/>
            <w:hideMark/>
          </w:tcPr>
          <w:p w14:paraId="6030A742"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545,7</w:t>
            </w:r>
          </w:p>
        </w:tc>
        <w:tc>
          <w:tcPr>
            <w:tcW w:w="962" w:type="dxa"/>
            <w:shd w:val="clear" w:color="auto" w:fill="auto"/>
            <w:vAlign w:val="center"/>
            <w:hideMark/>
          </w:tcPr>
          <w:p w14:paraId="458D8224"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568,7</w:t>
            </w:r>
          </w:p>
        </w:tc>
        <w:tc>
          <w:tcPr>
            <w:tcW w:w="958" w:type="dxa"/>
            <w:shd w:val="clear" w:color="auto" w:fill="auto"/>
            <w:vAlign w:val="center"/>
            <w:hideMark/>
          </w:tcPr>
          <w:p w14:paraId="60C67FE2"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2,6%</w:t>
            </w:r>
          </w:p>
        </w:tc>
        <w:tc>
          <w:tcPr>
            <w:tcW w:w="807" w:type="dxa"/>
            <w:shd w:val="clear" w:color="auto" w:fill="auto"/>
            <w:vAlign w:val="center"/>
            <w:hideMark/>
          </w:tcPr>
          <w:p w14:paraId="3A24F504"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140,0</w:t>
            </w:r>
          </w:p>
        </w:tc>
        <w:tc>
          <w:tcPr>
            <w:tcW w:w="850" w:type="dxa"/>
            <w:shd w:val="clear" w:color="auto" w:fill="auto"/>
            <w:vAlign w:val="center"/>
            <w:hideMark/>
          </w:tcPr>
          <w:p w14:paraId="36D87438"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132,7</w:t>
            </w:r>
          </w:p>
        </w:tc>
        <w:tc>
          <w:tcPr>
            <w:tcW w:w="851" w:type="dxa"/>
            <w:shd w:val="clear" w:color="auto" w:fill="auto"/>
            <w:vAlign w:val="center"/>
            <w:hideMark/>
          </w:tcPr>
          <w:p w14:paraId="28EF530D"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23,0</w:t>
            </w:r>
          </w:p>
        </w:tc>
        <w:tc>
          <w:tcPr>
            <w:tcW w:w="1100" w:type="dxa"/>
            <w:shd w:val="clear" w:color="auto" w:fill="auto"/>
            <w:vAlign w:val="center"/>
            <w:hideMark/>
          </w:tcPr>
          <w:p w14:paraId="0051D0E0"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104,2</w:t>
            </w:r>
          </w:p>
        </w:tc>
      </w:tr>
      <w:tr w:rsidR="000D40B3" w:rsidRPr="00DD5F1D" w14:paraId="1E4984BF" w14:textId="77777777" w:rsidTr="00FF7F7E">
        <w:trPr>
          <w:gridAfter w:val="1"/>
          <w:wAfter w:w="11" w:type="dxa"/>
          <w:trHeight w:val="20"/>
        </w:trPr>
        <w:tc>
          <w:tcPr>
            <w:tcW w:w="5387" w:type="dxa"/>
            <w:shd w:val="clear" w:color="auto" w:fill="auto"/>
            <w:vAlign w:val="center"/>
            <w:hideMark/>
          </w:tcPr>
          <w:p w14:paraId="2E149590" w14:textId="77777777" w:rsidR="00775DBA" w:rsidRPr="00DD5F1D" w:rsidRDefault="00775DBA" w:rsidP="00D030D2">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 Transferuri primite în cadrul bugetului public național</w:t>
            </w:r>
          </w:p>
        </w:tc>
        <w:tc>
          <w:tcPr>
            <w:tcW w:w="960" w:type="dxa"/>
            <w:shd w:val="clear" w:color="auto" w:fill="auto"/>
            <w:vAlign w:val="center"/>
            <w:hideMark/>
          </w:tcPr>
          <w:p w14:paraId="66BA7DEA"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14794,0</w:t>
            </w:r>
          </w:p>
        </w:tc>
        <w:tc>
          <w:tcPr>
            <w:tcW w:w="845" w:type="dxa"/>
            <w:shd w:val="clear" w:color="auto" w:fill="auto"/>
            <w:vAlign w:val="center"/>
            <w:hideMark/>
          </w:tcPr>
          <w:p w14:paraId="1B7D7A96"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17169,8</w:t>
            </w:r>
          </w:p>
        </w:tc>
        <w:tc>
          <w:tcPr>
            <w:tcW w:w="960" w:type="dxa"/>
            <w:shd w:val="clear" w:color="auto" w:fill="auto"/>
            <w:vAlign w:val="center"/>
            <w:hideMark/>
          </w:tcPr>
          <w:p w14:paraId="37D49AA5"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16829,7</w:t>
            </w:r>
          </w:p>
        </w:tc>
        <w:tc>
          <w:tcPr>
            <w:tcW w:w="962" w:type="dxa"/>
            <w:shd w:val="clear" w:color="auto" w:fill="auto"/>
            <w:vAlign w:val="center"/>
            <w:hideMark/>
          </w:tcPr>
          <w:p w14:paraId="723D70B9"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16511,5</w:t>
            </w:r>
          </w:p>
        </w:tc>
        <w:tc>
          <w:tcPr>
            <w:tcW w:w="958" w:type="dxa"/>
            <w:shd w:val="clear" w:color="auto" w:fill="auto"/>
            <w:vAlign w:val="center"/>
            <w:hideMark/>
          </w:tcPr>
          <w:p w14:paraId="3A1A5FAB"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42,8%</w:t>
            </w:r>
          </w:p>
        </w:tc>
        <w:tc>
          <w:tcPr>
            <w:tcW w:w="807" w:type="dxa"/>
            <w:shd w:val="clear" w:color="auto" w:fill="auto"/>
            <w:vAlign w:val="center"/>
            <w:hideMark/>
          </w:tcPr>
          <w:p w14:paraId="20D503B5"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1717,5</w:t>
            </w:r>
          </w:p>
        </w:tc>
        <w:tc>
          <w:tcPr>
            <w:tcW w:w="850" w:type="dxa"/>
            <w:shd w:val="clear" w:color="auto" w:fill="auto"/>
            <w:vAlign w:val="center"/>
            <w:hideMark/>
          </w:tcPr>
          <w:p w14:paraId="26FBEF67"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111,6</w:t>
            </w:r>
          </w:p>
        </w:tc>
        <w:tc>
          <w:tcPr>
            <w:tcW w:w="851" w:type="dxa"/>
            <w:shd w:val="clear" w:color="auto" w:fill="auto"/>
            <w:vAlign w:val="center"/>
            <w:hideMark/>
          </w:tcPr>
          <w:p w14:paraId="2A1C022F"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-318,2</w:t>
            </w:r>
          </w:p>
        </w:tc>
        <w:tc>
          <w:tcPr>
            <w:tcW w:w="1100" w:type="dxa"/>
            <w:shd w:val="clear" w:color="auto" w:fill="auto"/>
            <w:vAlign w:val="center"/>
            <w:hideMark/>
          </w:tcPr>
          <w:p w14:paraId="0F8C8EA8"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98,1</w:t>
            </w:r>
          </w:p>
        </w:tc>
      </w:tr>
      <w:tr w:rsidR="000D40B3" w:rsidRPr="00DD5F1D" w14:paraId="5B52546B" w14:textId="77777777" w:rsidTr="00FF7F7E">
        <w:trPr>
          <w:gridAfter w:val="1"/>
          <w:wAfter w:w="11" w:type="dxa"/>
          <w:trHeight w:val="20"/>
        </w:trPr>
        <w:tc>
          <w:tcPr>
            <w:tcW w:w="5387" w:type="dxa"/>
            <w:shd w:val="clear" w:color="auto" w:fill="auto"/>
            <w:vAlign w:val="center"/>
            <w:hideMark/>
          </w:tcPr>
          <w:p w14:paraId="05765255" w14:textId="77777777" w:rsidR="00775DBA" w:rsidRPr="00DD5F1D" w:rsidRDefault="00775DBA" w:rsidP="00D030D2">
            <w:pPr>
              <w:spacing w:after="0" w:line="240" w:lineRule="auto"/>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2.1. Transferuri curente primite cu destinație specială între bugetul de stat şi bugetul asigurărilor sociale de stat</w:t>
            </w:r>
          </w:p>
        </w:tc>
        <w:tc>
          <w:tcPr>
            <w:tcW w:w="960" w:type="dxa"/>
            <w:shd w:val="clear" w:color="auto" w:fill="auto"/>
            <w:vAlign w:val="center"/>
            <w:hideMark/>
          </w:tcPr>
          <w:p w14:paraId="27412A2C"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10359,9</w:t>
            </w:r>
          </w:p>
        </w:tc>
        <w:tc>
          <w:tcPr>
            <w:tcW w:w="845" w:type="dxa"/>
            <w:shd w:val="clear" w:color="auto" w:fill="auto"/>
            <w:vAlign w:val="center"/>
            <w:hideMark/>
          </w:tcPr>
          <w:p w14:paraId="09FBA2AB"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11003,4</w:t>
            </w:r>
          </w:p>
        </w:tc>
        <w:tc>
          <w:tcPr>
            <w:tcW w:w="960" w:type="dxa"/>
            <w:shd w:val="clear" w:color="auto" w:fill="auto"/>
            <w:vAlign w:val="center"/>
            <w:hideMark/>
          </w:tcPr>
          <w:p w14:paraId="159C34F1"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11171,8</w:t>
            </w:r>
          </w:p>
        </w:tc>
        <w:tc>
          <w:tcPr>
            <w:tcW w:w="962" w:type="dxa"/>
            <w:shd w:val="clear" w:color="auto" w:fill="auto"/>
            <w:vAlign w:val="center"/>
            <w:hideMark/>
          </w:tcPr>
          <w:p w14:paraId="24A7CB95"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11093,6</w:t>
            </w:r>
          </w:p>
        </w:tc>
        <w:tc>
          <w:tcPr>
            <w:tcW w:w="958" w:type="dxa"/>
            <w:shd w:val="clear" w:color="auto" w:fill="auto"/>
            <w:vAlign w:val="center"/>
            <w:hideMark/>
          </w:tcPr>
          <w:p w14:paraId="5439D849"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67,2%</w:t>
            </w:r>
          </w:p>
        </w:tc>
        <w:tc>
          <w:tcPr>
            <w:tcW w:w="807" w:type="dxa"/>
            <w:shd w:val="clear" w:color="auto" w:fill="auto"/>
            <w:vAlign w:val="center"/>
            <w:hideMark/>
          </w:tcPr>
          <w:p w14:paraId="4A2B5B76"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733,7</w:t>
            </w:r>
          </w:p>
        </w:tc>
        <w:tc>
          <w:tcPr>
            <w:tcW w:w="850" w:type="dxa"/>
            <w:shd w:val="clear" w:color="auto" w:fill="auto"/>
            <w:vAlign w:val="center"/>
            <w:hideMark/>
          </w:tcPr>
          <w:p w14:paraId="7C6089C4"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107,1</w:t>
            </w:r>
          </w:p>
        </w:tc>
        <w:tc>
          <w:tcPr>
            <w:tcW w:w="851" w:type="dxa"/>
            <w:shd w:val="clear" w:color="auto" w:fill="auto"/>
            <w:vAlign w:val="center"/>
            <w:hideMark/>
          </w:tcPr>
          <w:p w14:paraId="1E92247C"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-78,2</w:t>
            </w:r>
          </w:p>
        </w:tc>
        <w:tc>
          <w:tcPr>
            <w:tcW w:w="1100" w:type="dxa"/>
            <w:shd w:val="clear" w:color="auto" w:fill="auto"/>
            <w:vAlign w:val="center"/>
            <w:hideMark/>
          </w:tcPr>
          <w:p w14:paraId="678E5B52"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99,3</w:t>
            </w:r>
          </w:p>
        </w:tc>
      </w:tr>
      <w:tr w:rsidR="00775DBA" w:rsidRPr="00DD5F1D" w14:paraId="74B02318" w14:textId="77777777" w:rsidTr="00FF7F7E">
        <w:trPr>
          <w:gridAfter w:val="1"/>
          <w:wAfter w:w="11" w:type="dxa"/>
          <w:trHeight w:val="20"/>
        </w:trPr>
        <w:tc>
          <w:tcPr>
            <w:tcW w:w="5387" w:type="dxa"/>
            <w:shd w:val="clear" w:color="auto" w:fill="auto"/>
            <w:vAlign w:val="center"/>
            <w:hideMark/>
          </w:tcPr>
          <w:p w14:paraId="007D81D7" w14:textId="77777777" w:rsidR="00775DBA" w:rsidRPr="00DD5F1D" w:rsidRDefault="00775DBA" w:rsidP="00D030D2">
            <w:pPr>
              <w:spacing w:after="0" w:line="240" w:lineRule="auto"/>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2.2. Transferuri curente primite cu destinație generală între bugetul de stat şi bugetul asigurărilor sociale de stat</w:t>
            </w:r>
          </w:p>
        </w:tc>
        <w:tc>
          <w:tcPr>
            <w:tcW w:w="960" w:type="dxa"/>
            <w:shd w:val="clear" w:color="auto" w:fill="auto"/>
            <w:vAlign w:val="center"/>
            <w:hideMark/>
          </w:tcPr>
          <w:p w14:paraId="69EAB6F9"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4434,1</w:t>
            </w:r>
          </w:p>
        </w:tc>
        <w:tc>
          <w:tcPr>
            <w:tcW w:w="845" w:type="dxa"/>
            <w:shd w:val="clear" w:color="auto" w:fill="auto"/>
            <w:vAlign w:val="center"/>
            <w:hideMark/>
          </w:tcPr>
          <w:p w14:paraId="6C7A4C31"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6166,4</w:t>
            </w:r>
          </w:p>
        </w:tc>
        <w:tc>
          <w:tcPr>
            <w:tcW w:w="960" w:type="dxa"/>
            <w:shd w:val="clear" w:color="auto" w:fill="auto"/>
            <w:vAlign w:val="center"/>
            <w:hideMark/>
          </w:tcPr>
          <w:p w14:paraId="2AC9E206"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5657,9</w:t>
            </w:r>
          </w:p>
        </w:tc>
        <w:tc>
          <w:tcPr>
            <w:tcW w:w="962" w:type="dxa"/>
            <w:shd w:val="clear" w:color="auto" w:fill="auto"/>
            <w:vAlign w:val="center"/>
            <w:hideMark/>
          </w:tcPr>
          <w:p w14:paraId="1DF0BB27" w14:textId="77777777" w:rsidR="00775DBA" w:rsidRPr="00DD5F1D" w:rsidRDefault="00775DBA" w:rsidP="00D030D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5417,9</w:t>
            </w:r>
          </w:p>
        </w:tc>
        <w:tc>
          <w:tcPr>
            <w:tcW w:w="958" w:type="dxa"/>
            <w:shd w:val="clear" w:color="auto" w:fill="auto"/>
            <w:vAlign w:val="center"/>
            <w:hideMark/>
          </w:tcPr>
          <w:p w14:paraId="374878C5" w14:textId="77777777" w:rsidR="00775DBA" w:rsidRPr="00DD5F1D" w:rsidRDefault="00775DBA" w:rsidP="00D030D2">
            <w:pPr>
              <w:spacing w:after="0" w:line="240" w:lineRule="auto"/>
              <w:jc w:val="right"/>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32,8%</w:t>
            </w:r>
          </w:p>
        </w:tc>
        <w:tc>
          <w:tcPr>
            <w:tcW w:w="807" w:type="dxa"/>
            <w:shd w:val="clear" w:color="auto" w:fill="auto"/>
            <w:vAlign w:val="center"/>
            <w:hideMark/>
          </w:tcPr>
          <w:p w14:paraId="724E00D8"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983,8</w:t>
            </w:r>
          </w:p>
        </w:tc>
        <w:tc>
          <w:tcPr>
            <w:tcW w:w="850" w:type="dxa"/>
            <w:shd w:val="clear" w:color="auto" w:fill="auto"/>
            <w:vAlign w:val="center"/>
            <w:hideMark/>
          </w:tcPr>
          <w:p w14:paraId="35835229"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122,2</w:t>
            </w:r>
          </w:p>
        </w:tc>
        <w:tc>
          <w:tcPr>
            <w:tcW w:w="851" w:type="dxa"/>
            <w:shd w:val="clear" w:color="auto" w:fill="auto"/>
            <w:vAlign w:val="center"/>
            <w:hideMark/>
          </w:tcPr>
          <w:p w14:paraId="09F3B3C2"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-240,0</w:t>
            </w:r>
          </w:p>
        </w:tc>
        <w:tc>
          <w:tcPr>
            <w:tcW w:w="1100" w:type="dxa"/>
            <w:shd w:val="clear" w:color="auto" w:fill="auto"/>
            <w:vAlign w:val="center"/>
            <w:hideMark/>
          </w:tcPr>
          <w:p w14:paraId="6543CA2E" w14:textId="77777777" w:rsidR="00775DBA" w:rsidRPr="00DD5F1D" w:rsidRDefault="00775DBA" w:rsidP="00D030D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95,8</w:t>
            </w:r>
          </w:p>
        </w:tc>
      </w:tr>
    </w:tbl>
    <w:p w14:paraId="243F4E80" w14:textId="77777777" w:rsidR="00775DBA" w:rsidRPr="00DD5F1D" w:rsidRDefault="00775DBA" w:rsidP="00775DBA">
      <w:pPr>
        <w:rPr>
          <w:rFonts w:ascii="Times New Roman" w:eastAsia="Calibri" w:hAnsi="Times New Roman" w:cs="Times New Roman"/>
          <w:i/>
          <w:sz w:val="20"/>
          <w:szCs w:val="16"/>
          <w:lang w:val="ro-MD"/>
        </w:rPr>
      </w:pPr>
      <w:r w:rsidRPr="00DD5F1D">
        <w:rPr>
          <w:rFonts w:ascii="Times New Roman" w:eastAsia="Calibri" w:hAnsi="Times New Roman" w:cs="Times New Roman"/>
          <w:b/>
          <w:bCs/>
          <w:i/>
          <w:sz w:val="20"/>
          <w:szCs w:val="16"/>
          <w:lang w:val="ro-MD"/>
        </w:rPr>
        <w:t>Sursă:</w:t>
      </w:r>
      <w:r w:rsidRPr="00DD5F1D">
        <w:rPr>
          <w:rFonts w:ascii="Times New Roman" w:eastAsia="Calibri" w:hAnsi="Times New Roman" w:cs="Times New Roman"/>
          <w:i/>
          <w:sz w:val="20"/>
          <w:szCs w:val="16"/>
          <w:lang w:val="ro-MD"/>
        </w:rPr>
        <w:t xml:space="preserve"> Rapoartele privind executarea bugetului asigurărilor sociale de stat pentru anii 2022 și 2023 (Formularul nr.4. CNAS).</w:t>
      </w:r>
    </w:p>
    <w:p w14:paraId="2BB344DD" w14:textId="77777777" w:rsidR="00775DBA" w:rsidRPr="00DD5F1D" w:rsidRDefault="00775DBA" w:rsidP="00775DBA">
      <w:pPr>
        <w:rPr>
          <w:rFonts w:ascii="Times New Roman" w:eastAsia="Calibri" w:hAnsi="Times New Roman" w:cs="Times New Roman"/>
          <w:i/>
          <w:sz w:val="20"/>
          <w:szCs w:val="16"/>
          <w:lang w:val="ro-MD"/>
        </w:rPr>
      </w:pPr>
    </w:p>
    <w:p w14:paraId="1765AD40" w14:textId="77777777" w:rsidR="002004EC" w:rsidRPr="00DD5F1D" w:rsidRDefault="002004EC" w:rsidP="000D40B3">
      <w:pPr>
        <w:rPr>
          <w:rFonts w:ascii="Times New Roman" w:hAnsi="Times New Roman" w:cs="Times New Roman"/>
          <w:sz w:val="24"/>
          <w:szCs w:val="18"/>
          <w:lang w:val="ro-MD"/>
        </w:rPr>
        <w:sectPr w:rsidR="002004EC" w:rsidRPr="00DD5F1D" w:rsidSect="00084F96">
          <w:pgSz w:w="15840" w:h="12240" w:orient="landscape"/>
          <w:pgMar w:top="1355" w:right="1140" w:bottom="851" w:left="1140" w:header="709" w:footer="709" w:gutter="0"/>
          <w:cols w:space="708"/>
          <w:docGrid w:linePitch="360"/>
        </w:sectPr>
      </w:pPr>
    </w:p>
    <w:p w14:paraId="32B4375C" w14:textId="77777777" w:rsidR="00775DBA" w:rsidRPr="00DD5F1D" w:rsidRDefault="00571A46" w:rsidP="009E3494">
      <w:pPr>
        <w:pStyle w:val="2"/>
        <w:jc w:val="right"/>
        <w:rPr>
          <w:rFonts w:ascii="Times New Roman" w:hAnsi="Times New Roman" w:cs="Times New Roman"/>
          <w:b/>
          <w:color w:val="000000" w:themeColor="text1"/>
          <w:sz w:val="24"/>
          <w:szCs w:val="24"/>
          <w:lang w:val="ro-MD"/>
        </w:rPr>
      </w:pPr>
      <w:r w:rsidRPr="00DD5F1D">
        <w:rPr>
          <w:rFonts w:ascii="Times New Roman" w:hAnsi="Times New Roman" w:cs="Times New Roman"/>
          <w:b/>
          <w:color w:val="000000" w:themeColor="text1"/>
          <w:sz w:val="24"/>
          <w:szCs w:val="24"/>
          <w:lang w:val="ro-MD"/>
        </w:rPr>
        <w:t xml:space="preserve">Anexa nr. </w:t>
      </w:r>
      <w:r w:rsidR="000E2AC7" w:rsidRPr="00DD5F1D">
        <w:rPr>
          <w:rFonts w:ascii="Times New Roman" w:hAnsi="Times New Roman" w:cs="Times New Roman"/>
          <w:b/>
          <w:color w:val="000000" w:themeColor="text1"/>
          <w:sz w:val="24"/>
          <w:szCs w:val="24"/>
          <w:lang w:val="ro-MD"/>
        </w:rPr>
        <w:t xml:space="preserve"> 18</w:t>
      </w:r>
    </w:p>
    <w:p w14:paraId="46BC865C" w14:textId="77777777" w:rsidR="00775DBA" w:rsidRPr="00DD5F1D" w:rsidRDefault="00775DBA" w:rsidP="00775DBA">
      <w:pPr>
        <w:spacing w:after="0" w:line="276" w:lineRule="auto"/>
        <w:jc w:val="center"/>
        <w:rPr>
          <w:rFonts w:ascii="Times New Roman" w:eastAsia="Calibri" w:hAnsi="Times New Roman" w:cs="Times New Roman"/>
          <w:b/>
          <w:bCs/>
          <w:sz w:val="24"/>
          <w:szCs w:val="24"/>
          <w:lang w:val="ro-MD"/>
        </w:rPr>
      </w:pPr>
      <w:r w:rsidRPr="00DD5F1D">
        <w:rPr>
          <w:rFonts w:ascii="Times New Roman" w:eastAsia="Calibri" w:hAnsi="Times New Roman" w:cs="Times New Roman"/>
          <w:b/>
          <w:bCs/>
          <w:sz w:val="24"/>
          <w:szCs w:val="24"/>
          <w:lang w:val="ro-MD"/>
        </w:rPr>
        <w:t>Structura veniturilor BASS în anul 2023</w:t>
      </w:r>
    </w:p>
    <w:p w14:paraId="497B4B44" w14:textId="77777777" w:rsidR="00775DBA" w:rsidRPr="00DD5F1D" w:rsidRDefault="00775DBA" w:rsidP="00775DBA">
      <w:pPr>
        <w:spacing w:after="0" w:line="276" w:lineRule="auto"/>
        <w:jc w:val="center"/>
        <w:rPr>
          <w:rFonts w:ascii="Times New Roman" w:eastAsia="Calibri" w:hAnsi="Times New Roman" w:cs="Times New Roman"/>
          <w:b/>
          <w:bCs/>
          <w:sz w:val="20"/>
          <w:szCs w:val="20"/>
          <w:lang w:val="ro-MD"/>
        </w:rPr>
      </w:pPr>
    </w:p>
    <w:p w14:paraId="1A03535C" w14:textId="77777777" w:rsidR="00775DBA" w:rsidRPr="00DD5F1D" w:rsidRDefault="00775DBA" w:rsidP="00775DBA">
      <w:pPr>
        <w:jc w:val="center"/>
        <w:rPr>
          <w:rFonts w:ascii="Times New Roman" w:hAnsi="Times New Roman" w:cs="Times New Roman"/>
          <w:sz w:val="24"/>
          <w:szCs w:val="18"/>
          <w:lang w:val="ro-MD"/>
        </w:rPr>
      </w:pPr>
      <w:r w:rsidRPr="00DD5F1D">
        <w:rPr>
          <w:rFonts w:ascii="Times New Roman" w:hAnsi="Times New Roman" w:cs="Times New Roman"/>
          <w:noProof/>
          <w:lang w:val="ru-RU" w:eastAsia="ru-RU"/>
        </w:rPr>
        <w:drawing>
          <wp:inline distT="0" distB="0" distL="0" distR="0" wp14:anchorId="4A72F285" wp14:editId="557655E3">
            <wp:extent cx="6088380" cy="3124200"/>
            <wp:effectExtent l="0" t="0" r="762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A1BA3B" w14:textId="74027143" w:rsidR="00775DBA" w:rsidRPr="00DD5F1D" w:rsidRDefault="00775DBA" w:rsidP="00775DBA">
      <w:pPr>
        <w:jc w:val="center"/>
        <w:rPr>
          <w:rFonts w:ascii="Times New Roman" w:eastAsia="Calibri" w:hAnsi="Times New Roman" w:cs="Times New Roman"/>
          <w:i/>
          <w:sz w:val="20"/>
          <w:szCs w:val="20"/>
          <w:lang w:val="ro-MD"/>
        </w:rPr>
      </w:pPr>
      <w:r w:rsidRPr="00DD5F1D">
        <w:rPr>
          <w:rFonts w:ascii="Times New Roman" w:eastAsia="Calibri" w:hAnsi="Times New Roman" w:cs="Times New Roman"/>
          <w:b/>
          <w:bCs/>
          <w:i/>
          <w:sz w:val="20"/>
          <w:szCs w:val="20"/>
          <w:lang w:val="ro-MD"/>
        </w:rPr>
        <w:t>Sursă:</w:t>
      </w:r>
      <w:r w:rsidRPr="00DD5F1D">
        <w:rPr>
          <w:rFonts w:ascii="Times New Roman" w:eastAsia="Calibri" w:hAnsi="Times New Roman" w:cs="Times New Roman"/>
          <w:i/>
          <w:sz w:val="20"/>
          <w:szCs w:val="20"/>
          <w:lang w:val="ro-MD"/>
        </w:rPr>
        <w:t xml:space="preserve"> Raportul privind executarea bugetului asigurărilor sociale de stat pentru anul 2023 (Formularul nr.4 CNAS)</w:t>
      </w:r>
      <w:r w:rsidR="00BD3EA8" w:rsidRPr="00DD5F1D">
        <w:rPr>
          <w:rFonts w:ascii="Times New Roman" w:eastAsia="Calibri" w:hAnsi="Times New Roman" w:cs="Times New Roman"/>
          <w:i/>
          <w:sz w:val="20"/>
          <w:szCs w:val="20"/>
          <w:lang w:val="ro-MD"/>
        </w:rPr>
        <w:t>.</w:t>
      </w:r>
    </w:p>
    <w:p w14:paraId="337219B0" w14:textId="77777777" w:rsidR="00571A46" w:rsidRPr="00DD5F1D" w:rsidRDefault="00571A46" w:rsidP="002004EC">
      <w:pPr>
        <w:rPr>
          <w:rFonts w:ascii="Times New Roman" w:eastAsia="Calibri" w:hAnsi="Times New Roman" w:cs="Times New Roman"/>
          <w:i/>
          <w:sz w:val="20"/>
          <w:szCs w:val="20"/>
          <w:lang w:val="ro-MD"/>
        </w:rPr>
      </w:pPr>
    </w:p>
    <w:p w14:paraId="3B504DE1" w14:textId="77777777" w:rsidR="00775DBA" w:rsidRPr="00DD5F1D" w:rsidRDefault="00571A46" w:rsidP="009E3494">
      <w:pPr>
        <w:pStyle w:val="2"/>
        <w:jc w:val="right"/>
        <w:rPr>
          <w:rFonts w:ascii="Times New Roman" w:eastAsia="Calibri" w:hAnsi="Times New Roman" w:cs="Times New Roman"/>
          <w:b/>
          <w:color w:val="000000" w:themeColor="text1"/>
          <w:sz w:val="24"/>
          <w:szCs w:val="24"/>
          <w:lang w:val="ro-MD"/>
        </w:rPr>
      </w:pPr>
      <w:r w:rsidRPr="00DD5F1D">
        <w:rPr>
          <w:rFonts w:ascii="Times New Roman" w:eastAsia="Calibri" w:hAnsi="Times New Roman" w:cs="Times New Roman"/>
          <w:b/>
          <w:color w:val="000000" w:themeColor="text1"/>
          <w:sz w:val="24"/>
          <w:szCs w:val="24"/>
          <w:lang w:val="ro-MD"/>
        </w:rPr>
        <w:t>Anexa nr.</w:t>
      </w:r>
      <w:r w:rsidR="000E2AC7" w:rsidRPr="00DD5F1D">
        <w:rPr>
          <w:rFonts w:ascii="Times New Roman" w:eastAsia="Calibri" w:hAnsi="Times New Roman" w:cs="Times New Roman"/>
          <w:b/>
          <w:color w:val="000000" w:themeColor="text1"/>
          <w:sz w:val="24"/>
          <w:szCs w:val="24"/>
          <w:lang w:val="ro-MD"/>
        </w:rPr>
        <w:t xml:space="preserve"> 19</w:t>
      </w:r>
    </w:p>
    <w:p w14:paraId="12C87B85" w14:textId="77777777" w:rsidR="00775DBA" w:rsidRPr="00DD5F1D" w:rsidRDefault="00775DBA" w:rsidP="00775DBA">
      <w:pPr>
        <w:widowControl w:val="0"/>
        <w:spacing w:after="0" w:line="276" w:lineRule="auto"/>
        <w:jc w:val="center"/>
        <w:rPr>
          <w:rFonts w:ascii="Times New Roman" w:eastAsia="Book Antiqua" w:hAnsi="Times New Roman" w:cs="Times New Roman"/>
          <w:b/>
          <w:sz w:val="24"/>
          <w:szCs w:val="24"/>
          <w:lang w:val="ro-MD"/>
        </w:rPr>
      </w:pPr>
      <w:r w:rsidRPr="00DD5F1D">
        <w:rPr>
          <w:rFonts w:ascii="Times New Roman" w:eastAsia="Book Antiqua" w:hAnsi="Times New Roman" w:cs="Times New Roman"/>
          <w:b/>
          <w:sz w:val="24"/>
          <w:szCs w:val="24"/>
          <w:lang w:val="ro-MD"/>
        </w:rPr>
        <w:t xml:space="preserve">Dinamica executării veniturilor bugetului asigurărilor sociale de stat în anii 2019-2023 </w:t>
      </w:r>
    </w:p>
    <w:p w14:paraId="30375B6F" w14:textId="77777777" w:rsidR="00775DBA" w:rsidRPr="00DD5F1D" w:rsidRDefault="002004EC" w:rsidP="00775DBA">
      <w:pPr>
        <w:widowControl w:val="0"/>
        <w:spacing w:after="0" w:line="276" w:lineRule="auto"/>
        <w:jc w:val="right"/>
        <w:rPr>
          <w:rFonts w:ascii="Times New Roman" w:eastAsia="Book Antiqua" w:hAnsi="Times New Roman" w:cs="Times New Roman"/>
          <w:b/>
          <w:i/>
          <w:sz w:val="20"/>
          <w:szCs w:val="20"/>
          <w:lang w:val="ro-MD"/>
        </w:rPr>
      </w:pPr>
      <w:r w:rsidRPr="00DD5F1D">
        <w:rPr>
          <w:rFonts w:ascii="Times New Roman" w:hAnsi="Times New Roman" w:cs="Times New Roman"/>
          <w:noProof/>
          <w:lang w:val="ru-RU" w:eastAsia="ru-RU"/>
        </w:rPr>
        <w:drawing>
          <wp:anchor distT="0" distB="0" distL="114300" distR="114300" simplePos="0" relativeHeight="251658240" behindDoc="0" locked="0" layoutInCell="1" allowOverlap="1" wp14:anchorId="302E55E1" wp14:editId="77C994A4">
            <wp:simplePos x="0" y="0"/>
            <wp:positionH relativeFrom="column">
              <wp:posOffset>46355</wp:posOffset>
            </wp:positionH>
            <wp:positionV relativeFrom="paragraph">
              <wp:posOffset>165735</wp:posOffset>
            </wp:positionV>
            <wp:extent cx="6545580" cy="2590800"/>
            <wp:effectExtent l="0" t="0" r="762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775DBA" w:rsidRPr="00DD5F1D">
        <w:rPr>
          <w:rFonts w:ascii="Times New Roman" w:eastAsia="Book Antiqua" w:hAnsi="Times New Roman" w:cs="Times New Roman"/>
          <w:b/>
          <w:i/>
          <w:sz w:val="20"/>
          <w:szCs w:val="20"/>
          <w:lang w:val="ro-MD"/>
        </w:rPr>
        <w:t>(mil.lei)</w:t>
      </w:r>
    </w:p>
    <w:p w14:paraId="56BB7B0D" w14:textId="77777777" w:rsidR="00775DBA" w:rsidRPr="00DD5F1D" w:rsidRDefault="00775DBA" w:rsidP="00571A46">
      <w:pPr>
        <w:widowControl w:val="0"/>
        <w:spacing w:after="0" w:line="276" w:lineRule="auto"/>
        <w:jc w:val="center"/>
        <w:rPr>
          <w:rFonts w:ascii="Times New Roman" w:eastAsia="Book Antiqua" w:hAnsi="Times New Roman" w:cs="Times New Roman"/>
          <w:b/>
          <w:sz w:val="20"/>
          <w:szCs w:val="20"/>
          <w:lang w:val="ro-MD"/>
        </w:rPr>
      </w:pPr>
    </w:p>
    <w:p w14:paraId="716C97BB" w14:textId="2745727B" w:rsidR="00775DBA" w:rsidRPr="00DD5F1D" w:rsidRDefault="00775DBA" w:rsidP="00775DBA">
      <w:pPr>
        <w:tabs>
          <w:tab w:val="left" w:pos="162"/>
        </w:tabs>
        <w:spacing w:after="0" w:line="276" w:lineRule="auto"/>
        <w:rPr>
          <w:rFonts w:ascii="Times New Roman" w:eastAsia="Times New Roman" w:hAnsi="Times New Roman" w:cs="Times New Roman"/>
          <w:i/>
          <w:sz w:val="20"/>
          <w:szCs w:val="20"/>
          <w:lang w:val="ro-MD"/>
        </w:rPr>
        <w:sectPr w:rsidR="00775DBA" w:rsidRPr="00DD5F1D" w:rsidSect="002004EC">
          <w:pgSz w:w="12240" w:h="15840"/>
          <w:pgMar w:top="1140" w:right="851" w:bottom="1140" w:left="1355" w:header="720" w:footer="720" w:gutter="0"/>
          <w:cols w:space="720"/>
          <w:docGrid w:linePitch="360"/>
        </w:sectPr>
      </w:pPr>
      <w:r w:rsidRPr="00DD5F1D">
        <w:rPr>
          <w:rFonts w:ascii="Times New Roman" w:eastAsia="Times New Roman" w:hAnsi="Times New Roman" w:cs="Times New Roman"/>
          <w:b/>
          <w:bCs/>
          <w:i/>
          <w:sz w:val="20"/>
          <w:szCs w:val="20"/>
          <w:lang w:val="ro-MD"/>
        </w:rPr>
        <w:t xml:space="preserve">      Sursă:</w:t>
      </w:r>
      <w:r w:rsidRPr="00DD5F1D">
        <w:rPr>
          <w:rFonts w:ascii="Times New Roman" w:eastAsia="Times New Roman" w:hAnsi="Times New Roman" w:cs="Times New Roman"/>
          <w:i/>
          <w:sz w:val="20"/>
          <w:szCs w:val="20"/>
          <w:lang w:val="ro-MD"/>
        </w:rPr>
        <w:t xml:space="preserve"> Raportul privind executarea bugetului asigurărilor sociale de stat pentru anii 2019-2023</w:t>
      </w:r>
      <w:r w:rsidR="00BD3EA8" w:rsidRPr="00DD5F1D">
        <w:rPr>
          <w:rFonts w:ascii="Times New Roman" w:eastAsia="Times New Roman" w:hAnsi="Times New Roman" w:cs="Times New Roman"/>
          <w:i/>
          <w:sz w:val="20"/>
          <w:szCs w:val="20"/>
          <w:lang w:val="ro-MD"/>
        </w:rPr>
        <w:t>.</w:t>
      </w:r>
    </w:p>
    <w:p w14:paraId="6E05E45B" w14:textId="77777777" w:rsidR="00775DBA" w:rsidRPr="00DD5F1D" w:rsidRDefault="00775DBA" w:rsidP="00775DBA">
      <w:pPr>
        <w:tabs>
          <w:tab w:val="left" w:pos="162"/>
        </w:tabs>
        <w:spacing w:after="0" w:line="276" w:lineRule="auto"/>
        <w:rPr>
          <w:rFonts w:ascii="Times New Roman" w:eastAsia="Times New Roman" w:hAnsi="Times New Roman" w:cs="Times New Roman"/>
          <w:i/>
          <w:sz w:val="20"/>
          <w:szCs w:val="20"/>
          <w:lang w:val="ro-MD"/>
        </w:rPr>
      </w:pPr>
    </w:p>
    <w:p w14:paraId="731667F9" w14:textId="77777777" w:rsidR="00775DBA" w:rsidRPr="00DD5F1D" w:rsidRDefault="00571A46" w:rsidP="00123FCF">
      <w:pPr>
        <w:pStyle w:val="2"/>
        <w:jc w:val="right"/>
        <w:rPr>
          <w:rFonts w:ascii="Times New Roman" w:eastAsia="Times New Roman" w:hAnsi="Times New Roman" w:cs="Times New Roman"/>
          <w:b/>
          <w:bCs/>
          <w:iCs/>
          <w:color w:val="auto"/>
          <w:sz w:val="24"/>
          <w:szCs w:val="24"/>
          <w:lang w:val="ro-MD"/>
        </w:rPr>
      </w:pPr>
      <w:r w:rsidRPr="00DD5F1D">
        <w:rPr>
          <w:rFonts w:ascii="Times New Roman" w:eastAsia="Times New Roman" w:hAnsi="Times New Roman" w:cs="Times New Roman"/>
          <w:b/>
          <w:bCs/>
          <w:iCs/>
          <w:color w:val="auto"/>
          <w:sz w:val="24"/>
          <w:szCs w:val="24"/>
          <w:lang w:val="ro-MD"/>
        </w:rPr>
        <w:t xml:space="preserve">Anexa nr. </w:t>
      </w:r>
      <w:r w:rsidR="000E2AC7" w:rsidRPr="00DD5F1D">
        <w:rPr>
          <w:rFonts w:ascii="Times New Roman" w:eastAsia="Times New Roman" w:hAnsi="Times New Roman" w:cs="Times New Roman"/>
          <w:b/>
          <w:bCs/>
          <w:iCs/>
          <w:color w:val="auto"/>
          <w:sz w:val="24"/>
          <w:szCs w:val="24"/>
          <w:lang w:val="ro-MD"/>
        </w:rPr>
        <w:t>20</w:t>
      </w:r>
    </w:p>
    <w:p w14:paraId="3D9FB178" w14:textId="77777777" w:rsidR="00571A46" w:rsidRPr="00DD5F1D" w:rsidRDefault="00775DBA" w:rsidP="00123FCF">
      <w:pPr>
        <w:jc w:val="center"/>
        <w:rPr>
          <w:rFonts w:ascii="Times New Roman" w:eastAsia="Times New Roman" w:hAnsi="Times New Roman" w:cs="Times New Roman"/>
          <w:b/>
          <w:bCs/>
          <w:iCs/>
          <w:sz w:val="24"/>
          <w:szCs w:val="24"/>
          <w:lang w:val="ro-MD"/>
        </w:rPr>
      </w:pPr>
      <w:r w:rsidRPr="00DD5F1D">
        <w:rPr>
          <w:rFonts w:ascii="Times New Roman" w:eastAsia="Times New Roman" w:hAnsi="Times New Roman" w:cs="Times New Roman"/>
          <w:b/>
          <w:bCs/>
          <w:iCs/>
          <w:sz w:val="24"/>
          <w:szCs w:val="24"/>
          <w:lang w:val="ro-MD"/>
        </w:rPr>
        <w:t>Analiza transferurilor la bugetul asigurărilor sociale de stat</w:t>
      </w:r>
      <w:r w:rsidR="00123FCF" w:rsidRPr="00DD5F1D">
        <w:rPr>
          <w:rFonts w:ascii="Times New Roman" w:eastAsia="Times New Roman" w:hAnsi="Times New Roman" w:cs="Times New Roman"/>
          <w:b/>
          <w:bCs/>
          <w:iCs/>
          <w:sz w:val="24"/>
          <w:szCs w:val="24"/>
          <w:lang w:val="ro-MD"/>
        </w:rPr>
        <w:t xml:space="preserve"> </w:t>
      </w:r>
    </w:p>
    <w:p w14:paraId="326825BB" w14:textId="77777777" w:rsidR="00775DBA" w:rsidRPr="00DD5F1D" w:rsidRDefault="00775DBA" w:rsidP="00571A46">
      <w:pPr>
        <w:jc w:val="right"/>
        <w:rPr>
          <w:rFonts w:ascii="Times New Roman" w:eastAsia="Times New Roman" w:hAnsi="Times New Roman" w:cs="Times New Roman"/>
          <w:b/>
          <w:bCs/>
          <w:iCs/>
          <w:sz w:val="24"/>
          <w:szCs w:val="24"/>
          <w:lang w:val="ro-MD"/>
        </w:rPr>
      </w:pPr>
      <w:r w:rsidRPr="00DD5F1D">
        <w:rPr>
          <w:rFonts w:ascii="Times New Roman" w:eastAsia="Times New Roman" w:hAnsi="Times New Roman" w:cs="Times New Roman"/>
          <w:b/>
          <w:bCs/>
          <w:i/>
          <w:iCs/>
          <w:sz w:val="24"/>
          <w:szCs w:val="24"/>
          <w:lang w:val="ro-MD"/>
        </w:rPr>
        <w:t>(mii 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816"/>
        <w:gridCol w:w="1360"/>
        <w:gridCol w:w="1610"/>
        <w:gridCol w:w="1439"/>
        <w:gridCol w:w="1889"/>
        <w:gridCol w:w="1388"/>
        <w:gridCol w:w="1645"/>
      </w:tblGrid>
      <w:tr w:rsidR="00775DBA" w:rsidRPr="00DD5F1D" w14:paraId="044CFA22" w14:textId="77777777" w:rsidTr="00FF7F7E">
        <w:trPr>
          <w:trHeight w:val="20"/>
        </w:trPr>
        <w:tc>
          <w:tcPr>
            <w:tcW w:w="1256" w:type="pct"/>
            <w:vMerge w:val="restart"/>
            <w:shd w:val="clear" w:color="000000" w:fill="FFFFFF"/>
            <w:noWrap/>
            <w:vAlign w:val="center"/>
            <w:hideMark/>
          </w:tcPr>
          <w:p w14:paraId="607C484E"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Denumirea</w:t>
            </w:r>
          </w:p>
        </w:tc>
        <w:tc>
          <w:tcPr>
            <w:tcW w:w="301" w:type="pct"/>
            <w:vMerge w:val="restart"/>
            <w:shd w:val="clear" w:color="000000" w:fill="FFFFFF"/>
            <w:noWrap/>
            <w:vAlign w:val="center"/>
            <w:hideMark/>
          </w:tcPr>
          <w:p w14:paraId="1AEEBC38"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ECO</w:t>
            </w:r>
          </w:p>
        </w:tc>
        <w:tc>
          <w:tcPr>
            <w:tcW w:w="1096" w:type="pct"/>
            <w:gridSpan w:val="2"/>
            <w:vMerge w:val="restart"/>
            <w:shd w:val="clear" w:color="000000" w:fill="FFFFFF"/>
            <w:noWrap/>
            <w:vAlign w:val="center"/>
            <w:hideMark/>
          </w:tcPr>
          <w:p w14:paraId="53B768B0"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Plan</w:t>
            </w:r>
          </w:p>
        </w:tc>
        <w:tc>
          <w:tcPr>
            <w:tcW w:w="531" w:type="pct"/>
            <w:vMerge w:val="restart"/>
            <w:shd w:val="clear" w:color="000000" w:fill="FFFFFF"/>
            <w:vAlign w:val="center"/>
            <w:hideMark/>
          </w:tcPr>
          <w:p w14:paraId="3E38188E"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Executat anul curent</w:t>
            </w:r>
          </w:p>
        </w:tc>
        <w:tc>
          <w:tcPr>
            <w:tcW w:w="697" w:type="pct"/>
            <w:vMerge w:val="restart"/>
            <w:shd w:val="clear" w:color="000000" w:fill="FFFFFF"/>
            <w:vAlign w:val="center"/>
            <w:hideMark/>
          </w:tcPr>
          <w:p w14:paraId="0912D9A7"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Executat anul precedent</w:t>
            </w:r>
          </w:p>
        </w:tc>
        <w:tc>
          <w:tcPr>
            <w:tcW w:w="1119" w:type="pct"/>
            <w:gridSpan w:val="2"/>
            <w:shd w:val="clear" w:color="000000" w:fill="FFFFFF"/>
            <w:vAlign w:val="center"/>
            <w:hideMark/>
          </w:tcPr>
          <w:p w14:paraId="33349BE2"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Executat</w:t>
            </w:r>
          </w:p>
        </w:tc>
      </w:tr>
      <w:tr w:rsidR="00775DBA" w:rsidRPr="00DD5F1D" w14:paraId="676D9C79" w14:textId="77777777" w:rsidTr="00FF7F7E">
        <w:trPr>
          <w:trHeight w:val="20"/>
        </w:trPr>
        <w:tc>
          <w:tcPr>
            <w:tcW w:w="1256" w:type="pct"/>
            <w:vMerge/>
            <w:vAlign w:val="center"/>
            <w:hideMark/>
          </w:tcPr>
          <w:p w14:paraId="18249357" w14:textId="77777777" w:rsidR="00775DBA" w:rsidRPr="00DD5F1D" w:rsidRDefault="00775DBA" w:rsidP="00636C42">
            <w:pPr>
              <w:spacing w:after="0" w:line="240" w:lineRule="auto"/>
              <w:rPr>
                <w:rFonts w:ascii="Times New Roman" w:eastAsia="Times New Roman" w:hAnsi="Times New Roman" w:cs="Times New Roman"/>
                <w:b/>
                <w:sz w:val="20"/>
                <w:szCs w:val="20"/>
                <w:lang w:val="ro-MD"/>
              </w:rPr>
            </w:pPr>
          </w:p>
        </w:tc>
        <w:tc>
          <w:tcPr>
            <w:tcW w:w="301" w:type="pct"/>
            <w:vMerge/>
            <w:vAlign w:val="center"/>
            <w:hideMark/>
          </w:tcPr>
          <w:p w14:paraId="4E3531CB" w14:textId="77777777" w:rsidR="00775DBA" w:rsidRPr="00DD5F1D" w:rsidRDefault="00775DBA" w:rsidP="00636C42">
            <w:pPr>
              <w:spacing w:after="0" w:line="240" w:lineRule="auto"/>
              <w:rPr>
                <w:rFonts w:ascii="Times New Roman" w:eastAsia="Times New Roman" w:hAnsi="Times New Roman" w:cs="Times New Roman"/>
                <w:b/>
                <w:sz w:val="20"/>
                <w:szCs w:val="20"/>
                <w:lang w:val="ro-MD"/>
              </w:rPr>
            </w:pPr>
          </w:p>
        </w:tc>
        <w:tc>
          <w:tcPr>
            <w:tcW w:w="1096" w:type="pct"/>
            <w:gridSpan w:val="2"/>
            <w:vMerge/>
            <w:vAlign w:val="center"/>
            <w:hideMark/>
          </w:tcPr>
          <w:p w14:paraId="69C413A2" w14:textId="77777777" w:rsidR="00775DBA" w:rsidRPr="00DD5F1D" w:rsidRDefault="00775DBA" w:rsidP="00636C42">
            <w:pPr>
              <w:spacing w:after="0" w:line="240" w:lineRule="auto"/>
              <w:rPr>
                <w:rFonts w:ascii="Times New Roman" w:eastAsia="Times New Roman" w:hAnsi="Times New Roman" w:cs="Times New Roman"/>
                <w:b/>
                <w:sz w:val="20"/>
                <w:szCs w:val="20"/>
                <w:lang w:val="ro-MD"/>
              </w:rPr>
            </w:pPr>
          </w:p>
        </w:tc>
        <w:tc>
          <w:tcPr>
            <w:tcW w:w="531" w:type="pct"/>
            <w:vMerge/>
            <w:vAlign w:val="center"/>
            <w:hideMark/>
          </w:tcPr>
          <w:p w14:paraId="2232145B" w14:textId="77777777" w:rsidR="00775DBA" w:rsidRPr="00DD5F1D" w:rsidRDefault="00775DBA" w:rsidP="00636C42">
            <w:pPr>
              <w:spacing w:after="0" w:line="240" w:lineRule="auto"/>
              <w:rPr>
                <w:rFonts w:ascii="Times New Roman" w:eastAsia="Times New Roman" w:hAnsi="Times New Roman" w:cs="Times New Roman"/>
                <w:b/>
                <w:sz w:val="20"/>
                <w:szCs w:val="20"/>
                <w:lang w:val="ro-MD"/>
              </w:rPr>
            </w:pPr>
          </w:p>
        </w:tc>
        <w:tc>
          <w:tcPr>
            <w:tcW w:w="697" w:type="pct"/>
            <w:vMerge/>
            <w:vAlign w:val="center"/>
            <w:hideMark/>
          </w:tcPr>
          <w:p w14:paraId="7643AD1D" w14:textId="77777777" w:rsidR="00775DBA" w:rsidRPr="00DD5F1D" w:rsidRDefault="00775DBA" w:rsidP="00636C42">
            <w:pPr>
              <w:spacing w:after="0" w:line="240" w:lineRule="auto"/>
              <w:rPr>
                <w:rFonts w:ascii="Times New Roman" w:eastAsia="Times New Roman" w:hAnsi="Times New Roman" w:cs="Times New Roman"/>
                <w:b/>
                <w:sz w:val="20"/>
                <w:szCs w:val="20"/>
                <w:lang w:val="ro-MD"/>
              </w:rPr>
            </w:pPr>
          </w:p>
        </w:tc>
        <w:tc>
          <w:tcPr>
            <w:tcW w:w="1119" w:type="pct"/>
            <w:gridSpan w:val="2"/>
            <w:shd w:val="clear" w:color="000000" w:fill="FFFFFF"/>
            <w:vAlign w:val="center"/>
            <w:hideMark/>
          </w:tcPr>
          <w:p w14:paraId="1D552B5F"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anul curent față de anul precedent</w:t>
            </w:r>
          </w:p>
        </w:tc>
      </w:tr>
      <w:tr w:rsidR="00775DBA" w:rsidRPr="00DD5F1D" w14:paraId="24C2E3F1" w14:textId="77777777" w:rsidTr="00FF7F7E">
        <w:trPr>
          <w:trHeight w:val="20"/>
        </w:trPr>
        <w:tc>
          <w:tcPr>
            <w:tcW w:w="1256" w:type="pct"/>
            <w:vMerge/>
            <w:vAlign w:val="center"/>
            <w:hideMark/>
          </w:tcPr>
          <w:p w14:paraId="7318BA4D" w14:textId="77777777" w:rsidR="00775DBA" w:rsidRPr="00DD5F1D" w:rsidRDefault="00775DBA" w:rsidP="00636C42">
            <w:pPr>
              <w:spacing w:after="0" w:line="240" w:lineRule="auto"/>
              <w:rPr>
                <w:rFonts w:ascii="Times New Roman" w:eastAsia="Times New Roman" w:hAnsi="Times New Roman" w:cs="Times New Roman"/>
                <w:b/>
                <w:sz w:val="20"/>
                <w:szCs w:val="20"/>
                <w:lang w:val="ro-MD"/>
              </w:rPr>
            </w:pPr>
          </w:p>
        </w:tc>
        <w:tc>
          <w:tcPr>
            <w:tcW w:w="301" w:type="pct"/>
            <w:vMerge/>
            <w:vAlign w:val="center"/>
            <w:hideMark/>
          </w:tcPr>
          <w:p w14:paraId="16B00ED7" w14:textId="77777777" w:rsidR="00775DBA" w:rsidRPr="00DD5F1D" w:rsidRDefault="00775DBA" w:rsidP="00636C42">
            <w:pPr>
              <w:spacing w:after="0" w:line="240" w:lineRule="auto"/>
              <w:rPr>
                <w:rFonts w:ascii="Times New Roman" w:eastAsia="Times New Roman" w:hAnsi="Times New Roman" w:cs="Times New Roman"/>
                <w:b/>
                <w:sz w:val="20"/>
                <w:szCs w:val="20"/>
                <w:lang w:val="ro-MD"/>
              </w:rPr>
            </w:pPr>
          </w:p>
        </w:tc>
        <w:tc>
          <w:tcPr>
            <w:tcW w:w="502" w:type="pct"/>
            <w:shd w:val="clear" w:color="000000" w:fill="FFFFFF"/>
            <w:vAlign w:val="center"/>
            <w:hideMark/>
          </w:tcPr>
          <w:p w14:paraId="7B36131C"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aprobat</w:t>
            </w:r>
          </w:p>
        </w:tc>
        <w:tc>
          <w:tcPr>
            <w:tcW w:w="594" w:type="pct"/>
            <w:shd w:val="clear" w:color="000000" w:fill="FFFFFF"/>
            <w:vAlign w:val="center"/>
            <w:hideMark/>
          </w:tcPr>
          <w:p w14:paraId="64882489"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precizat</w:t>
            </w:r>
          </w:p>
        </w:tc>
        <w:tc>
          <w:tcPr>
            <w:tcW w:w="531" w:type="pct"/>
            <w:vMerge/>
            <w:vAlign w:val="center"/>
            <w:hideMark/>
          </w:tcPr>
          <w:p w14:paraId="55EE9647" w14:textId="77777777" w:rsidR="00775DBA" w:rsidRPr="00DD5F1D" w:rsidRDefault="00775DBA" w:rsidP="00636C42">
            <w:pPr>
              <w:spacing w:after="0" w:line="240" w:lineRule="auto"/>
              <w:rPr>
                <w:rFonts w:ascii="Times New Roman" w:eastAsia="Times New Roman" w:hAnsi="Times New Roman" w:cs="Times New Roman"/>
                <w:b/>
                <w:sz w:val="20"/>
                <w:szCs w:val="20"/>
                <w:lang w:val="ro-MD"/>
              </w:rPr>
            </w:pPr>
          </w:p>
        </w:tc>
        <w:tc>
          <w:tcPr>
            <w:tcW w:w="697" w:type="pct"/>
            <w:vMerge/>
            <w:vAlign w:val="center"/>
            <w:hideMark/>
          </w:tcPr>
          <w:p w14:paraId="3D07FAF5" w14:textId="77777777" w:rsidR="00775DBA" w:rsidRPr="00DD5F1D" w:rsidRDefault="00775DBA" w:rsidP="00636C42">
            <w:pPr>
              <w:spacing w:after="0" w:line="240" w:lineRule="auto"/>
              <w:rPr>
                <w:rFonts w:ascii="Times New Roman" w:eastAsia="Times New Roman" w:hAnsi="Times New Roman" w:cs="Times New Roman"/>
                <w:b/>
                <w:sz w:val="20"/>
                <w:szCs w:val="20"/>
                <w:lang w:val="ro-MD"/>
              </w:rPr>
            </w:pPr>
          </w:p>
        </w:tc>
        <w:tc>
          <w:tcPr>
            <w:tcW w:w="512" w:type="pct"/>
            <w:shd w:val="clear" w:color="000000" w:fill="FFFFFF"/>
            <w:vAlign w:val="center"/>
            <w:hideMark/>
          </w:tcPr>
          <w:p w14:paraId="763368AF"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devieri</w:t>
            </w:r>
          </w:p>
        </w:tc>
        <w:tc>
          <w:tcPr>
            <w:tcW w:w="607" w:type="pct"/>
            <w:shd w:val="clear" w:color="000000" w:fill="FFFFFF"/>
            <w:vAlign w:val="center"/>
            <w:hideMark/>
          </w:tcPr>
          <w:p w14:paraId="2D44000E"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în</w:t>
            </w:r>
          </w:p>
        </w:tc>
      </w:tr>
      <w:tr w:rsidR="000D40B3" w:rsidRPr="00DD5F1D" w14:paraId="4B5B8BB9" w14:textId="77777777" w:rsidTr="00FF7F7E">
        <w:trPr>
          <w:trHeight w:val="20"/>
        </w:trPr>
        <w:tc>
          <w:tcPr>
            <w:tcW w:w="1256" w:type="pct"/>
            <w:vMerge/>
            <w:vAlign w:val="center"/>
            <w:hideMark/>
          </w:tcPr>
          <w:p w14:paraId="63AF59A2" w14:textId="77777777" w:rsidR="00775DBA" w:rsidRPr="00DD5F1D" w:rsidRDefault="00775DBA" w:rsidP="00636C42">
            <w:pPr>
              <w:spacing w:after="0" w:line="240" w:lineRule="auto"/>
              <w:rPr>
                <w:rFonts w:ascii="Times New Roman" w:eastAsia="Times New Roman" w:hAnsi="Times New Roman" w:cs="Times New Roman"/>
                <w:sz w:val="20"/>
                <w:szCs w:val="20"/>
                <w:lang w:val="ro-MD"/>
              </w:rPr>
            </w:pPr>
          </w:p>
        </w:tc>
        <w:tc>
          <w:tcPr>
            <w:tcW w:w="301" w:type="pct"/>
            <w:vMerge/>
            <w:vAlign w:val="center"/>
            <w:hideMark/>
          </w:tcPr>
          <w:p w14:paraId="590E87D2" w14:textId="77777777" w:rsidR="00775DBA" w:rsidRPr="00DD5F1D" w:rsidRDefault="00775DBA" w:rsidP="00636C42">
            <w:pPr>
              <w:spacing w:after="0" w:line="240" w:lineRule="auto"/>
              <w:rPr>
                <w:rFonts w:ascii="Times New Roman" w:eastAsia="Times New Roman" w:hAnsi="Times New Roman" w:cs="Times New Roman"/>
                <w:sz w:val="20"/>
                <w:szCs w:val="20"/>
                <w:lang w:val="ro-MD"/>
              </w:rPr>
            </w:pPr>
          </w:p>
        </w:tc>
        <w:tc>
          <w:tcPr>
            <w:tcW w:w="502" w:type="pct"/>
            <w:shd w:val="clear" w:color="000000" w:fill="FFFFFF"/>
            <w:vAlign w:val="center"/>
            <w:hideMark/>
          </w:tcPr>
          <w:p w14:paraId="1D7D79AE"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 xml:space="preserve">pe an </w:t>
            </w:r>
          </w:p>
        </w:tc>
        <w:tc>
          <w:tcPr>
            <w:tcW w:w="594" w:type="pct"/>
            <w:shd w:val="clear" w:color="000000" w:fill="FFFFFF"/>
            <w:vAlign w:val="center"/>
            <w:hideMark/>
          </w:tcPr>
          <w:p w14:paraId="71B1BB62"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 xml:space="preserve">pe an </w:t>
            </w:r>
          </w:p>
        </w:tc>
        <w:tc>
          <w:tcPr>
            <w:tcW w:w="531" w:type="pct"/>
            <w:vMerge/>
            <w:vAlign w:val="center"/>
            <w:hideMark/>
          </w:tcPr>
          <w:p w14:paraId="4A6EA120" w14:textId="77777777" w:rsidR="00775DBA" w:rsidRPr="00DD5F1D" w:rsidRDefault="00775DBA" w:rsidP="00636C42">
            <w:pPr>
              <w:spacing w:after="0" w:line="240" w:lineRule="auto"/>
              <w:rPr>
                <w:rFonts w:ascii="Times New Roman" w:eastAsia="Times New Roman" w:hAnsi="Times New Roman" w:cs="Times New Roman"/>
                <w:b/>
                <w:sz w:val="20"/>
                <w:szCs w:val="20"/>
                <w:lang w:val="ro-MD"/>
              </w:rPr>
            </w:pPr>
          </w:p>
        </w:tc>
        <w:tc>
          <w:tcPr>
            <w:tcW w:w="697" w:type="pct"/>
            <w:vMerge/>
            <w:vAlign w:val="center"/>
            <w:hideMark/>
          </w:tcPr>
          <w:p w14:paraId="112832A7" w14:textId="77777777" w:rsidR="00775DBA" w:rsidRPr="00DD5F1D" w:rsidRDefault="00775DBA" w:rsidP="00636C42">
            <w:pPr>
              <w:spacing w:after="0" w:line="240" w:lineRule="auto"/>
              <w:rPr>
                <w:rFonts w:ascii="Times New Roman" w:eastAsia="Times New Roman" w:hAnsi="Times New Roman" w:cs="Times New Roman"/>
                <w:b/>
                <w:sz w:val="20"/>
                <w:szCs w:val="20"/>
                <w:lang w:val="ro-MD"/>
              </w:rPr>
            </w:pPr>
          </w:p>
        </w:tc>
        <w:tc>
          <w:tcPr>
            <w:tcW w:w="512" w:type="pct"/>
            <w:shd w:val="clear" w:color="000000" w:fill="FFFFFF"/>
            <w:vAlign w:val="center"/>
            <w:hideMark/>
          </w:tcPr>
          <w:p w14:paraId="4E2BE4F8"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w:t>
            </w:r>
          </w:p>
        </w:tc>
        <w:tc>
          <w:tcPr>
            <w:tcW w:w="607" w:type="pct"/>
            <w:shd w:val="clear" w:color="000000" w:fill="FFFFFF"/>
            <w:vAlign w:val="center"/>
            <w:hideMark/>
          </w:tcPr>
          <w:p w14:paraId="04FBCFB2" w14:textId="77777777" w:rsidR="00775DBA" w:rsidRPr="00DD5F1D" w:rsidRDefault="00775DBA" w:rsidP="00636C42">
            <w:pPr>
              <w:spacing w:after="0" w:line="240" w:lineRule="auto"/>
              <w:jc w:val="center"/>
              <w:rPr>
                <w:rFonts w:ascii="Times New Roman" w:eastAsia="Times New Roman" w:hAnsi="Times New Roman" w:cs="Times New Roman"/>
                <w:b/>
                <w:sz w:val="20"/>
                <w:szCs w:val="20"/>
                <w:lang w:val="ro-MD"/>
              </w:rPr>
            </w:pPr>
            <w:r w:rsidRPr="00DD5F1D">
              <w:rPr>
                <w:rFonts w:ascii="Times New Roman" w:eastAsia="Times New Roman" w:hAnsi="Times New Roman" w:cs="Times New Roman"/>
                <w:b/>
                <w:sz w:val="20"/>
                <w:szCs w:val="20"/>
                <w:lang w:val="ro-MD"/>
              </w:rPr>
              <w:t xml:space="preserve"> %</w:t>
            </w:r>
          </w:p>
        </w:tc>
      </w:tr>
      <w:tr w:rsidR="000D40B3" w:rsidRPr="00DD5F1D" w14:paraId="7524BD18" w14:textId="77777777" w:rsidTr="00FF7F7E">
        <w:trPr>
          <w:trHeight w:val="20"/>
        </w:trPr>
        <w:tc>
          <w:tcPr>
            <w:tcW w:w="1256" w:type="pct"/>
            <w:shd w:val="clear" w:color="000000" w:fill="FFFFFF"/>
            <w:noWrap/>
            <w:vAlign w:val="center"/>
            <w:hideMark/>
          </w:tcPr>
          <w:p w14:paraId="120C0A8E" w14:textId="77777777" w:rsidR="00775DBA" w:rsidRPr="00DD5F1D" w:rsidRDefault="00775DBA" w:rsidP="00636C42">
            <w:pPr>
              <w:spacing w:after="0" w:line="240" w:lineRule="auto"/>
              <w:jc w:val="center"/>
              <w:rPr>
                <w:rFonts w:ascii="Times New Roman" w:eastAsia="Times New Roman" w:hAnsi="Times New Roman" w:cs="Times New Roman"/>
                <w:b/>
                <w:i/>
                <w:sz w:val="18"/>
                <w:szCs w:val="18"/>
                <w:lang w:val="ro-MD"/>
              </w:rPr>
            </w:pPr>
            <w:r w:rsidRPr="00DD5F1D">
              <w:rPr>
                <w:rFonts w:ascii="Times New Roman" w:eastAsia="Times New Roman" w:hAnsi="Times New Roman" w:cs="Times New Roman"/>
                <w:b/>
                <w:i/>
                <w:sz w:val="18"/>
                <w:szCs w:val="18"/>
                <w:lang w:val="ro-MD"/>
              </w:rPr>
              <w:t>1</w:t>
            </w:r>
          </w:p>
        </w:tc>
        <w:tc>
          <w:tcPr>
            <w:tcW w:w="301" w:type="pct"/>
            <w:shd w:val="clear" w:color="000000" w:fill="FFFFFF"/>
            <w:noWrap/>
            <w:vAlign w:val="center"/>
            <w:hideMark/>
          </w:tcPr>
          <w:p w14:paraId="72FDB4F6" w14:textId="77777777" w:rsidR="00775DBA" w:rsidRPr="00DD5F1D" w:rsidRDefault="00775DBA" w:rsidP="00636C42">
            <w:pPr>
              <w:spacing w:after="0" w:line="240" w:lineRule="auto"/>
              <w:jc w:val="center"/>
              <w:rPr>
                <w:rFonts w:ascii="Times New Roman" w:eastAsia="Times New Roman" w:hAnsi="Times New Roman" w:cs="Times New Roman"/>
                <w:b/>
                <w:i/>
                <w:sz w:val="18"/>
                <w:szCs w:val="18"/>
                <w:lang w:val="ro-MD"/>
              </w:rPr>
            </w:pPr>
            <w:r w:rsidRPr="00DD5F1D">
              <w:rPr>
                <w:rFonts w:ascii="Times New Roman" w:eastAsia="Times New Roman" w:hAnsi="Times New Roman" w:cs="Times New Roman"/>
                <w:b/>
                <w:i/>
                <w:sz w:val="18"/>
                <w:szCs w:val="18"/>
                <w:lang w:val="ro-MD"/>
              </w:rPr>
              <w:t>2</w:t>
            </w:r>
          </w:p>
        </w:tc>
        <w:tc>
          <w:tcPr>
            <w:tcW w:w="502" w:type="pct"/>
            <w:shd w:val="clear" w:color="000000" w:fill="FFFFFF"/>
            <w:noWrap/>
            <w:vAlign w:val="center"/>
            <w:hideMark/>
          </w:tcPr>
          <w:p w14:paraId="0A14373C" w14:textId="77777777" w:rsidR="00775DBA" w:rsidRPr="00DD5F1D" w:rsidRDefault="00775DBA" w:rsidP="00636C42">
            <w:pPr>
              <w:spacing w:after="0" w:line="240" w:lineRule="auto"/>
              <w:jc w:val="center"/>
              <w:rPr>
                <w:rFonts w:ascii="Times New Roman" w:eastAsia="Times New Roman" w:hAnsi="Times New Roman" w:cs="Times New Roman"/>
                <w:b/>
                <w:i/>
                <w:sz w:val="18"/>
                <w:szCs w:val="18"/>
                <w:lang w:val="ro-MD"/>
              </w:rPr>
            </w:pPr>
            <w:r w:rsidRPr="00DD5F1D">
              <w:rPr>
                <w:rFonts w:ascii="Times New Roman" w:eastAsia="Times New Roman" w:hAnsi="Times New Roman" w:cs="Times New Roman"/>
                <w:b/>
                <w:i/>
                <w:sz w:val="18"/>
                <w:szCs w:val="18"/>
                <w:lang w:val="ro-MD"/>
              </w:rPr>
              <w:t>3</w:t>
            </w:r>
          </w:p>
        </w:tc>
        <w:tc>
          <w:tcPr>
            <w:tcW w:w="594" w:type="pct"/>
            <w:shd w:val="clear" w:color="000000" w:fill="FFFFFF"/>
            <w:noWrap/>
            <w:vAlign w:val="center"/>
            <w:hideMark/>
          </w:tcPr>
          <w:p w14:paraId="4497A1A2" w14:textId="77777777" w:rsidR="00775DBA" w:rsidRPr="00DD5F1D" w:rsidRDefault="00775DBA" w:rsidP="00636C42">
            <w:pPr>
              <w:spacing w:after="0" w:line="240" w:lineRule="auto"/>
              <w:jc w:val="center"/>
              <w:rPr>
                <w:rFonts w:ascii="Times New Roman" w:eastAsia="Times New Roman" w:hAnsi="Times New Roman" w:cs="Times New Roman"/>
                <w:b/>
                <w:i/>
                <w:sz w:val="18"/>
                <w:szCs w:val="18"/>
                <w:lang w:val="ro-MD"/>
              </w:rPr>
            </w:pPr>
            <w:r w:rsidRPr="00DD5F1D">
              <w:rPr>
                <w:rFonts w:ascii="Times New Roman" w:eastAsia="Times New Roman" w:hAnsi="Times New Roman" w:cs="Times New Roman"/>
                <w:b/>
                <w:i/>
                <w:sz w:val="18"/>
                <w:szCs w:val="18"/>
                <w:lang w:val="ro-MD"/>
              </w:rPr>
              <w:t>4</w:t>
            </w:r>
          </w:p>
        </w:tc>
        <w:tc>
          <w:tcPr>
            <w:tcW w:w="531" w:type="pct"/>
            <w:shd w:val="clear" w:color="000000" w:fill="FFFFFF"/>
            <w:noWrap/>
            <w:vAlign w:val="center"/>
            <w:hideMark/>
          </w:tcPr>
          <w:p w14:paraId="08209D78" w14:textId="77777777" w:rsidR="00775DBA" w:rsidRPr="00DD5F1D" w:rsidRDefault="00775DBA" w:rsidP="00636C42">
            <w:pPr>
              <w:spacing w:after="0" w:line="240" w:lineRule="auto"/>
              <w:jc w:val="center"/>
              <w:rPr>
                <w:rFonts w:ascii="Times New Roman" w:eastAsia="Times New Roman" w:hAnsi="Times New Roman" w:cs="Times New Roman"/>
                <w:b/>
                <w:i/>
                <w:sz w:val="18"/>
                <w:szCs w:val="18"/>
                <w:lang w:val="ro-MD"/>
              </w:rPr>
            </w:pPr>
            <w:r w:rsidRPr="00DD5F1D">
              <w:rPr>
                <w:rFonts w:ascii="Times New Roman" w:eastAsia="Times New Roman" w:hAnsi="Times New Roman" w:cs="Times New Roman"/>
                <w:b/>
                <w:i/>
                <w:sz w:val="18"/>
                <w:szCs w:val="18"/>
                <w:lang w:val="ro-MD"/>
              </w:rPr>
              <w:t>5</w:t>
            </w:r>
          </w:p>
        </w:tc>
        <w:tc>
          <w:tcPr>
            <w:tcW w:w="697" w:type="pct"/>
            <w:shd w:val="clear" w:color="000000" w:fill="FFFFFF"/>
            <w:noWrap/>
            <w:vAlign w:val="center"/>
            <w:hideMark/>
          </w:tcPr>
          <w:p w14:paraId="6645C15C" w14:textId="77777777" w:rsidR="00775DBA" w:rsidRPr="00DD5F1D" w:rsidRDefault="00123FCF" w:rsidP="00636C42">
            <w:pPr>
              <w:spacing w:after="0" w:line="240" w:lineRule="auto"/>
              <w:jc w:val="center"/>
              <w:rPr>
                <w:rFonts w:ascii="Times New Roman" w:eastAsia="Times New Roman" w:hAnsi="Times New Roman" w:cs="Times New Roman"/>
                <w:b/>
                <w:i/>
                <w:sz w:val="18"/>
                <w:szCs w:val="18"/>
                <w:lang w:val="ro-MD"/>
              </w:rPr>
            </w:pPr>
            <w:r w:rsidRPr="00DD5F1D">
              <w:rPr>
                <w:rFonts w:ascii="Times New Roman" w:eastAsia="Times New Roman" w:hAnsi="Times New Roman" w:cs="Times New Roman"/>
                <w:b/>
                <w:i/>
                <w:sz w:val="18"/>
                <w:szCs w:val="18"/>
                <w:lang w:val="ro-MD"/>
              </w:rPr>
              <w:t>6</w:t>
            </w:r>
          </w:p>
        </w:tc>
        <w:tc>
          <w:tcPr>
            <w:tcW w:w="512" w:type="pct"/>
            <w:shd w:val="clear" w:color="000000" w:fill="FFFFFF"/>
            <w:noWrap/>
            <w:vAlign w:val="center"/>
            <w:hideMark/>
          </w:tcPr>
          <w:p w14:paraId="1D17CC2D" w14:textId="77777777" w:rsidR="00775DBA" w:rsidRPr="00DD5F1D" w:rsidRDefault="00123FCF" w:rsidP="00636C42">
            <w:pPr>
              <w:spacing w:after="0" w:line="240" w:lineRule="auto"/>
              <w:jc w:val="center"/>
              <w:rPr>
                <w:rFonts w:ascii="Times New Roman" w:eastAsia="Times New Roman" w:hAnsi="Times New Roman" w:cs="Times New Roman"/>
                <w:b/>
                <w:i/>
                <w:sz w:val="18"/>
                <w:szCs w:val="18"/>
                <w:lang w:val="ro-MD"/>
              </w:rPr>
            </w:pPr>
            <w:r w:rsidRPr="00DD5F1D">
              <w:rPr>
                <w:rFonts w:ascii="Times New Roman" w:eastAsia="Times New Roman" w:hAnsi="Times New Roman" w:cs="Times New Roman"/>
                <w:b/>
                <w:i/>
                <w:sz w:val="18"/>
                <w:szCs w:val="18"/>
                <w:lang w:val="ro-MD"/>
              </w:rPr>
              <w:t>7</w:t>
            </w:r>
          </w:p>
        </w:tc>
        <w:tc>
          <w:tcPr>
            <w:tcW w:w="607" w:type="pct"/>
            <w:shd w:val="clear" w:color="000000" w:fill="FFFFFF"/>
            <w:noWrap/>
            <w:vAlign w:val="center"/>
            <w:hideMark/>
          </w:tcPr>
          <w:p w14:paraId="3500A773" w14:textId="77777777" w:rsidR="00775DBA" w:rsidRPr="00DD5F1D" w:rsidRDefault="00123FCF" w:rsidP="00636C42">
            <w:pPr>
              <w:spacing w:after="0" w:line="240" w:lineRule="auto"/>
              <w:jc w:val="center"/>
              <w:rPr>
                <w:rFonts w:ascii="Times New Roman" w:eastAsia="Times New Roman" w:hAnsi="Times New Roman" w:cs="Times New Roman"/>
                <w:b/>
                <w:i/>
                <w:sz w:val="18"/>
                <w:szCs w:val="18"/>
                <w:lang w:val="ro-MD"/>
              </w:rPr>
            </w:pPr>
            <w:r w:rsidRPr="00DD5F1D">
              <w:rPr>
                <w:rFonts w:ascii="Times New Roman" w:eastAsia="Times New Roman" w:hAnsi="Times New Roman" w:cs="Times New Roman"/>
                <w:b/>
                <w:i/>
                <w:sz w:val="18"/>
                <w:szCs w:val="18"/>
                <w:lang w:val="ro-MD"/>
              </w:rPr>
              <w:t>8</w:t>
            </w:r>
          </w:p>
        </w:tc>
      </w:tr>
      <w:tr w:rsidR="000D40B3" w:rsidRPr="00DD5F1D" w14:paraId="6BD27AB2" w14:textId="77777777" w:rsidTr="00FF7F7E">
        <w:trPr>
          <w:trHeight w:val="20"/>
        </w:trPr>
        <w:tc>
          <w:tcPr>
            <w:tcW w:w="1256" w:type="pct"/>
            <w:shd w:val="clear" w:color="000000" w:fill="FFFFFF"/>
            <w:noWrap/>
            <w:vAlign w:val="center"/>
            <w:hideMark/>
          </w:tcPr>
          <w:p w14:paraId="1D772527" w14:textId="77777777" w:rsidR="00775DBA" w:rsidRPr="00DD5F1D" w:rsidRDefault="00775DBA" w:rsidP="00636C42">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I.  VENITURI</w:t>
            </w:r>
          </w:p>
        </w:tc>
        <w:tc>
          <w:tcPr>
            <w:tcW w:w="301" w:type="pct"/>
            <w:shd w:val="clear" w:color="000000" w:fill="FFFFFF"/>
            <w:noWrap/>
            <w:vAlign w:val="center"/>
            <w:hideMark/>
          </w:tcPr>
          <w:p w14:paraId="7ED8FE24" w14:textId="77777777" w:rsidR="00775DBA" w:rsidRPr="00DD5F1D" w:rsidRDefault="00775DBA" w:rsidP="00636C42">
            <w:pPr>
              <w:spacing w:after="0" w:line="240"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w:t>
            </w:r>
          </w:p>
        </w:tc>
        <w:tc>
          <w:tcPr>
            <w:tcW w:w="502" w:type="pct"/>
            <w:shd w:val="clear" w:color="000000" w:fill="FFFFFF"/>
            <w:noWrap/>
            <w:vAlign w:val="center"/>
            <w:hideMark/>
          </w:tcPr>
          <w:p w14:paraId="659A9506"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38735604,</w:t>
            </w:r>
            <w:r w:rsidR="00775DBA" w:rsidRPr="00DD5F1D">
              <w:rPr>
                <w:rFonts w:ascii="Times New Roman" w:eastAsia="Times New Roman" w:hAnsi="Times New Roman" w:cs="Times New Roman"/>
                <w:sz w:val="20"/>
                <w:szCs w:val="20"/>
                <w:lang w:val="ro-MD"/>
              </w:rPr>
              <w:t>7</w:t>
            </w:r>
          </w:p>
        </w:tc>
        <w:tc>
          <w:tcPr>
            <w:tcW w:w="594" w:type="pct"/>
            <w:shd w:val="clear" w:color="000000" w:fill="FFFFFF"/>
            <w:noWrap/>
            <w:vAlign w:val="center"/>
            <w:hideMark/>
          </w:tcPr>
          <w:p w14:paraId="76540162"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38870665,</w:t>
            </w:r>
            <w:r w:rsidR="00775DBA" w:rsidRPr="00DD5F1D">
              <w:rPr>
                <w:rFonts w:ascii="Times New Roman" w:eastAsia="Times New Roman" w:hAnsi="Times New Roman" w:cs="Times New Roman"/>
                <w:sz w:val="20"/>
                <w:szCs w:val="20"/>
                <w:lang w:val="ro-MD"/>
              </w:rPr>
              <w:t>7</w:t>
            </w:r>
          </w:p>
        </w:tc>
        <w:tc>
          <w:tcPr>
            <w:tcW w:w="531" w:type="pct"/>
            <w:shd w:val="clear" w:color="000000" w:fill="FFFFFF"/>
            <w:noWrap/>
            <w:vAlign w:val="center"/>
            <w:hideMark/>
          </w:tcPr>
          <w:p w14:paraId="0FC6169F"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38604434,</w:t>
            </w:r>
            <w:r w:rsidR="00775DBA" w:rsidRPr="00DD5F1D">
              <w:rPr>
                <w:rFonts w:ascii="Times New Roman" w:eastAsia="Times New Roman" w:hAnsi="Times New Roman" w:cs="Times New Roman"/>
                <w:sz w:val="20"/>
                <w:szCs w:val="20"/>
                <w:lang w:val="ro-MD"/>
              </w:rPr>
              <w:t>4</w:t>
            </w:r>
          </w:p>
        </w:tc>
        <w:tc>
          <w:tcPr>
            <w:tcW w:w="697" w:type="pct"/>
            <w:shd w:val="clear" w:color="000000" w:fill="FFFFFF"/>
            <w:noWrap/>
            <w:vAlign w:val="center"/>
            <w:hideMark/>
          </w:tcPr>
          <w:p w14:paraId="3D5E9BB7" w14:textId="77777777" w:rsidR="00775DBA" w:rsidRPr="00DD5F1D" w:rsidRDefault="00775DBA"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33796071</w:t>
            </w:r>
          </w:p>
        </w:tc>
        <w:tc>
          <w:tcPr>
            <w:tcW w:w="512" w:type="pct"/>
            <w:shd w:val="clear" w:color="000000" w:fill="FFFFFF"/>
            <w:noWrap/>
            <w:vAlign w:val="center"/>
            <w:hideMark/>
          </w:tcPr>
          <w:p w14:paraId="7188A008"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-4808363,</w:t>
            </w:r>
            <w:r w:rsidR="00775DBA" w:rsidRPr="00DD5F1D">
              <w:rPr>
                <w:rFonts w:ascii="Times New Roman" w:eastAsia="Times New Roman" w:hAnsi="Times New Roman" w:cs="Times New Roman"/>
                <w:sz w:val="20"/>
                <w:szCs w:val="20"/>
                <w:lang w:val="ro-MD"/>
              </w:rPr>
              <w:t>4</w:t>
            </w:r>
          </w:p>
        </w:tc>
        <w:tc>
          <w:tcPr>
            <w:tcW w:w="607" w:type="pct"/>
            <w:shd w:val="clear" w:color="000000" w:fill="FFFFFF"/>
            <w:noWrap/>
            <w:vAlign w:val="center"/>
            <w:hideMark/>
          </w:tcPr>
          <w:p w14:paraId="217049F8"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114,</w:t>
            </w:r>
            <w:r w:rsidR="00775DBA" w:rsidRPr="00DD5F1D">
              <w:rPr>
                <w:rFonts w:ascii="Times New Roman" w:eastAsia="Times New Roman" w:hAnsi="Times New Roman" w:cs="Times New Roman"/>
                <w:sz w:val="20"/>
                <w:szCs w:val="20"/>
                <w:lang w:val="ro-MD"/>
              </w:rPr>
              <w:t>2</w:t>
            </w:r>
          </w:p>
        </w:tc>
      </w:tr>
      <w:tr w:rsidR="000D40B3" w:rsidRPr="00DD5F1D" w14:paraId="049C628D" w14:textId="77777777" w:rsidTr="00FF7F7E">
        <w:trPr>
          <w:trHeight w:val="20"/>
        </w:trPr>
        <w:tc>
          <w:tcPr>
            <w:tcW w:w="1256" w:type="pct"/>
            <w:shd w:val="clear" w:color="000000" w:fill="FFFFFF"/>
            <w:vAlign w:val="center"/>
            <w:hideMark/>
          </w:tcPr>
          <w:p w14:paraId="04B9E312" w14:textId="77777777" w:rsidR="00775DBA" w:rsidRPr="00DD5F1D" w:rsidRDefault="00775DBA" w:rsidP="00123FCF">
            <w:pPr>
              <w:spacing w:after="0" w:line="240" w:lineRule="auto"/>
              <w:jc w:val="both"/>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TRANSFERURI PRIMITE ÎN CADRUL BUGETULUI PUBLIC NAŢIONAL</w:t>
            </w:r>
          </w:p>
        </w:tc>
        <w:tc>
          <w:tcPr>
            <w:tcW w:w="301" w:type="pct"/>
            <w:shd w:val="clear" w:color="000000" w:fill="FFFFFF"/>
            <w:noWrap/>
            <w:vAlign w:val="center"/>
            <w:hideMark/>
          </w:tcPr>
          <w:p w14:paraId="6A48EC4C" w14:textId="77777777" w:rsidR="00775DBA" w:rsidRPr="00DD5F1D" w:rsidRDefault="00775DBA" w:rsidP="00636C42">
            <w:pPr>
              <w:spacing w:after="0" w:line="240"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19</w:t>
            </w:r>
          </w:p>
        </w:tc>
        <w:tc>
          <w:tcPr>
            <w:tcW w:w="502" w:type="pct"/>
            <w:shd w:val="clear" w:color="000000" w:fill="FFFFFF"/>
            <w:noWrap/>
            <w:vAlign w:val="center"/>
            <w:hideMark/>
          </w:tcPr>
          <w:p w14:paraId="0A9E19BF"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17169869,</w:t>
            </w:r>
            <w:r w:rsidR="00775DBA" w:rsidRPr="00DD5F1D">
              <w:rPr>
                <w:rFonts w:ascii="Times New Roman" w:eastAsia="Times New Roman" w:hAnsi="Times New Roman" w:cs="Times New Roman"/>
                <w:sz w:val="20"/>
                <w:szCs w:val="20"/>
                <w:lang w:val="ro-MD"/>
              </w:rPr>
              <w:t>3</w:t>
            </w:r>
          </w:p>
        </w:tc>
        <w:tc>
          <w:tcPr>
            <w:tcW w:w="594" w:type="pct"/>
            <w:shd w:val="clear" w:color="000000" w:fill="FFFFFF"/>
            <w:noWrap/>
            <w:vAlign w:val="center"/>
            <w:hideMark/>
          </w:tcPr>
          <w:p w14:paraId="6E4E6AB5"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16829730,</w:t>
            </w:r>
            <w:r w:rsidR="00775DBA" w:rsidRPr="00DD5F1D">
              <w:rPr>
                <w:rFonts w:ascii="Times New Roman" w:eastAsia="Times New Roman" w:hAnsi="Times New Roman" w:cs="Times New Roman"/>
                <w:sz w:val="20"/>
                <w:szCs w:val="20"/>
                <w:lang w:val="ro-MD"/>
              </w:rPr>
              <w:t>3</w:t>
            </w:r>
          </w:p>
        </w:tc>
        <w:tc>
          <w:tcPr>
            <w:tcW w:w="531" w:type="pct"/>
            <w:shd w:val="clear" w:color="000000" w:fill="FFFFFF"/>
            <w:noWrap/>
            <w:vAlign w:val="center"/>
            <w:hideMark/>
          </w:tcPr>
          <w:p w14:paraId="5160960B" w14:textId="77777777" w:rsidR="00775DBA" w:rsidRPr="00DD5F1D" w:rsidRDefault="00775DBA"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16511597</w:t>
            </w:r>
          </w:p>
        </w:tc>
        <w:tc>
          <w:tcPr>
            <w:tcW w:w="697" w:type="pct"/>
            <w:shd w:val="clear" w:color="000000" w:fill="FFFFFF"/>
            <w:noWrap/>
            <w:vAlign w:val="center"/>
            <w:hideMark/>
          </w:tcPr>
          <w:p w14:paraId="0168FA3E"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14794027,</w:t>
            </w:r>
            <w:r w:rsidR="00775DBA" w:rsidRPr="00DD5F1D">
              <w:rPr>
                <w:rFonts w:ascii="Times New Roman" w:eastAsia="Times New Roman" w:hAnsi="Times New Roman" w:cs="Times New Roman"/>
                <w:sz w:val="20"/>
                <w:szCs w:val="20"/>
                <w:lang w:val="ro-MD"/>
              </w:rPr>
              <w:t>1</w:t>
            </w:r>
          </w:p>
        </w:tc>
        <w:tc>
          <w:tcPr>
            <w:tcW w:w="512" w:type="pct"/>
            <w:shd w:val="clear" w:color="000000" w:fill="FFFFFF"/>
            <w:noWrap/>
            <w:vAlign w:val="center"/>
            <w:hideMark/>
          </w:tcPr>
          <w:p w14:paraId="3354D29F"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-1717569,</w:t>
            </w:r>
            <w:r w:rsidR="00775DBA" w:rsidRPr="00DD5F1D">
              <w:rPr>
                <w:rFonts w:ascii="Times New Roman" w:eastAsia="Times New Roman" w:hAnsi="Times New Roman" w:cs="Times New Roman"/>
                <w:sz w:val="20"/>
                <w:szCs w:val="20"/>
                <w:lang w:val="ro-MD"/>
              </w:rPr>
              <w:t>9</w:t>
            </w:r>
          </w:p>
        </w:tc>
        <w:tc>
          <w:tcPr>
            <w:tcW w:w="607" w:type="pct"/>
            <w:shd w:val="clear" w:color="000000" w:fill="FFFFFF"/>
            <w:noWrap/>
            <w:vAlign w:val="center"/>
            <w:hideMark/>
          </w:tcPr>
          <w:p w14:paraId="5820FD25"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111,</w:t>
            </w:r>
            <w:r w:rsidR="00775DBA" w:rsidRPr="00DD5F1D">
              <w:rPr>
                <w:rFonts w:ascii="Times New Roman" w:eastAsia="Times New Roman" w:hAnsi="Times New Roman" w:cs="Times New Roman"/>
                <w:sz w:val="20"/>
                <w:szCs w:val="20"/>
                <w:lang w:val="ro-MD"/>
              </w:rPr>
              <w:t>6</w:t>
            </w:r>
          </w:p>
        </w:tc>
      </w:tr>
      <w:tr w:rsidR="000D40B3" w:rsidRPr="00DD5F1D" w14:paraId="6AA929AF" w14:textId="77777777" w:rsidTr="00FF7F7E">
        <w:trPr>
          <w:trHeight w:val="20"/>
        </w:trPr>
        <w:tc>
          <w:tcPr>
            <w:tcW w:w="1256" w:type="pct"/>
            <w:shd w:val="clear" w:color="000000" w:fill="FFFFFF"/>
            <w:vAlign w:val="center"/>
            <w:hideMark/>
          </w:tcPr>
          <w:p w14:paraId="7E7D7ECE" w14:textId="77777777" w:rsidR="00775DBA" w:rsidRPr="00DD5F1D" w:rsidRDefault="00775DBA" w:rsidP="00123FCF">
            <w:pPr>
              <w:spacing w:after="0" w:line="240" w:lineRule="auto"/>
              <w:jc w:val="both"/>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Ponderea transferurilor în total venituri</w:t>
            </w:r>
          </w:p>
        </w:tc>
        <w:tc>
          <w:tcPr>
            <w:tcW w:w="301" w:type="pct"/>
            <w:shd w:val="clear" w:color="000000" w:fill="FFFFFF"/>
            <w:noWrap/>
            <w:vAlign w:val="center"/>
            <w:hideMark/>
          </w:tcPr>
          <w:p w14:paraId="2F769EE5" w14:textId="77777777" w:rsidR="00775DBA" w:rsidRPr="00DD5F1D" w:rsidRDefault="00775DBA" w:rsidP="00636C42">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 </w:t>
            </w:r>
          </w:p>
        </w:tc>
        <w:tc>
          <w:tcPr>
            <w:tcW w:w="502" w:type="pct"/>
            <w:shd w:val="clear" w:color="000000" w:fill="FFFFFF"/>
            <w:noWrap/>
            <w:vAlign w:val="center"/>
            <w:hideMark/>
          </w:tcPr>
          <w:p w14:paraId="74BA8CFB"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44,</w:t>
            </w:r>
            <w:r w:rsidR="00571A46" w:rsidRPr="00DD5F1D">
              <w:rPr>
                <w:rFonts w:ascii="Times New Roman" w:eastAsia="Times New Roman" w:hAnsi="Times New Roman" w:cs="Times New Roman"/>
                <w:sz w:val="20"/>
                <w:szCs w:val="20"/>
                <w:lang w:val="ro-MD"/>
              </w:rPr>
              <w:t>3</w:t>
            </w:r>
          </w:p>
        </w:tc>
        <w:tc>
          <w:tcPr>
            <w:tcW w:w="594" w:type="pct"/>
            <w:shd w:val="clear" w:color="000000" w:fill="FFFFFF"/>
            <w:noWrap/>
            <w:vAlign w:val="center"/>
            <w:hideMark/>
          </w:tcPr>
          <w:p w14:paraId="33BF7890"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43,</w:t>
            </w:r>
            <w:r w:rsidR="00571A46" w:rsidRPr="00DD5F1D">
              <w:rPr>
                <w:rFonts w:ascii="Times New Roman" w:eastAsia="Times New Roman" w:hAnsi="Times New Roman" w:cs="Times New Roman"/>
                <w:sz w:val="20"/>
                <w:szCs w:val="20"/>
                <w:lang w:val="ro-MD"/>
              </w:rPr>
              <w:t>3</w:t>
            </w:r>
          </w:p>
        </w:tc>
        <w:tc>
          <w:tcPr>
            <w:tcW w:w="531" w:type="pct"/>
            <w:shd w:val="clear" w:color="000000" w:fill="FFFFFF"/>
            <w:noWrap/>
            <w:vAlign w:val="center"/>
            <w:hideMark/>
          </w:tcPr>
          <w:p w14:paraId="5380FE0F"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42,</w:t>
            </w:r>
            <w:r w:rsidR="00571A46" w:rsidRPr="00DD5F1D">
              <w:rPr>
                <w:rFonts w:ascii="Times New Roman" w:eastAsia="Times New Roman" w:hAnsi="Times New Roman" w:cs="Times New Roman"/>
                <w:sz w:val="20"/>
                <w:szCs w:val="20"/>
                <w:lang w:val="ro-MD"/>
              </w:rPr>
              <w:t>7</w:t>
            </w:r>
          </w:p>
        </w:tc>
        <w:tc>
          <w:tcPr>
            <w:tcW w:w="697" w:type="pct"/>
            <w:shd w:val="clear" w:color="000000" w:fill="FFFFFF"/>
            <w:noWrap/>
            <w:vAlign w:val="center"/>
            <w:hideMark/>
          </w:tcPr>
          <w:p w14:paraId="169F65CF"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43,</w:t>
            </w:r>
            <w:r w:rsidR="00571A46" w:rsidRPr="00DD5F1D">
              <w:rPr>
                <w:rFonts w:ascii="Times New Roman" w:eastAsia="Times New Roman" w:hAnsi="Times New Roman" w:cs="Times New Roman"/>
                <w:sz w:val="20"/>
                <w:szCs w:val="20"/>
                <w:lang w:val="ro-MD"/>
              </w:rPr>
              <w:t>7</w:t>
            </w:r>
          </w:p>
        </w:tc>
        <w:tc>
          <w:tcPr>
            <w:tcW w:w="512" w:type="pct"/>
            <w:shd w:val="clear" w:color="000000" w:fill="FFFFFF"/>
            <w:noWrap/>
            <w:vAlign w:val="center"/>
            <w:hideMark/>
          </w:tcPr>
          <w:p w14:paraId="7C11804D"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w:t>
            </w:r>
            <w:r w:rsidR="00571A46" w:rsidRPr="00DD5F1D">
              <w:rPr>
                <w:rFonts w:ascii="Times New Roman" w:eastAsia="Times New Roman" w:hAnsi="Times New Roman" w:cs="Times New Roman"/>
                <w:sz w:val="20"/>
                <w:szCs w:val="20"/>
                <w:lang w:val="ro-MD"/>
              </w:rPr>
              <w:t>0</w:t>
            </w:r>
          </w:p>
        </w:tc>
        <w:tc>
          <w:tcPr>
            <w:tcW w:w="607" w:type="pct"/>
            <w:shd w:val="clear" w:color="000000" w:fill="FFFFFF"/>
            <w:noWrap/>
            <w:vAlign w:val="center"/>
            <w:hideMark/>
          </w:tcPr>
          <w:p w14:paraId="4673FC77" w14:textId="77777777" w:rsidR="00775DBA" w:rsidRPr="00DD5F1D" w:rsidRDefault="00775DBA"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X</w:t>
            </w:r>
          </w:p>
        </w:tc>
      </w:tr>
      <w:tr w:rsidR="000D40B3" w:rsidRPr="00DD5F1D" w14:paraId="7424FE7E" w14:textId="77777777" w:rsidTr="00FF7F7E">
        <w:trPr>
          <w:trHeight w:val="20"/>
        </w:trPr>
        <w:tc>
          <w:tcPr>
            <w:tcW w:w="1256" w:type="pct"/>
            <w:shd w:val="clear" w:color="000000" w:fill="FFFFFF"/>
            <w:vAlign w:val="center"/>
            <w:hideMark/>
          </w:tcPr>
          <w:p w14:paraId="76B11136" w14:textId="77777777" w:rsidR="00775DBA" w:rsidRPr="00DD5F1D" w:rsidRDefault="00775DBA" w:rsidP="00123FCF">
            <w:pPr>
              <w:spacing w:after="0" w:line="240" w:lineRule="auto"/>
              <w:jc w:val="both"/>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Transferuri curente primite cu destinație specială între bugetul de stat și bugetul asigurărilor sociale de stat</w:t>
            </w:r>
          </w:p>
        </w:tc>
        <w:tc>
          <w:tcPr>
            <w:tcW w:w="301" w:type="pct"/>
            <w:shd w:val="clear" w:color="000000" w:fill="FFFFFF"/>
            <w:vAlign w:val="center"/>
            <w:hideMark/>
          </w:tcPr>
          <w:p w14:paraId="01EE4160" w14:textId="77777777" w:rsidR="00775DBA" w:rsidRPr="00DD5F1D" w:rsidRDefault="00775DBA" w:rsidP="00636C42">
            <w:pPr>
              <w:spacing w:after="0" w:line="240"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192110</w:t>
            </w:r>
          </w:p>
        </w:tc>
        <w:tc>
          <w:tcPr>
            <w:tcW w:w="502" w:type="pct"/>
            <w:shd w:val="clear" w:color="000000" w:fill="FFFFFF"/>
            <w:noWrap/>
            <w:vAlign w:val="center"/>
            <w:hideMark/>
          </w:tcPr>
          <w:p w14:paraId="2C4EC3FD"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11003442,</w:t>
            </w:r>
            <w:r w:rsidR="00775DBA" w:rsidRPr="00DD5F1D">
              <w:rPr>
                <w:rFonts w:ascii="Times New Roman" w:eastAsia="Times New Roman" w:hAnsi="Times New Roman" w:cs="Times New Roman"/>
                <w:sz w:val="20"/>
                <w:szCs w:val="20"/>
                <w:lang w:val="ro-MD"/>
              </w:rPr>
              <w:t>40</w:t>
            </w:r>
          </w:p>
        </w:tc>
        <w:tc>
          <w:tcPr>
            <w:tcW w:w="594" w:type="pct"/>
            <w:shd w:val="clear" w:color="000000" w:fill="FFFFFF"/>
            <w:vAlign w:val="center"/>
            <w:hideMark/>
          </w:tcPr>
          <w:p w14:paraId="64C178A8"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11171803,</w:t>
            </w:r>
            <w:r w:rsidR="00775DBA" w:rsidRPr="00DD5F1D">
              <w:rPr>
                <w:rFonts w:ascii="Times New Roman" w:eastAsia="Times New Roman" w:hAnsi="Times New Roman" w:cs="Times New Roman"/>
                <w:sz w:val="20"/>
                <w:szCs w:val="20"/>
                <w:lang w:val="ro-MD"/>
              </w:rPr>
              <w:t>4</w:t>
            </w:r>
          </w:p>
        </w:tc>
        <w:tc>
          <w:tcPr>
            <w:tcW w:w="531" w:type="pct"/>
            <w:shd w:val="clear" w:color="000000" w:fill="FFFFFF"/>
            <w:vAlign w:val="center"/>
            <w:hideMark/>
          </w:tcPr>
          <w:p w14:paraId="6D3EBB44"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11093670,</w:t>
            </w:r>
            <w:r w:rsidR="00775DBA" w:rsidRPr="00DD5F1D">
              <w:rPr>
                <w:rFonts w:ascii="Times New Roman" w:eastAsia="Times New Roman" w:hAnsi="Times New Roman" w:cs="Times New Roman"/>
                <w:sz w:val="20"/>
                <w:szCs w:val="20"/>
                <w:lang w:val="ro-MD"/>
              </w:rPr>
              <w:t>1</w:t>
            </w:r>
          </w:p>
        </w:tc>
        <w:tc>
          <w:tcPr>
            <w:tcW w:w="697" w:type="pct"/>
            <w:shd w:val="clear" w:color="000000" w:fill="FFFFFF"/>
            <w:vAlign w:val="center"/>
            <w:hideMark/>
          </w:tcPr>
          <w:p w14:paraId="1AA311AC"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10359900,</w:t>
            </w:r>
            <w:r w:rsidR="00775DBA" w:rsidRPr="00DD5F1D">
              <w:rPr>
                <w:rFonts w:ascii="Times New Roman" w:eastAsia="Times New Roman" w:hAnsi="Times New Roman" w:cs="Times New Roman"/>
                <w:sz w:val="20"/>
                <w:szCs w:val="20"/>
                <w:lang w:val="ro-MD"/>
              </w:rPr>
              <w:t>4</w:t>
            </w:r>
          </w:p>
        </w:tc>
        <w:tc>
          <w:tcPr>
            <w:tcW w:w="512" w:type="pct"/>
            <w:shd w:val="clear" w:color="000000" w:fill="FFFFFF"/>
            <w:noWrap/>
            <w:vAlign w:val="center"/>
            <w:hideMark/>
          </w:tcPr>
          <w:p w14:paraId="7CE9B199"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-733769,</w:t>
            </w:r>
            <w:r w:rsidR="00775DBA" w:rsidRPr="00DD5F1D">
              <w:rPr>
                <w:rFonts w:ascii="Times New Roman" w:eastAsia="Times New Roman" w:hAnsi="Times New Roman" w:cs="Times New Roman"/>
                <w:sz w:val="20"/>
                <w:szCs w:val="20"/>
                <w:lang w:val="ro-MD"/>
              </w:rPr>
              <w:t>7</w:t>
            </w:r>
          </w:p>
        </w:tc>
        <w:tc>
          <w:tcPr>
            <w:tcW w:w="607" w:type="pct"/>
            <w:shd w:val="clear" w:color="000000" w:fill="FFFFFF"/>
            <w:noWrap/>
            <w:vAlign w:val="center"/>
            <w:hideMark/>
          </w:tcPr>
          <w:p w14:paraId="2C4F2AAD"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107,</w:t>
            </w:r>
            <w:r w:rsidR="00775DBA" w:rsidRPr="00DD5F1D">
              <w:rPr>
                <w:rFonts w:ascii="Times New Roman" w:eastAsia="Times New Roman" w:hAnsi="Times New Roman" w:cs="Times New Roman"/>
                <w:sz w:val="20"/>
                <w:szCs w:val="20"/>
                <w:lang w:val="ro-MD"/>
              </w:rPr>
              <w:t>1</w:t>
            </w:r>
          </w:p>
        </w:tc>
      </w:tr>
      <w:tr w:rsidR="000D40B3" w:rsidRPr="00DD5F1D" w14:paraId="7E46CBCD" w14:textId="77777777" w:rsidTr="00FF7F7E">
        <w:trPr>
          <w:trHeight w:val="20"/>
        </w:trPr>
        <w:tc>
          <w:tcPr>
            <w:tcW w:w="1256" w:type="pct"/>
            <w:shd w:val="clear" w:color="000000" w:fill="FFFFFF"/>
            <w:vAlign w:val="center"/>
            <w:hideMark/>
          </w:tcPr>
          <w:p w14:paraId="4A442B33" w14:textId="77777777" w:rsidR="00775DBA" w:rsidRPr="00DD5F1D" w:rsidRDefault="00775DBA" w:rsidP="00123FCF">
            <w:pPr>
              <w:spacing w:after="0" w:line="240" w:lineRule="auto"/>
              <w:jc w:val="both"/>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 xml:space="preserve">Ponderea transferurilor cu destinație specială în total transferuri </w:t>
            </w:r>
          </w:p>
        </w:tc>
        <w:tc>
          <w:tcPr>
            <w:tcW w:w="301" w:type="pct"/>
            <w:shd w:val="clear" w:color="000000" w:fill="FFFFFF"/>
            <w:vAlign w:val="center"/>
            <w:hideMark/>
          </w:tcPr>
          <w:p w14:paraId="343A0E15" w14:textId="77777777" w:rsidR="00775DBA" w:rsidRPr="00DD5F1D" w:rsidRDefault="00775DBA" w:rsidP="00636C42">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 </w:t>
            </w:r>
          </w:p>
        </w:tc>
        <w:tc>
          <w:tcPr>
            <w:tcW w:w="502" w:type="pct"/>
            <w:shd w:val="clear" w:color="000000" w:fill="FFFFFF"/>
            <w:vAlign w:val="center"/>
            <w:hideMark/>
          </w:tcPr>
          <w:p w14:paraId="323B0B34"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64,</w:t>
            </w:r>
            <w:r w:rsidR="00775DBA" w:rsidRPr="00DD5F1D">
              <w:rPr>
                <w:rFonts w:ascii="Times New Roman" w:eastAsia="Times New Roman" w:hAnsi="Times New Roman" w:cs="Times New Roman"/>
                <w:sz w:val="20"/>
                <w:szCs w:val="20"/>
                <w:lang w:val="ro-MD"/>
              </w:rPr>
              <w:t>09</w:t>
            </w:r>
          </w:p>
        </w:tc>
        <w:tc>
          <w:tcPr>
            <w:tcW w:w="594" w:type="pct"/>
            <w:shd w:val="clear" w:color="000000" w:fill="FFFFFF"/>
            <w:vAlign w:val="center"/>
            <w:hideMark/>
          </w:tcPr>
          <w:p w14:paraId="1E299FFC"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66,</w:t>
            </w:r>
            <w:r w:rsidR="00775DBA" w:rsidRPr="00DD5F1D">
              <w:rPr>
                <w:rFonts w:ascii="Times New Roman" w:eastAsia="Times New Roman" w:hAnsi="Times New Roman" w:cs="Times New Roman"/>
                <w:sz w:val="20"/>
                <w:szCs w:val="20"/>
                <w:lang w:val="ro-MD"/>
              </w:rPr>
              <w:t>38</w:t>
            </w:r>
          </w:p>
        </w:tc>
        <w:tc>
          <w:tcPr>
            <w:tcW w:w="531" w:type="pct"/>
            <w:shd w:val="clear" w:color="000000" w:fill="FFFFFF"/>
            <w:vAlign w:val="center"/>
            <w:hideMark/>
          </w:tcPr>
          <w:p w14:paraId="3DEB5512"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67,</w:t>
            </w:r>
            <w:r w:rsidR="00775DBA" w:rsidRPr="00DD5F1D">
              <w:rPr>
                <w:rFonts w:ascii="Times New Roman" w:eastAsia="Times New Roman" w:hAnsi="Times New Roman" w:cs="Times New Roman"/>
                <w:sz w:val="20"/>
                <w:szCs w:val="20"/>
                <w:lang w:val="ro-MD"/>
              </w:rPr>
              <w:t>19</w:t>
            </w:r>
          </w:p>
        </w:tc>
        <w:tc>
          <w:tcPr>
            <w:tcW w:w="697" w:type="pct"/>
            <w:shd w:val="clear" w:color="000000" w:fill="FFFFFF"/>
            <w:vAlign w:val="center"/>
            <w:hideMark/>
          </w:tcPr>
          <w:p w14:paraId="082B7B2B"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70,</w:t>
            </w:r>
            <w:r w:rsidR="00775DBA" w:rsidRPr="00DD5F1D">
              <w:rPr>
                <w:rFonts w:ascii="Times New Roman" w:eastAsia="Times New Roman" w:hAnsi="Times New Roman" w:cs="Times New Roman"/>
                <w:sz w:val="20"/>
                <w:szCs w:val="20"/>
                <w:lang w:val="ro-MD"/>
              </w:rPr>
              <w:t>03</w:t>
            </w:r>
          </w:p>
        </w:tc>
        <w:tc>
          <w:tcPr>
            <w:tcW w:w="512" w:type="pct"/>
            <w:shd w:val="clear" w:color="000000" w:fill="FFFFFF"/>
            <w:vAlign w:val="center"/>
            <w:hideMark/>
          </w:tcPr>
          <w:p w14:paraId="0720DC1E"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42,</w:t>
            </w:r>
            <w:r w:rsidR="00775DBA" w:rsidRPr="00DD5F1D">
              <w:rPr>
                <w:rFonts w:ascii="Times New Roman" w:eastAsia="Times New Roman" w:hAnsi="Times New Roman" w:cs="Times New Roman"/>
                <w:sz w:val="20"/>
                <w:szCs w:val="20"/>
                <w:lang w:val="ro-MD"/>
              </w:rPr>
              <w:t>72</w:t>
            </w:r>
          </w:p>
        </w:tc>
        <w:tc>
          <w:tcPr>
            <w:tcW w:w="607" w:type="pct"/>
            <w:shd w:val="clear" w:color="000000" w:fill="FFFFFF"/>
            <w:vAlign w:val="center"/>
            <w:hideMark/>
          </w:tcPr>
          <w:p w14:paraId="12A926EB" w14:textId="77777777" w:rsidR="00775DBA" w:rsidRPr="00DD5F1D" w:rsidRDefault="00775DBA"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X</w:t>
            </w:r>
          </w:p>
        </w:tc>
      </w:tr>
      <w:tr w:rsidR="000D40B3" w:rsidRPr="00DD5F1D" w14:paraId="6FD7EFFD" w14:textId="77777777" w:rsidTr="00FF7F7E">
        <w:trPr>
          <w:trHeight w:val="20"/>
        </w:trPr>
        <w:tc>
          <w:tcPr>
            <w:tcW w:w="1256" w:type="pct"/>
            <w:shd w:val="clear" w:color="000000" w:fill="FFFFFF"/>
            <w:vAlign w:val="center"/>
            <w:hideMark/>
          </w:tcPr>
          <w:p w14:paraId="7D056DC8" w14:textId="77777777" w:rsidR="00775DBA" w:rsidRPr="00DD5F1D" w:rsidRDefault="00775DBA" w:rsidP="00123FCF">
            <w:pPr>
              <w:spacing w:after="0" w:line="240" w:lineRule="auto"/>
              <w:jc w:val="both"/>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Transferuri curente primite cu destinație generală între bugetul de stat și bugetul asigurărilor sociale de stat</w:t>
            </w:r>
          </w:p>
        </w:tc>
        <w:tc>
          <w:tcPr>
            <w:tcW w:w="301" w:type="pct"/>
            <w:shd w:val="clear" w:color="000000" w:fill="FFFFFF"/>
            <w:vAlign w:val="center"/>
            <w:hideMark/>
          </w:tcPr>
          <w:p w14:paraId="54518AAA" w14:textId="77777777" w:rsidR="00775DBA" w:rsidRPr="00DD5F1D" w:rsidRDefault="00775DBA" w:rsidP="00636C42">
            <w:pPr>
              <w:spacing w:after="0" w:line="240" w:lineRule="auto"/>
              <w:jc w:val="right"/>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192130</w:t>
            </w:r>
          </w:p>
        </w:tc>
        <w:tc>
          <w:tcPr>
            <w:tcW w:w="502" w:type="pct"/>
            <w:shd w:val="clear" w:color="000000" w:fill="FFFFFF"/>
            <w:vAlign w:val="center"/>
            <w:hideMark/>
          </w:tcPr>
          <w:p w14:paraId="57418315"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6166426,</w:t>
            </w:r>
            <w:r w:rsidR="00775DBA" w:rsidRPr="00DD5F1D">
              <w:rPr>
                <w:rFonts w:ascii="Times New Roman" w:eastAsia="Times New Roman" w:hAnsi="Times New Roman" w:cs="Times New Roman"/>
                <w:sz w:val="20"/>
                <w:szCs w:val="20"/>
                <w:lang w:val="ro-MD"/>
              </w:rPr>
              <w:t>9</w:t>
            </w:r>
          </w:p>
        </w:tc>
        <w:tc>
          <w:tcPr>
            <w:tcW w:w="594" w:type="pct"/>
            <w:shd w:val="clear" w:color="000000" w:fill="FFFFFF"/>
            <w:vAlign w:val="center"/>
            <w:hideMark/>
          </w:tcPr>
          <w:p w14:paraId="074EA8FB"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5657926,</w:t>
            </w:r>
            <w:r w:rsidR="00775DBA" w:rsidRPr="00DD5F1D">
              <w:rPr>
                <w:rFonts w:ascii="Times New Roman" w:eastAsia="Times New Roman" w:hAnsi="Times New Roman" w:cs="Times New Roman"/>
                <w:sz w:val="20"/>
                <w:szCs w:val="20"/>
                <w:lang w:val="ro-MD"/>
              </w:rPr>
              <w:t>9</w:t>
            </w:r>
          </w:p>
        </w:tc>
        <w:tc>
          <w:tcPr>
            <w:tcW w:w="531" w:type="pct"/>
            <w:shd w:val="clear" w:color="000000" w:fill="FFFFFF"/>
            <w:vAlign w:val="center"/>
            <w:hideMark/>
          </w:tcPr>
          <w:p w14:paraId="6FB54B52"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5417926,</w:t>
            </w:r>
            <w:r w:rsidR="00775DBA" w:rsidRPr="00DD5F1D">
              <w:rPr>
                <w:rFonts w:ascii="Times New Roman" w:eastAsia="Times New Roman" w:hAnsi="Times New Roman" w:cs="Times New Roman"/>
                <w:sz w:val="20"/>
                <w:szCs w:val="20"/>
                <w:lang w:val="ro-MD"/>
              </w:rPr>
              <w:t>9</w:t>
            </w:r>
          </w:p>
        </w:tc>
        <w:tc>
          <w:tcPr>
            <w:tcW w:w="697" w:type="pct"/>
            <w:shd w:val="clear" w:color="000000" w:fill="FFFFFF"/>
            <w:vAlign w:val="center"/>
            <w:hideMark/>
          </w:tcPr>
          <w:p w14:paraId="19177417"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4434126,</w:t>
            </w:r>
            <w:r w:rsidR="00775DBA" w:rsidRPr="00DD5F1D">
              <w:rPr>
                <w:rFonts w:ascii="Times New Roman" w:eastAsia="Times New Roman" w:hAnsi="Times New Roman" w:cs="Times New Roman"/>
                <w:sz w:val="20"/>
                <w:szCs w:val="20"/>
                <w:lang w:val="ro-MD"/>
              </w:rPr>
              <w:t>7</w:t>
            </w:r>
          </w:p>
        </w:tc>
        <w:tc>
          <w:tcPr>
            <w:tcW w:w="512" w:type="pct"/>
            <w:shd w:val="clear" w:color="000000" w:fill="FFFFFF"/>
            <w:noWrap/>
            <w:vAlign w:val="center"/>
            <w:hideMark/>
          </w:tcPr>
          <w:p w14:paraId="33CD4E07"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-983800,</w:t>
            </w:r>
            <w:r w:rsidR="00775DBA" w:rsidRPr="00DD5F1D">
              <w:rPr>
                <w:rFonts w:ascii="Times New Roman" w:eastAsia="Times New Roman" w:hAnsi="Times New Roman" w:cs="Times New Roman"/>
                <w:sz w:val="20"/>
                <w:szCs w:val="20"/>
                <w:lang w:val="ro-MD"/>
              </w:rPr>
              <w:t>2</w:t>
            </w:r>
          </w:p>
        </w:tc>
        <w:tc>
          <w:tcPr>
            <w:tcW w:w="607" w:type="pct"/>
            <w:shd w:val="clear" w:color="000000" w:fill="FFFFFF"/>
            <w:noWrap/>
            <w:vAlign w:val="center"/>
            <w:hideMark/>
          </w:tcPr>
          <w:p w14:paraId="66373ACE"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122,</w:t>
            </w:r>
            <w:r w:rsidR="00775DBA" w:rsidRPr="00DD5F1D">
              <w:rPr>
                <w:rFonts w:ascii="Times New Roman" w:eastAsia="Times New Roman" w:hAnsi="Times New Roman" w:cs="Times New Roman"/>
                <w:sz w:val="20"/>
                <w:szCs w:val="20"/>
                <w:lang w:val="ro-MD"/>
              </w:rPr>
              <w:t>2</w:t>
            </w:r>
          </w:p>
        </w:tc>
      </w:tr>
      <w:tr w:rsidR="00775DBA" w:rsidRPr="00DD5F1D" w14:paraId="6895DEE7" w14:textId="77777777" w:rsidTr="00FF7F7E">
        <w:trPr>
          <w:trHeight w:val="20"/>
        </w:trPr>
        <w:tc>
          <w:tcPr>
            <w:tcW w:w="1256" w:type="pct"/>
            <w:shd w:val="clear" w:color="000000" w:fill="FFFFFF"/>
            <w:vAlign w:val="center"/>
            <w:hideMark/>
          </w:tcPr>
          <w:p w14:paraId="4A1EA01D" w14:textId="77777777" w:rsidR="00775DBA" w:rsidRPr="00DD5F1D" w:rsidRDefault="00775DBA" w:rsidP="00123FCF">
            <w:pPr>
              <w:spacing w:after="0" w:line="240" w:lineRule="auto"/>
              <w:jc w:val="both"/>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Ponderea transferurilor cu destinație generală în total transferuri</w:t>
            </w:r>
          </w:p>
        </w:tc>
        <w:tc>
          <w:tcPr>
            <w:tcW w:w="301" w:type="pct"/>
            <w:shd w:val="clear" w:color="000000" w:fill="FFFFFF"/>
            <w:noWrap/>
            <w:vAlign w:val="center"/>
            <w:hideMark/>
          </w:tcPr>
          <w:p w14:paraId="13F16542" w14:textId="77777777" w:rsidR="00775DBA" w:rsidRPr="00DD5F1D" w:rsidRDefault="00775DBA" w:rsidP="00636C42">
            <w:pPr>
              <w:spacing w:after="0" w:line="240" w:lineRule="auto"/>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 </w:t>
            </w:r>
          </w:p>
        </w:tc>
        <w:tc>
          <w:tcPr>
            <w:tcW w:w="502" w:type="pct"/>
            <w:shd w:val="clear" w:color="000000" w:fill="FFFFFF"/>
            <w:noWrap/>
            <w:vAlign w:val="center"/>
            <w:hideMark/>
          </w:tcPr>
          <w:p w14:paraId="2EC65DF5"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35,</w:t>
            </w:r>
            <w:r w:rsidR="00571A46" w:rsidRPr="00DD5F1D">
              <w:rPr>
                <w:rFonts w:ascii="Times New Roman" w:eastAsia="Times New Roman" w:hAnsi="Times New Roman" w:cs="Times New Roman"/>
                <w:sz w:val="20"/>
                <w:szCs w:val="20"/>
                <w:lang w:val="ro-MD"/>
              </w:rPr>
              <w:t>9</w:t>
            </w:r>
          </w:p>
        </w:tc>
        <w:tc>
          <w:tcPr>
            <w:tcW w:w="594" w:type="pct"/>
            <w:shd w:val="clear" w:color="000000" w:fill="FFFFFF"/>
            <w:noWrap/>
            <w:vAlign w:val="center"/>
            <w:hideMark/>
          </w:tcPr>
          <w:p w14:paraId="0B0F56B3"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33,</w:t>
            </w:r>
            <w:r w:rsidR="00571A46" w:rsidRPr="00DD5F1D">
              <w:rPr>
                <w:rFonts w:ascii="Times New Roman" w:eastAsia="Times New Roman" w:hAnsi="Times New Roman" w:cs="Times New Roman"/>
                <w:sz w:val="20"/>
                <w:szCs w:val="20"/>
                <w:lang w:val="ro-MD"/>
              </w:rPr>
              <w:t>6</w:t>
            </w:r>
          </w:p>
        </w:tc>
        <w:tc>
          <w:tcPr>
            <w:tcW w:w="531" w:type="pct"/>
            <w:shd w:val="clear" w:color="000000" w:fill="FFFFFF"/>
            <w:noWrap/>
            <w:vAlign w:val="center"/>
            <w:hideMark/>
          </w:tcPr>
          <w:p w14:paraId="667DCA92"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32,</w:t>
            </w:r>
            <w:r w:rsidR="00571A46" w:rsidRPr="00DD5F1D">
              <w:rPr>
                <w:rFonts w:ascii="Times New Roman" w:eastAsia="Times New Roman" w:hAnsi="Times New Roman" w:cs="Times New Roman"/>
                <w:sz w:val="20"/>
                <w:szCs w:val="20"/>
                <w:lang w:val="ro-MD"/>
              </w:rPr>
              <w:t>8</w:t>
            </w:r>
          </w:p>
        </w:tc>
        <w:tc>
          <w:tcPr>
            <w:tcW w:w="697" w:type="pct"/>
            <w:shd w:val="clear" w:color="000000" w:fill="FFFFFF"/>
            <w:noWrap/>
            <w:vAlign w:val="center"/>
            <w:hideMark/>
          </w:tcPr>
          <w:p w14:paraId="02D13010"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29,</w:t>
            </w:r>
            <w:r w:rsidR="00571A46" w:rsidRPr="00DD5F1D">
              <w:rPr>
                <w:rFonts w:ascii="Times New Roman" w:eastAsia="Times New Roman" w:hAnsi="Times New Roman" w:cs="Times New Roman"/>
                <w:sz w:val="20"/>
                <w:szCs w:val="20"/>
                <w:lang w:val="ro-MD"/>
              </w:rPr>
              <w:t>9</w:t>
            </w:r>
          </w:p>
        </w:tc>
        <w:tc>
          <w:tcPr>
            <w:tcW w:w="512" w:type="pct"/>
            <w:shd w:val="clear" w:color="000000" w:fill="FFFFFF"/>
            <w:noWrap/>
            <w:vAlign w:val="center"/>
            <w:hideMark/>
          </w:tcPr>
          <w:p w14:paraId="2E2D944E" w14:textId="77777777" w:rsidR="00775DBA" w:rsidRPr="00DD5F1D" w:rsidRDefault="00123FCF"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57,</w:t>
            </w:r>
            <w:r w:rsidR="00571A46" w:rsidRPr="00DD5F1D">
              <w:rPr>
                <w:rFonts w:ascii="Times New Roman" w:eastAsia="Times New Roman" w:hAnsi="Times New Roman" w:cs="Times New Roman"/>
                <w:sz w:val="20"/>
                <w:szCs w:val="20"/>
                <w:lang w:val="ro-MD"/>
              </w:rPr>
              <w:t>2</w:t>
            </w:r>
          </w:p>
        </w:tc>
        <w:tc>
          <w:tcPr>
            <w:tcW w:w="607" w:type="pct"/>
            <w:shd w:val="clear" w:color="000000" w:fill="FFFFFF"/>
            <w:noWrap/>
            <w:vAlign w:val="center"/>
            <w:hideMark/>
          </w:tcPr>
          <w:p w14:paraId="259F3A8C" w14:textId="77777777" w:rsidR="00775DBA" w:rsidRPr="00DD5F1D" w:rsidRDefault="00775DBA" w:rsidP="00636C42">
            <w:pPr>
              <w:spacing w:after="0" w:line="240" w:lineRule="auto"/>
              <w:jc w:val="center"/>
              <w:rPr>
                <w:rFonts w:ascii="Times New Roman" w:eastAsia="Times New Roman" w:hAnsi="Times New Roman" w:cs="Times New Roman"/>
                <w:sz w:val="20"/>
                <w:szCs w:val="20"/>
                <w:lang w:val="ro-MD"/>
              </w:rPr>
            </w:pPr>
            <w:r w:rsidRPr="00DD5F1D">
              <w:rPr>
                <w:rFonts w:ascii="Times New Roman" w:eastAsia="Times New Roman" w:hAnsi="Times New Roman" w:cs="Times New Roman"/>
                <w:sz w:val="20"/>
                <w:szCs w:val="20"/>
                <w:lang w:val="ro-MD"/>
              </w:rPr>
              <w:t>X</w:t>
            </w:r>
          </w:p>
        </w:tc>
      </w:tr>
    </w:tbl>
    <w:p w14:paraId="58954026" w14:textId="77777777" w:rsidR="00775DBA" w:rsidRPr="00DD5F1D" w:rsidRDefault="00775DBA" w:rsidP="00775DBA">
      <w:pPr>
        <w:rPr>
          <w:rFonts w:ascii="Times New Roman" w:eastAsia="Times New Roman" w:hAnsi="Times New Roman" w:cs="Times New Roman"/>
          <w:bCs/>
          <w:i/>
          <w:iCs/>
          <w:szCs w:val="20"/>
          <w:lang w:val="ro-MD"/>
        </w:rPr>
      </w:pPr>
      <w:r w:rsidRPr="00DD5F1D">
        <w:rPr>
          <w:rFonts w:ascii="Times New Roman" w:eastAsia="Times New Roman" w:hAnsi="Times New Roman" w:cs="Times New Roman"/>
          <w:b/>
          <w:bCs/>
          <w:i/>
          <w:iCs/>
          <w:szCs w:val="20"/>
          <w:lang w:val="ro-MD"/>
        </w:rPr>
        <w:t>Sursă</w:t>
      </w:r>
      <w:r w:rsidRPr="00DD5F1D">
        <w:rPr>
          <w:rFonts w:ascii="Times New Roman" w:eastAsia="Times New Roman" w:hAnsi="Times New Roman" w:cs="Times New Roman"/>
          <w:bCs/>
          <w:i/>
          <w:iCs/>
          <w:szCs w:val="20"/>
          <w:lang w:val="ro-MD"/>
        </w:rPr>
        <w:t>: Rapoartele privind executarea bugetului asigurărilor sociale de stat pentru anii 2022-2023.</w:t>
      </w:r>
    </w:p>
    <w:p w14:paraId="70CAD1C9" w14:textId="77777777" w:rsidR="00775DBA" w:rsidRPr="00DD5F1D" w:rsidRDefault="00775DBA" w:rsidP="00775DBA">
      <w:pPr>
        <w:pStyle w:val="2"/>
        <w:rPr>
          <w:rFonts w:ascii="Times New Roman" w:eastAsia="Times New Roman" w:hAnsi="Times New Roman" w:cs="Times New Roman"/>
          <w:bCs/>
          <w:i/>
          <w:iCs/>
          <w:color w:val="auto"/>
          <w:sz w:val="22"/>
          <w:szCs w:val="20"/>
          <w:lang w:val="ro-MD"/>
        </w:rPr>
        <w:sectPr w:rsidR="00775DBA" w:rsidRPr="00DD5F1D" w:rsidSect="00084F96">
          <w:pgSz w:w="15840" w:h="12240" w:orient="landscape"/>
          <w:pgMar w:top="1355" w:right="1140" w:bottom="851" w:left="1140" w:header="720" w:footer="720" w:gutter="0"/>
          <w:cols w:space="720"/>
          <w:docGrid w:linePitch="360"/>
        </w:sectPr>
      </w:pPr>
    </w:p>
    <w:p w14:paraId="2FDF0003" w14:textId="77777777" w:rsidR="00775DBA" w:rsidRPr="00DD5F1D" w:rsidRDefault="00571A46" w:rsidP="00775DBA">
      <w:pPr>
        <w:tabs>
          <w:tab w:val="left" w:pos="162"/>
        </w:tabs>
        <w:spacing w:after="0" w:line="276" w:lineRule="auto"/>
        <w:jc w:val="right"/>
        <w:outlineLvl w:val="1"/>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 xml:space="preserve">Anexa nr. </w:t>
      </w:r>
      <w:r w:rsidR="000E2AC7" w:rsidRPr="00DD5F1D">
        <w:rPr>
          <w:rFonts w:ascii="Times New Roman" w:eastAsia="Times New Roman" w:hAnsi="Times New Roman" w:cs="Times New Roman"/>
          <w:b/>
          <w:sz w:val="24"/>
          <w:szCs w:val="24"/>
          <w:lang w:val="ro-MD"/>
        </w:rPr>
        <w:t>21</w:t>
      </w:r>
    </w:p>
    <w:p w14:paraId="19102D76" w14:textId="77777777" w:rsidR="00775DBA" w:rsidRPr="00DD5F1D" w:rsidRDefault="00775DBA" w:rsidP="00775DBA">
      <w:pPr>
        <w:widowControl w:val="0"/>
        <w:spacing w:after="0" w:line="276" w:lineRule="auto"/>
        <w:jc w:val="center"/>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 xml:space="preserve">Cheltuielile bugetului asigurărilor sociale de stat în anul 2023 </w:t>
      </w:r>
    </w:p>
    <w:p w14:paraId="1CACCE74" w14:textId="77777777" w:rsidR="00775DBA" w:rsidRPr="00DD5F1D" w:rsidRDefault="00775DBA" w:rsidP="00775DBA">
      <w:pPr>
        <w:widowControl w:val="0"/>
        <w:spacing w:after="0" w:line="276" w:lineRule="auto"/>
        <w:jc w:val="right"/>
        <w:rPr>
          <w:rFonts w:ascii="Times New Roman" w:eastAsia="Times New Roman" w:hAnsi="Times New Roman" w:cs="Times New Roman"/>
          <w:b/>
          <w:i/>
          <w:sz w:val="20"/>
          <w:szCs w:val="20"/>
          <w:lang w:val="ro-MD"/>
        </w:rPr>
      </w:pPr>
      <w:r w:rsidRPr="00DD5F1D">
        <w:rPr>
          <w:rFonts w:ascii="Times New Roman" w:eastAsia="Times New Roman" w:hAnsi="Times New Roman" w:cs="Times New Roman"/>
          <w:b/>
          <w:i/>
          <w:sz w:val="20"/>
          <w:szCs w:val="20"/>
          <w:lang w:val="ro-MD"/>
        </w:rPr>
        <w:t>(mil. 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745"/>
        <w:gridCol w:w="1220"/>
        <w:gridCol w:w="1379"/>
        <w:gridCol w:w="1379"/>
        <w:gridCol w:w="1382"/>
        <w:gridCol w:w="1379"/>
        <w:gridCol w:w="1182"/>
        <w:gridCol w:w="1182"/>
        <w:gridCol w:w="1149"/>
        <w:gridCol w:w="989"/>
      </w:tblGrid>
      <w:tr w:rsidR="00775DBA" w:rsidRPr="00DD5F1D" w14:paraId="0E86AA9E" w14:textId="77777777" w:rsidTr="00CF4DFD">
        <w:trPr>
          <w:trHeight w:val="20"/>
        </w:trPr>
        <w:tc>
          <w:tcPr>
            <w:tcW w:w="577" w:type="pct"/>
            <w:vMerge w:val="restart"/>
            <w:shd w:val="clear" w:color="auto" w:fill="auto"/>
            <w:vAlign w:val="center"/>
            <w:hideMark/>
          </w:tcPr>
          <w:p w14:paraId="2C78EFAA"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Indicatorii</w:t>
            </w:r>
          </w:p>
        </w:tc>
        <w:tc>
          <w:tcPr>
            <w:tcW w:w="275" w:type="pct"/>
            <w:shd w:val="clear" w:color="auto" w:fill="auto"/>
            <w:vAlign w:val="center"/>
            <w:hideMark/>
          </w:tcPr>
          <w:p w14:paraId="368F1716"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Cod</w:t>
            </w:r>
          </w:p>
        </w:tc>
        <w:tc>
          <w:tcPr>
            <w:tcW w:w="2486" w:type="pct"/>
            <w:gridSpan w:val="5"/>
            <w:shd w:val="clear" w:color="auto" w:fill="auto"/>
            <w:vAlign w:val="center"/>
            <w:hideMark/>
          </w:tcPr>
          <w:p w14:paraId="2A758807"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2023</w:t>
            </w:r>
          </w:p>
        </w:tc>
        <w:tc>
          <w:tcPr>
            <w:tcW w:w="1661" w:type="pct"/>
            <w:gridSpan w:val="4"/>
            <w:shd w:val="clear" w:color="auto" w:fill="auto"/>
            <w:vAlign w:val="center"/>
            <w:hideMark/>
          </w:tcPr>
          <w:p w14:paraId="79F030A2"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Devieri</w:t>
            </w:r>
          </w:p>
        </w:tc>
      </w:tr>
      <w:tr w:rsidR="00775DBA" w:rsidRPr="00DD5F1D" w14:paraId="6BCB8B27" w14:textId="77777777" w:rsidTr="00CF4DFD">
        <w:trPr>
          <w:trHeight w:val="20"/>
        </w:trPr>
        <w:tc>
          <w:tcPr>
            <w:tcW w:w="577" w:type="pct"/>
            <w:vMerge/>
            <w:shd w:val="clear" w:color="auto" w:fill="auto"/>
            <w:vAlign w:val="center"/>
            <w:hideMark/>
          </w:tcPr>
          <w:p w14:paraId="5F4C3B4D"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p>
        </w:tc>
        <w:tc>
          <w:tcPr>
            <w:tcW w:w="275" w:type="pct"/>
            <w:vMerge w:val="restart"/>
            <w:shd w:val="clear" w:color="auto" w:fill="auto"/>
            <w:vAlign w:val="center"/>
            <w:hideMark/>
          </w:tcPr>
          <w:p w14:paraId="0A8BD2E4"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Eco</w:t>
            </w:r>
          </w:p>
        </w:tc>
        <w:tc>
          <w:tcPr>
            <w:tcW w:w="450" w:type="pct"/>
            <w:vMerge w:val="restart"/>
            <w:shd w:val="clear" w:color="auto" w:fill="auto"/>
            <w:vAlign w:val="center"/>
            <w:hideMark/>
          </w:tcPr>
          <w:p w14:paraId="3126271B"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aprobat</w:t>
            </w:r>
          </w:p>
        </w:tc>
        <w:tc>
          <w:tcPr>
            <w:tcW w:w="509" w:type="pct"/>
            <w:vMerge w:val="restart"/>
            <w:shd w:val="clear" w:color="auto" w:fill="auto"/>
            <w:vAlign w:val="center"/>
            <w:hideMark/>
          </w:tcPr>
          <w:p w14:paraId="1FB70C14"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precizat</w:t>
            </w:r>
          </w:p>
        </w:tc>
        <w:tc>
          <w:tcPr>
            <w:tcW w:w="509" w:type="pct"/>
            <w:vMerge w:val="restart"/>
            <w:shd w:val="clear" w:color="auto" w:fill="auto"/>
            <w:vAlign w:val="center"/>
            <w:hideMark/>
          </w:tcPr>
          <w:p w14:paraId="4C5729DD"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executat</w:t>
            </w:r>
          </w:p>
        </w:tc>
        <w:tc>
          <w:tcPr>
            <w:tcW w:w="510" w:type="pct"/>
            <w:vMerge w:val="restart"/>
            <w:shd w:val="clear" w:color="auto" w:fill="auto"/>
            <w:vAlign w:val="center"/>
            <w:hideMark/>
          </w:tcPr>
          <w:p w14:paraId="46EDF1E1"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efectiv</w:t>
            </w:r>
          </w:p>
        </w:tc>
        <w:tc>
          <w:tcPr>
            <w:tcW w:w="509" w:type="pct"/>
            <w:vMerge w:val="restart"/>
            <w:shd w:val="clear" w:color="auto" w:fill="auto"/>
            <w:vAlign w:val="center"/>
            <w:hideMark/>
          </w:tcPr>
          <w:p w14:paraId="3165227A"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Ponderea în suma</w:t>
            </w:r>
          </w:p>
          <w:p w14:paraId="0FE85EB7"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totală</w:t>
            </w:r>
          </w:p>
          <w:p w14:paraId="60865564"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872" w:type="pct"/>
            <w:gridSpan w:val="2"/>
            <w:shd w:val="clear" w:color="auto" w:fill="auto"/>
            <w:vAlign w:val="center"/>
            <w:hideMark/>
          </w:tcPr>
          <w:p w14:paraId="1C86BF09"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executat față de precizat</w:t>
            </w:r>
          </w:p>
        </w:tc>
        <w:tc>
          <w:tcPr>
            <w:tcW w:w="789" w:type="pct"/>
            <w:gridSpan w:val="2"/>
            <w:shd w:val="clear" w:color="auto" w:fill="auto"/>
            <w:vAlign w:val="center"/>
            <w:hideMark/>
          </w:tcPr>
          <w:p w14:paraId="785B90B6"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efectiv față de precizat</w:t>
            </w:r>
          </w:p>
        </w:tc>
      </w:tr>
      <w:tr w:rsidR="000D40B3" w:rsidRPr="00DD5F1D" w14:paraId="487D3E25" w14:textId="77777777" w:rsidTr="00CF4DFD">
        <w:trPr>
          <w:trHeight w:val="20"/>
        </w:trPr>
        <w:tc>
          <w:tcPr>
            <w:tcW w:w="577" w:type="pct"/>
            <w:vMerge/>
            <w:shd w:val="clear" w:color="auto" w:fill="auto"/>
            <w:vAlign w:val="center"/>
            <w:hideMark/>
          </w:tcPr>
          <w:p w14:paraId="7AA64CE1"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p>
        </w:tc>
        <w:tc>
          <w:tcPr>
            <w:tcW w:w="275" w:type="pct"/>
            <w:vMerge/>
            <w:shd w:val="clear" w:color="auto" w:fill="auto"/>
            <w:vAlign w:val="center"/>
            <w:hideMark/>
          </w:tcPr>
          <w:p w14:paraId="58E03B5D"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p>
        </w:tc>
        <w:tc>
          <w:tcPr>
            <w:tcW w:w="450" w:type="pct"/>
            <w:vMerge/>
            <w:shd w:val="clear" w:color="auto" w:fill="auto"/>
            <w:vAlign w:val="center"/>
            <w:hideMark/>
          </w:tcPr>
          <w:p w14:paraId="2D5240B8"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p>
        </w:tc>
        <w:tc>
          <w:tcPr>
            <w:tcW w:w="509" w:type="pct"/>
            <w:vMerge/>
            <w:shd w:val="clear" w:color="auto" w:fill="auto"/>
            <w:vAlign w:val="center"/>
            <w:hideMark/>
          </w:tcPr>
          <w:p w14:paraId="478995D4"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p>
        </w:tc>
        <w:tc>
          <w:tcPr>
            <w:tcW w:w="509" w:type="pct"/>
            <w:vMerge/>
            <w:shd w:val="clear" w:color="auto" w:fill="auto"/>
            <w:vAlign w:val="center"/>
            <w:hideMark/>
          </w:tcPr>
          <w:p w14:paraId="0445CEB2"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p>
        </w:tc>
        <w:tc>
          <w:tcPr>
            <w:tcW w:w="510" w:type="pct"/>
            <w:vMerge/>
            <w:shd w:val="clear" w:color="auto" w:fill="auto"/>
            <w:vAlign w:val="center"/>
            <w:hideMark/>
          </w:tcPr>
          <w:p w14:paraId="05172CA1"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p>
        </w:tc>
        <w:tc>
          <w:tcPr>
            <w:tcW w:w="509" w:type="pct"/>
            <w:vMerge/>
            <w:shd w:val="clear" w:color="auto" w:fill="auto"/>
            <w:vAlign w:val="center"/>
            <w:hideMark/>
          </w:tcPr>
          <w:p w14:paraId="6517C52C"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p>
        </w:tc>
        <w:tc>
          <w:tcPr>
            <w:tcW w:w="436" w:type="pct"/>
            <w:shd w:val="clear" w:color="auto" w:fill="auto"/>
            <w:vAlign w:val="center"/>
            <w:hideMark/>
          </w:tcPr>
          <w:p w14:paraId="5BF41B06"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436" w:type="pct"/>
            <w:shd w:val="clear" w:color="auto" w:fill="auto"/>
            <w:vAlign w:val="center"/>
            <w:hideMark/>
          </w:tcPr>
          <w:p w14:paraId="3EBDA08D"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424" w:type="pct"/>
            <w:shd w:val="clear" w:color="auto" w:fill="auto"/>
            <w:vAlign w:val="center"/>
            <w:hideMark/>
          </w:tcPr>
          <w:p w14:paraId="0BC5263B"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c>
          <w:tcPr>
            <w:tcW w:w="365" w:type="pct"/>
            <w:shd w:val="clear" w:color="auto" w:fill="auto"/>
            <w:vAlign w:val="center"/>
            <w:hideMark/>
          </w:tcPr>
          <w:p w14:paraId="25585337" w14:textId="77777777" w:rsidR="00775DBA" w:rsidRPr="00DD5F1D" w:rsidRDefault="00775DBA" w:rsidP="00636C42">
            <w:pPr>
              <w:spacing w:after="0" w:line="240" w:lineRule="auto"/>
              <w:jc w:val="center"/>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w:t>
            </w:r>
          </w:p>
        </w:tc>
      </w:tr>
      <w:tr w:rsidR="000D40B3" w:rsidRPr="00DD5F1D" w14:paraId="0469F382" w14:textId="77777777" w:rsidTr="00CF4DFD">
        <w:trPr>
          <w:trHeight w:val="20"/>
        </w:trPr>
        <w:tc>
          <w:tcPr>
            <w:tcW w:w="577" w:type="pct"/>
            <w:shd w:val="clear" w:color="auto" w:fill="auto"/>
            <w:vAlign w:val="center"/>
            <w:hideMark/>
          </w:tcPr>
          <w:p w14:paraId="07C5F121"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Ab</w:t>
            </w:r>
          </w:p>
        </w:tc>
        <w:tc>
          <w:tcPr>
            <w:tcW w:w="275" w:type="pct"/>
            <w:shd w:val="clear" w:color="auto" w:fill="auto"/>
            <w:vAlign w:val="center"/>
            <w:hideMark/>
          </w:tcPr>
          <w:p w14:paraId="4FC030BD"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w:t>
            </w:r>
          </w:p>
        </w:tc>
        <w:tc>
          <w:tcPr>
            <w:tcW w:w="450" w:type="pct"/>
            <w:shd w:val="clear" w:color="auto" w:fill="auto"/>
            <w:vAlign w:val="center"/>
            <w:hideMark/>
          </w:tcPr>
          <w:p w14:paraId="1B1AB3E1"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w:t>
            </w:r>
          </w:p>
        </w:tc>
        <w:tc>
          <w:tcPr>
            <w:tcW w:w="509" w:type="pct"/>
            <w:shd w:val="clear" w:color="auto" w:fill="auto"/>
            <w:vAlign w:val="center"/>
            <w:hideMark/>
          </w:tcPr>
          <w:p w14:paraId="6A7383D2"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3</w:t>
            </w:r>
          </w:p>
        </w:tc>
        <w:tc>
          <w:tcPr>
            <w:tcW w:w="509" w:type="pct"/>
            <w:shd w:val="clear" w:color="auto" w:fill="auto"/>
            <w:vAlign w:val="center"/>
            <w:hideMark/>
          </w:tcPr>
          <w:p w14:paraId="6C94FB42"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4</w:t>
            </w:r>
          </w:p>
        </w:tc>
        <w:tc>
          <w:tcPr>
            <w:tcW w:w="510" w:type="pct"/>
            <w:shd w:val="clear" w:color="auto" w:fill="auto"/>
            <w:vAlign w:val="center"/>
            <w:hideMark/>
          </w:tcPr>
          <w:p w14:paraId="2A78095D"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5</w:t>
            </w:r>
          </w:p>
        </w:tc>
        <w:tc>
          <w:tcPr>
            <w:tcW w:w="509" w:type="pct"/>
            <w:shd w:val="clear" w:color="auto" w:fill="auto"/>
            <w:vAlign w:val="center"/>
            <w:hideMark/>
          </w:tcPr>
          <w:p w14:paraId="5A0C0E53"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6</w:t>
            </w:r>
          </w:p>
        </w:tc>
        <w:tc>
          <w:tcPr>
            <w:tcW w:w="436" w:type="pct"/>
            <w:shd w:val="clear" w:color="auto" w:fill="auto"/>
            <w:vAlign w:val="center"/>
            <w:hideMark/>
          </w:tcPr>
          <w:p w14:paraId="1B8E6251"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7</w:t>
            </w:r>
          </w:p>
        </w:tc>
        <w:tc>
          <w:tcPr>
            <w:tcW w:w="436" w:type="pct"/>
            <w:shd w:val="clear" w:color="auto" w:fill="auto"/>
            <w:vAlign w:val="center"/>
            <w:hideMark/>
          </w:tcPr>
          <w:p w14:paraId="405E80F0"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8</w:t>
            </w:r>
          </w:p>
        </w:tc>
        <w:tc>
          <w:tcPr>
            <w:tcW w:w="424" w:type="pct"/>
            <w:shd w:val="clear" w:color="auto" w:fill="auto"/>
            <w:vAlign w:val="center"/>
            <w:hideMark/>
          </w:tcPr>
          <w:p w14:paraId="048543EB"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9</w:t>
            </w:r>
          </w:p>
        </w:tc>
        <w:tc>
          <w:tcPr>
            <w:tcW w:w="365" w:type="pct"/>
            <w:shd w:val="clear" w:color="auto" w:fill="auto"/>
            <w:vAlign w:val="center"/>
            <w:hideMark/>
          </w:tcPr>
          <w:p w14:paraId="078B41DA"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10</w:t>
            </w:r>
          </w:p>
        </w:tc>
      </w:tr>
      <w:tr w:rsidR="000D40B3" w:rsidRPr="00DD5F1D" w14:paraId="12B5C2FE" w14:textId="77777777" w:rsidTr="00CF4DFD">
        <w:trPr>
          <w:trHeight w:val="20"/>
        </w:trPr>
        <w:tc>
          <w:tcPr>
            <w:tcW w:w="577" w:type="pct"/>
            <w:shd w:val="clear" w:color="auto" w:fill="auto"/>
            <w:vAlign w:val="center"/>
            <w:hideMark/>
          </w:tcPr>
          <w:p w14:paraId="6FAF7540"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Cheltuieli,</w:t>
            </w:r>
            <w:r w:rsidRPr="00DD5F1D">
              <w:rPr>
                <w:rFonts w:ascii="Times New Roman" w:eastAsia="Times New Roman" w:hAnsi="Times New Roman" w:cs="Times New Roman"/>
                <w:sz w:val="18"/>
                <w:szCs w:val="18"/>
                <w:lang w:val="ro-MD"/>
              </w:rPr>
              <w:t xml:space="preserve"> </w:t>
            </w:r>
            <w:r w:rsidRPr="00DD5F1D">
              <w:rPr>
                <w:rFonts w:ascii="Times New Roman" w:eastAsia="Times New Roman" w:hAnsi="Times New Roman" w:cs="Times New Roman"/>
                <w:b/>
                <w:bCs/>
                <w:sz w:val="18"/>
                <w:szCs w:val="18"/>
                <w:lang w:val="ro-MD"/>
              </w:rPr>
              <w:t>total</w:t>
            </w:r>
          </w:p>
        </w:tc>
        <w:tc>
          <w:tcPr>
            <w:tcW w:w="275" w:type="pct"/>
            <w:shd w:val="clear" w:color="auto" w:fill="auto"/>
            <w:vAlign w:val="center"/>
            <w:hideMark/>
          </w:tcPr>
          <w:p w14:paraId="39320CD7" w14:textId="77777777" w:rsidR="00775DBA" w:rsidRPr="00DD5F1D" w:rsidRDefault="00775DBA" w:rsidP="00636C42">
            <w:pPr>
              <w:spacing w:after="0" w:line="240" w:lineRule="auto"/>
              <w:jc w:val="center"/>
              <w:rPr>
                <w:rFonts w:ascii="Times New Roman" w:eastAsia="Times New Roman" w:hAnsi="Times New Roman" w:cs="Times New Roman"/>
                <w:b/>
                <w:bCs/>
                <w:i/>
                <w:iCs/>
                <w:sz w:val="18"/>
                <w:szCs w:val="18"/>
                <w:lang w:val="ro-MD"/>
              </w:rPr>
            </w:pPr>
            <w:r w:rsidRPr="00DD5F1D">
              <w:rPr>
                <w:rFonts w:ascii="Times New Roman" w:eastAsia="Times New Roman" w:hAnsi="Times New Roman" w:cs="Times New Roman"/>
                <w:b/>
                <w:bCs/>
                <w:i/>
                <w:iCs/>
                <w:sz w:val="18"/>
                <w:szCs w:val="18"/>
                <w:lang w:val="ro-MD"/>
              </w:rPr>
              <w:t>2+3</w:t>
            </w:r>
          </w:p>
        </w:tc>
        <w:tc>
          <w:tcPr>
            <w:tcW w:w="450" w:type="pct"/>
            <w:shd w:val="clear" w:color="auto" w:fill="auto"/>
            <w:vAlign w:val="center"/>
            <w:hideMark/>
          </w:tcPr>
          <w:p w14:paraId="50235FDB" w14:textId="77777777" w:rsidR="00775DBA" w:rsidRPr="00DD5F1D" w:rsidRDefault="00775DBA" w:rsidP="00636C4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38735,6</w:t>
            </w:r>
          </w:p>
        </w:tc>
        <w:tc>
          <w:tcPr>
            <w:tcW w:w="509" w:type="pct"/>
            <w:shd w:val="clear" w:color="auto" w:fill="auto"/>
            <w:vAlign w:val="center"/>
            <w:hideMark/>
          </w:tcPr>
          <w:p w14:paraId="782146E5" w14:textId="77777777" w:rsidR="00775DBA" w:rsidRPr="00DD5F1D" w:rsidRDefault="00775DBA" w:rsidP="00636C4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38870,6</w:t>
            </w:r>
          </w:p>
        </w:tc>
        <w:tc>
          <w:tcPr>
            <w:tcW w:w="509" w:type="pct"/>
            <w:shd w:val="clear" w:color="auto" w:fill="auto"/>
            <w:vAlign w:val="center"/>
            <w:hideMark/>
          </w:tcPr>
          <w:p w14:paraId="2FA9C670" w14:textId="77777777" w:rsidR="00775DBA" w:rsidRPr="00DD5F1D" w:rsidRDefault="00775DBA" w:rsidP="00636C4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38524,7</w:t>
            </w:r>
          </w:p>
        </w:tc>
        <w:tc>
          <w:tcPr>
            <w:tcW w:w="510" w:type="pct"/>
            <w:shd w:val="clear" w:color="auto" w:fill="auto"/>
            <w:vAlign w:val="center"/>
            <w:hideMark/>
          </w:tcPr>
          <w:p w14:paraId="1F2E8B49" w14:textId="77777777" w:rsidR="00775DBA" w:rsidRPr="00DD5F1D" w:rsidRDefault="00775DBA" w:rsidP="00636C4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38591,1</w:t>
            </w:r>
          </w:p>
        </w:tc>
        <w:tc>
          <w:tcPr>
            <w:tcW w:w="509" w:type="pct"/>
            <w:shd w:val="clear" w:color="auto" w:fill="auto"/>
            <w:vAlign w:val="center"/>
            <w:hideMark/>
          </w:tcPr>
          <w:p w14:paraId="57A225C4" w14:textId="77777777" w:rsidR="00775DBA" w:rsidRPr="00DD5F1D" w:rsidRDefault="00775DBA" w:rsidP="00636C4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100.00</w:t>
            </w:r>
          </w:p>
        </w:tc>
        <w:tc>
          <w:tcPr>
            <w:tcW w:w="436" w:type="pct"/>
            <w:shd w:val="clear" w:color="auto" w:fill="auto"/>
            <w:vAlign w:val="center"/>
            <w:hideMark/>
          </w:tcPr>
          <w:p w14:paraId="028FBD87" w14:textId="77777777" w:rsidR="00775DBA" w:rsidRPr="00DD5F1D" w:rsidRDefault="00775DBA" w:rsidP="00636C4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-345,9</w:t>
            </w:r>
          </w:p>
        </w:tc>
        <w:tc>
          <w:tcPr>
            <w:tcW w:w="436" w:type="pct"/>
            <w:shd w:val="clear" w:color="auto" w:fill="auto"/>
            <w:vAlign w:val="center"/>
            <w:hideMark/>
          </w:tcPr>
          <w:p w14:paraId="5F66980B" w14:textId="77777777" w:rsidR="00775DBA" w:rsidRPr="00DD5F1D" w:rsidRDefault="00775DBA" w:rsidP="00636C4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99,11</w:t>
            </w:r>
          </w:p>
        </w:tc>
        <w:tc>
          <w:tcPr>
            <w:tcW w:w="424" w:type="pct"/>
            <w:shd w:val="clear" w:color="auto" w:fill="auto"/>
            <w:vAlign w:val="center"/>
            <w:hideMark/>
          </w:tcPr>
          <w:p w14:paraId="7DE3BA15" w14:textId="77777777" w:rsidR="00775DBA" w:rsidRPr="00DD5F1D" w:rsidRDefault="00775DBA" w:rsidP="00636C4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-279,5</w:t>
            </w:r>
          </w:p>
        </w:tc>
        <w:tc>
          <w:tcPr>
            <w:tcW w:w="365" w:type="pct"/>
            <w:shd w:val="clear" w:color="auto" w:fill="auto"/>
            <w:vAlign w:val="center"/>
            <w:hideMark/>
          </w:tcPr>
          <w:p w14:paraId="2466B18A" w14:textId="77777777" w:rsidR="00775DBA" w:rsidRPr="00DD5F1D" w:rsidRDefault="00775DBA" w:rsidP="00636C42">
            <w:pPr>
              <w:spacing w:after="0" w:line="240" w:lineRule="auto"/>
              <w:jc w:val="right"/>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99,28</w:t>
            </w:r>
          </w:p>
        </w:tc>
      </w:tr>
      <w:tr w:rsidR="000D40B3" w:rsidRPr="00DD5F1D" w14:paraId="07DFCC7A" w14:textId="77777777" w:rsidTr="00CF4DFD">
        <w:trPr>
          <w:trHeight w:val="20"/>
        </w:trPr>
        <w:tc>
          <w:tcPr>
            <w:tcW w:w="577" w:type="pct"/>
            <w:shd w:val="clear" w:color="auto" w:fill="auto"/>
            <w:vAlign w:val="center"/>
            <w:hideMark/>
          </w:tcPr>
          <w:p w14:paraId="6206452A" w14:textId="77777777" w:rsidR="00775DBA" w:rsidRPr="00DD5F1D" w:rsidRDefault="00775DBA" w:rsidP="00636C42">
            <w:pPr>
              <w:spacing w:after="0" w:line="240" w:lineRule="auto"/>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Cheltuieli</w:t>
            </w:r>
          </w:p>
        </w:tc>
        <w:tc>
          <w:tcPr>
            <w:tcW w:w="275" w:type="pct"/>
            <w:shd w:val="clear" w:color="auto" w:fill="auto"/>
            <w:vAlign w:val="center"/>
            <w:hideMark/>
          </w:tcPr>
          <w:p w14:paraId="2598539F"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w:t>
            </w:r>
          </w:p>
        </w:tc>
        <w:tc>
          <w:tcPr>
            <w:tcW w:w="450" w:type="pct"/>
            <w:shd w:val="clear" w:color="auto" w:fill="auto"/>
            <w:vAlign w:val="center"/>
            <w:hideMark/>
          </w:tcPr>
          <w:p w14:paraId="5FCCBBCC"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38713,8</w:t>
            </w:r>
          </w:p>
        </w:tc>
        <w:tc>
          <w:tcPr>
            <w:tcW w:w="509" w:type="pct"/>
            <w:shd w:val="clear" w:color="auto" w:fill="auto"/>
            <w:vAlign w:val="center"/>
            <w:hideMark/>
          </w:tcPr>
          <w:p w14:paraId="4C4D746C"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38849,5</w:t>
            </w:r>
          </w:p>
        </w:tc>
        <w:tc>
          <w:tcPr>
            <w:tcW w:w="509" w:type="pct"/>
            <w:shd w:val="clear" w:color="auto" w:fill="auto"/>
            <w:vAlign w:val="center"/>
            <w:hideMark/>
          </w:tcPr>
          <w:p w14:paraId="527841FA"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38508,1</w:t>
            </w:r>
          </w:p>
        </w:tc>
        <w:tc>
          <w:tcPr>
            <w:tcW w:w="510" w:type="pct"/>
            <w:shd w:val="clear" w:color="auto" w:fill="auto"/>
            <w:vAlign w:val="center"/>
            <w:hideMark/>
          </w:tcPr>
          <w:p w14:paraId="6A87FF7D"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38575,6</w:t>
            </w:r>
          </w:p>
        </w:tc>
        <w:tc>
          <w:tcPr>
            <w:tcW w:w="509" w:type="pct"/>
            <w:shd w:val="clear" w:color="auto" w:fill="auto"/>
            <w:vAlign w:val="center"/>
            <w:hideMark/>
          </w:tcPr>
          <w:p w14:paraId="7E615F49"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99,96</w:t>
            </w:r>
          </w:p>
        </w:tc>
        <w:tc>
          <w:tcPr>
            <w:tcW w:w="436" w:type="pct"/>
            <w:shd w:val="clear" w:color="auto" w:fill="auto"/>
            <w:vAlign w:val="center"/>
            <w:hideMark/>
          </w:tcPr>
          <w:p w14:paraId="78915D8A"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-341,4</w:t>
            </w:r>
          </w:p>
        </w:tc>
        <w:tc>
          <w:tcPr>
            <w:tcW w:w="436" w:type="pct"/>
            <w:shd w:val="clear" w:color="auto" w:fill="auto"/>
            <w:vAlign w:val="center"/>
            <w:hideMark/>
          </w:tcPr>
          <w:p w14:paraId="7BBE783B"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99,12</w:t>
            </w:r>
          </w:p>
        </w:tc>
        <w:tc>
          <w:tcPr>
            <w:tcW w:w="424" w:type="pct"/>
            <w:shd w:val="clear" w:color="auto" w:fill="auto"/>
            <w:vAlign w:val="center"/>
            <w:hideMark/>
          </w:tcPr>
          <w:p w14:paraId="55176E70"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-273,9</w:t>
            </w:r>
          </w:p>
        </w:tc>
        <w:tc>
          <w:tcPr>
            <w:tcW w:w="365" w:type="pct"/>
            <w:shd w:val="clear" w:color="auto" w:fill="auto"/>
            <w:vAlign w:val="center"/>
            <w:hideMark/>
          </w:tcPr>
          <w:p w14:paraId="7EF49407"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99,29</w:t>
            </w:r>
          </w:p>
        </w:tc>
      </w:tr>
      <w:tr w:rsidR="000D40B3" w:rsidRPr="00DD5F1D" w14:paraId="1680CEE8" w14:textId="77777777" w:rsidTr="00CF4DFD">
        <w:trPr>
          <w:trHeight w:val="20"/>
        </w:trPr>
        <w:tc>
          <w:tcPr>
            <w:tcW w:w="577" w:type="pct"/>
            <w:shd w:val="clear" w:color="auto" w:fill="auto"/>
            <w:vAlign w:val="center"/>
            <w:hideMark/>
          </w:tcPr>
          <w:p w14:paraId="2FB42895"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Cheltuieli de personal</w:t>
            </w:r>
          </w:p>
        </w:tc>
        <w:tc>
          <w:tcPr>
            <w:tcW w:w="275" w:type="pct"/>
            <w:shd w:val="clear" w:color="auto" w:fill="auto"/>
            <w:vAlign w:val="center"/>
            <w:hideMark/>
          </w:tcPr>
          <w:p w14:paraId="2D85A1D0"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21</w:t>
            </w:r>
          </w:p>
        </w:tc>
        <w:tc>
          <w:tcPr>
            <w:tcW w:w="450" w:type="pct"/>
            <w:shd w:val="clear" w:color="auto" w:fill="auto"/>
            <w:vAlign w:val="center"/>
            <w:hideMark/>
          </w:tcPr>
          <w:p w14:paraId="7A9D7F8D"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214,4</w:t>
            </w:r>
          </w:p>
        </w:tc>
        <w:tc>
          <w:tcPr>
            <w:tcW w:w="509" w:type="pct"/>
            <w:shd w:val="clear" w:color="auto" w:fill="auto"/>
            <w:vAlign w:val="center"/>
            <w:hideMark/>
          </w:tcPr>
          <w:p w14:paraId="07334002"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214,4</w:t>
            </w:r>
          </w:p>
        </w:tc>
        <w:tc>
          <w:tcPr>
            <w:tcW w:w="509" w:type="pct"/>
            <w:shd w:val="clear" w:color="auto" w:fill="auto"/>
            <w:vAlign w:val="center"/>
            <w:hideMark/>
          </w:tcPr>
          <w:p w14:paraId="542B42E6"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209,4</w:t>
            </w:r>
          </w:p>
        </w:tc>
        <w:tc>
          <w:tcPr>
            <w:tcW w:w="510" w:type="pct"/>
            <w:shd w:val="clear" w:color="auto" w:fill="auto"/>
            <w:vAlign w:val="center"/>
            <w:hideMark/>
          </w:tcPr>
          <w:p w14:paraId="1AB257E9"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212,4</w:t>
            </w:r>
          </w:p>
        </w:tc>
        <w:tc>
          <w:tcPr>
            <w:tcW w:w="509" w:type="pct"/>
            <w:shd w:val="clear" w:color="auto" w:fill="auto"/>
            <w:vAlign w:val="center"/>
            <w:hideMark/>
          </w:tcPr>
          <w:p w14:paraId="46E33DC4"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0,55</w:t>
            </w:r>
          </w:p>
        </w:tc>
        <w:tc>
          <w:tcPr>
            <w:tcW w:w="436" w:type="pct"/>
            <w:shd w:val="clear" w:color="auto" w:fill="auto"/>
            <w:vAlign w:val="center"/>
            <w:hideMark/>
          </w:tcPr>
          <w:p w14:paraId="16C563EB"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-5</w:t>
            </w:r>
          </w:p>
        </w:tc>
        <w:tc>
          <w:tcPr>
            <w:tcW w:w="436" w:type="pct"/>
            <w:shd w:val="clear" w:color="auto" w:fill="auto"/>
            <w:vAlign w:val="center"/>
            <w:hideMark/>
          </w:tcPr>
          <w:p w14:paraId="2D96EE70"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97,67</w:t>
            </w:r>
          </w:p>
        </w:tc>
        <w:tc>
          <w:tcPr>
            <w:tcW w:w="424" w:type="pct"/>
            <w:shd w:val="clear" w:color="auto" w:fill="auto"/>
            <w:vAlign w:val="center"/>
            <w:hideMark/>
          </w:tcPr>
          <w:p w14:paraId="1245FDC8"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w:t>
            </w:r>
          </w:p>
        </w:tc>
        <w:tc>
          <w:tcPr>
            <w:tcW w:w="365" w:type="pct"/>
            <w:shd w:val="clear" w:color="auto" w:fill="auto"/>
            <w:vAlign w:val="center"/>
            <w:hideMark/>
          </w:tcPr>
          <w:p w14:paraId="222592E3"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99,07</w:t>
            </w:r>
          </w:p>
        </w:tc>
      </w:tr>
      <w:tr w:rsidR="000D40B3" w:rsidRPr="00DD5F1D" w14:paraId="1FAF8A74" w14:textId="77777777" w:rsidTr="00CF4DFD">
        <w:trPr>
          <w:trHeight w:val="20"/>
        </w:trPr>
        <w:tc>
          <w:tcPr>
            <w:tcW w:w="577" w:type="pct"/>
            <w:shd w:val="clear" w:color="auto" w:fill="auto"/>
            <w:vAlign w:val="center"/>
            <w:hideMark/>
          </w:tcPr>
          <w:p w14:paraId="668E55D9"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Bunuri şi servicii</w:t>
            </w:r>
          </w:p>
        </w:tc>
        <w:tc>
          <w:tcPr>
            <w:tcW w:w="275" w:type="pct"/>
            <w:shd w:val="clear" w:color="auto" w:fill="auto"/>
            <w:vAlign w:val="center"/>
            <w:hideMark/>
          </w:tcPr>
          <w:p w14:paraId="7D804F2E"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22</w:t>
            </w:r>
          </w:p>
        </w:tc>
        <w:tc>
          <w:tcPr>
            <w:tcW w:w="450" w:type="pct"/>
            <w:shd w:val="clear" w:color="auto" w:fill="auto"/>
            <w:vAlign w:val="center"/>
            <w:hideMark/>
          </w:tcPr>
          <w:p w14:paraId="3E6A8063"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338,3</w:t>
            </w:r>
          </w:p>
        </w:tc>
        <w:tc>
          <w:tcPr>
            <w:tcW w:w="509" w:type="pct"/>
            <w:shd w:val="clear" w:color="auto" w:fill="auto"/>
            <w:vAlign w:val="center"/>
            <w:hideMark/>
          </w:tcPr>
          <w:p w14:paraId="16CC265E"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334,1</w:t>
            </w:r>
          </w:p>
        </w:tc>
        <w:tc>
          <w:tcPr>
            <w:tcW w:w="509" w:type="pct"/>
            <w:shd w:val="clear" w:color="auto" w:fill="auto"/>
            <w:vAlign w:val="center"/>
            <w:hideMark/>
          </w:tcPr>
          <w:p w14:paraId="30E893CE"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290,2</w:t>
            </w:r>
          </w:p>
        </w:tc>
        <w:tc>
          <w:tcPr>
            <w:tcW w:w="510" w:type="pct"/>
            <w:shd w:val="clear" w:color="auto" w:fill="auto"/>
            <w:vAlign w:val="center"/>
            <w:hideMark/>
          </w:tcPr>
          <w:p w14:paraId="657B0D64"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293,9</w:t>
            </w:r>
          </w:p>
        </w:tc>
        <w:tc>
          <w:tcPr>
            <w:tcW w:w="509" w:type="pct"/>
            <w:shd w:val="clear" w:color="auto" w:fill="auto"/>
            <w:vAlign w:val="center"/>
            <w:hideMark/>
          </w:tcPr>
          <w:p w14:paraId="3CBDA113"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0,76</w:t>
            </w:r>
          </w:p>
        </w:tc>
        <w:tc>
          <w:tcPr>
            <w:tcW w:w="436" w:type="pct"/>
            <w:shd w:val="clear" w:color="auto" w:fill="auto"/>
            <w:vAlign w:val="center"/>
            <w:hideMark/>
          </w:tcPr>
          <w:p w14:paraId="51D93762"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-43,9</w:t>
            </w:r>
          </w:p>
        </w:tc>
        <w:tc>
          <w:tcPr>
            <w:tcW w:w="436" w:type="pct"/>
            <w:shd w:val="clear" w:color="auto" w:fill="auto"/>
            <w:vAlign w:val="center"/>
            <w:hideMark/>
          </w:tcPr>
          <w:p w14:paraId="152E9082"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86,86</w:t>
            </w:r>
          </w:p>
        </w:tc>
        <w:tc>
          <w:tcPr>
            <w:tcW w:w="424" w:type="pct"/>
            <w:shd w:val="clear" w:color="auto" w:fill="auto"/>
            <w:vAlign w:val="center"/>
            <w:hideMark/>
          </w:tcPr>
          <w:p w14:paraId="366A7FE7"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-40,2</w:t>
            </w:r>
          </w:p>
        </w:tc>
        <w:tc>
          <w:tcPr>
            <w:tcW w:w="365" w:type="pct"/>
            <w:shd w:val="clear" w:color="auto" w:fill="auto"/>
            <w:vAlign w:val="center"/>
            <w:hideMark/>
          </w:tcPr>
          <w:p w14:paraId="2EB98EFF"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87,97</w:t>
            </w:r>
          </w:p>
        </w:tc>
      </w:tr>
      <w:tr w:rsidR="000D40B3" w:rsidRPr="00DD5F1D" w14:paraId="2CF9C6D6" w14:textId="77777777" w:rsidTr="00CF4DFD">
        <w:trPr>
          <w:trHeight w:val="20"/>
        </w:trPr>
        <w:tc>
          <w:tcPr>
            <w:tcW w:w="577" w:type="pct"/>
            <w:shd w:val="clear" w:color="auto" w:fill="auto"/>
            <w:vAlign w:val="center"/>
            <w:hideMark/>
          </w:tcPr>
          <w:p w14:paraId="2C5F585D"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Prestații</w:t>
            </w:r>
            <w:r w:rsidRPr="00DD5F1D">
              <w:rPr>
                <w:rFonts w:ascii="Times New Roman" w:eastAsia="Times New Roman" w:hAnsi="Times New Roman" w:cs="Times New Roman"/>
                <w:sz w:val="18"/>
                <w:szCs w:val="18"/>
                <w:lang w:val="ro-MD"/>
              </w:rPr>
              <w:t xml:space="preserve"> </w:t>
            </w:r>
            <w:r w:rsidRPr="00DD5F1D">
              <w:rPr>
                <w:rFonts w:ascii="Times New Roman" w:eastAsia="Times New Roman" w:hAnsi="Times New Roman" w:cs="Times New Roman"/>
                <w:b/>
                <w:bCs/>
                <w:sz w:val="18"/>
                <w:szCs w:val="18"/>
                <w:lang w:val="ro-MD"/>
              </w:rPr>
              <w:t>sociale</w:t>
            </w:r>
          </w:p>
        </w:tc>
        <w:tc>
          <w:tcPr>
            <w:tcW w:w="275" w:type="pct"/>
            <w:shd w:val="clear" w:color="auto" w:fill="auto"/>
            <w:vAlign w:val="center"/>
            <w:hideMark/>
          </w:tcPr>
          <w:p w14:paraId="60CDA18E"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27</w:t>
            </w:r>
          </w:p>
        </w:tc>
        <w:tc>
          <w:tcPr>
            <w:tcW w:w="450" w:type="pct"/>
            <w:shd w:val="clear" w:color="auto" w:fill="auto"/>
            <w:vAlign w:val="center"/>
            <w:hideMark/>
          </w:tcPr>
          <w:p w14:paraId="4BBBA026"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38152,4</w:t>
            </w:r>
          </w:p>
        </w:tc>
        <w:tc>
          <w:tcPr>
            <w:tcW w:w="509" w:type="pct"/>
            <w:shd w:val="clear" w:color="auto" w:fill="auto"/>
            <w:vAlign w:val="center"/>
            <w:hideMark/>
          </w:tcPr>
          <w:p w14:paraId="77FBAA4B"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38292,1</w:t>
            </w:r>
          </w:p>
        </w:tc>
        <w:tc>
          <w:tcPr>
            <w:tcW w:w="509" w:type="pct"/>
            <w:shd w:val="clear" w:color="auto" w:fill="auto"/>
            <w:vAlign w:val="center"/>
            <w:hideMark/>
          </w:tcPr>
          <w:p w14:paraId="0CC0ECF2"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38000,2</w:t>
            </w:r>
          </w:p>
        </w:tc>
        <w:tc>
          <w:tcPr>
            <w:tcW w:w="510" w:type="pct"/>
            <w:shd w:val="clear" w:color="auto" w:fill="auto"/>
            <w:vAlign w:val="center"/>
            <w:hideMark/>
          </w:tcPr>
          <w:p w14:paraId="604EB064"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38060,4</w:t>
            </w:r>
          </w:p>
        </w:tc>
        <w:tc>
          <w:tcPr>
            <w:tcW w:w="509" w:type="pct"/>
            <w:shd w:val="clear" w:color="auto" w:fill="auto"/>
            <w:vAlign w:val="center"/>
            <w:hideMark/>
          </w:tcPr>
          <w:p w14:paraId="45D1DA2C"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98,66</w:t>
            </w:r>
          </w:p>
        </w:tc>
        <w:tc>
          <w:tcPr>
            <w:tcW w:w="436" w:type="pct"/>
            <w:shd w:val="clear" w:color="auto" w:fill="auto"/>
            <w:vAlign w:val="center"/>
            <w:hideMark/>
          </w:tcPr>
          <w:p w14:paraId="1EABAEC4"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-291,9</w:t>
            </w:r>
          </w:p>
        </w:tc>
        <w:tc>
          <w:tcPr>
            <w:tcW w:w="436" w:type="pct"/>
            <w:shd w:val="clear" w:color="auto" w:fill="auto"/>
            <w:vAlign w:val="center"/>
            <w:hideMark/>
          </w:tcPr>
          <w:p w14:paraId="3B5C5471"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99,24</w:t>
            </w:r>
          </w:p>
        </w:tc>
        <w:tc>
          <w:tcPr>
            <w:tcW w:w="424" w:type="pct"/>
            <w:shd w:val="clear" w:color="auto" w:fill="auto"/>
            <w:vAlign w:val="center"/>
            <w:hideMark/>
          </w:tcPr>
          <w:p w14:paraId="60205894"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-231,7</w:t>
            </w:r>
          </w:p>
        </w:tc>
        <w:tc>
          <w:tcPr>
            <w:tcW w:w="365" w:type="pct"/>
            <w:shd w:val="clear" w:color="auto" w:fill="auto"/>
            <w:vAlign w:val="center"/>
            <w:hideMark/>
          </w:tcPr>
          <w:p w14:paraId="53F30453"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99,39</w:t>
            </w:r>
          </w:p>
        </w:tc>
      </w:tr>
      <w:tr w:rsidR="000D40B3" w:rsidRPr="00DD5F1D" w14:paraId="178C874C" w14:textId="77777777" w:rsidTr="00CF4DFD">
        <w:trPr>
          <w:trHeight w:val="20"/>
        </w:trPr>
        <w:tc>
          <w:tcPr>
            <w:tcW w:w="577" w:type="pct"/>
            <w:shd w:val="clear" w:color="auto" w:fill="auto"/>
            <w:vAlign w:val="center"/>
            <w:hideMark/>
          </w:tcPr>
          <w:p w14:paraId="054DBBB0"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Alte</w:t>
            </w:r>
            <w:r w:rsidRPr="00DD5F1D">
              <w:rPr>
                <w:rFonts w:ascii="Times New Roman" w:eastAsia="Times New Roman" w:hAnsi="Times New Roman" w:cs="Times New Roman"/>
                <w:sz w:val="18"/>
                <w:szCs w:val="18"/>
                <w:lang w:val="ro-MD"/>
              </w:rPr>
              <w:t xml:space="preserve"> </w:t>
            </w:r>
            <w:r w:rsidRPr="00DD5F1D">
              <w:rPr>
                <w:rFonts w:ascii="Times New Roman" w:eastAsia="Times New Roman" w:hAnsi="Times New Roman" w:cs="Times New Roman"/>
                <w:b/>
                <w:bCs/>
                <w:sz w:val="18"/>
                <w:szCs w:val="18"/>
                <w:lang w:val="ro-MD"/>
              </w:rPr>
              <w:t>cheltuieli</w:t>
            </w:r>
          </w:p>
        </w:tc>
        <w:tc>
          <w:tcPr>
            <w:tcW w:w="275" w:type="pct"/>
            <w:shd w:val="clear" w:color="auto" w:fill="auto"/>
            <w:vAlign w:val="center"/>
            <w:hideMark/>
          </w:tcPr>
          <w:p w14:paraId="12260E68"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28</w:t>
            </w:r>
          </w:p>
        </w:tc>
        <w:tc>
          <w:tcPr>
            <w:tcW w:w="450" w:type="pct"/>
            <w:shd w:val="clear" w:color="auto" w:fill="auto"/>
            <w:vAlign w:val="center"/>
            <w:hideMark/>
          </w:tcPr>
          <w:p w14:paraId="5903597C"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8,7</w:t>
            </w:r>
          </w:p>
        </w:tc>
        <w:tc>
          <w:tcPr>
            <w:tcW w:w="509" w:type="pct"/>
            <w:shd w:val="clear" w:color="auto" w:fill="auto"/>
            <w:vAlign w:val="center"/>
            <w:hideMark/>
          </w:tcPr>
          <w:p w14:paraId="708CE29B"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8,9</w:t>
            </w:r>
          </w:p>
        </w:tc>
        <w:tc>
          <w:tcPr>
            <w:tcW w:w="509" w:type="pct"/>
            <w:shd w:val="clear" w:color="auto" w:fill="auto"/>
            <w:vAlign w:val="center"/>
            <w:hideMark/>
          </w:tcPr>
          <w:p w14:paraId="67DE381C"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8,2</w:t>
            </w:r>
          </w:p>
        </w:tc>
        <w:tc>
          <w:tcPr>
            <w:tcW w:w="510" w:type="pct"/>
            <w:shd w:val="clear" w:color="auto" w:fill="auto"/>
            <w:vAlign w:val="center"/>
            <w:hideMark/>
          </w:tcPr>
          <w:p w14:paraId="531B8846"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8,9</w:t>
            </w:r>
          </w:p>
        </w:tc>
        <w:tc>
          <w:tcPr>
            <w:tcW w:w="509" w:type="pct"/>
            <w:shd w:val="clear" w:color="auto" w:fill="auto"/>
            <w:vAlign w:val="center"/>
            <w:hideMark/>
          </w:tcPr>
          <w:p w14:paraId="6247DA2B"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0,02</w:t>
            </w:r>
          </w:p>
        </w:tc>
        <w:tc>
          <w:tcPr>
            <w:tcW w:w="436" w:type="pct"/>
            <w:shd w:val="clear" w:color="auto" w:fill="auto"/>
            <w:vAlign w:val="center"/>
            <w:hideMark/>
          </w:tcPr>
          <w:p w14:paraId="79897D4F"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-0,7</w:t>
            </w:r>
          </w:p>
        </w:tc>
        <w:tc>
          <w:tcPr>
            <w:tcW w:w="436" w:type="pct"/>
            <w:shd w:val="clear" w:color="auto" w:fill="auto"/>
            <w:vAlign w:val="center"/>
            <w:hideMark/>
          </w:tcPr>
          <w:p w14:paraId="2A9929CD"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92,13</w:t>
            </w:r>
          </w:p>
        </w:tc>
        <w:tc>
          <w:tcPr>
            <w:tcW w:w="424" w:type="pct"/>
            <w:shd w:val="clear" w:color="auto" w:fill="auto"/>
            <w:vAlign w:val="center"/>
            <w:hideMark/>
          </w:tcPr>
          <w:p w14:paraId="50E558BD"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w:t>
            </w:r>
          </w:p>
        </w:tc>
        <w:tc>
          <w:tcPr>
            <w:tcW w:w="365" w:type="pct"/>
            <w:shd w:val="clear" w:color="auto" w:fill="auto"/>
            <w:vAlign w:val="center"/>
            <w:hideMark/>
          </w:tcPr>
          <w:p w14:paraId="098A3E81"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100,00</w:t>
            </w:r>
          </w:p>
        </w:tc>
      </w:tr>
      <w:tr w:rsidR="000D40B3" w:rsidRPr="00DD5F1D" w14:paraId="77A6E491" w14:textId="77777777" w:rsidTr="00CF4DFD">
        <w:trPr>
          <w:trHeight w:val="20"/>
        </w:trPr>
        <w:tc>
          <w:tcPr>
            <w:tcW w:w="577" w:type="pct"/>
            <w:shd w:val="clear" w:color="auto" w:fill="auto"/>
            <w:vAlign w:val="center"/>
            <w:hideMark/>
          </w:tcPr>
          <w:p w14:paraId="052F3D70" w14:textId="77777777" w:rsidR="00775DBA" w:rsidRPr="00DD5F1D" w:rsidRDefault="00775DBA" w:rsidP="00636C42">
            <w:pPr>
              <w:spacing w:after="0" w:line="240" w:lineRule="auto"/>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Active</w:t>
            </w:r>
            <w:r w:rsidRPr="00DD5F1D">
              <w:rPr>
                <w:rFonts w:ascii="Times New Roman" w:eastAsia="Times New Roman" w:hAnsi="Times New Roman" w:cs="Times New Roman"/>
                <w:sz w:val="18"/>
                <w:szCs w:val="18"/>
                <w:lang w:val="ro-MD"/>
              </w:rPr>
              <w:t xml:space="preserve"> </w:t>
            </w:r>
            <w:r w:rsidRPr="00DD5F1D">
              <w:rPr>
                <w:rFonts w:ascii="Times New Roman" w:eastAsia="Times New Roman" w:hAnsi="Times New Roman" w:cs="Times New Roman"/>
                <w:i/>
                <w:iCs/>
                <w:sz w:val="18"/>
                <w:szCs w:val="18"/>
                <w:lang w:val="ro-MD"/>
              </w:rPr>
              <w:t>nefinanciare</w:t>
            </w:r>
          </w:p>
        </w:tc>
        <w:tc>
          <w:tcPr>
            <w:tcW w:w="275" w:type="pct"/>
            <w:shd w:val="clear" w:color="auto" w:fill="auto"/>
            <w:vAlign w:val="center"/>
            <w:hideMark/>
          </w:tcPr>
          <w:p w14:paraId="0054A877"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3</w:t>
            </w:r>
          </w:p>
        </w:tc>
        <w:tc>
          <w:tcPr>
            <w:tcW w:w="450" w:type="pct"/>
            <w:shd w:val="clear" w:color="auto" w:fill="auto"/>
            <w:vAlign w:val="center"/>
            <w:hideMark/>
          </w:tcPr>
          <w:p w14:paraId="4ACF883D"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21,7</w:t>
            </w:r>
          </w:p>
        </w:tc>
        <w:tc>
          <w:tcPr>
            <w:tcW w:w="509" w:type="pct"/>
            <w:shd w:val="clear" w:color="auto" w:fill="auto"/>
            <w:vAlign w:val="center"/>
            <w:hideMark/>
          </w:tcPr>
          <w:p w14:paraId="16AA700B"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21,1</w:t>
            </w:r>
          </w:p>
        </w:tc>
        <w:tc>
          <w:tcPr>
            <w:tcW w:w="509" w:type="pct"/>
            <w:shd w:val="clear" w:color="auto" w:fill="auto"/>
            <w:vAlign w:val="center"/>
            <w:hideMark/>
          </w:tcPr>
          <w:p w14:paraId="23991CBB"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16,5</w:t>
            </w:r>
          </w:p>
        </w:tc>
        <w:tc>
          <w:tcPr>
            <w:tcW w:w="510" w:type="pct"/>
            <w:shd w:val="clear" w:color="auto" w:fill="auto"/>
            <w:vAlign w:val="center"/>
            <w:hideMark/>
          </w:tcPr>
          <w:p w14:paraId="43EFF764"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15,5</w:t>
            </w:r>
          </w:p>
        </w:tc>
        <w:tc>
          <w:tcPr>
            <w:tcW w:w="509" w:type="pct"/>
            <w:shd w:val="clear" w:color="auto" w:fill="auto"/>
            <w:vAlign w:val="center"/>
            <w:hideMark/>
          </w:tcPr>
          <w:p w14:paraId="67F29FC7"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0,04</w:t>
            </w:r>
          </w:p>
        </w:tc>
        <w:tc>
          <w:tcPr>
            <w:tcW w:w="436" w:type="pct"/>
            <w:shd w:val="clear" w:color="auto" w:fill="auto"/>
            <w:vAlign w:val="center"/>
            <w:hideMark/>
          </w:tcPr>
          <w:p w14:paraId="61E87713"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-4,6</w:t>
            </w:r>
          </w:p>
        </w:tc>
        <w:tc>
          <w:tcPr>
            <w:tcW w:w="436" w:type="pct"/>
            <w:shd w:val="clear" w:color="auto" w:fill="auto"/>
            <w:vAlign w:val="center"/>
            <w:hideMark/>
          </w:tcPr>
          <w:p w14:paraId="2E2CEF51"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78,20</w:t>
            </w:r>
          </w:p>
        </w:tc>
        <w:tc>
          <w:tcPr>
            <w:tcW w:w="424" w:type="pct"/>
            <w:shd w:val="clear" w:color="auto" w:fill="auto"/>
            <w:vAlign w:val="center"/>
            <w:hideMark/>
          </w:tcPr>
          <w:p w14:paraId="0CE5C0FC"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-5,6</w:t>
            </w:r>
          </w:p>
        </w:tc>
        <w:tc>
          <w:tcPr>
            <w:tcW w:w="365" w:type="pct"/>
            <w:shd w:val="clear" w:color="auto" w:fill="auto"/>
            <w:vAlign w:val="center"/>
            <w:hideMark/>
          </w:tcPr>
          <w:p w14:paraId="65292CC1" w14:textId="77777777" w:rsidR="00775DBA" w:rsidRPr="00DD5F1D" w:rsidRDefault="00775DBA" w:rsidP="00636C42">
            <w:pPr>
              <w:spacing w:after="0" w:line="240" w:lineRule="auto"/>
              <w:jc w:val="right"/>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73,46</w:t>
            </w:r>
          </w:p>
        </w:tc>
      </w:tr>
      <w:tr w:rsidR="000D40B3" w:rsidRPr="00DD5F1D" w14:paraId="586745D5" w14:textId="77777777" w:rsidTr="00CF4DFD">
        <w:trPr>
          <w:trHeight w:val="20"/>
        </w:trPr>
        <w:tc>
          <w:tcPr>
            <w:tcW w:w="577" w:type="pct"/>
            <w:shd w:val="clear" w:color="auto" w:fill="auto"/>
            <w:vAlign w:val="center"/>
            <w:hideMark/>
          </w:tcPr>
          <w:p w14:paraId="589B8390"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Mijloace</w:t>
            </w:r>
            <w:r w:rsidRPr="00DD5F1D">
              <w:rPr>
                <w:rFonts w:ascii="Times New Roman" w:eastAsia="Times New Roman" w:hAnsi="Times New Roman" w:cs="Times New Roman"/>
                <w:sz w:val="18"/>
                <w:szCs w:val="18"/>
                <w:lang w:val="ro-MD"/>
              </w:rPr>
              <w:t xml:space="preserve"> </w:t>
            </w:r>
            <w:r w:rsidRPr="00DD5F1D">
              <w:rPr>
                <w:rFonts w:ascii="Times New Roman" w:eastAsia="Times New Roman" w:hAnsi="Times New Roman" w:cs="Times New Roman"/>
                <w:b/>
                <w:bCs/>
                <w:sz w:val="18"/>
                <w:szCs w:val="18"/>
                <w:lang w:val="ro-MD"/>
              </w:rPr>
              <w:t>fixe</w:t>
            </w:r>
          </w:p>
        </w:tc>
        <w:tc>
          <w:tcPr>
            <w:tcW w:w="275" w:type="pct"/>
            <w:shd w:val="clear" w:color="auto" w:fill="auto"/>
            <w:vAlign w:val="center"/>
            <w:hideMark/>
          </w:tcPr>
          <w:p w14:paraId="611312F0"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31</w:t>
            </w:r>
          </w:p>
        </w:tc>
        <w:tc>
          <w:tcPr>
            <w:tcW w:w="450" w:type="pct"/>
            <w:shd w:val="clear" w:color="auto" w:fill="auto"/>
            <w:vAlign w:val="center"/>
            <w:hideMark/>
          </w:tcPr>
          <w:p w14:paraId="33CA630B"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15,9</w:t>
            </w:r>
          </w:p>
        </w:tc>
        <w:tc>
          <w:tcPr>
            <w:tcW w:w="509" w:type="pct"/>
            <w:shd w:val="clear" w:color="auto" w:fill="auto"/>
            <w:vAlign w:val="center"/>
            <w:hideMark/>
          </w:tcPr>
          <w:p w14:paraId="76467F60"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14,9</w:t>
            </w:r>
          </w:p>
        </w:tc>
        <w:tc>
          <w:tcPr>
            <w:tcW w:w="509" w:type="pct"/>
            <w:shd w:val="clear" w:color="auto" w:fill="auto"/>
            <w:vAlign w:val="center"/>
            <w:hideMark/>
          </w:tcPr>
          <w:p w14:paraId="099172AD"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11,7</w:t>
            </w:r>
          </w:p>
        </w:tc>
        <w:tc>
          <w:tcPr>
            <w:tcW w:w="510" w:type="pct"/>
            <w:shd w:val="clear" w:color="auto" w:fill="auto"/>
            <w:vAlign w:val="center"/>
            <w:hideMark/>
          </w:tcPr>
          <w:p w14:paraId="2BE9006F"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11,5</w:t>
            </w:r>
          </w:p>
        </w:tc>
        <w:tc>
          <w:tcPr>
            <w:tcW w:w="509" w:type="pct"/>
            <w:shd w:val="clear" w:color="auto" w:fill="auto"/>
            <w:vAlign w:val="center"/>
            <w:hideMark/>
          </w:tcPr>
          <w:p w14:paraId="24C274E6"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74,19</w:t>
            </w:r>
          </w:p>
        </w:tc>
        <w:tc>
          <w:tcPr>
            <w:tcW w:w="436" w:type="pct"/>
            <w:shd w:val="clear" w:color="auto" w:fill="auto"/>
            <w:vAlign w:val="center"/>
            <w:hideMark/>
          </w:tcPr>
          <w:p w14:paraId="530B5579"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-3,2</w:t>
            </w:r>
          </w:p>
        </w:tc>
        <w:tc>
          <w:tcPr>
            <w:tcW w:w="436" w:type="pct"/>
            <w:shd w:val="clear" w:color="auto" w:fill="auto"/>
            <w:vAlign w:val="center"/>
            <w:hideMark/>
          </w:tcPr>
          <w:p w14:paraId="74DAEC74"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78,52</w:t>
            </w:r>
          </w:p>
        </w:tc>
        <w:tc>
          <w:tcPr>
            <w:tcW w:w="424" w:type="pct"/>
            <w:shd w:val="clear" w:color="auto" w:fill="auto"/>
            <w:vAlign w:val="center"/>
            <w:hideMark/>
          </w:tcPr>
          <w:p w14:paraId="0DAE14C1"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-3,4</w:t>
            </w:r>
          </w:p>
        </w:tc>
        <w:tc>
          <w:tcPr>
            <w:tcW w:w="365" w:type="pct"/>
            <w:shd w:val="clear" w:color="auto" w:fill="auto"/>
            <w:vAlign w:val="center"/>
            <w:hideMark/>
          </w:tcPr>
          <w:p w14:paraId="6A5EF844"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77,18</w:t>
            </w:r>
          </w:p>
        </w:tc>
      </w:tr>
      <w:tr w:rsidR="000D40B3" w:rsidRPr="00DD5F1D" w14:paraId="0C0B36A7" w14:textId="77777777" w:rsidTr="00CF4DFD">
        <w:trPr>
          <w:trHeight w:val="20"/>
        </w:trPr>
        <w:tc>
          <w:tcPr>
            <w:tcW w:w="577" w:type="pct"/>
            <w:shd w:val="clear" w:color="auto" w:fill="auto"/>
            <w:vAlign w:val="center"/>
            <w:hideMark/>
          </w:tcPr>
          <w:p w14:paraId="0CEEE342"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Stocuri de</w:t>
            </w:r>
            <w:r w:rsidRPr="00DD5F1D">
              <w:rPr>
                <w:rFonts w:ascii="Times New Roman" w:eastAsia="Times New Roman" w:hAnsi="Times New Roman" w:cs="Times New Roman"/>
                <w:sz w:val="18"/>
                <w:szCs w:val="18"/>
                <w:lang w:val="ro-MD"/>
              </w:rPr>
              <w:t xml:space="preserve"> </w:t>
            </w:r>
            <w:r w:rsidRPr="00DD5F1D">
              <w:rPr>
                <w:rFonts w:ascii="Times New Roman" w:eastAsia="Times New Roman" w:hAnsi="Times New Roman" w:cs="Times New Roman"/>
                <w:b/>
                <w:bCs/>
                <w:sz w:val="18"/>
                <w:szCs w:val="18"/>
                <w:lang w:val="ro-MD"/>
              </w:rPr>
              <w:t>materiale</w:t>
            </w:r>
            <w:r w:rsidRPr="00DD5F1D">
              <w:rPr>
                <w:rFonts w:ascii="Times New Roman" w:eastAsia="Times New Roman" w:hAnsi="Times New Roman" w:cs="Times New Roman"/>
                <w:sz w:val="18"/>
                <w:szCs w:val="18"/>
                <w:lang w:val="ro-MD"/>
              </w:rPr>
              <w:t xml:space="preserve"> </w:t>
            </w:r>
            <w:r w:rsidRPr="00DD5F1D">
              <w:rPr>
                <w:rFonts w:ascii="Times New Roman" w:eastAsia="Times New Roman" w:hAnsi="Times New Roman" w:cs="Times New Roman"/>
                <w:b/>
                <w:bCs/>
                <w:sz w:val="18"/>
                <w:szCs w:val="18"/>
                <w:lang w:val="ro-MD"/>
              </w:rPr>
              <w:t>circulante</w:t>
            </w:r>
          </w:p>
        </w:tc>
        <w:tc>
          <w:tcPr>
            <w:tcW w:w="275" w:type="pct"/>
            <w:shd w:val="clear" w:color="auto" w:fill="auto"/>
            <w:vAlign w:val="center"/>
            <w:hideMark/>
          </w:tcPr>
          <w:p w14:paraId="43911D83"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33</w:t>
            </w:r>
          </w:p>
        </w:tc>
        <w:tc>
          <w:tcPr>
            <w:tcW w:w="450" w:type="pct"/>
            <w:shd w:val="clear" w:color="auto" w:fill="auto"/>
            <w:vAlign w:val="center"/>
            <w:hideMark/>
          </w:tcPr>
          <w:p w14:paraId="31260FD2"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4,4</w:t>
            </w:r>
          </w:p>
        </w:tc>
        <w:tc>
          <w:tcPr>
            <w:tcW w:w="509" w:type="pct"/>
            <w:shd w:val="clear" w:color="auto" w:fill="auto"/>
            <w:vAlign w:val="center"/>
            <w:hideMark/>
          </w:tcPr>
          <w:p w14:paraId="1C39ADFA"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4,9</w:t>
            </w:r>
          </w:p>
        </w:tc>
        <w:tc>
          <w:tcPr>
            <w:tcW w:w="509" w:type="pct"/>
            <w:shd w:val="clear" w:color="auto" w:fill="auto"/>
            <w:vAlign w:val="center"/>
            <w:hideMark/>
          </w:tcPr>
          <w:p w14:paraId="6BD41C9F"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3,8</w:t>
            </w:r>
          </w:p>
        </w:tc>
        <w:tc>
          <w:tcPr>
            <w:tcW w:w="510" w:type="pct"/>
            <w:shd w:val="clear" w:color="auto" w:fill="auto"/>
            <w:vAlign w:val="center"/>
            <w:hideMark/>
          </w:tcPr>
          <w:p w14:paraId="435AE092"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3</w:t>
            </w:r>
          </w:p>
        </w:tc>
        <w:tc>
          <w:tcPr>
            <w:tcW w:w="509" w:type="pct"/>
            <w:shd w:val="clear" w:color="auto" w:fill="auto"/>
            <w:vAlign w:val="center"/>
            <w:hideMark/>
          </w:tcPr>
          <w:p w14:paraId="10660E98"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19,35</w:t>
            </w:r>
          </w:p>
        </w:tc>
        <w:tc>
          <w:tcPr>
            <w:tcW w:w="436" w:type="pct"/>
            <w:shd w:val="clear" w:color="auto" w:fill="auto"/>
            <w:vAlign w:val="center"/>
            <w:hideMark/>
          </w:tcPr>
          <w:p w14:paraId="364A909F"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w:t>
            </w:r>
          </w:p>
        </w:tc>
        <w:tc>
          <w:tcPr>
            <w:tcW w:w="436" w:type="pct"/>
            <w:shd w:val="clear" w:color="auto" w:fill="auto"/>
            <w:vAlign w:val="center"/>
            <w:hideMark/>
          </w:tcPr>
          <w:p w14:paraId="659AEE77"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77,55</w:t>
            </w:r>
          </w:p>
        </w:tc>
        <w:tc>
          <w:tcPr>
            <w:tcW w:w="424" w:type="pct"/>
            <w:shd w:val="clear" w:color="auto" w:fill="auto"/>
            <w:vAlign w:val="center"/>
            <w:hideMark/>
          </w:tcPr>
          <w:p w14:paraId="03BB28BF"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-1,9</w:t>
            </w:r>
          </w:p>
        </w:tc>
        <w:tc>
          <w:tcPr>
            <w:tcW w:w="365" w:type="pct"/>
            <w:shd w:val="clear" w:color="auto" w:fill="auto"/>
            <w:vAlign w:val="center"/>
            <w:hideMark/>
          </w:tcPr>
          <w:p w14:paraId="3E16CEE0"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61,22</w:t>
            </w:r>
          </w:p>
        </w:tc>
      </w:tr>
      <w:tr w:rsidR="00775DBA" w:rsidRPr="00DD5F1D" w14:paraId="43DB1654" w14:textId="77777777" w:rsidTr="00CF4DFD">
        <w:trPr>
          <w:trHeight w:val="20"/>
        </w:trPr>
        <w:tc>
          <w:tcPr>
            <w:tcW w:w="577" w:type="pct"/>
            <w:shd w:val="clear" w:color="auto" w:fill="auto"/>
            <w:vAlign w:val="center"/>
            <w:hideMark/>
          </w:tcPr>
          <w:p w14:paraId="253C5EE4" w14:textId="77777777" w:rsidR="00775DBA" w:rsidRPr="00DD5F1D" w:rsidRDefault="00775DBA" w:rsidP="00636C42">
            <w:pPr>
              <w:spacing w:after="0" w:line="240" w:lineRule="auto"/>
              <w:rPr>
                <w:rFonts w:ascii="Times New Roman" w:eastAsia="Times New Roman" w:hAnsi="Times New Roman" w:cs="Times New Roman"/>
                <w:b/>
                <w:bCs/>
                <w:sz w:val="18"/>
                <w:szCs w:val="18"/>
                <w:lang w:val="ro-MD"/>
              </w:rPr>
            </w:pPr>
            <w:r w:rsidRPr="00DD5F1D">
              <w:rPr>
                <w:rFonts w:ascii="Times New Roman" w:eastAsia="Times New Roman" w:hAnsi="Times New Roman" w:cs="Times New Roman"/>
                <w:b/>
                <w:bCs/>
                <w:sz w:val="18"/>
                <w:szCs w:val="18"/>
                <w:lang w:val="ro-MD"/>
              </w:rPr>
              <w:t>Mărfuri</w:t>
            </w:r>
          </w:p>
        </w:tc>
        <w:tc>
          <w:tcPr>
            <w:tcW w:w="275" w:type="pct"/>
            <w:shd w:val="clear" w:color="auto" w:fill="auto"/>
            <w:vAlign w:val="center"/>
            <w:hideMark/>
          </w:tcPr>
          <w:p w14:paraId="1811097A" w14:textId="77777777" w:rsidR="00775DBA" w:rsidRPr="00DD5F1D" w:rsidRDefault="00775DBA" w:rsidP="00636C42">
            <w:pPr>
              <w:spacing w:after="0" w:line="240" w:lineRule="auto"/>
              <w:jc w:val="center"/>
              <w:rPr>
                <w:rFonts w:ascii="Times New Roman" w:eastAsia="Times New Roman" w:hAnsi="Times New Roman" w:cs="Times New Roman"/>
                <w:i/>
                <w:iCs/>
                <w:sz w:val="18"/>
                <w:szCs w:val="18"/>
                <w:lang w:val="ro-MD"/>
              </w:rPr>
            </w:pPr>
            <w:r w:rsidRPr="00DD5F1D">
              <w:rPr>
                <w:rFonts w:ascii="Times New Roman" w:eastAsia="Times New Roman" w:hAnsi="Times New Roman" w:cs="Times New Roman"/>
                <w:i/>
                <w:iCs/>
                <w:sz w:val="18"/>
                <w:szCs w:val="18"/>
                <w:lang w:val="ro-MD"/>
              </w:rPr>
              <w:t>35</w:t>
            </w:r>
          </w:p>
        </w:tc>
        <w:tc>
          <w:tcPr>
            <w:tcW w:w="450" w:type="pct"/>
            <w:shd w:val="clear" w:color="auto" w:fill="auto"/>
            <w:vAlign w:val="center"/>
            <w:hideMark/>
          </w:tcPr>
          <w:p w14:paraId="60A54D15"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1,3</w:t>
            </w:r>
          </w:p>
        </w:tc>
        <w:tc>
          <w:tcPr>
            <w:tcW w:w="509" w:type="pct"/>
            <w:shd w:val="clear" w:color="auto" w:fill="auto"/>
            <w:vAlign w:val="center"/>
            <w:hideMark/>
          </w:tcPr>
          <w:p w14:paraId="408B0E92"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1,3</w:t>
            </w:r>
          </w:p>
        </w:tc>
        <w:tc>
          <w:tcPr>
            <w:tcW w:w="509" w:type="pct"/>
            <w:shd w:val="clear" w:color="auto" w:fill="auto"/>
            <w:vAlign w:val="center"/>
            <w:hideMark/>
          </w:tcPr>
          <w:p w14:paraId="31BADF1E"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w:t>
            </w:r>
          </w:p>
        </w:tc>
        <w:tc>
          <w:tcPr>
            <w:tcW w:w="510" w:type="pct"/>
            <w:shd w:val="clear" w:color="auto" w:fill="auto"/>
            <w:vAlign w:val="center"/>
            <w:hideMark/>
          </w:tcPr>
          <w:p w14:paraId="690E40D6"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1,1</w:t>
            </w:r>
          </w:p>
        </w:tc>
        <w:tc>
          <w:tcPr>
            <w:tcW w:w="509" w:type="pct"/>
            <w:shd w:val="clear" w:color="auto" w:fill="auto"/>
            <w:vAlign w:val="center"/>
            <w:hideMark/>
          </w:tcPr>
          <w:p w14:paraId="62DA41C2"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7,10</w:t>
            </w:r>
          </w:p>
        </w:tc>
        <w:tc>
          <w:tcPr>
            <w:tcW w:w="436" w:type="pct"/>
            <w:shd w:val="clear" w:color="auto" w:fill="auto"/>
            <w:vAlign w:val="center"/>
            <w:hideMark/>
          </w:tcPr>
          <w:p w14:paraId="6A199E85"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-0,2</w:t>
            </w:r>
          </w:p>
        </w:tc>
        <w:tc>
          <w:tcPr>
            <w:tcW w:w="436" w:type="pct"/>
            <w:shd w:val="clear" w:color="auto" w:fill="auto"/>
            <w:vAlign w:val="center"/>
            <w:hideMark/>
          </w:tcPr>
          <w:p w14:paraId="73E3357F"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84,62</w:t>
            </w:r>
          </w:p>
        </w:tc>
        <w:tc>
          <w:tcPr>
            <w:tcW w:w="424" w:type="pct"/>
            <w:shd w:val="clear" w:color="auto" w:fill="auto"/>
            <w:vAlign w:val="center"/>
            <w:hideMark/>
          </w:tcPr>
          <w:p w14:paraId="6E883987"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-0,2</w:t>
            </w:r>
          </w:p>
        </w:tc>
        <w:tc>
          <w:tcPr>
            <w:tcW w:w="365" w:type="pct"/>
            <w:shd w:val="clear" w:color="auto" w:fill="auto"/>
            <w:vAlign w:val="center"/>
            <w:hideMark/>
          </w:tcPr>
          <w:p w14:paraId="7B13DB90" w14:textId="77777777" w:rsidR="00775DBA" w:rsidRPr="00DD5F1D" w:rsidRDefault="00775DBA" w:rsidP="00636C42">
            <w:pPr>
              <w:spacing w:after="0" w:line="240" w:lineRule="auto"/>
              <w:jc w:val="right"/>
              <w:rPr>
                <w:rFonts w:ascii="Times New Roman" w:eastAsia="Times New Roman" w:hAnsi="Times New Roman" w:cs="Times New Roman"/>
                <w:sz w:val="18"/>
                <w:szCs w:val="18"/>
                <w:lang w:val="ro-MD"/>
              </w:rPr>
            </w:pPr>
            <w:r w:rsidRPr="00DD5F1D">
              <w:rPr>
                <w:rFonts w:ascii="Times New Roman" w:eastAsia="Times New Roman" w:hAnsi="Times New Roman" w:cs="Times New Roman"/>
                <w:sz w:val="18"/>
                <w:szCs w:val="18"/>
                <w:lang w:val="ro-MD"/>
              </w:rPr>
              <w:t>84,62</w:t>
            </w:r>
          </w:p>
        </w:tc>
      </w:tr>
    </w:tbl>
    <w:p w14:paraId="46F46776" w14:textId="48F87C70" w:rsidR="00775DBA" w:rsidRPr="00DD5F1D" w:rsidRDefault="00775DBA" w:rsidP="00775DBA">
      <w:pPr>
        <w:rPr>
          <w:rFonts w:ascii="Times New Roman" w:hAnsi="Times New Roman" w:cs="Times New Roman"/>
          <w:i/>
          <w:szCs w:val="18"/>
          <w:lang w:val="ro-MD"/>
        </w:rPr>
      </w:pPr>
      <w:r w:rsidRPr="00DD5F1D">
        <w:rPr>
          <w:rFonts w:ascii="Times New Roman" w:hAnsi="Times New Roman" w:cs="Times New Roman"/>
          <w:b/>
          <w:i/>
          <w:szCs w:val="18"/>
          <w:lang w:val="ro-MD"/>
        </w:rPr>
        <w:t>Sursa</w:t>
      </w:r>
      <w:r w:rsidRPr="00DD5F1D">
        <w:rPr>
          <w:rFonts w:ascii="Times New Roman" w:hAnsi="Times New Roman" w:cs="Times New Roman"/>
          <w:i/>
          <w:szCs w:val="18"/>
          <w:lang w:val="ro-MD"/>
        </w:rPr>
        <w:t>: Raportul privind executarea bugetului asigurărilor sociale de stat pentru anul 2023</w:t>
      </w:r>
      <w:r w:rsidR="00BD3EA8" w:rsidRPr="00DD5F1D">
        <w:rPr>
          <w:rFonts w:ascii="Times New Roman" w:hAnsi="Times New Roman" w:cs="Times New Roman"/>
          <w:i/>
          <w:szCs w:val="18"/>
          <w:lang w:val="ro-MD"/>
        </w:rPr>
        <w:t>.</w:t>
      </w:r>
    </w:p>
    <w:p w14:paraId="2931F6A1" w14:textId="77777777" w:rsidR="00571A46" w:rsidRPr="00DD5F1D" w:rsidRDefault="00571A46" w:rsidP="00775DBA">
      <w:pPr>
        <w:rPr>
          <w:rFonts w:ascii="Times New Roman" w:hAnsi="Times New Roman" w:cs="Times New Roman"/>
          <w:i/>
          <w:sz w:val="20"/>
          <w:szCs w:val="18"/>
          <w:lang w:val="ro-MD"/>
        </w:rPr>
      </w:pPr>
    </w:p>
    <w:p w14:paraId="7CCF5361" w14:textId="77777777" w:rsidR="00571A46" w:rsidRPr="00DD5F1D" w:rsidRDefault="00571A46" w:rsidP="00775DBA">
      <w:pPr>
        <w:rPr>
          <w:rFonts w:ascii="Times New Roman" w:hAnsi="Times New Roman" w:cs="Times New Roman"/>
          <w:i/>
          <w:sz w:val="20"/>
          <w:szCs w:val="18"/>
          <w:lang w:val="ro-MD"/>
        </w:rPr>
      </w:pPr>
    </w:p>
    <w:p w14:paraId="38BEA8B9" w14:textId="77777777" w:rsidR="00571A46" w:rsidRPr="00DD5F1D" w:rsidRDefault="00571A46" w:rsidP="00775DBA">
      <w:pPr>
        <w:rPr>
          <w:rFonts w:ascii="Times New Roman" w:hAnsi="Times New Roman" w:cs="Times New Roman"/>
          <w:i/>
          <w:sz w:val="20"/>
          <w:szCs w:val="18"/>
          <w:lang w:val="ro-MD"/>
        </w:rPr>
        <w:sectPr w:rsidR="00571A46" w:rsidRPr="00DD5F1D" w:rsidSect="00084F96">
          <w:pgSz w:w="15840" w:h="12240" w:orient="landscape"/>
          <w:pgMar w:top="1355" w:right="1140" w:bottom="851" w:left="1140" w:header="720" w:footer="720" w:gutter="0"/>
          <w:cols w:space="720"/>
          <w:docGrid w:linePitch="360"/>
        </w:sectPr>
      </w:pPr>
    </w:p>
    <w:p w14:paraId="055B9E0C" w14:textId="77777777" w:rsidR="00571A46" w:rsidRPr="00DD5F1D" w:rsidRDefault="00571A46" w:rsidP="00775DBA">
      <w:pPr>
        <w:rPr>
          <w:rFonts w:ascii="Times New Roman" w:eastAsia="Times New Roman" w:hAnsi="Times New Roman" w:cs="Times New Roman"/>
          <w:b/>
          <w:i/>
          <w:sz w:val="28"/>
          <w:szCs w:val="24"/>
          <w:lang w:val="ro-MD"/>
        </w:rPr>
      </w:pPr>
    </w:p>
    <w:p w14:paraId="26CAE7DC" w14:textId="77777777" w:rsidR="00775DBA" w:rsidRPr="00DD5F1D" w:rsidRDefault="00571A46" w:rsidP="00775DBA">
      <w:pPr>
        <w:tabs>
          <w:tab w:val="left" w:pos="162"/>
        </w:tabs>
        <w:spacing w:after="0" w:line="276" w:lineRule="auto"/>
        <w:jc w:val="right"/>
        <w:outlineLvl w:val="1"/>
        <w:rPr>
          <w:rFonts w:ascii="Times New Roman" w:eastAsia="Times New Roman" w:hAnsi="Times New Roman" w:cs="Times New Roman"/>
          <w:b/>
          <w:sz w:val="24"/>
          <w:szCs w:val="24"/>
          <w:lang w:val="ro-MD"/>
        </w:rPr>
      </w:pPr>
      <w:r w:rsidRPr="00DD5F1D">
        <w:rPr>
          <w:rFonts w:ascii="Times New Roman" w:eastAsia="Times New Roman" w:hAnsi="Times New Roman" w:cs="Times New Roman"/>
          <w:b/>
          <w:sz w:val="24"/>
          <w:szCs w:val="24"/>
          <w:lang w:val="ro-MD"/>
        </w:rPr>
        <w:t xml:space="preserve">Anexa nr. </w:t>
      </w:r>
      <w:r w:rsidR="000E2AC7" w:rsidRPr="00DD5F1D">
        <w:rPr>
          <w:rFonts w:ascii="Times New Roman" w:eastAsia="Times New Roman" w:hAnsi="Times New Roman" w:cs="Times New Roman"/>
          <w:b/>
          <w:sz w:val="24"/>
          <w:szCs w:val="24"/>
          <w:lang w:val="ro-MD"/>
        </w:rPr>
        <w:t>22</w:t>
      </w:r>
    </w:p>
    <w:p w14:paraId="512DB0EC" w14:textId="77777777" w:rsidR="00775DBA" w:rsidRPr="00DD5F1D" w:rsidRDefault="00775DBA" w:rsidP="00775DBA">
      <w:pPr>
        <w:tabs>
          <w:tab w:val="left" w:pos="162"/>
        </w:tabs>
        <w:spacing w:after="0" w:line="276" w:lineRule="auto"/>
        <w:jc w:val="center"/>
        <w:rPr>
          <w:rFonts w:ascii="Times New Roman" w:eastAsia="Calibri" w:hAnsi="Times New Roman" w:cs="Times New Roman"/>
          <w:b/>
          <w:bCs/>
          <w:sz w:val="24"/>
          <w:szCs w:val="24"/>
          <w:lang w:val="ro-MD"/>
        </w:rPr>
      </w:pPr>
      <w:r w:rsidRPr="00DD5F1D">
        <w:rPr>
          <w:rFonts w:ascii="Times New Roman" w:eastAsia="Calibri" w:hAnsi="Times New Roman" w:cs="Times New Roman"/>
          <w:b/>
          <w:bCs/>
          <w:sz w:val="24"/>
          <w:szCs w:val="24"/>
          <w:lang w:val="ro-MD"/>
        </w:rPr>
        <w:t>Dinamica cheltuielilor efective ale bugetului asigurărilor sociale de stat în anii 2019-2023</w:t>
      </w:r>
    </w:p>
    <w:p w14:paraId="60E92AF2" w14:textId="77777777" w:rsidR="00775DBA" w:rsidRPr="00DD5F1D" w:rsidRDefault="00775DBA" w:rsidP="00775DBA">
      <w:pPr>
        <w:widowControl w:val="0"/>
        <w:spacing w:after="0" w:line="276" w:lineRule="auto"/>
        <w:jc w:val="right"/>
        <w:rPr>
          <w:rFonts w:ascii="Times New Roman" w:eastAsia="Times New Roman" w:hAnsi="Times New Roman" w:cs="Times New Roman"/>
          <w:b/>
          <w:i/>
          <w:szCs w:val="24"/>
          <w:lang w:val="ro-MD"/>
        </w:rPr>
      </w:pPr>
      <w:r w:rsidRPr="00DD5F1D">
        <w:rPr>
          <w:rFonts w:ascii="Times New Roman" w:eastAsia="Times New Roman" w:hAnsi="Times New Roman" w:cs="Times New Roman"/>
          <w:b/>
          <w:i/>
          <w:sz w:val="20"/>
          <w:szCs w:val="20"/>
          <w:lang w:val="ro-MD"/>
        </w:rPr>
        <w:t>(mil. lei)</w:t>
      </w:r>
    </w:p>
    <w:p w14:paraId="6C215E41" w14:textId="77777777" w:rsidR="00775DBA" w:rsidRPr="00DD5F1D" w:rsidRDefault="00775DBA" w:rsidP="00775DBA">
      <w:pPr>
        <w:tabs>
          <w:tab w:val="left" w:pos="162"/>
        </w:tabs>
        <w:spacing w:after="0" w:line="276" w:lineRule="auto"/>
        <w:jc w:val="both"/>
        <w:rPr>
          <w:rFonts w:ascii="Times New Roman" w:eastAsia="Times New Roman" w:hAnsi="Times New Roman" w:cs="Times New Roman"/>
          <w:noProof/>
          <w:sz w:val="24"/>
          <w:szCs w:val="24"/>
          <w:lang w:val="ro-MD"/>
        </w:rPr>
      </w:pPr>
      <w:r w:rsidRPr="00DD5F1D">
        <w:rPr>
          <w:rFonts w:ascii="Times New Roman" w:eastAsia="Times New Roman" w:hAnsi="Times New Roman" w:cs="Times New Roman"/>
          <w:noProof/>
          <w:sz w:val="24"/>
          <w:szCs w:val="24"/>
          <w:lang w:val="ru-RU" w:eastAsia="ru-RU"/>
        </w:rPr>
        <w:drawing>
          <wp:inline distT="0" distB="0" distL="0" distR="0" wp14:anchorId="5892EAFD" wp14:editId="0C8526F2">
            <wp:extent cx="6217920" cy="2857500"/>
            <wp:effectExtent l="0" t="0" r="1143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29C35F" w14:textId="3BFFC651" w:rsidR="00775DBA" w:rsidRPr="00DD5F1D" w:rsidRDefault="00775DBA" w:rsidP="00775DBA">
      <w:pPr>
        <w:tabs>
          <w:tab w:val="left" w:pos="6504"/>
        </w:tabs>
        <w:rPr>
          <w:rFonts w:ascii="Times New Roman" w:eastAsia="Times New Roman" w:hAnsi="Times New Roman" w:cs="Times New Roman"/>
          <w:noProof/>
          <w:sz w:val="28"/>
          <w:szCs w:val="24"/>
          <w:lang w:val="ro-MD"/>
        </w:rPr>
      </w:pPr>
      <w:r w:rsidRPr="00DD5F1D">
        <w:rPr>
          <w:rFonts w:ascii="Times New Roman" w:eastAsia="Calibri" w:hAnsi="Times New Roman" w:cs="Times New Roman"/>
          <w:b/>
          <w:bCs/>
          <w:i/>
          <w:szCs w:val="20"/>
          <w:lang w:val="ro-MD"/>
        </w:rPr>
        <w:t>Sursă:</w:t>
      </w:r>
      <w:r w:rsidRPr="00DD5F1D">
        <w:rPr>
          <w:rFonts w:ascii="Times New Roman" w:eastAsia="Calibri" w:hAnsi="Times New Roman" w:cs="Times New Roman"/>
          <w:i/>
          <w:szCs w:val="20"/>
          <w:lang w:val="ro-MD"/>
        </w:rPr>
        <w:t xml:space="preserve"> Raportul privind executarea bugetului asigurărilor sociale de stat pentru anii 2019-2023</w:t>
      </w:r>
      <w:r w:rsidR="00BD3EA8" w:rsidRPr="00DD5F1D">
        <w:rPr>
          <w:rFonts w:ascii="Times New Roman" w:eastAsia="Calibri" w:hAnsi="Times New Roman" w:cs="Times New Roman"/>
          <w:i/>
          <w:szCs w:val="20"/>
          <w:lang w:val="ro-MD"/>
        </w:rPr>
        <w:t>.</w:t>
      </w:r>
    </w:p>
    <w:p w14:paraId="7838F2BE" w14:textId="77777777" w:rsidR="00775DBA" w:rsidRPr="00DD5F1D" w:rsidRDefault="00775DBA" w:rsidP="00775DBA">
      <w:pPr>
        <w:rPr>
          <w:rFonts w:ascii="Times New Roman" w:hAnsi="Times New Roman" w:cs="Times New Roman"/>
          <w:sz w:val="18"/>
          <w:szCs w:val="18"/>
          <w:lang w:val="ro-MD"/>
        </w:rPr>
      </w:pPr>
    </w:p>
    <w:p w14:paraId="3BC55E0E" w14:textId="77777777" w:rsidR="00775DBA" w:rsidRPr="00DD5F1D" w:rsidRDefault="002004EC" w:rsidP="00775DBA">
      <w:pPr>
        <w:keepNext/>
        <w:keepLines/>
        <w:spacing w:before="40" w:after="0" w:line="240" w:lineRule="auto"/>
        <w:jc w:val="right"/>
        <w:outlineLvl w:val="1"/>
        <w:rPr>
          <w:rFonts w:ascii="Times New Roman" w:eastAsia="Times New Roman" w:hAnsi="Times New Roman" w:cs="Times New Roman"/>
          <w:b/>
          <w:sz w:val="24"/>
          <w:szCs w:val="24"/>
          <w:lang w:val="ro-MD" w:eastAsia="ro-RO"/>
        </w:rPr>
      </w:pPr>
      <w:r w:rsidRPr="00DD5F1D">
        <w:rPr>
          <w:rFonts w:ascii="Times New Roman" w:eastAsia="Times New Roman" w:hAnsi="Times New Roman" w:cs="Times New Roman"/>
          <w:b/>
          <w:sz w:val="24"/>
          <w:szCs w:val="24"/>
          <w:lang w:val="ro-MD" w:eastAsia="ro-RO"/>
        </w:rPr>
        <w:t xml:space="preserve">Anexa nr. </w:t>
      </w:r>
      <w:r w:rsidR="000E2AC7" w:rsidRPr="00DD5F1D">
        <w:rPr>
          <w:rFonts w:ascii="Times New Roman" w:eastAsia="Times New Roman" w:hAnsi="Times New Roman" w:cs="Times New Roman"/>
          <w:b/>
          <w:sz w:val="24"/>
          <w:szCs w:val="24"/>
          <w:lang w:val="ro-MD" w:eastAsia="ro-RO"/>
        </w:rPr>
        <w:t>23</w:t>
      </w:r>
    </w:p>
    <w:p w14:paraId="1DB622D1" w14:textId="77777777" w:rsidR="00775DBA" w:rsidRPr="00DD5F1D" w:rsidRDefault="00775DBA" w:rsidP="00775DBA">
      <w:pPr>
        <w:spacing w:after="0" w:line="276" w:lineRule="auto"/>
        <w:jc w:val="center"/>
        <w:rPr>
          <w:rFonts w:ascii="Times New Roman" w:eastAsia="Calibri" w:hAnsi="Times New Roman" w:cs="Times New Roman"/>
          <w:b/>
          <w:bCs/>
          <w:sz w:val="24"/>
          <w:szCs w:val="24"/>
          <w:lang w:val="ro-MD"/>
        </w:rPr>
      </w:pPr>
      <w:r w:rsidRPr="00DD5F1D">
        <w:rPr>
          <w:rFonts w:ascii="Times New Roman" w:eastAsia="Calibri" w:hAnsi="Times New Roman" w:cs="Times New Roman"/>
          <w:b/>
          <w:bCs/>
          <w:sz w:val="24"/>
          <w:szCs w:val="24"/>
          <w:lang w:val="ro-MD"/>
        </w:rPr>
        <w:t>Ponderea cheltuielilor pe programe în totalul cheltuielilor BASS, executate în anul 2023</w:t>
      </w:r>
      <w:r w:rsidRPr="00DD5F1D">
        <w:rPr>
          <w:rFonts w:ascii="Times New Roman" w:eastAsia="Calibri" w:hAnsi="Times New Roman" w:cs="Times New Roman"/>
          <w:b/>
          <w:bCs/>
          <w:noProof/>
          <w:sz w:val="24"/>
          <w:szCs w:val="24"/>
          <w:lang w:val="ru-RU" w:eastAsia="ru-RU"/>
        </w:rPr>
        <w:drawing>
          <wp:inline distT="0" distB="0" distL="0" distR="0" wp14:anchorId="1F4615CD" wp14:editId="7A1412DF">
            <wp:extent cx="6152515" cy="3025827"/>
            <wp:effectExtent l="19050" t="0" r="635"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F627CB2" w14:textId="77777777" w:rsidR="00775DBA" w:rsidRPr="00DD5F1D" w:rsidRDefault="00775DBA" w:rsidP="00775DBA">
      <w:pPr>
        <w:tabs>
          <w:tab w:val="left" w:pos="6504"/>
        </w:tabs>
        <w:jc w:val="both"/>
        <w:rPr>
          <w:rFonts w:ascii="Times New Roman" w:eastAsia="Calibri" w:hAnsi="Times New Roman" w:cs="Times New Roman"/>
          <w:i/>
          <w:szCs w:val="20"/>
          <w:lang w:val="ro-MD"/>
        </w:rPr>
      </w:pPr>
      <w:r w:rsidRPr="00DD5F1D">
        <w:rPr>
          <w:rFonts w:ascii="Times New Roman" w:eastAsia="Calibri" w:hAnsi="Times New Roman" w:cs="Times New Roman"/>
          <w:b/>
          <w:i/>
          <w:szCs w:val="20"/>
          <w:lang w:val="ro-MD"/>
        </w:rPr>
        <w:t>Sursă:</w:t>
      </w:r>
      <w:r w:rsidRPr="00DD5F1D">
        <w:rPr>
          <w:rFonts w:ascii="Times New Roman" w:eastAsia="Calibri" w:hAnsi="Times New Roman" w:cs="Times New Roman"/>
          <w:i/>
          <w:szCs w:val="20"/>
          <w:lang w:val="ro-MD"/>
        </w:rPr>
        <w:t xml:space="preserve"> Date calculate de audit în baza informațiilor din Raportul privind executarea bugetului asigurărilor sociale de stat pentru anul 2023 (Formularul nr.2 CNAS).</w:t>
      </w:r>
    </w:p>
    <w:p w14:paraId="3056B186" w14:textId="77777777" w:rsidR="002004EC" w:rsidRPr="00DD5F1D" w:rsidRDefault="002004EC" w:rsidP="00775DBA">
      <w:pPr>
        <w:tabs>
          <w:tab w:val="left" w:pos="6504"/>
        </w:tabs>
        <w:jc w:val="both"/>
        <w:rPr>
          <w:rFonts w:ascii="Times New Roman" w:eastAsia="Calibri" w:hAnsi="Times New Roman" w:cs="Times New Roman"/>
          <w:i/>
          <w:sz w:val="20"/>
          <w:szCs w:val="20"/>
          <w:lang w:val="ro-MD"/>
        </w:rPr>
      </w:pPr>
    </w:p>
    <w:p w14:paraId="08E53B13" w14:textId="77777777" w:rsidR="00775DBA" w:rsidRPr="00DD5F1D" w:rsidRDefault="002004EC" w:rsidP="00775DBA">
      <w:pPr>
        <w:keepNext/>
        <w:keepLines/>
        <w:spacing w:before="40" w:after="0" w:line="240" w:lineRule="auto"/>
        <w:jc w:val="right"/>
        <w:outlineLvl w:val="1"/>
        <w:rPr>
          <w:rFonts w:ascii="Times New Roman" w:eastAsia="Times New Roman" w:hAnsi="Times New Roman" w:cs="Times New Roman"/>
          <w:b/>
          <w:bCs/>
          <w:sz w:val="24"/>
          <w:szCs w:val="24"/>
          <w:lang w:val="ro-MD" w:eastAsia="ro-RO"/>
        </w:rPr>
      </w:pPr>
      <w:r w:rsidRPr="00DD5F1D">
        <w:rPr>
          <w:rFonts w:ascii="Times New Roman" w:eastAsia="Times New Roman" w:hAnsi="Times New Roman" w:cs="Times New Roman"/>
          <w:b/>
          <w:bCs/>
          <w:sz w:val="24"/>
          <w:szCs w:val="24"/>
          <w:lang w:val="ro-MD" w:eastAsia="ro-RO"/>
        </w:rPr>
        <w:t xml:space="preserve">Anexa nr. </w:t>
      </w:r>
      <w:r w:rsidR="000E2AC7" w:rsidRPr="00DD5F1D">
        <w:rPr>
          <w:rFonts w:ascii="Times New Roman" w:eastAsia="Times New Roman" w:hAnsi="Times New Roman" w:cs="Times New Roman"/>
          <w:b/>
          <w:bCs/>
          <w:sz w:val="24"/>
          <w:szCs w:val="24"/>
          <w:lang w:val="ro-MD" w:eastAsia="ro-RO"/>
        </w:rPr>
        <w:t>24</w:t>
      </w:r>
    </w:p>
    <w:p w14:paraId="5D17EFC3" w14:textId="77777777" w:rsidR="00775DBA" w:rsidRPr="00DD5F1D" w:rsidRDefault="00775DBA" w:rsidP="00775DBA">
      <w:pPr>
        <w:tabs>
          <w:tab w:val="left" w:pos="1080"/>
        </w:tabs>
        <w:spacing w:after="0" w:line="276" w:lineRule="auto"/>
        <w:contextualSpacing/>
        <w:jc w:val="center"/>
        <w:rPr>
          <w:rFonts w:ascii="Times New Roman" w:eastAsia="Calibri" w:hAnsi="Times New Roman" w:cs="Times New Roman"/>
          <w:sz w:val="18"/>
          <w:szCs w:val="18"/>
          <w:lang w:val="ro-MD"/>
        </w:rPr>
      </w:pPr>
      <w:r w:rsidRPr="00DD5F1D">
        <w:rPr>
          <w:rFonts w:ascii="Times New Roman" w:eastAsia="Calibri" w:hAnsi="Times New Roman" w:cs="Times New Roman"/>
          <w:b/>
          <w:sz w:val="24"/>
          <w:szCs w:val="24"/>
          <w:lang w:val="ro-MD"/>
        </w:rPr>
        <w:t>Structura cheltuielilor efective privind acordarea pensiilor de asigurări sociale</w:t>
      </w:r>
    </w:p>
    <w:p w14:paraId="7A55FDF4" w14:textId="77777777" w:rsidR="00775DBA" w:rsidRPr="00DD5F1D" w:rsidRDefault="00775DBA" w:rsidP="00775DBA">
      <w:pPr>
        <w:tabs>
          <w:tab w:val="left" w:pos="6504"/>
        </w:tabs>
        <w:spacing w:after="0"/>
        <w:rPr>
          <w:rFonts w:ascii="Times New Roman" w:eastAsia="Calibri" w:hAnsi="Times New Roman" w:cs="Times New Roman"/>
          <w:lang w:val="ro-MD"/>
        </w:rPr>
      </w:pPr>
      <w:r w:rsidRPr="00DD5F1D">
        <w:rPr>
          <w:rFonts w:ascii="Times New Roman" w:hAnsi="Times New Roman" w:cs="Times New Roman"/>
          <w:noProof/>
          <w:sz w:val="20"/>
          <w:szCs w:val="20"/>
          <w:lang w:val="ru-RU" w:eastAsia="ru-RU"/>
        </w:rPr>
        <w:drawing>
          <wp:inline distT="0" distB="0" distL="0" distR="0" wp14:anchorId="655D358C" wp14:editId="56155AB3">
            <wp:extent cx="6156960" cy="2743200"/>
            <wp:effectExtent l="0" t="0" r="1524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FFC6BFB" w14:textId="77777777" w:rsidR="00775DBA" w:rsidRPr="00DD5F1D" w:rsidRDefault="00775DBA" w:rsidP="00775DBA">
      <w:pPr>
        <w:tabs>
          <w:tab w:val="left" w:pos="6504"/>
        </w:tabs>
        <w:spacing w:after="0"/>
        <w:rPr>
          <w:rFonts w:ascii="Times New Roman" w:eastAsia="Calibri" w:hAnsi="Times New Roman" w:cs="Times New Roman"/>
          <w:i/>
          <w:szCs w:val="20"/>
          <w:lang w:val="ro-MD"/>
        </w:rPr>
      </w:pPr>
      <w:r w:rsidRPr="00DD5F1D">
        <w:rPr>
          <w:rFonts w:ascii="Times New Roman" w:eastAsia="Calibri" w:hAnsi="Times New Roman" w:cs="Times New Roman"/>
          <w:b/>
          <w:i/>
          <w:szCs w:val="20"/>
          <w:lang w:val="ro-MD"/>
        </w:rPr>
        <w:t>Sursă:</w:t>
      </w:r>
      <w:r w:rsidRPr="00DD5F1D">
        <w:rPr>
          <w:rFonts w:ascii="Times New Roman" w:eastAsia="Calibri" w:hAnsi="Times New Roman" w:cs="Times New Roman"/>
          <w:i/>
          <w:szCs w:val="20"/>
          <w:lang w:val="ro-MD"/>
        </w:rPr>
        <w:t xml:space="preserve"> Date calculate de audit reieșind din informațiile Raportului privind executarea bugetului asigurărilor sociale de stat la partea de cheltuieli a prestațiilor sociale, la situația din 01.12.2023 (Formularul nr.7 CNAS).</w:t>
      </w:r>
    </w:p>
    <w:p w14:paraId="21C75D38" w14:textId="77777777" w:rsidR="00775DBA" w:rsidRPr="00DD5F1D" w:rsidRDefault="00775DBA" w:rsidP="00775DBA">
      <w:pPr>
        <w:tabs>
          <w:tab w:val="left" w:pos="6504"/>
        </w:tabs>
        <w:jc w:val="both"/>
        <w:rPr>
          <w:rFonts w:ascii="Times New Roman" w:eastAsia="Calibri" w:hAnsi="Times New Roman" w:cs="Times New Roman"/>
          <w:i/>
          <w:szCs w:val="20"/>
          <w:lang w:val="ro-MD"/>
        </w:rPr>
      </w:pPr>
    </w:p>
    <w:p w14:paraId="784FE96F" w14:textId="77777777" w:rsidR="002004EC" w:rsidRPr="00DD5F1D" w:rsidRDefault="002004EC" w:rsidP="002004EC">
      <w:pPr>
        <w:pStyle w:val="2"/>
        <w:jc w:val="right"/>
        <w:rPr>
          <w:rFonts w:ascii="Times New Roman" w:eastAsia="Times New Roman" w:hAnsi="Times New Roman" w:cs="Times New Roman"/>
          <w:b/>
          <w:bCs/>
          <w:iCs/>
          <w:color w:val="auto"/>
          <w:sz w:val="24"/>
          <w:szCs w:val="24"/>
          <w:lang w:val="ro-MD"/>
        </w:rPr>
      </w:pPr>
      <w:r w:rsidRPr="00DD5F1D">
        <w:rPr>
          <w:rFonts w:ascii="Times New Roman" w:eastAsia="Times New Roman" w:hAnsi="Times New Roman" w:cs="Times New Roman"/>
          <w:b/>
          <w:bCs/>
          <w:iCs/>
          <w:color w:val="auto"/>
          <w:sz w:val="24"/>
          <w:szCs w:val="24"/>
          <w:lang w:val="ro-MD"/>
        </w:rPr>
        <w:t xml:space="preserve">Anexa nr. </w:t>
      </w:r>
      <w:r w:rsidR="000E2AC7" w:rsidRPr="00DD5F1D">
        <w:rPr>
          <w:rFonts w:ascii="Times New Roman" w:eastAsia="Times New Roman" w:hAnsi="Times New Roman" w:cs="Times New Roman"/>
          <w:b/>
          <w:bCs/>
          <w:iCs/>
          <w:color w:val="auto"/>
          <w:sz w:val="24"/>
          <w:szCs w:val="24"/>
          <w:lang w:val="ro-MD"/>
        </w:rPr>
        <w:t>25</w:t>
      </w:r>
    </w:p>
    <w:p w14:paraId="2CBB3B17" w14:textId="77777777" w:rsidR="002004EC" w:rsidRPr="00DD5F1D" w:rsidRDefault="002004EC" w:rsidP="002004EC">
      <w:pPr>
        <w:tabs>
          <w:tab w:val="left" w:pos="162"/>
        </w:tabs>
        <w:spacing w:after="0" w:line="276" w:lineRule="auto"/>
        <w:jc w:val="center"/>
        <w:rPr>
          <w:rFonts w:ascii="Times New Roman" w:eastAsia="Times New Roman" w:hAnsi="Times New Roman" w:cs="Times New Roman"/>
          <w:b/>
          <w:bCs/>
          <w:iCs/>
          <w:sz w:val="24"/>
          <w:szCs w:val="24"/>
          <w:lang w:val="ro-MD"/>
        </w:rPr>
      </w:pPr>
      <w:r w:rsidRPr="00DD5F1D">
        <w:rPr>
          <w:rFonts w:ascii="Times New Roman" w:eastAsia="Times New Roman" w:hAnsi="Times New Roman" w:cs="Times New Roman"/>
          <w:b/>
          <w:bCs/>
          <w:iCs/>
          <w:sz w:val="24"/>
          <w:szCs w:val="24"/>
          <w:lang w:val="ro-MD"/>
        </w:rPr>
        <w:t>Evoluția ponderii veniturilor proprii ale BASS și transferurilor de la bugetul public național în totalul veniturilor</w:t>
      </w:r>
    </w:p>
    <w:p w14:paraId="25D6AD42" w14:textId="77777777" w:rsidR="002004EC" w:rsidRPr="00DD5F1D" w:rsidRDefault="002004EC" w:rsidP="002004EC">
      <w:pPr>
        <w:tabs>
          <w:tab w:val="left" w:pos="162"/>
        </w:tabs>
        <w:spacing w:after="0" w:line="276" w:lineRule="auto"/>
        <w:rPr>
          <w:rFonts w:ascii="Times New Roman" w:eastAsia="Times New Roman" w:hAnsi="Times New Roman" w:cs="Times New Roman"/>
          <w:i/>
          <w:sz w:val="20"/>
          <w:szCs w:val="20"/>
          <w:lang w:val="ro-MD"/>
        </w:rPr>
      </w:pPr>
      <w:r w:rsidRPr="00DD5F1D">
        <w:rPr>
          <w:rFonts w:ascii="Times New Roman" w:eastAsia="Times New Roman" w:hAnsi="Times New Roman" w:cs="Times New Roman"/>
          <w:i/>
          <w:noProof/>
          <w:sz w:val="20"/>
          <w:szCs w:val="20"/>
          <w:lang w:val="ru-RU" w:eastAsia="ru-RU"/>
        </w:rPr>
        <w:drawing>
          <wp:inline distT="0" distB="0" distL="0" distR="0" wp14:anchorId="6F9AAA48" wp14:editId="75E2B80B">
            <wp:extent cx="6156960" cy="3390900"/>
            <wp:effectExtent l="0" t="0" r="152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7C196E4" w14:textId="62618D8D" w:rsidR="002004EC" w:rsidRPr="00DD5F1D" w:rsidRDefault="002004EC" w:rsidP="002004EC">
      <w:pPr>
        <w:tabs>
          <w:tab w:val="left" w:pos="6504"/>
        </w:tabs>
        <w:jc w:val="both"/>
        <w:rPr>
          <w:rFonts w:ascii="Times New Roman" w:eastAsia="Calibri" w:hAnsi="Times New Roman" w:cs="Times New Roman"/>
          <w:i/>
          <w:szCs w:val="20"/>
          <w:lang w:val="ro-MD"/>
        </w:rPr>
      </w:pPr>
      <w:r w:rsidRPr="00DD5F1D">
        <w:rPr>
          <w:rFonts w:ascii="Times New Roman" w:eastAsia="Times New Roman" w:hAnsi="Times New Roman" w:cs="Times New Roman"/>
          <w:b/>
          <w:i/>
          <w:sz w:val="20"/>
          <w:szCs w:val="20"/>
          <w:lang w:val="ro-MD"/>
        </w:rPr>
        <w:t xml:space="preserve">     </w:t>
      </w:r>
      <w:r w:rsidRPr="00DD5F1D">
        <w:rPr>
          <w:rFonts w:ascii="Times New Roman" w:eastAsia="Times New Roman" w:hAnsi="Times New Roman" w:cs="Times New Roman"/>
          <w:b/>
          <w:i/>
          <w:szCs w:val="20"/>
          <w:lang w:val="ro-MD"/>
        </w:rPr>
        <w:t>Sursă:</w:t>
      </w:r>
      <w:r w:rsidRPr="00DD5F1D">
        <w:rPr>
          <w:rFonts w:ascii="Times New Roman" w:eastAsia="Times New Roman" w:hAnsi="Times New Roman" w:cs="Times New Roman"/>
          <w:i/>
          <w:szCs w:val="20"/>
          <w:lang w:val="ro-MD"/>
        </w:rPr>
        <w:t xml:space="preserve"> Rapoartele privind executarea bugetului asigurărilor sociale de stat pentru anii 2019-2023</w:t>
      </w:r>
      <w:r w:rsidR="00BD3EA8" w:rsidRPr="00DD5F1D">
        <w:rPr>
          <w:rFonts w:ascii="Times New Roman" w:eastAsia="Times New Roman" w:hAnsi="Times New Roman" w:cs="Times New Roman"/>
          <w:i/>
          <w:szCs w:val="20"/>
          <w:lang w:val="ro-MD"/>
        </w:rPr>
        <w:t>.</w:t>
      </w:r>
    </w:p>
    <w:p w14:paraId="18C68179" w14:textId="77777777" w:rsidR="00775DBA" w:rsidRPr="00DD5F1D" w:rsidRDefault="00775DBA" w:rsidP="00775DBA">
      <w:pPr>
        <w:rPr>
          <w:rFonts w:ascii="Times New Roman" w:hAnsi="Times New Roman" w:cs="Times New Roman"/>
          <w:sz w:val="20"/>
          <w:szCs w:val="18"/>
          <w:lang w:val="ro-MD"/>
        </w:rPr>
        <w:sectPr w:rsidR="00775DBA" w:rsidRPr="00DD5F1D" w:rsidSect="00571A46">
          <w:pgSz w:w="12240" w:h="15840"/>
          <w:pgMar w:top="1140" w:right="851" w:bottom="1140" w:left="1355" w:header="720" w:footer="720" w:gutter="0"/>
          <w:cols w:space="720"/>
          <w:docGrid w:linePitch="360"/>
        </w:sectPr>
      </w:pPr>
    </w:p>
    <w:p w14:paraId="1261ADDE" w14:textId="77777777" w:rsidR="00775DBA" w:rsidRPr="00DD5F1D" w:rsidRDefault="002004EC" w:rsidP="00775DBA">
      <w:pPr>
        <w:keepNext/>
        <w:keepLines/>
        <w:spacing w:before="40" w:after="0" w:line="240" w:lineRule="auto"/>
        <w:jc w:val="right"/>
        <w:outlineLvl w:val="1"/>
        <w:rPr>
          <w:rFonts w:ascii="Times New Roman" w:eastAsia="Times New Roman" w:hAnsi="Times New Roman" w:cs="Times New Roman"/>
          <w:b/>
          <w:bCs/>
          <w:sz w:val="24"/>
          <w:szCs w:val="24"/>
          <w:lang w:val="ro-MD" w:eastAsia="ro-RO"/>
        </w:rPr>
      </w:pPr>
      <w:r w:rsidRPr="00DD5F1D">
        <w:rPr>
          <w:rFonts w:ascii="Times New Roman" w:eastAsia="Times New Roman" w:hAnsi="Times New Roman" w:cs="Times New Roman"/>
          <w:b/>
          <w:bCs/>
          <w:sz w:val="24"/>
          <w:szCs w:val="24"/>
          <w:lang w:val="ro-MD" w:eastAsia="ro-RO"/>
        </w:rPr>
        <w:t xml:space="preserve">Anexa nr. </w:t>
      </w:r>
      <w:r w:rsidR="000E2AC7" w:rsidRPr="00DD5F1D">
        <w:rPr>
          <w:rFonts w:ascii="Times New Roman" w:eastAsia="Times New Roman" w:hAnsi="Times New Roman" w:cs="Times New Roman"/>
          <w:b/>
          <w:bCs/>
          <w:sz w:val="24"/>
          <w:szCs w:val="24"/>
          <w:lang w:val="ro-MD" w:eastAsia="ro-RO"/>
        </w:rPr>
        <w:t>26</w:t>
      </w:r>
    </w:p>
    <w:p w14:paraId="4857C5E2" w14:textId="2B78FE56" w:rsidR="00775DBA" w:rsidRPr="00DD5F1D" w:rsidRDefault="00775DBA" w:rsidP="00775DBA">
      <w:pPr>
        <w:tabs>
          <w:tab w:val="left" w:pos="6504"/>
        </w:tabs>
        <w:jc w:val="center"/>
        <w:rPr>
          <w:rFonts w:ascii="Times New Roman" w:eastAsia="Calibri" w:hAnsi="Times New Roman" w:cs="Times New Roman"/>
          <w:b/>
          <w:sz w:val="24"/>
          <w:szCs w:val="24"/>
          <w:lang w:val="ro-MD"/>
        </w:rPr>
      </w:pPr>
      <w:r w:rsidRPr="00DD5F1D">
        <w:rPr>
          <w:rFonts w:ascii="Times New Roman" w:eastAsia="Calibri" w:hAnsi="Times New Roman" w:cs="Times New Roman"/>
          <w:b/>
          <w:sz w:val="24"/>
          <w:szCs w:val="24"/>
          <w:lang w:val="ro-MD"/>
        </w:rPr>
        <w:t>Numărul real de</w:t>
      </w:r>
      <w:r w:rsidR="00AA2D8F" w:rsidRPr="00DD5F1D">
        <w:rPr>
          <w:rFonts w:ascii="Times New Roman" w:eastAsia="Calibri" w:hAnsi="Times New Roman" w:cs="Times New Roman"/>
          <w:b/>
          <w:sz w:val="24"/>
          <w:szCs w:val="24"/>
          <w:lang w:val="ro-MD"/>
        </w:rPr>
        <w:t xml:space="preserve"> prestații care se calculează și se achită beneficiarilor</w:t>
      </w:r>
      <w:r w:rsidRPr="00DD5F1D">
        <w:rPr>
          <w:rFonts w:ascii="Times New Roman" w:eastAsia="Calibri" w:hAnsi="Times New Roman" w:cs="Times New Roman"/>
          <w:b/>
          <w:sz w:val="24"/>
          <w:szCs w:val="24"/>
          <w:lang w:val="ro-MD"/>
        </w:rPr>
        <w:t>, pentru anii 2019-2023</w:t>
      </w:r>
    </w:p>
    <w:tbl>
      <w:tblPr>
        <w:tblW w:w="1406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026"/>
        <w:gridCol w:w="1057"/>
        <w:gridCol w:w="1058"/>
        <w:gridCol w:w="1059"/>
        <w:gridCol w:w="1104"/>
        <w:gridCol w:w="912"/>
        <w:gridCol w:w="733"/>
        <w:gridCol w:w="815"/>
        <w:gridCol w:w="640"/>
        <w:gridCol w:w="886"/>
        <w:gridCol w:w="668"/>
        <w:gridCol w:w="770"/>
        <w:gridCol w:w="11"/>
        <w:gridCol w:w="582"/>
      </w:tblGrid>
      <w:tr w:rsidR="00CF4DFD" w:rsidRPr="00DD5F1D" w14:paraId="14580C0B" w14:textId="77777777" w:rsidTr="00CF4DFD">
        <w:trPr>
          <w:trHeight w:val="19"/>
        </w:trPr>
        <w:tc>
          <w:tcPr>
            <w:tcW w:w="2985" w:type="dxa"/>
            <w:vMerge w:val="restart"/>
            <w:shd w:val="clear" w:color="auto" w:fill="auto"/>
            <w:vAlign w:val="center"/>
            <w:hideMark/>
          </w:tcPr>
          <w:p w14:paraId="6A4F5DB2"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Tipul plății</w:t>
            </w:r>
          </w:p>
        </w:tc>
        <w:tc>
          <w:tcPr>
            <w:tcW w:w="647" w:type="dxa"/>
            <w:vMerge w:val="restart"/>
            <w:shd w:val="clear" w:color="auto" w:fill="auto"/>
            <w:vAlign w:val="center"/>
            <w:hideMark/>
          </w:tcPr>
          <w:p w14:paraId="01CA5367"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La data</w:t>
            </w:r>
          </w:p>
          <w:p w14:paraId="49EE52CF"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31.12.2019</w:t>
            </w:r>
          </w:p>
        </w:tc>
        <w:tc>
          <w:tcPr>
            <w:tcW w:w="1063" w:type="dxa"/>
            <w:vMerge w:val="restart"/>
            <w:shd w:val="clear" w:color="auto" w:fill="auto"/>
            <w:vAlign w:val="center"/>
            <w:hideMark/>
          </w:tcPr>
          <w:p w14:paraId="56EBB87A"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La data</w:t>
            </w:r>
          </w:p>
          <w:p w14:paraId="2C10F2AB"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31.12.2020</w:t>
            </w:r>
          </w:p>
        </w:tc>
        <w:tc>
          <w:tcPr>
            <w:tcW w:w="1063" w:type="dxa"/>
            <w:vMerge w:val="restart"/>
            <w:shd w:val="clear" w:color="auto" w:fill="auto"/>
            <w:vAlign w:val="center"/>
            <w:hideMark/>
          </w:tcPr>
          <w:p w14:paraId="213A5580"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La data</w:t>
            </w:r>
          </w:p>
          <w:p w14:paraId="55EEDEFF"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31.12.2021</w:t>
            </w:r>
          </w:p>
        </w:tc>
        <w:tc>
          <w:tcPr>
            <w:tcW w:w="1064" w:type="dxa"/>
            <w:vMerge w:val="restart"/>
            <w:shd w:val="clear" w:color="auto" w:fill="auto"/>
            <w:vAlign w:val="center"/>
            <w:hideMark/>
          </w:tcPr>
          <w:p w14:paraId="47EDD220"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La data</w:t>
            </w:r>
          </w:p>
          <w:p w14:paraId="09A2E846"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31.12.2022</w:t>
            </w:r>
          </w:p>
        </w:tc>
        <w:tc>
          <w:tcPr>
            <w:tcW w:w="1117" w:type="dxa"/>
            <w:vMerge w:val="restart"/>
            <w:shd w:val="clear" w:color="auto" w:fill="auto"/>
            <w:vAlign w:val="center"/>
          </w:tcPr>
          <w:p w14:paraId="49B58651"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La data 31.12.2023</w:t>
            </w:r>
          </w:p>
        </w:tc>
        <w:tc>
          <w:tcPr>
            <w:tcW w:w="1675" w:type="dxa"/>
            <w:gridSpan w:val="2"/>
            <w:shd w:val="clear" w:color="auto" w:fill="auto"/>
            <w:vAlign w:val="center"/>
          </w:tcPr>
          <w:p w14:paraId="53EEB6CE"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Devieri 2023/2022</w:t>
            </w:r>
          </w:p>
        </w:tc>
        <w:tc>
          <w:tcPr>
            <w:tcW w:w="1483" w:type="dxa"/>
            <w:gridSpan w:val="2"/>
            <w:shd w:val="clear" w:color="auto" w:fill="auto"/>
            <w:vAlign w:val="center"/>
            <w:hideMark/>
          </w:tcPr>
          <w:p w14:paraId="07E7CD76"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Devieri 2022/2021</w:t>
            </w:r>
          </w:p>
        </w:tc>
        <w:tc>
          <w:tcPr>
            <w:tcW w:w="1591" w:type="dxa"/>
            <w:gridSpan w:val="2"/>
            <w:shd w:val="clear" w:color="auto" w:fill="auto"/>
            <w:vAlign w:val="center"/>
            <w:hideMark/>
          </w:tcPr>
          <w:p w14:paraId="62C1EC6D"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Devieri 2021/2020</w:t>
            </w:r>
          </w:p>
        </w:tc>
        <w:tc>
          <w:tcPr>
            <w:tcW w:w="1375" w:type="dxa"/>
            <w:gridSpan w:val="3"/>
            <w:shd w:val="clear" w:color="auto" w:fill="auto"/>
          </w:tcPr>
          <w:p w14:paraId="4497F328"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Devieri 2020/2019</w:t>
            </w:r>
          </w:p>
        </w:tc>
      </w:tr>
      <w:tr w:rsidR="00CF4DFD" w:rsidRPr="00DD5F1D" w14:paraId="62CB4368" w14:textId="77777777" w:rsidTr="00CF4DFD">
        <w:trPr>
          <w:trHeight w:val="19"/>
        </w:trPr>
        <w:tc>
          <w:tcPr>
            <w:tcW w:w="2985" w:type="dxa"/>
            <w:vMerge/>
            <w:shd w:val="clear" w:color="auto" w:fill="auto"/>
            <w:vAlign w:val="center"/>
            <w:hideMark/>
          </w:tcPr>
          <w:p w14:paraId="10D2B28E" w14:textId="77777777" w:rsidR="00775DBA" w:rsidRPr="00DD5F1D" w:rsidRDefault="00775DBA" w:rsidP="00636C42">
            <w:pPr>
              <w:spacing w:after="0"/>
              <w:rPr>
                <w:rFonts w:ascii="Times New Roman" w:hAnsi="Times New Roman" w:cs="Times New Roman"/>
                <w:b/>
                <w:bCs/>
                <w:sz w:val="18"/>
                <w:szCs w:val="18"/>
                <w:lang w:val="ro-MD"/>
              </w:rPr>
            </w:pPr>
          </w:p>
        </w:tc>
        <w:tc>
          <w:tcPr>
            <w:tcW w:w="647" w:type="dxa"/>
            <w:vMerge/>
            <w:shd w:val="clear" w:color="auto" w:fill="auto"/>
            <w:vAlign w:val="center"/>
            <w:hideMark/>
          </w:tcPr>
          <w:p w14:paraId="7E1899AB" w14:textId="77777777" w:rsidR="00775DBA" w:rsidRPr="00DD5F1D" w:rsidRDefault="00775DBA" w:rsidP="00636C42">
            <w:pPr>
              <w:spacing w:after="0"/>
              <w:jc w:val="center"/>
              <w:rPr>
                <w:rFonts w:ascii="Times New Roman" w:hAnsi="Times New Roman" w:cs="Times New Roman"/>
                <w:b/>
                <w:bCs/>
                <w:sz w:val="18"/>
                <w:szCs w:val="18"/>
                <w:lang w:val="ro-MD"/>
              </w:rPr>
            </w:pPr>
          </w:p>
        </w:tc>
        <w:tc>
          <w:tcPr>
            <w:tcW w:w="1063" w:type="dxa"/>
            <w:vMerge/>
            <w:shd w:val="clear" w:color="auto" w:fill="auto"/>
            <w:vAlign w:val="center"/>
            <w:hideMark/>
          </w:tcPr>
          <w:p w14:paraId="10CC3C25" w14:textId="77777777" w:rsidR="00775DBA" w:rsidRPr="00DD5F1D" w:rsidRDefault="00775DBA" w:rsidP="00636C42">
            <w:pPr>
              <w:spacing w:after="0"/>
              <w:jc w:val="center"/>
              <w:rPr>
                <w:rFonts w:ascii="Times New Roman" w:hAnsi="Times New Roman" w:cs="Times New Roman"/>
                <w:b/>
                <w:bCs/>
                <w:sz w:val="18"/>
                <w:szCs w:val="18"/>
                <w:lang w:val="ro-MD"/>
              </w:rPr>
            </w:pPr>
          </w:p>
        </w:tc>
        <w:tc>
          <w:tcPr>
            <w:tcW w:w="1063" w:type="dxa"/>
            <w:vMerge/>
            <w:shd w:val="clear" w:color="auto" w:fill="auto"/>
            <w:vAlign w:val="center"/>
            <w:hideMark/>
          </w:tcPr>
          <w:p w14:paraId="062C1736" w14:textId="77777777" w:rsidR="00775DBA" w:rsidRPr="00DD5F1D" w:rsidRDefault="00775DBA" w:rsidP="00636C42">
            <w:pPr>
              <w:spacing w:after="0"/>
              <w:jc w:val="center"/>
              <w:rPr>
                <w:rFonts w:ascii="Times New Roman" w:hAnsi="Times New Roman" w:cs="Times New Roman"/>
                <w:b/>
                <w:bCs/>
                <w:sz w:val="18"/>
                <w:szCs w:val="18"/>
                <w:lang w:val="ro-MD"/>
              </w:rPr>
            </w:pPr>
          </w:p>
        </w:tc>
        <w:tc>
          <w:tcPr>
            <w:tcW w:w="1064" w:type="dxa"/>
            <w:vMerge/>
            <w:shd w:val="clear" w:color="auto" w:fill="auto"/>
            <w:vAlign w:val="center"/>
            <w:hideMark/>
          </w:tcPr>
          <w:p w14:paraId="648315D5" w14:textId="77777777" w:rsidR="00775DBA" w:rsidRPr="00DD5F1D" w:rsidRDefault="00775DBA" w:rsidP="00636C42">
            <w:pPr>
              <w:spacing w:after="0"/>
              <w:jc w:val="center"/>
              <w:rPr>
                <w:rFonts w:ascii="Times New Roman" w:hAnsi="Times New Roman" w:cs="Times New Roman"/>
                <w:b/>
                <w:bCs/>
                <w:sz w:val="18"/>
                <w:szCs w:val="18"/>
                <w:lang w:val="ro-MD"/>
              </w:rPr>
            </w:pPr>
          </w:p>
        </w:tc>
        <w:tc>
          <w:tcPr>
            <w:tcW w:w="1117" w:type="dxa"/>
            <w:vMerge/>
            <w:shd w:val="clear" w:color="auto" w:fill="auto"/>
          </w:tcPr>
          <w:p w14:paraId="13E97475" w14:textId="77777777" w:rsidR="00775DBA" w:rsidRPr="00DD5F1D" w:rsidRDefault="00775DBA" w:rsidP="00636C42">
            <w:pPr>
              <w:spacing w:after="0"/>
              <w:jc w:val="center"/>
              <w:rPr>
                <w:rFonts w:ascii="Times New Roman" w:hAnsi="Times New Roman" w:cs="Times New Roman"/>
                <w:b/>
                <w:bCs/>
                <w:sz w:val="18"/>
                <w:szCs w:val="18"/>
                <w:lang w:val="ro-MD"/>
              </w:rPr>
            </w:pPr>
          </w:p>
        </w:tc>
        <w:tc>
          <w:tcPr>
            <w:tcW w:w="938" w:type="dxa"/>
            <w:shd w:val="clear" w:color="auto" w:fill="auto"/>
            <w:vAlign w:val="center"/>
          </w:tcPr>
          <w:p w14:paraId="7E256B71"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w:t>
            </w:r>
          </w:p>
        </w:tc>
        <w:tc>
          <w:tcPr>
            <w:tcW w:w="737" w:type="dxa"/>
            <w:shd w:val="clear" w:color="auto" w:fill="auto"/>
            <w:vAlign w:val="center"/>
          </w:tcPr>
          <w:p w14:paraId="7C97BE11"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w:t>
            </w:r>
          </w:p>
        </w:tc>
        <w:tc>
          <w:tcPr>
            <w:tcW w:w="840" w:type="dxa"/>
            <w:shd w:val="clear" w:color="auto" w:fill="auto"/>
            <w:vAlign w:val="center"/>
          </w:tcPr>
          <w:p w14:paraId="6463814B"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w:t>
            </w:r>
          </w:p>
        </w:tc>
        <w:tc>
          <w:tcPr>
            <w:tcW w:w="643" w:type="dxa"/>
            <w:shd w:val="clear" w:color="auto" w:fill="auto"/>
            <w:vAlign w:val="center"/>
          </w:tcPr>
          <w:p w14:paraId="58640278"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w:t>
            </w:r>
          </w:p>
        </w:tc>
        <w:tc>
          <w:tcPr>
            <w:tcW w:w="908" w:type="dxa"/>
            <w:shd w:val="clear" w:color="auto" w:fill="auto"/>
            <w:vAlign w:val="center"/>
          </w:tcPr>
          <w:p w14:paraId="0FBFA8D6"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w:t>
            </w:r>
          </w:p>
        </w:tc>
        <w:tc>
          <w:tcPr>
            <w:tcW w:w="683" w:type="dxa"/>
            <w:shd w:val="clear" w:color="auto" w:fill="auto"/>
            <w:vAlign w:val="center"/>
          </w:tcPr>
          <w:p w14:paraId="46BCDB28"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w:t>
            </w:r>
          </w:p>
        </w:tc>
        <w:tc>
          <w:tcPr>
            <w:tcW w:w="773" w:type="dxa"/>
            <w:shd w:val="clear" w:color="auto" w:fill="auto"/>
            <w:vAlign w:val="center"/>
          </w:tcPr>
          <w:p w14:paraId="563056F6"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w:t>
            </w:r>
          </w:p>
        </w:tc>
        <w:tc>
          <w:tcPr>
            <w:tcW w:w="602" w:type="dxa"/>
            <w:gridSpan w:val="2"/>
            <w:shd w:val="clear" w:color="auto" w:fill="auto"/>
            <w:vAlign w:val="center"/>
          </w:tcPr>
          <w:p w14:paraId="1784F582"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w:t>
            </w:r>
          </w:p>
        </w:tc>
      </w:tr>
      <w:tr w:rsidR="00CF4DFD" w:rsidRPr="00DD5F1D" w14:paraId="5B51423F" w14:textId="77777777" w:rsidTr="00CF4DFD">
        <w:trPr>
          <w:trHeight w:val="19"/>
        </w:trPr>
        <w:tc>
          <w:tcPr>
            <w:tcW w:w="2985" w:type="dxa"/>
            <w:shd w:val="clear" w:color="auto" w:fill="auto"/>
            <w:vAlign w:val="center"/>
            <w:hideMark/>
          </w:tcPr>
          <w:p w14:paraId="2AE5DC0D" w14:textId="77777777" w:rsidR="00775DBA" w:rsidRPr="00DD5F1D" w:rsidRDefault="00775DBA" w:rsidP="00636C42">
            <w:pPr>
              <w:spacing w:after="0"/>
              <w:rPr>
                <w:rFonts w:ascii="Times New Roman" w:hAnsi="Times New Roman" w:cs="Times New Roman"/>
                <w:sz w:val="18"/>
                <w:szCs w:val="18"/>
                <w:lang w:val="ro-MD"/>
              </w:rPr>
            </w:pPr>
            <w:r w:rsidRPr="00DD5F1D">
              <w:rPr>
                <w:rFonts w:ascii="Times New Roman" w:hAnsi="Times New Roman" w:cs="Times New Roman"/>
                <w:sz w:val="18"/>
                <w:szCs w:val="18"/>
                <w:lang w:val="ro-MD"/>
              </w:rPr>
              <w:t>Protecția persoanelor în etate, pensie (pentru limită de vârstă, pensie pentru deputați, pensie pentru procurori)</w:t>
            </w:r>
          </w:p>
        </w:tc>
        <w:tc>
          <w:tcPr>
            <w:tcW w:w="647" w:type="dxa"/>
            <w:shd w:val="clear" w:color="auto" w:fill="auto"/>
            <w:vAlign w:val="center"/>
            <w:hideMark/>
          </w:tcPr>
          <w:p w14:paraId="4F37AE7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538519</w:t>
            </w:r>
          </w:p>
        </w:tc>
        <w:tc>
          <w:tcPr>
            <w:tcW w:w="1063" w:type="dxa"/>
            <w:shd w:val="clear" w:color="auto" w:fill="auto"/>
            <w:vAlign w:val="center"/>
            <w:hideMark/>
          </w:tcPr>
          <w:p w14:paraId="262C2F7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532979</w:t>
            </w:r>
          </w:p>
        </w:tc>
        <w:tc>
          <w:tcPr>
            <w:tcW w:w="1063" w:type="dxa"/>
            <w:shd w:val="clear" w:color="auto" w:fill="auto"/>
            <w:vAlign w:val="center"/>
            <w:hideMark/>
          </w:tcPr>
          <w:p w14:paraId="0824EEB3"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529359</w:t>
            </w:r>
          </w:p>
        </w:tc>
        <w:tc>
          <w:tcPr>
            <w:tcW w:w="1064" w:type="dxa"/>
            <w:shd w:val="clear" w:color="auto" w:fill="auto"/>
            <w:vAlign w:val="center"/>
            <w:hideMark/>
          </w:tcPr>
          <w:p w14:paraId="0BE60B0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538300</w:t>
            </w:r>
          </w:p>
        </w:tc>
        <w:tc>
          <w:tcPr>
            <w:tcW w:w="1117" w:type="dxa"/>
            <w:shd w:val="clear" w:color="auto" w:fill="auto"/>
            <w:vAlign w:val="center"/>
          </w:tcPr>
          <w:p w14:paraId="13425973"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540403</w:t>
            </w:r>
          </w:p>
        </w:tc>
        <w:tc>
          <w:tcPr>
            <w:tcW w:w="938" w:type="dxa"/>
            <w:shd w:val="clear" w:color="auto" w:fill="auto"/>
            <w:vAlign w:val="center"/>
          </w:tcPr>
          <w:p w14:paraId="736E49F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2103</w:t>
            </w:r>
          </w:p>
        </w:tc>
        <w:tc>
          <w:tcPr>
            <w:tcW w:w="737" w:type="dxa"/>
            <w:shd w:val="clear" w:color="auto" w:fill="auto"/>
            <w:vAlign w:val="center"/>
          </w:tcPr>
          <w:p w14:paraId="6917B97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100,39</w:t>
            </w:r>
          </w:p>
        </w:tc>
        <w:tc>
          <w:tcPr>
            <w:tcW w:w="840" w:type="dxa"/>
            <w:shd w:val="clear" w:color="auto" w:fill="auto"/>
            <w:vAlign w:val="center"/>
          </w:tcPr>
          <w:p w14:paraId="4E3290C0"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8941</w:t>
            </w:r>
          </w:p>
        </w:tc>
        <w:tc>
          <w:tcPr>
            <w:tcW w:w="643" w:type="dxa"/>
            <w:shd w:val="clear" w:color="auto" w:fill="auto"/>
            <w:vAlign w:val="center"/>
          </w:tcPr>
          <w:p w14:paraId="04E7E80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101.7</w:t>
            </w:r>
          </w:p>
        </w:tc>
        <w:tc>
          <w:tcPr>
            <w:tcW w:w="908" w:type="dxa"/>
            <w:shd w:val="clear" w:color="auto" w:fill="auto"/>
            <w:vAlign w:val="center"/>
          </w:tcPr>
          <w:p w14:paraId="4FBCF297"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-3620</w:t>
            </w:r>
          </w:p>
        </w:tc>
        <w:tc>
          <w:tcPr>
            <w:tcW w:w="683" w:type="dxa"/>
            <w:shd w:val="clear" w:color="auto" w:fill="auto"/>
            <w:vAlign w:val="center"/>
          </w:tcPr>
          <w:p w14:paraId="1EB35E7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99.3</w:t>
            </w:r>
          </w:p>
        </w:tc>
        <w:tc>
          <w:tcPr>
            <w:tcW w:w="773" w:type="dxa"/>
            <w:shd w:val="clear" w:color="auto" w:fill="auto"/>
            <w:vAlign w:val="center"/>
          </w:tcPr>
          <w:p w14:paraId="623C3D1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-5540</w:t>
            </w:r>
          </w:p>
        </w:tc>
        <w:tc>
          <w:tcPr>
            <w:tcW w:w="602" w:type="dxa"/>
            <w:gridSpan w:val="2"/>
            <w:shd w:val="clear" w:color="auto" w:fill="auto"/>
            <w:vAlign w:val="center"/>
          </w:tcPr>
          <w:p w14:paraId="3BFFB1B5"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99</w:t>
            </w:r>
          </w:p>
        </w:tc>
      </w:tr>
      <w:tr w:rsidR="00CF4DFD" w:rsidRPr="00DD5F1D" w14:paraId="1835E0D2" w14:textId="77777777" w:rsidTr="00CF4DFD">
        <w:trPr>
          <w:trHeight w:val="19"/>
        </w:trPr>
        <w:tc>
          <w:tcPr>
            <w:tcW w:w="2985" w:type="dxa"/>
            <w:shd w:val="clear" w:color="auto" w:fill="auto"/>
            <w:vAlign w:val="center"/>
            <w:hideMark/>
          </w:tcPr>
          <w:p w14:paraId="57674E64" w14:textId="77777777" w:rsidR="00775DBA" w:rsidRPr="00DD5F1D" w:rsidRDefault="00775DBA" w:rsidP="00636C42">
            <w:pPr>
              <w:spacing w:after="0"/>
              <w:rPr>
                <w:rFonts w:ascii="Times New Roman" w:hAnsi="Times New Roman" w:cs="Times New Roman"/>
                <w:sz w:val="18"/>
                <w:szCs w:val="18"/>
                <w:lang w:val="ro-MD"/>
              </w:rPr>
            </w:pPr>
            <w:r w:rsidRPr="00DD5F1D">
              <w:rPr>
                <w:rFonts w:ascii="Times New Roman" w:hAnsi="Times New Roman" w:cs="Times New Roman"/>
                <w:sz w:val="18"/>
                <w:szCs w:val="18"/>
                <w:lang w:val="ro-MD"/>
              </w:rPr>
              <w:t>Protecție în legătură cu pierderea întreținătorului (pensie de urmaș etc.)</w:t>
            </w:r>
          </w:p>
        </w:tc>
        <w:tc>
          <w:tcPr>
            <w:tcW w:w="647" w:type="dxa"/>
            <w:shd w:val="clear" w:color="auto" w:fill="auto"/>
            <w:vAlign w:val="center"/>
            <w:hideMark/>
          </w:tcPr>
          <w:p w14:paraId="3137348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43091</w:t>
            </w:r>
          </w:p>
        </w:tc>
        <w:tc>
          <w:tcPr>
            <w:tcW w:w="1063" w:type="dxa"/>
            <w:shd w:val="clear" w:color="auto" w:fill="auto"/>
            <w:vAlign w:val="center"/>
            <w:hideMark/>
          </w:tcPr>
          <w:p w14:paraId="2DE830C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45798</w:t>
            </w:r>
          </w:p>
        </w:tc>
        <w:tc>
          <w:tcPr>
            <w:tcW w:w="1063" w:type="dxa"/>
            <w:shd w:val="clear" w:color="auto" w:fill="auto"/>
            <w:vAlign w:val="center"/>
            <w:hideMark/>
          </w:tcPr>
          <w:p w14:paraId="3FA54D6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52386</w:t>
            </w:r>
          </w:p>
        </w:tc>
        <w:tc>
          <w:tcPr>
            <w:tcW w:w="1064" w:type="dxa"/>
            <w:shd w:val="clear" w:color="auto" w:fill="auto"/>
            <w:vAlign w:val="center"/>
            <w:hideMark/>
          </w:tcPr>
          <w:p w14:paraId="4396C72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44843</w:t>
            </w:r>
          </w:p>
        </w:tc>
        <w:tc>
          <w:tcPr>
            <w:tcW w:w="1117" w:type="dxa"/>
            <w:shd w:val="clear" w:color="auto" w:fill="auto"/>
            <w:vAlign w:val="center"/>
          </w:tcPr>
          <w:p w14:paraId="0A62E42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71573</w:t>
            </w:r>
          </w:p>
        </w:tc>
        <w:tc>
          <w:tcPr>
            <w:tcW w:w="938" w:type="dxa"/>
            <w:shd w:val="clear" w:color="auto" w:fill="auto"/>
            <w:vAlign w:val="center"/>
          </w:tcPr>
          <w:p w14:paraId="0ED6B257"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26730</w:t>
            </w:r>
          </w:p>
        </w:tc>
        <w:tc>
          <w:tcPr>
            <w:tcW w:w="737" w:type="dxa"/>
            <w:shd w:val="clear" w:color="auto" w:fill="auto"/>
            <w:vAlign w:val="center"/>
          </w:tcPr>
          <w:p w14:paraId="5D8459B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159,61</w:t>
            </w:r>
          </w:p>
        </w:tc>
        <w:tc>
          <w:tcPr>
            <w:tcW w:w="840" w:type="dxa"/>
            <w:shd w:val="clear" w:color="auto" w:fill="auto"/>
            <w:vAlign w:val="center"/>
          </w:tcPr>
          <w:p w14:paraId="3973B95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-7543</w:t>
            </w:r>
          </w:p>
        </w:tc>
        <w:tc>
          <w:tcPr>
            <w:tcW w:w="643" w:type="dxa"/>
            <w:shd w:val="clear" w:color="auto" w:fill="auto"/>
            <w:vAlign w:val="center"/>
          </w:tcPr>
          <w:p w14:paraId="27995CD3"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85.6</w:t>
            </w:r>
          </w:p>
        </w:tc>
        <w:tc>
          <w:tcPr>
            <w:tcW w:w="908" w:type="dxa"/>
            <w:shd w:val="clear" w:color="auto" w:fill="auto"/>
            <w:vAlign w:val="center"/>
          </w:tcPr>
          <w:p w14:paraId="418AE2E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6588</w:t>
            </w:r>
          </w:p>
        </w:tc>
        <w:tc>
          <w:tcPr>
            <w:tcW w:w="683" w:type="dxa"/>
            <w:shd w:val="clear" w:color="auto" w:fill="auto"/>
            <w:vAlign w:val="center"/>
          </w:tcPr>
          <w:p w14:paraId="08302A2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114</w:t>
            </w:r>
          </w:p>
        </w:tc>
        <w:tc>
          <w:tcPr>
            <w:tcW w:w="773" w:type="dxa"/>
            <w:shd w:val="clear" w:color="auto" w:fill="auto"/>
            <w:vAlign w:val="center"/>
          </w:tcPr>
          <w:p w14:paraId="3ACE4A1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2707</w:t>
            </w:r>
          </w:p>
        </w:tc>
        <w:tc>
          <w:tcPr>
            <w:tcW w:w="602" w:type="dxa"/>
            <w:gridSpan w:val="2"/>
            <w:shd w:val="clear" w:color="auto" w:fill="auto"/>
            <w:vAlign w:val="center"/>
          </w:tcPr>
          <w:p w14:paraId="16FD8DC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106</w:t>
            </w:r>
          </w:p>
        </w:tc>
      </w:tr>
      <w:tr w:rsidR="00CF4DFD" w:rsidRPr="00DD5F1D" w14:paraId="24163959" w14:textId="77777777" w:rsidTr="00CF4DFD">
        <w:trPr>
          <w:trHeight w:val="19"/>
        </w:trPr>
        <w:tc>
          <w:tcPr>
            <w:tcW w:w="2985" w:type="dxa"/>
            <w:shd w:val="clear" w:color="auto" w:fill="auto"/>
            <w:vAlign w:val="center"/>
            <w:hideMark/>
          </w:tcPr>
          <w:p w14:paraId="65FE889E"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Protecția persoanelor cu dizabilități</w:t>
            </w:r>
          </w:p>
        </w:tc>
        <w:tc>
          <w:tcPr>
            <w:tcW w:w="647" w:type="dxa"/>
            <w:shd w:val="clear" w:color="auto" w:fill="auto"/>
            <w:vAlign w:val="center"/>
            <w:hideMark/>
          </w:tcPr>
          <w:p w14:paraId="70CBF54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123276</w:t>
            </w:r>
          </w:p>
        </w:tc>
        <w:tc>
          <w:tcPr>
            <w:tcW w:w="1063" w:type="dxa"/>
            <w:shd w:val="clear" w:color="auto" w:fill="auto"/>
            <w:vAlign w:val="center"/>
            <w:hideMark/>
          </w:tcPr>
          <w:p w14:paraId="5B8E9E5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119389</w:t>
            </w:r>
          </w:p>
        </w:tc>
        <w:tc>
          <w:tcPr>
            <w:tcW w:w="1063" w:type="dxa"/>
            <w:shd w:val="clear" w:color="auto" w:fill="auto"/>
            <w:vAlign w:val="center"/>
            <w:hideMark/>
          </w:tcPr>
          <w:p w14:paraId="095DEDF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111224</w:t>
            </w:r>
          </w:p>
        </w:tc>
        <w:tc>
          <w:tcPr>
            <w:tcW w:w="1064" w:type="dxa"/>
            <w:shd w:val="clear" w:color="auto" w:fill="auto"/>
            <w:vAlign w:val="center"/>
            <w:hideMark/>
          </w:tcPr>
          <w:p w14:paraId="737FD015"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102643</w:t>
            </w:r>
          </w:p>
        </w:tc>
        <w:tc>
          <w:tcPr>
            <w:tcW w:w="1117" w:type="dxa"/>
            <w:shd w:val="clear" w:color="auto" w:fill="auto"/>
            <w:vAlign w:val="center"/>
          </w:tcPr>
          <w:p w14:paraId="095EB948"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99214</w:t>
            </w:r>
          </w:p>
        </w:tc>
        <w:tc>
          <w:tcPr>
            <w:tcW w:w="938" w:type="dxa"/>
            <w:shd w:val="clear" w:color="auto" w:fill="auto"/>
            <w:vAlign w:val="center"/>
          </w:tcPr>
          <w:p w14:paraId="11F6B82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-3429</w:t>
            </w:r>
          </w:p>
        </w:tc>
        <w:tc>
          <w:tcPr>
            <w:tcW w:w="737" w:type="dxa"/>
            <w:shd w:val="clear" w:color="auto" w:fill="auto"/>
            <w:vAlign w:val="center"/>
          </w:tcPr>
          <w:p w14:paraId="410478F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96,66</w:t>
            </w:r>
          </w:p>
        </w:tc>
        <w:tc>
          <w:tcPr>
            <w:tcW w:w="840" w:type="dxa"/>
            <w:shd w:val="clear" w:color="auto" w:fill="auto"/>
            <w:vAlign w:val="center"/>
          </w:tcPr>
          <w:p w14:paraId="63A103F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-8581</w:t>
            </w:r>
          </w:p>
        </w:tc>
        <w:tc>
          <w:tcPr>
            <w:tcW w:w="643" w:type="dxa"/>
            <w:shd w:val="clear" w:color="auto" w:fill="auto"/>
            <w:vAlign w:val="center"/>
          </w:tcPr>
          <w:p w14:paraId="332277C5"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92.28</w:t>
            </w:r>
          </w:p>
        </w:tc>
        <w:tc>
          <w:tcPr>
            <w:tcW w:w="908" w:type="dxa"/>
            <w:shd w:val="clear" w:color="auto" w:fill="auto"/>
            <w:vAlign w:val="center"/>
          </w:tcPr>
          <w:p w14:paraId="4C599443"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-8165</w:t>
            </w:r>
          </w:p>
        </w:tc>
        <w:tc>
          <w:tcPr>
            <w:tcW w:w="683" w:type="dxa"/>
            <w:shd w:val="clear" w:color="auto" w:fill="auto"/>
            <w:vAlign w:val="center"/>
          </w:tcPr>
          <w:p w14:paraId="2399A40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93.2</w:t>
            </w:r>
          </w:p>
        </w:tc>
        <w:tc>
          <w:tcPr>
            <w:tcW w:w="773" w:type="dxa"/>
            <w:shd w:val="clear" w:color="auto" w:fill="auto"/>
            <w:vAlign w:val="center"/>
          </w:tcPr>
          <w:p w14:paraId="5837A57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-3887</w:t>
            </w:r>
          </w:p>
        </w:tc>
        <w:tc>
          <w:tcPr>
            <w:tcW w:w="602" w:type="dxa"/>
            <w:gridSpan w:val="2"/>
            <w:shd w:val="clear" w:color="auto" w:fill="auto"/>
            <w:vAlign w:val="center"/>
          </w:tcPr>
          <w:p w14:paraId="69D4CF0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96.8</w:t>
            </w:r>
          </w:p>
        </w:tc>
      </w:tr>
      <w:tr w:rsidR="00CF4DFD" w:rsidRPr="00DD5F1D" w14:paraId="59A19F00" w14:textId="77777777" w:rsidTr="00CF4DFD">
        <w:trPr>
          <w:trHeight w:val="19"/>
        </w:trPr>
        <w:tc>
          <w:tcPr>
            <w:tcW w:w="2985" w:type="dxa"/>
            <w:shd w:val="clear" w:color="auto" w:fill="auto"/>
            <w:vAlign w:val="center"/>
            <w:hideMark/>
          </w:tcPr>
          <w:p w14:paraId="03A2D8F6"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Protecție în caz de incapacitate temporară de muncă</w:t>
            </w:r>
          </w:p>
        </w:tc>
        <w:tc>
          <w:tcPr>
            <w:tcW w:w="647" w:type="dxa"/>
            <w:shd w:val="clear" w:color="auto" w:fill="auto"/>
            <w:vAlign w:val="center"/>
            <w:hideMark/>
          </w:tcPr>
          <w:p w14:paraId="196A0FB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217997</w:t>
            </w:r>
          </w:p>
        </w:tc>
        <w:tc>
          <w:tcPr>
            <w:tcW w:w="1063" w:type="dxa"/>
            <w:shd w:val="clear" w:color="auto" w:fill="auto"/>
            <w:vAlign w:val="center"/>
            <w:hideMark/>
          </w:tcPr>
          <w:p w14:paraId="14EA8C3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221525</w:t>
            </w:r>
          </w:p>
        </w:tc>
        <w:tc>
          <w:tcPr>
            <w:tcW w:w="1063" w:type="dxa"/>
            <w:shd w:val="clear" w:color="auto" w:fill="auto"/>
            <w:vAlign w:val="center"/>
            <w:hideMark/>
          </w:tcPr>
          <w:p w14:paraId="0513046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253979</w:t>
            </w:r>
          </w:p>
        </w:tc>
        <w:tc>
          <w:tcPr>
            <w:tcW w:w="1064" w:type="dxa"/>
            <w:shd w:val="clear" w:color="auto" w:fill="auto"/>
            <w:vAlign w:val="center"/>
            <w:hideMark/>
          </w:tcPr>
          <w:p w14:paraId="459CFA79"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209811</w:t>
            </w:r>
          </w:p>
        </w:tc>
        <w:tc>
          <w:tcPr>
            <w:tcW w:w="1117" w:type="dxa"/>
            <w:shd w:val="clear" w:color="auto" w:fill="auto"/>
            <w:vAlign w:val="center"/>
          </w:tcPr>
          <w:p w14:paraId="3241D4F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189081</w:t>
            </w:r>
          </w:p>
        </w:tc>
        <w:tc>
          <w:tcPr>
            <w:tcW w:w="938" w:type="dxa"/>
            <w:shd w:val="clear" w:color="auto" w:fill="auto"/>
            <w:vAlign w:val="center"/>
          </w:tcPr>
          <w:p w14:paraId="2294D05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-20730</w:t>
            </w:r>
          </w:p>
        </w:tc>
        <w:tc>
          <w:tcPr>
            <w:tcW w:w="737" w:type="dxa"/>
            <w:shd w:val="clear" w:color="auto" w:fill="auto"/>
            <w:vAlign w:val="center"/>
          </w:tcPr>
          <w:p w14:paraId="420A738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90,12</w:t>
            </w:r>
          </w:p>
        </w:tc>
        <w:tc>
          <w:tcPr>
            <w:tcW w:w="840" w:type="dxa"/>
            <w:shd w:val="clear" w:color="auto" w:fill="auto"/>
            <w:vAlign w:val="center"/>
          </w:tcPr>
          <w:p w14:paraId="25FFB40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-44168</w:t>
            </w:r>
          </w:p>
        </w:tc>
        <w:tc>
          <w:tcPr>
            <w:tcW w:w="643" w:type="dxa"/>
            <w:shd w:val="clear" w:color="auto" w:fill="auto"/>
            <w:vAlign w:val="center"/>
          </w:tcPr>
          <w:p w14:paraId="5DAB29A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82.61</w:t>
            </w:r>
          </w:p>
        </w:tc>
        <w:tc>
          <w:tcPr>
            <w:tcW w:w="908" w:type="dxa"/>
            <w:shd w:val="clear" w:color="auto" w:fill="auto"/>
            <w:vAlign w:val="center"/>
          </w:tcPr>
          <w:p w14:paraId="0A6A61E3"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32454</w:t>
            </w:r>
          </w:p>
        </w:tc>
        <w:tc>
          <w:tcPr>
            <w:tcW w:w="683" w:type="dxa"/>
            <w:shd w:val="clear" w:color="auto" w:fill="auto"/>
            <w:vAlign w:val="center"/>
          </w:tcPr>
          <w:p w14:paraId="2E39EFF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115</w:t>
            </w:r>
          </w:p>
        </w:tc>
        <w:tc>
          <w:tcPr>
            <w:tcW w:w="773" w:type="dxa"/>
            <w:shd w:val="clear" w:color="auto" w:fill="auto"/>
            <w:vAlign w:val="center"/>
          </w:tcPr>
          <w:p w14:paraId="7FB8DBC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3528</w:t>
            </w:r>
          </w:p>
        </w:tc>
        <w:tc>
          <w:tcPr>
            <w:tcW w:w="602" w:type="dxa"/>
            <w:gridSpan w:val="2"/>
            <w:shd w:val="clear" w:color="auto" w:fill="auto"/>
            <w:vAlign w:val="center"/>
          </w:tcPr>
          <w:p w14:paraId="71D37E4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102</w:t>
            </w:r>
          </w:p>
        </w:tc>
      </w:tr>
      <w:tr w:rsidR="00CF4DFD" w:rsidRPr="00DD5F1D" w14:paraId="49C360D7" w14:textId="77777777" w:rsidTr="00CF4DFD">
        <w:trPr>
          <w:trHeight w:val="19"/>
        </w:trPr>
        <w:tc>
          <w:tcPr>
            <w:tcW w:w="2985" w:type="dxa"/>
            <w:shd w:val="clear" w:color="auto" w:fill="auto"/>
            <w:vAlign w:val="center"/>
            <w:hideMark/>
          </w:tcPr>
          <w:p w14:paraId="285D980C"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Protecția familiei și copilului (indemnizație de maternitate, de îngrijire a copilului până la vârsta de 3 ani etc.)</w:t>
            </w:r>
          </w:p>
        </w:tc>
        <w:tc>
          <w:tcPr>
            <w:tcW w:w="647" w:type="dxa"/>
            <w:shd w:val="clear" w:color="auto" w:fill="auto"/>
            <w:vAlign w:val="center"/>
            <w:hideMark/>
          </w:tcPr>
          <w:p w14:paraId="299EBE0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72856</w:t>
            </w:r>
          </w:p>
        </w:tc>
        <w:tc>
          <w:tcPr>
            <w:tcW w:w="1063" w:type="dxa"/>
            <w:shd w:val="clear" w:color="auto" w:fill="auto"/>
            <w:vAlign w:val="center"/>
            <w:hideMark/>
          </w:tcPr>
          <w:p w14:paraId="49EDF3A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73863</w:t>
            </w:r>
          </w:p>
        </w:tc>
        <w:tc>
          <w:tcPr>
            <w:tcW w:w="1063" w:type="dxa"/>
            <w:shd w:val="clear" w:color="auto" w:fill="auto"/>
            <w:vAlign w:val="center"/>
            <w:hideMark/>
          </w:tcPr>
          <w:p w14:paraId="48AA36D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73482</w:t>
            </w:r>
          </w:p>
        </w:tc>
        <w:tc>
          <w:tcPr>
            <w:tcW w:w="1064" w:type="dxa"/>
            <w:shd w:val="clear" w:color="auto" w:fill="auto"/>
            <w:vAlign w:val="center"/>
            <w:hideMark/>
          </w:tcPr>
          <w:p w14:paraId="4506039C"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110150</w:t>
            </w:r>
          </w:p>
        </w:tc>
        <w:tc>
          <w:tcPr>
            <w:tcW w:w="1117" w:type="dxa"/>
            <w:shd w:val="clear" w:color="auto" w:fill="auto"/>
            <w:vAlign w:val="center"/>
          </w:tcPr>
          <w:p w14:paraId="12C5520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100814</w:t>
            </w:r>
          </w:p>
        </w:tc>
        <w:tc>
          <w:tcPr>
            <w:tcW w:w="938" w:type="dxa"/>
            <w:shd w:val="clear" w:color="auto" w:fill="auto"/>
            <w:vAlign w:val="center"/>
          </w:tcPr>
          <w:p w14:paraId="36E8FF5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-9336</w:t>
            </w:r>
          </w:p>
        </w:tc>
        <w:tc>
          <w:tcPr>
            <w:tcW w:w="737" w:type="dxa"/>
            <w:shd w:val="clear" w:color="auto" w:fill="auto"/>
            <w:vAlign w:val="center"/>
          </w:tcPr>
          <w:p w14:paraId="239928F7"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91,52</w:t>
            </w:r>
          </w:p>
        </w:tc>
        <w:tc>
          <w:tcPr>
            <w:tcW w:w="840" w:type="dxa"/>
            <w:shd w:val="clear" w:color="auto" w:fill="auto"/>
            <w:vAlign w:val="center"/>
          </w:tcPr>
          <w:p w14:paraId="45C55C9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36668</w:t>
            </w:r>
          </w:p>
        </w:tc>
        <w:tc>
          <w:tcPr>
            <w:tcW w:w="643" w:type="dxa"/>
            <w:shd w:val="clear" w:color="auto" w:fill="auto"/>
            <w:vAlign w:val="center"/>
          </w:tcPr>
          <w:p w14:paraId="3F7D733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149.9</w:t>
            </w:r>
          </w:p>
        </w:tc>
        <w:tc>
          <w:tcPr>
            <w:tcW w:w="908" w:type="dxa"/>
            <w:shd w:val="clear" w:color="auto" w:fill="auto"/>
            <w:vAlign w:val="center"/>
          </w:tcPr>
          <w:p w14:paraId="4ABA73A0"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-381</w:t>
            </w:r>
          </w:p>
        </w:tc>
        <w:tc>
          <w:tcPr>
            <w:tcW w:w="683" w:type="dxa"/>
            <w:shd w:val="clear" w:color="auto" w:fill="auto"/>
            <w:vAlign w:val="center"/>
          </w:tcPr>
          <w:p w14:paraId="6DF2AF1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99.5</w:t>
            </w:r>
          </w:p>
        </w:tc>
        <w:tc>
          <w:tcPr>
            <w:tcW w:w="773" w:type="dxa"/>
            <w:shd w:val="clear" w:color="auto" w:fill="auto"/>
            <w:vAlign w:val="center"/>
          </w:tcPr>
          <w:p w14:paraId="1235049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1007</w:t>
            </w:r>
          </w:p>
        </w:tc>
        <w:tc>
          <w:tcPr>
            <w:tcW w:w="602" w:type="dxa"/>
            <w:gridSpan w:val="2"/>
            <w:shd w:val="clear" w:color="auto" w:fill="auto"/>
            <w:vAlign w:val="center"/>
          </w:tcPr>
          <w:p w14:paraId="16FED879"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101</w:t>
            </w:r>
          </w:p>
        </w:tc>
      </w:tr>
      <w:tr w:rsidR="00CF4DFD" w:rsidRPr="00DD5F1D" w14:paraId="0D720337" w14:textId="77777777" w:rsidTr="00CF4DFD">
        <w:trPr>
          <w:trHeight w:val="19"/>
        </w:trPr>
        <w:tc>
          <w:tcPr>
            <w:tcW w:w="2985" w:type="dxa"/>
            <w:shd w:val="clear" w:color="auto" w:fill="auto"/>
            <w:vAlign w:val="center"/>
            <w:hideMark/>
          </w:tcPr>
          <w:p w14:paraId="6766EB80"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 xml:space="preserve">Protecția șomerilor </w:t>
            </w:r>
          </w:p>
        </w:tc>
        <w:tc>
          <w:tcPr>
            <w:tcW w:w="647" w:type="dxa"/>
            <w:shd w:val="clear" w:color="auto" w:fill="auto"/>
            <w:vAlign w:val="center"/>
            <w:hideMark/>
          </w:tcPr>
          <w:p w14:paraId="72656DB5"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2654</w:t>
            </w:r>
          </w:p>
        </w:tc>
        <w:tc>
          <w:tcPr>
            <w:tcW w:w="1063" w:type="dxa"/>
            <w:shd w:val="clear" w:color="auto" w:fill="auto"/>
            <w:vAlign w:val="center"/>
            <w:hideMark/>
          </w:tcPr>
          <w:p w14:paraId="382E9B49"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3010</w:t>
            </w:r>
          </w:p>
        </w:tc>
        <w:tc>
          <w:tcPr>
            <w:tcW w:w="1063" w:type="dxa"/>
            <w:shd w:val="clear" w:color="auto" w:fill="auto"/>
            <w:vAlign w:val="center"/>
            <w:hideMark/>
          </w:tcPr>
          <w:p w14:paraId="6F0813F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1945</w:t>
            </w:r>
          </w:p>
        </w:tc>
        <w:tc>
          <w:tcPr>
            <w:tcW w:w="1064" w:type="dxa"/>
            <w:shd w:val="clear" w:color="auto" w:fill="auto"/>
            <w:vAlign w:val="center"/>
            <w:hideMark/>
          </w:tcPr>
          <w:p w14:paraId="23F2B968"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2062</w:t>
            </w:r>
          </w:p>
        </w:tc>
        <w:tc>
          <w:tcPr>
            <w:tcW w:w="1117" w:type="dxa"/>
            <w:shd w:val="clear" w:color="auto" w:fill="auto"/>
            <w:vAlign w:val="center"/>
          </w:tcPr>
          <w:p w14:paraId="31BF9A2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1964</w:t>
            </w:r>
          </w:p>
        </w:tc>
        <w:tc>
          <w:tcPr>
            <w:tcW w:w="938" w:type="dxa"/>
            <w:shd w:val="clear" w:color="auto" w:fill="auto"/>
            <w:vAlign w:val="center"/>
          </w:tcPr>
          <w:p w14:paraId="1E88CB8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-98</w:t>
            </w:r>
          </w:p>
        </w:tc>
        <w:tc>
          <w:tcPr>
            <w:tcW w:w="737" w:type="dxa"/>
            <w:shd w:val="clear" w:color="auto" w:fill="auto"/>
            <w:vAlign w:val="center"/>
          </w:tcPr>
          <w:p w14:paraId="00F5480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95,25</w:t>
            </w:r>
          </w:p>
        </w:tc>
        <w:tc>
          <w:tcPr>
            <w:tcW w:w="840" w:type="dxa"/>
            <w:shd w:val="clear" w:color="auto" w:fill="auto"/>
            <w:vAlign w:val="center"/>
          </w:tcPr>
          <w:p w14:paraId="5CD8CE5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117</w:t>
            </w:r>
          </w:p>
        </w:tc>
        <w:tc>
          <w:tcPr>
            <w:tcW w:w="643" w:type="dxa"/>
            <w:shd w:val="clear" w:color="auto" w:fill="auto"/>
            <w:vAlign w:val="center"/>
          </w:tcPr>
          <w:p w14:paraId="046FE5D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106</w:t>
            </w:r>
          </w:p>
        </w:tc>
        <w:tc>
          <w:tcPr>
            <w:tcW w:w="908" w:type="dxa"/>
            <w:shd w:val="clear" w:color="auto" w:fill="auto"/>
            <w:vAlign w:val="center"/>
          </w:tcPr>
          <w:p w14:paraId="53D194C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-1065</w:t>
            </w:r>
          </w:p>
        </w:tc>
        <w:tc>
          <w:tcPr>
            <w:tcW w:w="683" w:type="dxa"/>
            <w:shd w:val="clear" w:color="auto" w:fill="auto"/>
            <w:vAlign w:val="center"/>
          </w:tcPr>
          <w:p w14:paraId="2A45025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64.6</w:t>
            </w:r>
          </w:p>
        </w:tc>
        <w:tc>
          <w:tcPr>
            <w:tcW w:w="773" w:type="dxa"/>
            <w:shd w:val="clear" w:color="auto" w:fill="auto"/>
            <w:vAlign w:val="center"/>
          </w:tcPr>
          <w:p w14:paraId="3478777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356</w:t>
            </w:r>
          </w:p>
        </w:tc>
        <w:tc>
          <w:tcPr>
            <w:tcW w:w="602" w:type="dxa"/>
            <w:gridSpan w:val="2"/>
            <w:shd w:val="clear" w:color="auto" w:fill="auto"/>
            <w:vAlign w:val="center"/>
          </w:tcPr>
          <w:p w14:paraId="0C8CB7C0"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113</w:t>
            </w:r>
          </w:p>
        </w:tc>
      </w:tr>
      <w:tr w:rsidR="00CF4DFD" w:rsidRPr="00DD5F1D" w14:paraId="6B7AE53F" w14:textId="77777777" w:rsidTr="00CF4DFD">
        <w:trPr>
          <w:trHeight w:val="19"/>
        </w:trPr>
        <w:tc>
          <w:tcPr>
            <w:tcW w:w="2985" w:type="dxa"/>
            <w:shd w:val="clear" w:color="auto" w:fill="auto"/>
            <w:vAlign w:val="center"/>
            <w:hideMark/>
          </w:tcPr>
          <w:p w14:paraId="69F20CE0"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Protecția socială a unor categorii de cetățeni (tratament balneo-sanatorial)</w:t>
            </w:r>
          </w:p>
        </w:tc>
        <w:tc>
          <w:tcPr>
            <w:tcW w:w="647" w:type="dxa"/>
            <w:shd w:val="clear" w:color="auto" w:fill="auto"/>
            <w:vAlign w:val="center"/>
            <w:hideMark/>
          </w:tcPr>
          <w:p w14:paraId="05E4DA8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7092</w:t>
            </w:r>
          </w:p>
        </w:tc>
        <w:tc>
          <w:tcPr>
            <w:tcW w:w="1063" w:type="dxa"/>
            <w:shd w:val="clear" w:color="auto" w:fill="auto"/>
            <w:vAlign w:val="center"/>
            <w:hideMark/>
          </w:tcPr>
          <w:p w14:paraId="37A0F949"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1725</w:t>
            </w:r>
          </w:p>
        </w:tc>
        <w:tc>
          <w:tcPr>
            <w:tcW w:w="1063" w:type="dxa"/>
            <w:shd w:val="clear" w:color="auto" w:fill="auto"/>
            <w:vAlign w:val="center"/>
            <w:hideMark/>
          </w:tcPr>
          <w:p w14:paraId="358849D9"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4202</w:t>
            </w:r>
          </w:p>
        </w:tc>
        <w:tc>
          <w:tcPr>
            <w:tcW w:w="1064" w:type="dxa"/>
            <w:shd w:val="clear" w:color="auto" w:fill="auto"/>
            <w:vAlign w:val="center"/>
            <w:hideMark/>
          </w:tcPr>
          <w:p w14:paraId="4885EBF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3999</w:t>
            </w:r>
          </w:p>
        </w:tc>
        <w:tc>
          <w:tcPr>
            <w:tcW w:w="1117" w:type="dxa"/>
            <w:shd w:val="clear" w:color="auto" w:fill="auto"/>
            <w:vAlign w:val="center"/>
          </w:tcPr>
          <w:p w14:paraId="54BB20C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3427</w:t>
            </w:r>
          </w:p>
        </w:tc>
        <w:tc>
          <w:tcPr>
            <w:tcW w:w="938" w:type="dxa"/>
            <w:shd w:val="clear" w:color="auto" w:fill="auto"/>
            <w:vAlign w:val="center"/>
          </w:tcPr>
          <w:p w14:paraId="29E634C9"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-572</w:t>
            </w:r>
          </w:p>
        </w:tc>
        <w:tc>
          <w:tcPr>
            <w:tcW w:w="737" w:type="dxa"/>
            <w:shd w:val="clear" w:color="auto" w:fill="auto"/>
            <w:vAlign w:val="center"/>
          </w:tcPr>
          <w:p w14:paraId="7F83D477"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85,70</w:t>
            </w:r>
          </w:p>
        </w:tc>
        <w:tc>
          <w:tcPr>
            <w:tcW w:w="840" w:type="dxa"/>
            <w:shd w:val="clear" w:color="auto" w:fill="auto"/>
            <w:vAlign w:val="center"/>
          </w:tcPr>
          <w:p w14:paraId="7F7AC413"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-203</w:t>
            </w:r>
          </w:p>
        </w:tc>
        <w:tc>
          <w:tcPr>
            <w:tcW w:w="643" w:type="dxa"/>
            <w:shd w:val="clear" w:color="auto" w:fill="auto"/>
            <w:vAlign w:val="center"/>
          </w:tcPr>
          <w:p w14:paraId="23C10E0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95.17</w:t>
            </w:r>
          </w:p>
        </w:tc>
        <w:tc>
          <w:tcPr>
            <w:tcW w:w="908" w:type="dxa"/>
            <w:shd w:val="clear" w:color="auto" w:fill="auto"/>
            <w:vAlign w:val="center"/>
          </w:tcPr>
          <w:p w14:paraId="4043150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2477</w:t>
            </w:r>
          </w:p>
        </w:tc>
        <w:tc>
          <w:tcPr>
            <w:tcW w:w="683" w:type="dxa"/>
            <w:shd w:val="clear" w:color="auto" w:fill="auto"/>
            <w:vAlign w:val="center"/>
          </w:tcPr>
          <w:p w14:paraId="68899CA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244</w:t>
            </w:r>
          </w:p>
        </w:tc>
        <w:tc>
          <w:tcPr>
            <w:tcW w:w="773" w:type="dxa"/>
            <w:shd w:val="clear" w:color="auto" w:fill="auto"/>
            <w:vAlign w:val="center"/>
          </w:tcPr>
          <w:p w14:paraId="024AC175"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-5367</w:t>
            </w:r>
          </w:p>
        </w:tc>
        <w:tc>
          <w:tcPr>
            <w:tcW w:w="602" w:type="dxa"/>
            <w:gridSpan w:val="2"/>
            <w:shd w:val="clear" w:color="auto" w:fill="auto"/>
            <w:vAlign w:val="center"/>
          </w:tcPr>
          <w:p w14:paraId="08EC4760"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24.3</w:t>
            </w:r>
          </w:p>
        </w:tc>
      </w:tr>
      <w:tr w:rsidR="00CF4DFD" w:rsidRPr="00DD5F1D" w14:paraId="506FDF2C" w14:textId="77777777" w:rsidTr="00CF4DFD">
        <w:trPr>
          <w:trHeight w:val="19"/>
        </w:trPr>
        <w:tc>
          <w:tcPr>
            <w:tcW w:w="2985" w:type="dxa"/>
            <w:shd w:val="clear" w:color="auto" w:fill="auto"/>
            <w:vAlign w:val="center"/>
            <w:hideMark/>
          </w:tcPr>
          <w:p w14:paraId="64B99BA2"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Protecție în legătură cu pierderea întreținătorului (susținere financiară a persoanelor decedate neasigurate, pensie de urmaș a pensionarilor din rândul militarilor etc.)</w:t>
            </w:r>
          </w:p>
        </w:tc>
        <w:tc>
          <w:tcPr>
            <w:tcW w:w="647" w:type="dxa"/>
            <w:shd w:val="clear" w:color="auto" w:fill="auto"/>
            <w:vAlign w:val="center"/>
            <w:hideMark/>
          </w:tcPr>
          <w:p w14:paraId="3F948D3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5810</w:t>
            </w:r>
          </w:p>
        </w:tc>
        <w:tc>
          <w:tcPr>
            <w:tcW w:w="1063" w:type="dxa"/>
            <w:shd w:val="clear" w:color="auto" w:fill="auto"/>
            <w:vAlign w:val="center"/>
            <w:hideMark/>
          </w:tcPr>
          <w:p w14:paraId="40FA3805"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5525</w:t>
            </w:r>
          </w:p>
        </w:tc>
        <w:tc>
          <w:tcPr>
            <w:tcW w:w="1063" w:type="dxa"/>
            <w:shd w:val="clear" w:color="auto" w:fill="auto"/>
            <w:vAlign w:val="center"/>
            <w:hideMark/>
          </w:tcPr>
          <w:p w14:paraId="5A43E4C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6321</w:t>
            </w:r>
          </w:p>
        </w:tc>
        <w:tc>
          <w:tcPr>
            <w:tcW w:w="1064" w:type="dxa"/>
            <w:shd w:val="clear" w:color="auto" w:fill="auto"/>
            <w:vAlign w:val="center"/>
            <w:hideMark/>
          </w:tcPr>
          <w:p w14:paraId="79AC21F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5698</w:t>
            </w:r>
          </w:p>
        </w:tc>
        <w:tc>
          <w:tcPr>
            <w:tcW w:w="1117" w:type="dxa"/>
            <w:shd w:val="clear" w:color="auto" w:fill="auto"/>
            <w:vAlign w:val="center"/>
          </w:tcPr>
          <w:p w14:paraId="5B9F2C9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9294</w:t>
            </w:r>
          </w:p>
        </w:tc>
        <w:tc>
          <w:tcPr>
            <w:tcW w:w="938" w:type="dxa"/>
            <w:shd w:val="clear" w:color="auto" w:fill="auto"/>
            <w:vAlign w:val="center"/>
          </w:tcPr>
          <w:p w14:paraId="047E511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3596</w:t>
            </w:r>
          </w:p>
        </w:tc>
        <w:tc>
          <w:tcPr>
            <w:tcW w:w="737" w:type="dxa"/>
            <w:shd w:val="clear" w:color="auto" w:fill="auto"/>
            <w:vAlign w:val="center"/>
          </w:tcPr>
          <w:p w14:paraId="7CF95D4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163,11</w:t>
            </w:r>
          </w:p>
        </w:tc>
        <w:tc>
          <w:tcPr>
            <w:tcW w:w="840" w:type="dxa"/>
            <w:shd w:val="clear" w:color="auto" w:fill="auto"/>
            <w:vAlign w:val="center"/>
          </w:tcPr>
          <w:p w14:paraId="057B838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-623</w:t>
            </w:r>
          </w:p>
        </w:tc>
        <w:tc>
          <w:tcPr>
            <w:tcW w:w="643" w:type="dxa"/>
            <w:shd w:val="clear" w:color="auto" w:fill="auto"/>
            <w:vAlign w:val="center"/>
          </w:tcPr>
          <w:p w14:paraId="6E71575C"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90.14</w:t>
            </w:r>
          </w:p>
        </w:tc>
        <w:tc>
          <w:tcPr>
            <w:tcW w:w="908" w:type="dxa"/>
            <w:shd w:val="clear" w:color="auto" w:fill="auto"/>
            <w:vAlign w:val="center"/>
          </w:tcPr>
          <w:p w14:paraId="0D3160A8"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796</w:t>
            </w:r>
          </w:p>
        </w:tc>
        <w:tc>
          <w:tcPr>
            <w:tcW w:w="683" w:type="dxa"/>
            <w:shd w:val="clear" w:color="auto" w:fill="auto"/>
            <w:vAlign w:val="center"/>
          </w:tcPr>
          <w:p w14:paraId="3A55C6C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114</w:t>
            </w:r>
          </w:p>
        </w:tc>
        <w:tc>
          <w:tcPr>
            <w:tcW w:w="773" w:type="dxa"/>
            <w:shd w:val="clear" w:color="auto" w:fill="auto"/>
            <w:vAlign w:val="center"/>
          </w:tcPr>
          <w:p w14:paraId="07B8820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-285</w:t>
            </w:r>
          </w:p>
        </w:tc>
        <w:tc>
          <w:tcPr>
            <w:tcW w:w="602" w:type="dxa"/>
            <w:gridSpan w:val="2"/>
            <w:shd w:val="clear" w:color="auto" w:fill="auto"/>
            <w:vAlign w:val="center"/>
          </w:tcPr>
          <w:p w14:paraId="4C616BC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95.1</w:t>
            </w:r>
          </w:p>
        </w:tc>
      </w:tr>
      <w:tr w:rsidR="00CF4DFD" w:rsidRPr="00DD5F1D" w14:paraId="5946886D" w14:textId="77777777" w:rsidTr="00CF4DFD">
        <w:trPr>
          <w:trHeight w:val="19"/>
        </w:trPr>
        <w:tc>
          <w:tcPr>
            <w:tcW w:w="2985" w:type="dxa"/>
            <w:shd w:val="clear" w:color="auto" w:fill="auto"/>
            <w:vAlign w:val="center"/>
            <w:hideMark/>
          </w:tcPr>
          <w:p w14:paraId="6ED171D3"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Protecția familiei și copilului (organizarea odihnei de vară, susținerea financiară a familiei la nașterea copilului etc.)</w:t>
            </w:r>
          </w:p>
        </w:tc>
        <w:tc>
          <w:tcPr>
            <w:tcW w:w="647" w:type="dxa"/>
            <w:shd w:val="clear" w:color="auto" w:fill="auto"/>
            <w:vAlign w:val="center"/>
            <w:hideMark/>
          </w:tcPr>
          <w:p w14:paraId="7408997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83265</w:t>
            </w:r>
          </w:p>
        </w:tc>
        <w:tc>
          <w:tcPr>
            <w:tcW w:w="1063" w:type="dxa"/>
            <w:shd w:val="clear" w:color="auto" w:fill="auto"/>
            <w:vAlign w:val="center"/>
            <w:hideMark/>
          </w:tcPr>
          <w:p w14:paraId="08F5821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70089</w:t>
            </w:r>
          </w:p>
        </w:tc>
        <w:tc>
          <w:tcPr>
            <w:tcW w:w="1063" w:type="dxa"/>
            <w:shd w:val="clear" w:color="auto" w:fill="auto"/>
            <w:vAlign w:val="center"/>
            <w:hideMark/>
          </w:tcPr>
          <w:p w14:paraId="4D8B936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71113</w:t>
            </w:r>
          </w:p>
        </w:tc>
        <w:tc>
          <w:tcPr>
            <w:tcW w:w="1064" w:type="dxa"/>
            <w:shd w:val="clear" w:color="auto" w:fill="auto"/>
            <w:vAlign w:val="center"/>
            <w:hideMark/>
          </w:tcPr>
          <w:p w14:paraId="7EA3A0D9"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104444</w:t>
            </w:r>
          </w:p>
        </w:tc>
        <w:tc>
          <w:tcPr>
            <w:tcW w:w="1117" w:type="dxa"/>
            <w:shd w:val="clear" w:color="auto" w:fill="auto"/>
            <w:vAlign w:val="center"/>
          </w:tcPr>
          <w:p w14:paraId="665EA66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102766</w:t>
            </w:r>
          </w:p>
        </w:tc>
        <w:tc>
          <w:tcPr>
            <w:tcW w:w="938" w:type="dxa"/>
            <w:shd w:val="clear" w:color="auto" w:fill="auto"/>
            <w:vAlign w:val="center"/>
          </w:tcPr>
          <w:p w14:paraId="5821D9B0"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-1678</w:t>
            </w:r>
          </w:p>
        </w:tc>
        <w:tc>
          <w:tcPr>
            <w:tcW w:w="737" w:type="dxa"/>
            <w:shd w:val="clear" w:color="auto" w:fill="auto"/>
            <w:vAlign w:val="center"/>
          </w:tcPr>
          <w:p w14:paraId="25A917D8"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98,39</w:t>
            </w:r>
          </w:p>
        </w:tc>
        <w:tc>
          <w:tcPr>
            <w:tcW w:w="840" w:type="dxa"/>
            <w:shd w:val="clear" w:color="auto" w:fill="auto"/>
            <w:vAlign w:val="center"/>
          </w:tcPr>
          <w:p w14:paraId="63048A5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33331</w:t>
            </w:r>
          </w:p>
        </w:tc>
        <w:tc>
          <w:tcPr>
            <w:tcW w:w="643" w:type="dxa"/>
            <w:shd w:val="clear" w:color="auto" w:fill="auto"/>
            <w:vAlign w:val="center"/>
          </w:tcPr>
          <w:p w14:paraId="403B1EE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146.9</w:t>
            </w:r>
          </w:p>
        </w:tc>
        <w:tc>
          <w:tcPr>
            <w:tcW w:w="908" w:type="dxa"/>
            <w:shd w:val="clear" w:color="auto" w:fill="auto"/>
            <w:vAlign w:val="center"/>
          </w:tcPr>
          <w:p w14:paraId="371CE60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1024</w:t>
            </w:r>
          </w:p>
        </w:tc>
        <w:tc>
          <w:tcPr>
            <w:tcW w:w="683" w:type="dxa"/>
            <w:shd w:val="clear" w:color="auto" w:fill="auto"/>
            <w:vAlign w:val="center"/>
          </w:tcPr>
          <w:p w14:paraId="6AB13BC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102</w:t>
            </w:r>
          </w:p>
        </w:tc>
        <w:tc>
          <w:tcPr>
            <w:tcW w:w="773" w:type="dxa"/>
            <w:shd w:val="clear" w:color="auto" w:fill="auto"/>
            <w:vAlign w:val="center"/>
          </w:tcPr>
          <w:p w14:paraId="2C5066E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-13176</w:t>
            </w:r>
          </w:p>
        </w:tc>
        <w:tc>
          <w:tcPr>
            <w:tcW w:w="602" w:type="dxa"/>
            <w:gridSpan w:val="2"/>
            <w:shd w:val="clear" w:color="auto" w:fill="auto"/>
            <w:vAlign w:val="center"/>
          </w:tcPr>
          <w:p w14:paraId="2388FC5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84.2</w:t>
            </w:r>
          </w:p>
        </w:tc>
      </w:tr>
      <w:tr w:rsidR="00CF4DFD" w:rsidRPr="00DD5F1D" w14:paraId="31A371BF" w14:textId="77777777" w:rsidTr="00CF4DFD">
        <w:trPr>
          <w:trHeight w:val="19"/>
        </w:trPr>
        <w:tc>
          <w:tcPr>
            <w:tcW w:w="2985" w:type="dxa"/>
            <w:shd w:val="clear" w:color="auto" w:fill="auto"/>
            <w:vAlign w:val="center"/>
            <w:hideMark/>
          </w:tcPr>
          <w:p w14:paraId="01EC951E"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Protecția șomerilor (alocație pentru integrare profesională cu statut de șomer etc.)</w:t>
            </w:r>
          </w:p>
        </w:tc>
        <w:tc>
          <w:tcPr>
            <w:tcW w:w="647" w:type="dxa"/>
            <w:shd w:val="clear" w:color="auto" w:fill="auto"/>
            <w:vAlign w:val="center"/>
            <w:hideMark/>
          </w:tcPr>
          <w:p w14:paraId="6C21595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w:t>
            </w:r>
          </w:p>
        </w:tc>
        <w:tc>
          <w:tcPr>
            <w:tcW w:w="1063" w:type="dxa"/>
            <w:shd w:val="clear" w:color="auto" w:fill="auto"/>
            <w:vAlign w:val="center"/>
            <w:hideMark/>
          </w:tcPr>
          <w:p w14:paraId="566E513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16</w:t>
            </w:r>
          </w:p>
        </w:tc>
        <w:tc>
          <w:tcPr>
            <w:tcW w:w="1063" w:type="dxa"/>
            <w:shd w:val="clear" w:color="auto" w:fill="auto"/>
            <w:vAlign w:val="center"/>
            <w:hideMark/>
          </w:tcPr>
          <w:p w14:paraId="612E119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244</w:t>
            </w:r>
          </w:p>
        </w:tc>
        <w:tc>
          <w:tcPr>
            <w:tcW w:w="1064" w:type="dxa"/>
            <w:shd w:val="clear" w:color="auto" w:fill="auto"/>
            <w:vAlign w:val="center"/>
            <w:hideMark/>
          </w:tcPr>
          <w:p w14:paraId="3F6544D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1378</w:t>
            </w:r>
          </w:p>
        </w:tc>
        <w:tc>
          <w:tcPr>
            <w:tcW w:w="1117" w:type="dxa"/>
            <w:shd w:val="clear" w:color="auto" w:fill="auto"/>
            <w:vAlign w:val="center"/>
          </w:tcPr>
          <w:p w14:paraId="2B0FB3E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355</w:t>
            </w:r>
          </w:p>
        </w:tc>
        <w:tc>
          <w:tcPr>
            <w:tcW w:w="938" w:type="dxa"/>
            <w:shd w:val="clear" w:color="auto" w:fill="auto"/>
            <w:vAlign w:val="center"/>
          </w:tcPr>
          <w:p w14:paraId="14760BD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-1023</w:t>
            </w:r>
          </w:p>
        </w:tc>
        <w:tc>
          <w:tcPr>
            <w:tcW w:w="737" w:type="dxa"/>
            <w:shd w:val="clear" w:color="auto" w:fill="auto"/>
            <w:vAlign w:val="center"/>
          </w:tcPr>
          <w:p w14:paraId="0FB156A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25,76</w:t>
            </w:r>
          </w:p>
        </w:tc>
        <w:tc>
          <w:tcPr>
            <w:tcW w:w="840" w:type="dxa"/>
            <w:shd w:val="clear" w:color="auto" w:fill="auto"/>
            <w:vAlign w:val="center"/>
          </w:tcPr>
          <w:p w14:paraId="21552D5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1134</w:t>
            </w:r>
          </w:p>
        </w:tc>
        <w:tc>
          <w:tcPr>
            <w:tcW w:w="643" w:type="dxa"/>
            <w:shd w:val="clear" w:color="auto" w:fill="auto"/>
            <w:vAlign w:val="center"/>
          </w:tcPr>
          <w:p w14:paraId="5BB8333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564.8</w:t>
            </w:r>
          </w:p>
        </w:tc>
        <w:tc>
          <w:tcPr>
            <w:tcW w:w="908" w:type="dxa"/>
            <w:shd w:val="clear" w:color="auto" w:fill="auto"/>
            <w:vAlign w:val="center"/>
          </w:tcPr>
          <w:p w14:paraId="4490FCE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228</w:t>
            </w:r>
          </w:p>
        </w:tc>
        <w:tc>
          <w:tcPr>
            <w:tcW w:w="683" w:type="dxa"/>
            <w:shd w:val="clear" w:color="auto" w:fill="auto"/>
            <w:vAlign w:val="center"/>
          </w:tcPr>
          <w:p w14:paraId="0942E770"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1525</w:t>
            </w:r>
          </w:p>
        </w:tc>
        <w:tc>
          <w:tcPr>
            <w:tcW w:w="773" w:type="dxa"/>
            <w:shd w:val="clear" w:color="auto" w:fill="auto"/>
            <w:vAlign w:val="center"/>
          </w:tcPr>
          <w:p w14:paraId="66B56C08"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w:t>
            </w:r>
          </w:p>
        </w:tc>
        <w:tc>
          <w:tcPr>
            <w:tcW w:w="602" w:type="dxa"/>
            <w:gridSpan w:val="2"/>
            <w:shd w:val="clear" w:color="auto" w:fill="auto"/>
            <w:vAlign w:val="center"/>
          </w:tcPr>
          <w:p w14:paraId="58FE5F8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200</w:t>
            </w:r>
          </w:p>
        </w:tc>
      </w:tr>
      <w:tr w:rsidR="00CF4DFD" w:rsidRPr="00DD5F1D" w14:paraId="77AC8769" w14:textId="77777777" w:rsidTr="00CF4DFD">
        <w:trPr>
          <w:trHeight w:val="19"/>
        </w:trPr>
        <w:tc>
          <w:tcPr>
            <w:tcW w:w="2985" w:type="dxa"/>
            <w:shd w:val="clear" w:color="auto" w:fill="auto"/>
            <w:vAlign w:val="center"/>
            <w:hideMark/>
          </w:tcPr>
          <w:p w14:paraId="664F6C99"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Protecția persoanelor cu dizabilități (îngrijirea persoanelor cu dizabilitate, susținerea persoanelor în caz de dizabilitate sau deces survenit în urma accidentelor de muncă etc.)</w:t>
            </w:r>
          </w:p>
        </w:tc>
        <w:tc>
          <w:tcPr>
            <w:tcW w:w="647" w:type="dxa"/>
            <w:shd w:val="clear" w:color="auto" w:fill="auto"/>
            <w:vAlign w:val="center"/>
            <w:hideMark/>
          </w:tcPr>
          <w:p w14:paraId="10061CF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84639</w:t>
            </w:r>
          </w:p>
        </w:tc>
        <w:tc>
          <w:tcPr>
            <w:tcW w:w="1063" w:type="dxa"/>
            <w:shd w:val="clear" w:color="auto" w:fill="auto"/>
            <w:vAlign w:val="center"/>
            <w:hideMark/>
          </w:tcPr>
          <w:p w14:paraId="55924BC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86009</w:t>
            </w:r>
          </w:p>
        </w:tc>
        <w:tc>
          <w:tcPr>
            <w:tcW w:w="1063" w:type="dxa"/>
            <w:shd w:val="clear" w:color="auto" w:fill="auto"/>
            <w:vAlign w:val="center"/>
            <w:hideMark/>
          </w:tcPr>
          <w:p w14:paraId="6873056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90128</w:t>
            </w:r>
          </w:p>
        </w:tc>
        <w:tc>
          <w:tcPr>
            <w:tcW w:w="1064" w:type="dxa"/>
            <w:shd w:val="clear" w:color="auto" w:fill="auto"/>
            <w:vAlign w:val="center"/>
            <w:hideMark/>
          </w:tcPr>
          <w:p w14:paraId="1FA281D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96551</w:t>
            </w:r>
          </w:p>
        </w:tc>
        <w:tc>
          <w:tcPr>
            <w:tcW w:w="1117" w:type="dxa"/>
            <w:shd w:val="clear" w:color="auto" w:fill="auto"/>
            <w:vAlign w:val="center"/>
          </w:tcPr>
          <w:p w14:paraId="385C6EB3"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101446</w:t>
            </w:r>
          </w:p>
        </w:tc>
        <w:tc>
          <w:tcPr>
            <w:tcW w:w="938" w:type="dxa"/>
            <w:shd w:val="clear" w:color="auto" w:fill="auto"/>
            <w:vAlign w:val="center"/>
          </w:tcPr>
          <w:p w14:paraId="4D0F8F1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4895</w:t>
            </w:r>
          </w:p>
        </w:tc>
        <w:tc>
          <w:tcPr>
            <w:tcW w:w="737" w:type="dxa"/>
            <w:shd w:val="clear" w:color="auto" w:fill="auto"/>
            <w:vAlign w:val="center"/>
          </w:tcPr>
          <w:p w14:paraId="68F1127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105,07</w:t>
            </w:r>
          </w:p>
        </w:tc>
        <w:tc>
          <w:tcPr>
            <w:tcW w:w="840" w:type="dxa"/>
            <w:shd w:val="clear" w:color="auto" w:fill="auto"/>
            <w:vAlign w:val="center"/>
          </w:tcPr>
          <w:p w14:paraId="035E200C"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6423</w:t>
            </w:r>
          </w:p>
        </w:tc>
        <w:tc>
          <w:tcPr>
            <w:tcW w:w="643" w:type="dxa"/>
            <w:shd w:val="clear" w:color="auto" w:fill="auto"/>
            <w:vAlign w:val="center"/>
          </w:tcPr>
          <w:p w14:paraId="4D002468"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107.1</w:t>
            </w:r>
          </w:p>
        </w:tc>
        <w:tc>
          <w:tcPr>
            <w:tcW w:w="908" w:type="dxa"/>
            <w:shd w:val="clear" w:color="auto" w:fill="auto"/>
            <w:vAlign w:val="center"/>
          </w:tcPr>
          <w:p w14:paraId="19817E87"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4119</w:t>
            </w:r>
          </w:p>
        </w:tc>
        <w:tc>
          <w:tcPr>
            <w:tcW w:w="683" w:type="dxa"/>
            <w:shd w:val="clear" w:color="auto" w:fill="auto"/>
            <w:vAlign w:val="center"/>
          </w:tcPr>
          <w:p w14:paraId="17DFC53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105</w:t>
            </w:r>
          </w:p>
        </w:tc>
        <w:tc>
          <w:tcPr>
            <w:tcW w:w="773" w:type="dxa"/>
            <w:shd w:val="clear" w:color="auto" w:fill="auto"/>
            <w:vAlign w:val="center"/>
          </w:tcPr>
          <w:p w14:paraId="7E9E2725"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1370</w:t>
            </w:r>
          </w:p>
        </w:tc>
        <w:tc>
          <w:tcPr>
            <w:tcW w:w="602" w:type="dxa"/>
            <w:gridSpan w:val="2"/>
            <w:shd w:val="clear" w:color="auto" w:fill="auto"/>
            <w:vAlign w:val="center"/>
          </w:tcPr>
          <w:p w14:paraId="1450B7EC"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102</w:t>
            </w:r>
          </w:p>
        </w:tc>
      </w:tr>
      <w:tr w:rsidR="00CF4DFD" w:rsidRPr="00DD5F1D" w14:paraId="739F4D0C" w14:textId="77777777" w:rsidTr="00CF4DFD">
        <w:trPr>
          <w:trHeight w:val="19"/>
        </w:trPr>
        <w:tc>
          <w:tcPr>
            <w:tcW w:w="2985" w:type="dxa"/>
            <w:shd w:val="clear" w:color="auto" w:fill="auto"/>
            <w:vAlign w:val="center"/>
            <w:hideMark/>
          </w:tcPr>
          <w:p w14:paraId="30D3CD91"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Susținerea suplimentară a unor categorii de populație (beneficiari de asigurări sociale, alocații sociale etc.)</w:t>
            </w:r>
          </w:p>
        </w:tc>
        <w:tc>
          <w:tcPr>
            <w:tcW w:w="647" w:type="dxa"/>
            <w:shd w:val="clear" w:color="auto" w:fill="auto"/>
            <w:vAlign w:val="center"/>
            <w:hideMark/>
          </w:tcPr>
          <w:p w14:paraId="4882086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1070615</w:t>
            </w:r>
          </w:p>
        </w:tc>
        <w:tc>
          <w:tcPr>
            <w:tcW w:w="1063" w:type="dxa"/>
            <w:shd w:val="clear" w:color="auto" w:fill="auto"/>
            <w:vAlign w:val="center"/>
            <w:hideMark/>
          </w:tcPr>
          <w:p w14:paraId="3F89DB6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1601128</w:t>
            </w:r>
          </w:p>
        </w:tc>
        <w:tc>
          <w:tcPr>
            <w:tcW w:w="1063" w:type="dxa"/>
            <w:shd w:val="clear" w:color="auto" w:fill="auto"/>
            <w:vAlign w:val="center"/>
            <w:hideMark/>
          </w:tcPr>
          <w:p w14:paraId="26B37CF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864351</w:t>
            </w:r>
          </w:p>
        </w:tc>
        <w:tc>
          <w:tcPr>
            <w:tcW w:w="1064" w:type="dxa"/>
            <w:shd w:val="clear" w:color="auto" w:fill="auto"/>
            <w:vAlign w:val="center"/>
            <w:hideMark/>
          </w:tcPr>
          <w:p w14:paraId="4ECD516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780155</w:t>
            </w:r>
          </w:p>
        </w:tc>
        <w:tc>
          <w:tcPr>
            <w:tcW w:w="1117" w:type="dxa"/>
            <w:shd w:val="clear" w:color="auto" w:fill="auto"/>
            <w:vAlign w:val="center"/>
          </w:tcPr>
          <w:p w14:paraId="35B83E5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93522</w:t>
            </w:r>
          </w:p>
        </w:tc>
        <w:tc>
          <w:tcPr>
            <w:tcW w:w="938" w:type="dxa"/>
            <w:shd w:val="clear" w:color="auto" w:fill="auto"/>
            <w:vAlign w:val="center"/>
          </w:tcPr>
          <w:p w14:paraId="783DA29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-686633</w:t>
            </w:r>
          </w:p>
        </w:tc>
        <w:tc>
          <w:tcPr>
            <w:tcW w:w="737" w:type="dxa"/>
            <w:shd w:val="clear" w:color="auto" w:fill="auto"/>
            <w:vAlign w:val="center"/>
          </w:tcPr>
          <w:p w14:paraId="6F928FA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11,99</w:t>
            </w:r>
          </w:p>
        </w:tc>
        <w:tc>
          <w:tcPr>
            <w:tcW w:w="840" w:type="dxa"/>
            <w:shd w:val="clear" w:color="auto" w:fill="auto"/>
            <w:vAlign w:val="center"/>
          </w:tcPr>
          <w:p w14:paraId="649D1689"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-84196</w:t>
            </w:r>
          </w:p>
        </w:tc>
        <w:tc>
          <w:tcPr>
            <w:tcW w:w="643" w:type="dxa"/>
            <w:shd w:val="clear" w:color="auto" w:fill="auto"/>
            <w:vAlign w:val="center"/>
          </w:tcPr>
          <w:p w14:paraId="79767A2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90.26</w:t>
            </w:r>
          </w:p>
        </w:tc>
        <w:tc>
          <w:tcPr>
            <w:tcW w:w="908" w:type="dxa"/>
            <w:shd w:val="clear" w:color="auto" w:fill="auto"/>
            <w:vAlign w:val="center"/>
          </w:tcPr>
          <w:p w14:paraId="51384790"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-736777</w:t>
            </w:r>
          </w:p>
        </w:tc>
        <w:tc>
          <w:tcPr>
            <w:tcW w:w="683" w:type="dxa"/>
            <w:shd w:val="clear" w:color="auto" w:fill="auto"/>
            <w:vAlign w:val="center"/>
          </w:tcPr>
          <w:p w14:paraId="771E37A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54</w:t>
            </w:r>
          </w:p>
        </w:tc>
        <w:tc>
          <w:tcPr>
            <w:tcW w:w="785" w:type="dxa"/>
            <w:gridSpan w:val="2"/>
            <w:shd w:val="clear" w:color="auto" w:fill="auto"/>
            <w:vAlign w:val="center"/>
          </w:tcPr>
          <w:p w14:paraId="5D49E16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530513</w:t>
            </w:r>
          </w:p>
        </w:tc>
        <w:tc>
          <w:tcPr>
            <w:tcW w:w="590" w:type="dxa"/>
            <w:shd w:val="clear" w:color="auto" w:fill="auto"/>
            <w:vAlign w:val="center"/>
          </w:tcPr>
          <w:p w14:paraId="7659F1D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150</w:t>
            </w:r>
          </w:p>
        </w:tc>
      </w:tr>
      <w:tr w:rsidR="00CF4DFD" w:rsidRPr="00DD5F1D" w14:paraId="270A3585" w14:textId="77777777" w:rsidTr="00CF4DFD">
        <w:trPr>
          <w:trHeight w:val="19"/>
        </w:trPr>
        <w:tc>
          <w:tcPr>
            <w:tcW w:w="2985" w:type="dxa"/>
            <w:shd w:val="clear" w:color="auto" w:fill="auto"/>
            <w:vAlign w:val="center"/>
            <w:hideMark/>
          </w:tcPr>
          <w:p w14:paraId="415BA917"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Protecția socială în cazuri excepționale (ajutor social, ajutor pentru perioada rece a anului)</w:t>
            </w:r>
          </w:p>
        </w:tc>
        <w:tc>
          <w:tcPr>
            <w:tcW w:w="647" w:type="dxa"/>
            <w:shd w:val="clear" w:color="auto" w:fill="auto"/>
            <w:vAlign w:val="center"/>
            <w:hideMark/>
          </w:tcPr>
          <w:p w14:paraId="7472A833"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227886</w:t>
            </w:r>
          </w:p>
        </w:tc>
        <w:tc>
          <w:tcPr>
            <w:tcW w:w="1063" w:type="dxa"/>
            <w:shd w:val="clear" w:color="auto" w:fill="auto"/>
            <w:vAlign w:val="center"/>
            <w:hideMark/>
          </w:tcPr>
          <w:p w14:paraId="6DABAC5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260933</w:t>
            </w:r>
          </w:p>
        </w:tc>
        <w:tc>
          <w:tcPr>
            <w:tcW w:w="1063" w:type="dxa"/>
            <w:shd w:val="clear" w:color="auto" w:fill="auto"/>
            <w:vAlign w:val="center"/>
            <w:hideMark/>
          </w:tcPr>
          <w:p w14:paraId="6DFFF46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246268</w:t>
            </w:r>
          </w:p>
        </w:tc>
        <w:tc>
          <w:tcPr>
            <w:tcW w:w="1064" w:type="dxa"/>
            <w:shd w:val="clear" w:color="auto" w:fill="auto"/>
            <w:vAlign w:val="center"/>
            <w:hideMark/>
          </w:tcPr>
          <w:p w14:paraId="0F4FE910"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217273</w:t>
            </w:r>
          </w:p>
        </w:tc>
        <w:tc>
          <w:tcPr>
            <w:tcW w:w="1117" w:type="dxa"/>
            <w:shd w:val="clear" w:color="auto" w:fill="auto"/>
            <w:vAlign w:val="center"/>
          </w:tcPr>
          <w:p w14:paraId="07ACD5F8"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282159</w:t>
            </w:r>
          </w:p>
        </w:tc>
        <w:tc>
          <w:tcPr>
            <w:tcW w:w="938" w:type="dxa"/>
            <w:shd w:val="clear" w:color="auto" w:fill="auto"/>
            <w:vAlign w:val="center"/>
          </w:tcPr>
          <w:p w14:paraId="0C9945B1"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64886</w:t>
            </w:r>
          </w:p>
        </w:tc>
        <w:tc>
          <w:tcPr>
            <w:tcW w:w="737" w:type="dxa"/>
            <w:shd w:val="clear" w:color="auto" w:fill="auto"/>
            <w:vAlign w:val="center"/>
          </w:tcPr>
          <w:p w14:paraId="6F134C6C"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129,86</w:t>
            </w:r>
          </w:p>
        </w:tc>
        <w:tc>
          <w:tcPr>
            <w:tcW w:w="840" w:type="dxa"/>
            <w:shd w:val="clear" w:color="auto" w:fill="auto"/>
            <w:vAlign w:val="center"/>
          </w:tcPr>
          <w:p w14:paraId="5267C31E"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-28995</w:t>
            </w:r>
          </w:p>
        </w:tc>
        <w:tc>
          <w:tcPr>
            <w:tcW w:w="643" w:type="dxa"/>
            <w:shd w:val="clear" w:color="auto" w:fill="auto"/>
            <w:vAlign w:val="center"/>
          </w:tcPr>
          <w:p w14:paraId="71B547B6"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88.23</w:t>
            </w:r>
          </w:p>
        </w:tc>
        <w:tc>
          <w:tcPr>
            <w:tcW w:w="908" w:type="dxa"/>
            <w:shd w:val="clear" w:color="auto" w:fill="auto"/>
            <w:vAlign w:val="center"/>
          </w:tcPr>
          <w:p w14:paraId="528D0DF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-14665</w:t>
            </w:r>
          </w:p>
        </w:tc>
        <w:tc>
          <w:tcPr>
            <w:tcW w:w="683" w:type="dxa"/>
            <w:shd w:val="clear" w:color="auto" w:fill="auto"/>
            <w:vAlign w:val="center"/>
          </w:tcPr>
          <w:p w14:paraId="085CEE6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94.4</w:t>
            </w:r>
          </w:p>
        </w:tc>
        <w:tc>
          <w:tcPr>
            <w:tcW w:w="785" w:type="dxa"/>
            <w:gridSpan w:val="2"/>
            <w:shd w:val="clear" w:color="auto" w:fill="auto"/>
            <w:vAlign w:val="center"/>
          </w:tcPr>
          <w:p w14:paraId="7033D2EA"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33047</w:t>
            </w:r>
          </w:p>
        </w:tc>
        <w:tc>
          <w:tcPr>
            <w:tcW w:w="590" w:type="dxa"/>
            <w:shd w:val="clear" w:color="auto" w:fill="auto"/>
            <w:vAlign w:val="center"/>
          </w:tcPr>
          <w:p w14:paraId="0F2F5CD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115</w:t>
            </w:r>
          </w:p>
        </w:tc>
      </w:tr>
      <w:tr w:rsidR="00CF4DFD" w:rsidRPr="00DD5F1D" w14:paraId="3B063C73" w14:textId="77777777" w:rsidTr="00CF4DFD">
        <w:trPr>
          <w:trHeight w:val="19"/>
        </w:trPr>
        <w:tc>
          <w:tcPr>
            <w:tcW w:w="2985" w:type="dxa"/>
            <w:shd w:val="clear" w:color="auto" w:fill="auto"/>
            <w:vAlign w:val="center"/>
            <w:hideMark/>
          </w:tcPr>
          <w:p w14:paraId="4DB401BD" w14:textId="77777777" w:rsidR="00775DBA" w:rsidRPr="00DD5F1D" w:rsidRDefault="00775DBA" w:rsidP="00636C42">
            <w:pPr>
              <w:spacing w:after="0"/>
              <w:jc w:val="both"/>
              <w:rPr>
                <w:rFonts w:ascii="Times New Roman" w:hAnsi="Times New Roman" w:cs="Times New Roman"/>
                <w:sz w:val="18"/>
                <w:szCs w:val="18"/>
                <w:lang w:val="ro-MD"/>
              </w:rPr>
            </w:pPr>
            <w:r w:rsidRPr="00DD5F1D">
              <w:rPr>
                <w:rFonts w:ascii="Times New Roman" w:hAnsi="Times New Roman" w:cs="Times New Roman"/>
                <w:sz w:val="18"/>
                <w:szCs w:val="18"/>
                <w:lang w:val="ro-MD"/>
              </w:rPr>
              <w:t>Protecția socială a unor categorii de cetățeni (indemnizație viageră sportivilor de performanță, care s-au retras din activitatea de sport, asigurarea la tratament balneo-sanatorial etc.)</w:t>
            </w:r>
          </w:p>
        </w:tc>
        <w:tc>
          <w:tcPr>
            <w:tcW w:w="647" w:type="dxa"/>
            <w:shd w:val="clear" w:color="auto" w:fill="auto"/>
            <w:vAlign w:val="center"/>
            <w:hideMark/>
          </w:tcPr>
          <w:p w14:paraId="0DB3820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74546</w:t>
            </w:r>
          </w:p>
        </w:tc>
        <w:tc>
          <w:tcPr>
            <w:tcW w:w="1063" w:type="dxa"/>
            <w:shd w:val="clear" w:color="auto" w:fill="auto"/>
            <w:vAlign w:val="center"/>
            <w:hideMark/>
          </w:tcPr>
          <w:p w14:paraId="3A8F521B"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67448</w:t>
            </w:r>
          </w:p>
        </w:tc>
        <w:tc>
          <w:tcPr>
            <w:tcW w:w="1063" w:type="dxa"/>
            <w:shd w:val="clear" w:color="auto" w:fill="auto"/>
            <w:vAlign w:val="center"/>
            <w:hideMark/>
          </w:tcPr>
          <w:p w14:paraId="274DA54F"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71183</w:t>
            </w:r>
          </w:p>
        </w:tc>
        <w:tc>
          <w:tcPr>
            <w:tcW w:w="1064" w:type="dxa"/>
            <w:shd w:val="clear" w:color="auto" w:fill="auto"/>
            <w:vAlign w:val="center"/>
            <w:hideMark/>
          </w:tcPr>
          <w:p w14:paraId="68CB96D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92719</w:t>
            </w:r>
          </w:p>
        </w:tc>
        <w:tc>
          <w:tcPr>
            <w:tcW w:w="1117" w:type="dxa"/>
            <w:shd w:val="clear" w:color="auto" w:fill="auto"/>
            <w:vAlign w:val="center"/>
          </w:tcPr>
          <w:p w14:paraId="6565EF4C"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69187</w:t>
            </w:r>
          </w:p>
        </w:tc>
        <w:tc>
          <w:tcPr>
            <w:tcW w:w="938" w:type="dxa"/>
            <w:shd w:val="clear" w:color="auto" w:fill="auto"/>
            <w:vAlign w:val="center"/>
          </w:tcPr>
          <w:p w14:paraId="129A1DD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-23532</w:t>
            </w:r>
          </w:p>
        </w:tc>
        <w:tc>
          <w:tcPr>
            <w:tcW w:w="737" w:type="dxa"/>
            <w:shd w:val="clear" w:color="auto" w:fill="auto"/>
            <w:vAlign w:val="center"/>
          </w:tcPr>
          <w:p w14:paraId="3D78664D"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74,62</w:t>
            </w:r>
          </w:p>
        </w:tc>
        <w:tc>
          <w:tcPr>
            <w:tcW w:w="840" w:type="dxa"/>
            <w:shd w:val="clear" w:color="auto" w:fill="auto"/>
            <w:vAlign w:val="center"/>
          </w:tcPr>
          <w:p w14:paraId="4EF96898"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21536</w:t>
            </w:r>
          </w:p>
        </w:tc>
        <w:tc>
          <w:tcPr>
            <w:tcW w:w="643" w:type="dxa"/>
            <w:shd w:val="clear" w:color="auto" w:fill="auto"/>
            <w:vAlign w:val="center"/>
          </w:tcPr>
          <w:p w14:paraId="512E7A24"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130.3</w:t>
            </w:r>
          </w:p>
        </w:tc>
        <w:tc>
          <w:tcPr>
            <w:tcW w:w="908" w:type="dxa"/>
            <w:shd w:val="clear" w:color="auto" w:fill="auto"/>
            <w:vAlign w:val="center"/>
          </w:tcPr>
          <w:p w14:paraId="7F1098A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3735</w:t>
            </w:r>
          </w:p>
        </w:tc>
        <w:tc>
          <w:tcPr>
            <w:tcW w:w="683" w:type="dxa"/>
            <w:shd w:val="clear" w:color="auto" w:fill="auto"/>
            <w:vAlign w:val="center"/>
          </w:tcPr>
          <w:p w14:paraId="3ABC6BB9"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106</w:t>
            </w:r>
          </w:p>
        </w:tc>
        <w:tc>
          <w:tcPr>
            <w:tcW w:w="785" w:type="dxa"/>
            <w:gridSpan w:val="2"/>
            <w:shd w:val="clear" w:color="auto" w:fill="auto"/>
            <w:vAlign w:val="center"/>
          </w:tcPr>
          <w:p w14:paraId="697D6F32"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-7399</w:t>
            </w:r>
          </w:p>
        </w:tc>
        <w:tc>
          <w:tcPr>
            <w:tcW w:w="590" w:type="dxa"/>
            <w:shd w:val="clear" w:color="auto" w:fill="auto"/>
            <w:vAlign w:val="center"/>
          </w:tcPr>
          <w:p w14:paraId="0C1FCCF3" w14:textId="77777777" w:rsidR="00775DBA" w:rsidRPr="00DD5F1D" w:rsidRDefault="00775DBA" w:rsidP="00636C42">
            <w:pPr>
              <w:spacing w:after="0"/>
              <w:jc w:val="center"/>
              <w:rPr>
                <w:rFonts w:ascii="Times New Roman" w:hAnsi="Times New Roman" w:cs="Times New Roman"/>
                <w:sz w:val="18"/>
                <w:szCs w:val="18"/>
                <w:lang w:val="ro-MD"/>
              </w:rPr>
            </w:pPr>
            <w:r w:rsidRPr="00DD5F1D">
              <w:rPr>
                <w:rFonts w:ascii="Times New Roman" w:hAnsi="Times New Roman" w:cs="Times New Roman"/>
                <w:sz w:val="18"/>
                <w:szCs w:val="18"/>
                <w:lang w:val="ro-MD"/>
              </w:rPr>
              <w:t>90.1</w:t>
            </w:r>
          </w:p>
        </w:tc>
      </w:tr>
      <w:tr w:rsidR="00CF4DFD" w:rsidRPr="00DD5F1D" w14:paraId="0A3A7C34" w14:textId="77777777" w:rsidTr="00CF4DFD">
        <w:trPr>
          <w:trHeight w:val="19"/>
        </w:trPr>
        <w:tc>
          <w:tcPr>
            <w:tcW w:w="2985" w:type="dxa"/>
            <w:shd w:val="clear" w:color="auto" w:fill="auto"/>
            <w:vAlign w:val="center"/>
            <w:hideMark/>
          </w:tcPr>
          <w:p w14:paraId="7949EE20" w14:textId="77777777" w:rsidR="00775DBA" w:rsidRPr="00DD5F1D" w:rsidRDefault="00775DBA" w:rsidP="00636C42">
            <w:pPr>
              <w:spacing w:after="0"/>
              <w:jc w:val="both"/>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TOTAL</w:t>
            </w:r>
          </w:p>
        </w:tc>
        <w:tc>
          <w:tcPr>
            <w:tcW w:w="647" w:type="dxa"/>
            <w:shd w:val="clear" w:color="auto" w:fill="auto"/>
            <w:vAlign w:val="center"/>
            <w:hideMark/>
          </w:tcPr>
          <w:p w14:paraId="2441467A"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2552254</w:t>
            </w:r>
          </w:p>
        </w:tc>
        <w:tc>
          <w:tcPr>
            <w:tcW w:w="1063" w:type="dxa"/>
            <w:shd w:val="clear" w:color="auto" w:fill="auto"/>
            <w:vAlign w:val="center"/>
            <w:hideMark/>
          </w:tcPr>
          <w:p w14:paraId="77396BBE"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3089437</w:t>
            </w:r>
          </w:p>
        </w:tc>
        <w:tc>
          <w:tcPr>
            <w:tcW w:w="1063" w:type="dxa"/>
            <w:shd w:val="clear" w:color="auto" w:fill="auto"/>
            <w:vAlign w:val="center"/>
            <w:hideMark/>
          </w:tcPr>
          <w:p w14:paraId="70E7456B"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2376185</w:t>
            </w:r>
          </w:p>
        </w:tc>
        <w:tc>
          <w:tcPr>
            <w:tcW w:w="1064" w:type="dxa"/>
            <w:shd w:val="clear" w:color="auto" w:fill="auto"/>
            <w:vAlign w:val="center"/>
            <w:hideMark/>
          </w:tcPr>
          <w:p w14:paraId="735EFB33"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2310026</w:t>
            </w:r>
          </w:p>
        </w:tc>
        <w:tc>
          <w:tcPr>
            <w:tcW w:w="1117" w:type="dxa"/>
            <w:shd w:val="clear" w:color="auto" w:fill="auto"/>
            <w:vAlign w:val="center"/>
          </w:tcPr>
          <w:p w14:paraId="1DD7D1EF"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1665205</w:t>
            </w:r>
          </w:p>
        </w:tc>
        <w:tc>
          <w:tcPr>
            <w:tcW w:w="938" w:type="dxa"/>
            <w:shd w:val="clear" w:color="auto" w:fill="auto"/>
            <w:vAlign w:val="center"/>
          </w:tcPr>
          <w:p w14:paraId="7B9D81C8" w14:textId="77777777" w:rsidR="00775DBA" w:rsidRPr="00DD5F1D" w:rsidRDefault="00775DBA" w:rsidP="00636C42">
            <w:pPr>
              <w:spacing w:after="0"/>
              <w:jc w:val="center"/>
              <w:rPr>
                <w:rFonts w:ascii="Times New Roman" w:hAnsi="Times New Roman" w:cs="Times New Roman"/>
                <w:b/>
                <w:sz w:val="18"/>
                <w:szCs w:val="18"/>
                <w:lang w:val="ro-MD"/>
              </w:rPr>
            </w:pPr>
            <w:r w:rsidRPr="00DD5F1D">
              <w:rPr>
                <w:rFonts w:ascii="Times New Roman" w:hAnsi="Times New Roman" w:cs="Times New Roman"/>
                <w:b/>
                <w:sz w:val="18"/>
                <w:szCs w:val="18"/>
                <w:lang w:val="ro-MD"/>
              </w:rPr>
              <w:t>-644821</w:t>
            </w:r>
          </w:p>
        </w:tc>
        <w:tc>
          <w:tcPr>
            <w:tcW w:w="737" w:type="dxa"/>
            <w:shd w:val="clear" w:color="auto" w:fill="auto"/>
            <w:vAlign w:val="center"/>
          </w:tcPr>
          <w:p w14:paraId="6488CC31" w14:textId="77777777" w:rsidR="00775DBA" w:rsidRPr="00DD5F1D" w:rsidRDefault="00775DBA" w:rsidP="00636C42">
            <w:pPr>
              <w:spacing w:after="0"/>
              <w:jc w:val="center"/>
              <w:rPr>
                <w:rFonts w:ascii="Times New Roman" w:hAnsi="Times New Roman" w:cs="Times New Roman"/>
                <w:b/>
                <w:sz w:val="18"/>
                <w:szCs w:val="18"/>
                <w:lang w:val="ro-MD"/>
              </w:rPr>
            </w:pPr>
            <w:r w:rsidRPr="00DD5F1D">
              <w:rPr>
                <w:rFonts w:ascii="Times New Roman" w:hAnsi="Times New Roman" w:cs="Times New Roman"/>
                <w:b/>
                <w:sz w:val="18"/>
                <w:szCs w:val="18"/>
                <w:lang w:val="ro-MD"/>
              </w:rPr>
              <w:t>72,09</w:t>
            </w:r>
          </w:p>
        </w:tc>
        <w:tc>
          <w:tcPr>
            <w:tcW w:w="840" w:type="dxa"/>
            <w:shd w:val="clear" w:color="auto" w:fill="auto"/>
            <w:vAlign w:val="center"/>
          </w:tcPr>
          <w:p w14:paraId="6F0E5B6D"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-66159</w:t>
            </w:r>
          </w:p>
        </w:tc>
        <w:tc>
          <w:tcPr>
            <w:tcW w:w="643" w:type="dxa"/>
            <w:shd w:val="clear" w:color="auto" w:fill="auto"/>
            <w:vAlign w:val="center"/>
          </w:tcPr>
          <w:p w14:paraId="14D64675"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97.22</w:t>
            </w:r>
          </w:p>
        </w:tc>
        <w:tc>
          <w:tcPr>
            <w:tcW w:w="908" w:type="dxa"/>
            <w:shd w:val="clear" w:color="auto" w:fill="auto"/>
            <w:vAlign w:val="center"/>
          </w:tcPr>
          <w:p w14:paraId="7B59B2AB"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-713252</w:t>
            </w:r>
          </w:p>
        </w:tc>
        <w:tc>
          <w:tcPr>
            <w:tcW w:w="683" w:type="dxa"/>
            <w:shd w:val="clear" w:color="auto" w:fill="auto"/>
            <w:vAlign w:val="center"/>
          </w:tcPr>
          <w:p w14:paraId="3B2844DB"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77</w:t>
            </w:r>
          </w:p>
        </w:tc>
        <w:tc>
          <w:tcPr>
            <w:tcW w:w="785" w:type="dxa"/>
            <w:gridSpan w:val="2"/>
            <w:shd w:val="clear" w:color="auto" w:fill="auto"/>
            <w:vAlign w:val="center"/>
          </w:tcPr>
          <w:p w14:paraId="12E64D6B"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537183</w:t>
            </w:r>
          </w:p>
        </w:tc>
        <w:tc>
          <w:tcPr>
            <w:tcW w:w="590" w:type="dxa"/>
            <w:shd w:val="clear" w:color="auto" w:fill="auto"/>
            <w:vAlign w:val="center"/>
          </w:tcPr>
          <w:p w14:paraId="2834BCC4" w14:textId="77777777" w:rsidR="00775DBA" w:rsidRPr="00DD5F1D" w:rsidRDefault="00775DBA" w:rsidP="00636C42">
            <w:pPr>
              <w:spacing w:after="0"/>
              <w:jc w:val="center"/>
              <w:rPr>
                <w:rFonts w:ascii="Times New Roman" w:hAnsi="Times New Roman" w:cs="Times New Roman"/>
                <w:b/>
                <w:bCs/>
                <w:sz w:val="18"/>
                <w:szCs w:val="18"/>
                <w:lang w:val="ro-MD"/>
              </w:rPr>
            </w:pPr>
            <w:r w:rsidRPr="00DD5F1D">
              <w:rPr>
                <w:rFonts w:ascii="Times New Roman" w:hAnsi="Times New Roman" w:cs="Times New Roman"/>
                <w:b/>
                <w:bCs/>
                <w:sz w:val="18"/>
                <w:szCs w:val="18"/>
                <w:lang w:val="ro-MD"/>
              </w:rPr>
              <w:t>121</w:t>
            </w:r>
          </w:p>
        </w:tc>
      </w:tr>
    </w:tbl>
    <w:p w14:paraId="00BB97EF" w14:textId="0EF091B1" w:rsidR="00775DBA" w:rsidRPr="00DD5F1D" w:rsidRDefault="00775DBA" w:rsidP="00775DBA">
      <w:pPr>
        <w:spacing w:after="0" w:line="276" w:lineRule="auto"/>
        <w:jc w:val="both"/>
        <w:rPr>
          <w:rFonts w:ascii="Times New Roman" w:eastAsia="Calibri" w:hAnsi="Times New Roman" w:cs="Times New Roman"/>
          <w:sz w:val="24"/>
          <w:lang w:val="ro-MD"/>
        </w:rPr>
      </w:pPr>
      <w:r w:rsidRPr="00DD5F1D">
        <w:rPr>
          <w:rFonts w:ascii="Times New Roman" w:eastAsia="Calibri" w:hAnsi="Times New Roman" w:cs="Times New Roman"/>
          <w:b/>
          <w:bCs/>
          <w:i/>
          <w:szCs w:val="20"/>
          <w:lang w:val="ro-MD"/>
        </w:rPr>
        <w:t>Sursă:</w:t>
      </w:r>
      <w:r w:rsidRPr="00DD5F1D">
        <w:rPr>
          <w:rFonts w:ascii="Times New Roman" w:eastAsia="Calibri" w:hAnsi="Times New Roman" w:cs="Times New Roman"/>
          <w:i/>
          <w:szCs w:val="20"/>
          <w:lang w:val="ro-MD"/>
        </w:rPr>
        <w:t xml:space="preserve"> Raportul privind îndeplinirea planului de contingente, beneficiarii plăților și mărimea acestora din bugetul asigurărilor sociale de stat (Formularul nr.5 CNAS pentru anii 2019, 2020, 2021, 2022 și 2023)</w:t>
      </w:r>
      <w:r w:rsidR="00BD3EA8" w:rsidRPr="00DD5F1D">
        <w:rPr>
          <w:rFonts w:ascii="Times New Roman" w:eastAsia="Calibri" w:hAnsi="Times New Roman" w:cs="Times New Roman"/>
          <w:i/>
          <w:szCs w:val="20"/>
          <w:lang w:val="ro-MD"/>
        </w:rPr>
        <w:t>.</w:t>
      </w:r>
    </w:p>
    <w:p w14:paraId="37C0526A" w14:textId="77777777" w:rsidR="00775DBA" w:rsidRPr="00DD5F1D" w:rsidRDefault="00775DBA" w:rsidP="00775DBA">
      <w:pPr>
        <w:rPr>
          <w:rFonts w:ascii="Times New Roman" w:hAnsi="Times New Roman" w:cs="Times New Roman"/>
          <w:lang w:val="ro-MD"/>
        </w:rPr>
      </w:pPr>
    </w:p>
    <w:p w14:paraId="682674E3" w14:textId="77777777" w:rsidR="00775DBA" w:rsidRPr="00DD5F1D" w:rsidRDefault="00775DBA" w:rsidP="00775DBA">
      <w:pPr>
        <w:tabs>
          <w:tab w:val="left" w:pos="6504"/>
        </w:tabs>
        <w:jc w:val="both"/>
        <w:rPr>
          <w:rFonts w:ascii="Times New Roman" w:eastAsia="Calibri" w:hAnsi="Times New Roman" w:cs="Times New Roman"/>
          <w:i/>
          <w:sz w:val="20"/>
          <w:szCs w:val="20"/>
          <w:lang w:val="ro-MD"/>
        </w:rPr>
      </w:pPr>
    </w:p>
    <w:p w14:paraId="265F1F9A" w14:textId="77777777" w:rsidR="00775DBA" w:rsidRPr="00DD5F1D" w:rsidRDefault="00775DBA" w:rsidP="00775DBA">
      <w:pPr>
        <w:rPr>
          <w:rFonts w:ascii="Times New Roman" w:hAnsi="Times New Roman" w:cs="Times New Roman"/>
          <w:lang w:val="ro-MD"/>
        </w:rPr>
      </w:pPr>
    </w:p>
    <w:p w14:paraId="2A4C2971" w14:textId="77777777" w:rsidR="00775DBA" w:rsidRPr="00DD5F1D" w:rsidRDefault="00775DBA" w:rsidP="00775DBA">
      <w:pPr>
        <w:jc w:val="center"/>
        <w:rPr>
          <w:rFonts w:ascii="Times New Roman" w:hAnsi="Times New Roman" w:cs="Times New Roman"/>
          <w:sz w:val="24"/>
          <w:szCs w:val="18"/>
          <w:lang w:val="ro-MD"/>
        </w:rPr>
      </w:pPr>
    </w:p>
    <w:p w14:paraId="46DEAD5D" w14:textId="77777777" w:rsidR="00E52459" w:rsidRPr="00DD5F1D" w:rsidRDefault="00E52459" w:rsidP="00F84019">
      <w:pPr>
        <w:pStyle w:val="1"/>
        <w:numPr>
          <w:ilvl w:val="0"/>
          <w:numId w:val="0"/>
        </w:numPr>
        <w:jc w:val="right"/>
        <w:rPr>
          <w:rFonts w:cs="Times New Roman"/>
          <w:b w:val="0"/>
          <w:sz w:val="24"/>
          <w:szCs w:val="24"/>
          <w:lang w:val="ro-MD"/>
        </w:rPr>
      </w:pPr>
    </w:p>
    <w:sectPr w:rsidR="00E52459" w:rsidRPr="00DD5F1D" w:rsidSect="00084F96">
      <w:pgSz w:w="15840" w:h="12240" w:orient="landscape"/>
      <w:pgMar w:top="1355" w:right="1140" w:bottom="851"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5F9F7" w14:textId="77777777" w:rsidR="0053321A" w:rsidRDefault="0053321A" w:rsidP="009351E2">
      <w:pPr>
        <w:spacing w:after="0" w:line="240" w:lineRule="auto"/>
      </w:pPr>
      <w:r>
        <w:separator/>
      </w:r>
    </w:p>
  </w:endnote>
  <w:endnote w:type="continuationSeparator" w:id="0">
    <w:p w14:paraId="4EA3A225" w14:textId="77777777" w:rsidR="0053321A" w:rsidRDefault="0053321A" w:rsidP="0093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1459638755"/>
      <w:docPartObj>
        <w:docPartGallery w:val="Page Numbers (Bottom of Page)"/>
        <w:docPartUnique/>
      </w:docPartObj>
    </w:sdtPr>
    <w:sdtEndPr>
      <w:rPr>
        <w:noProof/>
      </w:rPr>
    </w:sdtEndPr>
    <w:sdtContent>
      <w:p w14:paraId="14086CB9" w14:textId="2B688BD2" w:rsidR="006A6EDC" w:rsidRPr="0018370A" w:rsidRDefault="006A6EDC">
        <w:pPr>
          <w:pStyle w:val="ae"/>
          <w:jc w:val="right"/>
          <w:rPr>
            <w:rFonts w:asciiTheme="majorHAnsi" w:hAnsiTheme="majorHAnsi" w:cstheme="majorHAnsi"/>
          </w:rPr>
        </w:pPr>
        <w:r w:rsidRPr="0018370A">
          <w:rPr>
            <w:rFonts w:asciiTheme="majorHAnsi" w:hAnsiTheme="majorHAnsi" w:cstheme="majorHAnsi"/>
          </w:rPr>
          <w:fldChar w:fldCharType="begin"/>
        </w:r>
        <w:r w:rsidRPr="0018370A">
          <w:rPr>
            <w:rFonts w:asciiTheme="majorHAnsi" w:hAnsiTheme="majorHAnsi" w:cstheme="majorHAnsi"/>
          </w:rPr>
          <w:instrText xml:space="preserve"> PAGE   \* MERGEFORMAT </w:instrText>
        </w:r>
        <w:r w:rsidRPr="0018370A">
          <w:rPr>
            <w:rFonts w:asciiTheme="majorHAnsi" w:hAnsiTheme="majorHAnsi" w:cstheme="majorHAnsi"/>
          </w:rPr>
          <w:fldChar w:fldCharType="separate"/>
        </w:r>
        <w:r w:rsidR="00FD0E86">
          <w:rPr>
            <w:rFonts w:asciiTheme="majorHAnsi" w:hAnsiTheme="majorHAnsi" w:cstheme="majorHAnsi"/>
            <w:noProof/>
          </w:rPr>
          <w:t>14</w:t>
        </w:r>
        <w:r w:rsidRPr="0018370A">
          <w:rPr>
            <w:rFonts w:asciiTheme="majorHAnsi" w:hAnsiTheme="majorHAnsi" w:cstheme="majorHAnsi"/>
            <w:noProof/>
          </w:rPr>
          <w:fldChar w:fldCharType="end"/>
        </w:r>
      </w:p>
    </w:sdtContent>
  </w:sdt>
  <w:p w14:paraId="223FB69F" w14:textId="77777777" w:rsidR="006A6EDC" w:rsidRDefault="006A6E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D3998" w14:textId="77777777" w:rsidR="0053321A" w:rsidRDefault="0053321A" w:rsidP="009351E2">
      <w:pPr>
        <w:spacing w:after="0" w:line="240" w:lineRule="auto"/>
      </w:pPr>
      <w:r>
        <w:separator/>
      </w:r>
    </w:p>
  </w:footnote>
  <w:footnote w:type="continuationSeparator" w:id="0">
    <w:p w14:paraId="34663F9A" w14:textId="77777777" w:rsidR="0053321A" w:rsidRDefault="0053321A" w:rsidP="009351E2">
      <w:pPr>
        <w:spacing w:after="0" w:line="240" w:lineRule="auto"/>
      </w:pPr>
      <w:r>
        <w:continuationSeparator/>
      </w:r>
    </w:p>
  </w:footnote>
  <w:footnote w:id="1">
    <w:p w14:paraId="5EE384BB" w14:textId="1E90EEF3" w:rsidR="006A6EDC" w:rsidRPr="005B7D3E" w:rsidRDefault="006A6EDC" w:rsidP="005B7D3E">
      <w:pPr>
        <w:pStyle w:val="a8"/>
        <w:jc w:val="both"/>
        <w:rPr>
          <w:rFonts w:ascii="Times New Roman" w:hAnsi="Times New Roman" w:cs="Times New Roman"/>
          <w:noProof/>
          <w:sz w:val="16"/>
          <w:szCs w:val="16"/>
          <w:highlight w:val="yellow"/>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hAnsi="Times New Roman" w:cs="Times New Roman"/>
          <w:noProof/>
          <w:sz w:val="16"/>
          <w:szCs w:val="16"/>
          <w:lang w:val="ro-MD"/>
        </w:rPr>
        <w:t>Raportul privind executarea indicatorilor generali ai bugetului asigurărilor sociale de stat – Formularul nr.1 CNAS (conform Anexei nr.1 la Legea bugetului asigurărilor sociale de stat); Raportul privind executarea subprogramelor de cheltuieli ale bugetului asigurărilor sociale de stat – Formularul nr.2 CNAS (conform Anexei nr.2 la Legea bugetului asigurărilor sociale de stat); Raportul privind executarea bugetului asigurărilor sociale de stat – Formularul nr.4 CNAS; Raportul privind executarea bugetului asigurărilor sociale de stat la partea de cheltuieli şi active nefinanciare – Formularul nr.4.1 CNAS; Raport privind executarea bugetului asigurărilor sociale de stat la partea de venituri – Formularul nr. 4.2 CNAS;</w:t>
      </w:r>
      <w:r w:rsidRPr="005B7D3E">
        <w:rPr>
          <w:rFonts w:ascii="Times New Roman" w:hAnsi="Times New Roman" w:cs="Times New Roman"/>
          <w:sz w:val="16"/>
          <w:szCs w:val="16"/>
          <w:lang w:val="ro-MD"/>
        </w:rPr>
        <w:t xml:space="preserve"> </w:t>
      </w:r>
      <w:r w:rsidRPr="005B7D3E">
        <w:rPr>
          <w:rFonts w:ascii="Times New Roman" w:hAnsi="Times New Roman" w:cs="Times New Roman"/>
          <w:noProof/>
          <w:sz w:val="16"/>
          <w:szCs w:val="16"/>
          <w:lang w:val="ro-MD"/>
        </w:rPr>
        <w:t xml:space="preserve">Bilanțul contabil Formularul FD-041, Raportul privind fluxul mijloacelor Formularul FD-043; Raportul privind executarea bugetului asigurărilor sociale de stat (descrierea narativă). </w:t>
      </w:r>
    </w:p>
  </w:footnote>
  <w:footnote w:id="2">
    <w:p w14:paraId="5967F4B4"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hAnsi="Times New Roman" w:cs="Times New Roman"/>
          <w:noProof/>
          <w:sz w:val="16"/>
          <w:szCs w:val="16"/>
          <w:lang w:val="ro-MD"/>
        </w:rPr>
        <w:t>Ordinul ministrului Finanțelor nr.38 din 17.02.2017 „Cu privire la aprobarea formularelor Rapoartelor privind executarea bugetului asigurărilor sociale de stat şi Normelor metodologice privind modul de întocmire a acestora” (cu modificările și completările ulterioare), (în continuare – Ordinul ministrului Finanțelor nr.38 din 17.02.2017).</w:t>
      </w:r>
    </w:p>
  </w:footnote>
  <w:footnote w:id="3">
    <w:p w14:paraId="60513C37"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Art.1 din Legea nr.489 din 08.07.1999 privind sistemul public de asigurări sociale.</w:t>
      </w:r>
    </w:p>
  </w:footnote>
  <w:footnote w:id="4">
    <w:p w14:paraId="277FF488" w14:textId="03A36F54" w:rsidR="006A6EDC" w:rsidRPr="005B7D3E" w:rsidRDefault="006A6EDC" w:rsidP="005B7D3E">
      <w:pPr>
        <w:pStyle w:val="a3"/>
        <w:jc w:val="both"/>
        <w:rPr>
          <w:rFonts w:ascii="Times New Roman" w:eastAsia="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Art.10 din Legea nr.489 din 08.07.1999 privind sistemul public de asigurări sociale.</w:t>
      </w:r>
    </w:p>
  </w:footnote>
  <w:footnote w:id="5">
    <w:p w14:paraId="72D4C41E"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Art.22 din Legea finanțelor publice şi responsabilității bugetar-fiscale nr.181 din 25.07.2014.</w:t>
      </w:r>
    </w:p>
  </w:footnote>
  <w:footnote w:id="6">
    <w:p w14:paraId="6774B45F" w14:textId="77777777" w:rsidR="006A6EDC" w:rsidRPr="005B7D3E" w:rsidRDefault="006A6EDC" w:rsidP="005B7D3E">
      <w:pPr>
        <w:pStyle w:val="a3"/>
        <w:jc w:val="both"/>
        <w:rPr>
          <w:rFonts w:ascii="Times New Roman" w:hAnsi="Times New Roman" w:cs="Times New Roman"/>
          <w:sz w:val="16"/>
          <w:szCs w:val="16"/>
          <w:lang w:val="ro-MD"/>
        </w:rPr>
      </w:pPr>
      <w:r w:rsidRPr="005B7D3E">
        <w:rPr>
          <w:rFonts w:ascii="Times New Roman" w:hAnsi="Times New Roman" w:cs="Times New Roman"/>
          <w:sz w:val="16"/>
          <w:szCs w:val="16"/>
          <w:vertAlign w:val="superscript"/>
          <w:lang w:val="ro-MD"/>
        </w:rPr>
        <w:footnoteRef/>
      </w:r>
      <w:r w:rsidRPr="005B7D3E">
        <w:rPr>
          <w:rFonts w:ascii="Times New Roman" w:hAnsi="Times New Roman" w:cs="Times New Roman"/>
          <w:sz w:val="16"/>
          <w:szCs w:val="16"/>
          <w:lang w:val="ro-MD"/>
        </w:rPr>
        <w:t xml:space="preserve"> Legea finanțelor publice și responsabilității bugetar-fiscale nr.181 din 25.07.2014.</w:t>
      </w:r>
    </w:p>
  </w:footnote>
  <w:footnote w:id="7">
    <w:p w14:paraId="03389BEC" w14:textId="1D42DED6"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Legea nr. 169/2023, Legea nr. 296/2023 și HG nr.889/2023 „Privind redistribuirea unor alocații aprobate prin Legea bugetului asigurărilor sociale de stat pe anul 2023 nr. 357/2022 şi prin Legea bugetului de stat pentru anul 2023 nr.359/2022”.</w:t>
      </w:r>
    </w:p>
  </w:footnote>
  <w:footnote w:id="8">
    <w:p w14:paraId="2DC2666E" w14:textId="37FE8AFC"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Legea nr. 121/2001 cu privire la protecția socială suplimentară a unor categorii de populație.</w:t>
      </w:r>
    </w:p>
  </w:footnote>
  <w:footnote w:id="9">
    <w:p w14:paraId="6E6D2BF8"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Hotărârea Curții de Conturi nr.2 din 24.01.2020 „Cu privire la Cadrul Declarațiilor Profesionale ale INTOSAI”.</w:t>
      </w:r>
    </w:p>
  </w:footnote>
  <w:footnote w:id="10">
    <w:p w14:paraId="5B986133" w14:textId="77777777" w:rsidR="006A6EDC" w:rsidRPr="005B7D3E" w:rsidRDefault="006A6EDC" w:rsidP="005B7D3E">
      <w:pPr>
        <w:pStyle w:val="a3"/>
        <w:contextualSpacing/>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bCs/>
          <w:sz w:val="16"/>
          <w:szCs w:val="16"/>
          <w:lang w:val="ro-MD" w:eastAsia="ro-RO"/>
        </w:rPr>
        <w:t xml:space="preserve">Persoanele angajate prin contract individual de muncă, persoanele aflate în raporturi de serviciu în baza actului administrativ ori prin alte tipuri de contracte civile în vederea executării de lucrări sau prestării de servicii, cu excepția celor specificate la pct. 1.2–1.5; pentru angajații și/sau alte persoane fizice, în baza contractelor civile, în vederea executării de lucrări sau prestării de servicii, în cazul rezidenților parcurilor pentru tehnologia informației; pentru cetățenii Republicii Moldova angajați prin contract în proiecte, în instituții și organizații internaționale, indiferent de sursa de finanțare a activităților, în cazul în care acordurile internaționale la care Republica Moldova este parte nu prevăd scutirea de plată a contribuțiilor de asigurări sociale de stat obligatorii; pentru persoanele care desfășoară activitate în funcții elective ori sunt numite în cadrul autorităților executive; pentru judecători, procurori, Avocați ai Poporului; Anexa nr.1 la Legea nr.489/1999 </w:t>
      </w:r>
      <w:r w:rsidRPr="005B7D3E">
        <w:rPr>
          <w:rFonts w:ascii="Times New Roman" w:hAnsi="Times New Roman" w:cs="Times New Roman"/>
          <w:sz w:val="16"/>
          <w:szCs w:val="16"/>
          <w:lang w:val="ro-MD"/>
        </w:rPr>
        <w:t>privind sistemul public de asigurări sociale</w:t>
      </w:r>
      <w:r w:rsidRPr="005B7D3E">
        <w:rPr>
          <w:rFonts w:ascii="Times New Roman" w:eastAsia="Times New Roman" w:hAnsi="Times New Roman" w:cs="Times New Roman"/>
          <w:bCs/>
          <w:sz w:val="16"/>
          <w:szCs w:val="16"/>
          <w:lang w:val="ro-MD" w:eastAsia="ro-RO"/>
        </w:rPr>
        <w:t>.</w:t>
      </w:r>
    </w:p>
  </w:footnote>
  <w:footnote w:id="11">
    <w:p w14:paraId="7FD5C5C7" w14:textId="558F7DB2"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7% din venitul din vânzări, dar nu mai puțin de 30% din cuantumul salariului mediu lunar pe economie, prognozat pentru anul aferent perioadei fiscale a impozitului respectiv determinat lunar per angajat.</w:t>
      </w:r>
    </w:p>
  </w:footnote>
  <w:footnote w:id="12">
    <w:p w14:paraId="471164D8" w14:textId="43E4B53B"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hAnsi="Times New Roman" w:cs="Times New Roman"/>
          <w:color w:val="333333"/>
          <w:sz w:val="16"/>
          <w:szCs w:val="16"/>
          <w:shd w:val="clear" w:color="auto" w:fill="FFFFFF"/>
          <w:lang w:val="ro-MD"/>
        </w:rPr>
        <w:t xml:space="preserve">11 700 lei*30%*54,7%=1 919,97 lei contribuții lunare per persoană sau salariu minim asigurat de 7 999,88 lei. </w:t>
      </w:r>
      <w:r w:rsidRPr="005B7D3E">
        <w:rPr>
          <w:rFonts w:ascii="Times New Roman" w:hAnsi="Times New Roman" w:cs="Times New Roman"/>
          <w:sz w:val="16"/>
          <w:szCs w:val="16"/>
          <w:lang w:val="ro-MD"/>
        </w:rPr>
        <w:t xml:space="preserve">        </w:t>
      </w:r>
    </w:p>
  </w:footnote>
  <w:footnote w:id="13">
    <w:p w14:paraId="27C7DC77" w14:textId="2A87A6C9"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3 al Legii 489/1999 privind sistemul public de asigurări sociale.</w:t>
      </w:r>
    </w:p>
  </w:footnote>
  <w:footnote w:id="14">
    <w:p w14:paraId="01568E8F" w14:textId="58AD7AD2"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Coeficientul de îmbătrânire a populației se exprimă prin numărul persoanelor în vârstă de 60 ani și peste la 100 de locuitori.</w:t>
      </w:r>
    </w:p>
  </w:footnote>
  <w:footnote w:id="15">
    <w:p w14:paraId="70A7C07D" w14:textId="77777777" w:rsidR="006A6EDC" w:rsidRPr="005B7D3E" w:rsidRDefault="006A6EDC" w:rsidP="005B7D3E">
      <w:pPr>
        <w:pStyle w:val="a3"/>
        <w:jc w:val="both"/>
        <w:rPr>
          <w:rFonts w:ascii="Times New Roman" w:hAnsi="Times New Roman" w:cs="Times New Roman"/>
          <w:sz w:val="16"/>
          <w:szCs w:val="16"/>
          <w:lang w:val="ro-MD"/>
        </w:rPr>
      </w:pPr>
      <w:r w:rsidRPr="005B7D3E">
        <w:rPr>
          <w:rFonts w:ascii="Times New Roman" w:eastAsia="Times New Roman" w:hAnsi="Times New Roman" w:cs="Times New Roman"/>
          <w:bCs/>
          <w:sz w:val="16"/>
          <w:szCs w:val="16"/>
          <w:vertAlign w:val="superscript"/>
          <w:lang w:val="ro-MD" w:eastAsia="ro-RO"/>
        </w:rPr>
        <w:footnoteRef/>
      </w:r>
      <w:r w:rsidRPr="005B7D3E">
        <w:rPr>
          <w:rFonts w:ascii="Times New Roman" w:eastAsia="Times New Roman" w:hAnsi="Times New Roman" w:cs="Times New Roman"/>
          <w:bCs/>
          <w:sz w:val="16"/>
          <w:szCs w:val="16"/>
          <w:lang w:val="ro-MD" w:eastAsia="ro-RO"/>
        </w:rPr>
        <w:t xml:space="preserve"> </w:t>
      </w:r>
      <w:r w:rsidRPr="005B7D3E">
        <w:rPr>
          <w:rFonts w:ascii="Times New Roman" w:eastAsia="Times New Roman" w:hAnsi="Times New Roman" w:cs="Times New Roman"/>
          <w:bCs/>
          <w:color w:val="1F3864" w:themeColor="accent5" w:themeShade="80"/>
          <w:sz w:val="16"/>
          <w:szCs w:val="16"/>
          <w:u w:val="single"/>
          <w:lang w:val="ro-MD" w:eastAsia="ro-RO"/>
        </w:rPr>
        <w:t>www.statistica.md</w:t>
      </w:r>
    </w:p>
  </w:footnote>
  <w:footnote w:id="16">
    <w:p w14:paraId="6E90729F" w14:textId="544D833C"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De la 12,8 născuții vii la 1 000 de locuitori în anul 2018, până la 10,6 în anul 2022.</w:t>
      </w:r>
    </w:p>
  </w:footnote>
  <w:footnote w:id="17">
    <w:p w14:paraId="368A22D7" w14:textId="3AE806F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10</w:t>
      </w:r>
      <w:r w:rsidRPr="005B7D3E">
        <w:rPr>
          <w:rFonts w:ascii="Times New Roman" w:hAnsi="Times New Roman" w:cs="Times New Roman"/>
          <w:sz w:val="16"/>
          <w:szCs w:val="16"/>
          <w:vertAlign w:val="superscript"/>
          <w:lang w:val="ro-MD"/>
        </w:rPr>
        <w:t>1</w:t>
      </w:r>
      <w:r w:rsidRPr="005B7D3E">
        <w:rPr>
          <w:rFonts w:ascii="Times New Roman" w:hAnsi="Times New Roman" w:cs="Times New Roman"/>
          <w:sz w:val="16"/>
          <w:szCs w:val="16"/>
          <w:lang w:val="ro-MD"/>
        </w:rPr>
        <w:t xml:space="preserve"> din Legea nr. 489 din 08.07.1999 privind sistemul public de asigurări sociale.</w:t>
      </w:r>
    </w:p>
  </w:footnote>
  <w:footnote w:id="18">
    <w:p w14:paraId="6C676D4A" w14:textId="17CEFCF2"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10</w:t>
      </w:r>
      <w:r w:rsidRPr="005B7D3E">
        <w:rPr>
          <w:rFonts w:ascii="Times New Roman" w:hAnsi="Times New Roman" w:cs="Times New Roman"/>
          <w:sz w:val="16"/>
          <w:szCs w:val="16"/>
          <w:vertAlign w:val="superscript"/>
          <w:lang w:val="ro-MD"/>
        </w:rPr>
        <w:t>1</w:t>
      </w:r>
      <w:r w:rsidRPr="005B7D3E">
        <w:rPr>
          <w:rFonts w:ascii="Times New Roman" w:hAnsi="Times New Roman" w:cs="Times New Roman"/>
          <w:sz w:val="16"/>
          <w:szCs w:val="16"/>
          <w:lang w:val="ro-MD"/>
        </w:rPr>
        <w:t xml:space="preserve"> din Legea nr. 489 din 08.07.1999 privind sistemul public de asigurări sociale, Regulamentul privind elaborarea proiectului bugetului asigurărilor sociale de stat și legii bugetare anuale.</w:t>
      </w:r>
    </w:p>
  </w:footnote>
  <w:footnote w:id="19">
    <w:p w14:paraId="700D1DE1" w14:textId="1A3EDE76"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Persoanele de 15 ani și peste, care în cursul perioadei de referință îndeplinesc simultan următoarele condiții: (a) nu au un loc de muncă și nu desfășoară o activitate în scopul obținerii unor venituri; (b) sunt în căutarea unui loc de muncă, utilizând în ultimele 4 săptămâni diverse metode pentru a-l găsi; (c) sunt disponibile să înceapă lucrul în următoarele 15 zile, dacă s-ar găsi imediat un loc de muncă.</w:t>
      </w:r>
    </w:p>
  </w:footnote>
  <w:footnote w:id="20">
    <w:p w14:paraId="01D7DB4E" w14:textId="71004F24" w:rsidR="006A6EDC" w:rsidRPr="005B7D3E" w:rsidRDefault="006A6EDC" w:rsidP="005B7D3E">
      <w:pPr>
        <w:spacing w:after="0"/>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Tineri care nu fac parte din populația ocupată, nu studiază/învață în cadrul sistemului formal de educație și nu participă la niciun fel de cursuri sau alte instruiri în afara sistemului formal de educație (din limba engleză: „Persons Not in Employment, Education or Training).</w:t>
      </w:r>
    </w:p>
  </w:footnote>
  <w:footnote w:id="21">
    <w:p w14:paraId="56D8B242" w14:textId="4EA9D86B" w:rsidR="006A6EDC" w:rsidRPr="005B7D3E" w:rsidRDefault="006A6EDC" w:rsidP="005B7D3E">
      <w:pPr>
        <w:pStyle w:val="tt"/>
        <w:contextualSpacing/>
        <w:jc w:val="both"/>
        <w:rPr>
          <w:b w:val="0"/>
          <w:sz w:val="16"/>
          <w:szCs w:val="16"/>
          <w:lang w:val="ro-MD"/>
        </w:rPr>
      </w:pPr>
      <w:r w:rsidRPr="005B7D3E">
        <w:rPr>
          <w:rStyle w:val="a5"/>
          <w:rFonts w:eastAsiaTheme="majorEastAsia"/>
          <w:b w:val="0"/>
          <w:sz w:val="16"/>
          <w:szCs w:val="16"/>
          <w:lang w:val="ro-MD"/>
        </w:rPr>
        <w:footnoteRef/>
      </w:r>
      <w:r w:rsidRPr="005B7D3E">
        <w:rPr>
          <w:b w:val="0"/>
          <w:sz w:val="16"/>
          <w:szCs w:val="16"/>
          <w:lang w:val="ro-MD"/>
        </w:rPr>
        <w:t xml:space="preserve"> Art.62 alin.(2) din Legea finanțelor publice şi responsabilității bugetar-fiscale nr.181 din 25.07.2014.</w:t>
      </w:r>
    </w:p>
  </w:footnote>
  <w:footnote w:id="22">
    <w:p w14:paraId="523B69EA" w14:textId="610B0A54"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Raportul Serviciului Fiscal de Stat privind activitățile de minimizare a practicii de achitare a salariilor „în plic” și a muncii „la negru” pentru 12 luni ale anului 2023.</w:t>
      </w:r>
    </w:p>
  </w:footnote>
  <w:footnote w:id="23">
    <w:p w14:paraId="4C5B0AFA" w14:textId="6210E18E"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Scrisorile ISM nr. 1552 din 03.04.2024 și nr. 1571 din 04.04.2024.</w:t>
      </w:r>
    </w:p>
  </w:footnote>
  <w:footnote w:id="24">
    <w:p w14:paraId="5BC0F1E9" w14:textId="5148F8F5"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12 alin.(3) din Codul fiscal nr. 1163 din 24.04.1997.</w:t>
      </w:r>
    </w:p>
  </w:footnote>
  <w:footnote w:id="25">
    <w:p w14:paraId="5599E540" w14:textId="68F782F6"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Hotărârea Curții de Conturi nr. 18 din 25.05.2023 „Cu privire la Raportul auditului financiar al Raportului Guvernului privind executarea bugetului asigurărilor sociale de stat în anul 2022”.</w:t>
      </w:r>
    </w:p>
  </w:footnote>
  <w:footnote w:id="26">
    <w:p w14:paraId="5DD0B5A8" w14:textId="2A1389CA"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Costul forței de muncă prezentat de către BNS este definitivat pentru anul 2022.</w:t>
      </w:r>
    </w:p>
  </w:footnote>
  <w:footnote w:id="27">
    <w:p w14:paraId="2AD5DEE0" w14:textId="4EDBBEF3" w:rsidR="006A6EDC" w:rsidRPr="005B7D3E" w:rsidRDefault="0053321A" w:rsidP="005B7D3E">
      <w:pPr>
        <w:pStyle w:val="2"/>
        <w:shd w:val="clear" w:color="auto" w:fill="FFFFFF"/>
        <w:spacing w:before="0" w:line="240" w:lineRule="auto"/>
        <w:jc w:val="both"/>
        <w:rPr>
          <w:rFonts w:ascii="Times New Roman" w:eastAsiaTheme="minorHAnsi" w:hAnsi="Times New Roman" w:cs="Times New Roman"/>
          <w:color w:val="000000" w:themeColor="text1"/>
          <w:sz w:val="16"/>
          <w:szCs w:val="16"/>
          <w:lang w:val="ro-MD"/>
        </w:rPr>
      </w:pPr>
      <w:hyperlink r:id="rId1" w:history="1">
        <w:r w:rsidR="006A6EDC" w:rsidRPr="005B7D3E">
          <w:rPr>
            <w:rStyle w:val="af2"/>
            <w:rFonts w:ascii="Times New Roman" w:eastAsiaTheme="minorHAnsi" w:hAnsi="Times New Roman" w:cs="Times New Roman"/>
            <w:color w:val="000000" w:themeColor="text1"/>
            <w:sz w:val="16"/>
            <w:szCs w:val="16"/>
            <w:u w:val="none"/>
            <w:vertAlign w:val="superscript"/>
            <w:lang w:val="ro-MD"/>
          </w:rPr>
          <w:footnoteRef/>
        </w:r>
        <w:r w:rsidR="006A6EDC" w:rsidRPr="005B7D3E">
          <w:rPr>
            <w:rStyle w:val="af2"/>
            <w:rFonts w:ascii="Times New Roman" w:eastAsiaTheme="minorHAnsi" w:hAnsi="Times New Roman" w:cs="Times New Roman"/>
            <w:color w:val="000000" w:themeColor="text1"/>
            <w:sz w:val="16"/>
            <w:szCs w:val="16"/>
            <w:u w:val="none"/>
            <w:vertAlign w:val="superscript"/>
            <w:lang w:val="ro-MD"/>
          </w:rPr>
          <w:t xml:space="preserve"> </w:t>
        </w:r>
        <w:r w:rsidR="006A6EDC" w:rsidRPr="005B7D3E">
          <w:rPr>
            <w:rStyle w:val="af2"/>
            <w:rFonts w:ascii="Times New Roman" w:eastAsiaTheme="minorHAnsi" w:hAnsi="Times New Roman" w:cs="Times New Roman"/>
            <w:color w:val="000000" w:themeColor="text1"/>
            <w:sz w:val="16"/>
            <w:szCs w:val="16"/>
            <w:u w:val="none"/>
            <w:lang w:val="ro-MD"/>
          </w:rPr>
          <w:t>Câștigurile salariale, costul forței de muncă și numărul salariaților în anul 2022</w:t>
        </w:r>
      </w:hyperlink>
      <w:r w:rsidR="006A6EDC" w:rsidRPr="005B7D3E">
        <w:rPr>
          <w:rStyle w:val="af2"/>
          <w:rFonts w:ascii="Times New Roman" w:eastAsiaTheme="minorHAnsi" w:hAnsi="Times New Roman" w:cs="Times New Roman"/>
          <w:color w:val="000000" w:themeColor="text1"/>
          <w:sz w:val="16"/>
          <w:szCs w:val="16"/>
          <w:u w:val="none"/>
          <w:lang w:val="ro-MD"/>
        </w:rPr>
        <w:t>.</w:t>
      </w:r>
    </w:p>
  </w:footnote>
  <w:footnote w:id="28">
    <w:p w14:paraId="05101A67" w14:textId="341170AB" w:rsidR="006A6EDC" w:rsidRPr="005B7D3E" w:rsidRDefault="006A6EDC" w:rsidP="005B7D3E">
      <w:pPr>
        <w:pStyle w:val="tt"/>
        <w:jc w:val="both"/>
        <w:rPr>
          <w:sz w:val="16"/>
          <w:szCs w:val="16"/>
          <w:lang w:val="ro-MD"/>
        </w:rPr>
      </w:pPr>
      <w:r w:rsidRPr="005B7D3E">
        <w:rPr>
          <w:rStyle w:val="a5"/>
          <w:b w:val="0"/>
          <w:color w:val="000000" w:themeColor="text1"/>
          <w:sz w:val="16"/>
          <w:szCs w:val="16"/>
          <w:lang w:val="ro-MD"/>
        </w:rPr>
        <w:footnoteRef/>
      </w:r>
      <w:r w:rsidRPr="005B7D3E">
        <w:rPr>
          <w:b w:val="0"/>
          <w:color w:val="000000" w:themeColor="text1"/>
          <w:sz w:val="16"/>
          <w:szCs w:val="16"/>
          <w:lang w:val="ro-MD"/>
        </w:rPr>
        <w:t xml:space="preserve"> </w:t>
      </w:r>
      <w:r w:rsidRPr="005B7D3E">
        <w:rPr>
          <w:b w:val="0"/>
          <w:sz w:val="16"/>
          <w:szCs w:val="16"/>
          <w:lang w:val="ro-MD"/>
        </w:rPr>
        <w:t>Hotărârea Guvernului nr. 458 din 29.12.2021 „P</w:t>
      </w:r>
      <w:r w:rsidRPr="005B7D3E">
        <w:rPr>
          <w:b w:val="0"/>
          <w:sz w:val="16"/>
          <w:szCs w:val="16"/>
          <w:lang w:val="ro-MD" w:eastAsia="en-US"/>
        </w:rPr>
        <w:t xml:space="preserve">rivind aprobarea cuantumului salariului mediu lunar </w:t>
      </w:r>
      <w:r w:rsidRPr="005B7D3E">
        <w:rPr>
          <w:b w:val="0"/>
          <w:sz w:val="16"/>
          <w:szCs w:val="16"/>
          <w:lang w:val="ro-MD"/>
        </w:rPr>
        <w:t>pe economie, prognozat pentru anul 2022”</w:t>
      </w:r>
      <w:r w:rsidRPr="005B7D3E">
        <w:rPr>
          <w:b w:val="0"/>
          <w:bCs w:val="0"/>
          <w:sz w:val="16"/>
          <w:szCs w:val="16"/>
          <w:lang w:val="ro-MD"/>
        </w:rPr>
        <w:t>.</w:t>
      </w:r>
    </w:p>
  </w:footnote>
  <w:footnote w:id="29">
    <w:p w14:paraId="55D18934" w14:textId="77777777" w:rsidR="006A6EDC" w:rsidRPr="005B7D3E" w:rsidRDefault="006A6EDC" w:rsidP="005B7D3E">
      <w:pPr>
        <w:pStyle w:val="a3"/>
        <w:jc w:val="both"/>
        <w:rPr>
          <w:rFonts w:ascii="Times New Roman" w:hAnsi="Times New Roman" w:cs="Times New Roman"/>
          <w:sz w:val="16"/>
          <w:szCs w:val="16"/>
          <w:lang w:val="ro-MD"/>
        </w:rPr>
      </w:pPr>
      <w:r w:rsidRPr="005B7D3E">
        <w:rPr>
          <w:rFonts w:ascii="Times New Roman" w:hAnsi="Times New Roman" w:cs="Times New Roman"/>
          <w:sz w:val="16"/>
          <w:szCs w:val="16"/>
          <w:vertAlign w:val="superscript"/>
          <w:lang w:val="ro-MD"/>
        </w:rPr>
        <w:footnoteRef/>
      </w:r>
      <w:r w:rsidRPr="005B7D3E">
        <w:rPr>
          <w:rFonts w:ascii="Times New Roman" w:hAnsi="Times New Roman" w:cs="Times New Roman"/>
          <w:sz w:val="16"/>
          <w:szCs w:val="16"/>
          <w:lang w:val="ro-MD"/>
        </w:rPr>
        <w:t xml:space="preserve"> Datele includ unitățile economice, sociale și instituțiile bugetare cu unu și mai mulți salariați. Informația cu privire la câștigul salarial mediu lunar brut pentru anul 2022, diseminată la 01.03.2023, cuprinde unitățile din sectorul real cu patru și mai mulți salariați și toate instituțiile bugetare, indiferent de numărul de salariați.</w:t>
      </w:r>
    </w:p>
  </w:footnote>
  <w:footnote w:id="30">
    <w:p w14:paraId="62897B09" w14:textId="088AD968"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hyperlink r:id="rId2" w:history="1">
        <w:r w:rsidRPr="005B7D3E">
          <w:rPr>
            <w:rStyle w:val="af2"/>
            <w:rFonts w:ascii="Times New Roman" w:hAnsi="Times New Roman" w:cs="Times New Roman"/>
            <w:sz w:val="16"/>
            <w:szCs w:val="16"/>
            <w:lang w:val="ro-MD"/>
          </w:rPr>
          <w:t>https://statistica.gov.md/ro/castigurile-salariale-costul-fortei-de-munca-si-numarul-salariatilor-in-anul-202-9436_60663.html</w:t>
        </w:r>
      </w:hyperlink>
      <w:r w:rsidRPr="005B7D3E">
        <w:rPr>
          <w:rFonts w:ascii="Times New Roman" w:hAnsi="Times New Roman" w:cs="Times New Roman"/>
          <w:sz w:val="16"/>
          <w:szCs w:val="16"/>
          <w:lang w:val="ro-MD"/>
        </w:rPr>
        <w:t xml:space="preserve"> </w:t>
      </w:r>
    </w:p>
  </w:footnote>
  <w:footnote w:id="31">
    <w:p w14:paraId="4F41FEBB" w14:textId="4279F59E"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Legea insolvabilității nr.149/2012 și </w:t>
      </w:r>
      <w:r w:rsidRPr="005B7D3E">
        <w:rPr>
          <w:rStyle w:val="normalchar"/>
          <w:rFonts w:ascii="Times New Roman" w:hAnsi="Times New Roman" w:cs="Times New Roman"/>
          <w:sz w:val="16"/>
          <w:szCs w:val="16"/>
          <w:lang w:val="ro-MD"/>
        </w:rPr>
        <w:t>Ordinele ministrului Finanțelor nr. 320 din 31.07.2019 și, respectiv, nr. 265 din 25.07.2023.</w:t>
      </w:r>
    </w:p>
  </w:footnote>
  <w:footnote w:id="32">
    <w:p w14:paraId="5615EF5C" w14:textId="2686AD4B"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Hotărârea Curții de Conturi nr.20 din 03.06.2021 „Cu privire la Raportul auditului financiar al Raportului Guvernului privind executarea bugetului asigurărilor sociale de stat în anul 2020”, Hotărârea nr. 17 din 24.05.2022 „Cu privire la Raportul auditului financiar al Raportului Guvernului privind executarea bugetului asigurărilor sociale de stat în anul 2021” și Hotărârea nr. 18 din 25.05.2023 „Cu privire la Raportul auditului financiar al Raportului  Guvernului privind executarea bugetului asigurărilor sociale de stat în anul 2022”.</w:t>
      </w:r>
    </w:p>
  </w:footnote>
  <w:footnote w:id="33">
    <w:p w14:paraId="228C81D7" w14:textId="3960E9E5"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2 și art. 35 din Legea nr. 156 din 14.10.1998 privind sistemul public de pensii.</w:t>
      </w:r>
    </w:p>
  </w:footnote>
  <w:footnote w:id="34">
    <w:p w14:paraId="7306BACC" w14:textId="77777777" w:rsidR="006A6EDC" w:rsidRPr="005B7D3E" w:rsidRDefault="006A6EDC" w:rsidP="005B7D3E">
      <w:pPr>
        <w:tabs>
          <w:tab w:val="left" w:pos="851"/>
        </w:tabs>
        <w:spacing w:after="0" w:line="240" w:lineRule="auto"/>
        <w:jc w:val="both"/>
        <w:rPr>
          <w:rFonts w:ascii="Times New Roman" w:hAnsi="Times New Roman" w:cs="Times New Roman"/>
          <w:b/>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80 din Codul muncii al Republicii Moldova nr. 154/2003;</w:t>
      </w:r>
      <w:r w:rsidRPr="005B7D3E">
        <w:rPr>
          <w:rFonts w:ascii="Times New Roman" w:hAnsi="Times New Roman" w:cs="Times New Roman"/>
          <w:b/>
          <w:sz w:val="16"/>
          <w:szCs w:val="16"/>
          <w:lang w:val="ro-MD"/>
        </w:rPr>
        <w:t xml:space="preserve"> </w:t>
      </w:r>
      <w:r w:rsidRPr="005B7D3E">
        <w:rPr>
          <w:rStyle w:val="af0"/>
          <w:rFonts w:ascii="Times New Roman" w:hAnsi="Times New Roman" w:cs="Times New Roman"/>
          <w:b w:val="0"/>
          <w:color w:val="333333"/>
          <w:sz w:val="16"/>
          <w:szCs w:val="16"/>
          <w:lang w:val="ro-MD"/>
        </w:rPr>
        <w:t>HG nr. 316 din 03.11.2021</w:t>
      </w:r>
      <w:r w:rsidRPr="005B7D3E">
        <w:rPr>
          <w:rFonts w:ascii="Times New Roman" w:hAnsi="Times New Roman" w:cs="Times New Roman"/>
          <w:b/>
          <w:sz w:val="16"/>
          <w:szCs w:val="16"/>
          <w:lang w:val="ro-MD"/>
        </w:rPr>
        <w:t xml:space="preserve"> „</w:t>
      </w:r>
      <w:r w:rsidRPr="005B7D3E">
        <w:rPr>
          <w:rStyle w:val="af0"/>
          <w:rFonts w:ascii="Times New Roman" w:hAnsi="Times New Roman" w:cs="Times New Roman"/>
          <w:b w:val="0"/>
          <w:color w:val="333333"/>
          <w:sz w:val="16"/>
          <w:szCs w:val="16"/>
          <w:lang w:val="ro-MD"/>
        </w:rPr>
        <w:t>Cu privire la aprobarea unor măsuri de susținere a angajatorilor și salariaților în condițiile aplicării măsurilor de restricție pe perioada pandemiei de COVID-19”.</w:t>
      </w:r>
    </w:p>
  </w:footnote>
  <w:footnote w:id="35">
    <w:p w14:paraId="643923EF" w14:textId="5A9ED48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Legea BASS pentru anul 2023 nr. 357/2022.</w:t>
      </w:r>
    </w:p>
  </w:footnote>
  <w:footnote w:id="36">
    <w:p w14:paraId="7F248387" w14:textId="2C9CFF78"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Scrisorile CNAS nr. 598 din 16.01.2023, nr. 3710 din 20.03.2023.</w:t>
      </w:r>
    </w:p>
  </w:footnote>
  <w:footnote w:id="37">
    <w:p w14:paraId="69A8B414" w14:textId="1AF220F3"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Scrisoarea nr. 21/1543 din 03.05.2023.</w:t>
      </w:r>
    </w:p>
  </w:footnote>
  <w:footnote w:id="38">
    <w:p w14:paraId="08114F51" w14:textId="2C60FE3B"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Legea BASS pentru anul 2023 nr. 357/2022.</w:t>
      </w:r>
    </w:p>
  </w:footnote>
  <w:footnote w:id="39">
    <w:p w14:paraId="1B1C870F" w14:textId="37FCA210"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Clasificatorul categoriilor persoanei asigurate, aprobat prin Ordinul CNAS nr.119 din 04.09.2018.</w:t>
      </w:r>
    </w:p>
  </w:footnote>
  <w:footnote w:id="40">
    <w:p w14:paraId="3075F981" w14:textId="5F6A01CF"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12 alin. (1) din Legea nr. 156 din 14.10.1998 privind sistemul public de pensii.</w:t>
      </w:r>
    </w:p>
  </w:footnote>
  <w:footnote w:id="41">
    <w:p w14:paraId="38F1A667" w14:textId="626E2FA3"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13</w:t>
      </w:r>
      <w:r w:rsidRPr="005B7D3E">
        <w:rPr>
          <w:rFonts w:ascii="Times New Roman" w:hAnsi="Times New Roman" w:cs="Times New Roman"/>
          <w:sz w:val="16"/>
          <w:szCs w:val="16"/>
          <w:vertAlign w:val="superscript"/>
          <w:lang w:val="ro-MD"/>
        </w:rPr>
        <w:t>1</w:t>
      </w:r>
      <w:r w:rsidRPr="005B7D3E">
        <w:rPr>
          <w:rFonts w:ascii="Times New Roman" w:hAnsi="Times New Roman" w:cs="Times New Roman"/>
          <w:sz w:val="16"/>
          <w:szCs w:val="16"/>
          <w:lang w:val="ro-MD"/>
        </w:rPr>
        <w:t xml:space="preserve"> din Legea nr. 156/1998 privind sistemul public de pensii.</w:t>
      </w:r>
    </w:p>
  </w:footnote>
  <w:footnote w:id="42">
    <w:p w14:paraId="29897D69" w14:textId="4272ECC9"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37 din Legea nr. 156/1998 privind sistemul public de pensii.</w:t>
      </w:r>
    </w:p>
  </w:footnote>
  <w:footnote w:id="43">
    <w:p w14:paraId="1A9CDD45" w14:textId="3B4A87CF"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Acordul adițional nr.193.02/19 din 25.02.2019 </w:t>
      </w:r>
      <w:r w:rsidRPr="005B7D3E">
        <w:rPr>
          <w:rFonts w:ascii="Times New Roman" w:eastAsia="Calibri" w:hAnsi="Times New Roman" w:cs="Times New Roman"/>
          <w:noProof/>
          <w:sz w:val="16"/>
          <w:szCs w:val="16"/>
          <w:lang w:val="ro-MD"/>
        </w:rPr>
        <w:t>cu privire la modificarea Acordului de colaborare privind utilizarea platformei de interoperabilitate (MConnect).</w:t>
      </w:r>
    </w:p>
  </w:footnote>
  <w:footnote w:id="44">
    <w:p w14:paraId="0FA1ECE0" w14:textId="41679E9E"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Contract nr.MD-EGA-333410-CS-CDS</w:t>
      </w:r>
      <w:r w:rsidRPr="005B7D3E">
        <w:rPr>
          <w:rFonts w:ascii="Times New Roman" w:hAnsi="Times New Roman" w:cs="Times New Roman"/>
          <w:color w:val="000000"/>
          <w:sz w:val="16"/>
          <w:szCs w:val="16"/>
          <w:lang w:val="ro-MD"/>
        </w:rPr>
        <w:t xml:space="preserve"> încheiat între ASP, AGE și o companie privată privind serviciile de consultanță pentru dezvoltarea noilor funcționalități ale Sistemului informațional </w:t>
      </w:r>
      <w:r w:rsidRPr="005B7D3E">
        <w:rPr>
          <w:rFonts w:ascii="Times New Roman" w:hAnsi="Times New Roman" w:cs="Times New Roman"/>
          <w:iCs/>
          <w:color w:val="000000"/>
          <w:sz w:val="16"/>
          <w:szCs w:val="16"/>
          <w:lang w:val="ro-MD"/>
        </w:rPr>
        <w:t>,,Acte de stare civilă”</w:t>
      </w:r>
      <w:r w:rsidRPr="005B7D3E">
        <w:rPr>
          <w:rFonts w:ascii="Times New Roman" w:hAnsi="Times New Roman" w:cs="Times New Roman"/>
          <w:color w:val="000000"/>
          <w:sz w:val="16"/>
          <w:szCs w:val="16"/>
          <w:lang w:val="ro-MD"/>
        </w:rPr>
        <w:t>.</w:t>
      </w:r>
    </w:p>
  </w:footnote>
  <w:footnote w:id="45">
    <w:p w14:paraId="0EE1556B" w14:textId="7B93DC2D"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Pct. 15</w:t>
      </w:r>
      <w:r w:rsidRPr="005B7D3E">
        <w:rPr>
          <w:rFonts w:ascii="Times New Roman" w:hAnsi="Times New Roman" w:cs="Times New Roman"/>
          <w:sz w:val="16"/>
          <w:szCs w:val="16"/>
          <w:vertAlign w:val="superscript"/>
          <w:lang w:val="ro-MD"/>
        </w:rPr>
        <w:t>1</w:t>
      </w:r>
      <w:r w:rsidRPr="005B7D3E">
        <w:rPr>
          <w:rFonts w:ascii="Times New Roman" w:hAnsi="Times New Roman" w:cs="Times New Roman"/>
          <w:sz w:val="16"/>
          <w:szCs w:val="16"/>
          <w:lang w:val="ro-MD"/>
        </w:rPr>
        <w:t xml:space="preserve"> din Regulamentul cu privire la condițiile de stabilire, modul de calcul şi de plată a indemnizațiilor pentru incapacitate temporară de muncă, aprobat prin Hotărârea Guvernului nr. 108 din 03.02.2005.</w:t>
      </w:r>
    </w:p>
  </w:footnote>
  <w:footnote w:id="46">
    <w:p w14:paraId="7596A9EF" w14:textId="36114C46"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Instrucțiunea privind modul de eliberare a certificatului de concediu medical, aprobată prin HG nr. 469 din 24.05.2005.</w:t>
      </w:r>
    </w:p>
  </w:footnote>
  <w:footnote w:id="47">
    <w:p w14:paraId="30021B47" w14:textId="170D72A0"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Datele examenului clinic, rezultatul investigațiilor de laborator, consultațiile medicilor specialiști de profil, efectuate după caz.</w:t>
      </w:r>
    </w:p>
  </w:footnote>
  <w:footnote w:id="48">
    <w:p w14:paraId="5BDD4A88" w14:textId="01535FCC"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Pct. 5</w:t>
      </w:r>
      <w:r w:rsidRPr="005B7D3E">
        <w:rPr>
          <w:rFonts w:ascii="Times New Roman" w:hAnsi="Times New Roman" w:cs="Times New Roman"/>
          <w:sz w:val="16"/>
          <w:szCs w:val="16"/>
          <w:vertAlign w:val="superscript"/>
          <w:lang w:val="ro-MD"/>
        </w:rPr>
        <w:t>1</w:t>
      </w:r>
      <w:r w:rsidRPr="005B7D3E">
        <w:rPr>
          <w:rFonts w:ascii="Times New Roman" w:hAnsi="Times New Roman" w:cs="Times New Roman"/>
          <w:sz w:val="16"/>
          <w:szCs w:val="16"/>
          <w:lang w:val="ro-MD"/>
        </w:rPr>
        <w:t xml:space="preserve"> subpct. 7) al Instrucțiunii privind modul de eliberare a certificatului de concediu medical, aprobată prin HG nr. 469 din 24.05.2005.</w:t>
      </w:r>
    </w:p>
  </w:footnote>
  <w:footnote w:id="49">
    <w:p w14:paraId="53813825" w14:textId="34B60DFD"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Informația din Listele beneficiarilor de indemnizații pentru incapacitate temporară de muncă CNAS a fost contrapusă cu datele din Extrasul din Sistemul Informațional Integrat al Poliției de Frontieră privind traversările frontierei de stat în perioada 01.01.2023 - 31.12.2023, pentru un eșantion de 501 persoane.</w:t>
      </w:r>
    </w:p>
  </w:footnote>
  <w:footnote w:id="50">
    <w:p w14:paraId="1F53BD22" w14:textId="503CABDB"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AMT Centru, AMT Botanica, AMT Râșcani, AMT Ciocana, CS Ialoveni, CS nr. 1 Orhei, CS Stăuceni.</w:t>
      </w:r>
    </w:p>
  </w:footnote>
  <w:footnote w:id="51">
    <w:p w14:paraId="6A8B8516" w14:textId="0A0DBAF3"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Pct. 5</w:t>
      </w:r>
      <w:r w:rsidRPr="005B7D3E">
        <w:rPr>
          <w:rFonts w:ascii="Times New Roman" w:hAnsi="Times New Roman" w:cs="Times New Roman"/>
          <w:sz w:val="16"/>
          <w:szCs w:val="16"/>
          <w:vertAlign w:val="superscript"/>
          <w:lang w:val="ro-MD"/>
        </w:rPr>
        <w:t>1</w:t>
      </w:r>
      <w:r w:rsidRPr="005B7D3E">
        <w:rPr>
          <w:rFonts w:ascii="Times New Roman" w:hAnsi="Times New Roman" w:cs="Times New Roman"/>
          <w:sz w:val="16"/>
          <w:szCs w:val="16"/>
          <w:lang w:val="ro-MD"/>
        </w:rPr>
        <w:t xml:space="preserve"> subpct. 7) al Instrucțiunii privind modul de eliberare a certificatului de concediu medical, aprobată prin HG nr. 469 din 24.05.2005.</w:t>
      </w:r>
    </w:p>
  </w:footnote>
  <w:footnote w:id="52">
    <w:p w14:paraId="057D7EA1" w14:textId="5BBEB9E2"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Pct. 8 al Instrucțiunii privind modul de eliberare a certificatului de concediu medical, aprobată prin HG nr. 469 din 24.05.2005.</w:t>
      </w:r>
    </w:p>
  </w:footnote>
  <w:footnote w:id="53">
    <w:p w14:paraId="3A6F8D9A" w14:textId="1938A3AF" w:rsidR="006A6EDC" w:rsidRPr="005B7D3E" w:rsidRDefault="006A6EDC" w:rsidP="005B7D3E">
      <w:pPr>
        <w:pStyle w:val="a3"/>
        <w:rPr>
          <w:rFonts w:ascii="Times New Roman" w:hAnsi="Times New Roman" w:cs="Times New Roman"/>
          <w:color w:val="000000" w:themeColor="text1"/>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Pct. 7 alin. 1) din Normele metodologice de aplicare a Programului unic al asigurării obligatorii de asistență medicală, aprobate prin Ordinul MS nr. 596/404 din 21.07.2016.</w:t>
      </w:r>
    </w:p>
  </w:footnote>
  <w:footnote w:id="54">
    <w:p w14:paraId="64981FBD" w14:textId="6D3478F0" w:rsidR="006A6EDC" w:rsidRPr="005B7D3E" w:rsidRDefault="006A6EDC" w:rsidP="005B7D3E">
      <w:pPr>
        <w:pStyle w:val="a3"/>
        <w:rPr>
          <w:rFonts w:ascii="Times New Roman" w:hAnsi="Times New Roman" w:cs="Times New Roman"/>
          <w:color w:val="000000" w:themeColor="text1"/>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Nota informativă nr. 01-18/778 din 18.04.2024.</w:t>
      </w:r>
    </w:p>
  </w:footnote>
  <w:footnote w:id="55">
    <w:p w14:paraId="3B068AD9" w14:textId="1272A247"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Scrisoarea nr. 12/1040 din 11.03.2024.</w:t>
      </w:r>
    </w:p>
  </w:footnote>
  <w:footnote w:id="56">
    <w:p w14:paraId="050983F9" w14:textId="550BA69D" w:rsidR="006A6EDC" w:rsidRPr="005B7D3E" w:rsidRDefault="006A6EDC" w:rsidP="005B7D3E">
      <w:pPr>
        <w:pStyle w:val="a3"/>
        <w:rPr>
          <w:rFonts w:ascii="Times New Roman" w:hAnsi="Times New Roman" w:cs="Times New Roman"/>
          <w:color w:val="000000" w:themeColor="text1"/>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Pct. 40 lit. h) din Regulamentul cu privire la condițiile de stabilire, modul de calcul şi de plată a indemnizațiilor pentru incapacitate temporară de muncă, aprobat prin HG nr. 108 din 03.02.2005.</w:t>
      </w:r>
    </w:p>
  </w:footnote>
  <w:footnote w:id="57">
    <w:p w14:paraId="3A5089D8" w14:textId="77777777" w:rsidR="006A6EDC" w:rsidRPr="005B7D3E" w:rsidRDefault="006A6EDC" w:rsidP="005B7D3E">
      <w:pPr>
        <w:pStyle w:val="a8"/>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Legea nr.229 din 23.09.2010.</w:t>
      </w:r>
    </w:p>
  </w:footnote>
  <w:footnote w:id="58">
    <w:p w14:paraId="1199C9CA" w14:textId="678FEA94"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HG nr.655 din 06.09.2023 „pentru aprobarea Criteriilor de dimensionare a subdiviziunilor de audit intern din cadrul ministerelor și al autorităților administrative din subordinea acestora”</w:t>
      </w:r>
    </w:p>
  </w:footnote>
  <w:footnote w:id="59">
    <w:p w14:paraId="3EC4EB8D" w14:textId="2AD84CAC"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Calibri" w:hAnsi="Times New Roman" w:cs="Times New Roman"/>
          <w:sz w:val="16"/>
          <w:szCs w:val="16"/>
          <w:lang w:val="ro-MD"/>
        </w:rPr>
        <w:t>Art.19 alin.(5) al Legii nr.229/2010 privind controlul financiar public intern.</w:t>
      </w:r>
    </w:p>
  </w:footnote>
  <w:footnote w:id="60">
    <w:p w14:paraId="238D5006" w14:textId="4E98BE83" w:rsidR="006A6EDC" w:rsidRPr="005B7D3E" w:rsidRDefault="006A6EDC" w:rsidP="005B7D3E">
      <w:pPr>
        <w:spacing w:after="0"/>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Prin </w:t>
      </w:r>
      <w:r w:rsidRPr="005B7D3E">
        <w:rPr>
          <w:rFonts w:ascii="Times New Roman" w:eastAsia="Times New Roman" w:hAnsi="Times New Roman" w:cs="Times New Roman"/>
          <w:sz w:val="16"/>
          <w:szCs w:val="16"/>
          <w:lang w:val="ro-MD"/>
        </w:rPr>
        <w:t>Hotărârea Curții de Conturi nr.18 din 25.05.2023 „Cu privire la Raportul auditului financiar asupra Raportului Guvernului privind executarea bugetului asigurărilor sociale de stat în anul bugetar 2021” au fost</w:t>
      </w:r>
      <w:r w:rsidRPr="005B7D3E">
        <w:rPr>
          <w:rFonts w:ascii="Times New Roman" w:hAnsi="Times New Roman" w:cs="Times New Roman"/>
          <w:iCs/>
          <w:sz w:val="16"/>
          <w:szCs w:val="16"/>
          <w:lang w:val="ro-MD"/>
        </w:rPr>
        <w:t xml:space="preserve"> înaintate 21 de recomandări.</w:t>
      </w:r>
    </w:p>
  </w:footnote>
  <w:footnote w:id="61">
    <w:p w14:paraId="02296F12" w14:textId="5B29863B"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Ministerul Justiției, Agenția Servicii Publice</w:t>
      </w:r>
    </w:p>
  </w:footnote>
  <w:footnote w:id="62">
    <w:p w14:paraId="6462A616"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3 și art. 6 din Legea nr. 139 din 15.06.2012 cu privire la ajutorul de stat.</w:t>
      </w:r>
    </w:p>
  </w:footnote>
  <w:footnote w:id="63">
    <w:p w14:paraId="378A82D1"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19 din Legea nr. 139 din 15.06.2012 cu privire la ajutorul de stat.</w:t>
      </w:r>
    </w:p>
  </w:footnote>
  <w:footnote w:id="64">
    <w:p w14:paraId="57C96A2F" w14:textId="0223EBAB"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Pct. 7 subpct. 1) din Anexa nr. 1 privind Regulamentul cu privire la organizarea şi funcționarea Ministerului Muncii şi Protecției Sociale, aprobat prin Hotărârea Guvernului nr. 149/2021.</w:t>
      </w:r>
    </w:p>
  </w:footnote>
  <w:footnote w:id="65">
    <w:p w14:paraId="64FB7A3E" w14:textId="653F9D63" w:rsidR="006A6EDC" w:rsidRPr="005B7D3E" w:rsidRDefault="006A6EDC" w:rsidP="005B7D3E">
      <w:pPr>
        <w:pStyle w:val="Default"/>
        <w:jc w:val="both"/>
        <w:rPr>
          <w:sz w:val="16"/>
          <w:szCs w:val="16"/>
          <w:lang w:val="ro-MD"/>
        </w:rPr>
      </w:pPr>
      <w:r w:rsidRPr="005B7D3E">
        <w:rPr>
          <w:rStyle w:val="a5"/>
          <w:sz w:val="16"/>
          <w:szCs w:val="16"/>
          <w:lang w:val="ro-MD"/>
        </w:rPr>
        <w:footnoteRef/>
      </w:r>
      <w:r w:rsidRPr="005B7D3E">
        <w:rPr>
          <w:sz w:val="16"/>
          <w:szCs w:val="16"/>
          <w:lang w:val="ro-MD"/>
        </w:rPr>
        <w:t xml:space="preserve"> Scrisoarea MMPS nr. 16/1597 din 27.03.2023.</w:t>
      </w:r>
    </w:p>
  </w:footnote>
  <w:footnote w:id="66">
    <w:p w14:paraId="1E8D8F51" w14:textId="263586A1"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Recomandarea nr. 12 din Hotărârea Curții de Conturi nr. 18 din 25.05.2023 „Cu privire la Raportul auditului financiar al Raportului Guvernului privind executarea bugetului asigurărilor sociale de stat în anul 2022”.</w:t>
      </w:r>
    </w:p>
  </w:footnote>
  <w:footnote w:id="67">
    <w:p w14:paraId="37BFD464" w14:textId="5675702D"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Scrisoarea MMPS nr. 03/823 din 14.02.2024.</w:t>
      </w:r>
    </w:p>
  </w:footnote>
  <w:footnote w:id="68">
    <w:p w14:paraId="285486F1" w14:textId="448D3549"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33 alin. (4</w:t>
      </w:r>
      <w:r w:rsidRPr="005B7D3E">
        <w:rPr>
          <w:rFonts w:ascii="Times New Roman" w:hAnsi="Times New Roman" w:cs="Times New Roman"/>
          <w:sz w:val="16"/>
          <w:szCs w:val="16"/>
          <w:vertAlign w:val="superscript"/>
          <w:lang w:val="ro-MD"/>
        </w:rPr>
        <w:t>1</w:t>
      </w:r>
      <w:r w:rsidRPr="005B7D3E">
        <w:rPr>
          <w:rFonts w:ascii="Times New Roman" w:hAnsi="Times New Roman" w:cs="Times New Roman"/>
          <w:sz w:val="16"/>
          <w:szCs w:val="16"/>
          <w:lang w:val="ro-MD"/>
        </w:rPr>
        <w:t>) din Legea nr.156 din 14.10.1998 privind sistemul public de pensii.</w:t>
      </w:r>
    </w:p>
  </w:footnote>
  <w:footnote w:id="69">
    <w:p w14:paraId="4DC98180" w14:textId="56BB8408"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w:t>
      </w:r>
      <w:r w:rsidRPr="005B7D3E">
        <w:rPr>
          <w:rFonts w:ascii="Times New Roman" w:hAnsi="Times New Roman" w:cs="Times New Roman"/>
          <w:sz w:val="16"/>
          <w:szCs w:val="16"/>
          <w:vertAlign w:val="superscript"/>
          <w:lang w:val="ro-MD"/>
        </w:rPr>
        <w:t>1</w:t>
      </w:r>
      <w:r w:rsidRPr="005B7D3E">
        <w:rPr>
          <w:rFonts w:ascii="Times New Roman" w:hAnsi="Times New Roman" w:cs="Times New Roman"/>
          <w:sz w:val="16"/>
          <w:szCs w:val="16"/>
          <w:lang w:val="ro-MD"/>
        </w:rPr>
        <w:t xml:space="preserve"> din Legea nr. 156 din 14.10.1998 privind sistemul public de pensii.</w:t>
      </w:r>
    </w:p>
  </w:footnote>
  <w:footnote w:id="70">
    <w:p w14:paraId="4679DCF2" w14:textId="009A3394"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13 din Legea nr. 357/2022, prin derogare de la art. 13 din Legea nr.156/1998 privind sistemul public de pensii.</w:t>
      </w:r>
    </w:p>
  </w:footnote>
  <w:footnote w:id="71">
    <w:p w14:paraId="4C1E1AC3" w14:textId="3B18385D"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Pct. 8 subpct. 7), 8), 9) din Regulamentul cu privire la organizarea și funcționarea CNAS, aprobat prin HG nr. 230 din 10.04.2020; art. 35 din Legea nr. 489 din 08.07.1999 privind sistemul public de asigurări sociale.</w:t>
      </w:r>
    </w:p>
  </w:footnote>
  <w:footnote w:id="72">
    <w:p w14:paraId="39F5856E" w14:textId="205D1AFE"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49 din Legea nr. 489 din 08.07.1999 privind sistemul public de asigurări sociale.</w:t>
      </w:r>
    </w:p>
  </w:footnote>
  <w:footnote w:id="73">
    <w:p w14:paraId="1B0C9798" w14:textId="0D2D798A"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35 din Legea nr. 489/1999 privind sistemul public de asigurări sociale.</w:t>
      </w:r>
    </w:p>
  </w:footnote>
  <w:footnote w:id="74">
    <w:p w14:paraId="4D205266" w14:textId="41A5DA20"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Codul fiscal nr. 1163 din 24.04.1997.</w:t>
      </w:r>
    </w:p>
  </w:footnote>
  <w:footnote w:id="75">
    <w:p w14:paraId="261E43C1" w14:textId="4BAA2535" w:rsidR="006A6EDC" w:rsidRPr="005B7D3E" w:rsidRDefault="006A6EDC" w:rsidP="005B7D3E">
      <w:pPr>
        <w:pStyle w:val="4"/>
        <w:spacing w:before="0" w:after="0" w:line="240" w:lineRule="auto"/>
        <w:rPr>
          <w:rStyle w:val="af0"/>
          <w:b w:val="0"/>
          <w:lang w:val="ro-MD"/>
        </w:rPr>
      </w:pPr>
      <w:r w:rsidRPr="005B7D3E">
        <w:rPr>
          <w:rStyle w:val="af0"/>
          <w:b w:val="0"/>
          <w:vertAlign w:val="superscript"/>
          <w:lang w:val="ro-MD"/>
        </w:rPr>
        <w:footnoteRef/>
      </w:r>
      <w:r w:rsidRPr="005B7D3E">
        <w:rPr>
          <w:rStyle w:val="af0"/>
          <w:b w:val="0"/>
          <w:vertAlign w:val="superscript"/>
          <w:lang w:val="ro-MD"/>
        </w:rPr>
        <w:t xml:space="preserve"> </w:t>
      </w:r>
      <w:r w:rsidRPr="005B7D3E">
        <w:rPr>
          <w:rStyle w:val="af0"/>
          <w:b w:val="0"/>
          <w:lang w:val="ro-MD"/>
        </w:rPr>
        <w:t>Pct. 89 din</w:t>
      </w:r>
      <w:r w:rsidRPr="005B7D3E">
        <w:rPr>
          <w:b/>
          <w:lang w:val="ro-MD"/>
        </w:rPr>
        <w:t xml:space="preserve"> </w:t>
      </w:r>
      <w:r w:rsidRPr="005B7D3E">
        <w:rPr>
          <w:rStyle w:val="af0"/>
          <w:b w:val="0"/>
          <w:lang w:val="ro-MD"/>
        </w:rPr>
        <w:t>HG nr.108 din 03.02.2005 „Privind aprobarea Regulamentului cu privire la condițiile de stabilire, modul de calcul și de plată a indemnizațiilor pentru incapacitate temporară de muncă”.</w:t>
      </w:r>
    </w:p>
  </w:footnote>
  <w:footnote w:id="76">
    <w:p w14:paraId="721A1708" w14:textId="77777777" w:rsidR="006A6EDC" w:rsidRPr="005B7D3E" w:rsidRDefault="006A6EDC" w:rsidP="005B7D3E">
      <w:pPr>
        <w:pStyle w:val="4"/>
        <w:spacing w:before="0" w:after="0" w:line="240" w:lineRule="auto"/>
        <w:rPr>
          <w:rFonts w:eastAsia="Times New Roman"/>
          <w:lang w:val="ro-MD"/>
        </w:rPr>
      </w:pPr>
      <w:r w:rsidRPr="005B7D3E">
        <w:rPr>
          <w:rStyle w:val="af0"/>
          <w:b w:val="0"/>
          <w:vertAlign w:val="superscript"/>
          <w:lang w:val="ro-MD"/>
        </w:rPr>
        <w:footnoteRef/>
      </w:r>
      <w:r w:rsidRPr="005B7D3E">
        <w:rPr>
          <w:rStyle w:val="af0"/>
          <w:b w:val="0"/>
          <w:vertAlign w:val="superscript"/>
          <w:lang w:val="ro-MD"/>
        </w:rPr>
        <w:t xml:space="preserve"> </w:t>
      </w:r>
      <w:r w:rsidRPr="005B7D3E">
        <w:rPr>
          <w:rStyle w:val="af0"/>
          <w:b w:val="0"/>
          <w:lang w:val="ro-MD"/>
        </w:rPr>
        <w:t>Art. 35 alin. (4) din Legea nr.489 din 08.07.1999 privind sistemul public de asigurări sociale.</w:t>
      </w:r>
    </w:p>
  </w:footnote>
  <w:footnote w:id="77">
    <w:p w14:paraId="03B4B0CC"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 din Legea nr. 489 din 08.07.1999 privind sistemul public de asigurări sociale.</w:t>
      </w:r>
    </w:p>
  </w:footnote>
  <w:footnote w:id="78">
    <w:p w14:paraId="45EF44A5"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Avocații, notarii, executorii judecătorești, administratorii autorizați, mediatorii.</w:t>
      </w:r>
    </w:p>
  </w:footnote>
  <w:footnote w:id="79">
    <w:p w14:paraId="0729532C" w14:textId="44C0089B"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Legea nr.220 din 19.10.2007 privind înregistrarea de stat a persoanelor juridice şi a întreprinzătorilor individuali.</w:t>
      </w:r>
    </w:p>
  </w:footnote>
  <w:footnote w:id="80">
    <w:p w14:paraId="576881AB" w14:textId="5388AC3C"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3 alin. (2) din Legea bugetului asigurărilor sociale de stat pentru anul 2023 nr. 357 din 22.12.2022.</w:t>
      </w:r>
    </w:p>
  </w:footnote>
  <w:footnote w:id="81">
    <w:p w14:paraId="5F437049" w14:textId="61653D88"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Informația din extrasul din Registrul Cabinetelor avocaților și birourilor asociate de avocați plasate pe pagina oficială a Ministerului Justiției (</w:t>
      </w:r>
      <w:hyperlink r:id="rId3" w:history="1">
        <w:r w:rsidRPr="005B7D3E">
          <w:rPr>
            <w:rStyle w:val="af2"/>
            <w:rFonts w:ascii="Times New Roman" w:hAnsi="Times New Roman" w:cs="Times New Roman"/>
            <w:sz w:val="16"/>
            <w:szCs w:val="16"/>
            <w:lang w:val="ro-MD"/>
          </w:rPr>
          <w:t>www.justice.gov.md</w:t>
        </w:r>
      </w:hyperlink>
      <w:r w:rsidRPr="005B7D3E">
        <w:rPr>
          <w:rFonts w:ascii="Times New Roman" w:hAnsi="Times New Roman" w:cs="Times New Roman"/>
          <w:sz w:val="16"/>
          <w:szCs w:val="16"/>
          <w:lang w:val="ro-MD"/>
        </w:rPr>
        <w:t>) a fost contrapusă cu datele din Registrul de evidență a plătitorilor de contribuții în sistemul public de asigurări sociale de stat administrat de CNAS.</w:t>
      </w:r>
    </w:p>
  </w:footnote>
  <w:footnote w:id="82">
    <w:p w14:paraId="39378154"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Cap. II, pct. 8 din Regulamentul privind evidența plătitorilor de contribuții la bugetul asigurărilor sociale de stat, aprobat prin Ordinul CNAS nr. 275-A din 27.11.2015, cu modificările ulterioare.</w:t>
      </w:r>
    </w:p>
  </w:footnote>
  <w:footnote w:id="83">
    <w:p w14:paraId="21694112" w14:textId="19081874"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Scrisoarea nr. 7699 din 19.06.2023.</w:t>
      </w:r>
    </w:p>
  </w:footnote>
  <w:footnote w:id="84">
    <w:p w14:paraId="5DF202F0" w14:textId="163D10BE"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Scrisoarea nr. 6226 din 15.05.2023.</w:t>
      </w:r>
    </w:p>
  </w:footnote>
  <w:footnote w:id="85">
    <w:p w14:paraId="2867A242" w14:textId="150C8CBA"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Scrisoarea nr. 3004-433 din 24.07.2023.</w:t>
      </w:r>
    </w:p>
  </w:footnote>
  <w:footnote w:id="86">
    <w:p w14:paraId="2AC87520" w14:textId="10CAF9DE"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Hotărârea Curții de Conturi nr. 18 din 25.05.2023 „Cu privire la Raportul auditului financiar al Raportului Guvernului privind executarea bugetului asigurărilor sociale de stat în anul 2022”.</w:t>
      </w:r>
    </w:p>
  </w:footnote>
  <w:footnote w:id="87">
    <w:p w14:paraId="67421A79" w14:textId="2454C288"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263 alin. (2) din Codul contravențional nr. 218 din 24.10.2008.</w:t>
      </w:r>
    </w:p>
  </w:footnote>
  <w:footnote w:id="88">
    <w:p w14:paraId="6DFE8998" w14:textId="2012936B"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34 alin. (2</w:t>
      </w:r>
      <w:r w:rsidRPr="005B7D3E">
        <w:rPr>
          <w:rFonts w:ascii="Times New Roman" w:hAnsi="Times New Roman" w:cs="Times New Roman"/>
          <w:sz w:val="16"/>
          <w:szCs w:val="16"/>
          <w:vertAlign w:val="superscript"/>
          <w:lang w:val="ro-MD"/>
        </w:rPr>
        <w:t>7</w:t>
      </w:r>
      <w:r w:rsidRPr="005B7D3E">
        <w:rPr>
          <w:rFonts w:ascii="Times New Roman" w:hAnsi="Times New Roman" w:cs="Times New Roman"/>
          <w:sz w:val="16"/>
          <w:szCs w:val="16"/>
          <w:lang w:val="ro-MD"/>
        </w:rPr>
        <w:t>) din Codul contravențional nr. 218 din 24.10.2008.</w:t>
      </w:r>
    </w:p>
  </w:footnote>
  <w:footnote w:id="89">
    <w:p w14:paraId="1A0E7122" w14:textId="15E3199A"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Regulamentul cu privire la modul de stabilire și plată a ajutorului social, aprobat prin HG nr.1167 din 16.10.2008.</w:t>
      </w:r>
    </w:p>
  </w:footnote>
  <w:footnote w:id="90">
    <w:p w14:paraId="3716E9C3" w14:textId="06AE618F"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HG nr. 802 din 28.10.2011 „Cu privire la organizarea şi funcţionarea Inspectoratului Social de Stat”.</w:t>
      </w:r>
    </w:p>
  </w:footnote>
  <w:footnote w:id="91">
    <w:p w14:paraId="0512B177" w14:textId="1B0EFB5C" w:rsidR="006A6EDC" w:rsidRPr="005B7D3E" w:rsidRDefault="006A6EDC" w:rsidP="005B7D3E">
      <w:pPr>
        <w:pStyle w:val="4"/>
        <w:spacing w:before="0" w:after="0"/>
        <w:rPr>
          <w:bCs/>
          <w:color w:val="000000" w:themeColor="text1"/>
          <w:lang w:val="ro-MD"/>
        </w:rPr>
      </w:pPr>
      <w:r w:rsidRPr="005B7D3E">
        <w:rPr>
          <w:rStyle w:val="a5"/>
          <w:color w:val="000000" w:themeColor="text1"/>
          <w:lang w:val="ro-MD"/>
        </w:rPr>
        <w:footnoteRef/>
      </w:r>
      <w:r w:rsidRPr="005B7D3E">
        <w:rPr>
          <w:color w:val="000000" w:themeColor="text1"/>
          <w:lang w:val="ro-MD"/>
        </w:rPr>
        <w:t xml:space="preserve"> Legea nr. 241/2022 privind Fondul de reducere a vulnerabilității energetice și Legea nr. 133/2008 cu privire la ajutorul social modificată prin Legea nr. 261/2023 pentru modificarea unor acte normative, HG</w:t>
      </w:r>
      <w:r w:rsidRPr="005B7D3E">
        <w:rPr>
          <w:bCs/>
          <w:color w:val="000000" w:themeColor="text1"/>
          <w:lang w:val="ro-MD"/>
        </w:rPr>
        <w:t> nr. 704 din 05.10.2022 „Privind aprobarea Regulamentului cu privire la atribuirea categoriilor de vulnerabilitate energetică și modul de stabilire și plată a compensațiilor pentru achitarea facturilor la energie și compensațiilor la energie sub formă de plată monetară”.</w:t>
      </w:r>
    </w:p>
  </w:footnote>
  <w:footnote w:id="92">
    <w:p w14:paraId="392ECA9E" w14:textId="400C6027" w:rsidR="006A6EDC" w:rsidRPr="005B7D3E" w:rsidRDefault="006A6EDC" w:rsidP="005B7D3E">
      <w:pPr>
        <w:pStyle w:val="a3"/>
        <w:jc w:val="both"/>
        <w:rPr>
          <w:rFonts w:ascii="Times New Roman" w:hAnsi="Times New Roman" w:cs="Times New Roman"/>
          <w:color w:val="000000" w:themeColor="text1"/>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Scrisoarea nr.05/62 din 05.02.2024.</w:t>
      </w:r>
    </w:p>
  </w:footnote>
  <w:footnote w:id="93">
    <w:p w14:paraId="531FE591" w14:textId="355CD8C6" w:rsidR="006A6EDC" w:rsidRPr="005B7D3E" w:rsidRDefault="006A6EDC" w:rsidP="005B7D3E">
      <w:pPr>
        <w:pStyle w:val="a3"/>
        <w:jc w:val="both"/>
        <w:rPr>
          <w:rFonts w:ascii="Times New Roman" w:hAnsi="Times New Roman" w:cs="Times New Roman"/>
          <w:color w:val="000000" w:themeColor="text1"/>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Pct. 63</w:t>
      </w:r>
      <w:r w:rsidRPr="005B7D3E">
        <w:rPr>
          <w:rFonts w:ascii="Times New Roman" w:hAnsi="Times New Roman" w:cs="Times New Roman"/>
          <w:color w:val="000000" w:themeColor="text1"/>
          <w:sz w:val="16"/>
          <w:szCs w:val="16"/>
          <w:vertAlign w:val="superscript"/>
          <w:lang w:val="ro-MD"/>
        </w:rPr>
        <w:t xml:space="preserve">1 </w:t>
      </w:r>
      <w:r w:rsidRPr="005B7D3E">
        <w:rPr>
          <w:rFonts w:ascii="Times New Roman" w:hAnsi="Times New Roman" w:cs="Times New Roman"/>
          <w:color w:val="000000" w:themeColor="text1"/>
          <w:sz w:val="16"/>
          <w:szCs w:val="16"/>
          <w:lang w:val="ro-MD"/>
        </w:rPr>
        <w:t>și pct. 63</w:t>
      </w:r>
      <w:r w:rsidRPr="005B7D3E">
        <w:rPr>
          <w:rFonts w:ascii="Times New Roman" w:hAnsi="Times New Roman" w:cs="Times New Roman"/>
          <w:color w:val="000000" w:themeColor="text1"/>
          <w:sz w:val="16"/>
          <w:szCs w:val="16"/>
          <w:vertAlign w:val="superscript"/>
          <w:lang w:val="ro-MD"/>
        </w:rPr>
        <w:t xml:space="preserve">2 </w:t>
      </w:r>
      <w:r w:rsidRPr="005B7D3E">
        <w:rPr>
          <w:rFonts w:ascii="Times New Roman" w:hAnsi="Times New Roman" w:cs="Times New Roman"/>
          <w:color w:val="000000" w:themeColor="text1"/>
          <w:sz w:val="16"/>
          <w:szCs w:val="16"/>
          <w:lang w:val="ro-MD"/>
        </w:rPr>
        <w:t>din HG</w:t>
      </w:r>
      <w:r w:rsidRPr="005B7D3E">
        <w:rPr>
          <w:rFonts w:ascii="Times New Roman" w:hAnsi="Times New Roman" w:cs="Times New Roman"/>
          <w:bCs/>
          <w:color w:val="000000" w:themeColor="text1"/>
          <w:sz w:val="16"/>
          <w:szCs w:val="16"/>
          <w:lang w:val="ro-MD"/>
        </w:rPr>
        <w:t> nr. 704 din 05.10.2022</w:t>
      </w:r>
      <w:r w:rsidRPr="005B7D3E">
        <w:rPr>
          <w:rFonts w:ascii="Times New Roman" w:hAnsi="Times New Roman" w:cs="Times New Roman"/>
          <w:color w:val="000000" w:themeColor="text1"/>
          <w:sz w:val="16"/>
          <w:szCs w:val="16"/>
          <w:lang w:val="ro-MD"/>
        </w:rPr>
        <w:t xml:space="preserve"> „</w:t>
      </w:r>
      <w:r w:rsidRPr="005B7D3E">
        <w:rPr>
          <w:rStyle w:val="af0"/>
          <w:rFonts w:ascii="Times New Roman" w:hAnsi="Times New Roman" w:cs="Times New Roman"/>
          <w:b w:val="0"/>
          <w:bCs w:val="0"/>
          <w:color w:val="000000" w:themeColor="text1"/>
          <w:sz w:val="16"/>
          <w:szCs w:val="16"/>
          <w:lang w:val="ro-MD"/>
        </w:rPr>
        <w:t>Privind aprobarea Regulamentului cu privire la atribuirea</w:t>
      </w:r>
      <w:r w:rsidRPr="005B7D3E">
        <w:rPr>
          <w:rFonts w:ascii="Times New Roman" w:hAnsi="Times New Roman" w:cs="Times New Roman"/>
          <w:b/>
          <w:bCs/>
          <w:color w:val="000000" w:themeColor="text1"/>
          <w:sz w:val="16"/>
          <w:szCs w:val="16"/>
          <w:lang w:val="ro-MD"/>
        </w:rPr>
        <w:t xml:space="preserve"> </w:t>
      </w:r>
      <w:r w:rsidRPr="005B7D3E">
        <w:rPr>
          <w:rStyle w:val="af0"/>
          <w:rFonts w:ascii="Times New Roman" w:hAnsi="Times New Roman" w:cs="Times New Roman"/>
          <w:b w:val="0"/>
          <w:bCs w:val="0"/>
          <w:color w:val="000000" w:themeColor="text1"/>
          <w:sz w:val="16"/>
          <w:szCs w:val="16"/>
          <w:lang w:val="ro-MD"/>
        </w:rPr>
        <w:t>categoriilor de vulnerabilitate energetică și modul de</w:t>
      </w:r>
      <w:r w:rsidRPr="005B7D3E">
        <w:rPr>
          <w:rFonts w:ascii="Times New Roman" w:hAnsi="Times New Roman" w:cs="Times New Roman"/>
          <w:b/>
          <w:bCs/>
          <w:color w:val="000000" w:themeColor="text1"/>
          <w:sz w:val="16"/>
          <w:szCs w:val="16"/>
          <w:lang w:val="ro-MD"/>
        </w:rPr>
        <w:t xml:space="preserve"> </w:t>
      </w:r>
      <w:r w:rsidRPr="005B7D3E">
        <w:rPr>
          <w:rStyle w:val="af0"/>
          <w:rFonts w:ascii="Times New Roman" w:hAnsi="Times New Roman" w:cs="Times New Roman"/>
          <w:b w:val="0"/>
          <w:bCs w:val="0"/>
          <w:color w:val="000000" w:themeColor="text1"/>
          <w:sz w:val="16"/>
          <w:szCs w:val="16"/>
          <w:lang w:val="ro-MD"/>
        </w:rPr>
        <w:t>stabilire și plată a compensațiilor pentru achitarea</w:t>
      </w:r>
      <w:r w:rsidRPr="005B7D3E">
        <w:rPr>
          <w:rFonts w:ascii="Times New Roman" w:hAnsi="Times New Roman" w:cs="Times New Roman"/>
          <w:b/>
          <w:bCs/>
          <w:color w:val="000000" w:themeColor="text1"/>
          <w:sz w:val="16"/>
          <w:szCs w:val="16"/>
          <w:lang w:val="ro-MD"/>
        </w:rPr>
        <w:t xml:space="preserve"> </w:t>
      </w:r>
      <w:r w:rsidRPr="005B7D3E">
        <w:rPr>
          <w:rStyle w:val="af0"/>
          <w:rFonts w:ascii="Times New Roman" w:hAnsi="Times New Roman" w:cs="Times New Roman"/>
          <w:b w:val="0"/>
          <w:bCs w:val="0"/>
          <w:color w:val="000000" w:themeColor="text1"/>
          <w:sz w:val="16"/>
          <w:szCs w:val="16"/>
          <w:lang w:val="ro-MD"/>
        </w:rPr>
        <w:t>facturilor la energie și compensațiilor la energie</w:t>
      </w:r>
      <w:r w:rsidRPr="005B7D3E">
        <w:rPr>
          <w:rFonts w:ascii="Times New Roman" w:hAnsi="Times New Roman" w:cs="Times New Roman"/>
          <w:b/>
          <w:color w:val="000000" w:themeColor="text1"/>
          <w:sz w:val="16"/>
          <w:szCs w:val="16"/>
          <w:lang w:val="ro-MD"/>
        </w:rPr>
        <w:t xml:space="preserve"> </w:t>
      </w:r>
      <w:r w:rsidRPr="005B7D3E">
        <w:rPr>
          <w:rStyle w:val="af0"/>
          <w:rFonts w:ascii="Times New Roman" w:hAnsi="Times New Roman" w:cs="Times New Roman"/>
          <w:b w:val="0"/>
          <w:bCs w:val="0"/>
          <w:color w:val="000000" w:themeColor="text1"/>
          <w:sz w:val="16"/>
          <w:szCs w:val="16"/>
          <w:lang w:val="ro-MD"/>
        </w:rPr>
        <w:t>sub formă de plată monetară”.</w:t>
      </w:r>
    </w:p>
  </w:footnote>
  <w:footnote w:id="94">
    <w:p w14:paraId="74F3444A" w14:textId="1DBEEB8F"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Hotărârea Curții Conturi nr.18 din 30.04.2024 „cu privire la Raportul auditului de performanță „Contribuie Sistemul informațional „Vulnerabilitatea energetică” (SIVE) la un mecanism eficient de încadrare a consumatorilor casnici în categoriile de vulnerabilitate energetică, precum și de gestionare și monitorizare a măsurilor finanțate din Fondul de reducere a vulnerabilității energetice?”</w:t>
      </w:r>
    </w:p>
  </w:footnote>
  <w:footnote w:id="95">
    <w:p w14:paraId="09B6C12C" w14:textId="14AC5BB7" w:rsidR="006A6EDC" w:rsidRPr="005B7D3E" w:rsidRDefault="006A6EDC" w:rsidP="005B7D3E">
      <w:pPr>
        <w:pStyle w:val="a3"/>
        <w:jc w:val="both"/>
        <w:rPr>
          <w:rFonts w:ascii="Times New Roman" w:hAnsi="Times New Roman" w:cs="Times New Roman"/>
          <w:color w:val="000000" w:themeColor="text1"/>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Legea nr. 256 din 17.08.2023 pentru modificarea unor acte normative (reforma sistemului de asistență socială „Restart”).</w:t>
      </w:r>
    </w:p>
  </w:footnote>
  <w:footnote w:id="96">
    <w:p w14:paraId="431D7220" w14:textId="5537003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9 din Legea nr.190 din 08.05.2003 cu privire la veterani; </w:t>
      </w:r>
      <w:r w:rsidRPr="005B7D3E">
        <w:rPr>
          <w:rFonts w:ascii="Times New Roman" w:eastAsia="Calibri" w:hAnsi="Times New Roman" w:cs="Times New Roman"/>
          <w:noProof/>
          <w:sz w:val="16"/>
          <w:szCs w:val="16"/>
          <w:lang w:val="ro-MD"/>
        </w:rPr>
        <w:t>HG nr.190 din 17.03.2010 „Pentru aprobarea Regulamentului privind condițiile, modul de asigurare, evidență și distribuire a biletelor de tratament sanatorial acordate veteranilor”.</w:t>
      </w:r>
    </w:p>
  </w:footnote>
  <w:footnote w:id="97">
    <w:p w14:paraId="5BB017DB" w14:textId="528A2779"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Pct. 16 din </w:t>
      </w:r>
      <w:r w:rsidRPr="005B7D3E">
        <w:rPr>
          <w:rFonts w:ascii="Times New Roman" w:eastAsia="Calibri" w:hAnsi="Times New Roman" w:cs="Times New Roman"/>
          <w:noProof/>
          <w:sz w:val="16"/>
          <w:szCs w:val="16"/>
          <w:lang w:val="ro-MD"/>
        </w:rPr>
        <w:t>HG nr.190 din 17.03.2010 „Pentru aprobarea Regulamentului privind condițiile, modul de asigurare, evidență și distribuire a biletelor de tratament sanatorial acordate veteranilor”.</w:t>
      </w:r>
    </w:p>
  </w:footnote>
  <w:footnote w:id="98">
    <w:p w14:paraId="0D900B6C" w14:textId="352B0E27"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Pct.9 din HG </w:t>
      </w:r>
      <w:r w:rsidRPr="005B7D3E">
        <w:rPr>
          <w:rFonts w:ascii="Times New Roman" w:hAnsi="Times New Roman" w:cs="Times New Roman"/>
          <w:bCs/>
          <w:sz w:val="16"/>
          <w:szCs w:val="16"/>
          <w:lang w:val="ro-MD" w:eastAsia="ru-RU"/>
        </w:rPr>
        <w:t>nr. 290 din 19.04.2010 „Pentru aprobarea Regulamentului cu privire la prestațiile în sistemul public de asigurări sociale pentru prevenirea îmbolnăvirilor și recuperarea capacității de muncă a asiguraților prin tratament balneosanatorial”.</w:t>
      </w:r>
    </w:p>
  </w:footnote>
  <w:footnote w:id="99">
    <w:p w14:paraId="6A12E00F" w14:textId="694E8790"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HG </w:t>
      </w:r>
      <w:r w:rsidRPr="005B7D3E">
        <w:rPr>
          <w:rFonts w:ascii="Times New Roman" w:hAnsi="Times New Roman" w:cs="Times New Roman"/>
          <w:bCs/>
          <w:sz w:val="16"/>
          <w:szCs w:val="16"/>
          <w:lang w:val="ro-MD" w:eastAsia="ru-RU"/>
        </w:rPr>
        <w:t>nr. 290 din 19.04.2010 „Pentru aprobarea Regulamentului cu privire la prestațiile în sistemul public de asigurări sociale pentru prevenirea îmbolnăvirilor și recuperarea capacității de muncă a asiguraților prin tratament balneosanatorial”.</w:t>
      </w:r>
    </w:p>
  </w:footnote>
  <w:footnote w:id="100">
    <w:p w14:paraId="35B77243" w14:textId="47007FC6"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Pct. 2 alin. 5 din Ordinul comun al MS, CNAM și CNAS nr.953/220-A/115 din 28.08.2019 „Cu privire la utilizarea Portalului certificatelor de concediu medical”.</w:t>
      </w:r>
    </w:p>
  </w:footnote>
  <w:footnote w:id="101">
    <w:p w14:paraId="59A7371A" w14:textId="141E4714" w:rsidR="006A6EDC" w:rsidRPr="005B7D3E" w:rsidRDefault="006A6EDC" w:rsidP="005B7D3E">
      <w:pPr>
        <w:pStyle w:val="a3"/>
        <w:jc w:val="both"/>
        <w:rPr>
          <w:rFonts w:ascii="Times New Roman" w:hAnsi="Times New Roman" w:cs="Times New Roman"/>
          <w:color w:val="000000" w:themeColor="text1"/>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Pct. 17 din Regulamentul cu privire la condițiile de stabilire, modul de calcul şi de plată a indemnizațiilor pentru incapacitate temporară de muncă, aprobat prin HG nr. 108 din 03.02.2005.</w:t>
      </w:r>
    </w:p>
  </w:footnote>
  <w:footnote w:id="102">
    <w:p w14:paraId="7EF9B436" w14:textId="54BAA355"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Pct. 33 din Instrucțiunea privind procesul de stabilire a indemnizației pentru incapacitate temporară de muncă, aprobată prin Ordinul CNAS nr. 284-A din 30.12.2020; </w:t>
      </w:r>
      <w:r w:rsidRPr="005B7D3E">
        <w:rPr>
          <w:rFonts w:ascii="Times New Roman" w:eastAsia="Calibri" w:hAnsi="Times New Roman" w:cs="Times New Roman"/>
          <w:noProof/>
          <w:sz w:val="16"/>
          <w:szCs w:val="16"/>
          <w:lang w:val="ro-MD"/>
        </w:rPr>
        <w:t>Decizia de refuz cu indicarea motivului refuzului se imprimă din SI e-Dosar și în termen de 5 zile se transmite solicitantului prin corespondență recomandată.</w:t>
      </w:r>
    </w:p>
  </w:footnote>
  <w:footnote w:id="103">
    <w:p w14:paraId="6C05E506" w14:textId="5A820841"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Listele beneficiarilor de indemnizații de maternitate pentru anul 2023 evaluate de audit.</w:t>
      </w:r>
    </w:p>
  </w:footnote>
  <w:footnote w:id="104">
    <w:p w14:paraId="7824560D" w14:textId="57994E08"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Până la 45 de zile.</w:t>
      </w:r>
    </w:p>
  </w:footnote>
  <w:footnote w:id="105">
    <w:p w14:paraId="39300C71" w14:textId="5DDDAFCD" w:rsidR="006A6EDC" w:rsidRPr="005B7D3E" w:rsidRDefault="006A6EDC" w:rsidP="005B7D3E">
      <w:pPr>
        <w:pStyle w:val="a3"/>
        <w:jc w:val="both"/>
        <w:rPr>
          <w:rFonts w:ascii="Times New Roman" w:hAnsi="Times New Roman" w:cs="Times New Roman"/>
          <w:color w:val="000000" w:themeColor="text1"/>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Legea pentru modificarea unor acte normative nr. 353/2022.</w:t>
      </w:r>
    </w:p>
  </w:footnote>
  <w:footnote w:id="106">
    <w:p w14:paraId="035A2F3C" w14:textId="0D77E663" w:rsidR="006A6EDC" w:rsidRPr="005B7D3E" w:rsidRDefault="006A6EDC" w:rsidP="005B7D3E">
      <w:pPr>
        <w:shd w:val="clear" w:color="auto" w:fill="FFFFFF"/>
        <w:spacing w:after="0" w:line="240" w:lineRule="auto"/>
        <w:jc w:val="both"/>
        <w:rPr>
          <w:rFonts w:ascii="Times New Roman" w:eastAsia="Times New Roman" w:hAnsi="Times New Roman" w:cs="Times New Roman"/>
          <w:color w:val="000000" w:themeColor="text1"/>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Pct. 7 subpct. 1 din Anexa nr. 1 la </w:t>
      </w:r>
      <w:r w:rsidRPr="005B7D3E">
        <w:rPr>
          <w:rFonts w:ascii="Times New Roman" w:eastAsia="Times New Roman" w:hAnsi="Times New Roman" w:cs="Times New Roman"/>
          <w:bCs/>
          <w:color w:val="000000" w:themeColor="text1"/>
          <w:sz w:val="16"/>
          <w:szCs w:val="16"/>
          <w:lang w:val="ro-MD"/>
        </w:rPr>
        <w:t>Regulamentul</w:t>
      </w:r>
      <w:r w:rsidRPr="005B7D3E">
        <w:rPr>
          <w:rFonts w:ascii="Times New Roman" w:eastAsia="Times New Roman" w:hAnsi="Times New Roman" w:cs="Times New Roman"/>
          <w:color w:val="000000" w:themeColor="text1"/>
          <w:sz w:val="16"/>
          <w:szCs w:val="16"/>
          <w:lang w:val="ro-MD"/>
        </w:rPr>
        <w:t xml:space="preserve"> </w:t>
      </w:r>
      <w:r w:rsidRPr="005B7D3E">
        <w:rPr>
          <w:rFonts w:ascii="Times New Roman" w:eastAsia="Times New Roman" w:hAnsi="Times New Roman" w:cs="Times New Roman"/>
          <w:bCs/>
          <w:color w:val="000000" w:themeColor="text1"/>
          <w:sz w:val="16"/>
          <w:szCs w:val="16"/>
          <w:lang w:val="ro-MD"/>
        </w:rPr>
        <w:t>cu privire la organizarea şi funcţionarea</w:t>
      </w:r>
      <w:r w:rsidRPr="005B7D3E">
        <w:rPr>
          <w:rFonts w:ascii="Times New Roman" w:eastAsia="Times New Roman" w:hAnsi="Times New Roman" w:cs="Times New Roman"/>
          <w:color w:val="000000" w:themeColor="text1"/>
          <w:sz w:val="16"/>
          <w:szCs w:val="16"/>
          <w:lang w:val="ro-MD"/>
        </w:rPr>
        <w:t xml:space="preserve"> </w:t>
      </w:r>
      <w:r w:rsidRPr="005B7D3E">
        <w:rPr>
          <w:rFonts w:ascii="Times New Roman" w:eastAsia="Times New Roman" w:hAnsi="Times New Roman" w:cs="Times New Roman"/>
          <w:bCs/>
          <w:color w:val="000000" w:themeColor="text1"/>
          <w:sz w:val="16"/>
          <w:szCs w:val="16"/>
          <w:lang w:val="ro-MD"/>
        </w:rPr>
        <w:t>Ministerului Muncii şi Protecţiei Sociale,</w:t>
      </w:r>
      <w:r w:rsidRPr="005B7D3E">
        <w:rPr>
          <w:rFonts w:ascii="Times New Roman" w:hAnsi="Times New Roman" w:cs="Times New Roman"/>
          <w:color w:val="000000" w:themeColor="text1"/>
          <w:sz w:val="16"/>
          <w:szCs w:val="16"/>
          <w:lang w:val="ro-MD"/>
        </w:rPr>
        <w:t xml:space="preserve"> aprobat prin HG nr. 149/2021.</w:t>
      </w:r>
    </w:p>
  </w:footnote>
  <w:footnote w:id="107">
    <w:p w14:paraId="35D2BEA7" w14:textId="012FA3E7" w:rsidR="006A6EDC" w:rsidRPr="005B7D3E" w:rsidRDefault="006A6EDC" w:rsidP="005B7D3E">
      <w:pPr>
        <w:pStyle w:val="Default"/>
        <w:jc w:val="both"/>
        <w:rPr>
          <w:sz w:val="16"/>
          <w:szCs w:val="16"/>
          <w:lang w:val="ro-MD"/>
        </w:rPr>
      </w:pPr>
      <w:r w:rsidRPr="005B7D3E">
        <w:rPr>
          <w:rStyle w:val="a5"/>
          <w:color w:val="000000" w:themeColor="text1"/>
          <w:sz w:val="16"/>
          <w:szCs w:val="16"/>
          <w:lang w:val="ro-MD"/>
        </w:rPr>
        <w:footnoteRef/>
      </w:r>
      <w:r w:rsidRPr="005B7D3E">
        <w:rPr>
          <w:color w:val="000000" w:themeColor="text1"/>
          <w:sz w:val="16"/>
          <w:szCs w:val="16"/>
          <w:lang w:val="ro-MD"/>
        </w:rPr>
        <w:t xml:space="preserve"> Scrisoarea MMPS nr. 16/1597 din 27.03.2023.</w:t>
      </w:r>
    </w:p>
  </w:footnote>
  <w:footnote w:id="108">
    <w:p w14:paraId="70E8ECCC" w14:textId="77F67C3A"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Inclusiv indemnizația acordată suplimentar pentru 14 zile, în cazul nașterilor complicate.</w:t>
      </w:r>
    </w:p>
  </w:footnote>
  <w:footnote w:id="109">
    <w:p w14:paraId="32D15009" w14:textId="5B98B562" w:rsidR="006A6EDC" w:rsidRPr="005B7D3E" w:rsidRDefault="006A6EDC" w:rsidP="005B7D3E">
      <w:pPr>
        <w:pStyle w:val="tt"/>
        <w:jc w:val="both"/>
        <w:rPr>
          <w:sz w:val="16"/>
          <w:szCs w:val="16"/>
          <w:lang w:val="ro-MD"/>
        </w:rPr>
      </w:pPr>
      <w:r w:rsidRPr="005B7D3E">
        <w:rPr>
          <w:rStyle w:val="a5"/>
          <w:b w:val="0"/>
          <w:sz w:val="16"/>
          <w:szCs w:val="16"/>
          <w:lang w:val="ro-MD"/>
        </w:rPr>
        <w:footnoteRef/>
      </w:r>
      <w:r w:rsidRPr="005B7D3E">
        <w:rPr>
          <w:b w:val="0"/>
          <w:sz w:val="16"/>
          <w:szCs w:val="16"/>
          <w:lang w:val="ro-MD"/>
        </w:rPr>
        <w:t xml:space="preserve"> Art. 7 alin. (7), alin. (10) din Legea nr.289/2004 </w:t>
      </w:r>
      <w:r w:rsidRPr="005B7D3E">
        <w:rPr>
          <w:b w:val="0"/>
          <w:sz w:val="16"/>
          <w:szCs w:val="16"/>
          <w:lang w:val="ro-MD" w:eastAsia="en-US"/>
        </w:rPr>
        <w:t xml:space="preserve">privind indemnizaţiile pentru incapacitate temporară de muncă </w:t>
      </w:r>
      <w:r w:rsidRPr="005B7D3E">
        <w:rPr>
          <w:b w:val="0"/>
          <w:sz w:val="16"/>
          <w:szCs w:val="16"/>
          <w:lang w:val="ro-MD"/>
        </w:rPr>
        <w:t>şi alte prestaţii de asigurări sociale.</w:t>
      </w:r>
    </w:p>
  </w:footnote>
  <w:footnote w:id="110">
    <w:p w14:paraId="22F841E9" w14:textId="7EBB37C2"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Pentru anul 2023.</w:t>
      </w:r>
    </w:p>
  </w:footnote>
  <w:footnote w:id="111">
    <w:p w14:paraId="29055CEA" w14:textId="23DB2CDC"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44 din Legea asigurării cu pensii a militarilor și persoanelor din corpul de comandă și din trupele organelor afacerilor interne și din cadrul Inspectoratului General de Carabinieri nr.1544 din 23.06.1993.</w:t>
      </w:r>
    </w:p>
  </w:footnote>
  <w:footnote w:id="112">
    <w:p w14:paraId="4DCA4B9B"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Legea nr.270 din 23.11.2018 privind sistemul unitar de salarizare în sectorul bugetar.</w:t>
      </w:r>
    </w:p>
  </w:footnote>
  <w:footnote w:id="113">
    <w:p w14:paraId="64C367E7" w14:textId="5120146A"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4 alin. (1</w:t>
      </w:r>
      <w:r w:rsidRPr="005B7D3E">
        <w:rPr>
          <w:rFonts w:ascii="Times New Roman" w:hAnsi="Times New Roman" w:cs="Times New Roman"/>
          <w:sz w:val="16"/>
          <w:szCs w:val="16"/>
          <w:vertAlign w:val="superscript"/>
          <w:lang w:val="ro-MD"/>
        </w:rPr>
        <w:t>1</w:t>
      </w:r>
      <w:r w:rsidRPr="005B7D3E">
        <w:rPr>
          <w:rFonts w:ascii="Times New Roman" w:hAnsi="Times New Roman" w:cs="Times New Roman"/>
          <w:sz w:val="16"/>
          <w:szCs w:val="16"/>
          <w:lang w:val="ro-MD"/>
        </w:rPr>
        <w:t>) din Legea nr. 489/1999.</w:t>
      </w:r>
    </w:p>
  </w:footnote>
  <w:footnote w:id="114">
    <w:p w14:paraId="3775E6A7" w14:textId="0F4CDDC2"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49 alin. (3) din Legea asigurării cu pensii a militarilor și a persoanelor din corpul de comandă și din trupele organelor afacerilor interne și din cadrul Inspectoratului General de Carabinieri nr. 1544 din 23.06.1993.</w:t>
      </w:r>
    </w:p>
  </w:footnote>
  <w:footnote w:id="115">
    <w:p w14:paraId="411E776C" w14:textId="717015C3"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hAnsi="Times New Roman" w:cs="Times New Roman"/>
          <w:color w:val="212121"/>
          <w:sz w:val="16"/>
          <w:szCs w:val="16"/>
          <w:shd w:val="clear" w:color="auto" w:fill="FFFFFF"/>
          <w:lang w:val="ro-MD"/>
        </w:rPr>
        <w:t>Hotărârea Curții de Conturi nr.26 din 29.05.2018, Hotărârea Curții de Conturi nr. 39 din 21.05.2019, Hotărârea Curții de Conturi nr. 29 din 15.07.2020, Hotărârea Curții de Conturi nr. 20 din 03.06.2021, Hotărârea Curții de Conturi nr. 17 din 24.05.2022, Hotărârea Curții de Conturi nr. 18 din 25.05.2023.</w:t>
      </w:r>
    </w:p>
  </w:footnote>
  <w:footnote w:id="116">
    <w:p w14:paraId="5B79E6A5" w14:textId="429BBAB5" w:rsidR="006A6EDC" w:rsidRPr="005B7D3E" w:rsidRDefault="006A6EDC" w:rsidP="00DE6156">
      <w:pPr>
        <w:pStyle w:val="a6"/>
        <w:tabs>
          <w:tab w:val="left" w:pos="142"/>
        </w:tabs>
        <w:ind w:firstLine="0"/>
        <w:rPr>
          <w:sz w:val="16"/>
          <w:szCs w:val="16"/>
          <w:lang w:val="ro-MD"/>
        </w:rPr>
      </w:pPr>
      <w:r w:rsidRPr="005B7D3E">
        <w:rPr>
          <w:rStyle w:val="a5"/>
          <w:rFonts w:eastAsiaTheme="majorEastAsia"/>
          <w:sz w:val="16"/>
          <w:szCs w:val="16"/>
          <w:lang w:val="ro-MD"/>
        </w:rPr>
        <w:footnoteRef/>
      </w:r>
      <w:r w:rsidRPr="005B7D3E">
        <w:rPr>
          <w:sz w:val="16"/>
          <w:szCs w:val="16"/>
          <w:lang w:val="ro-MD"/>
        </w:rPr>
        <w:t xml:space="preserve"> HG nr. 1048 din 21.12.2023 „Pentru</w:t>
      </w:r>
      <w:r w:rsidRPr="005B7D3E">
        <w:rPr>
          <w:color w:val="000000" w:themeColor="text1"/>
          <w:kern w:val="24"/>
          <w:sz w:val="16"/>
          <w:szCs w:val="16"/>
          <w:lang w:val="ro-MD"/>
        </w:rPr>
        <w:t xml:space="preserve"> modificarea Hotărârii Guvernului</w:t>
      </w:r>
      <w:r w:rsidRPr="005B7D3E">
        <w:rPr>
          <w:rFonts w:eastAsia="Calibri"/>
          <w:color w:val="000000" w:themeColor="text1"/>
          <w:kern w:val="24"/>
          <w:sz w:val="16"/>
          <w:szCs w:val="16"/>
          <w:lang w:val="ro-MD"/>
        </w:rPr>
        <w:t xml:space="preserve"> nr. 78/1994 cu privire la modul de calculare a vechimii în muncă, stabilire și plată a pensiilor și indemnizațiilor militarilor, persoanelor din corpul de comandă și din trupele organelor afacerilor interne, colaboratorilor Centrului Național Anticorupție și funcționarilor publici cu statut special din cadrul sistemului administrației</w:t>
      </w:r>
      <w:r w:rsidRPr="005B7D3E">
        <w:rPr>
          <w:color w:val="000000" w:themeColor="text1"/>
          <w:kern w:val="24"/>
          <w:sz w:val="16"/>
          <w:szCs w:val="16"/>
          <w:lang w:val="ro-MD"/>
        </w:rPr>
        <w:t xml:space="preserve"> penitenciare”.</w:t>
      </w:r>
    </w:p>
  </w:footnote>
  <w:footnote w:id="117">
    <w:p w14:paraId="17D71D1D" w14:textId="3C21284D" w:rsidR="006A6EDC" w:rsidRPr="005B7D3E" w:rsidRDefault="006A6EDC" w:rsidP="005B7D3E">
      <w:pPr>
        <w:pStyle w:val="a3"/>
        <w:jc w:val="both"/>
        <w:rPr>
          <w:rFonts w:ascii="Times New Roman" w:hAnsi="Times New Roman" w:cs="Times New Roman"/>
          <w:color w:val="000000" w:themeColor="text1"/>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Pct. 38 din Regulamentul cu privire la confirmarea venitului asigurat în baza datelor din conturile personale ale persoanelor asigurate, aprobat prin Ordinul CNAS nr. 140-A din 03.10.2022.</w:t>
      </w:r>
    </w:p>
  </w:footnote>
  <w:footnote w:id="118">
    <w:p w14:paraId="32848DF8" w14:textId="00059C05"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color w:val="000000" w:themeColor="text1"/>
          <w:sz w:val="16"/>
          <w:szCs w:val="16"/>
          <w:lang w:val="ro-MD"/>
        </w:rPr>
        <w:footnoteRef/>
      </w:r>
      <w:r w:rsidRPr="005B7D3E">
        <w:rPr>
          <w:rFonts w:ascii="Times New Roman" w:hAnsi="Times New Roman" w:cs="Times New Roman"/>
          <w:color w:val="000000" w:themeColor="text1"/>
          <w:sz w:val="16"/>
          <w:szCs w:val="16"/>
          <w:lang w:val="ro-MD"/>
        </w:rPr>
        <w:t xml:space="preserve"> Listele din SI „Protecția Socială” pentru CTAS sect. Centru, CTAS sect. Botanica, CTAS sect. Râșcani, CTAS Ocnița, CTAS Anenii Noi, CTAS Glodeni.</w:t>
      </w:r>
    </w:p>
  </w:footnote>
  <w:footnote w:id="119">
    <w:p w14:paraId="224731EC" w14:textId="5B64D666"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CTAS Botanica – 970 modificări, CTAS Centru – 577 modificări, CTAS Râșcani – 802 modificări, CTAS Ocnița – 164 modificări.</w:t>
      </w:r>
    </w:p>
  </w:footnote>
  <w:footnote w:id="120">
    <w:p w14:paraId="2052E182" w14:textId="3347A388"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La verificarea selectivă.</w:t>
      </w:r>
    </w:p>
  </w:footnote>
  <w:footnote w:id="121">
    <w:p w14:paraId="26A2099A" w14:textId="7B2BBF41"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Scrisoarea CNAS nr. II-03/10-1560 din 27.07.2021.</w:t>
      </w:r>
    </w:p>
  </w:footnote>
  <w:footnote w:id="122">
    <w:p w14:paraId="31571676" w14:textId="1108716A"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56 alin. (5) din Legea nr. 489 din 08.07.1999 privind sistemul public de asigurări sociale.</w:t>
      </w:r>
    </w:p>
  </w:footnote>
  <w:footnote w:id="123">
    <w:p w14:paraId="75058B93" w14:textId="49479092"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Art.3 și art.6 din Legea contabilității nr.113 din 27.04.2007.</w:t>
      </w:r>
    </w:p>
  </w:footnote>
  <w:footnote w:id="124">
    <w:p w14:paraId="70C87704" w14:textId="37A5D343"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Pct. 20 din Regulamentul cu privire la recuperarea de la angajator a sumelor plătite necuvenit sub formă de prestații de asigurări sociale urmare a prezentării dărilor de seamă de corectare, aprobat prin Ordinul CNAS nr. 96-A din 25.05.2023.</w:t>
      </w:r>
    </w:p>
  </w:footnote>
  <w:footnote w:id="125">
    <w:p w14:paraId="2D33CF71" w14:textId="53FCB3B1"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35 alin. (2) al Legii nr. 489 din 08.07.1999 privind sistemul public de asigurări sociale</w:t>
      </w:r>
    </w:p>
  </w:footnote>
  <w:footnote w:id="126">
    <w:p w14:paraId="558AD4F4" w14:textId="7DF55256"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15 din Legea nr. 77 din 21.04.2016 cu privire la parcurile pentru tehnologia informației.</w:t>
      </w:r>
    </w:p>
  </w:footnote>
  <w:footnote w:id="127">
    <w:p w14:paraId="4A188243" w14:textId="3A0C1F9B"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16 din Legea nr. 77 din 21.04.2016 cu privire la parcurile pentru tehnologia informației.</w:t>
      </w:r>
    </w:p>
  </w:footnote>
  <w:footnote w:id="128">
    <w:p w14:paraId="294A1437" w14:textId="3AD947DF"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shd w:val="clear" w:color="auto" w:fill="FFFFFF"/>
          <w:lang w:val="ro-MD"/>
        </w:rPr>
        <w:t xml:space="preserve"> HG nr. 936 din 28.12.2022 „Privind aprobarea cuantumului salariului mediu lunar pe economie, prognozat pentru anul 2023”.</w:t>
      </w:r>
    </w:p>
  </w:footnote>
  <w:footnote w:id="129">
    <w:p w14:paraId="19F64D96" w14:textId="77777777" w:rsidR="006A6EDC" w:rsidRPr="005B7D3E" w:rsidRDefault="006A6EDC" w:rsidP="005B7D3E">
      <w:pPr>
        <w:pStyle w:val="a3"/>
        <w:rPr>
          <w:rFonts w:ascii="Times New Roman" w:hAnsi="Times New Roman" w:cs="Times New Roman"/>
          <w:color w:val="0000FF"/>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hAnsi="Times New Roman" w:cs="Times New Roman"/>
          <w:color w:val="0000FF"/>
          <w:sz w:val="16"/>
          <w:szCs w:val="16"/>
          <w:lang w:val="ro-MD"/>
        </w:rPr>
        <w:t>https://mitp.md/p/web/resources</w:t>
      </w:r>
    </w:p>
  </w:footnote>
  <w:footnote w:id="130">
    <w:p w14:paraId="190B3189" w14:textId="3E3738A3"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HG nr. 1144 din 20.12.2017 „Cu privire la crearea parcului pentru tehnologia informației „Moldova IT Park””.</w:t>
      </w:r>
    </w:p>
  </w:footnote>
  <w:footnote w:id="131">
    <w:p w14:paraId="5D781787" w14:textId="2FD9D841"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8 din Legea nr. 77 din 21.04.2016 cu privire la parcurile pentru tehnologia informației.</w:t>
      </w:r>
    </w:p>
  </w:footnote>
  <w:footnote w:id="132">
    <w:p w14:paraId="632B902D" w14:textId="2DE6741E"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shd w:val="clear" w:color="auto" w:fill="FFFFFF"/>
          <w:lang w:val="ro-MD"/>
        </w:rPr>
        <w:t xml:space="preserve">Legea nr.415 din 20.12.2023 pentru modificarea </w:t>
      </w:r>
      <w:r w:rsidRPr="005B7D3E">
        <w:rPr>
          <w:rFonts w:ascii="Times New Roman" w:hAnsi="Times New Roman" w:cs="Times New Roman"/>
          <w:sz w:val="16"/>
          <w:szCs w:val="16"/>
          <w:lang w:val="ro-MD"/>
        </w:rPr>
        <w:t>Legii nr. 77/2016 cu privire la parcurile pentru tehnologia informației.</w:t>
      </w:r>
    </w:p>
  </w:footnote>
  <w:footnote w:id="133">
    <w:p w14:paraId="1946EB09" w14:textId="743A426D"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shd w:val="clear" w:color="auto" w:fill="FFFFFF"/>
          <w:lang w:val="ro-MD"/>
        </w:rPr>
        <w:t xml:space="preserve">Scrisoarea nr. 16/4702 din 22.11.2023 la avizarea </w:t>
      </w:r>
      <w:r w:rsidRPr="005B7D3E">
        <w:rPr>
          <w:rFonts w:ascii="Times New Roman" w:hAnsi="Times New Roman" w:cs="Times New Roman"/>
          <w:sz w:val="16"/>
          <w:szCs w:val="16"/>
          <w:lang w:val="ro-MD"/>
        </w:rPr>
        <w:t xml:space="preserve">repetată a proiectului de hotărâre </w:t>
      </w:r>
      <w:r w:rsidRPr="005B7D3E">
        <w:rPr>
          <w:rFonts w:ascii="Times New Roman" w:hAnsi="Times New Roman" w:cs="Times New Roman"/>
          <w:iCs/>
          <w:sz w:val="16"/>
          <w:szCs w:val="16"/>
          <w:lang w:val="ro-MD"/>
        </w:rPr>
        <w:t>privind aprobarea proiectului de lege pentru modificarea Legii nr. 77/2016 cu privire la parcurile pentru tehnologia informației.</w:t>
      </w:r>
    </w:p>
  </w:footnote>
  <w:footnote w:id="134">
    <w:p w14:paraId="58B64DE0" w14:textId="35777724"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Anexa nr. 2</w:t>
      </w:r>
      <w:r w:rsidRPr="005B7D3E">
        <w:rPr>
          <w:rFonts w:ascii="Times New Roman" w:hAnsi="Times New Roman" w:cs="Times New Roman"/>
          <w:sz w:val="16"/>
          <w:szCs w:val="16"/>
          <w:vertAlign w:val="superscript"/>
          <w:lang w:val="ro-MD"/>
        </w:rPr>
        <w:t>1</w:t>
      </w:r>
      <w:r w:rsidRPr="005B7D3E">
        <w:rPr>
          <w:rFonts w:ascii="Times New Roman" w:hAnsi="Times New Roman" w:cs="Times New Roman"/>
          <w:sz w:val="16"/>
          <w:szCs w:val="16"/>
          <w:lang w:val="ro-MD"/>
        </w:rPr>
        <w:t xml:space="preserve"> la Legea nr. 156/1999 privind sistemul public de pensii. </w:t>
      </w:r>
    </w:p>
  </w:footnote>
  <w:footnote w:id="135">
    <w:p w14:paraId="3812167B" w14:textId="0B413C3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Venitul mediu lunar asigurat valorizat se determină reieșind din suma contribuțiilor individuale pentru perioada de cotizare, cota contribuției individuale în perioada de cotizare, coeficientul de valorizare a venitului asigurat și numărul lunilor pentru care s-au calculat și s-au achitat contribuțiile.</w:t>
      </w:r>
    </w:p>
  </w:footnote>
  <w:footnote w:id="136">
    <w:p w14:paraId="50B38632" w14:textId="0FD100E9"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HG nr.412/2004 „Pentru aprobarea Regulamentului cu privire la modul de stabilire şi plată a pensiilor funcţionarilor publici”; art. VIII alin.(6) al Legii nr.290/2016 pentru modificarea şi completarea unor acte legislative; capitolele V şi VI din Legea nr.156/1998 privind pensiile de asigurări sociale de stat, în vigoare până 1 ianuarie 2017.</w:t>
      </w:r>
    </w:p>
  </w:footnote>
  <w:footnote w:id="137">
    <w:p w14:paraId="12300269" w14:textId="1B3E3415"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Art.5 al Legii nr.156/1998, dacă nu este posibilă stabilirea pensiei în condițiile Legii asigurării cu pensii a militarilor şi a persoanelor din corpul de comandă şi din trupele organelor afacerilor interne nr.1544/1993.</w:t>
      </w:r>
    </w:p>
  </w:footnote>
  <w:footnote w:id="138">
    <w:p w14:paraId="56D92C3E" w14:textId="747AD294"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3 lit. f) din Legea asigurării cu pensii a militarilor şi a persoanelor din corpul de comandă şi din trupele organelor afacerilor interne nr.1544/1993.</w:t>
      </w:r>
    </w:p>
  </w:footnote>
  <w:footnote w:id="139">
    <w:p w14:paraId="648325E8" w14:textId="1F4392EB" w:rsidR="006A6EDC" w:rsidRPr="005B7D3E" w:rsidRDefault="006A6EDC" w:rsidP="005B7D3E">
      <w:pPr>
        <w:pStyle w:val="a6"/>
        <w:shd w:val="clear" w:color="auto" w:fill="FFFFFF"/>
        <w:ind w:firstLine="0"/>
        <w:rPr>
          <w:sz w:val="16"/>
          <w:szCs w:val="16"/>
          <w:lang w:val="ro-MD"/>
        </w:rPr>
      </w:pPr>
      <w:r w:rsidRPr="005B7D3E">
        <w:rPr>
          <w:rStyle w:val="a5"/>
          <w:sz w:val="16"/>
          <w:szCs w:val="16"/>
          <w:lang w:val="ro-MD"/>
        </w:rPr>
        <w:footnoteRef/>
      </w:r>
      <w:r w:rsidRPr="005B7D3E">
        <w:rPr>
          <w:sz w:val="16"/>
          <w:szCs w:val="16"/>
          <w:lang w:val="ro-MD"/>
        </w:rPr>
        <w:t xml:space="preserve"> Regulamentul privind organizarea pazei bunurilor întreprinderilor, instituțiilor, organizațiilor şi ale cetățenilor, asigurarea securității lor personale.</w:t>
      </w:r>
    </w:p>
  </w:footnote>
  <w:footnote w:id="140">
    <w:p w14:paraId="165217E4" w14:textId="4F79B246"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Scrisorile CMF H-4/2396 din 30.11.2023 și H-4/2419 din 01.12.2023.</w:t>
      </w:r>
    </w:p>
  </w:footnote>
  <w:footnote w:id="141">
    <w:p w14:paraId="666B3ACD" w14:textId="52A5AA95"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Scrisoarea Ministerului Apărării nr.11/310 din 01.03.2024.</w:t>
      </w:r>
    </w:p>
  </w:footnote>
  <w:footnote w:id="142">
    <w:p w14:paraId="3ABBB46C" w14:textId="275219CE"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6 alin. (1) din Legea nr.162/2005 cu privire la statutul militarilor.</w:t>
      </w:r>
    </w:p>
  </w:footnote>
  <w:footnote w:id="143">
    <w:p w14:paraId="5BF78224" w14:textId="30A17240"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Legea nr.156/1998 privind sistemul public de pensii.</w:t>
      </w:r>
    </w:p>
  </w:footnote>
  <w:footnote w:id="144">
    <w:p w14:paraId="5BFADD39" w14:textId="5A72A3D2"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Actele administrative individuale și operațiunile administrative scrise trebuie să fie motivate.</w:t>
      </w:r>
    </w:p>
  </w:footnote>
  <w:footnote w:id="145">
    <w:p w14:paraId="4205A89A" w14:textId="344CF40E"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(1) Motivarea este operațiunea administrativă prin care se expun considerentele care justifică emiterea unui act administrativ individual. În motivare se indică temeiurile esențiale de drept și de fapt pe care le-a luat în considerare autoritatea publică pentru decizia sa. Din motivarea deciziilor discreționare trebuie să poată fi recunoscute și punctele de vedere din care autoritatea publică a reieșit la exercitarea dreptului discreționar. Motivarea trebuie să se refere și la argumentele expuse în cadrul audierii. (2) Motivarea completă a unui act administrativ individual cuprinde: a) motivarea în drept — temeiul legal pentru emiterea actului administrativ, inclusiv formele procedurale obligatorii pe care se bazează actul; b) motivarea în fapt — oportunitatea emiterii actului administrativ, inclusiv modul de exercitare a dreptului discreționar, dacă este cazul; c) în cazul actelor administrative defavorabile — о descriere succintă a procedurii administrative care a stat la baza emiterii actului: investigații, probe, audieri, opinii ale participanților contrare conținutului final al actului etc. (3) Motivarea completă este obligatorie, este parte integrantă a actului administrativ individual și condiționează legalitatea acestuia.</w:t>
      </w:r>
    </w:p>
  </w:footnote>
  <w:footnote w:id="146">
    <w:p w14:paraId="073D4CC3" w14:textId="631CC25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Prin HG nr. 1048/2023 au fost operate modificări în HG nr. 78/1994.</w:t>
      </w:r>
    </w:p>
  </w:footnote>
  <w:footnote w:id="147">
    <w:p w14:paraId="55B68458" w14:textId="77777777" w:rsidR="006A6EDC" w:rsidRPr="005B7D3E" w:rsidRDefault="006A6EDC" w:rsidP="005B7D3E">
      <w:pPr>
        <w:pStyle w:val="a8"/>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Art.19 din </w:t>
      </w:r>
      <w:r w:rsidRPr="005B7D3E">
        <w:rPr>
          <w:rFonts w:ascii="Times New Roman" w:hAnsi="Times New Roman" w:cs="Times New Roman"/>
          <w:sz w:val="16"/>
          <w:szCs w:val="16"/>
          <w:lang w:val="ro-MD" w:eastAsia="ro-RO"/>
        </w:rPr>
        <w:t xml:space="preserve">Legea </w:t>
      </w:r>
      <w:r w:rsidRPr="005B7D3E">
        <w:rPr>
          <w:rFonts w:ascii="Times New Roman" w:hAnsi="Times New Roman" w:cs="Times New Roman"/>
          <w:sz w:val="16"/>
          <w:szCs w:val="16"/>
          <w:lang w:val="ro-MD"/>
        </w:rPr>
        <w:t xml:space="preserve">finanțelor publice și responsabilității bugetar-fiscale </w:t>
      </w:r>
      <w:r w:rsidRPr="005B7D3E">
        <w:rPr>
          <w:rFonts w:ascii="Times New Roman" w:eastAsia="Times New Roman" w:hAnsi="Times New Roman" w:cs="Times New Roman"/>
          <w:bCs/>
          <w:sz w:val="16"/>
          <w:szCs w:val="16"/>
          <w:lang w:val="ro-MD"/>
        </w:rPr>
        <w:t>nr.181 din 25.07.2014.</w:t>
      </w:r>
    </w:p>
  </w:footnote>
  <w:footnote w:id="148">
    <w:p w14:paraId="560003F3"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Art.22 din Legea nr.229</w:t>
      </w:r>
      <w:r w:rsidRPr="005B7D3E">
        <w:rPr>
          <w:rFonts w:ascii="Times New Roman" w:eastAsia="Times New Roman" w:hAnsi="Times New Roman" w:cs="Times New Roman"/>
          <w:bCs/>
          <w:sz w:val="16"/>
          <w:szCs w:val="16"/>
          <w:lang w:val="ro-MD"/>
        </w:rPr>
        <w:t xml:space="preserve"> din 23.09.2010 privind controlul financiar public intern.</w:t>
      </w:r>
    </w:p>
  </w:footnote>
  <w:footnote w:id="149">
    <w:p w14:paraId="59A47544" w14:textId="0E113018" w:rsidR="006A6EDC" w:rsidRPr="005B7D3E" w:rsidRDefault="006A6EDC" w:rsidP="005B7D3E">
      <w:pPr>
        <w:pStyle w:val="a8"/>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hAnsi="Times New Roman" w:cs="Times New Roman"/>
          <w:sz w:val="16"/>
          <w:szCs w:val="16"/>
          <w:lang w:val="ro-MD" w:eastAsia="ro-RO"/>
        </w:rPr>
        <w:t xml:space="preserve">Legea </w:t>
      </w:r>
      <w:r w:rsidRPr="005B7D3E">
        <w:rPr>
          <w:rFonts w:ascii="Times New Roman" w:hAnsi="Times New Roman" w:cs="Times New Roman"/>
          <w:sz w:val="16"/>
          <w:szCs w:val="16"/>
          <w:lang w:val="ro-MD"/>
        </w:rPr>
        <w:t>finanțelor publice și responsabilității bugetar-fiscale</w:t>
      </w:r>
      <w:r w:rsidRPr="005B7D3E">
        <w:rPr>
          <w:rFonts w:ascii="Times New Roman" w:eastAsia="Times New Roman" w:hAnsi="Times New Roman" w:cs="Times New Roman"/>
          <w:bCs/>
          <w:sz w:val="16"/>
          <w:szCs w:val="16"/>
          <w:lang w:val="ro-MD"/>
        </w:rPr>
        <w:t xml:space="preserve"> nr.181 din 25.07.2014</w:t>
      </w:r>
      <w:r w:rsidRPr="005B7D3E">
        <w:rPr>
          <w:rFonts w:ascii="Times New Roman" w:hAnsi="Times New Roman" w:cs="Times New Roman"/>
          <w:sz w:val="16"/>
          <w:szCs w:val="16"/>
          <w:lang w:val="ro-MD" w:eastAsia="ro-RO"/>
        </w:rPr>
        <w:t xml:space="preserve">; </w:t>
      </w:r>
      <w:r w:rsidRPr="005B7D3E">
        <w:rPr>
          <w:rFonts w:ascii="Times New Roman" w:hAnsi="Times New Roman" w:cs="Times New Roman"/>
          <w:sz w:val="16"/>
          <w:szCs w:val="16"/>
          <w:lang w:val="ro-MD"/>
        </w:rPr>
        <w:t>Legea contabilității nr.</w:t>
      </w:r>
      <w:r w:rsidRPr="005B7D3E">
        <w:rPr>
          <w:rFonts w:ascii="Times New Roman" w:eastAsia="Times New Roman" w:hAnsi="Times New Roman" w:cs="Times New Roman"/>
          <w:sz w:val="16"/>
          <w:szCs w:val="16"/>
          <w:lang w:val="ro-MD"/>
        </w:rPr>
        <w:t>113 din 27.04.2007</w:t>
      </w:r>
      <w:r w:rsidRPr="005B7D3E">
        <w:rPr>
          <w:rFonts w:ascii="Times New Roman" w:hAnsi="Times New Roman" w:cs="Times New Roman"/>
          <w:sz w:val="16"/>
          <w:szCs w:val="16"/>
          <w:lang w:val="ro-MD" w:eastAsia="ro-RO"/>
        </w:rPr>
        <w:t>.</w:t>
      </w:r>
    </w:p>
  </w:footnote>
  <w:footnote w:id="150">
    <w:p w14:paraId="15339270" w14:textId="77777777" w:rsidR="006A6EDC" w:rsidRPr="005B7D3E" w:rsidRDefault="006A6EDC" w:rsidP="005B7D3E">
      <w:pPr>
        <w:pStyle w:val="a8"/>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Art.22 din </w:t>
      </w:r>
      <w:r w:rsidRPr="005B7D3E">
        <w:rPr>
          <w:rFonts w:ascii="Times New Roman" w:hAnsi="Times New Roman" w:cs="Times New Roman"/>
          <w:sz w:val="16"/>
          <w:szCs w:val="16"/>
          <w:lang w:val="ro-MD" w:eastAsia="ro-RO"/>
        </w:rPr>
        <w:t xml:space="preserve">Legea </w:t>
      </w:r>
      <w:r w:rsidRPr="005B7D3E">
        <w:rPr>
          <w:rFonts w:ascii="Times New Roman" w:hAnsi="Times New Roman" w:cs="Times New Roman"/>
          <w:sz w:val="16"/>
          <w:szCs w:val="16"/>
          <w:lang w:val="ro-MD"/>
        </w:rPr>
        <w:t xml:space="preserve">finanțelor publice și responsabilității bugetar-fiscale </w:t>
      </w:r>
      <w:r w:rsidRPr="005B7D3E">
        <w:rPr>
          <w:rFonts w:ascii="Times New Roman" w:eastAsia="Times New Roman" w:hAnsi="Times New Roman" w:cs="Times New Roman"/>
          <w:bCs/>
          <w:sz w:val="16"/>
          <w:szCs w:val="16"/>
          <w:lang w:val="ro-MD"/>
        </w:rPr>
        <w:t>nr.181 din 25.07.2014.</w:t>
      </w:r>
      <w:r w:rsidRPr="005B7D3E">
        <w:rPr>
          <w:rFonts w:ascii="Times New Roman" w:hAnsi="Times New Roman" w:cs="Times New Roman"/>
          <w:sz w:val="16"/>
          <w:szCs w:val="16"/>
          <w:lang w:val="ro-MD" w:eastAsia="ro-RO"/>
        </w:rPr>
        <w:t xml:space="preserve"> </w:t>
      </w:r>
      <w:r w:rsidRPr="005B7D3E">
        <w:rPr>
          <w:rFonts w:ascii="Times New Roman" w:hAnsi="Times New Roman" w:cs="Times New Roman"/>
          <w:sz w:val="16"/>
          <w:szCs w:val="16"/>
          <w:lang w:val="ro-MD"/>
        </w:rPr>
        <w:t xml:space="preserve"> </w:t>
      </w:r>
    </w:p>
  </w:footnote>
  <w:footnote w:id="151">
    <w:p w14:paraId="76859944" w14:textId="38D5893D"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Legea contabilității nr.113 din 27.04.2007; Ordinul ministrului Finanțelor nr.118 din 06.08.2013 „Privind aprobarea Standardelor Naționale de Contabilitate”; Ordinul ministrului Finanțelor </w:t>
      </w:r>
      <w:r w:rsidRPr="005B7D3E">
        <w:rPr>
          <w:rFonts w:ascii="Times New Roman" w:hAnsi="Times New Roman" w:cs="Times New Roman"/>
          <w:noProof/>
          <w:sz w:val="16"/>
          <w:szCs w:val="16"/>
          <w:lang w:val="ro-MD"/>
        </w:rPr>
        <w:t>nr.38 din 17.02.2017.</w:t>
      </w:r>
    </w:p>
  </w:footnote>
  <w:footnote w:id="152">
    <w:p w14:paraId="7E55C9F3" w14:textId="6FF2DEDE"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13 alin.(2) lit. e) din Legea contabilității nr.113 din 27.04.2007.</w:t>
      </w:r>
    </w:p>
  </w:footnote>
  <w:footnote w:id="153">
    <w:p w14:paraId="3C31600C" w14:textId="0526D468"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Raportul privind executarea bugetului asigurărilor sociale de stat la situația din 1 ianuarie 2024 (Formularul nr.4 CNAS).</w:t>
      </w:r>
    </w:p>
  </w:footnote>
  <w:footnote w:id="154">
    <w:p w14:paraId="4D3E6E12" w14:textId="580F4401"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Anexa nr.1 la Legea nr. 489 din 08.07.1999 privind sistemul public de asigurări sociale. </w:t>
      </w:r>
    </w:p>
  </w:footnote>
  <w:footnote w:id="155">
    <w:p w14:paraId="6F118DD7" w14:textId="77777777" w:rsidR="006A6EDC" w:rsidRPr="005B7D3E" w:rsidRDefault="006A6EDC" w:rsidP="005B7D3E">
      <w:pPr>
        <w:pStyle w:val="a3"/>
        <w:jc w:val="both"/>
        <w:rPr>
          <w:rFonts w:ascii="Times New Roman" w:hAnsi="Times New Roman" w:cs="Times New Roman"/>
          <w:sz w:val="16"/>
          <w:szCs w:val="16"/>
          <w:lang w:val="ro-MD"/>
        </w:rPr>
      </w:pPr>
      <w:r w:rsidRPr="005B7D3E">
        <w:rPr>
          <w:rFonts w:ascii="Times New Roman" w:hAnsi="Times New Roman" w:cs="Times New Roman"/>
          <w:sz w:val="16"/>
          <w:szCs w:val="16"/>
          <w:vertAlign w:val="superscript"/>
          <w:lang w:val="ro-MD"/>
        </w:rPr>
        <w:footnoteRef/>
      </w:r>
      <w:r w:rsidRPr="005B7D3E">
        <w:rPr>
          <w:rFonts w:ascii="Times New Roman" w:hAnsi="Times New Roman" w:cs="Times New Roman"/>
          <w:sz w:val="16"/>
          <w:szCs w:val="16"/>
          <w:lang w:val="ro-MD"/>
        </w:rPr>
        <w:t xml:space="preserve"> Art.3 alin.(1) din Legea bugetului asigurărilor sociale de stat pe anul 2023 nr. 357 din 22.12.2022.</w:t>
      </w:r>
    </w:p>
  </w:footnote>
  <w:footnote w:id="156">
    <w:p w14:paraId="0F7B6120"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Art.3 alin.(3) din Legea bugetului asigurărilor sociale de stat pe anul 2023 nr.357 din 22.12.2022.</w:t>
      </w:r>
    </w:p>
  </w:footnote>
  <w:footnote w:id="157">
    <w:p w14:paraId="0B49D162"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Raportul privind executarea bugetului asigurărilor sociale de stat la situația de 1 ianuarie 2024 (Formularul nr.4 CNAS).</w:t>
      </w:r>
    </w:p>
  </w:footnote>
  <w:footnote w:id="158">
    <w:p w14:paraId="29F25E64"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Raportul privind executarea bugetului asigurărilor sociale de stat la situația de 1 ianuarie 2024 (Formularul nr.4 CNAS).</w:t>
      </w:r>
    </w:p>
  </w:footnote>
  <w:footnote w:id="159">
    <w:p w14:paraId="521BE83C" w14:textId="1DB96085" w:rsidR="006A6EDC" w:rsidRPr="005B7D3E" w:rsidRDefault="006A6EDC" w:rsidP="005B7D3E">
      <w:pPr>
        <w:pStyle w:val="tt"/>
        <w:jc w:val="both"/>
        <w:rPr>
          <w:sz w:val="16"/>
          <w:szCs w:val="16"/>
          <w:lang w:val="ro-MD"/>
        </w:rPr>
      </w:pPr>
      <w:r w:rsidRPr="005B7D3E">
        <w:rPr>
          <w:rStyle w:val="a5"/>
          <w:b w:val="0"/>
          <w:sz w:val="16"/>
          <w:szCs w:val="16"/>
          <w:lang w:val="ro-MD"/>
        </w:rPr>
        <w:footnoteRef/>
      </w:r>
      <w:r w:rsidRPr="005B7D3E">
        <w:rPr>
          <w:b w:val="0"/>
          <w:sz w:val="16"/>
          <w:szCs w:val="16"/>
          <w:lang w:val="ro-MD"/>
        </w:rPr>
        <w:t xml:space="preserve"> HG nr.938 din 28.12.2022 „Pentru modificarea anexei nr. 1 la Regulamentul cu privire la modul de stabilire şi plată a indemnizațiilor adresate familiilor cu copii, </w:t>
      </w:r>
      <w:r w:rsidRPr="005B7D3E">
        <w:rPr>
          <w:b w:val="0"/>
          <w:sz w:val="16"/>
          <w:szCs w:val="16"/>
          <w:lang w:val="ro-MD" w:eastAsia="en-US"/>
        </w:rPr>
        <w:t xml:space="preserve">aprobat </w:t>
      </w:r>
      <w:r w:rsidRPr="005B7D3E">
        <w:rPr>
          <w:b w:val="0"/>
          <w:sz w:val="16"/>
          <w:szCs w:val="16"/>
          <w:lang w:val="ro-MD"/>
        </w:rPr>
        <w:t>prin Hotărârea Guvernului nr.1478/2002”.</w:t>
      </w:r>
    </w:p>
  </w:footnote>
  <w:footnote w:id="160">
    <w:p w14:paraId="03D464A5"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Anexa nr. 3 la HG 165 din 21.03.2017 pentru aprobarea Regulamentului privind modalitatea  de calculare a pensiilor și modalitatea de confirmare a stagiului de cotizare pentru stabilirea pensiilor, coeficienți aplicați de la 01.04.2024</w:t>
      </w:r>
    </w:p>
  </w:footnote>
  <w:footnote w:id="161">
    <w:p w14:paraId="0625B090" w14:textId="77777777"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www.statistica.md</w:t>
      </w:r>
    </w:p>
  </w:footnote>
  <w:footnote w:id="162">
    <w:p w14:paraId="6EF334A4" w14:textId="77777777" w:rsidR="006A6EDC" w:rsidRPr="005B7D3E" w:rsidRDefault="006A6EDC" w:rsidP="005B7D3E">
      <w:pPr>
        <w:pStyle w:val="a3"/>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Anexa nr. 5 la HG 165 din 21.03.2017 pentru aprobarea Regulamentului privind modalitatea  de calculare a pensiilor și modalitatea de confirmare a stagiului de cotizare pentru stabilirea pensiilor, coeficienți aplicați de la 01.04.2024</w:t>
      </w:r>
    </w:p>
  </w:footnote>
  <w:footnote w:id="163">
    <w:p w14:paraId="0337577E" w14:textId="77777777" w:rsidR="006A6EDC" w:rsidRPr="005B7D3E" w:rsidRDefault="006A6EDC" w:rsidP="005B7D3E">
      <w:pPr>
        <w:spacing w:after="0"/>
        <w:jc w:val="both"/>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Art. 13 din Legea 156 din 14.10.1998 privind reglementarea sistemului de pensii; HG nr.148 din 22.03.2023; HG nr. 197 din 23.03.2022; Legea nr.27 din 12.03.2021 pentru modificarea unor acte normative, art. IV, pct.3; HG nr. 162 din 08.09.2021; </w:t>
      </w:r>
      <w:r w:rsidRPr="005B7D3E">
        <w:rPr>
          <w:rFonts w:ascii="Times New Roman" w:eastAsia="Times New Roman" w:hAnsi="Times New Roman" w:cs="Times New Roman"/>
          <w:sz w:val="16"/>
          <w:szCs w:val="16"/>
          <w:lang w:val="ro-MD"/>
        </w:rPr>
        <w:t>HG nr.165 din 11-03-2020</w:t>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HG nr.660 din 03.09.2020</w:t>
      </w:r>
      <w:r w:rsidRPr="005B7D3E">
        <w:rPr>
          <w:rFonts w:ascii="Times New Roman" w:hAnsi="Times New Roman" w:cs="Times New Roman"/>
          <w:sz w:val="16"/>
          <w:szCs w:val="16"/>
          <w:lang w:val="ro-MD"/>
        </w:rPr>
        <w:t xml:space="preserve">; HG nr. 186 din 15.03.2019; HG nr. 237 din 21.03.2018; </w:t>
      </w:r>
      <w:r w:rsidRPr="005B7D3E">
        <w:rPr>
          <w:rFonts w:ascii="Times New Roman" w:hAnsi="Times New Roman" w:cs="Times New Roman"/>
          <w:sz w:val="16"/>
          <w:szCs w:val="16"/>
          <w:shd w:val="clear" w:color="auto" w:fill="FFFFFF"/>
          <w:lang w:val="ro-MD"/>
        </w:rPr>
        <w:t>HG nr. 154 din 15.03.17</w:t>
      </w:r>
      <w:r w:rsidRPr="005B7D3E">
        <w:rPr>
          <w:rFonts w:ascii="Times New Roman" w:hAnsi="Times New Roman" w:cs="Times New Roman"/>
          <w:sz w:val="16"/>
          <w:szCs w:val="16"/>
          <w:lang w:val="ro-MD"/>
        </w:rPr>
        <w:t xml:space="preserve">; HG nr. 293 din 14.03.2016; </w:t>
      </w:r>
      <w:r w:rsidRPr="005B7D3E">
        <w:rPr>
          <w:rFonts w:ascii="Times New Roman" w:hAnsi="Times New Roman" w:cs="Times New Roman"/>
          <w:sz w:val="16"/>
          <w:szCs w:val="16"/>
          <w:shd w:val="clear" w:color="auto" w:fill="FFFFFF"/>
          <w:lang w:val="ro-MD"/>
        </w:rPr>
        <w:t xml:space="preserve">HG nr. 61 din 06.03.2015; </w:t>
      </w:r>
      <w:r w:rsidRPr="005B7D3E">
        <w:rPr>
          <w:rFonts w:ascii="Times New Roman" w:hAnsi="Times New Roman" w:cs="Times New Roman"/>
          <w:sz w:val="16"/>
          <w:szCs w:val="16"/>
          <w:lang w:val="ro-MD"/>
        </w:rPr>
        <w:t xml:space="preserve">HG nr. 170 din 12-03-2014; </w:t>
      </w:r>
      <w:r w:rsidRPr="005B7D3E">
        <w:rPr>
          <w:rFonts w:ascii="Times New Roman" w:hAnsi="Times New Roman" w:cs="Times New Roman"/>
          <w:sz w:val="16"/>
          <w:szCs w:val="16"/>
          <w:shd w:val="clear" w:color="auto" w:fill="FFFFFF"/>
          <w:lang w:val="ro-MD"/>
        </w:rPr>
        <w:t>HG nr. 177 din 07.03.2013</w:t>
      </w:r>
      <w:r w:rsidRPr="005B7D3E">
        <w:rPr>
          <w:rFonts w:ascii="Times New Roman" w:hAnsi="Times New Roman" w:cs="Times New Roman"/>
          <w:sz w:val="16"/>
          <w:szCs w:val="16"/>
          <w:lang w:val="ro-MD"/>
        </w:rPr>
        <w:t xml:space="preserve">; </w:t>
      </w:r>
      <w:r w:rsidRPr="005B7D3E">
        <w:rPr>
          <w:rFonts w:ascii="Times New Roman" w:hAnsi="Times New Roman" w:cs="Times New Roman"/>
          <w:sz w:val="16"/>
          <w:szCs w:val="16"/>
          <w:shd w:val="clear" w:color="auto" w:fill="FFFFFF"/>
          <w:lang w:val="ro-MD"/>
        </w:rPr>
        <w:t>HG nr.157 din 12.03.2012</w:t>
      </w:r>
      <w:r w:rsidRPr="005B7D3E">
        <w:rPr>
          <w:rFonts w:ascii="Times New Roman" w:hAnsi="Times New Roman" w:cs="Times New Roman"/>
          <w:sz w:val="16"/>
          <w:szCs w:val="16"/>
          <w:lang w:val="ro-MD"/>
        </w:rPr>
        <w:t>; HG nr. 150 din 14.03.2011; HG nr. 202 din 19.03.2010; HG nr.197 din 10.03.2009; HG nr.316 din 17.03.2008; HG nr.325 din 21.03.2007; HG nr.297 din 21.03.2006; HG nr.291 din 17.03.2005; HG nr.278 din 22.03.2004; HG nr.570 din 15.05.2003</w:t>
      </w:r>
    </w:p>
    <w:p w14:paraId="7D241D10" w14:textId="77777777" w:rsidR="006A6EDC" w:rsidRPr="005B7D3E" w:rsidRDefault="006A6EDC" w:rsidP="005B7D3E">
      <w:pPr>
        <w:pStyle w:val="a3"/>
        <w:rPr>
          <w:rFonts w:ascii="Times New Roman" w:hAnsi="Times New Roman" w:cs="Times New Roman"/>
          <w:sz w:val="16"/>
          <w:szCs w:val="16"/>
          <w:lang w:val="ro-MD"/>
        </w:rPr>
      </w:pPr>
    </w:p>
  </w:footnote>
  <w:footnote w:id="164">
    <w:p w14:paraId="5F4BFEB2" w14:textId="77777777" w:rsidR="006A6EDC" w:rsidRPr="005B7D3E" w:rsidRDefault="006A6EDC" w:rsidP="005B7D3E">
      <w:pPr>
        <w:pStyle w:val="a3"/>
        <w:rPr>
          <w:rFonts w:ascii="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Creanțele au fost aprobate în primă instanță, ulterior creditorii își pot contesta creanțele, precum pot înainta repunerea în termen a unor creanțe.</w:t>
      </w:r>
    </w:p>
  </w:footnote>
  <w:footnote w:id="165">
    <w:p w14:paraId="0176EB14" w14:textId="77777777" w:rsidR="006A6EDC" w:rsidRPr="005B7D3E" w:rsidRDefault="006A6EDC" w:rsidP="005B7D3E">
      <w:pPr>
        <w:spacing w:after="0"/>
        <w:jc w:val="both"/>
        <w:rPr>
          <w:rFonts w:ascii="Times New Roman" w:eastAsia="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A deținut bunuri gajate în folosul instituției financiare</w:t>
      </w:r>
    </w:p>
  </w:footnote>
  <w:footnote w:id="166">
    <w:p w14:paraId="4A250DC5" w14:textId="77777777" w:rsidR="006A6EDC" w:rsidRPr="005B7D3E" w:rsidRDefault="006A6EDC" w:rsidP="005B7D3E">
      <w:pPr>
        <w:spacing w:after="0"/>
        <w:jc w:val="both"/>
        <w:rPr>
          <w:rFonts w:ascii="Times New Roman" w:eastAsia="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D</w:t>
      </w:r>
      <w:r w:rsidRPr="005B7D3E">
        <w:rPr>
          <w:rFonts w:ascii="Times New Roman" w:eastAsia="Times New Roman" w:hAnsi="Times New Roman" w:cs="Times New Roman"/>
          <w:sz w:val="16"/>
          <w:szCs w:val="16"/>
          <w:lang w:val="ro-MD"/>
        </w:rPr>
        <w:t xml:space="preserve">ebitorul deține în masa debitoare bunuri mobile colecție de vinuri, evaluate la prețul 15 357 315 lei și bunuri mobile (metal uzat) care nu a fost evaluate. </w:t>
      </w:r>
    </w:p>
  </w:footnote>
  <w:footnote w:id="167">
    <w:p w14:paraId="0A8E1E8E" w14:textId="77777777" w:rsidR="006A6EDC" w:rsidRPr="005B7D3E" w:rsidRDefault="006A6EDC" w:rsidP="005B7D3E">
      <w:pPr>
        <w:spacing w:after="0"/>
        <w:jc w:val="both"/>
        <w:rPr>
          <w:rFonts w:ascii="Times New Roman" w:eastAsia="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 xml:space="preserve">Dispune de masă debitoare care nu a fost evaluată </w:t>
      </w:r>
    </w:p>
  </w:footnote>
  <w:footnote w:id="168">
    <w:p w14:paraId="0936E051" w14:textId="77777777" w:rsidR="006A6EDC" w:rsidRPr="005B7D3E" w:rsidRDefault="006A6EDC" w:rsidP="005B7D3E">
      <w:pPr>
        <w:spacing w:after="0"/>
        <w:jc w:val="both"/>
        <w:rPr>
          <w:rFonts w:ascii="Times New Roman" w:eastAsia="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Potrivit raportului administratorului insolvabilității, debitorul dispune de 4 bunuri mobile înregistrate care nu au fost identificate Ural 375D, Zil 45024, Vaz 21093, Zil MMZ 555. La fel, dispune și de bunuri imobile construcție cu nr. cadastral 0100205.266.02 și două încăperi, cu nr. cadastrale 0100205.266.02.002 și 0100205.266.02.003, care nu au fost evaluate.</w:t>
      </w:r>
    </w:p>
  </w:footnote>
  <w:footnote w:id="169">
    <w:p w14:paraId="194835C8" w14:textId="77777777" w:rsidR="006A6EDC" w:rsidRPr="005B7D3E" w:rsidRDefault="006A6EDC" w:rsidP="005B7D3E">
      <w:pPr>
        <w:spacing w:after="0"/>
        <w:jc w:val="both"/>
        <w:rPr>
          <w:rFonts w:ascii="Times New Roman" w:eastAsia="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 xml:space="preserve">excavatorul, camion ZIL 157, bun. imobil, apartament 3 odăi, bun. imobil, apartament 2 odăi, bunurile imobile, două construcții, 13 sonde artizanie (în complex cu echipament electric și pompe.) </w:t>
      </w:r>
    </w:p>
  </w:footnote>
  <w:footnote w:id="170">
    <w:p w14:paraId="0243EF89" w14:textId="77777777" w:rsidR="006A6EDC" w:rsidRPr="005B7D3E" w:rsidRDefault="006A6EDC" w:rsidP="005B7D3E">
      <w:pPr>
        <w:spacing w:after="0"/>
        <w:jc w:val="both"/>
        <w:rPr>
          <w:rFonts w:ascii="Times New Roman" w:eastAsia="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În urma valorificării masei debitoare, debitorul a achitat suma de 1 414 000 lei în contul stingerii creanței chirografare de rangul III a SFS, iar creanțele chirografare de rangul II au fost stinse integral. Totodată, la data de 16.11.2018 lichidatorul CAP ”Bacii” dna Anna Maz</w:t>
      </w:r>
      <w:r w:rsidRPr="005B7D3E">
        <w:rPr>
          <w:rFonts w:ascii="Times New Roman" w:eastAsia="Times New Roman" w:hAnsi="Times New Roman" w:cs="Times New Roman"/>
          <w:color w:val="000000"/>
          <w:sz w:val="16"/>
          <w:szCs w:val="16"/>
          <w:lang w:val="ro-MD"/>
        </w:rPr>
        <w:t>ur a înaintat la Judecătoria Chișinău, sediul Centru cererea de chemare în judecată privind recunoașterea dreptului de proprietate asupra bunurilor imobile amplasate în mun. Chișinău, com. Băcioi, str. Chișinăului, 39 (în examinare).</w:t>
      </w:r>
    </w:p>
  </w:footnote>
  <w:footnote w:id="171">
    <w:p w14:paraId="0348FEE4" w14:textId="77777777" w:rsidR="006A6EDC" w:rsidRPr="005B7D3E" w:rsidRDefault="006A6EDC" w:rsidP="005B7D3E">
      <w:pPr>
        <w:spacing w:after="0"/>
        <w:jc w:val="both"/>
        <w:rPr>
          <w:rFonts w:ascii="Times New Roman" w:eastAsia="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 xml:space="preserve">Masa debitoare constă din 15 unități de transport în valoare de 336,3 mii lei, 2 construcții în valoare de 2013,5 mii lei, bunuri materiale și obiecte de mică valoare în sumă de 3677,4 mii lei, mijloace fixe din secțiile de producere în valoare de 15634,1 mii lei. Derulează procedura de valorificare a masei debitoare, iar mijloacele bănești obținute vor fi îndreptate la stingerea obligațiilor curente. </w:t>
      </w:r>
    </w:p>
  </w:footnote>
  <w:footnote w:id="172">
    <w:p w14:paraId="22671313" w14:textId="77777777" w:rsidR="006A6EDC" w:rsidRPr="005B7D3E" w:rsidRDefault="006A6EDC" w:rsidP="005B7D3E">
      <w:pPr>
        <w:spacing w:after="0"/>
        <w:jc w:val="both"/>
        <w:rPr>
          <w:rFonts w:ascii="Times New Roman" w:eastAsia="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dispune de masă debitoare care nu a fost evaluată</w:t>
      </w:r>
    </w:p>
  </w:footnote>
  <w:footnote w:id="173">
    <w:p w14:paraId="67538AC0" w14:textId="77777777" w:rsidR="006A6EDC" w:rsidRPr="005B7D3E" w:rsidRDefault="006A6EDC" w:rsidP="005B7D3E">
      <w:pPr>
        <w:spacing w:after="0"/>
        <w:jc w:val="both"/>
        <w:rPr>
          <w:rFonts w:ascii="Times New Roman" w:eastAsia="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potrivit raportului lichidatorului, au fost depistate 2 835 bunuri mobile, care la moment sunt supuse evaluării</w:t>
      </w:r>
    </w:p>
  </w:footnote>
  <w:footnote w:id="174">
    <w:p w14:paraId="0AFECB8F" w14:textId="77777777" w:rsidR="006A6EDC" w:rsidRPr="005B7D3E" w:rsidRDefault="006A6EDC" w:rsidP="005B7D3E">
      <w:pPr>
        <w:spacing w:after="0"/>
        <w:jc w:val="both"/>
        <w:rPr>
          <w:rFonts w:ascii="Times New Roman" w:eastAsia="Times New Roman" w:hAnsi="Times New Roman" w:cs="Times New Roman"/>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sz w:val="16"/>
          <w:szCs w:val="16"/>
          <w:lang w:val="ro-MD"/>
        </w:rPr>
        <w:t xml:space="preserve">Deține apeduct, 7 km. 22 km. drumuri asfaltate, construcție cu nr. cadastral 8723203.251.01, construcție nr. cadastral  8723203.065.01, construcție  cu teren nr. cadastral 8723206.230, 8723206.230.01, construcția agricole cu nr. cad. 23106.029.01, 02, 03 , construcția comerciale nr. cad. 8723203.040.01 teren nr. cad. 8723203.040, 2 cântărilor pe 10 tone cu construcția.    </w:t>
      </w:r>
    </w:p>
  </w:footnote>
  <w:footnote w:id="175">
    <w:p w14:paraId="6BD3DE53" w14:textId="77777777" w:rsidR="006A6EDC" w:rsidRPr="005B7D3E" w:rsidRDefault="006A6EDC" w:rsidP="005B7D3E">
      <w:pPr>
        <w:spacing w:after="0"/>
        <w:jc w:val="both"/>
        <w:rPr>
          <w:rFonts w:ascii="Times New Roman" w:eastAsia="Times New Roman" w:hAnsi="Times New Roman" w:cs="Times New Roman"/>
          <w:color w:val="000000"/>
          <w:sz w:val="16"/>
          <w:szCs w:val="16"/>
          <w:lang w:val="ro-MD"/>
        </w:rPr>
      </w:pPr>
      <w:r w:rsidRPr="005B7D3E">
        <w:rPr>
          <w:rStyle w:val="a5"/>
          <w:rFonts w:ascii="Times New Roman" w:hAnsi="Times New Roman" w:cs="Times New Roman"/>
          <w:sz w:val="16"/>
          <w:szCs w:val="16"/>
          <w:lang w:val="ro-MD"/>
        </w:rPr>
        <w:footnoteRef/>
      </w:r>
      <w:r w:rsidRPr="005B7D3E">
        <w:rPr>
          <w:rFonts w:ascii="Times New Roman" w:hAnsi="Times New Roman" w:cs="Times New Roman"/>
          <w:sz w:val="16"/>
          <w:szCs w:val="16"/>
          <w:lang w:val="ro-MD"/>
        </w:rPr>
        <w:t xml:space="preserve"> </w:t>
      </w:r>
      <w:r w:rsidRPr="005B7D3E">
        <w:rPr>
          <w:rFonts w:ascii="Times New Roman" w:eastAsia="Times New Roman" w:hAnsi="Times New Roman" w:cs="Times New Roman"/>
          <w:color w:val="000000"/>
          <w:sz w:val="16"/>
          <w:szCs w:val="16"/>
          <w:lang w:val="ro-MD"/>
        </w:rPr>
        <w:t>La data de 04.05.2018, Serviciul Fiscal de Stat a înaintat cererea de chemare în judecată privind anularea actelor juridice, și anume a tranzacției încheiate la 28.10.2014 între SRL ,,Geamtal” în calitate de debitor și SRL ”Oligor-Prim” în calitate de creditor, a proceselor verbale de conciliere a părților din 31.10.2014, întocmite de executorul judecătoresc Bodrug Augustin în baza cărora SRL ,,Geamtal” a transmis în proprietatea SRL ”Oligor-Prim” bunuri imobile și mobile asupra cărora anterior au fost aplicate interdicții de către executorul judecătoresc Gurgurov Rodica din 23.01.2012, în vederea asigurării stingerii restanței față de bugetul public național.</w:t>
      </w:r>
    </w:p>
    <w:p w14:paraId="3A050AE4" w14:textId="77777777" w:rsidR="006A6EDC" w:rsidRPr="005B7D3E" w:rsidRDefault="006A6EDC" w:rsidP="005B7D3E">
      <w:pPr>
        <w:spacing w:after="0" w:line="240" w:lineRule="auto"/>
        <w:rPr>
          <w:rFonts w:ascii="Times New Roman" w:eastAsia="Times New Roman" w:hAnsi="Times New Roman" w:cs="Times New Roman"/>
          <w:color w:val="000000"/>
          <w:sz w:val="16"/>
          <w:szCs w:val="16"/>
          <w:lang w:val="ro-MD"/>
        </w:rPr>
      </w:pPr>
      <w:r w:rsidRPr="005B7D3E">
        <w:rPr>
          <w:rFonts w:ascii="Times New Roman" w:hAnsi="Times New Roman" w:cs="Times New Roman"/>
          <w:b/>
          <w:i/>
          <w:sz w:val="16"/>
          <w:szCs w:val="16"/>
          <w:lang w:val="ro-MD"/>
        </w:rPr>
        <w:t>*Notă:</w:t>
      </w:r>
      <w:r w:rsidRPr="005B7D3E">
        <w:rPr>
          <w:rFonts w:ascii="Times New Roman" w:hAnsi="Times New Roman" w:cs="Times New Roman"/>
          <w:sz w:val="16"/>
          <w:szCs w:val="16"/>
          <w:lang w:val="ro-MD"/>
        </w:rPr>
        <w:t xml:space="preserve"> pentru agenții economici: </w:t>
      </w:r>
      <w:r w:rsidRPr="005B7D3E">
        <w:rPr>
          <w:rFonts w:ascii="Times New Roman" w:eastAsia="Times New Roman" w:hAnsi="Times New Roman" w:cs="Times New Roman"/>
          <w:color w:val="000000"/>
          <w:sz w:val="16"/>
          <w:szCs w:val="16"/>
          <w:lang w:val="ro-MD"/>
        </w:rPr>
        <w:t>SRL DAGL CONSTRUCT, SC VILA DEMETRA SRL, ANCHIR S.A, CLUBUL SPORTIV DACIA, SC VECTRO GRUP SRL, CA AIR MOLDOVA SRL, SA VITIS-HINCESTI, FAMILY TAXI S.R.L, MOLDOVAHIDROMAS SA nu a fost stabilită sau a fost stabilită parțial masa debitoare.</w:t>
      </w:r>
    </w:p>
    <w:p w14:paraId="6E7FA6AA" w14:textId="77777777" w:rsidR="006A6EDC" w:rsidRPr="005B7D3E" w:rsidRDefault="006A6EDC" w:rsidP="005B7D3E">
      <w:pPr>
        <w:spacing w:after="0"/>
        <w:jc w:val="both"/>
        <w:rPr>
          <w:rFonts w:ascii="Times New Roman" w:hAnsi="Times New Roman" w:cs="Times New Roman"/>
          <w:sz w:val="16"/>
          <w:szCs w:val="16"/>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9F7"/>
    <w:multiLevelType w:val="hybridMultilevel"/>
    <w:tmpl w:val="1E502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A3CAC"/>
    <w:multiLevelType w:val="hybridMultilevel"/>
    <w:tmpl w:val="2C7CDEE2"/>
    <w:lvl w:ilvl="0" w:tplc="27D45B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F31"/>
    <w:multiLevelType w:val="hybridMultilevel"/>
    <w:tmpl w:val="ED94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0B4"/>
    <w:multiLevelType w:val="hybridMultilevel"/>
    <w:tmpl w:val="0DB8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33962"/>
    <w:multiLevelType w:val="hybridMultilevel"/>
    <w:tmpl w:val="42201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630E2"/>
    <w:multiLevelType w:val="hybridMultilevel"/>
    <w:tmpl w:val="2C7CDEE2"/>
    <w:lvl w:ilvl="0" w:tplc="27D45B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E298A"/>
    <w:multiLevelType w:val="hybridMultilevel"/>
    <w:tmpl w:val="7736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42F"/>
    <w:multiLevelType w:val="hybridMultilevel"/>
    <w:tmpl w:val="58AC5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937F8"/>
    <w:multiLevelType w:val="multilevel"/>
    <w:tmpl w:val="EBE8DE7E"/>
    <w:lvl w:ilvl="0">
      <w:start w:val="1"/>
      <w:numFmt w:val="upperRoman"/>
      <w:lvlText w:val="%1."/>
      <w:lvlJc w:val="left"/>
      <w:pPr>
        <w:ind w:left="720" w:hanging="720"/>
      </w:pPr>
      <w:rPr>
        <w:rFonts w:ascii="Times New Roman" w:hAnsi="Times New Roman" w:cs="Times New Roman" w:hint="default"/>
        <w:b/>
      </w:rPr>
    </w:lvl>
    <w:lvl w:ilvl="1">
      <w:start w:val="1"/>
      <w:numFmt w:val="decimal"/>
      <w:isLgl/>
      <w:lvlText w:val="%1.%2."/>
      <w:lvlJc w:val="left"/>
      <w:pPr>
        <w:ind w:left="604" w:hanging="396"/>
      </w:pPr>
      <w:rPr>
        <w:rFonts w:ascii="Times New Roman" w:hAnsi="Times New Roman" w:cs="Times New Roman" w:hint="default"/>
        <w:b/>
        <w:color w:val="auto"/>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FF8020B"/>
    <w:multiLevelType w:val="hybridMultilevel"/>
    <w:tmpl w:val="671AE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24CA0"/>
    <w:multiLevelType w:val="hybridMultilevel"/>
    <w:tmpl w:val="CD861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34B1F"/>
    <w:multiLevelType w:val="hybridMultilevel"/>
    <w:tmpl w:val="CA6C47AA"/>
    <w:lvl w:ilvl="0" w:tplc="D700A4CC">
      <w:start w:val="1"/>
      <w:numFmt w:val="bullet"/>
      <w:lvlText w:val=""/>
      <w:lvlJc w:val="left"/>
      <w:pPr>
        <w:ind w:left="1500" w:hanging="360"/>
      </w:pPr>
      <w:rPr>
        <w:rFonts w:ascii="Wingdings" w:hAnsi="Wingdings" w:hint="default"/>
        <w:b w:val="0"/>
        <w:color w:val="auto"/>
        <w:sz w:val="36"/>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6633723"/>
    <w:multiLevelType w:val="hybridMultilevel"/>
    <w:tmpl w:val="0B8A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96D7C"/>
    <w:multiLevelType w:val="multilevel"/>
    <w:tmpl w:val="6D7C95A6"/>
    <w:lvl w:ilvl="0">
      <w:start w:val="1"/>
      <w:numFmt w:val="upperRoman"/>
      <w:pStyle w:val="1"/>
      <w:lvlText w:val="%1."/>
      <w:lvlJc w:val="left"/>
      <w:pPr>
        <w:ind w:left="5606" w:hanging="360"/>
      </w:pPr>
      <w:rPr>
        <w:rFonts w:asciiTheme="majorHAnsi" w:hAnsiTheme="majorHAnsi" w:cstheme="majorHAnsi" w:hint="default"/>
        <w:b/>
        <w:i w:val="0"/>
        <w:iCs w:val="0"/>
        <w:caps w:val="0"/>
        <w:smallCaps w:val="0"/>
        <w:strike w:val="0"/>
        <w:dstrike w:val="0"/>
        <w:noProof w:val="0"/>
        <w:vanish w:val="0"/>
        <w:color w:val="000000"/>
        <w:spacing w:val="0"/>
        <w:kern w:val="0"/>
        <w:position w:val="0"/>
        <w:sz w:val="28"/>
        <w:szCs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50" w:hanging="576"/>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38" w:hanging="864"/>
      </w:pPr>
      <w:rPr>
        <w:rFonts w:hint="default"/>
      </w:rPr>
    </w:lvl>
    <w:lvl w:ilvl="4">
      <w:start w:val="1"/>
      <w:numFmt w:val="decimal"/>
      <w:pStyle w:val="5"/>
      <w:lvlText w:val="%1.%2.%3.%4.%5"/>
      <w:lvlJc w:val="left"/>
      <w:pPr>
        <w:ind w:left="582" w:hanging="1008"/>
      </w:pPr>
      <w:rPr>
        <w:rFonts w:hint="default"/>
      </w:rPr>
    </w:lvl>
    <w:lvl w:ilvl="5">
      <w:start w:val="1"/>
      <w:numFmt w:val="decimal"/>
      <w:pStyle w:val="6"/>
      <w:lvlText w:val="%1.%2.%3.%4.%5.%6"/>
      <w:lvlJc w:val="left"/>
      <w:pPr>
        <w:ind w:left="726" w:hanging="1152"/>
      </w:pPr>
      <w:rPr>
        <w:rFonts w:hint="default"/>
      </w:rPr>
    </w:lvl>
    <w:lvl w:ilvl="6">
      <w:start w:val="1"/>
      <w:numFmt w:val="decimal"/>
      <w:pStyle w:val="7"/>
      <w:lvlText w:val="%1.%2.%3.%4.%5.%6.%7"/>
      <w:lvlJc w:val="left"/>
      <w:pPr>
        <w:ind w:left="870" w:hanging="1296"/>
      </w:pPr>
      <w:rPr>
        <w:rFonts w:hint="default"/>
      </w:rPr>
    </w:lvl>
    <w:lvl w:ilvl="7">
      <w:start w:val="1"/>
      <w:numFmt w:val="decimal"/>
      <w:pStyle w:val="8"/>
      <w:lvlText w:val="%1.%2.%3.%4.%5.%6.%7.%8"/>
      <w:lvlJc w:val="left"/>
      <w:pPr>
        <w:ind w:left="1014" w:hanging="1440"/>
      </w:pPr>
      <w:rPr>
        <w:rFonts w:hint="default"/>
      </w:rPr>
    </w:lvl>
    <w:lvl w:ilvl="8">
      <w:start w:val="1"/>
      <w:numFmt w:val="decimal"/>
      <w:pStyle w:val="9"/>
      <w:lvlText w:val="%1.%2.%3.%4.%5.%6.%7.%8.%9"/>
      <w:lvlJc w:val="left"/>
      <w:pPr>
        <w:ind w:left="1158" w:hanging="1584"/>
      </w:pPr>
      <w:rPr>
        <w:rFonts w:hint="default"/>
      </w:rPr>
    </w:lvl>
  </w:abstractNum>
  <w:abstractNum w:abstractNumId="14" w15:restartNumberingAfterBreak="0">
    <w:nsid w:val="4A224880"/>
    <w:multiLevelType w:val="hybridMultilevel"/>
    <w:tmpl w:val="51D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37621"/>
    <w:multiLevelType w:val="multilevel"/>
    <w:tmpl w:val="309415E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0902E9F"/>
    <w:multiLevelType w:val="hybridMultilevel"/>
    <w:tmpl w:val="A2A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059B6"/>
    <w:multiLevelType w:val="hybridMultilevel"/>
    <w:tmpl w:val="EEA0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C47E4"/>
    <w:multiLevelType w:val="hybridMultilevel"/>
    <w:tmpl w:val="9352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B2B9E"/>
    <w:multiLevelType w:val="hybridMultilevel"/>
    <w:tmpl w:val="2C7CDEE2"/>
    <w:lvl w:ilvl="0" w:tplc="27D45B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04B57"/>
    <w:multiLevelType w:val="hybridMultilevel"/>
    <w:tmpl w:val="2C7CDEE2"/>
    <w:lvl w:ilvl="0" w:tplc="27D45B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D64E4"/>
    <w:multiLevelType w:val="hybridMultilevel"/>
    <w:tmpl w:val="B6F2D25E"/>
    <w:lvl w:ilvl="0" w:tplc="D9005050">
      <w:start w:val="1"/>
      <w:numFmt w:val="bullet"/>
      <w:lvlText w:val=""/>
      <w:lvlJc w:val="left"/>
      <w:pPr>
        <w:ind w:left="1590" w:hanging="360"/>
      </w:pPr>
      <w:rPr>
        <w:rFonts w:ascii="Wingdings" w:hAnsi="Wingdings" w:hint="default"/>
        <w:b/>
        <w:color w:val="0070C0"/>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2" w15:restartNumberingAfterBreak="0">
    <w:nsid w:val="73E85AF6"/>
    <w:multiLevelType w:val="hybridMultilevel"/>
    <w:tmpl w:val="AAB8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A01F6"/>
    <w:multiLevelType w:val="hybridMultilevel"/>
    <w:tmpl w:val="DC7E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20"/>
  </w:num>
  <w:num w:numId="5">
    <w:abstractNumId w:val="6"/>
  </w:num>
  <w:num w:numId="6">
    <w:abstractNumId w:val="3"/>
  </w:num>
  <w:num w:numId="7">
    <w:abstractNumId w:val="10"/>
  </w:num>
  <w:num w:numId="8">
    <w:abstractNumId w:val="21"/>
  </w:num>
  <w:num w:numId="9">
    <w:abstractNumId w:val="14"/>
  </w:num>
  <w:num w:numId="10">
    <w:abstractNumId w:val="9"/>
  </w:num>
  <w:num w:numId="11">
    <w:abstractNumId w:val="4"/>
  </w:num>
  <w:num w:numId="12">
    <w:abstractNumId w:val="17"/>
  </w:num>
  <w:num w:numId="13">
    <w:abstractNumId w:val="7"/>
  </w:num>
  <w:num w:numId="14">
    <w:abstractNumId w:val="2"/>
  </w:num>
  <w:num w:numId="15">
    <w:abstractNumId w:val="12"/>
  </w:num>
  <w:num w:numId="16">
    <w:abstractNumId w:val="15"/>
  </w:num>
  <w:num w:numId="17">
    <w:abstractNumId w:val="19"/>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 w:numId="22">
    <w:abstractNumId w:val="23"/>
  </w:num>
  <w:num w:numId="23">
    <w:abstractNumId w:val="5"/>
  </w:num>
  <w:num w:numId="24">
    <w:abstractNumId w:val="18"/>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5"/>
    <w:rsid w:val="000017AA"/>
    <w:rsid w:val="0000193C"/>
    <w:rsid w:val="00001EE9"/>
    <w:rsid w:val="00002967"/>
    <w:rsid w:val="00004C4B"/>
    <w:rsid w:val="00004F79"/>
    <w:rsid w:val="00005327"/>
    <w:rsid w:val="00007224"/>
    <w:rsid w:val="00010147"/>
    <w:rsid w:val="00010189"/>
    <w:rsid w:val="0001097D"/>
    <w:rsid w:val="00010D2A"/>
    <w:rsid w:val="00011B07"/>
    <w:rsid w:val="00011EF9"/>
    <w:rsid w:val="000138A7"/>
    <w:rsid w:val="00015DB3"/>
    <w:rsid w:val="00016F14"/>
    <w:rsid w:val="000171CE"/>
    <w:rsid w:val="000202E7"/>
    <w:rsid w:val="000215A9"/>
    <w:rsid w:val="0002197A"/>
    <w:rsid w:val="00021F2B"/>
    <w:rsid w:val="00022C96"/>
    <w:rsid w:val="000232E5"/>
    <w:rsid w:val="00023EFD"/>
    <w:rsid w:val="000241BA"/>
    <w:rsid w:val="000245DC"/>
    <w:rsid w:val="00024A31"/>
    <w:rsid w:val="00024D3D"/>
    <w:rsid w:val="00024F99"/>
    <w:rsid w:val="00025B87"/>
    <w:rsid w:val="0002611D"/>
    <w:rsid w:val="000269C8"/>
    <w:rsid w:val="0002749E"/>
    <w:rsid w:val="00030364"/>
    <w:rsid w:val="0003120D"/>
    <w:rsid w:val="000322B0"/>
    <w:rsid w:val="00034155"/>
    <w:rsid w:val="0003418B"/>
    <w:rsid w:val="000344A4"/>
    <w:rsid w:val="00034528"/>
    <w:rsid w:val="0003593F"/>
    <w:rsid w:val="00035ED1"/>
    <w:rsid w:val="00036355"/>
    <w:rsid w:val="00036557"/>
    <w:rsid w:val="00036CC4"/>
    <w:rsid w:val="00040CEA"/>
    <w:rsid w:val="00040D51"/>
    <w:rsid w:val="00040F36"/>
    <w:rsid w:val="00042B67"/>
    <w:rsid w:val="00043F06"/>
    <w:rsid w:val="00044667"/>
    <w:rsid w:val="00044CF8"/>
    <w:rsid w:val="00045E55"/>
    <w:rsid w:val="000463AC"/>
    <w:rsid w:val="00046B68"/>
    <w:rsid w:val="00046B6A"/>
    <w:rsid w:val="000501BC"/>
    <w:rsid w:val="00052D93"/>
    <w:rsid w:val="00053CBC"/>
    <w:rsid w:val="0005461A"/>
    <w:rsid w:val="00054E59"/>
    <w:rsid w:val="00054F45"/>
    <w:rsid w:val="00054FF4"/>
    <w:rsid w:val="0005509F"/>
    <w:rsid w:val="00055C2C"/>
    <w:rsid w:val="00056433"/>
    <w:rsid w:val="00057399"/>
    <w:rsid w:val="00060150"/>
    <w:rsid w:val="00061CCE"/>
    <w:rsid w:val="00067178"/>
    <w:rsid w:val="000672D5"/>
    <w:rsid w:val="00070E13"/>
    <w:rsid w:val="0007117C"/>
    <w:rsid w:val="00071D59"/>
    <w:rsid w:val="00072147"/>
    <w:rsid w:val="00073518"/>
    <w:rsid w:val="00073D63"/>
    <w:rsid w:val="00075020"/>
    <w:rsid w:val="00075897"/>
    <w:rsid w:val="00077B34"/>
    <w:rsid w:val="0008018E"/>
    <w:rsid w:val="00080C8E"/>
    <w:rsid w:val="00082B9B"/>
    <w:rsid w:val="00084F75"/>
    <w:rsid w:val="00084F96"/>
    <w:rsid w:val="00090B08"/>
    <w:rsid w:val="00093750"/>
    <w:rsid w:val="0009393D"/>
    <w:rsid w:val="0009417A"/>
    <w:rsid w:val="000943C3"/>
    <w:rsid w:val="00094FDE"/>
    <w:rsid w:val="000956D1"/>
    <w:rsid w:val="00095A47"/>
    <w:rsid w:val="00097577"/>
    <w:rsid w:val="000975EC"/>
    <w:rsid w:val="000A2191"/>
    <w:rsid w:val="000A2BD2"/>
    <w:rsid w:val="000A307A"/>
    <w:rsid w:val="000A4963"/>
    <w:rsid w:val="000A58E9"/>
    <w:rsid w:val="000A5CAC"/>
    <w:rsid w:val="000A625F"/>
    <w:rsid w:val="000A67BF"/>
    <w:rsid w:val="000A687C"/>
    <w:rsid w:val="000A7004"/>
    <w:rsid w:val="000A7067"/>
    <w:rsid w:val="000A7357"/>
    <w:rsid w:val="000B0547"/>
    <w:rsid w:val="000B0999"/>
    <w:rsid w:val="000B4A03"/>
    <w:rsid w:val="000B4A9B"/>
    <w:rsid w:val="000B5911"/>
    <w:rsid w:val="000B645A"/>
    <w:rsid w:val="000B64C3"/>
    <w:rsid w:val="000C01CB"/>
    <w:rsid w:val="000C02F5"/>
    <w:rsid w:val="000C0BA9"/>
    <w:rsid w:val="000C0E15"/>
    <w:rsid w:val="000C1462"/>
    <w:rsid w:val="000C1876"/>
    <w:rsid w:val="000C1DE0"/>
    <w:rsid w:val="000C223E"/>
    <w:rsid w:val="000C416F"/>
    <w:rsid w:val="000C47DA"/>
    <w:rsid w:val="000C55B6"/>
    <w:rsid w:val="000C59C7"/>
    <w:rsid w:val="000C781C"/>
    <w:rsid w:val="000C7D59"/>
    <w:rsid w:val="000D026E"/>
    <w:rsid w:val="000D0655"/>
    <w:rsid w:val="000D08CB"/>
    <w:rsid w:val="000D0A65"/>
    <w:rsid w:val="000D0C1C"/>
    <w:rsid w:val="000D0E2B"/>
    <w:rsid w:val="000D3AC7"/>
    <w:rsid w:val="000D40B3"/>
    <w:rsid w:val="000D4EA9"/>
    <w:rsid w:val="000D5468"/>
    <w:rsid w:val="000D57E3"/>
    <w:rsid w:val="000E2626"/>
    <w:rsid w:val="000E2AC7"/>
    <w:rsid w:val="000E2E65"/>
    <w:rsid w:val="000E339F"/>
    <w:rsid w:val="000E4234"/>
    <w:rsid w:val="000E5E4C"/>
    <w:rsid w:val="000E6510"/>
    <w:rsid w:val="000F023F"/>
    <w:rsid w:val="000F0E02"/>
    <w:rsid w:val="000F1670"/>
    <w:rsid w:val="000F2B92"/>
    <w:rsid w:val="000F2CC4"/>
    <w:rsid w:val="000F5588"/>
    <w:rsid w:val="000F6BFE"/>
    <w:rsid w:val="00100079"/>
    <w:rsid w:val="0010099E"/>
    <w:rsid w:val="00100E04"/>
    <w:rsid w:val="00101054"/>
    <w:rsid w:val="0010219C"/>
    <w:rsid w:val="00103554"/>
    <w:rsid w:val="0010383B"/>
    <w:rsid w:val="00104AD1"/>
    <w:rsid w:val="00104C95"/>
    <w:rsid w:val="00104DE9"/>
    <w:rsid w:val="00106090"/>
    <w:rsid w:val="001060E4"/>
    <w:rsid w:val="00106853"/>
    <w:rsid w:val="00107B11"/>
    <w:rsid w:val="00110791"/>
    <w:rsid w:val="00111ECB"/>
    <w:rsid w:val="00112032"/>
    <w:rsid w:val="00113982"/>
    <w:rsid w:val="00113E19"/>
    <w:rsid w:val="001141B5"/>
    <w:rsid w:val="00114777"/>
    <w:rsid w:val="001156CB"/>
    <w:rsid w:val="00115AA0"/>
    <w:rsid w:val="0011670C"/>
    <w:rsid w:val="0011740B"/>
    <w:rsid w:val="0011742D"/>
    <w:rsid w:val="0012160B"/>
    <w:rsid w:val="00123CDE"/>
    <w:rsid w:val="00123FCF"/>
    <w:rsid w:val="00124098"/>
    <w:rsid w:val="0012409A"/>
    <w:rsid w:val="001251E5"/>
    <w:rsid w:val="0013005B"/>
    <w:rsid w:val="001315AC"/>
    <w:rsid w:val="00131CF2"/>
    <w:rsid w:val="0013227E"/>
    <w:rsid w:val="0013307C"/>
    <w:rsid w:val="00133EB3"/>
    <w:rsid w:val="0013496E"/>
    <w:rsid w:val="0013567E"/>
    <w:rsid w:val="0013682A"/>
    <w:rsid w:val="00136935"/>
    <w:rsid w:val="00136F64"/>
    <w:rsid w:val="00137522"/>
    <w:rsid w:val="0013797B"/>
    <w:rsid w:val="00137C53"/>
    <w:rsid w:val="00137DDA"/>
    <w:rsid w:val="00140CA7"/>
    <w:rsid w:val="00141B7B"/>
    <w:rsid w:val="00141BA2"/>
    <w:rsid w:val="00141D8C"/>
    <w:rsid w:val="00142826"/>
    <w:rsid w:val="00142BEE"/>
    <w:rsid w:val="00142FBD"/>
    <w:rsid w:val="00143051"/>
    <w:rsid w:val="00143761"/>
    <w:rsid w:val="00143947"/>
    <w:rsid w:val="00143ECE"/>
    <w:rsid w:val="00143F9A"/>
    <w:rsid w:val="00145E2D"/>
    <w:rsid w:val="001472E5"/>
    <w:rsid w:val="00152FDB"/>
    <w:rsid w:val="00153694"/>
    <w:rsid w:val="001536F2"/>
    <w:rsid w:val="001549A1"/>
    <w:rsid w:val="00155159"/>
    <w:rsid w:val="001556C2"/>
    <w:rsid w:val="001556FB"/>
    <w:rsid w:val="00155DE4"/>
    <w:rsid w:val="00157A91"/>
    <w:rsid w:val="00160C57"/>
    <w:rsid w:val="00161113"/>
    <w:rsid w:val="00161AD6"/>
    <w:rsid w:val="001627A8"/>
    <w:rsid w:val="00162D38"/>
    <w:rsid w:val="00163075"/>
    <w:rsid w:val="00165463"/>
    <w:rsid w:val="00166E72"/>
    <w:rsid w:val="00170430"/>
    <w:rsid w:val="0017066D"/>
    <w:rsid w:val="001719A2"/>
    <w:rsid w:val="001729DA"/>
    <w:rsid w:val="001751F1"/>
    <w:rsid w:val="00175324"/>
    <w:rsid w:val="00177C32"/>
    <w:rsid w:val="00180288"/>
    <w:rsid w:val="00180DDD"/>
    <w:rsid w:val="00180F50"/>
    <w:rsid w:val="00181E2B"/>
    <w:rsid w:val="00181EA0"/>
    <w:rsid w:val="001820C5"/>
    <w:rsid w:val="001823CE"/>
    <w:rsid w:val="00182680"/>
    <w:rsid w:val="001830E7"/>
    <w:rsid w:val="0018370A"/>
    <w:rsid w:val="00183D72"/>
    <w:rsid w:val="00184168"/>
    <w:rsid w:val="00184A8D"/>
    <w:rsid w:val="00184FBE"/>
    <w:rsid w:val="00186CDB"/>
    <w:rsid w:val="001871A3"/>
    <w:rsid w:val="00190567"/>
    <w:rsid w:val="00190B13"/>
    <w:rsid w:val="001919E5"/>
    <w:rsid w:val="0019289E"/>
    <w:rsid w:val="00193E3C"/>
    <w:rsid w:val="00194D58"/>
    <w:rsid w:val="0019542C"/>
    <w:rsid w:val="00196C58"/>
    <w:rsid w:val="001A0079"/>
    <w:rsid w:val="001A0115"/>
    <w:rsid w:val="001A0138"/>
    <w:rsid w:val="001A09CC"/>
    <w:rsid w:val="001A1B66"/>
    <w:rsid w:val="001A3801"/>
    <w:rsid w:val="001A6200"/>
    <w:rsid w:val="001A68D2"/>
    <w:rsid w:val="001A75C8"/>
    <w:rsid w:val="001A798E"/>
    <w:rsid w:val="001B2798"/>
    <w:rsid w:val="001B3322"/>
    <w:rsid w:val="001B5553"/>
    <w:rsid w:val="001B61AE"/>
    <w:rsid w:val="001B7D60"/>
    <w:rsid w:val="001C0B9F"/>
    <w:rsid w:val="001C1A48"/>
    <w:rsid w:val="001C1CE5"/>
    <w:rsid w:val="001C3607"/>
    <w:rsid w:val="001C38EE"/>
    <w:rsid w:val="001C4042"/>
    <w:rsid w:val="001C4E0A"/>
    <w:rsid w:val="001C4F37"/>
    <w:rsid w:val="001C5284"/>
    <w:rsid w:val="001C53D7"/>
    <w:rsid w:val="001C5AAB"/>
    <w:rsid w:val="001C5C0F"/>
    <w:rsid w:val="001C61F8"/>
    <w:rsid w:val="001C634F"/>
    <w:rsid w:val="001C6D94"/>
    <w:rsid w:val="001C7155"/>
    <w:rsid w:val="001C7701"/>
    <w:rsid w:val="001D114D"/>
    <w:rsid w:val="001D20F0"/>
    <w:rsid w:val="001D2229"/>
    <w:rsid w:val="001D2280"/>
    <w:rsid w:val="001D49E1"/>
    <w:rsid w:val="001D5C3A"/>
    <w:rsid w:val="001D7A3A"/>
    <w:rsid w:val="001E07EB"/>
    <w:rsid w:val="001E0956"/>
    <w:rsid w:val="001E10CC"/>
    <w:rsid w:val="001E2323"/>
    <w:rsid w:val="001E25D0"/>
    <w:rsid w:val="001E45B4"/>
    <w:rsid w:val="001E46E7"/>
    <w:rsid w:val="001E4C86"/>
    <w:rsid w:val="001E765F"/>
    <w:rsid w:val="001E7F80"/>
    <w:rsid w:val="001F0AB0"/>
    <w:rsid w:val="001F0CB1"/>
    <w:rsid w:val="001F113B"/>
    <w:rsid w:val="001F126C"/>
    <w:rsid w:val="001F1FE1"/>
    <w:rsid w:val="001F24D6"/>
    <w:rsid w:val="001F2871"/>
    <w:rsid w:val="001F28E3"/>
    <w:rsid w:val="001F2D39"/>
    <w:rsid w:val="001F2D3B"/>
    <w:rsid w:val="001F38D9"/>
    <w:rsid w:val="001F56F8"/>
    <w:rsid w:val="001F581C"/>
    <w:rsid w:val="001F606E"/>
    <w:rsid w:val="001F6368"/>
    <w:rsid w:val="001F71C2"/>
    <w:rsid w:val="001F7B17"/>
    <w:rsid w:val="002004EC"/>
    <w:rsid w:val="0020051D"/>
    <w:rsid w:val="0020086B"/>
    <w:rsid w:val="00202093"/>
    <w:rsid w:val="00202B98"/>
    <w:rsid w:val="00205D36"/>
    <w:rsid w:val="00205E31"/>
    <w:rsid w:val="00205FDE"/>
    <w:rsid w:val="00207E44"/>
    <w:rsid w:val="0021087F"/>
    <w:rsid w:val="00211F35"/>
    <w:rsid w:val="002123DA"/>
    <w:rsid w:val="00212E0D"/>
    <w:rsid w:val="00212F48"/>
    <w:rsid w:val="00213EDF"/>
    <w:rsid w:val="00214ECF"/>
    <w:rsid w:val="002151C2"/>
    <w:rsid w:val="0021536C"/>
    <w:rsid w:val="002172F0"/>
    <w:rsid w:val="0022011B"/>
    <w:rsid w:val="00220CC8"/>
    <w:rsid w:val="00221342"/>
    <w:rsid w:val="00223470"/>
    <w:rsid w:val="002239E4"/>
    <w:rsid w:val="00223EAD"/>
    <w:rsid w:val="002256FC"/>
    <w:rsid w:val="00225F87"/>
    <w:rsid w:val="00226A56"/>
    <w:rsid w:val="00227D72"/>
    <w:rsid w:val="00230D58"/>
    <w:rsid w:val="00232475"/>
    <w:rsid w:val="00232CA4"/>
    <w:rsid w:val="0023316D"/>
    <w:rsid w:val="00233569"/>
    <w:rsid w:val="002356E9"/>
    <w:rsid w:val="00235B65"/>
    <w:rsid w:val="00240E5A"/>
    <w:rsid w:val="00241E14"/>
    <w:rsid w:val="002431C2"/>
    <w:rsid w:val="00243481"/>
    <w:rsid w:val="0024423C"/>
    <w:rsid w:val="00244B17"/>
    <w:rsid w:val="00246B21"/>
    <w:rsid w:val="00250B37"/>
    <w:rsid w:val="00251419"/>
    <w:rsid w:val="00251AE4"/>
    <w:rsid w:val="00252C53"/>
    <w:rsid w:val="00253ACD"/>
    <w:rsid w:val="002546BF"/>
    <w:rsid w:val="00254978"/>
    <w:rsid w:val="00254B91"/>
    <w:rsid w:val="0025534C"/>
    <w:rsid w:val="00255384"/>
    <w:rsid w:val="00255C7A"/>
    <w:rsid w:val="00255F9C"/>
    <w:rsid w:val="00256416"/>
    <w:rsid w:val="00257367"/>
    <w:rsid w:val="002578F5"/>
    <w:rsid w:val="00257ECF"/>
    <w:rsid w:val="0026078C"/>
    <w:rsid w:val="00262F7E"/>
    <w:rsid w:val="00263671"/>
    <w:rsid w:val="002645CD"/>
    <w:rsid w:val="00265C46"/>
    <w:rsid w:val="0027139F"/>
    <w:rsid w:val="002742D9"/>
    <w:rsid w:val="0027470B"/>
    <w:rsid w:val="00275CED"/>
    <w:rsid w:val="0027651F"/>
    <w:rsid w:val="00276A33"/>
    <w:rsid w:val="00277488"/>
    <w:rsid w:val="002778B1"/>
    <w:rsid w:val="002803BA"/>
    <w:rsid w:val="00280F63"/>
    <w:rsid w:val="00281B78"/>
    <w:rsid w:val="0028338E"/>
    <w:rsid w:val="002841FD"/>
    <w:rsid w:val="00285267"/>
    <w:rsid w:val="002855F9"/>
    <w:rsid w:val="00286CBF"/>
    <w:rsid w:val="00287D72"/>
    <w:rsid w:val="0029070D"/>
    <w:rsid w:val="00290B44"/>
    <w:rsid w:val="00290F61"/>
    <w:rsid w:val="00291DA4"/>
    <w:rsid w:val="00291DD1"/>
    <w:rsid w:val="00296463"/>
    <w:rsid w:val="00296844"/>
    <w:rsid w:val="00296C7A"/>
    <w:rsid w:val="0029775A"/>
    <w:rsid w:val="002A0405"/>
    <w:rsid w:val="002A0CF0"/>
    <w:rsid w:val="002A0DCE"/>
    <w:rsid w:val="002A1C82"/>
    <w:rsid w:val="002A1C87"/>
    <w:rsid w:val="002A1CBA"/>
    <w:rsid w:val="002A1F9F"/>
    <w:rsid w:val="002A2A03"/>
    <w:rsid w:val="002A3735"/>
    <w:rsid w:val="002A4C3E"/>
    <w:rsid w:val="002A6F36"/>
    <w:rsid w:val="002A764D"/>
    <w:rsid w:val="002A7C93"/>
    <w:rsid w:val="002B00A3"/>
    <w:rsid w:val="002B043F"/>
    <w:rsid w:val="002B0A82"/>
    <w:rsid w:val="002B176F"/>
    <w:rsid w:val="002B259D"/>
    <w:rsid w:val="002B3F50"/>
    <w:rsid w:val="002B42D1"/>
    <w:rsid w:val="002B4AC1"/>
    <w:rsid w:val="002B5842"/>
    <w:rsid w:val="002B6B3E"/>
    <w:rsid w:val="002B76B8"/>
    <w:rsid w:val="002C0CE8"/>
    <w:rsid w:val="002C3835"/>
    <w:rsid w:val="002C5215"/>
    <w:rsid w:val="002C5D5D"/>
    <w:rsid w:val="002C72EA"/>
    <w:rsid w:val="002D1D3C"/>
    <w:rsid w:val="002D224F"/>
    <w:rsid w:val="002D2A2D"/>
    <w:rsid w:val="002D3713"/>
    <w:rsid w:val="002D3EC3"/>
    <w:rsid w:val="002D4D22"/>
    <w:rsid w:val="002D4E5D"/>
    <w:rsid w:val="002D5273"/>
    <w:rsid w:val="002D57F3"/>
    <w:rsid w:val="002D6BF0"/>
    <w:rsid w:val="002D7BCD"/>
    <w:rsid w:val="002E0498"/>
    <w:rsid w:val="002E0E6C"/>
    <w:rsid w:val="002E538D"/>
    <w:rsid w:val="002E6004"/>
    <w:rsid w:val="002E6027"/>
    <w:rsid w:val="002E733A"/>
    <w:rsid w:val="002F0648"/>
    <w:rsid w:val="002F105D"/>
    <w:rsid w:val="002F2582"/>
    <w:rsid w:val="002F2A4D"/>
    <w:rsid w:val="002F30C2"/>
    <w:rsid w:val="002F48DF"/>
    <w:rsid w:val="002F4D18"/>
    <w:rsid w:val="002F4DB1"/>
    <w:rsid w:val="002F59A8"/>
    <w:rsid w:val="002F5E0F"/>
    <w:rsid w:val="002F618D"/>
    <w:rsid w:val="002F62F6"/>
    <w:rsid w:val="002F6905"/>
    <w:rsid w:val="002F6EF5"/>
    <w:rsid w:val="0030058E"/>
    <w:rsid w:val="0030097D"/>
    <w:rsid w:val="00300D97"/>
    <w:rsid w:val="00301353"/>
    <w:rsid w:val="00301BA5"/>
    <w:rsid w:val="00302BD3"/>
    <w:rsid w:val="00302D83"/>
    <w:rsid w:val="003038CE"/>
    <w:rsid w:val="00303E30"/>
    <w:rsid w:val="00304B66"/>
    <w:rsid w:val="003072C4"/>
    <w:rsid w:val="00307C34"/>
    <w:rsid w:val="00311E1F"/>
    <w:rsid w:val="00311EF4"/>
    <w:rsid w:val="0031257F"/>
    <w:rsid w:val="0031322C"/>
    <w:rsid w:val="00313DE9"/>
    <w:rsid w:val="00315428"/>
    <w:rsid w:val="00315C58"/>
    <w:rsid w:val="00316A95"/>
    <w:rsid w:val="00317165"/>
    <w:rsid w:val="0032004C"/>
    <w:rsid w:val="003201A3"/>
    <w:rsid w:val="00320B6C"/>
    <w:rsid w:val="00320DAC"/>
    <w:rsid w:val="003215FF"/>
    <w:rsid w:val="003220AC"/>
    <w:rsid w:val="003220CF"/>
    <w:rsid w:val="003235A9"/>
    <w:rsid w:val="00323C42"/>
    <w:rsid w:val="00323D9E"/>
    <w:rsid w:val="00323E51"/>
    <w:rsid w:val="0032407A"/>
    <w:rsid w:val="00324468"/>
    <w:rsid w:val="00325F2E"/>
    <w:rsid w:val="0032606A"/>
    <w:rsid w:val="0032639E"/>
    <w:rsid w:val="003312A8"/>
    <w:rsid w:val="00331A03"/>
    <w:rsid w:val="0033288F"/>
    <w:rsid w:val="00333AC4"/>
    <w:rsid w:val="003344BE"/>
    <w:rsid w:val="00334697"/>
    <w:rsid w:val="0033739D"/>
    <w:rsid w:val="00337819"/>
    <w:rsid w:val="00337CC2"/>
    <w:rsid w:val="00337FC2"/>
    <w:rsid w:val="00340386"/>
    <w:rsid w:val="0034157B"/>
    <w:rsid w:val="00341D3B"/>
    <w:rsid w:val="00341F89"/>
    <w:rsid w:val="00342285"/>
    <w:rsid w:val="00342435"/>
    <w:rsid w:val="003424BC"/>
    <w:rsid w:val="00343137"/>
    <w:rsid w:val="003445A9"/>
    <w:rsid w:val="00344697"/>
    <w:rsid w:val="003454B0"/>
    <w:rsid w:val="003454E6"/>
    <w:rsid w:val="00351017"/>
    <w:rsid w:val="0035287C"/>
    <w:rsid w:val="00353960"/>
    <w:rsid w:val="0035403D"/>
    <w:rsid w:val="0035487F"/>
    <w:rsid w:val="00355864"/>
    <w:rsid w:val="00356494"/>
    <w:rsid w:val="0035687A"/>
    <w:rsid w:val="00356FC0"/>
    <w:rsid w:val="0036000F"/>
    <w:rsid w:val="003609C3"/>
    <w:rsid w:val="00361E98"/>
    <w:rsid w:val="00362056"/>
    <w:rsid w:val="00362BC8"/>
    <w:rsid w:val="00363530"/>
    <w:rsid w:val="00364C56"/>
    <w:rsid w:val="00365C48"/>
    <w:rsid w:val="003664F4"/>
    <w:rsid w:val="00367C59"/>
    <w:rsid w:val="00371308"/>
    <w:rsid w:val="00371338"/>
    <w:rsid w:val="00371983"/>
    <w:rsid w:val="00372068"/>
    <w:rsid w:val="0037217C"/>
    <w:rsid w:val="0037381E"/>
    <w:rsid w:val="00374340"/>
    <w:rsid w:val="00375EF5"/>
    <w:rsid w:val="00376110"/>
    <w:rsid w:val="0037711E"/>
    <w:rsid w:val="003772C0"/>
    <w:rsid w:val="003776EB"/>
    <w:rsid w:val="00377B99"/>
    <w:rsid w:val="0038217F"/>
    <w:rsid w:val="0038225D"/>
    <w:rsid w:val="003829FE"/>
    <w:rsid w:val="003839E7"/>
    <w:rsid w:val="00383B9E"/>
    <w:rsid w:val="00383D25"/>
    <w:rsid w:val="003842FA"/>
    <w:rsid w:val="00385B90"/>
    <w:rsid w:val="00387E6D"/>
    <w:rsid w:val="00390909"/>
    <w:rsid w:val="00391D42"/>
    <w:rsid w:val="00391EA3"/>
    <w:rsid w:val="00391F45"/>
    <w:rsid w:val="00392441"/>
    <w:rsid w:val="0039272B"/>
    <w:rsid w:val="00392D85"/>
    <w:rsid w:val="00392E5C"/>
    <w:rsid w:val="00393165"/>
    <w:rsid w:val="00393480"/>
    <w:rsid w:val="00395389"/>
    <w:rsid w:val="003953D8"/>
    <w:rsid w:val="00395916"/>
    <w:rsid w:val="00396179"/>
    <w:rsid w:val="003962FC"/>
    <w:rsid w:val="00396F30"/>
    <w:rsid w:val="00397AAD"/>
    <w:rsid w:val="003A16CA"/>
    <w:rsid w:val="003A1D7C"/>
    <w:rsid w:val="003A2E8F"/>
    <w:rsid w:val="003A44AD"/>
    <w:rsid w:val="003A4CA7"/>
    <w:rsid w:val="003A53E3"/>
    <w:rsid w:val="003A57A7"/>
    <w:rsid w:val="003A6E58"/>
    <w:rsid w:val="003A74E4"/>
    <w:rsid w:val="003A7CDE"/>
    <w:rsid w:val="003B031C"/>
    <w:rsid w:val="003B0369"/>
    <w:rsid w:val="003B063E"/>
    <w:rsid w:val="003B16EE"/>
    <w:rsid w:val="003B39FF"/>
    <w:rsid w:val="003B3AE8"/>
    <w:rsid w:val="003B42BE"/>
    <w:rsid w:val="003B45E7"/>
    <w:rsid w:val="003B4994"/>
    <w:rsid w:val="003B63CA"/>
    <w:rsid w:val="003B64DC"/>
    <w:rsid w:val="003C0A9C"/>
    <w:rsid w:val="003C0B7C"/>
    <w:rsid w:val="003C0BC5"/>
    <w:rsid w:val="003C1B8A"/>
    <w:rsid w:val="003C1FB1"/>
    <w:rsid w:val="003C2906"/>
    <w:rsid w:val="003C2BFD"/>
    <w:rsid w:val="003C4661"/>
    <w:rsid w:val="003C508B"/>
    <w:rsid w:val="003C50FC"/>
    <w:rsid w:val="003C5557"/>
    <w:rsid w:val="003C576D"/>
    <w:rsid w:val="003C68A8"/>
    <w:rsid w:val="003D0784"/>
    <w:rsid w:val="003D0B64"/>
    <w:rsid w:val="003D12B2"/>
    <w:rsid w:val="003D3FFF"/>
    <w:rsid w:val="003D4359"/>
    <w:rsid w:val="003D4449"/>
    <w:rsid w:val="003D567C"/>
    <w:rsid w:val="003D57D5"/>
    <w:rsid w:val="003D5986"/>
    <w:rsid w:val="003D65BA"/>
    <w:rsid w:val="003D6D40"/>
    <w:rsid w:val="003D7AE8"/>
    <w:rsid w:val="003E13EF"/>
    <w:rsid w:val="003E1F5D"/>
    <w:rsid w:val="003E1FC0"/>
    <w:rsid w:val="003E2A5D"/>
    <w:rsid w:val="003E306C"/>
    <w:rsid w:val="003E340B"/>
    <w:rsid w:val="003E34EE"/>
    <w:rsid w:val="003E35B0"/>
    <w:rsid w:val="003E3D9F"/>
    <w:rsid w:val="003E5245"/>
    <w:rsid w:val="003E58D9"/>
    <w:rsid w:val="003E5E58"/>
    <w:rsid w:val="003E62D9"/>
    <w:rsid w:val="003E6612"/>
    <w:rsid w:val="003E6DCB"/>
    <w:rsid w:val="003E7EC8"/>
    <w:rsid w:val="003F0F6C"/>
    <w:rsid w:val="003F1960"/>
    <w:rsid w:val="003F1BF2"/>
    <w:rsid w:val="003F212D"/>
    <w:rsid w:val="003F29C1"/>
    <w:rsid w:val="003F3073"/>
    <w:rsid w:val="003F32A7"/>
    <w:rsid w:val="003F51AF"/>
    <w:rsid w:val="003F736D"/>
    <w:rsid w:val="003F7860"/>
    <w:rsid w:val="004008B3"/>
    <w:rsid w:val="00400CAE"/>
    <w:rsid w:val="00400E6A"/>
    <w:rsid w:val="004019BA"/>
    <w:rsid w:val="00401D8C"/>
    <w:rsid w:val="00401FCE"/>
    <w:rsid w:val="0040333D"/>
    <w:rsid w:val="00403833"/>
    <w:rsid w:val="004042BC"/>
    <w:rsid w:val="00405A83"/>
    <w:rsid w:val="00406094"/>
    <w:rsid w:val="00406720"/>
    <w:rsid w:val="00406A29"/>
    <w:rsid w:val="00407360"/>
    <w:rsid w:val="00407F14"/>
    <w:rsid w:val="004102C5"/>
    <w:rsid w:val="00412488"/>
    <w:rsid w:val="004132A7"/>
    <w:rsid w:val="004147B7"/>
    <w:rsid w:val="004149E7"/>
    <w:rsid w:val="00414BBD"/>
    <w:rsid w:val="00415293"/>
    <w:rsid w:val="00415A0B"/>
    <w:rsid w:val="00416094"/>
    <w:rsid w:val="00416E06"/>
    <w:rsid w:val="00417541"/>
    <w:rsid w:val="0041769B"/>
    <w:rsid w:val="00421643"/>
    <w:rsid w:val="0042463C"/>
    <w:rsid w:val="0042468A"/>
    <w:rsid w:val="00424C42"/>
    <w:rsid w:val="00424EFE"/>
    <w:rsid w:val="00426C1F"/>
    <w:rsid w:val="004301C6"/>
    <w:rsid w:val="00430849"/>
    <w:rsid w:val="004308CC"/>
    <w:rsid w:val="0043090E"/>
    <w:rsid w:val="00431E6D"/>
    <w:rsid w:val="00431FDB"/>
    <w:rsid w:val="00436828"/>
    <w:rsid w:val="004377DA"/>
    <w:rsid w:val="00437B23"/>
    <w:rsid w:val="004403B7"/>
    <w:rsid w:val="00442514"/>
    <w:rsid w:val="004428A8"/>
    <w:rsid w:val="00444516"/>
    <w:rsid w:val="00444895"/>
    <w:rsid w:val="00445463"/>
    <w:rsid w:val="00446B99"/>
    <w:rsid w:val="004470B3"/>
    <w:rsid w:val="00447B00"/>
    <w:rsid w:val="004504B3"/>
    <w:rsid w:val="00450E15"/>
    <w:rsid w:val="004524F0"/>
    <w:rsid w:val="0045297C"/>
    <w:rsid w:val="00453B65"/>
    <w:rsid w:val="00454614"/>
    <w:rsid w:val="0045576F"/>
    <w:rsid w:val="004568C4"/>
    <w:rsid w:val="00456E6A"/>
    <w:rsid w:val="004607C1"/>
    <w:rsid w:val="004609DD"/>
    <w:rsid w:val="0046145E"/>
    <w:rsid w:val="00462336"/>
    <w:rsid w:val="00462491"/>
    <w:rsid w:val="00463B18"/>
    <w:rsid w:val="0046463E"/>
    <w:rsid w:val="00466338"/>
    <w:rsid w:val="00467182"/>
    <w:rsid w:val="0046762D"/>
    <w:rsid w:val="004720C1"/>
    <w:rsid w:val="00472283"/>
    <w:rsid w:val="00475963"/>
    <w:rsid w:val="004764B4"/>
    <w:rsid w:val="004769E1"/>
    <w:rsid w:val="00481212"/>
    <w:rsid w:val="004819E2"/>
    <w:rsid w:val="004825E0"/>
    <w:rsid w:val="004836FF"/>
    <w:rsid w:val="004858DE"/>
    <w:rsid w:val="004863FE"/>
    <w:rsid w:val="00486664"/>
    <w:rsid w:val="0048692F"/>
    <w:rsid w:val="00487AE3"/>
    <w:rsid w:val="00490517"/>
    <w:rsid w:val="004913AC"/>
    <w:rsid w:val="00491AFD"/>
    <w:rsid w:val="004934C8"/>
    <w:rsid w:val="004944FE"/>
    <w:rsid w:val="00494ED4"/>
    <w:rsid w:val="0049570B"/>
    <w:rsid w:val="004A2D7B"/>
    <w:rsid w:val="004A35A3"/>
    <w:rsid w:val="004A48DA"/>
    <w:rsid w:val="004A5327"/>
    <w:rsid w:val="004A561F"/>
    <w:rsid w:val="004A63BF"/>
    <w:rsid w:val="004A6456"/>
    <w:rsid w:val="004B008D"/>
    <w:rsid w:val="004B00F3"/>
    <w:rsid w:val="004B068F"/>
    <w:rsid w:val="004B1911"/>
    <w:rsid w:val="004B26D4"/>
    <w:rsid w:val="004B301E"/>
    <w:rsid w:val="004B3781"/>
    <w:rsid w:val="004B740B"/>
    <w:rsid w:val="004C1199"/>
    <w:rsid w:val="004C1630"/>
    <w:rsid w:val="004C1F58"/>
    <w:rsid w:val="004C228A"/>
    <w:rsid w:val="004C270C"/>
    <w:rsid w:val="004C38B7"/>
    <w:rsid w:val="004C48E9"/>
    <w:rsid w:val="004C5F9F"/>
    <w:rsid w:val="004C7BE8"/>
    <w:rsid w:val="004D11F3"/>
    <w:rsid w:val="004D1FA7"/>
    <w:rsid w:val="004D2141"/>
    <w:rsid w:val="004D2869"/>
    <w:rsid w:val="004D2B9E"/>
    <w:rsid w:val="004D3214"/>
    <w:rsid w:val="004D53FC"/>
    <w:rsid w:val="004D6A3C"/>
    <w:rsid w:val="004D7171"/>
    <w:rsid w:val="004D7379"/>
    <w:rsid w:val="004D7A4A"/>
    <w:rsid w:val="004E0678"/>
    <w:rsid w:val="004E09AE"/>
    <w:rsid w:val="004E1C95"/>
    <w:rsid w:val="004E25A7"/>
    <w:rsid w:val="004E3DA7"/>
    <w:rsid w:val="004E42F2"/>
    <w:rsid w:val="004E44B6"/>
    <w:rsid w:val="004E4D1E"/>
    <w:rsid w:val="004E51FB"/>
    <w:rsid w:val="004E721C"/>
    <w:rsid w:val="004E794E"/>
    <w:rsid w:val="004E7C08"/>
    <w:rsid w:val="004F0B68"/>
    <w:rsid w:val="004F0BF6"/>
    <w:rsid w:val="004F1052"/>
    <w:rsid w:val="004F130B"/>
    <w:rsid w:val="004F2765"/>
    <w:rsid w:val="004F4EF4"/>
    <w:rsid w:val="004F53CF"/>
    <w:rsid w:val="004F6719"/>
    <w:rsid w:val="00501ED0"/>
    <w:rsid w:val="00502141"/>
    <w:rsid w:val="00502E87"/>
    <w:rsid w:val="005032E4"/>
    <w:rsid w:val="0050333E"/>
    <w:rsid w:val="0050344B"/>
    <w:rsid w:val="00503A10"/>
    <w:rsid w:val="00503FEE"/>
    <w:rsid w:val="00504112"/>
    <w:rsid w:val="00504985"/>
    <w:rsid w:val="00504EDB"/>
    <w:rsid w:val="00505524"/>
    <w:rsid w:val="00507347"/>
    <w:rsid w:val="005077B0"/>
    <w:rsid w:val="00507826"/>
    <w:rsid w:val="00507C1E"/>
    <w:rsid w:val="00507C70"/>
    <w:rsid w:val="0051095C"/>
    <w:rsid w:val="00512254"/>
    <w:rsid w:val="0051288A"/>
    <w:rsid w:val="00512A68"/>
    <w:rsid w:val="00513E7E"/>
    <w:rsid w:val="00514D6C"/>
    <w:rsid w:val="00514E6A"/>
    <w:rsid w:val="005152D5"/>
    <w:rsid w:val="00515C61"/>
    <w:rsid w:val="00515EA5"/>
    <w:rsid w:val="005178B8"/>
    <w:rsid w:val="00520656"/>
    <w:rsid w:val="00521BA8"/>
    <w:rsid w:val="00521CA4"/>
    <w:rsid w:val="00523997"/>
    <w:rsid w:val="00525005"/>
    <w:rsid w:val="00525630"/>
    <w:rsid w:val="00526473"/>
    <w:rsid w:val="00526CA8"/>
    <w:rsid w:val="005278A8"/>
    <w:rsid w:val="0053055F"/>
    <w:rsid w:val="005313F9"/>
    <w:rsid w:val="005317B2"/>
    <w:rsid w:val="00531B37"/>
    <w:rsid w:val="00531BF7"/>
    <w:rsid w:val="0053231B"/>
    <w:rsid w:val="0053231E"/>
    <w:rsid w:val="0053271A"/>
    <w:rsid w:val="0053321A"/>
    <w:rsid w:val="00533573"/>
    <w:rsid w:val="0053386B"/>
    <w:rsid w:val="00534DEC"/>
    <w:rsid w:val="00535783"/>
    <w:rsid w:val="00536BF1"/>
    <w:rsid w:val="005372C1"/>
    <w:rsid w:val="00537BD4"/>
    <w:rsid w:val="005406C6"/>
    <w:rsid w:val="00542390"/>
    <w:rsid w:val="0054291A"/>
    <w:rsid w:val="00544C52"/>
    <w:rsid w:val="00544CBF"/>
    <w:rsid w:val="0054619C"/>
    <w:rsid w:val="005502DD"/>
    <w:rsid w:val="00551452"/>
    <w:rsid w:val="00551FB2"/>
    <w:rsid w:val="005528D1"/>
    <w:rsid w:val="005532BE"/>
    <w:rsid w:val="00553CE7"/>
    <w:rsid w:val="005546F8"/>
    <w:rsid w:val="00554D39"/>
    <w:rsid w:val="00555A85"/>
    <w:rsid w:val="0055675F"/>
    <w:rsid w:val="005567FD"/>
    <w:rsid w:val="00556D26"/>
    <w:rsid w:val="0055797F"/>
    <w:rsid w:val="00561466"/>
    <w:rsid w:val="0056175F"/>
    <w:rsid w:val="00563E08"/>
    <w:rsid w:val="0056497B"/>
    <w:rsid w:val="00565140"/>
    <w:rsid w:val="00566235"/>
    <w:rsid w:val="00567BB8"/>
    <w:rsid w:val="005713AD"/>
    <w:rsid w:val="005714A2"/>
    <w:rsid w:val="00571A46"/>
    <w:rsid w:val="005728FF"/>
    <w:rsid w:val="00572AD8"/>
    <w:rsid w:val="005737A3"/>
    <w:rsid w:val="00573B50"/>
    <w:rsid w:val="00576AD4"/>
    <w:rsid w:val="00576D45"/>
    <w:rsid w:val="00580148"/>
    <w:rsid w:val="00580DDF"/>
    <w:rsid w:val="00581109"/>
    <w:rsid w:val="005811C9"/>
    <w:rsid w:val="005828EE"/>
    <w:rsid w:val="005839EC"/>
    <w:rsid w:val="00585B7F"/>
    <w:rsid w:val="00585CB7"/>
    <w:rsid w:val="0058778D"/>
    <w:rsid w:val="00590DF4"/>
    <w:rsid w:val="0059239E"/>
    <w:rsid w:val="0059252B"/>
    <w:rsid w:val="00592F46"/>
    <w:rsid w:val="005930BC"/>
    <w:rsid w:val="005930CD"/>
    <w:rsid w:val="00593612"/>
    <w:rsid w:val="00593D33"/>
    <w:rsid w:val="00595611"/>
    <w:rsid w:val="0059685E"/>
    <w:rsid w:val="005968AC"/>
    <w:rsid w:val="005A0BE1"/>
    <w:rsid w:val="005A143B"/>
    <w:rsid w:val="005A2FAD"/>
    <w:rsid w:val="005A3FCA"/>
    <w:rsid w:val="005A44A2"/>
    <w:rsid w:val="005A4B69"/>
    <w:rsid w:val="005A653A"/>
    <w:rsid w:val="005A7FC1"/>
    <w:rsid w:val="005B0440"/>
    <w:rsid w:val="005B3A77"/>
    <w:rsid w:val="005B69FF"/>
    <w:rsid w:val="005B6D9C"/>
    <w:rsid w:val="005B7D3E"/>
    <w:rsid w:val="005B7F0E"/>
    <w:rsid w:val="005C1D4C"/>
    <w:rsid w:val="005C2518"/>
    <w:rsid w:val="005C2D65"/>
    <w:rsid w:val="005C2D79"/>
    <w:rsid w:val="005C3A2F"/>
    <w:rsid w:val="005C443B"/>
    <w:rsid w:val="005C4AA7"/>
    <w:rsid w:val="005C5EAE"/>
    <w:rsid w:val="005C6B13"/>
    <w:rsid w:val="005C7D12"/>
    <w:rsid w:val="005D0865"/>
    <w:rsid w:val="005D118D"/>
    <w:rsid w:val="005D13A3"/>
    <w:rsid w:val="005D2C2B"/>
    <w:rsid w:val="005D3B5C"/>
    <w:rsid w:val="005D4BFA"/>
    <w:rsid w:val="005D770F"/>
    <w:rsid w:val="005D7B84"/>
    <w:rsid w:val="005E1B68"/>
    <w:rsid w:val="005E7853"/>
    <w:rsid w:val="005E7DC9"/>
    <w:rsid w:val="005F01C2"/>
    <w:rsid w:val="005F0C90"/>
    <w:rsid w:val="005F123B"/>
    <w:rsid w:val="005F13BE"/>
    <w:rsid w:val="005F14E2"/>
    <w:rsid w:val="005F3B9D"/>
    <w:rsid w:val="005F416A"/>
    <w:rsid w:val="005F45F2"/>
    <w:rsid w:val="005F6348"/>
    <w:rsid w:val="005F6C7B"/>
    <w:rsid w:val="00600049"/>
    <w:rsid w:val="006005CB"/>
    <w:rsid w:val="00601BDD"/>
    <w:rsid w:val="00602D8C"/>
    <w:rsid w:val="00604662"/>
    <w:rsid w:val="006053FF"/>
    <w:rsid w:val="006057E4"/>
    <w:rsid w:val="00605C9A"/>
    <w:rsid w:val="006060A7"/>
    <w:rsid w:val="0060737C"/>
    <w:rsid w:val="00607BB7"/>
    <w:rsid w:val="00607CB2"/>
    <w:rsid w:val="00610D39"/>
    <w:rsid w:val="006118BB"/>
    <w:rsid w:val="00611F4F"/>
    <w:rsid w:val="00612786"/>
    <w:rsid w:val="00612B26"/>
    <w:rsid w:val="00612DBA"/>
    <w:rsid w:val="00614DB2"/>
    <w:rsid w:val="006162F6"/>
    <w:rsid w:val="0061671B"/>
    <w:rsid w:val="00616B1D"/>
    <w:rsid w:val="006178CE"/>
    <w:rsid w:val="00617E4A"/>
    <w:rsid w:val="0062063B"/>
    <w:rsid w:val="0062199C"/>
    <w:rsid w:val="00621F85"/>
    <w:rsid w:val="006226AD"/>
    <w:rsid w:val="006226D0"/>
    <w:rsid w:val="00623324"/>
    <w:rsid w:val="0062377F"/>
    <w:rsid w:val="006253E8"/>
    <w:rsid w:val="00625691"/>
    <w:rsid w:val="00625EA1"/>
    <w:rsid w:val="00625EBE"/>
    <w:rsid w:val="00626B68"/>
    <w:rsid w:val="00627F73"/>
    <w:rsid w:val="006302F3"/>
    <w:rsid w:val="00631E78"/>
    <w:rsid w:val="0063268F"/>
    <w:rsid w:val="00632E44"/>
    <w:rsid w:val="0063346F"/>
    <w:rsid w:val="00634388"/>
    <w:rsid w:val="0063473D"/>
    <w:rsid w:val="006363C8"/>
    <w:rsid w:val="00636C42"/>
    <w:rsid w:val="006378F5"/>
    <w:rsid w:val="0064032E"/>
    <w:rsid w:val="00640E45"/>
    <w:rsid w:val="00640ED0"/>
    <w:rsid w:val="0064178C"/>
    <w:rsid w:val="00641867"/>
    <w:rsid w:val="00641A94"/>
    <w:rsid w:val="00641AB1"/>
    <w:rsid w:val="006439DA"/>
    <w:rsid w:val="00644CFC"/>
    <w:rsid w:val="0064558F"/>
    <w:rsid w:val="00645AA7"/>
    <w:rsid w:val="00650E2E"/>
    <w:rsid w:val="006518D7"/>
    <w:rsid w:val="006519FF"/>
    <w:rsid w:val="00652E43"/>
    <w:rsid w:val="00653E85"/>
    <w:rsid w:val="00654916"/>
    <w:rsid w:val="0065584B"/>
    <w:rsid w:val="0065740A"/>
    <w:rsid w:val="0065789F"/>
    <w:rsid w:val="00657C6A"/>
    <w:rsid w:val="00661161"/>
    <w:rsid w:val="00662090"/>
    <w:rsid w:val="006620FD"/>
    <w:rsid w:val="006625E5"/>
    <w:rsid w:val="006628E9"/>
    <w:rsid w:val="00663736"/>
    <w:rsid w:val="00663ADA"/>
    <w:rsid w:val="00664147"/>
    <w:rsid w:val="0066520E"/>
    <w:rsid w:val="0066535F"/>
    <w:rsid w:val="00665E0C"/>
    <w:rsid w:val="00665F25"/>
    <w:rsid w:val="00665F37"/>
    <w:rsid w:val="00667257"/>
    <w:rsid w:val="006679A6"/>
    <w:rsid w:val="00670FD9"/>
    <w:rsid w:val="00671428"/>
    <w:rsid w:val="006714AC"/>
    <w:rsid w:val="00672F87"/>
    <w:rsid w:val="0067355D"/>
    <w:rsid w:val="0067433A"/>
    <w:rsid w:val="00674661"/>
    <w:rsid w:val="00674806"/>
    <w:rsid w:val="006750F0"/>
    <w:rsid w:val="00675372"/>
    <w:rsid w:val="00676114"/>
    <w:rsid w:val="00677AEC"/>
    <w:rsid w:val="00677F12"/>
    <w:rsid w:val="00680151"/>
    <w:rsid w:val="00680AB4"/>
    <w:rsid w:val="0068249D"/>
    <w:rsid w:val="00682B9E"/>
    <w:rsid w:val="0068377C"/>
    <w:rsid w:val="006838A4"/>
    <w:rsid w:val="0068398C"/>
    <w:rsid w:val="00683C4B"/>
    <w:rsid w:val="00684268"/>
    <w:rsid w:val="0068434B"/>
    <w:rsid w:val="006851B5"/>
    <w:rsid w:val="006852E2"/>
    <w:rsid w:val="0068666C"/>
    <w:rsid w:val="006868F5"/>
    <w:rsid w:val="0069128C"/>
    <w:rsid w:val="006917E5"/>
    <w:rsid w:val="00693150"/>
    <w:rsid w:val="00693D2D"/>
    <w:rsid w:val="00696565"/>
    <w:rsid w:val="00696CB2"/>
    <w:rsid w:val="00697015"/>
    <w:rsid w:val="00697112"/>
    <w:rsid w:val="00697E68"/>
    <w:rsid w:val="006A1A4E"/>
    <w:rsid w:val="006A3810"/>
    <w:rsid w:val="006A3B64"/>
    <w:rsid w:val="006A42AF"/>
    <w:rsid w:val="006A5298"/>
    <w:rsid w:val="006A630F"/>
    <w:rsid w:val="006A66F6"/>
    <w:rsid w:val="006A6EDC"/>
    <w:rsid w:val="006A70D6"/>
    <w:rsid w:val="006A7539"/>
    <w:rsid w:val="006B0446"/>
    <w:rsid w:val="006B146F"/>
    <w:rsid w:val="006B205A"/>
    <w:rsid w:val="006B33C9"/>
    <w:rsid w:val="006B3944"/>
    <w:rsid w:val="006B3D62"/>
    <w:rsid w:val="006B497E"/>
    <w:rsid w:val="006C25E8"/>
    <w:rsid w:val="006C4854"/>
    <w:rsid w:val="006C4AA5"/>
    <w:rsid w:val="006C58EC"/>
    <w:rsid w:val="006C591F"/>
    <w:rsid w:val="006C6326"/>
    <w:rsid w:val="006C6A1A"/>
    <w:rsid w:val="006D05E9"/>
    <w:rsid w:val="006D2607"/>
    <w:rsid w:val="006D41BA"/>
    <w:rsid w:val="006D4285"/>
    <w:rsid w:val="006D4780"/>
    <w:rsid w:val="006D4D9F"/>
    <w:rsid w:val="006D5028"/>
    <w:rsid w:val="006D5BBC"/>
    <w:rsid w:val="006D5E91"/>
    <w:rsid w:val="006D5F3F"/>
    <w:rsid w:val="006D6100"/>
    <w:rsid w:val="006D6971"/>
    <w:rsid w:val="006D7922"/>
    <w:rsid w:val="006E02FF"/>
    <w:rsid w:val="006E0F61"/>
    <w:rsid w:val="006E36B0"/>
    <w:rsid w:val="006E371B"/>
    <w:rsid w:val="006E3770"/>
    <w:rsid w:val="006E3780"/>
    <w:rsid w:val="006E54D2"/>
    <w:rsid w:val="006E66D6"/>
    <w:rsid w:val="006E693D"/>
    <w:rsid w:val="006E7940"/>
    <w:rsid w:val="006F0096"/>
    <w:rsid w:val="006F01C8"/>
    <w:rsid w:val="006F0332"/>
    <w:rsid w:val="006F0526"/>
    <w:rsid w:val="006F0B80"/>
    <w:rsid w:val="006F0D8B"/>
    <w:rsid w:val="006F1CA7"/>
    <w:rsid w:val="006F38C4"/>
    <w:rsid w:val="006F4F11"/>
    <w:rsid w:val="006F55A0"/>
    <w:rsid w:val="006F7195"/>
    <w:rsid w:val="006F74BF"/>
    <w:rsid w:val="006F78CE"/>
    <w:rsid w:val="006F7D98"/>
    <w:rsid w:val="007013C7"/>
    <w:rsid w:val="00703636"/>
    <w:rsid w:val="00703A3C"/>
    <w:rsid w:val="00703B21"/>
    <w:rsid w:val="00704708"/>
    <w:rsid w:val="00704AE9"/>
    <w:rsid w:val="007073CE"/>
    <w:rsid w:val="00711BBF"/>
    <w:rsid w:val="00711DD9"/>
    <w:rsid w:val="007133DD"/>
    <w:rsid w:val="007146D9"/>
    <w:rsid w:val="00714A35"/>
    <w:rsid w:val="00714C53"/>
    <w:rsid w:val="00715834"/>
    <w:rsid w:val="00717950"/>
    <w:rsid w:val="00717F7B"/>
    <w:rsid w:val="00720D0A"/>
    <w:rsid w:val="00721268"/>
    <w:rsid w:val="00721B8F"/>
    <w:rsid w:val="00721C03"/>
    <w:rsid w:val="00722644"/>
    <w:rsid w:val="00722A29"/>
    <w:rsid w:val="00722F62"/>
    <w:rsid w:val="00724091"/>
    <w:rsid w:val="0072440B"/>
    <w:rsid w:val="007256B4"/>
    <w:rsid w:val="00727344"/>
    <w:rsid w:val="00727586"/>
    <w:rsid w:val="00727708"/>
    <w:rsid w:val="00727823"/>
    <w:rsid w:val="00727A3B"/>
    <w:rsid w:val="00727DD0"/>
    <w:rsid w:val="0073024A"/>
    <w:rsid w:val="0073048B"/>
    <w:rsid w:val="00730CB7"/>
    <w:rsid w:val="00730E42"/>
    <w:rsid w:val="00732D62"/>
    <w:rsid w:val="00732E24"/>
    <w:rsid w:val="00736448"/>
    <w:rsid w:val="00737314"/>
    <w:rsid w:val="00737799"/>
    <w:rsid w:val="00737B55"/>
    <w:rsid w:val="00737C74"/>
    <w:rsid w:val="00740B15"/>
    <w:rsid w:val="00740CF4"/>
    <w:rsid w:val="00743A50"/>
    <w:rsid w:val="00744322"/>
    <w:rsid w:val="0074433C"/>
    <w:rsid w:val="0074454E"/>
    <w:rsid w:val="0074459E"/>
    <w:rsid w:val="0074469F"/>
    <w:rsid w:val="00745C9C"/>
    <w:rsid w:val="00750677"/>
    <w:rsid w:val="00751B09"/>
    <w:rsid w:val="007528C5"/>
    <w:rsid w:val="007538B3"/>
    <w:rsid w:val="00753CBE"/>
    <w:rsid w:val="00756056"/>
    <w:rsid w:val="007568BB"/>
    <w:rsid w:val="00756916"/>
    <w:rsid w:val="00757017"/>
    <w:rsid w:val="007613BD"/>
    <w:rsid w:val="007619BB"/>
    <w:rsid w:val="00761FE8"/>
    <w:rsid w:val="0076247A"/>
    <w:rsid w:val="00765A12"/>
    <w:rsid w:val="0076774C"/>
    <w:rsid w:val="00770C85"/>
    <w:rsid w:val="00771DCE"/>
    <w:rsid w:val="00772A1E"/>
    <w:rsid w:val="0077340C"/>
    <w:rsid w:val="007740A5"/>
    <w:rsid w:val="0077416B"/>
    <w:rsid w:val="007741FE"/>
    <w:rsid w:val="0077439A"/>
    <w:rsid w:val="0077517F"/>
    <w:rsid w:val="007754D1"/>
    <w:rsid w:val="007757E6"/>
    <w:rsid w:val="00775A9B"/>
    <w:rsid w:val="00775DBA"/>
    <w:rsid w:val="0077686B"/>
    <w:rsid w:val="00776EA5"/>
    <w:rsid w:val="007771AE"/>
    <w:rsid w:val="00781A4A"/>
    <w:rsid w:val="00782913"/>
    <w:rsid w:val="00782C67"/>
    <w:rsid w:val="007836D4"/>
    <w:rsid w:val="0078452D"/>
    <w:rsid w:val="00784F7C"/>
    <w:rsid w:val="00785F9F"/>
    <w:rsid w:val="0078669F"/>
    <w:rsid w:val="007869E6"/>
    <w:rsid w:val="00786E1E"/>
    <w:rsid w:val="00787F4E"/>
    <w:rsid w:val="00790205"/>
    <w:rsid w:val="00790AFF"/>
    <w:rsid w:val="007911D4"/>
    <w:rsid w:val="00791861"/>
    <w:rsid w:val="00791DA1"/>
    <w:rsid w:val="007927A5"/>
    <w:rsid w:val="00792CAA"/>
    <w:rsid w:val="00792CF6"/>
    <w:rsid w:val="00793126"/>
    <w:rsid w:val="0079386C"/>
    <w:rsid w:val="00794BDD"/>
    <w:rsid w:val="00795267"/>
    <w:rsid w:val="0079559F"/>
    <w:rsid w:val="0079581A"/>
    <w:rsid w:val="00795AE6"/>
    <w:rsid w:val="00795D5D"/>
    <w:rsid w:val="0079633B"/>
    <w:rsid w:val="007A092F"/>
    <w:rsid w:val="007A4F95"/>
    <w:rsid w:val="007A6461"/>
    <w:rsid w:val="007A77CA"/>
    <w:rsid w:val="007A78F2"/>
    <w:rsid w:val="007B15CC"/>
    <w:rsid w:val="007B2622"/>
    <w:rsid w:val="007B51CB"/>
    <w:rsid w:val="007B7642"/>
    <w:rsid w:val="007C0682"/>
    <w:rsid w:val="007C10E0"/>
    <w:rsid w:val="007C11CD"/>
    <w:rsid w:val="007C1257"/>
    <w:rsid w:val="007C2429"/>
    <w:rsid w:val="007C2D74"/>
    <w:rsid w:val="007C4565"/>
    <w:rsid w:val="007C4924"/>
    <w:rsid w:val="007C496F"/>
    <w:rsid w:val="007C4B5E"/>
    <w:rsid w:val="007C4E5C"/>
    <w:rsid w:val="007C4F7D"/>
    <w:rsid w:val="007C55EC"/>
    <w:rsid w:val="007C5883"/>
    <w:rsid w:val="007C62EA"/>
    <w:rsid w:val="007D1E53"/>
    <w:rsid w:val="007D20AF"/>
    <w:rsid w:val="007D32B0"/>
    <w:rsid w:val="007D39E7"/>
    <w:rsid w:val="007D3CE0"/>
    <w:rsid w:val="007D41C3"/>
    <w:rsid w:val="007D4308"/>
    <w:rsid w:val="007D43FA"/>
    <w:rsid w:val="007D4C32"/>
    <w:rsid w:val="007D4C8F"/>
    <w:rsid w:val="007D5DA3"/>
    <w:rsid w:val="007D5E94"/>
    <w:rsid w:val="007D61DA"/>
    <w:rsid w:val="007D68A6"/>
    <w:rsid w:val="007D7239"/>
    <w:rsid w:val="007D7247"/>
    <w:rsid w:val="007D73CD"/>
    <w:rsid w:val="007E011F"/>
    <w:rsid w:val="007E06AD"/>
    <w:rsid w:val="007E11CF"/>
    <w:rsid w:val="007E1626"/>
    <w:rsid w:val="007E16C2"/>
    <w:rsid w:val="007E19CC"/>
    <w:rsid w:val="007E2C1C"/>
    <w:rsid w:val="007E3CA1"/>
    <w:rsid w:val="007E3CBD"/>
    <w:rsid w:val="007E444A"/>
    <w:rsid w:val="007E5B38"/>
    <w:rsid w:val="007E7362"/>
    <w:rsid w:val="007E7393"/>
    <w:rsid w:val="007F0E6B"/>
    <w:rsid w:val="007F2F3E"/>
    <w:rsid w:val="007F338C"/>
    <w:rsid w:val="007F4823"/>
    <w:rsid w:val="007F4A81"/>
    <w:rsid w:val="007F4BEE"/>
    <w:rsid w:val="008009AA"/>
    <w:rsid w:val="008014A3"/>
    <w:rsid w:val="00803E2C"/>
    <w:rsid w:val="008048F2"/>
    <w:rsid w:val="00806588"/>
    <w:rsid w:val="00806680"/>
    <w:rsid w:val="00810382"/>
    <w:rsid w:val="00810580"/>
    <w:rsid w:val="0081060A"/>
    <w:rsid w:val="00810C23"/>
    <w:rsid w:val="00812372"/>
    <w:rsid w:val="0081253A"/>
    <w:rsid w:val="0081404E"/>
    <w:rsid w:val="00814A01"/>
    <w:rsid w:val="0081673F"/>
    <w:rsid w:val="00817114"/>
    <w:rsid w:val="00820316"/>
    <w:rsid w:val="00820F22"/>
    <w:rsid w:val="00822015"/>
    <w:rsid w:val="00822C3C"/>
    <w:rsid w:val="00822DCA"/>
    <w:rsid w:val="00823594"/>
    <w:rsid w:val="00825F83"/>
    <w:rsid w:val="00826152"/>
    <w:rsid w:val="00827D11"/>
    <w:rsid w:val="008309BE"/>
    <w:rsid w:val="00831D54"/>
    <w:rsid w:val="00832BCC"/>
    <w:rsid w:val="00833215"/>
    <w:rsid w:val="008352F4"/>
    <w:rsid w:val="008353BB"/>
    <w:rsid w:val="008362B9"/>
    <w:rsid w:val="00836557"/>
    <w:rsid w:val="008368C2"/>
    <w:rsid w:val="0083780C"/>
    <w:rsid w:val="00837D6A"/>
    <w:rsid w:val="0084014A"/>
    <w:rsid w:val="0084131E"/>
    <w:rsid w:val="00841788"/>
    <w:rsid w:val="00842469"/>
    <w:rsid w:val="008427C8"/>
    <w:rsid w:val="008431E0"/>
    <w:rsid w:val="00844127"/>
    <w:rsid w:val="008454DB"/>
    <w:rsid w:val="00845CDA"/>
    <w:rsid w:val="00847BF1"/>
    <w:rsid w:val="00847C20"/>
    <w:rsid w:val="00852AA6"/>
    <w:rsid w:val="00852CE4"/>
    <w:rsid w:val="0085337E"/>
    <w:rsid w:val="0085352B"/>
    <w:rsid w:val="008548D3"/>
    <w:rsid w:val="00855127"/>
    <w:rsid w:val="00855249"/>
    <w:rsid w:val="00856C28"/>
    <w:rsid w:val="00857792"/>
    <w:rsid w:val="008578CB"/>
    <w:rsid w:val="00860800"/>
    <w:rsid w:val="00860F40"/>
    <w:rsid w:val="00861563"/>
    <w:rsid w:val="008618AC"/>
    <w:rsid w:val="0086216A"/>
    <w:rsid w:val="008626AF"/>
    <w:rsid w:val="00864330"/>
    <w:rsid w:val="0086605A"/>
    <w:rsid w:val="008662C4"/>
    <w:rsid w:val="00866B53"/>
    <w:rsid w:val="0087092D"/>
    <w:rsid w:val="00871817"/>
    <w:rsid w:val="00872E93"/>
    <w:rsid w:val="00873226"/>
    <w:rsid w:val="008735DE"/>
    <w:rsid w:val="00874668"/>
    <w:rsid w:val="00874676"/>
    <w:rsid w:val="00876DAB"/>
    <w:rsid w:val="00877EF0"/>
    <w:rsid w:val="008803A4"/>
    <w:rsid w:val="00880D1C"/>
    <w:rsid w:val="00880EF6"/>
    <w:rsid w:val="008813EF"/>
    <w:rsid w:val="00883E08"/>
    <w:rsid w:val="008852D3"/>
    <w:rsid w:val="00886613"/>
    <w:rsid w:val="008878D9"/>
    <w:rsid w:val="0089196C"/>
    <w:rsid w:val="0089261E"/>
    <w:rsid w:val="008926F5"/>
    <w:rsid w:val="0089343C"/>
    <w:rsid w:val="008944FF"/>
    <w:rsid w:val="008947B7"/>
    <w:rsid w:val="0089565C"/>
    <w:rsid w:val="00895753"/>
    <w:rsid w:val="00896742"/>
    <w:rsid w:val="008967EB"/>
    <w:rsid w:val="00896C4D"/>
    <w:rsid w:val="00896DD2"/>
    <w:rsid w:val="00897588"/>
    <w:rsid w:val="008A009C"/>
    <w:rsid w:val="008A30DB"/>
    <w:rsid w:val="008A36E7"/>
    <w:rsid w:val="008A3C26"/>
    <w:rsid w:val="008A45AF"/>
    <w:rsid w:val="008A6B05"/>
    <w:rsid w:val="008A751E"/>
    <w:rsid w:val="008B108E"/>
    <w:rsid w:val="008B1E05"/>
    <w:rsid w:val="008B27D2"/>
    <w:rsid w:val="008B2D00"/>
    <w:rsid w:val="008B3B27"/>
    <w:rsid w:val="008B4907"/>
    <w:rsid w:val="008B4EB9"/>
    <w:rsid w:val="008B54EA"/>
    <w:rsid w:val="008B5906"/>
    <w:rsid w:val="008B5EDB"/>
    <w:rsid w:val="008B60FF"/>
    <w:rsid w:val="008B7CD2"/>
    <w:rsid w:val="008C1355"/>
    <w:rsid w:val="008C25BC"/>
    <w:rsid w:val="008C3335"/>
    <w:rsid w:val="008C38EB"/>
    <w:rsid w:val="008C399B"/>
    <w:rsid w:val="008C4C8E"/>
    <w:rsid w:val="008C67C8"/>
    <w:rsid w:val="008C7F4E"/>
    <w:rsid w:val="008D0C4F"/>
    <w:rsid w:val="008D0D88"/>
    <w:rsid w:val="008D1DF2"/>
    <w:rsid w:val="008D25C8"/>
    <w:rsid w:val="008D38A8"/>
    <w:rsid w:val="008D58DD"/>
    <w:rsid w:val="008D611B"/>
    <w:rsid w:val="008D692F"/>
    <w:rsid w:val="008D7137"/>
    <w:rsid w:val="008E0BBB"/>
    <w:rsid w:val="008E0C6B"/>
    <w:rsid w:val="008E11FA"/>
    <w:rsid w:val="008E2937"/>
    <w:rsid w:val="008E40BC"/>
    <w:rsid w:val="008E5242"/>
    <w:rsid w:val="008E6C87"/>
    <w:rsid w:val="008E730D"/>
    <w:rsid w:val="008F0132"/>
    <w:rsid w:val="008F020B"/>
    <w:rsid w:val="008F07A1"/>
    <w:rsid w:val="008F0B14"/>
    <w:rsid w:val="008F1D5E"/>
    <w:rsid w:val="008F26E1"/>
    <w:rsid w:val="008F2E85"/>
    <w:rsid w:val="008F301F"/>
    <w:rsid w:val="008F3612"/>
    <w:rsid w:val="008F4584"/>
    <w:rsid w:val="008F4F1A"/>
    <w:rsid w:val="008F5C77"/>
    <w:rsid w:val="008F654A"/>
    <w:rsid w:val="008F732D"/>
    <w:rsid w:val="008F764B"/>
    <w:rsid w:val="009004CA"/>
    <w:rsid w:val="009011D3"/>
    <w:rsid w:val="00901B5B"/>
    <w:rsid w:val="009026AA"/>
    <w:rsid w:val="00902A0E"/>
    <w:rsid w:val="009030C4"/>
    <w:rsid w:val="009040C7"/>
    <w:rsid w:val="00905204"/>
    <w:rsid w:val="009055D9"/>
    <w:rsid w:val="00906A56"/>
    <w:rsid w:val="009101E4"/>
    <w:rsid w:val="00910351"/>
    <w:rsid w:val="009117EE"/>
    <w:rsid w:val="00911B93"/>
    <w:rsid w:val="00912273"/>
    <w:rsid w:val="00912462"/>
    <w:rsid w:val="00912AB0"/>
    <w:rsid w:val="00912B71"/>
    <w:rsid w:val="00912D0A"/>
    <w:rsid w:val="00912DB2"/>
    <w:rsid w:val="00913159"/>
    <w:rsid w:val="00914758"/>
    <w:rsid w:val="0091680F"/>
    <w:rsid w:val="00916ADF"/>
    <w:rsid w:val="009173C1"/>
    <w:rsid w:val="009203F3"/>
    <w:rsid w:val="009216A1"/>
    <w:rsid w:val="00921C5D"/>
    <w:rsid w:val="009229FC"/>
    <w:rsid w:val="00923C6D"/>
    <w:rsid w:val="009252D4"/>
    <w:rsid w:val="00925B5B"/>
    <w:rsid w:val="00926A97"/>
    <w:rsid w:val="00927777"/>
    <w:rsid w:val="009318B8"/>
    <w:rsid w:val="00932AE4"/>
    <w:rsid w:val="00933172"/>
    <w:rsid w:val="009331F3"/>
    <w:rsid w:val="009338F7"/>
    <w:rsid w:val="00933CC8"/>
    <w:rsid w:val="009351E2"/>
    <w:rsid w:val="00935C2D"/>
    <w:rsid w:val="009379B3"/>
    <w:rsid w:val="00940349"/>
    <w:rsid w:val="00941295"/>
    <w:rsid w:val="00941656"/>
    <w:rsid w:val="00941A43"/>
    <w:rsid w:val="009434E7"/>
    <w:rsid w:val="00943D52"/>
    <w:rsid w:val="00944238"/>
    <w:rsid w:val="00944D53"/>
    <w:rsid w:val="00945710"/>
    <w:rsid w:val="00946669"/>
    <w:rsid w:val="00946E85"/>
    <w:rsid w:val="00950786"/>
    <w:rsid w:val="00950CF7"/>
    <w:rsid w:val="009513EA"/>
    <w:rsid w:val="0095276F"/>
    <w:rsid w:val="00952AFA"/>
    <w:rsid w:val="00953257"/>
    <w:rsid w:val="009536BA"/>
    <w:rsid w:val="00954124"/>
    <w:rsid w:val="0095623A"/>
    <w:rsid w:val="009568A3"/>
    <w:rsid w:val="00957A78"/>
    <w:rsid w:val="00957C1F"/>
    <w:rsid w:val="00957C51"/>
    <w:rsid w:val="009604E6"/>
    <w:rsid w:val="009610FC"/>
    <w:rsid w:val="00961404"/>
    <w:rsid w:val="00962278"/>
    <w:rsid w:val="00962572"/>
    <w:rsid w:val="00962592"/>
    <w:rsid w:val="00962C00"/>
    <w:rsid w:val="00963621"/>
    <w:rsid w:val="00964B66"/>
    <w:rsid w:val="00965AA8"/>
    <w:rsid w:val="00965C0C"/>
    <w:rsid w:val="00965F32"/>
    <w:rsid w:val="00972F65"/>
    <w:rsid w:val="009734D8"/>
    <w:rsid w:val="00973AFD"/>
    <w:rsid w:val="00974433"/>
    <w:rsid w:val="00974801"/>
    <w:rsid w:val="00975296"/>
    <w:rsid w:val="0097546D"/>
    <w:rsid w:val="00975D07"/>
    <w:rsid w:val="009766E3"/>
    <w:rsid w:val="00976EF4"/>
    <w:rsid w:val="009818F1"/>
    <w:rsid w:val="00981AF2"/>
    <w:rsid w:val="009820F3"/>
    <w:rsid w:val="00983329"/>
    <w:rsid w:val="00984AAA"/>
    <w:rsid w:val="00984D5C"/>
    <w:rsid w:val="00985E58"/>
    <w:rsid w:val="009867FF"/>
    <w:rsid w:val="009872B1"/>
    <w:rsid w:val="00987351"/>
    <w:rsid w:val="00990BC4"/>
    <w:rsid w:val="00992268"/>
    <w:rsid w:val="009923F5"/>
    <w:rsid w:val="00992BC7"/>
    <w:rsid w:val="0099363D"/>
    <w:rsid w:val="00993AE1"/>
    <w:rsid w:val="00995BD6"/>
    <w:rsid w:val="009973AF"/>
    <w:rsid w:val="009A1742"/>
    <w:rsid w:val="009A17DA"/>
    <w:rsid w:val="009A2CB3"/>
    <w:rsid w:val="009A57CC"/>
    <w:rsid w:val="009A66FB"/>
    <w:rsid w:val="009A6E4D"/>
    <w:rsid w:val="009A6FDF"/>
    <w:rsid w:val="009B0B3C"/>
    <w:rsid w:val="009B0BEC"/>
    <w:rsid w:val="009B0E2A"/>
    <w:rsid w:val="009B0EE6"/>
    <w:rsid w:val="009B15A8"/>
    <w:rsid w:val="009B355A"/>
    <w:rsid w:val="009B3A23"/>
    <w:rsid w:val="009B3A36"/>
    <w:rsid w:val="009B3AFC"/>
    <w:rsid w:val="009B3C85"/>
    <w:rsid w:val="009B5B1B"/>
    <w:rsid w:val="009B62BE"/>
    <w:rsid w:val="009B75E6"/>
    <w:rsid w:val="009C0739"/>
    <w:rsid w:val="009C122B"/>
    <w:rsid w:val="009C14CF"/>
    <w:rsid w:val="009C2D7D"/>
    <w:rsid w:val="009C33B8"/>
    <w:rsid w:val="009C3BAA"/>
    <w:rsid w:val="009C3E9B"/>
    <w:rsid w:val="009C3F06"/>
    <w:rsid w:val="009C4013"/>
    <w:rsid w:val="009C45AD"/>
    <w:rsid w:val="009C46B1"/>
    <w:rsid w:val="009C6C75"/>
    <w:rsid w:val="009D1D53"/>
    <w:rsid w:val="009D4055"/>
    <w:rsid w:val="009D4057"/>
    <w:rsid w:val="009D4B22"/>
    <w:rsid w:val="009D5BB1"/>
    <w:rsid w:val="009D5D00"/>
    <w:rsid w:val="009E1768"/>
    <w:rsid w:val="009E1FA0"/>
    <w:rsid w:val="009E223F"/>
    <w:rsid w:val="009E29F2"/>
    <w:rsid w:val="009E2D56"/>
    <w:rsid w:val="009E3494"/>
    <w:rsid w:val="009E447B"/>
    <w:rsid w:val="009E50A5"/>
    <w:rsid w:val="009E50A7"/>
    <w:rsid w:val="009F0401"/>
    <w:rsid w:val="009F0750"/>
    <w:rsid w:val="009F1FB5"/>
    <w:rsid w:val="009F3AEA"/>
    <w:rsid w:val="009F3E13"/>
    <w:rsid w:val="009F4C07"/>
    <w:rsid w:val="009F50C0"/>
    <w:rsid w:val="009F6852"/>
    <w:rsid w:val="009F7A79"/>
    <w:rsid w:val="00A02429"/>
    <w:rsid w:val="00A02B0C"/>
    <w:rsid w:val="00A035C9"/>
    <w:rsid w:val="00A04490"/>
    <w:rsid w:val="00A04CE3"/>
    <w:rsid w:val="00A05222"/>
    <w:rsid w:val="00A05502"/>
    <w:rsid w:val="00A05B1C"/>
    <w:rsid w:val="00A078A4"/>
    <w:rsid w:val="00A100D1"/>
    <w:rsid w:val="00A10C2F"/>
    <w:rsid w:val="00A11CE5"/>
    <w:rsid w:val="00A137D6"/>
    <w:rsid w:val="00A149D9"/>
    <w:rsid w:val="00A165E0"/>
    <w:rsid w:val="00A2125E"/>
    <w:rsid w:val="00A21521"/>
    <w:rsid w:val="00A224D3"/>
    <w:rsid w:val="00A2497C"/>
    <w:rsid w:val="00A24C46"/>
    <w:rsid w:val="00A24C87"/>
    <w:rsid w:val="00A25BFF"/>
    <w:rsid w:val="00A25D91"/>
    <w:rsid w:val="00A26DFD"/>
    <w:rsid w:val="00A27F84"/>
    <w:rsid w:val="00A304B2"/>
    <w:rsid w:val="00A32154"/>
    <w:rsid w:val="00A32714"/>
    <w:rsid w:val="00A32883"/>
    <w:rsid w:val="00A356B8"/>
    <w:rsid w:val="00A40000"/>
    <w:rsid w:val="00A40BB0"/>
    <w:rsid w:val="00A41085"/>
    <w:rsid w:val="00A418A7"/>
    <w:rsid w:val="00A42D52"/>
    <w:rsid w:val="00A4379A"/>
    <w:rsid w:val="00A4476B"/>
    <w:rsid w:val="00A466D9"/>
    <w:rsid w:val="00A46F4B"/>
    <w:rsid w:val="00A474B5"/>
    <w:rsid w:val="00A479DA"/>
    <w:rsid w:val="00A501ED"/>
    <w:rsid w:val="00A5085A"/>
    <w:rsid w:val="00A514FF"/>
    <w:rsid w:val="00A51B77"/>
    <w:rsid w:val="00A51BD2"/>
    <w:rsid w:val="00A52C8C"/>
    <w:rsid w:val="00A53BA2"/>
    <w:rsid w:val="00A53E85"/>
    <w:rsid w:val="00A5411D"/>
    <w:rsid w:val="00A548CC"/>
    <w:rsid w:val="00A54C7C"/>
    <w:rsid w:val="00A55063"/>
    <w:rsid w:val="00A57E43"/>
    <w:rsid w:val="00A60270"/>
    <w:rsid w:val="00A60C5A"/>
    <w:rsid w:val="00A60D5D"/>
    <w:rsid w:val="00A610B9"/>
    <w:rsid w:val="00A6120D"/>
    <w:rsid w:val="00A62AA2"/>
    <w:rsid w:val="00A63C6A"/>
    <w:rsid w:val="00A65049"/>
    <w:rsid w:val="00A6584D"/>
    <w:rsid w:val="00A67AF4"/>
    <w:rsid w:val="00A70562"/>
    <w:rsid w:val="00A70AC5"/>
    <w:rsid w:val="00A71DDE"/>
    <w:rsid w:val="00A732E9"/>
    <w:rsid w:val="00A73FD1"/>
    <w:rsid w:val="00A742E9"/>
    <w:rsid w:val="00A744BB"/>
    <w:rsid w:val="00A7489A"/>
    <w:rsid w:val="00A77936"/>
    <w:rsid w:val="00A808ED"/>
    <w:rsid w:val="00A80F37"/>
    <w:rsid w:val="00A813FD"/>
    <w:rsid w:val="00A81C15"/>
    <w:rsid w:val="00A82782"/>
    <w:rsid w:val="00A82A4D"/>
    <w:rsid w:val="00A82B7F"/>
    <w:rsid w:val="00A82E7C"/>
    <w:rsid w:val="00A838C1"/>
    <w:rsid w:val="00A83D8B"/>
    <w:rsid w:val="00A846C2"/>
    <w:rsid w:val="00A84E64"/>
    <w:rsid w:val="00A854D1"/>
    <w:rsid w:val="00A85BD0"/>
    <w:rsid w:val="00A85C93"/>
    <w:rsid w:val="00A876E6"/>
    <w:rsid w:val="00A913CB"/>
    <w:rsid w:val="00A92927"/>
    <w:rsid w:val="00A92C6D"/>
    <w:rsid w:val="00A9341A"/>
    <w:rsid w:val="00A938EF"/>
    <w:rsid w:val="00A93CC4"/>
    <w:rsid w:val="00A93D77"/>
    <w:rsid w:val="00A96002"/>
    <w:rsid w:val="00A960EB"/>
    <w:rsid w:val="00A9656C"/>
    <w:rsid w:val="00A9686D"/>
    <w:rsid w:val="00A97544"/>
    <w:rsid w:val="00A97B24"/>
    <w:rsid w:val="00AA01FC"/>
    <w:rsid w:val="00AA0215"/>
    <w:rsid w:val="00AA09CF"/>
    <w:rsid w:val="00AA162B"/>
    <w:rsid w:val="00AA2D8F"/>
    <w:rsid w:val="00AA3254"/>
    <w:rsid w:val="00AA5B62"/>
    <w:rsid w:val="00AA6D17"/>
    <w:rsid w:val="00AA7233"/>
    <w:rsid w:val="00AB03FB"/>
    <w:rsid w:val="00AB15AF"/>
    <w:rsid w:val="00AB2661"/>
    <w:rsid w:val="00AB40C5"/>
    <w:rsid w:val="00AB437E"/>
    <w:rsid w:val="00AB484C"/>
    <w:rsid w:val="00AB48B2"/>
    <w:rsid w:val="00AB56C8"/>
    <w:rsid w:val="00AB5790"/>
    <w:rsid w:val="00AC1D67"/>
    <w:rsid w:val="00AC20C5"/>
    <w:rsid w:val="00AC21BC"/>
    <w:rsid w:val="00AC2B9C"/>
    <w:rsid w:val="00AC2CFB"/>
    <w:rsid w:val="00AC563D"/>
    <w:rsid w:val="00AC6724"/>
    <w:rsid w:val="00AC6A9E"/>
    <w:rsid w:val="00AC74CE"/>
    <w:rsid w:val="00AD014F"/>
    <w:rsid w:val="00AD042F"/>
    <w:rsid w:val="00AD0C41"/>
    <w:rsid w:val="00AD55D4"/>
    <w:rsid w:val="00AD55E8"/>
    <w:rsid w:val="00AD662B"/>
    <w:rsid w:val="00AD7434"/>
    <w:rsid w:val="00AD7EF6"/>
    <w:rsid w:val="00AE0177"/>
    <w:rsid w:val="00AE07CE"/>
    <w:rsid w:val="00AE0A05"/>
    <w:rsid w:val="00AE0BA2"/>
    <w:rsid w:val="00AE311C"/>
    <w:rsid w:val="00AE3BD7"/>
    <w:rsid w:val="00AE4DDB"/>
    <w:rsid w:val="00AE4E24"/>
    <w:rsid w:val="00AE5592"/>
    <w:rsid w:val="00AE67A8"/>
    <w:rsid w:val="00AF03D8"/>
    <w:rsid w:val="00AF0A19"/>
    <w:rsid w:val="00AF16C0"/>
    <w:rsid w:val="00AF1C6B"/>
    <w:rsid w:val="00AF26CE"/>
    <w:rsid w:val="00AF491C"/>
    <w:rsid w:val="00AF6128"/>
    <w:rsid w:val="00AF6A7C"/>
    <w:rsid w:val="00AF6CFC"/>
    <w:rsid w:val="00AF6FA5"/>
    <w:rsid w:val="00AF725E"/>
    <w:rsid w:val="00AF73A1"/>
    <w:rsid w:val="00AF7489"/>
    <w:rsid w:val="00AF7843"/>
    <w:rsid w:val="00B010F4"/>
    <w:rsid w:val="00B019A5"/>
    <w:rsid w:val="00B01D62"/>
    <w:rsid w:val="00B01F3A"/>
    <w:rsid w:val="00B03E57"/>
    <w:rsid w:val="00B04791"/>
    <w:rsid w:val="00B050E3"/>
    <w:rsid w:val="00B06552"/>
    <w:rsid w:val="00B067D5"/>
    <w:rsid w:val="00B07A3C"/>
    <w:rsid w:val="00B07ED2"/>
    <w:rsid w:val="00B11F43"/>
    <w:rsid w:val="00B12485"/>
    <w:rsid w:val="00B127A4"/>
    <w:rsid w:val="00B13261"/>
    <w:rsid w:val="00B13C6C"/>
    <w:rsid w:val="00B1468E"/>
    <w:rsid w:val="00B14AEE"/>
    <w:rsid w:val="00B16306"/>
    <w:rsid w:val="00B16E2D"/>
    <w:rsid w:val="00B17ED6"/>
    <w:rsid w:val="00B20FA2"/>
    <w:rsid w:val="00B21A26"/>
    <w:rsid w:val="00B21CDF"/>
    <w:rsid w:val="00B223A6"/>
    <w:rsid w:val="00B2348F"/>
    <w:rsid w:val="00B23607"/>
    <w:rsid w:val="00B24374"/>
    <w:rsid w:val="00B2510F"/>
    <w:rsid w:val="00B263EC"/>
    <w:rsid w:val="00B263FE"/>
    <w:rsid w:val="00B268CD"/>
    <w:rsid w:val="00B270C8"/>
    <w:rsid w:val="00B27804"/>
    <w:rsid w:val="00B30B96"/>
    <w:rsid w:val="00B30BEF"/>
    <w:rsid w:val="00B31EEA"/>
    <w:rsid w:val="00B32E97"/>
    <w:rsid w:val="00B337D1"/>
    <w:rsid w:val="00B34178"/>
    <w:rsid w:val="00B34A5B"/>
    <w:rsid w:val="00B360D4"/>
    <w:rsid w:val="00B37103"/>
    <w:rsid w:val="00B372C7"/>
    <w:rsid w:val="00B376D6"/>
    <w:rsid w:val="00B37B70"/>
    <w:rsid w:val="00B37BF7"/>
    <w:rsid w:val="00B40478"/>
    <w:rsid w:val="00B43E4D"/>
    <w:rsid w:val="00B46068"/>
    <w:rsid w:val="00B472E8"/>
    <w:rsid w:val="00B50F98"/>
    <w:rsid w:val="00B510F6"/>
    <w:rsid w:val="00B516F2"/>
    <w:rsid w:val="00B529A6"/>
    <w:rsid w:val="00B52AE1"/>
    <w:rsid w:val="00B52D56"/>
    <w:rsid w:val="00B53111"/>
    <w:rsid w:val="00B540E2"/>
    <w:rsid w:val="00B544A7"/>
    <w:rsid w:val="00B547D6"/>
    <w:rsid w:val="00B54B71"/>
    <w:rsid w:val="00B61DF4"/>
    <w:rsid w:val="00B6239C"/>
    <w:rsid w:val="00B6255F"/>
    <w:rsid w:val="00B62A6B"/>
    <w:rsid w:val="00B62DE4"/>
    <w:rsid w:val="00B62DF9"/>
    <w:rsid w:val="00B63012"/>
    <w:rsid w:val="00B63BFB"/>
    <w:rsid w:val="00B64EB5"/>
    <w:rsid w:val="00B72665"/>
    <w:rsid w:val="00B73807"/>
    <w:rsid w:val="00B73F86"/>
    <w:rsid w:val="00B7562C"/>
    <w:rsid w:val="00B75D57"/>
    <w:rsid w:val="00B7675F"/>
    <w:rsid w:val="00B7777D"/>
    <w:rsid w:val="00B77A9A"/>
    <w:rsid w:val="00B8004A"/>
    <w:rsid w:val="00B80FC2"/>
    <w:rsid w:val="00B81152"/>
    <w:rsid w:val="00B8119E"/>
    <w:rsid w:val="00B82245"/>
    <w:rsid w:val="00B83C3C"/>
    <w:rsid w:val="00B83DB7"/>
    <w:rsid w:val="00B85592"/>
    <w:rsid w:val="00B856B5"/>
    <w:rsid w:val="00B861AC"/>
    <w:rsid w:val="00B86E9D"/>
    <w:rsid w:val="00B87A25"/>
    <w:rsid w:val="00B87B44"/>
    <w:rsid w:val="00B925FE"/>
    <w:rsid w:val="00B9300C"/>
    <w:rsid w:val="00B94212"/>
    <w:rsid w:val="00B94C80"/>
    <w:rsid w:val="00B94D89"/>
    <w:rsid w:val="00B95403"/>
    <w:rsid w:val="00B9582F"/>
    <w:rsid w:val="00B96086"/>
    <w:rsid w:val="00B96D45"/>
    <w:rsid w:val="00B97B89"/>
    <w:rsid w:val="00BA1031"/>
    <w:rsid w:val="00BA1364"/>
    <w:rsid w:val="00BA23EA"/>
    <w:rsid w:val="00BA29E5"/>
    <w:rsid w:val="00BA3CC7"/>
    <w:rsid w:val="00BA514A"/>
    <w:rsid w:val="00BA754F"/>
    <w:rsid w:val="00BA760B"/>
    <w:rsid w:val="00BB0111"/>
    <w:rsid w:val="00BB11D8"/>
    <w:rsid w:val="00BB2232"/>
    <w:rsid w:val="00BB2EE9"/>
    <w:rsid w:val="00BB557B"/>
    <w:rsid w:val="00BB565F"/>
    <w:rsid w:val="00BB5682"/>
    <w:rsid w:val="00BB6D30"/>
    <w:rsid w:val="00BB6F7C"/>
    <w:rsid w:val="00BC0DC0"/>
    <w:rsid w:val="00BC16F1"/>
    <w:rsid w:val="00BC59E7"/>
    <w:rsid w:val="00BC6152"/>
    <w:rsid w:val="00BC742B"/>
    <w:rsid w:val="00BD004A"/>
    <w:rsid w:val="00BD0264"/>
    <w:rsid w:val="00BD2386"/>
    <w:rsid w:val="00BD3EA8"/>
    <w:rsid w:val="00BD479A"/>
    <w:rsid w:val="00BD5AA6"/>
    <w:rsid w:val="00BD6279"/>
    <w:rsid w:val="00BD7D68"/>
    <w:rsid w:val="00BE1992"/>
    <w:rsid w:val="00BE19EB"/>
    <w:rsid w:val="00BE2C83"/>
    <w:rsid w:val="00BE444C"/>
    <w:rsid w:val="00BE53DA"/>
    <w:rsid w:val="00BE5D31"/>
    <w:rsid w:val="00BE633A"/>
    <w:rsid w:val="00BE6D4E"/>
    <w:rsid w:val="00BE7CA8"/>
    <w:rsid w:val="00BF0A23"/>
    <w:rsid w:val="00BF0E83"/>
    <w:rsid w:val="00BF110B"/>
    <w:rsid w:val="00BF122F"/>
    <w:rsid w:val="00BF1A6B"/>
    <w:rsid w:val="00BF20A1"/>
    <w:rsid w:val="00BF23D9"/>
    <w:rsid w:val="00BF3C58"/>
    <w:rsid w:val="00BF4128"/>
    <w:rsid w:val="00BF49C3"/>
    <w:rsid w:val="00BF6F5C"/>
    <w:rsid w:val="00BF7278"/>
    <w:rsid w:val="00BF7B04"/>
    <w:rsid w:val="00C00BBC"/>
    <w:rsid w:val="00C034EE"/>
    <w:rsid w:val="00C039B0"/>
    <w:rsid w:val="00C03D36"/>
    <w:rsid w:val="00C0495B"/>
    <w:rsid w:val="00C04D60"/>
    <w:rsid w:val="00C0563D"/>
    <w:rsid w:val="00C0704A"/>
    <w:rsid w:val="00C07784"/>
    <w:rsid w:val="00C10267"/>
    <w:rsid w:val="00C12743"/>
    <w:rsid w:val="00C13672"/>
    <w:rsid w:val="00C138C9"/>
    <w:rsid w:val="00C140A8"/>
    <w:rsid w:val="00C140E8"/>
    <w:rsid w:val="00C21ED6"/>
    <w:rsid w:val="00C238DE"/>
    <w:rsid w:val="00C24D73"/>
    <w:rsid w:val="00C25992"/>
    <w:rsid w:val="00C25CD5"/>
    <w:rsid w:val="00C27089"/>
    <w:rsid w:val="00C273E8"/>
    <w:rsid w:val="00C27E65"/>
    <w:rsid w:val="00C31688"/>
    <w:rsid w:val="00C31EC7"/>
    <w:rsid w:val="00C322EA"/>
    <w:rsid w:val="00C32871"/>
    <w:rsid w:val="00C32B97"/>
    <w:rsid w:val="00C33874"/>
    <w:rsid w:val="00C33E25"/>
    <w:rsid w:val="00C342ED"/>
    <w:rsid w:val="00C350C5"/>
    <w:rsid w:val="00C36674"/>
    <w:rsid w:val="00C366B9"/>
    <w:rsid w:val="00C367AB"/>
    <w:rsid w:val="00C36B24"/>
    <w:rsid w:val="00C40133"/>
    <w:rsid w:val="00C42045"/>
    <w:rsid w:val="00C44D8B"/>
    <w:rsid w:val="00C44EDB"/>
    <w:rsid w:val="00C457E3"/>
    <w:rsid w:val="00C45ABC"/>
    <w:rsid w:val="00C45E37"/>
    <w:rsid w:val="00C45E69"/>
    <w:rsid w:val="00C4693F"/>
    <w:rsid w:val="00C501D5"/>
    <w:rsid w:val="00C51718"/>
    <w:rsid w:val="00C523F7"/>
    <w:rsid w:val="00C526E1"/>
    <w:rsid w:val="00C52FE0"/>
    <w:rsid w:val="00C54ACB"/>
    <w:rsid w:val="00C55774"/>
    <w:rsid w:val="00C5725F"/>
    <w:rsid w:val="00C5751A"/>
    <w:rsid w:val="00C57ECC"/>
    <w:rsid w:val="00C61B0F"/>
    <w:rsid w:val="00C61FFF"/>
    <w:rsid w:val="00C6213B"/>
    <w:rsid w:val="00C627D5"/>
    <w:rsid w:val="00C630C6"/>
    <w:rsid w:val="00C634F5"/>
    <w:rsid w:val="00C63D72"/>
    <w:rsid w:val="00C6598C"/>
    <w:rsid w:val="00C66493"/>
    <w:rsid w:val="00C66937"/>
    <w:rsid w:val="00C66A6E"/>
    <w:rsid w:val="00C66D1B"/>
    <w:rsid w:val="00C67851"/>
    <w:rsid w:val="00C7006E"/>
    <w:rsid w:val="00C710D1"/>
    <w:rsid w:val="00C72372"/>
    <w:rsid w:val="00C735A7"/>
    <w:rsid w:val="00C74FD0"/>
    <w:rsid w:val="00C74FFB"/>
    <w:rsid w:val="00C754F9"/>
    <w:rsid w:val="00C7582D"/>
    <w:rsid w:val="00C76D0E"/>
    <w:rsid w:val="00C7722B"/>
    <w:rsid w:val="00C8073F"/>
    <w:rsid w:val="00C81DFB"/>
    <w:rsid w:val="00C82BFB"/>
    <w:rsid w:val="00C83A35"/>
    <w:rsid w:val="00C83C1F"/>
    <w:rsid w:val="00C865B1"/>
    <w:rsid w:val="00C87903"/>
    <w:rsid w:val="00C87A3D"/>
    <w:rsid w:val="00C9053B"/>
    <w:rsid w:val="00C912AD"/>
    <w:rsid w:val="00C92EC2"/>
    <w:rsid w:val="00C93885"/>
    <w:rsid w:val="00C94E00"/>
    <w:rsid w:val="00C954F3"/>
    <w:rsid w:val="00C95999"/>
    <w:rsid w:val="00C963F8"/>
    <w:rsid w:val="00CA0D79"/>
    <w:rsid w:val="00CA1024"/>
    <w:rsid w:val="00CA158F"/>
    <w:rsid w:val="00CA1DD1"/>
    <w:rsid w:val="00CA2C26"/>
    <w:rsid w:val="00CA63A3"/>
    <w:rsid w:val="00CA736C"/>
    <w:rsid w:val="00CA7E11"/>
    <w:rsid w:val="00CB0604"/>
    <w:rsid w:val="00CB0994"/>
    <w:rsid w:val="00CB0E9B"/>
    <w:rsid w:val="00CB1390"/>
    <w:rsid w:val="00CB1D75"/>
    <w:rsid w:val="00CB3995"/>
    <w:rsid w:val="00CB556C"/>
    <w:rsid w:val="00CB5ABF"/>
    <w:rsid w:val="00CB6D62"/>
    <w:rsid w:val="00CB7C38"/>
    <w:rsid w:val="00CB7D23"/>
    <w:rsid w:val="00CC136F"/>
    <w:rsid w:val="00CC15B3"/>
    <w:rsid w:val="00CC170C"/>
    <w:rsid w:val="00CC1994"/>
    <w:rsid w:val="00CC23FF"/>
    <w:rsid w:val="00CC326A"/>
    <w:rsid w:val="00CC399C"/>
    <w:rsid w:val="00CC43C8"/>
    <w:rsid w:val="00CC5F40"/>
    <w:rsid w:val="00CC668C"/>
    <w:rsid w:val="00CC6920"/>
    <w:rsid w:val="00CC72F8"/>
    <w:rsid w:val="00CC7599"/>
    <w:rsid w:val="00CD0F0A"/>
    <w:rsid w:val="00CD14B0"/>
    <w:rsid w:val="00CD172F"/>
    <w:rsid w:val="00CD1E1E"/>
    <w:rsid w:val="00CD1F3F"/>
    <w:rsid w:val="00CD1F4E"/>
    <w:rsid w:val="00CD25CA"/>
    <w:rsid w:val="00CD2A08"/>
    <w:rsid w:val="00CD6528"/>
    <w:rsid w:val="00CD7567"/>
    <w:rsid w:val="00CD75C0"/>
    <w:rsid w:val="00CE05CC"/>
    <w:rsid w:val="00CE0E19"/>
    <w:rsid w:val="00CE2BA3"/>
    <w:rsid w:val="00CE3A8C"/>
    <w:rsid w:val="00CE3B7F"/>
    <w:rsid w:val="00CE4807"/>
    <w:rsid w:val="00CE501F"/>
    <w:rsid w:val="00CE6602"/>
    <w:rsid w:val="00CE671D"/>
    <w:rsid w:val="00CE6865"/>
    <w:rsid w:val="00CE703D"/>
    <w:rsid w:val="00CF0207"/>
    <w:rsid w:val="00CF0CA3"/>
    <w:rsid w:val="00CF1567"/>
    <w:rsid w:val="00CF1EDA"/>
    <w:rsid w:val="00CF2727"/>
    <w:rsid w:val="00CF298E"/>
    <w:rsid w:val="00CF4909"/>
    <w:rsid w:val="00CF4DFD"/>
    <w:rsid w:val="00CF5CC8"/>
    <w:rsid w:val="00CF64BE"/>
    <w:rsid w:val="00CF6892"/>
    <w:rsid w:val="00CF7DAB"/>
    <w:rsid w:val="00D01939"/>
    <w:rsid w:val="00D01BCF"/>
    <w:rsid w:val="00D01F18"/>
    <w:rsid w:val="00D0244A"/>
    <w:rsid w:val="00D024BB"/>
    <w:rsid w:val="00D027C3"/>
    <w:rsid w:val="00D030D2"/>
    <w:rsid w:val="00D04FA4"/>
    <w:rsid w:val="00D05123"/>
    <w:rsid w:val="00D07A40"/>
    <w:rsid w:val="00D10740"/>
    <w:rsid w:val="00D150E1"/>
    <w:rsid w:val="00D168EA"/>
    <w:rsid w:val="00D173CE"/>
    <w:rsid w:val="00D20315"/>
    <w:rsid w:val="00D213A1"/>
    <w:rsid w:val="00D21915"/>
    <w:rsid w:val="00D21965"/>
    <w:rsid w:val="00D2265E"/>
    <w:rsid w:val="00D23033"/>
    <w:rsid w:val="00D242BF"/>
    <w:rsid w:val="00D24673"/>
    <w:rsid w:val="00D26135"/>
    <w:rsid w:val="00D26160"/>
    <w:rsid w:val="00D27D66"/>
    <w:rsid w:val="00D30122"/>
    <w:rsid w:val="00D3039F"/>
    <w:rsid w:val="00D30FC7"/>
    <w:rsid w:val="00D30FF8"/>
    <w:rsid w:val="00D3178C"/>
    <w:rsid w:val="00D32B9E"/>
    <w:rsid w:val="00D341FE"/>
    <w:rsid w:val="00D342CD"/>
    <w:rsid w:val="00D35194"/>
    <w:rsid w:val="00D3659E"/>
    <w:rsid w:val="00D36C3C"/>
    <w:rsid w:val="00D36CC5"/>
    <w:rsid w:val="00D36E4B"/>
    <w:rsid w:val="00D36F24"/>
    <w:rsid w:val="00D37354"/>
    <w:rsid w:val="00D41213"/>
    <w:rsid w:val="00D41606"/>
    <w:rsid w:val="00D4179C"/>
    <w:rsid w:val="00D41FDF"/>
    <w:rsid w:val="00D420DA"/>
    <w:rsid w:val="00D43F46"/>
    <w:rsid w:val="00D46168"/>
    <w:rsid w:val="00D470AF"/>
    <w:rsid w:val="00D4724B"/>
    <w:rsid w:val="00D4784A"/>
    <w:rsid w:val="00D47FB6"/>
    <w:rsid w:val="00D509B5"/>
    <w:rsid w:val="00D50C79"/>
    <w:rsid w:val="00D5169A"/>
    <w:rsid w:val="00D516CB"/>
    <w:rsid w:val="00D54BD7"/>
    <w:rsid w:val="00D54FB8"/>
    <w:rsid w:val="00D61E86"/>
    <w:rsid w:val="00D626EF"/>
    <w:rsid w:val="00D62F96"/>
    <w:rsid w:val="00D6530D"/>
    <w:rsid w:val="00D65D6D"/>
    <w:rsid w:val="00D65E5D"/>
    <w:rsid w:val="00D662BD"/>
    <w:rsid w:val="00D66928"/>
    <w:rsid w:val="00D71A75"/>
    <w:rsid w:val="00D722D1"/>
    <w:rsid w:val="00D72EA9"/>
    <w:rsid w:val="00D7305E"/>
    <w:rsid w:val="00D7316E"/>
    <w:rsid w:val="00D73171"/>
    <w:rsid w:val="00D755FA"/>
    <w:rsid w:val="00D77CF0"/>
    <w:rsid w:val="00D80D78"/>
    <w:rsid w:val="00D810B5"/>
    <w:rsid w:val="00D8134C"/>
    <w:rsid w:val="00D8153E"/>
    <w:rsid w:val="00D815A0"/>
    <w:rsid w:val="00D8299D"/>
    <w:rsid w:val="00D835B3"/>
    <w:rsid w:val="00D837CE"/>
    <w:rsid w:val="00D848B6"/>
    <w:rsid w:val="00D85A40"/>
    <w:rsid w:val="00D861BA"/>
    <w:rsid w:val="00D861E6"/>
    <w:rsid w:val="00D86B83"/>
    <w:rsid w:val="00D874AE"/>
    <w:rsid w:val="00D90A74"/>
    <w:rsid w:val="00D91126"/>
    <w:rsid w:val="00D95B92"/>
    <w:rsid w:val="00D97303"/>
    <w:rsid w:val="00D97474"/>
    <w:rsid w:val="00DA0904"/>
    <w:rsid w:val="00DA27A0"/>
    <w:rsid w:val="00DA3442"/>
    <w:rsid w:val="00DA4B42"/>
    <w:rsid w:val="00DA562C"/>
    <w:rsid w:val="00DA5F07"/>
    <w:rsid w:val="00DA60DD"/>
    <w:rsid w:val="00DA66AD"/>
    <w:rsid w:val="00DA71B4"/>
    <w:rsid w:val="00DA74E9"/>
    <w:rsid w:val="00DB03E0"/>
    <w:rsid w:val="00DB08FD"/>
    <w:rsid w:val="00DB1551"/>
    <w:rsid w:val="00DB3F7E"/>
    <w:rsid w:val="00DB4F45"/>
    <w:rsid w:val="00DB5479"/>
    <w:rsid w:val="00DB54E9"/>
    <w:rsid w:val="00DB5EB7"/>
    <w:rsid w:val="00DB660B"/>
    <w:rsid w:val="00DB6B8E"/>
    <w:rsid w:val="00DB70CA"/>
    <w:rsid w:val="00DB7415"/>
    <w:rsid w:val="00DC0004"/>
    <w:rsid w:val="00DC186F"/>
    <w:rsid w:val="00DC1A5B"/>
    <w:rsid w:val="00DC25E0"/>
    <w:rsid w:val="00DC261C"/>
    <w:rsid w:val="00DC38C5"/>
    <w:rsid w:val="00DC4BB4"/>
    <w:rsid w:val="00DC56BA"/>
    <w:rsid w:val="00DC7634"/>
    <w:rsid w:val="00DC7C79"/>
    <w:rsid w:val="00DC7E48"/>
    <w:rsid w:val="00DD02A8"/>
    <w:rsid w:val="00DD3373"/>
    <w:rsid w:val="00DD3C9B"/>
    <w:rsid w:val="00DD463B"/>
    <w:rsid w:val="00DD4F84"/>
    <w:rsid w:val="00DD5D17"/>
    <w:rsid w:val="00DD5D97"/>
    <w:rsid w:val="00DD5F1D"/>
    <w:rsid w:val="00DD619F"/>
    <w:rsid w:val="00DD6931"/>
    <w:rsid w:val="00DD79D4"/>
    <w:rsid w:val="00DD7AF0"/>
    <w:rsid w:val="00DD7C7B"/>
    <w:rsid w:val="00DE0308"/>
    <w:rsid w:val="00DE0571"/>
    <w:rsid w:val="00DE074E"/>
    <w:rsid w:val="00DE0DB7"/>
    <w:rsid w:val="00DE11F2"/>
    <w:rsid w:val="00DE1D1F"/>
    <w:rsid w:val="00DE27FA"/>
    <w:rsid w:val="00DE2D44"/>
    <w:rsid w:val="00DE3A62"/>
    <w:rsid w:val="00DE3C1C"/>
    <w:rsid w:val="00DE3FFC"/>
    <w:rsid w:val="00DE4338"/>
    <w:rsid w:val="00DE5728"/>
    <w:rsid w:val="00DE60E5"/>
    <w:rsid w:val="00DE6156"/>
    <w:rsid w:val="00DE6286"/>
    <w:rsid w:val="00DE6713"/>
    <w:rsid w:val="00DE6CF0"/>
    <w:rsid w:val="00DF0331"/>
    <w:rsid w:val="00DF16E4"/>
    <w:rsid w:val="00DF1F14"/>
    <w:rsid w:val="00DF2034"/>
    <w:rsid w:val="00DF22B7"/>
    <w:rsid w:val="00DF3043"/>
    <w:rsid w:val="00DF3DC2"/>
    <w:rsid w:val="00DF5AFF"/>
    <w:rsid w:val="00DF6794"/>
    <w:rsid w:val="00DF67F0"/>
    <w:rsid w:val="00DF6879"/>
    <w:rsid w:val="00DF73E9"/>
    <w:rsid w:val="00DF7436"/>
    <w:rsid w:val="00DF74D8"/>
    <w:rsid w:val="00DF7D1F"/>
    <w:rsid w:val="00E0046F"/>
    <w:rsid w:val="00E009B9"/>
    <w:rsid w:val="00E028A6"/>
    <w:rsid w:val="00E036CA"/>
    <w:rsid w:val="00E03E91"/>
    <w:rsid w:val="00E0448B"/>
    <w:rsid w:val="00E05050"/>
    <w:rsid w:val="00E060C7"/>
    <w:rsid w:val="00E06151"/>
    <w:rsid w:val="00E063E5"/>
    <w:rsid w:val="00E0707F"/>
    <w:rsid w:val="00E075F2"/>
    <w:rsid w:val="00E07EC9"/>
    <w:rsid w:val="00E10959"/>
    <w:rsid w:val="00E12037"/>
    <w:rsid w:val="00E1217B"/>
    <w:rsid w:val="00E13262"/>
    <w:rsid w:val="00E13748"/>
    <w:rsid w:val="00E15964"/>
    <w:rsid w:val="00E1762E"/>
    <w:rsid w:val="00E17CB4"/>
    <w:rsid w:val="00E23177"/>
    <w:rsid w:val="00E23F87"/>
    <w:rsid w:val="00E24E34"/>
    <w:rsid w:val="00E25B93"/>
    <w:rsid w:val="00E268C4"/>
    <w:rsid w:val="00E27217"/>
    <w:rsid w:val="00E274F9"/>
    <w:rsid w:val="00E27C9B"/>
    <w:rsid w:val="00E318A2"/>
    <w:rsid w:val="00E32085"/>
    <w:rsid w:val="00E335B2"/>
    <w:rsid w:val="00E35393"/>
    <w:rsid w:val="00E35E2B"/>
    <w:rsid w:val="00E36669"/>
    <w:rsid w:val="00E3689E"/>
    <w:rsid w:val="00E37DC1"/>
    <w:rsid w:val="00E4042E"/>
    <w:rsid w:val="00E4281A"/>
    <w:rsid w:val="00E43602"/>
    <w:rsid w:val="00E44D56"/>
    <w:rsid w:val="00E46062"/>
    <w:rsid w:val="00E462E2"/>
    <w:rsid w:val="00E46FC8"/>
    <w:rsid w:val="00E5085A"/>
    <w:rsid w:val="00E50FC4"/>
    <w:rsid w:val="00E5101E"/>
    <w:rsid w:val="00E51996"/>
    <w:rsid w:val="00E52459"/>
    <w:rsid w:val="00E532B2"/>
    <w:rsid w:val="00E54DF8"/>
    <w:rsid w:val="00E56F1F"/>
    <w:rsid w:val="00E578FA"/>
    <w:rsid w:val="00E600B7"/>
    <w:rsid w:val="00E60BAF"/>
    <w:rsid w:val="00E61C02"/>
    <w:rsid w:val="00E62105"/>
    <w:rsid w:val="00E624C3"/>
    <w:rsid w:val="00E635DC"/>
    <w:rsid w:val="00E64481"/>
    <w:rsid w:val="00E64951"/>
    <w:rsid w:val="00E658AC"/>
    <w:rsid w:val="00E65C9C"/>
    <w:rsid w:val="00E663A0"/>
    <w:rsid w:val="00E678F7"/>
    <w:rsid w:val="00E706B5"/>
    <w:rsid w:val="00E71A1E"/>
    <w:rsid w:val="00E71AAC"/>
    <w:rsid w:val="00E71BF1"/>
    <w:rsid w:val="00E732AD"/>
    <w:rsid w:val="00E7431C"/>
    <w:rsid w:val="00E7491A"/>
    <w:rsid w:val="00E74C5C"/>
    <w:rsid w:val="00E74FB3"/>
    <w:rsid w:val="00E7506F"/>
    <w:rsid w:val="00E76BA8"/>
    <w:rsid w:val="00E773DB"/>
    <w:rsid w:val="00E8004A"/>
    <w:rsid w:val="00E81163"/>
    <w:rsid w:val="00E82CC1"/>
    <w:rsid w:val="00E836B2"/>
    <w:rsid w:val="00E847A6"/>
    <w:rsid w:val="00E84B43"/>
    <w:rsid w:val="00E8678A"/>
    <w:rsid w:val="00E86E6A"/>
    <w:rsid w:val="00E9037D"/>
    <w:rsid w:val="00E90439"/>
    <w:rsid w:val="00E907FF"/>
    <w:rsid w:val="00E92A5C"/>
    <w:rsid w:val="00E939D7"/>
    <w:rsid w:val="00E948EA"/>
    <w:rsid w:val="00E95BC8"/>
    <w:rsid w:val="00E96DD0"/>
    <w:rsid w:val="00E97DC7"/>
    <w:rsid w:val="00EA1490"/>
    <w:rsid w:val="00EA1657"/>
    <w:rsid w:val="00EA247D"/>
    <w:rsid w:val="00EA2984"/>
    <w:rsid w:val="00EA35C9"/>
    <w:rsid w:val="00EA42D8"/>
    <w:rsid w:val="00EA5359"/>
    <w:rsid w:val="00EA5FC8"/>
    <w:rsid w:val="00EA6F56"/>
    <w:rsid w:val="00EA7642"/>
    <w:rsid w:val="00EA7BC7"/>
    <w:rsid w:val="00EB188D"/>
    <w:rsid w:val="00EB2832"/>
    <w:rsid w:val="00EB38E0"/>
    <w:rsid w:val="00EB397B"/>
    <w:rsid w:val="00EB467C"/>
    <w:rsid w:val="00EB4FCC"/>
    <w:rsid w:val="00EB4FE5"/>
    <w:rsid w:val="00EB56AE"/>
    <w:rsid w:val="00EB5B81"/>
    <w:rsid w:val="00EB62C0"/>
    <w:rsid w:val="00EC0310"/>
    <w:rsid w:val="00EC3591"/>
    <w:rsid w:val="00EC43F0"/>
    <w:rsid w:val="00EC7995"/>
    <w:rsid w:val="00ED05DE"/>
    <w:rsid w:val="00ED0D98"/>
    <w:rsid w:val="00ED0F29"/>
    <w:rsid w:val="00ED3A72"/>
    <w:rsid w:val="00ED500B"/>
    <w:rsid w:val="00ED691E"/>
    <w:rsid w:val="00ED6E4C"/>
    <w:rsid w:val="00EE080F"/>
    <w:rsid w:val="00EE0F16"/>
    <w:rsid w:val="00EE108B"/>
    <w:rsid w:val="00EE164A"/>
    <w:rsid w:val="00EE1DB1"/>
    <w:rsid w:val="00EE1EC5"/>
    <w:rsid w:val="00EE25FB"/>
    <w:rsid w:val="00EE3183"/>
    <w:rsid w:val="00EE40A3"/>
    <w:rsid w:val="00EE48A7"/>
    <w:rsid w:val="00EE4E5A"/>
    <w:rsid w:val="00EE52B0"/>
    <w:rsid w:val="00EE53EC"/>
    <w:rsid w:val="00EE65C6"/>
    <w:rsid w:val="00EE6C79"/>
    <w:rsid w:val="00EE6CAD"/>
    <w:rsid w:val="00EF0247"/>
    <w:rsid w:val="00EF11A5"/>
    <w:rsid w:val="00EF2A41"/>
    <w:rsid w:val="00EF3E93"/>
    <w:rsid w:val="00EF49E8"/>
    <w:rsid w:val="00EF4A05"/>
    <w:rsid w:val="00EF5234"/>
    <w:rsid w:val="00EF53D8"/>
    <w:rsid w:val="00EF6159"/>
    <w:rsid w:val="00EF6195"/>
    <w:rsid w:val="00EF6323"/>
    <w:rsid w:val="00EF745F"/>
    <w:rsid w:val="00F03022"/>
    <w:rsid w:val="00F034E7"/>
    <w:rsid w:val="00F05057"/>
    <w:rsid w:val="00F05E32"/>
    <w:rsid w:val="00F06079"/>
    <w:rsid w:val="00F06628"/>
    <w:rsid w:val="00F07BF8"/>
    <w:rsid w:val="00F10437"/>
    <w:rsid w:val="00F11C2D"/>
    <w:rsid w:val="00F12F22"/>
    <w:rsid w:val="00F13DFF"/>
    <w:rsid w:val="00F14A14"/>
    <w:rsid w:val="00F15070"/>
    <w:rsid w:val="00F15D10"/>
    <w:rsid w:val="00F169BE"/>
    <w:rsid w:val="00F201EC"/>
    <w:rsid w:val="00F20623"/>
    <w:rsid w:val="00F213F5"/>
    <w:rsid w:val="00F22743"/>
    <w:rsid w:val="00F22A10"/>
    <w:rsid w:val="00F23787"/>
    <w:rsid w:val="00F24882"/>
    <w:rsid w:val="00F27269"/>
    <w:rsid w:val="00F31109"/>
    <w:rsid w:val="00F3195F"/>
    <w:rsid w:val="00F32CAA"/>
    <w:rsid w:val="00F32CB1"/>
    <w:rsid w:val="00F3310A"/>
    <w:rsid w:val="00F350B7"/>
    <w:rsid w:val="00F3559C"/>
    <w:rsid w:val="00F35A4E"/>
    <w:rsid w:val="00F35FD4"/>
    <w:rsid w:val="00F36CD7"/>
    <w:rsid w:val="00F37BAD"/>
    <w:rsid w:val="00F40B40"/>
    <w:rsid w:val="00F41D17"/>
    <w:rsid w:val="00F42494"/>
    <w:rsid w:val="00F428FD"/>
    <w:rsid w:val="00F42B87"/>
    <w:rsid w:val="00F42BEB"/>
    <w:rsid w:val="00F4320A"/>
    <w:rsid w:val="00F43A3C"/>
    <w:rsid w:val="00F43FB5"/>
    <w:rsid w:val="00F44A34"/>
    <w:rsid w:val="00F472C8"/>
    <w:rsid w:val="00F4765D"/>
    <w:rsid w:val="00F5036B"/>
    <w:rsid w:val="00F50730"/>
    <w:rsid w:val="00F511BF"/>
    <w:rsid w:val="00F52231"/>
    <w:rsid w:val="00F5387A"/>
    <w:rsid w:val="00F54873"/>
    <w:rsid w:val="00F54A26"/>
    <w:rsid w:val="00F54B01"/>
    <w:rsid w:val="00F54D54"/>
    <w:rsid w:val="00F55707"/>
    <w:rsid w:val="00F56CDD"/>
    <w:rsid w:val="00F5726D"/>
    <w:rsid w:val="00F57477"/>
    <w:rsid w:val="00F608BE"/>
    <w:rsid w:val="00F61234"/>
    <w:rsid w:val="00F63990"/>
    <w:rsid w:val="00F63C56"/>
    <w:rsid w:val="00F64404"/>
    <w:rsid w:val="00F64432"/>
    <w:rsid w:val="00F6469F"/>
    <w:rsid w:val="00F65571"/>
    <w:rsid w:val="00F670DD"/>
    <w:rsid w:val="00F6758C"/>
    <w:rsid w:val="00F7239D"/>
    <w:rsid w:val="00F734D0"/>
    <w:rsid w:val="00F73820"/>
    <w:rsid w:val="00F73DDE"/>
    <w:rsid w:val="00F747F0"/>
    <w:rsid w:val="00F7511C"/>
    <w:rsid w:val="00F7643A"/>
    <w:rsid w:val="00F770BD"/>
    <w:rsid w:val="00F77379"/>
    <w:rsid w:val="00F77382"/>
    <w:rsid w:val="00F8002F"/>
    <w:rsid w:val="00F805BD"/>
    <w:rsid w:val="00F80827"/>
    <w:rsid w:val="00F811F3"/>
    <w:rsid w:val="00F811F8"/>
    <w:rsid w:val="00F8188B"/>
    <w:rsid w:val="00F82B41"/>
    <w:rsid w:val="00F82B7B"/>
    <w:rsid w:val="00F8342C"/>
    <w:rsid w:val="00F83900"/>
    <w:rsid w:val="00F84019"/>
    <w:rsid w:val="00F84A00"/>
    <w:rsid w:val="00F84AE5"/>
    <w:rsid w:val="00F85144"/>
    <w:rsid w:val="00F85A35"/>
    <w:rsid w:val="00F87466"/>
    <w:rsid w:val="00F87A91"/>
    <w:rsid w:val="00F9109E"/>
    <w:rsid w:val="00F9146F"/>
    <w:rsid w:val="00F91773"/>
    <w:rsid w:val="00F924E4"/>
    <w:rsid w:val="00F94289"/>
    <w:rsid w:val="00F95C8F"/>
    <w:rsid w:val="00F97F7D"/>
    <w:rsid w:val="00FA0814"/>
    <w:rsid w:val="00FA17FF"/>
    <w:rsid w:val="00FA1B2A"/>
    <w:rsid w:val="00FA31C8"/>
    <w:rsid w:val="00FA3F0F"/>
    <w:rsid w:val="00FA40A8"/>
    <w:rsid w:val="00FA4451"/>
    <w:rsid w:val="00FA467B"/>
    <w:rsid w:val="00FA56F9"/>
    <w:rsid w:val="00FA7259"/>
    <w:rsid w:val="00FA7524"/>
    <w:rsid w:val="00FA7B45"/>
    <w:rsid w:val="00FA7FB2"/>
    <w:rsid w:val="00FB2289"/>
    <w:rsid w:val="00FB32DE"/>
    <w:rsid w:val="00FB7074"/>
    <w:rsid w:val="00FB7FBE"/>
    <w:rsid w:val="00FC1141"/>
    <w:rsid w:val="00FC1761"/>
    <w:rsid w:val="00FC252E"/>
    <w:rsid w:val="00FC2F89"/>
    <w:rsid w:val="00FC3121"/>
    <w:rsid w:val="00FC38E1"/>
    <w:rsid w:val="00FC451F"/>
    <w:rsid w:val="00FC573A"/>
    <w:rsid w:val="00FC5C2B"/>
    <w:rsid w:val="00FC77D1"/>
    <w:rsid w:val="00FD05E6"/>
    <w:rsid w:val="00FD0E76"/>
    <w:rsid w:val="00FD0E86"/>
    <w:rsid w:val="00FD0E96"/>
    <w:rsid w:val="00FD103C"/>
    <w:rsid w:val="00FD14C6"/>
    <w:rsid w:val="00FD2A21"/>
    <w:rsid w:val="00FD35EC"/>
    <w:rsid w:val="00FD37C9"/>
    <w:rsid w:val="00FD5670"/>
    <w:rsid w:val="00FD5F15"/>
    <w:rsid w:val="00FD6B02"/>
    <w:rsid w:val="00FE1814"/>
    <w:rsid w:val="00FE4FA3"/>
    <w:rsid w:val="00FE5264"/>
    <w:rsid w:val="00FE54EB"/>
    <w:rsid w:val="00FE5781"/>
    <w:rsid w:val="00FE6977"/>
    <w:rsid w:val="00FE6B4B"/>
    <w:rsid w:val="00FE6D61"/>
    <w:rsid w:val="00FE7875"/>
    <w:rsid w:val="00FF0E52"/>
    <w:rsid w:val="00FF1AF1"/>
    <w:rsid w:val="00FF1CEB"/>
    <w:rsid w:val="00FF23BF"/>
    <w:rsid w:val="00FF246C"/>
    <w:rsid w:val="00FF2496"/>
    <w:rsid w:val="00FF28B5"/>
    <w:rsid w:val="00FF3AE0"/>
    <w:rsid w:val="00FF40B9"/>
    <w:rsid w:val="00FF428A"/>
    <w:rsid w:val="00FF4777"/>
    <w:rsid w:val="00FF482D"/>
    <w:rsid w:val="00FF4898"/>
    <w:rsid w:val="00FF4CD4"/>
    <w:rsid w:val="00FF5C33"/>
    <w:rsid w:val="00FF636E"/>
    <w:rsid w:val="00FF656F"/>
    <w:rsid w:val="00FF673A"/>
    <w:rsid w:val="00FF6973"/>
    <w:rsid w:val="00FF7311"/>
    <w:rsid w:val="00FF7D1E"/>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55357"/>
  <w15:docId w15:val="{1C491E0B-5BB8-464E-94FE-096FBA04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1E2"/>
  </w:style>
  <w:style w:type="paragraph" w:styleId="1">
    <w:name w:val="heading 1"/>
    <w:aliases w:val="Capitole"/>
    <w:basedOn w:val="a"/>
    <w:next w:val="a"/>
    <w:link w:val="10"/>
    <w:uiPriority w:val="9"/>
    <w:qFormat/>
    <w:rsid w:val="009351E2"/>
    <w:pPr>
      <w:keepNext/>
      <w:keepLines/>
      <w:numPr>
        <w:numId w:val="1"/>
      </w:numPr>
      <w:spacing w:before="240" w:after="0" w:line="276" w:lineRule="auto"/>
      <w:jc w:val="center"/>
      <w:outlineLvl w:val="0"/>
    </w:pPr>
    <w:rPr>
      <w:rFonts w:ascii="Times New Roman" w:eastAsiaTheme="majorEastAsia" w:hAnsi="Times New Roman" w:cstheme="majorBidi"/>
      <w:b/>
      <w:sz w:val="32"/>
      <w:szCs w:val="32"/>
    </w:rPr>
  </w:style>
  <w:style w:type="paragraph" w:styleId="2">
    <w:name w:val="heading 2"/>
    <w:aliases w:val="Subcapitole"/>
    <w:basedOn w:val="a"/>
    <w:next w:val="a"/>
    <w:link w:val="20"/>
    <w:uiPriority w:val="9"/>
    <w:unhideWhenUsed/>
    <w:qFormat/>
    <w:rsid w:val="00F13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F67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autoRedefine/>
    <w:uiPriority w:val="9"/>
    <w:unhideWhenUsed/>
    <w:qFormat/>
    <w:rsid w:val="00842469"/>
    <w:pPr>
      <w:keepNext/>
      <w:keepLines/>
      <w:shd w:val="clear" w:color="auto" w:fill="FFFFFF"/>
      <w:tabs>
        <w:tab w:val="left" w:pos="284"/>
      </w:tabs>
      <w:spacing w:before="165" w:after="165" w:line="276" w:lineRule="auto"/>
      <w:jc w:val="both"/>
      <w:outlineLvl w:val="3"/>
    </w:pPr>
    <w:rPr>
      <w:rFonts w:ascii="Times New Roman" w:hAnsi="Times New Roman" w:cs="Times New Roman"/>
      <w:iCs/>
      <w:color w:val="333333"/>
      <w:sz w:val="16"/>
      <w:szCs w:val="16"/>
    </w:rPr>
  </w:style>
  <w:style w:type="paragraph" w:styleId="5">
    <w:name w:val="heading 5"/>
    <w:basedOn w:val="a"/>
    <w:next w:val="a"/>
    <w:link w:val="50"/>
    <w:uiPriority w:val="9"/>
    <w:semiHidden/>
    <w:unhideWhenUsed/>
    <w:qFormat/>
    <w:rsid w:val="009351E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8"/>
    </w:rPr>
  </w:style>
  <w:style w:type="paragraph" w:styleId="6">
    <w:name w:val="heading 6"/>
    <w:basedOn w:val="a"/>
    <w:next w:val="a"/>
    <w:link w:val="60"/>
    <w:uiPriority w:val="9"/>
    <w:semiHidden/>
    <w:unhideWhenUsed/>
    <w:qFormat/>
    <w:rsid w:val="009351E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8"/>
    </w:rPr>
  </w:style>
  <w:style w:type="paragraph" w:styleId="7">
    <w:name w:val="heading 7"/>
    <w:basedOn w:val="a"/>
    <w:next w:val="a"/>
    <w:link w:val="70"/>
    <w:uiPriority w:val="9"/>
    <w:semiHidden/>
    <w:unhideWhenUsed/>
    <w:qFormat/>
    <w:rsid w:val="009351E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8"/>
    </w:rPr>
  </w:style>
  <w:style w:type="paragraph" w:styleId="8">
    <w:name w:val="heading 8"/>
    <w:basedOn w:val="a"/>
    <w:next w:val="a"/>
    <w:link w:val="80"/>
    <w:uiPriority w:val="9"/>
    <w:semiHidden/>
    <w:unhideWhenUsed/>
    <w:qFormat/>
    <w:rsid w:val="009351E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9351E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pitole Знак"/>
    <w:basedOn w:val="a0"/>
    <w:link w:val="1"/>
    <w:uiPriority w:val="9"/>
    <w:rsid w:val="009351E2"/>
    <w:rPr>
      <w:rFonts w:ascii="Times New Roman" w:eastAsiaTheme="majorEastAsia" w:hAnsi="Times New Roman" w:cstheme="majorBidi"/>
      <w:b/>
      <w:sz w:val="32"/>
      <w:szCs w:val="32"/>
    </w:rPr>
  </w:style>
  <w:style w:type="character" w:customStyle="1" w:styleId="40">
    <w:name w:val="Заголовок 4 Знак"/>
    <w:basedOn w:val="a0"/>
    <w:link w:val="4"/>
    <w:uiPriority w:val="9"/>
    <w:rsid w:val="00842469"/>
    <w:rPr>
      <w:rFonts w:ascii="Times New Roman" w:hAnsi="Times New Roman" w:cs="Times New Roman"/>
      <w:iCs/>
      <w:color w:val="333333"/>
      <w:sz w:val="16"/>
      <w:szCs w:val="16"/>
      <w:shd w:val="clear" w:color="auto" w:fill="FFFFFF"/>
    </w:rPr>
  </w:style>
  <w:style w:type="character" w:customStyle="1" w:styleId="50">
    <w:name w:val="Заголовок 5 Знак"/>
    <w:basedOn w:val="a0"/>
    <w:link w:val="5"/>
    <w:uiPriority w:val="9"/>
    <w:semiHidden/>
    <w:rsid w:val="009351E2"/>
    <w:rPr>
      <w:rFonts w:asciiTheme="majorHAnsi" w:eastAsiaTheme="majorEastAsia" w:hAnsiTheme="majorHAnsi" w:cstheme="majorBidi"/>
      <w:color w:val="2E74B5" w:themeColor="accent1" w:themeShade="BF"/>
      <w:sz w:val="28"/>
    </w:rPr>
  </w:style>
  <w:style w:type="character" w:customStyle="1" w:styleId="60">
    <w:name w:val="Заголовок 6 Знак"/>
    <w:basedOn w:val="a0"/>
    <w:link w:val="6"/>
    <w:uiPriority w:val="9"/>
    <w:semiHidden/>
    <w:rsid w:val="009351E2"/>
    <w:rPr>
      <w:rFonts w:asciiTheme="majorHAnsi" w:eastAsiaTheme="majorEastAsia" w:hAnsiTheme="majorHAnsi" w:cstheme="majorBidi"/>
      <w:color w:val="1F4D78" w:themeColor="accent1" w:themeShade="7F"/>
      <w:sz w:val="28"/>
    </w:rPr>
  </w:style>
  <w:style w:type="character" w:customStyle="1" w:styleId="70">
    <w:name w:val="Заголовок 7 Знак"/>
    <w:basedOn w:val="a0"/>
    <w:link w:val="7"/>
    <w:uiPriority w:val="9"/>
    <w:semiHidden/>
    <w:rsid w:val="009351E2"/>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0"/>
    <w:link w:val="8"/>
    <w:uiPriority w:val="9"/>
    <w:semiHidden/>
    <w:rsid w:val="009351E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9351E2"/>
    <w:rPr>
      <w:rFonts w:asciiTheme="majorHAnsi" w:eastAsiaTheme="majorEastAsia" w:hAnsiTheme="majorHAnsi" w:cstheme="majorBidi"/>
      <w:i/>
      <w:iCs/>
      <w:color w:val="272727" w:themeColor="text1" w:themeTint="D8"/>
      <w:sz w:val="21"/>
      <w:szCs w:val="21"/>
    </w:rPr>
  </w:style>
  <w:style w:type="paragraph" w:styleId="a3">
    <w:name w:val="footnote text"/>
    <w:aliases w:val="Fußnote Char Char,Fußnote Char,Fußnote Char Car Char Char,Fußnote Char Car Char Char Char Char Char Char Char Char Char Char,Fußnote Char Car Char Char Char Char Char Char Char Char Char Char Char Char Char Char,single space,fn,FOOTNOTES,A"/>
    <w:basedOn w:val="a"/>
    <w:link w:val="a4"/>
    <w:uiPriority w:val="99"/>
    <w:unhideWhenUsed/>
    <w:qFormat/>
    <w:rsid w:val="009351E2"/>
    <w:pPr>
      <w:spacing w:after="0" w:line="240" w:lineRule="auto"/>
    </w:pPr>
    <w:rPr>
      <w:sz w:val="20"/>
      <w:szCs w:val="20"/>
    </w:rPr>
  </w:style>
  <w:style w:type="character" w:customStyle="1" w:styleId="a4">
    <w:name w:val="Текст сноски Знак"/>
    <w:aliases w:val="Fußnote Char Char Знак,Fußnote Char Знак,Fußnote Char Car Char Char Знак,Fußnote Char Car Char Char Char Char Char Char Char Char Char Char Знак,single space Знак,fn Знак,FOOTNOTES Знак,A Знак"/>
    <w:basedOn w:val="a0"/>
    <w:link w:val="a3"/>
    <w:uiPriority w:val="99"/>
    <w:rsid w:val="009351E2"/>
    <w:rPr>
      <w:sz w:val="20"/>
      <w:szCs w:val="20"/>
    </w:rPr>
  </w:style>
  <w:style w:type="character" w:styleId="a5">
    <w:name w:val="footnote reference"/>
    <w:aliases w:val="ftref,Times 10 Point,Exposant 3 Point,Footnote symbol,Footnote reference number,EN Footnote Reference,note TESI,16 Point,Superscript 6 Point,Footnote Text Char2,Char Char1,FOOTNOTES Char1,fn Char1,single space Char1,ft Char1,Ref,fr"/>
    <w:basedOn w:val="a0"/>
    <w:link w:val="FNRefeCharChar"/>
    <w:uiPriority w:val="99"/>
    <w:unhideWhenUsed/>
    <w:rsid w:val="009351E2"/>
    <w:rPr>
      <w:vertAlign w:val="superscript"/>
    </w:rPr>
  </w:style>
  <w:style w:type="paragraph" w:styleId="a6">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7"/>
    <w:uiPriority w:val="99"/>
    <w:unhideWhenUsed/>
    <w:qFormat/>
    <w:rsid w:val="009351E2"/>
    <w:pPr>
      <w:spacing w:after="0" w:line="240" w:lineRule="auto"/>
      <w:ind w:firstLine="567"/>
      <w:jc w:val="both"/>
    </w:pPr>
    <w:rPr>
      <w:rFonts w:ascii="Times New Roman" w:eastAsia="Times New Roman" w:hAnsi="Times New Roman" w:cs="Times New Roman"/>
      <w:sz w:val="24"/>
      <w:szCs w:val="24"/>
    </w:rPr>
  </w:style>
  <w:style w:type="character" w:customStyle="1" w:styleId="a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6"/>
    <w:uiPriority w:val="99"/>
    <w:rsid w:val="009351E2"/>
    <w:rPr>
      <w:rFonts w:ascii="Times New Roman" w:eastAsia="Times New Roman" w:hAnsi="Times New Roman" w:cs="Times New Roman"/>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qFormat/>
    <w:rsid w:val="009351E2"/>
    <w:pPr>
      <w:spacing w:line="240" w:lineRule="exact"/>
    </w:pPr>
    <w:rPr>
      <w:vertAlign w:val="superscript"/>
    </w:rPr>
  </w:style>
  <w:style w:type="paragraph" w:styleId="a8">
    <w:name w:val="No Spacing"/>
    <w:aliases w:val="Subsol,referinta"/>
    <w:link w:val="a9"/>
    <w:uiPriority w:val="1"/>
    <w:qFormat/>
    <w:rsid w:val="009351E2"/>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LegturInternet">
    <w:name w:val="Legătură Internet"/>
    <w:basedOn w:val="a0"/>
    <w:rsid w:val="009351E2"/>
    <w:rPr>
      <w:color w:val="0563C1"/>
      <w:u w:val="single"/>
    </w:rPr>
  </w:style>
  <w:style w:type="table" w:customStyle="1" w:styleId="GridTable1Light1">
    <w:name w:val="Grid Table 1 Light1"/>
    <w:basedOn w:val="a1"/>
    <w:uiPriority w:val="46"/>
    <w:rsid w:val="009351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List Paragraph"/>
    <w:aliases w:val="List Paragraph 1,Scriptoria bullet points,strikethrough,Абзац списка1,standaard met opsomming,HotarirePunct1,Bullets,References,Liste 1,List Paragraph nowy,Numbered List Paragraph,List Paragraph (numbered (a)),Dot pt,Paragraphe de liste2"/>
    <w:basedOn w:val="a"/>
    <w:link w:val="ab"/>
    <w:uiPriority w:val="34"/>
    <w:qFormat/>
    <w:rsid w:val="00504112"/>
    <w:pPr>
      <w:ind w:left="720"/>
      <w:contextualSpacing/>
    </w:pPr>
  </w:style>
  <w:style w:type="character" w:customStyle="1" w:styleId="ab">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a"/>
    <w:uiPriority w:val="34"/>
    <w:qFormat/>
    <w:locked/>
    <w:rsid w:val="00504112"/>
  </w:style>
  <w:style w:type="paragraph" w:styleId="ac">
    <w:name w:val="header"/>
    <w:basedOn w:val="a"/>
    <w:link w:val="ad"/>
    <w:uiPriority w:val="99"/>
    <w:unhideWhenUsed/>
    <w:rsid w:val="00D861BA"/>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D861BA"/>
  </w:style>
  <w:style w:type="paragraph" w:styleId="ae">
    <w:name w:val="footer"/>
    <w:basedOn w:val="a"/>
    <w:link w:val="af"/>
    <w:uiPriority w:val="99"/>
    <w:unhideWhenUsed/>
    <w:rsid w:val="00D861B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861BA"/>
  </w:style>
  <w:style w:type="character" w:customStyle="1" w:styleId="20">
    <w:name w:val="Заголовок 2 Знак"/>
    <w:aliases w:val="Subcapitole Знак"/>
    <w:basedOn w:val="a0"/>
    <w:link w:val="2"/>
    <w:uiPriority w:val="9"/>
    <w:rsid w:val="00F13DFF"/>
    <w:rPr>
      <w:rFonts w:asciiTheme="majorHAnsi" w:eastAsiaTheme="majorEastAsia" w:hAnsiTheme="majorHAnsi" w:cstheme="majorBidi"/>
      <w:color w:val="2E74B5" w:themeColor="accent1" w:themeShade="BF"/>
      <w:sz w:val="26"/>
      <w:szCs w:val="26"/>
    </w:rPr>
  </w:style>
  <w:style w:type="character" w:styleId="af0">
    <w:name w:val="Strong"/>
    <w:basedOn w:val="a0"/>
    <w:uiPriority w:val="22"/>
    <w:qFormat/>
    <w:rsid w:val="00F77379"/>
    <w:rPr>
      <w:b/>
      <w:bCs/>
    </w:rPr>
  </w:style>
  <w:style w:type="paragraph" w:customStyle="1" w:styleId="Default">
    <w:name w:val="Default"/>
    <w:rsid w:val="00F773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qFormat/>
    <w:rsid w:val="00C5751A"/>
    <w:pPr>
      <w:spacing w:after="0" w:line="240" w:lineRule="auto"/>
      <w:jc w:val="center"/>
    </w:pPr>
    <w:rPr>
      <w:rFonts w:ascii="Times New Roman" w:eastAsia="Times New Roman" w:hAnsi="Times New Roman" w:cs="Times New Roman"/>
      <w:b/>
      <w:bCs/>
      <w:sz w:val="24"/>
      <w:szCs w:val="24"/>
      <w:lang w:eastAsia="ro-RO"/>
    </w:rPr>
  </w:style>
  <w:style w:type="table" w:styleId="af1">
    <w:name w:val="Table Grid"/>
    <w:basedOn w:val="a1"/>
    <w:uiPriority w:val="39"/>
    <w:rsid w:val="000B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F9109E"/>
    <w:rPr>
      <w:color w:val="0563C1" w:themeColor="hyperlink"/>
      <w:u w:val="single"/>
    </w:rPr>
  </w:style>
  <w:style w:type="paragraph" w:styleId="af3">
    <w:name w:val="annotation text"/>
    <w:basedOn w:val="a"/>
    <w:link w:val="af4"/>
    <w:uiPriority w:val="99"/>
    <w:unhideWhenUsed/>
    <w:rsid w:val="00F9109E"/>
    <w:pPr>
      <w:spacing w:line="240" w:lineRule="auto"/>
    </w:pPr>
    <w:rPr>
      <w:sz w:val="20"/>
      <w:szCs w:val="20"/>
    </w:rPr>
  </w:style>
  <w:style w:type="character" w:customStyle="1" w:styleId="af4">
    <w:name w:val="Текст примечания Знак"/>
    <w:basedOn w:val="a0"/>
    <w:link w:val="af3"/>
    <w:uiPriority w:val="99"/>
    <w:rsid w:val="00F9109E"/>
    <w:rPr>
      <w:sz w:val="20"/>
      <w:szCs w:val="20"/>
    </w:rPr>
  </w:style>
  <w:style w:type="numbering" w:customStyle="1" w:styleId="NoList1">
    <w:name w:val="No List1"/>
    <w:next w:val="a2"/>
    <w:uiPriority w:val="99"/>
    <w:semiHidden/>
    <w:unhideWhenUsed/>
    <w:rsid w:val="00CD2A08"/>
  </w:style>
  <w:style w:type="character" w:customStyle="1" w:styleId="21">
    <w:name w:val="Основной текст (2)_"/>
    <w:basedOn w:val="a0"/>
    <w:link w:val="22"/>
    <w:rsid w:val="00CD2A08"/>
    <w:rPr>
      <w:rFonts w:ascii="Book Antiqua" w:eastAsia="Book Antiqua" w:hAnsi="Book Antiqua" w:cs="Book Antiqua"/>
      <w:sz w:val="18"/>
      <w:szCs w:val="18"/>
      <w:shd w:val="clear" w:color="auto" w:fill="FFFFFF"/>
    </w:rPr>
  </w:style>
  <w:style w:type="paragraph" w:customStyle="1" w:styleId="22">
    <w:name w:val="Основной текст (2)"/>
    <w:basedOn w:val="a"/>
    <w:link w:val="21"/>
    <w:rsid w:val="00CD2A08"/>
    <w:pPr>
      <w:widowControl w:val="0"/>
      <w:shd w:val="clear" w:color="auto" w:fill="FFFFFF"/>
      <w:spacing w:before="720" w:after="260" w:line="245" w:lineRule="exact"/>
    </w:pPr>
    <w:rPr>
      <w:rFonts w:ascii="Book Antiqua" w:eastAsia="Book Antiqua" w:hAnsi="Book Antiqua" w:cs="Book Antiqua"/>
      <w:sz w:val="18"/>
      <w:szCs w:val="18"/>
    </w:rPr>
  </w:style>
  <w:style w:type="character" w:customStyle="1" w:styleId="31">
    <w:name w:val="Основной текст (3)_"/>
    <w:basedOn w:val="a0"/>
    <w:link w:val="32"/>
    <w:rsid w:val="00CD2A08"/>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CD2A08"/>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styleId="af5">
    <w:name w:val="endnote text"/>
    <w:basedOn w:val="a"/>
    <w:link w:val="af6"/>
    <w:uiPriority w:val="99"/>
    <w:semiHidden/>
    <w:unhideWhenUsed/>
    <w:rsid w:val="00B6239C"/>
    <w:pPr>
      <w:spacing w:after="0" w:line="240" w:lineRule="auto"/>
    </w:pPr>
    <w:rPr>
      <w:sz w:val="20"/>
      <w:szCs w:val="20"/>
    </w:rPr>
  </w:style>
  <w:style w:type="character" w:customStyle="1" w:styleId="af6">
    <w:name w:val="Текст концевой сноски Знак"/>
    <w:basedOn w:val="a0"/>
    <w:link w:val="af5"/>
    <w:uiPriority w:val="99"/>
    <w:semiHidden/>
    <w:rsid w:val="00B6239C"/>
    <w:rPr>
      <w:sz w:val="20"/>
      <w:szCs w:val="20"/>
    </w:rPr>
  </w:style>
  <w:style w:type="character" w:styleId="af7">
    <w:name w:val="endnote reference"/>
    <w:basedOn w:val="a0"/>
    <w:uiPriority w:val="99"/>
    <w:semiHidden/>
    <w:unhideWhenUsed/>
    <w:rsid w:val="00B6239C"/>
    <w:rPr>
      <w:vertAlign w:val="superscript"/>
    </w:rPr>
  </w:style>
  <w:style w:type="paragraph" w:customStyle="1" w:styleId="Normal1">
    <w:name w:val="Normal1"/>
    <w:basedOn w:val="a"/>
    <w:rsid w:val="00E4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E44D56"/>
  </w:style>
  <w:style w:type="paragraph" w:customStyle="1" w:styleId="list0020paragraph">
    <w:name w:val="list_0020paragraph"/>
    <w:basedOn w:val="a"/>
    <w:rsid w:val="00E4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E44D56"/>
  </w:style>
  <w:style w:type="paragraph" w:styleId="33">
    <w:name w:val="Body Text 3"/>
    <w:basedOn w:val="a"/>
    <w:link w:val="34"/>
    <w:uiPriority w:val="99"/>
    <w:unhideWhenUsed/>
    <w:rsid w:val="00C74FFB"/>
    <w:pPr>
      <w:spacing w:after="120"/>
    </w:pPr>
    <w:rPr>
      <w:sz w:val="16"/>
      <w:szCs w:val="16"/>
      <w:lang w:val="ru-RU"/>
    </w:rPr>
  </w:style>
  <w:style w:type="character" w:customStyle="1" w:styleId="34">
    <w:name w:val="Основной текст 3 Знак"/>
    <w:basedOn w:val="a0"/>
    <w:link w:val="33"/>
    <w:uiPriority w:val="99"/>
    <w:rsid w:val="00C74FFB"/>
    <w:rPr>
      <w:sz w:val="16"/>
      <w:szCs w:val="16"/>
      <w:lang w:val="ru-RU"/>
    </w:rPr>
  </w:style>
  <w:style w:type="character" w:styleId="af8">
    <w:name w:val="annotation reference"/>
    <w:basedOn w:val="a0"/>
    <w:uiPriority w:val="99"/>
    <w:semiHidden/>
    <w:unhideWhenUsed/>
    <w:rsid w:val="00D41213"/>
    <w:rPr>
      <w:sz w:val="16"/>
      <w:szCs w:val="16"/>
    </w:rPr>
  </w:style>
  <w:style w:type="paragraph" w:styleId="af9">
    <w:name w:val="annotation subject"/>
    <w:basedOn w:val="af3"/>
    <w:next w:val="af3"/>
    <w:link w:val="afa"/>
    <w:uiPriority w:val="99"/>
    <w:semiHidden/>
    <w:unhideWhenUsed/>
    <w:rsid w:val="00D41213"/>
    <w:rPr>
      <w:b/>
      <w:bCs/>
    </w:rPr>
  </w:style>
  <w:style w:type="character" w:customStyle="1" w:styleId="afa">
    <w:name w:val="Тема примечания Знак"/>
    <w:basedOn w:val="af4"/>
    <w:link w:val="af9"/>
    <w:uiPriority w:val="99"/>
    <w:semiHidden/>
    <w:rsid w:val="00D41213"/>
    <w:rPr>
      <w:b/>
      <w:bCs/>
      <w:sz w:val="20"/>
      <w:szCs w:val="20"/>
    </w:rPr>
  </w:style>
  <w:style w:type="paragraph" w:styleId="afb">
    <w:name w:val="Balloon Text"/>
    <w:basedOn w:val="a"/>
    <w:link w:val="afc"/>
    <w:uiPriority w:val="99"/>
    <w:semiHidden/>
    <w:unhideWhenUsed/>
    <w:rsid w:val="00D41213"/>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D41213"/>
    <w:rPr>
      <w:rFonts w:ascii="Segoe UI" w:hAnsi="Segoe UI" w:cs="Segoe UI"/>
      <w:sz w:val="18"/>
      <w:szCs w:val="18"/>
    </w:rPr>
  </w:style>
  <w:style w:type="paragraph" w:customStyle="1" w:styleId="Text">
    <w:name w:val="Text"/>
    <w:basedOn w:val="a"/>
    <w:link w:val="TextChar"/>
    <w:qFormat/>
    <w:rsid w:val="006838A4"/>
    <w:pPr>
      <w:spacing w:after="0" w:line="276" w:lineRule="auto"/>
      <w:ind w:firstLine="709"/>
      <w:jc w:val="both"/>
    </w:pPr>
    <w:rPr>
      <w:rFonts w:ascii="Times New Roman" w:hAnsi="Times New Roman" w:cs="Times New Roman"/>
      <w:sz w:val="28"/>
      <w:szCs w:val="28"/>
    </w:rPr>
  </w:style>
  <w:style w:type="character" w:customStyle="1" w:styleId="TextChar">
    <w:name w:val="Text Char"/>
    <w:basedOn w:val="a0"/>
    <w:link w:val="Text"/>
    <w:rsid w:val="006838A4"/>
    <w:rPr>
      <w:rFonts w:ascii="Times New Roman" w:hAnsi="Times New Roman" w:cs="Times New Roman"/>
      <w:sz w:val="28"/>
      <w:szCs w:val="28"/>
    </w:rPr>
  </w:style>
  <w:style w:type="character" w:styleId="afd">
    <w:name w:val="Emphasis"/>
    <w:basedOn w:val="a0"/>
    <w:uiPriority w:val="20"/>
    <w:qFormat/>
    <w:rsid w:val="00A82E7C"/>
    <w:rPr>
      <w:i/>
      <w:iCs/>
    </w:rPr>
  </w:style>
  <w:style w:type="paragraph" w:styleId="afe">
    <w:name w:val="Body Text"/>
    <w:basedOn w:val="a"/>
    <w:link w:val="aff"/>
    <w:uiPriority w:val="99"/>
    <w:semiHidden/>
    <w:unhideWhenUsed/>
    <w:rsid w:val="00793126"/>
    <w:pPr>
      <w:spacing w:after="120"/>
    </w:pPr>
  </w:style>
  <w:style w:type="character" w:customStyle="1" w:styleId="aff">
    <w:name w:val="Основной текст Знак"/>
    <w:basedOn w:val="a0"/>
    <w:link w:val="afe"/>
    <w:uiPriority w:val="99"/>
    <w:semiHidden/>
    <w:rsid w:val="00793126"/>
  </w:style>
  <w:style w:type="table" w:customStyle="1" w:styleId="TableGrid1">
    <w:name w:val="Table Grid1"/>
    <w:basedOn w:val="a1"/>
    <w:next w:val="af1"/>
    <w:uiPriority w:val="39"/>
    <w:rsid w:val="00A3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aliases w:val="Subsol Знак,referinta Знак"/>
    <w:link w:val="a8"/>
    <w:uiPriority w:val="1"/>
    <w:locked/>
    <w:rsid w:val="001141B5"/>
    <w:rPr>
      <w:rFonts w:ascii="Arial" w:eastAsiaTheme="minorEastAsia" w:hAnsi="Arial" w:cs="Arial"/>
      <w:sz w:val="20"/>
      <w:szCs w:val="20"/>
    </w:rPr>
  </w:style>
  <w:style w:type="character" w:customStyle="1" w:styleId="30">
    <w:name w:val="Заголовок 3 Знак"/>
    <w:basedOn w:val="a0"/>
    <w:link w:val="3"/>
    <w:uiPriority w:val="9"/>
    <w:semiHidden/>
    <w:rsid w:val="00DF67F0"/>
    <w:rPr>
      <w:rFonts w:asciiTheme="majorHAnsi" w:eastAsiaTheme="majorEastAsia" w:hAnsiTheme="majorHAnsi" w:cstheme="majorBidi"/>
      <w:color w:val="1F4D78" w:themeColor="accent1" w:themeShade="7F"/>
      <w:sz w:val="24"/>
      <w:szCs w:val="24"/>
    </w:rPr>
  </w:style>
  <w:style w:type="character" w:customStyle="1" w:styleId="footnotereference">
    <w:name w:val="footnotereference"/>
    <w:basedOn w:val="a0"/>
    <w:rsid w:val="0073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501">
      <w:bodyDiv w:val="1"/>
      <w:marLeft w:val="0"/>
      <w:marRight w:val="0"/>
      <w:marTop w:val="0"/>
      <w:marBottom w:val="0"/>
      <w:divBdr>
        <w:top w:val="none" w:sz="0" w:space="0" w:color="auto"/>
        <w:left w:val="none" w:sz="0" w:space="0" w:color="auto"/>
        <w:bottom w:val="none" w:sz="0" w:space="0" w:color="auto"/>
        <w:right w:val="none" w:sz="0" w:space="0" w:color="auto"/>
      </w:divBdr>
    </w:div>
    <w:div w:id="108667688">
      <w:bodyDiv w:val="1"/>
      <w:marLeft w:val="0"/>
      <w:marRight w:val="0"/>
      <w:marTop w:val="0"/>
      <w:marBottom w:val="0"/>
      <w:divBdr>
        <w:top w:val="none" w:sz="0" w:space="0" w:color="auto"/>
        <w:left w:val="none" w:sz="0" w:space="0" w:color="auto"/>
        <w:bottom w:val="none" w:sz="0" w:space="0" w:color="auto"/>
        <w:right w:val="none" w:sz="0" w:space="0" w:color="auto"/>
      </w:divBdr>
    </w:div>
    <w:div w:id="115373413">
      <w:bodyDiv w:val="1"/>
      <w:marLeft w:val="0"/>
      <w:marRight w:val="0"/>
      <w:marTop w:val="0"/>
      <w:marBottom w:val="0"/>
      <w:divBdr>
        <w:top w:val="none" w:sz="0" w:space="0" w:color="auto"/>
        <w:left w:val="none" w:sz="0" w:space="0" w:color="auto"/>
        <w:bottom w:val="none" w:sz="0" w:space="0" w:color="auto"/>
        <w:right w:val="none" w:sz="0" w:space="0" w:color="auto"/>
      </w:divBdr>
    </w:div>
    <w:div w:id="119762659">
      <w:bodyDiv w:val="1"/>
      <w:marLeft w:val="0"/>
      <w:marRight w:val="0"/>
      <w:marTop w:val="0"/>
      <w:marBottom w:val="0"/>
      <w:divBdr>
        <w:top w:val="none" w:sz="0" w:space="0" w:color="auto"/>
        <w:left w:val="none" w:sz="0" w:space="0" w:color="auto"/>
        <w:bottom w:val="none" w:sz="0" w:space="0" w:color="auto"/>
        <w:right w:val="none" w:sz="0" w:space="0" w:color="auto"/>
      </w:divBdr>
    </w:div>
    <w:div w:id="164902214">
      <w:bodyDiv w:val="1"/>
      <w:marLeft w:val="0"/>
      <w:marRight w:val="0"/>
      <w:marTop w:val="0"/>
      <w:marBottom w:val="0"/>
      <w:divBdr>
        <w:top w:val="none" w:sz="0" w:space="0" w:color="auto"/>
        <w:left w:val="none" w:sz="0" w:space="0" w:color="auto"/>
        <w:bottom w:val="none" w:sz="0" w:space="0" w:color="auto"/>
        <w:right w:val="none" w:sz="0" w:space="0" w:color="auto"/>
      </w:divBdr>
    </w:div>
    <w:div w:id="184101304">
      <w:bodyDiv w:val="1"/>
      <w:marLeft w:val="0"/>
      <w:marRight w:val="0"/>
      <w:marTop w:val="0"/>
      <w:marBottom w:val="0"/>
      <w:divBdr>
        <w:top w:val="none" w:sz="0" w:space="0" w:color="auto"/>
        <w:left w:val="none" w:sz="0" w:space="0" w:color="auto"/>
        <w:bottom w:val="none" w:sz="0" w:space="0" w:color="auto"/>
        <w:right w:val="none" w:sz="0" w:space="0" w:color="auto"/>
      </w:divBdr>
    </w:div>
    <w:div w:id="228544755">
      <w:bodyDiv w:val="1"/>
      <w:marLeft w:val="0"/>
      <w:marRight w:val="0"/>
      <w:marTop w:val="0"/>
      <w:marBottom w:val="0"/>
      <w:divBdr>
        <w:top w:val="none" w:sz="0" w:space="0" w:color="auto"/>
        <w:left w:val="none" w:sz="0" w:space="0" w:color="auto"/>
        <w:bottom w:val="none" w:sz="0" w:space="0" w:color="auto"/>
        <w:right w:val="none" w:sz="0" w:space="0" w:color="auto"/>
      </w:divBdr>
    </w:div>
    <w:div w:id="257829530">
      <w:bodyDiv w:val="1"/>
      <w:marLeft w:val="0"/>
      <w:marRight w:val="0"/>
      <w:marTop w:val="0"/>
      <w:marBottom w:val="0"/>
      <w:divBdr>
        <w:top w:val="none" w:sz="0" w:space="0" w:color="auto"/>
        <w:left w:val="none" w:sz="0" w:space="0" w:color="auto"/>
        <w:bottom w:val="none" w:sz="0" w:space="0" w:color="auto"/>
        <w:right w:val="none" w:sz="0" w:space="0" w:color="auto"/>
      </w:divBdr>
    </w:div>
    <w:div w:id="348875838">
      <w:bodyDiv w:val="1"/>
      <w:marLeft w:val="0"/>
      <w:marRight w:val="0"/>
      <w:marTop w:val="0"/>
      <w:marBottom w:val="0"/>
      <w:divBdr>
        <w:top w:val="none" w:sz="0" w:space="0" w:color="auto"/>
        <w:left w:val="none" w:sz="0" w:space="0" w:color="auto"/>
        <w:bottom w:val="none" w:sz="0" w:space="0" w:color="auto"/>
        <w:right w:val="none" w:sz="0" w:space="0" w:color="auto"/>
      </w:divBdr>
    </w:div>
    <w:div w:id="352419313">
      <w:bodyDiv w:val="1"/>
      <w:marLeft w:val="0"/>
      <w:marRight w:val="0"/>
      <w:marTop w:val="0"/>
      <w:marBottom w:val="0"/>
      <w:divBdr>
        <w:top w:val="none" w:sz="0" w:space="0" w:color="auto"/>
        <w:left w:val="none" w:sz="0" w:space="0" w:color="auto"/>
        <w:bottom w:val="none" w:sz="0" w:space="0" w:color="auto"/>
        <w:right w:val="none" w:sz="0" w:space="0" w:color="auto"/>
      </w:divBdr>
    </w:div>
    <w:div w:id="355229321">
      <w:bodyDiv w:val="1"/>
      <w:marLeft w:val="0"/>
      <w:marRight w:val="0"/>
      <w:marTop w:val="0"/>
      <w:marBottom w:val="0"/>
      <w:divBdr>
        <w:top w:val="none" w:sz="0" w:space="0" w:color="auto"/>
        <w:left w:val="none" w:sz="0" w:space="0" w:color="auto"/>
        <w:bottom w:val="none" w:sz="0" w:space="0" w:color="auto"/>
        <w:right w:val="none" w:sz="0" w:space="0" w:color="auto"/>
      </w:divBdr>
    </w:div>
    <w:div w:id="381759663">
      <w:bodyDiv w:val="1"/>
      <w:marLeft w:val="0"/>
      <w:marRight w:val="0"/>
      <w:marTop w:val="0"/>
      <w:marBottom w:val="0"/>
      <w:divBdr>
        <w:top w:val="none" w:sz="0" w:space="0" w:color="auto"/>
        <w:left w:val="none" w:sz="0" w:space="0" w:color="auto"/>
        <w:bottom w:val="none" w:sz="0" w:space="0" w:color="auto"/>
        <w:right w:val="none" w:sz="0" w:space="0" w:color="auto"/>
      </w:divBdr>
    </w:div>
    <w:div w:id="389882744">
      <w:bodyDiv w:val="1"/>
      <w:marLeft w:val="0"/>
      <w:marRight w:val="0"/>
      <w:marTop w:val="0"/>
      <w:marBottom w:val="0"/>
      <w:divBdr>
        <w:top w:val="none" w:sz="0" w:space="0" w:color="auto"/>
        <w:left w:val="none" w:sz="0" w:space="0" w:color="auto"/>
        <w:bottom w:val="none" w:sz="0" w:space="0" w:color="auto"/>
        <w:right w:val="none" w:sz="0" w:space="0" w:color="auto"/>
      </w:divBdr>
    </w:div>
    <w:div w:id="501244691">
      <w:bodyDiv w:val="1"/>
      <w:marLeft w:val="0"/>
      <w:marRight w:val="0"/>
      <w:marTop w:val="0"/>
      <w:marBottom w:val="0"/>
      <w:divBdr>
        <w:top w:val="none" w:sz="0" w:space="0" w:color="auto"/>
        <w:left w:val="none" w:sz="0" w:space="0" w:color="auto"/>
        <w:bottom w:val="none" w:sz="0" w:space="0" w:color="auto"/>
        <w:right w:val="none" w:sz="0" w:space="0" w:color="auto"/>
      </w:divBdr>
    </w:div>
    <w:div w:id="526792686">
      <w:bodyDiv w:val="1"/>
      <w:marLeft w:val="0"/>
      <w:marRight w:val="0"/>
      <w:marTop w:val="0"/>
      <w:marBottom w:val="0"/>
      <w:divBdr>
        <w:top w:val="none" w:sz="0" w:space="0" w:color="auto"/>
        <w:left w:val="none" w:sz="0" w:space="0" w:color="auto"/>
        <w:bottom w:val="none" w:sz="0" w:space="0" w:color="auto"/>
        <w:right w:val="none" w:sz="0" w:space="0" w:color="auto"/>
      </w:divBdr>
    </w:div>
    <w:div w:id="544951559">
      <w:bodyDiv w:val="1"/>
      <w:marLeft w:val="0"/>
      <w:marRight w:val="0"/>
      <w:marTop w:val="0"/>
      <w:marBottom w:val="0"/>
      <w:divBdr>
        <w:top w:val="none" w:sz="0" w:space="0" w:color="auto"/>
        <w:left w:val="none" w:sz="0" w:space="0" w:color="auto"/>
        <w:bottom w:val="none" w:sz="0" w:space="0" w:color="auto"/>
        <w:right w:val="none" w:sz="0" w:space="0" w:color="auto"/>
      </w:divBdr>
    </w:div>
    <w:div w:id="574240090">
      <w:bodyDiv w:val="1"/>
      <w:marLeft w:val="0"/>
      <w:marRight w:val="0"/>
      <w:marTop w:val="0"/>
      <w:marBottom w:val="0"/>
      <w:divBdr>
        <w:top w:val="none" w:sz="0" w:space="0" w:color="auto"/>
        <w:left w:val="none" w:sz="0" w:space="0" w:color="auto"/>
        <w:bottom w:val="none" w:sz="0" w:space="0" w:color="auto"/>
        <w:right w:val="none" w:sz="0" w:space="0" w:color="auto"/>
      </w:divBdr>
    </w:div>
    <w:div w:id="631441529">
      <w:bodyDiv w:val="1"/>
      <w:marLeft w:val="0"/>
      <w:marRight w:val="0"/>
      <w:marTop w:val="0"/>
      <w:marBottom w:val="0"/>
      <w:divBdr>
        <w:top w:val="none" w:sz="0" w:space="0" w:color="auto"/>
        <w:left w:val="none" w:sz="0" w:space="0" w:color="auto"/>
        <w:bottom w:val="none" w:sz="0" w:space="0" w:color="auto"/>
        <w:right w:val="none" w:sz="0" w:space="0" w:color="auto"/>
      </w:divBdr>
    </w:div>
    <w:div w:id="645474720">
      <w:bodyDiv w:val="1"/>
      <w:marLeft w:val="0"/>
      <w:marRight w:val="0"/>
      <w:marTop w:val="0"/>
      <w:marBottom w:val="0"/>
      <w:divBdr>
        <w:top w:val="none" w:sz="0" w:space="0" w:color="auto"/>
        <w:left w:val="none" w:sz="0" w:space="0" w:color="auto"/>
        <w:bottom w:val="none" w:sz="0" w:space="0" w:color="auto"/>
        <w:right w:val="none" w:sz="0" w:space="0" w:color="auto"/>
      </w:divBdr>
    </w:div>
    <w:div w:id="678510898">
      <w:bodyDiv w:val="1"/>
      <w:marLeft w:val="0"/>
      <w:marRight w:val="0"/>
      <w:marTop w:val="0"/>
      <w:marBottom w:val="0"/>
      <w:divBdr>
        <w:top w:val="none" w:sz="0" w:space="0" w:color="auto"/>
        <w:left w:val="none" w:sz="0" w:space="0" w:color="auto"/>
        <w:bottom w:val="none" w:sz="0" w:space="0" w:color="auto"/>
        <w:right w:val="none" w:sz="0" w:space="0" w:color="auto"/>
      </w:divBdr>
    </w:div>
    <w:div w:id="762530491">
      <w:bodyDiv w:val="1"/>
      <w:marLeft w:val="0"/>
      <w:marRight w:val="0"/>
      <w:marTop w:val="0"/>
      <w:marBottom w:val="0"/>
      <w:divBdr>
        <w:top w:val="none" w:sz="0" w:space="0" w:color="auto"/>
        <w:left w:val="none" w:sz="0" w:space="0" w:color="auto"/>
        <w:bottom w:val="none" w:sz="0" w:space="0" w:color="auto"/>
        <w:right w:val="none" w:sz="0" w:space="0" w:color="auto"/>
      </w:divBdr>
    </w:div>
    <w:div w:id="766000210">
      <w:bodyDiv w:val="1"/>
      <w:marLeft w:val="0"/>
      <w:marRight w:val="0"/>
      <w:marTop w:val="0"/>
      <w:marBottom w:val="0"/>
      <w:divBdr>
        <w:top w:val="none" w:sz="0" w:space="0" w:color="auto"/>
        <w:left w:val="none" w:sz="0" w:space="0" w:color="auto"/>
        <w:bottom w:val="none" w:sz="0" w:space="0" w:color="auto"/>
        <w:right w:val="none" w:sz="0" w:space="0" w:color="auto"/>
      </w:divBdr>
    </w:div>
    <w:div w:id="766802998">
      <w:bodyDiv w:val="1"/>
      <w:marLeft w:val="0"/>
      <w:marRight w:val="0"/>
      <w:marTop w:val="0"/>
      <w:marBottom w:val="0"/>
      <w:divBdr>
        <w:top w:val="none" w:sz="0" w:space="0" w:color="auto"/>
        <w:left w:val="none" w:sz="0" w:space="0" w:color="auto"/>
        <w:bottom w:val="none" w:sz="0" w:space="0" w:color="auto"/>
        <w:right w:val="none" w:sz="0" w:space="0" w:color="auto"/>
      </w:divBdr>
    </w:div>
    <w:div w:id="828327000">
      <w:bodyDiv w:val="1"/>
      <w:marLeft w:val="0"/>
      <w:marRight w:val="0"/>
      <w:marTop w:val="0"/>
      <w:marBottom w:val="0"/>
      <w:divBdr>
        <w:top w:val="none" w:sz="0" w:space="0" w:color="auto"/>
        <w:left w:val="none" w:sz="0" w:space="0" w:color="auto"/>
        <w:bottom w:val="none" w:sz="0" w:space="0" w:color="auto"/>
        <w:right w:val="none" w:sz="0" w:space="0" w:color="auto"/>
      </w:divBdr>
    </w:div>
    <w:div w:id="830489324">
      <w:bodyDiv w:val="1"/>
      <w:marLeft w:val="0"/>
      <w:marRight w:val="0"/>
      <w:marTop w:val="0"/>
      <w:marBottom w:val="0"/>
      <w:divBdr>
        <w:top w:val="none" w:sz="0" w:space="0" w:color="auto"/>
        <w:left w:val="none" w:sz="0" w:space="0" w:color="auto"/>
        <w:bottom w:val="none" w:sz="0" w:space="0" w:color="auto"/>
        <w:right w:val="none" w:sz="0" w:space="0" w:color="auto"/>
      </w:divBdr>
    </w:div>
    <w:div w:id="837768195">
      <w:bodyDiv w:val="1"/>
      <w:marLeft w:val="0"/>
      <w:marRight w:val="0"/>
      <w:marTop w:val="0"/>
      <w:marBottom w:val="0"/>
      <w:divBdr>
        <w:top w:val="none" w:sz="0" w:space="0" w:color="auto"/>
        <w:left w:val="none" w:sz="0" w:space="0" w:color="auto"/>
        <w:bottom w:val="none" w:sz="0" w:space="0" w:color="auto"/>
        <w:right w:val="none" w:sz="0" w:space="0" w:color="auto"/>
      </w:divBdr>
    </w:div>
    <w:div w:id="940995140">
      <w:bodyDiv w:val="1"/>
      <w:marLeft w:val="0"/>
      <w:marRight w:val="0"/>
      <w:marTop w:val="0"/>
      <w:marBottom w:val="0"/>
      <w:divBdr>
        <w:top w:val="none" w:sz="0" w:space="0" w:color="auto"/>
        <w:left w:val="none" w:sz="0" w:space="0" w:color="auto"/>
        <w:bottom w:val="none" w:sz="0" w:space="0" w:color="auto"/>
        <w:right w:val="none" w:sz="0" w:space="0" w:color="auto"/>
      </w:divBdr>
    </w:div>
    <w:div w:id="947932352">
      <w:bodyDiv w:val="1"/>
      <w:marLeft w:val="0"/>
      <w:marRight w:val="0"/>
      <w:marTop w:val="0"/>
      <w:marBottom w:val="0"/>
      <w:divBdr>
        <w:top w:val="none" w:sz="0" w:space="0" w:color="auto"/>
        <w:left w:val="none" w:sz="0" w:space="0" w:color="auto"/>
        <w:bottom w:val="none" w:sz="0" w:space="0" w:color="auto"/>
        <w:right w:val="none" w:sz="0" w:space="0" w:color="auto"/>
      </w:divBdr>
    </w:div>
    <w:div w:id="1033193495">
      <w:bodyDiv w:val="1"/>
      <w:marLeft w:val="0"/>
      <w:marRight w:val="0"/>
      <w:marTop w:val="0"/>
      <w:marBottom w:val="0"/>
      <w:divBdr>
        <w:top w:val="none" w:sz="0" w:space="0" w:color="auto"/>
        <w:left w:val="none" w:sz="0" w:space="0" w:color="auto"/>
        <w:bottom w:val="none" w:sz="0" w:space="0" w:color="auto"/>
        <w:right w:val="none" w:sz="0" w:space="0" w:color="auto"/>
      </w:divBdr>
    </w:div>
    <w:div w:id="1044871604">
      <w:bodyDiv w:val="1"/>
      <w:marLeft w:val="0"/>
      <w:marRight w:val="0"/>
      <w:marTop w:val="0"/>
      <w:marBottom w:val="0"/>
      <w:divBdr>
        <w:top w:val="none" w:sz="0" w:space="0" w:color="auto"/>
        <w:left w:val="none" w:sz="0" w:space="0" w:color="auto"/>
        <w:bottom w:val="none" w:sz="0" w:space="0" w:color="auto"/>
        <w:right w:val="none" w:sz="0" w:space="0" w:color="auto"/>
      </w:divBdr>
    </w:div>
    <w:div w:id="1104613809">
      <w:bodyDiv w:val="1"/>
      <w:marLeft w:val="0"/>
      <w:marRight w:val="0"/>
      <w:marTop w:val="0"/>
      <w:marBottom w:val="0"/>
      <w:divBdr>
        <w:top w:val="none" w:sz="0" w:space="0" w:color="auto"/>
        <w:left w:val="none" w:sz="0" w:space="0" w:color="auto"/>
        <w:bottom w:val="none" w:sz="0" w:space="0" w:color="auto"/>
        <w:right w:val="none" w:sz="0" w:space="0" w:color="auto"/>
      </w:divBdr>
    </w:div>
    <w:div w:id="1113403590">
      <w:bodyDiv w:val="1"/>
      <w:marLeft w:val="0"/>
      <w:marRight w:val="0"/>
      <w:marTop w:val="0"/>
      <w:marBottom w:val="0"/>
      <w:divBdr>
        <w:top w:val="none" w:sz="0" w:space="0" w:color="auto"/>
        <w:left w:val="none" w:sz="0" w:space="0" w:color="auto"/>
        <w:bottom w:val="none" w:sz="0" w:space="0" w:color="auto"/>
        <w:right w:val="none" w:sz="0" w:space="0" w:color="auto"/>
      </w:divBdr>
    </w:div>
    <w:div w:id="1227761000">
      <w:bodyDiv w:val="1"/>
      <w:marLeft w:val="0"/>
      <w:marRight w:val="0"/>
      <w:marTop w:val="0"/>
      <w:marBottom w:val="0"/>
      <w:divBdr>
        <w:top w:val="none" w:sz="0" w:space="0" w:color="auto"/>
        <w:left w:val="none" w:sz="0" w:space="0" w:color="auto"/>
        <w:bottom w:val="none" w:sz="0" w:space="0" w:color="auto"/>
        <w:right w:val="none" w:sz="0" w:space="0" w:color="auto"/>
      </w:divBdr>
    </w:div>
    <w:div w:id="1261528599">
      <w:bodyDiv w:val="1"/>
      <w:marLeft w:val="0"/>
      <w:marRight w:val="0"/>
      <w:marTop w:val="0"/>
      <w:marBottom w:val="0"/>
      <w:divBdr>
        <w:top w:val="none" w:sz="0" w:space="0" w:color="auto"/>
        <w:left w:val="none" w:sz="0" w:space="0" w:color="auto"/>
        <w:bottom w:val="none" w:sz="0" w:space="0" w:color="auto"/>
        <w:right w:val="none" w:sz="0" w:space="0" w:color="auto"/>
      </w:divBdr>
    </w:div>
    <w:div w:id="1271082973">
      <w:bodyDiv w:val="1"/>
      <w:marLeft w:val="0"/>
      <w:marRight w:val="0"/>
      <w:marTop w:val="0"/>
      <w:marBottom w:val="0"/>
      <w:divBdr>
        <w:top w:val="none" w:sz="0" w:space="0" w:color="auto"/>
        <w:left w:val="none" w:sz="0" w:space="0" w:color="auto"/>
        <w:bottom w:val="none" w:sz="0" w:space="0" w:color="auto"/>
        <w:right w:val="none" w:sz="0" w:space="0" w:color="auto"/>
      </w:divBdr>
    </w:div>
    <w:div w:id="1271401061">
      <w:bodyDiv w:val="1"/>
      <w:marLeft w:val="0"/>
      <w:marRight w:val="0"/>
      <w:marTop w:val="0"/>
      <w:marBottom w:val="0"/>
      <w:divBdr>
        <w:top w:val="none" w:sz="0" w:space="0" w:color="auto"/>
        <w:left w:val="none" w:sz="0" w:space="0" w:color="auto"/>
        <w:bottom w:val="none" w:sz="0" w:space="0" w:color="auto"/>
        <w:right w:val="none" w:sz="0" w:space="0" w:color="auto"/>
      </w:divBdr>
    </w:div>
    <w:div w:id="1346978745">
      <w:bodyDiv w:val="1"/>
      <w:marLeft w:val="0"/>
      <w:marRight w:val="0"/>
      <w:marTop w:val="0"/>
      <w:marBottom w:val="0"/>
      <w:divBdr>
        <w:top w:val="none" w:sz="0" w:space="0" w:color="auto"/>
        <w:left w:val="none" w:sz="0" w:space="0" w:color="auto"/>
        <w:bottom w:val="none" w:sz="0" w:space="0" w:color="auto"/>
        <w:right w:val="none" w:sz="0" w:space="0" w:color="auto"/>
      </w:divBdr>
    </w:div>
    <w:div w:id="1413695651">
      <w:bodyDiv w:val="1"/>
      <w:marLeft w:val="0"/>
      <w:marRight w:val="0"/>
      <w:marTop w:val="0"/>
      <w:marBottom w:val="0"/>
      <w:divBdr>
        <w:top w:val="none" w:sz="0" w:space="0" w:color="auto"/>
        <w:left w:val="none" w:sz="0" w:space="0" w:color="auto"/>
        <w:bottom w:val="none" w:sz="0" w:space="0" w:color="auto"/>
        <w:right w:val="none" w:sz="0" w:space="0" w:color="auto"/>
      </w:divBdr>
    </w:div>
    <w:div w:id="1438022865">
      <w:bodyDiv w:val="1"/>
      <w:marLeft w:val="0"/>
      <w:marRight w:val="0"/>
      <w:marTop w:val="0"/>
      <w:marBottom w:val="0"/>
      <w:divBdr>
        <w:top w:val="none" w:sz="0" w:space="0" w:color="auto"/>
        <w:left w:val="none" w:sz="0" w:space="0" w:color="auto"/>
        <w:bottom w:val="none" w:sz="0" w:space="0" w:color="auto"/>
        <w:right w:val="none" w:sz="0" w:space="0" w:color="auto"/>
      </w:divBdr>
    </w:div>
    <w:div w:id="1619139675">
      <w:bodyDiv w:val="1"/>
      <w:marLeft w:val="0"/>
      <w:marRight w:val="0"/>
      <w:marTop w:val="0"/>
      <w:marBottom w:val="0"/>
      <w:divBdr>
        <w:top w:val="none" w:sz="0" w:space="0" w:color="auto"/>
        <w:left w:val="none" w:sz="0" w:space="0" w:color="auto"/>
        <w:bottom w:val="none" w:sz="0" w:space="0" w:color="auto"/>
        <w:right w:val="none" w:sz="0" w:space="0" w:color="auto"/>
      </w:divBdr>
    </w:div>
    <w:div w:id="1650399855">
      <w:bodyDiv w:val="1"/>
      <w:marLeft w:val="0"/>
      <w:marRight w:val="0"/>
      <w:marTop w:val="0"/>
      <w:marBottom w:val="0"/>
      <w:divBdr>
        <w:top w:val="none" w:sz="0" w:space="0" w:color="auto"/>
        <w:left w:val="none" w:sz="0" w:space="0" w:color="auto"/>
        <w:bottom w:val="none" w:sz="0" w:space="0" w:color="auto"/>
        <w:right w:val="none" w:sz="0" w:space="0" w:color="auto"/>
      </w:divBdr>
    </w:div>
    <w:div w:id="1650744383">
      <w:bodyDiv w:val="1"/>
      <w:marLeft w:val="0"/>
      <w:marRight w:val="0"/>
      <w:marTop w:val="0"/>
      <w:marBottom w:val="0"/>
      <w:divBdr>
        <w:top w:val="none" w:sz="0" w:space="0" w:color="auto"/>
        <w:left w:val="none" w:sz="0" w:space="0" w:color="auto"/>
        <w:bottom w:val="none" w:sz="0" w:space="0" w:color="auto"/>
        <w:right w:val="none" w:sz="0" w:space="0" w:color="auto"/>
      </w:divBdr>
    </w:div>
    <w:div w:id="1709791079">
      <w:bodyDiv w:val="1"/>
      <w:marLeft w:val="0"/>
      <w:marRight w:val="0"/>
      <w:marTop w:val="0"/>
      <w:marBottom w:val="0"/>
      <w:divBdr>
        <w:top w:val="none" w:sz="0" w:space="0" w:color="auto"/>
        <w:left w:val="none" w:sz="0" w:space="0" w:color="auto"/>
        <w:bottom w:val="none" w:sz="0" w:space="0" w:color="auto"/>
        <w:right w:val="none" w:sz="0" w:space="0" w:color="auto"/>
      </w:divBdr>
    </w:div>
    <w:div w:id="1772698733">
      <w:bodyDiv w:val="1"/>
      <w:marLeft w:val="0"/>
      <w:marRight w:val="0"/>
      <w:marTop w:val="0"/>
      <w:marBottom w:val="0"/>
      <w:divBdr>
        <w:top w:val="none" w:sz="0" w:space="0" w:color="auto"/>
        <w:left w:val="none" w:sz="0" w:space="0" w:color="auto"/>
        <w:bottom w:val="none" w:sz="0" w:space="0" w:color="auto"/>
        <w:right w:val="none" w:sz="0" w:space="0" w:color="auto"/>
      </w:divBdr>
    </w:div>
    <w:div w:id="1803230854">
      <w:bodyDiv w:val="1"/>
      <w:marLeft w:val="0"/>
      <w:marRight w:val="0"/>
      <w:marTop w:val="0"/>
      <w:marBottom w:val="0"/>
      <w:divBdr>
        <w:top w:val="none" w:sz="0" w:space="0" w:color="auto"/>
        <w:left w:val="none" w:sz="0" w:space="0" w:color="auto"/>
        <w:bottom w:val="none" w:sz="0" w:space="0" w:color="auto"/>
        <w:right w:val="none" w:sz="0" w:space="0" w:color="auto"/>
      </w:divBdr>
    </w:div>
    <w:div w:id="1857571286">
      <w:bodyDiv w:val="1"/>
      <w:marLeft w:val="0"/>
      <w:marRight w:val="0"/>
      <w:marTop w:val="0"/>
      <w:marBottom w:val="0"/>
      <w:divBdr>
        <w:top w:val="none" w:sz="0" w:space="0" w:color="auto"/>
        <w:left w:val="none" w:sz="0" w:space="0" w:color="auto"/>
        <w:bottom w:val="none" w:sz="0" w:space="0" w:color="auto"/>
        <w:right w:val="none" w:sz="0" w:space="0" w:color="auto"/>
      </w:divBdr>
    </w:div>
    <w:div w:id="1857621546">
      <w:bodyDiv w:val="1"/>
      <w:marLeft w:val="0"/>
      <w:marRight w:val="0"/>
      <w:marTop w:val="0"/>
      <w:marBottom w:val="0"/>
      <w:divBdr>
        <w:top w:val="none" w:sz="0" w:space="0" w:color="auto"/>
        <w:left w:val="none" w:sz="0" w:space="0" w:color="auto"/>
        <w:bottom w:val="none" w:sz="0" w:space="0" w:color="auto"/>
        <w:right w:val="none" w:sz="0" w:space="0" w:color="auto"/>
      </w:divBdr>
    </w:div>
    <w:div w:id="1863276329">
      <w:bodyDiv w:val="1"/>
      <w:marLeft w:val="0"/>
      <w:marRight w:val="0"/>
      <w:marTop w:val="0"/>
      <w:marBottom w:val="0"/>
      <w:divBdr>
        <w:top w:val="none" w:sz="0" w:space="0" w:color="auto"/>
        <w:left w:val="none" w:sz="0" w:space="0" w:color="auto"/>
        <w:bottom w:val="none" w:sz="0" w:space="0" w:color="auto"/>
        <w:right w:val="none" w:sz="0" w:space="0" w:color="auto"/>
      </w:divBdr>
    </w:div>
    <w:div w:id="1885291502">
      <w:bodyDiv w:val="1"/>
      <w:marLeft w:val="0"/>
      <w:marRight w:val="0"/>
      <w:marTop w:val="0"/>
      <w:marBottom w:val="0"/>
      <w:divBdr>
        <w:top w:val="none" w:sz="0" w:space="0" w:color="auto"/>
        <w:left w:val="none" w:sz="0" w:space="0" w:color="auto"/>
        <w:bottom w:val="none" w:sz="0" w:space="0" w:color="auto"/>
        <w:right w:val="none" w:sz="0" w:space="0" w:color="auto"/>
      </w:divBdr>
    </w:div>
    <w:div w:id="1888027665">
      <w:bodyDiv w:val="1"/>
      <w:marLeft w:val="0"/>
      <w:marRight w:val="0"/>
      <w:marTop w:val="0"/>
      <w:marBottom w:val="0"/>
      <w:divBdr>
        <w:top w:val="none" w:sz="0" w:space="0" w:color="auto"/>
        <w:left w:val="none" w:sz="0" w:space="0" w:color="auto"/>
        <w:bottom w:val="none" w:sz="0" w:space="0" w:color="auto"/>
        <w:right w:val="none" w:sz="0" w:space="0" w:color="auto"/>
      </w:divBdr>
    </w:div>
    <w:div w:id="1894153574">
      <w:bodyDiv w:val="1"/>
      <w:marLeft w:val="0"/>
      <w:marRight w:val="0"/>
      <w:marTop w:val="0"/>
      <w:marBottom w:val="0"/>
      <w:divBdr>
        <w:top w:val="none" w:sz="0" w:space="0" w:color="auto"/>
        <w:left w:val="none" w:sz="0" w:space="0" w:color="auto"/>
        <w:bottom w:val="none" w:sz="0" w:space="0" w:color="auto"/>
        <w:right w:val="none" w:sz="0" w:space="0" w:color="auto"/>
      </w:divBdr>
    </w:div>
    <w:div w:id="1930960504">
      <w:bodyDiv w:val="1"/>
      <w:marLeft w:val="0"/>
      <w:marRight w:val="0"/>
      <w:marTop w:val="0"/>
      <w:marBottom w:val="0"/>
      <w:divBdr>
        <w:top w:val="none" w:sz="0" w:space="0" w:color="auto"/>
        <w:left w:val="none" w:sz="0" w:space="0" w:color="auto"/>
        <w:bottom w:val="none" w:sz="0" w:space="0" w:color="auto"/>
        <w:right w:val="none" w:sz="0" w:space="0" w:color="auto"/>
      </w:divBdr>
    </w:div>
    <w:div w:id="1949510373">
      <w:bodyDiv w:val="1"/>
      <w:marLeft w:val="0"/>
      <w:marRight w:val="0"/>
      <w:marTop w:val="0"/>
      <w:marBottom w:val="0"/>
      <w:divBdr>
        <w:top w:val="none" w:sz="0" w:space="0" w:color="auto"/>
        <w:left w:val="none" w:sz="0" w:space="0" w:color="auto"/>
        <w:bottom w:val="none" w:sz="0" w:space="0" w:color="auto"/>
        <w:right w:val="none" w:sz="0" w:space="0" w:color="auto"/>
      </w:divBdr>
    </w:div>
    <w:div w:id="1967589074">
      <w:bodyDiv w:val="1"/>
      <w:marLeft w:val="0"/>
      <w:marRight w:val="0"/>
      <w:marTop w:val="0"/>
      <w:marBottom w:val="0"/>
      <w:divBdr>
        <w:top w:val="none" w:sz="0" w:space="0" w:color="auto"/>
        <w:left w:val="none" w:sz="0" w:space="0" w:color="auto"/>
        <w:bottom w:val="none" w:sz="0" w:space="0" w:color="auto"/>
        <w:right w:val="none" w:sz="0" w:space="0" w:color="auto"/>
      </w:divBdr>
    </w:div>
    <w:div w:id="1968244851">
      <w:bodyDiv w:val="1"/>
      <w:marLeft w:val="0"/>
      <w:marRight w:val="0"/>
      <w:marTop w:val="0"/>
      <w:marBottom w:val="0"/>
      <w:divBdr>
        <w:top w:val="none" w:sz="0" w:space="0" w:color="auto"/>
        <w:left w:val="none" w:sz="0" w:space="0" w:color="auto"/>
        <w:bottom w:val="none" w:sz="0" w:space="0" w:color="auto"/>
        <w:right w:val="none" w:sz="0" w:space="0" w:color="auto"/>
      </w:divBdr>
    </w:div>
    <w:div w:id="2050254466">
      <w:bodyDiv w:val="1"/>
      <w:marLeft w:val="0"/>
      <w:marRight w:val="0"/>
      <w:marTop w:val="0"/>
      <w:marBottom w:val="0"/>
      <w:divBdr>
        <w:top w:val="none" w:sz="0" w:space="0" w:color="auto"/>
        <w:left w:val="none" w:sz="0" w:space="0" w:color="auto"/>
        <w:bottom w:val="none" w:sz="0" w:space="0" w:color="auto"/>
        <w:right w:val="none" w:sz="0" w:space="0" w:color="auto"/>
      </w:divBdr>
    </w:div>
    <w:div w:id="2091385842">
      <w:bodyDiv w:val="1"/>
      <w:marLeft w:val="0"/>
      <w:marRight w:val="0"/>
      <w:marTop w:val="0"/>
      <w:marBottom w:val="0"/>
      <w:divBdr>
        <w:top w:val="none" w:sz="0" w:space="0" w:color="auto"/>
        <w:left w:val="none" w:sz="0" w:space="0" w:color="auto"/>
        <w:bottom w:val="none" w:sz="0" w:space="0" w:color="auto"/>
        <w:right w:val="none" w:sz="0" w:space="0" w:color="auto"/>
      </w:divBdr>
    </w:div>
    <w:div w:id="2142259979">
      <w:bodyDiv w:val="1"/>
      <w:marLeft w:val="0"/>
      <w:marRight w:val="0"/>
      <w:marTop w:val="0"/>
      <w:marBottom w:val="0"/>
      <w:divBdr>
        <w:top w:val="none" w:sz="0" w:space="0" w:color="auto"/>
        <w:left w:val="none" w:sz="0" w:space="0" w:color="auto"/>
        <w:bottom w:val="none" w:sz="0" w:space="0" w:color="auto"/>
        <w:right w:val="none" w:sz="0" w:space="0" w:color="auto"/>
      </w:divBdr>
    </w:div>
    <w:div w:id="21471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fs.md/uploads/files/Rapoarte%20anuale/Raport%20DALS%20tr-IV%202023.pdf" TargetMode="External"/><Relationship Id="rId18" Type="http://schemas.microsoft.com/office/2007/relationships/diagramDrawing" Target="diagrams/drawing1.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ww.statistica.md"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Colors" Target="diagrams/colors1.xm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a.md"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hyperlink" Target="mailto:ccrm@ccrm.md" TargetMode="External"/><Relationship Id="rId19" Type="http://schemas.openxmlformats.org/officeDocument/2006/relationships/hyperlink" Target="https://www.ccrm.md/ro/responsabilitati-in-auditul-financiar-3596.html"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Data" Target="diagrams/data1.xml"/><Relationship Id="rId22" Type="http://schemas.openxmlformats.org/officeDocument/2006/relationships/hyperlink" Target="http://www.statistica.md" TargetMode="External"/><Relationship Id="rId27" Type="http://schemas.openxmlformats.org/officeDocument/2006/relationships/chart" Target="charts/chart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ustice.gov.md" TargetMode="External"/><Relationship Id="rId2" Type="http://schemas.openxmlformats.org/officeDocument/2006/relationships/hyperlink" Target="https://statistica.gov.md/ro/castigurile-salariale-costul-fortei-de-munca-si-numarul-salariatilor-in-anul-202-9436_60663.html" TargetMode="External"/><Relationship Id="rId1" Type="http://schemas.openxmlformats.org/officeDocument/2006/relationships/hyperlink" Target="https://statistica.gov.md/ro/castigurile-salariale-costul-fortei-de-munca-si-numarul-salariatilor-in-anul-202-9436_60663.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ccrm\Misiuni%20de%20audit\CNAS%202021\executare\rogaciov\transferur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d:\v_ratoi\Desktop\Misiune%20BASS%202023\Anexe%20la%20raport\Anexa.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d:\v_ratoi\Desktop\Misiune%20BASS%202023\Anexe%20la%20raport\Anexa.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i="0">
                <a:solidFill>
                  <a:schemeClr val="tx1"/>
                </a:solidFill>
              </a:rPr>
              <a:t>Dinamica transferurilor de la bugetul de stat pentru acoperirea deficitului bugetului asigurărilor sociale de stat în anii 201</a:t>
            </a:r>
            <a:r>
              <a:rPr lang="x-none" sz="1200" b="1" i="0">
                <a:solidFill>
                  <a:schemeClr val="tx1"/>
                </a:solidFill>
              </a:rPr>
              <a:t>8</a:t>
            </a:r>
            <a:r>
              <a:rPr lang="en-US" sz="1200" b="1" i="0">
                <a:solidFill>
                  <a:schemeClr val="tx1"/>
                </a:solidFill>
              </a:rPr>
              <a:t>-202</a:t>
            </a:r>
            <a:r>
              <a:rPr lang="x-none" sz="1200" b="1" i="0">
                <a:solidFill>
                  <a:schemeClr val="tx1"/>
                </a:solidFill>
              </a:rPr>
              <a:t>3</a:t>
            </a:r>
          </a:p>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sz="1200" b="1" i="0">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Sheet2!$G$5</c:f>
              <c:strCache>
                <c:ptCount val="1"/>
                <c:pt idx="0">
                  <c:v>Dinamica transferurilor de la bugetul de stat pentru acoperirea
Dinamica transferurilor de la bugetul de stat pentru acoperirea deficitului bugetului asigurărilor sociale de stat în anii 2017-2021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Sheet2!$F$6:$F$11</c:f>
              <c:numCache>
                <c:formatCode>General</c:formatCode>
                <c:ptCount val="6"/>
                <c:pt idx="0">
                  <c:v>2018</c:v>
                </c:pt>
                <c:pt idx="1">
                  <c:v>2019</c:v>
                </c:pt>
                <c:pt idx="2">
                  <c:v>2020</c:v>
                </c:pt>
                <c:pt idx="3">
                  <c:v>2021</c:v>
                </c:pt>
                <c:pt idx="4">
                  <c:v>2022</c:v>
                </c:pt>
                <c:pt idx="5">
                  <c:v>2023</c:v>
                </c:pt>
              </c:numCache>
            </c:numRef>
          </c:cat>
          <c:val>
            <c:numRef>
              <c:f>Sheet2!$G$6:$G$11</c:f>
              <c:numCache>
                <c:formatCode>General</c:formatCode>
                <c:ptCount val="6"/>
                <c:pt idx="0">
                  <c:v>1113.9000000000001</c:v>
                </c:pt>
                <c:pt idx="1">
                  <c:v>1987.7</c:v>
                </c:pt>
                <c:pt idx="2">
                  <c:v>2554.6</c:v>
                </c:pt>
                <c:pt idx="3" formatCode="0.0">
                  <c:v>2840</c:v>
                </c:pt>
                <c:pt idx="4">
                  <c:v>4434.1000000000004</c:v>
                </c:pt>
                <c:pt idx="5">
                  <c:v>5417.9</c:v>
                </c:pt>
              </c:numCache>
            </c:numRef>
          </c:val>
          <c:extLst xmlns:c16r2="http://schemas.microsoft.com/office/drawing/2015/06/chart">
            <c:ext xmlns:c16="http://schemas.microsoft.com/office/drawing/2014/chart" uri="{C3380CC4-5D6E-409C-BE32-E72D297353CC}">
              <c16:uniqueId val="{00000000-E7A3-477B-B64F-8F113187E90A}"/>
            </c:ext>
          </c:extLst>
        </c:ser>
        <c:dLbls>
          <c:showLegendKey val="0"/>
          <c:showVal val="0"/>
          <c:showCatName val="0"/>
          <c:showSerName val="0"/>
          <c:showPercent val="0"/>
          <c:showBubbleSize val="0"/>
        </c:dLbls>
        <c:gapWidth val="219"/>
        <c:overlap val="-27"/>
        <c:axId val="293926056"/>
        <c:axId val="293927624"/>
      </c:barChart>
      <c:catAx>
        <c:axId val="29392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93927624"/>
        <c:crosses val="autoZero"/>
        <c:auto val="1"/>
        <c:lblAlgn val="ctr"/>
        <c:lblOffset val="100"/>
        <c:noMultiLvlLbl val="0"/>
      </c:catAx>
      <c:valAx>
        <c:axId val="293927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93926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5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249190938511326E-2"/>
          <c:y val="6.8075117370892016E-2"/>
          <c:w val="0.68291080574879592"/>
          <c:h val="0.88888888888888884"/>
        </c:manualLayout>
      </c:layout>
      <c:pie3DChart>
        <c:varyColors val="1"/>
        <c:ser>
          <c:idx val="0"/>
          <c:order val="0"/>
          <c:dPt>
            <c:idx val="0"/>
            <c:bubble3D val="0"/>
            <c:explosion val="11"/>
            <c:spPr>
              <a:solidFill>
                <a:schemeClr val="accent3">
                  <a:shade val="65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BD67-44F8-8A06-BD9A92D41034}"/>
              </c:ext>
            </c:extLst>
          </c:dPt>
          <c:dPt>
            <c:idx val="1"/>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BD67-44F8-8A06-BD9A92D41034}"/>
              </c:ext>
            </c:extLst>
          </c:dPt>
          <c:dPt>
            <c:idx val="2"/>
            <c:bubble3D val="0"/>
            <c:spPr>
              <a:solidFill>
                <a:schemeClr val="accent3">
                  <a:tint val="65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BD67-44F8-8A06-BD9A92D41034}"/>
              </c:ext>
            </c:extLst>
          </c:dPt>
          <c:dLbls>
            <c:dLbl>
              <c:idx val="0"/>
              <c:layout>
                <c:manualLayout>
                  <c:x val="-0.14329195652727875"/>
                  <c:y val="-8.2176567717767671E-2"/>
                </c:manualLayout>
              </c:layout>
              <c:numFmt formatCode="0.0%" sourceLinked="0"/>
              <c:spPr>
                <a:pattFill prst="pct75">
                  <a:fgClr>
                    <a:schemeClr val="dk1">
                      <a:lumMod val="75000"/>
                      <a:lumOff val="25000"/>
                    </a:schemeClr>
                  </a:fgClr>
                  <a:bgClr>
                    <a:schemeClr val="dk1">
                      <a:lumMod val="65000"/>
                      <a:lumOff val="35000"/>
                    </a:schemeClr>
                  </a:bgClr>
                </a:pattFill>
                <a:ln>
                  <a:solidFill>
                    <a:schemeClr val="accent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D67-44F8-8A06-BD9A92D41034}"/>
                </c:ex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1,4%</a:t>
                    </a:r>
                  </a:p>
                </c:rich>
              </c:tx>
              <c:numFmt formatCode="0.0%" sourceLinked="0"/>
              <c:spPr>
                <a:pattFill prst="pct75">
                  <a:fgClr>
                    <a:schemeClr val="dk1">
                      <a:lumMod val="75000"/>
                      <a:lumOff val="25000"/>
                    </a:schemeClr>
                  </a:fgClr>
                  <a:bgClr>
                    <a:schemeClr val="dk1">
                      <a:lumMod val="65000"/>
                      <a:lumOff val="35000"/>
                    </a:schemeClr>
                  </a:bgClr>
                </a:pattFill>
                <a:ln>
                  <a:solidFill>
                    <a:schemeClr val="accent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D67-44F8-8A06-BD9A92D41034}"/>
                </c:ext>
                <c:ext xmlns:c15="http://schemas.microsoft.com/office/drawing/2012/chart" uri="{CE6537A1-D6FC-4f65-9D91-7224C49458BB}"/>
              </c:extLst>
            </c:dLbl>
            <c:dLbl>
              <c:idx val="2"/>
              <c:numFmt formatCode="0.0%" sourceLinked="0"/>
              <c:spPr>
                <a:pattFill prst="pct75">
                  <a:fgClr>
                    <a:schemeClr val="dk1">
                      <a:lumMod val="75000"/>
                      <a:lumOff val="25000"/>
                    </a:schemeClr>
                  </a:fgClr>
                  <a:bgClr>
                    <a:schemeClr val="dk1">
                      <a:lumMod val="65000"/>
                      <a:lumOff val="35000"/>
                    </a:schemeClr>
                  </a:bgClr>
                </a:pattFill>
                <a:ln>
                  <a:solidFill>
                    <a:schemeClr val="accent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dLbl>
            <c:spPr>
              <a:pattFill prst="pct75">
                <a:fgClr>
                  <a:schemeClr val="dk1">
                    <a:lumMod val="75000"/>
                    <a:lumOff val="25000"/>
                  </a:schemeClr>
                </a:fgClr>
                <a:bgClr>
                  <a:schemeClr val="dk1">
                    <a:lumMod val="65000"/>
                    <a:lumOff val="35000"/>
                  </a:schemeClr>
                </a:bgClr>
              </a:pattFill>
              <a:ln>
                <a:solidFill>
                  <a:schemeClr val="accent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50000"/>
                      <a:lumOff val="50000"/>
                    </a:schemeClr>
                  </a:solidFill>
                  <a:prstDash val="solid"/>
                  <a:round/>
                </a:ln>
                <a:effectLst/>
              </c:spPr>
            </c:leaderLines>
            <c:extLst xmlns:c16r2="http://schemas.microsoft.com/office/drawing/2015/06/chart">
              <c:ext xmlns:c15="http://schemas.microsoft.com/office/drawing/2012/chart" uri="{CE6537A1-D6FC-4f65-9D91-7224C49458BB}"/>
            </c:extLst>
          </c:dLbls>
          <c:cat>
            <c:strRef>
              <c:f>'Anexa 13'!$C$5:$C$7</c:f>
              <c:strCache>
                <c:ptCount val="3"/>
                <c:pt idx="0">
                  <c:v>CONTRIBUŢII DE ASIGURĂRI SOCIALE DE STAT OBLIGATORII (21 524,2 mil.lei)</c:v>
                </c:pt>
                <c:pt idx="1">
                  <c:v>ALTE VENITURI (568,6 mil.lei)</c:v>
                </c:pt>
                <c:pt idx="2">
                  <c:v>TRANSFERURI PRIMITE ÎN CADRUL BUGETULUI CONSOLIDAT CENTRAL (16 511,6 mil.lei)</c:v>
                </c:pt>
              </c:strCache>
            </c:strRef>
          </c:cat>
          <c:val>
            <c:numRef>
              <c:f>'Anexa 13'!$D$5:$D$7</c:f>
              <c:numCache>
                <c:formatCode>General</c:formatCode>
                <c:ptCount val="3"/>
                <c:pt idx="0">
                  <c:v>21524.2</c:v>
                </c:pt>
                <c:pt idx="1">
                  <c:v>568.6</c:v>
                </c:pt>
                <c:pt idx="2">
                  <c:v>16511.599999999999</c:v>
                </c:pt>
              </c:numCache>
            </c:numRef>
          </c:val>
          <c:extLst xmlns:c16r2="http://schemas.microsoft.com/office/drawing/2015/06/chart">
            <c:ext xmlns:c16="http://schemas.microsoft.com/office/drawing/2014/chart" uri="{C3380CC4-5D6E-409C-BE32-E72D297353CC}">
              <c16:uniqueId val="{00000006-BD67-44F8-8A06-BD9A92D41034}"/>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632942499299237"/>
          <c:y val="0.32218094217096105"/>
          <c:w val="0.32517980913793543"/>
          <c:h val="0.533584710361909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prstDash val="solid"/>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'Anexa 14 Dinamica veniturilor'!$C$2</c:f>
              <c:strCache>
                <c:ptCount val="1"/>
                <c:pt idx="0">
                  <c:v>Veniturile proprii BASS</c:v>
                </c:pt>
              </c:strCache>
            </c:strRef>
          </c:tx>
          <c:spPr>
            <a:solidFill>
              <a:schemeClr val="accent3">
                <a:shade val="65000"/>
              </a:schemeClr>
            </a:solidFill>
            <a:ln>
              <a:noFill/>
            </a:ln>
            <a:effectLst>
              <a:outerShdw blurRad="57150" dist="19050" dir="5400000" algn="ctr" rotWithShape="0">
                <a:srgbClr val="000000">
                  <a:alpha val="63000"/>
                </a:srgbClr>
              </a:outerShdw>
            </a:effectLst>
          </c:spPr>
          <c:invertIfNegative val="0"/>
          <c:dLbls>
            <c:dLbl>
              <c:idx val="3"/>
              <c:tx>
                <c:rich>
                  <a:bodyPr/>
                  <a:lstStyle/>
                  <a:p>
                    <a:fld id="{D3318042-1948-40A0-AD22-EAA498641513}" type="VALUE">
                      <a:rPr lang="en-US"/>
                      <a:pPr/>
                      <a:t>[ЗНАЧЕНИЕ]</a:t>
                    </a:fld>
                    <a:r>
                      <a:rPr lang="en-US"/>
                      <a:t>,0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47B-480E-A859-CDF6546CF63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'Anexa 14 Dinamica veniturilor'!$B$3:$B$7</c:f>
              <c:strCache>
                <c:ptCount val="5"/>
                <c:pt idx="0">
                  <c:v>Anul 2019</c:v>
                </c:pt>
                <c:pt idx="1">
                  <c:v>Anul 2020</c:v>
                </c:pt>
                <c:pt idx="2">
                  <c:v>Anul 2021</c:v>
                </c:pt>
                <c:pt idx="3">
                  <c:v>Anul 2022</c:v>
                </c:pt>
                <c:pt idx="4">
                  <c:v>Anul 2023</c:v>
                </c:pt>
              </c:strCache>
            </c:strRef>
          </c:cat>
          <c:val>
            <c:numRef>
              <c:f>'Anexa 14 Dinamica veniturilor'!$C$3:$C$7</c:f>
              <c:numCache>
                <c:formatCode>General</c:formatCode>
                <c:ptCount val="5"/>
                <c:pt idx="0">
                  <c:v>13635.7</c:v>
                </c:pt>
                <c:pt idx="1">
                  <c:v>14295.4</c:v>
                </c:pt>
                <c:pt idx="2">
                  <c:v>16223.9</c:v>
                </c:pt>
                <c:pt idx="3">
                  <c:v>19002</c:v>
                </c:pt>
                <c:pt idx="4">
                  <c:v>22092.799999999999</c:v>
                </c:pt>
              </c:numCache>
            </c:numRef>
          </c:val>
          <c:extLst xmlns:c16r2="http://schemas.microsoft.com/office/drawing/2015/06/chart">
            <c:ext xmlns:c16="http://schemas.microsoft.com/office/drawing/2014/chart" uri="{C3380CC4-5D6E-409C-BE32-E72D297353CC}">
              <c16:uniqueId val="{00000000-2044-4A5B-9396-970B3A0C8726}"/>
            </c:ext>
          </c:extLst>
        </c:ser>
        <c:ser>
          <c:idx val="1"/>
          <c:order val="1"/>
          <c:tx>
            <c:strRef>
              <c:f>'Anexa 14 Dinamica veniturilor'!$D$2</c:f>
              <c:strCache>
                <c:ptCount val="1"/>
                <c:pt idx="0">
                  <c:v>Transferuri primite</c:v>
                </c:pt>
              </c:strCache>
            </c:strRef>
          </c:tx>
          <c:spPr>
            <a:solidFill>
              <a:schemeClr val="accent3"/>
            </a:solidFill>
            <a:ln>
              <a:noFill/>
            </a:ln>
            <a:effectLst>
              <a:outerShdw blurRad="57150" dist="19050" dir="5400000" algn="ctr" rotWithShape="0">
                <a:srgbClr val="000000">
                  <a:alpha val="63000"/>
                </a:srgbClr>
              </a:outerShdw>
            </a:effectLst>
          </c:spPr>
          <c:invertIfNegative val="0"/>
          <c:dLbls>
            <c:dLbl>
              <c:idx val="0"/>
              <c:tx>
                <c:rich>
                  <a:bodyPr/>
                  <a:lstStyle/>
                  <a:p>
                    <a:fld id="{3FBEB8C6-B9D2-405E-9F61-4B1386D24BE0}" type="VALUE">
                      <a:rPr lang="en-US"/>
                      <a:pPr/>
                      <a:t>[ЗНАЧЕНИЕ]</a:t>
                    </a:fld>
                    <a:r>
                      <a:rPr lang="en-US"/>
                      <a:t>,0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47B-480E-A859-CDF6546CF637}"/>
                </c:ext>
                <c:ext xmlns:c15="http://schemas.microsoft.com/office/drawing/2012/chart" uri="{CE6537A1-D6FC-4f65-9D91-7224C49458BB}">
                  <c15:dlblFieldTable/>
                  <c15:showDataLabelsRange val="0"/>
                </c:ext>
              </c:extLst>
            </c:dLbl>
            <c:dLbl>
              <c:idx val="3"/>
              <c:tx>
                <c:rich>
                  <a:bodyPr/>
                  <a:lstStyle/>
                  <a:p>
                    <a:fld id="{E69F1FB1-7D5C-4EF7-83A7-3E54BFE21E26}" type="VALUE">
                      <a:rPr lang="en-US"/>
                      <a:pPr/>
                      <a:t>[ЗНАЧЕНИЕ]</a:t>
                    </a:fld>
                    <a:r>
                      <a:rPr lang="en-US"/>
                      <a:t>,0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47B-480E-A859-CDF6546CF63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'Anexa 14 Dinamica veniturilor'!$B$3:$B$7</c:f>
              <c:strCache>
                <c:ptCount val="5"/>
                <c:pt idx="0">
                  <c:v>Anul 2019</c:v>
                </c:pt>
                <c:pt idx="1">
                  <c:v>Anul 2020</c:v>
                </c:pt>
                <c:pt idx="2">
                  <c:v>Anul 2021</c:v>
                </c:pt>
                <c:pt idx="3">
                  <c:v>Anul 2022</c:v>
                </c:pt>
                <c:pt idx="4">
                  <c:v>Anul 2023</c:v>
                </c:pt>
              </c:strCache>
            </c:strRef>
          </c:cat>
          <c:val>
            <c:numRef>
              <c:f>'Anexa 14 Dinamica veniturilor'!$D$3:$D$7</c:f>
              <c:numCache>
                <c:formatCode>General</c:formatCode>
                <c:ptCount val="5"/>
                <c:pt idx="0">
                  <c:v>7957</c:v>
                </c:pt>
                <c:pt idx="1">
                  <c:v>9769.4</c:v>
                </c:pt>
                <c:pt idx="2">
                  <c:v>10724.7</c:v>
                </c:pt>
                <c:pt idx="3">
                  <c:v>14794</c:v>
                </c:pt>
                <c:pt idx="4">
                  <c:v>16511.599999999999</c:v>
                </c:pt>
              </c:numCache>
            </c:numRef>
          </c:val>
          <c:extLst xmlns:c16r2="http://schemas.microsoft.com/office/drawing/2015/06/chart">
            <c:ext xmlns:c16="http://schemas.microsoft.com/office/drawing/2014/chart" uri="{C3380CC4-5D6E-409C-BE32-E72D297353CC}">
              <c16:uniqueId val="{00000001-2044-4A5B-9396-970B3A0C8726}"/>
            </c:ext>
          </c:extLst>
        </c:ser>
        <c:ser>
          <c:idx val="2"/>
          <c:order val="2"/>
          <c:tx>
            <c:strRef>
              <c:f>'Anexa 14 Dinamica veniturilor'!$E$2</c:f>
              <c:strCache>
                <c:ptCount val="1"/>
                <c:pt idx="0">
                  <c:v>Total venituri</c:v>
                </c:pt>
              </c:strCache>
            </c:strRef>
          </c:tx>
          <c:spPr>
            <a:solidFill>
              <a:schemeClr val="accent3">
                <a:tint val="65000"/>
              </a:schemeClr>
            </a:solidFill>
            <a:ln>
              <a:noFill/>
            </a:ln>
            <a:effectLst>
              <a:outerShdw blurRad="57150" dist="19050" dir="5400000" algn="ctr" rotWithShape="0">
                <a:srgbClr val="000000">
                  <a:alpha val="63000"/>
                </a:srgbClr>
              </a:outerShdw>
            </a:effectLst>
          </c:spPr>
          <c:invertIfNegative val="0"/>
          <c:dLbls>
            <c:dLbl>
              <c:idx val="3"/>
              <c:tx>
                <c:rich>
                  <a:bodyPr/>
                  <a:lstStyle/>
                  <a:p>
                    <a:fld id="{9469CEFC-0481-44A1-904C-0198C19FBBDF}" type="VALUE">
                      <a:rPr lang="en-US"/>
                      <a:pPr/>
                      <a:t>[ЗНАЧЕНИЕ]</a:t>
                    </a:fld>
                    <a:r>
                      <a:rPr lang="en-US"/>
                      <a:t>,0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47B-480E-A859-CDF6546CF63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'Anexa 14 Dinamica veniturilor'!$B$3:$B$7</c:f>
              <c:strCache>
                <c:ptCount val="5"/>
                <c:pt idx="0">
                  <c:v>Anul 2019</c:v>
                </c:pt>
                <c:pt idx="1">
                  <c:v>Anul 2020</c:v>
                </c:pt>
                <c:pt idx="2">
                  <c:v>Anul 2021</c:v>
                </c:pt>
                <c:pt idx="3">
                  <c:v>Anul 2022</c:v>
                </c:pt>
                <c:pt idx="4">
                  <c:v>Anul 2023</c:v>
                </c:pt>
              </c:strCache>
            </c:strRef>
          </c:cat>
          <c:val>
            <c:numRef>
              <c:f>'Anexa 14 Dinamica veniturilor'!$E$3:$E$7</c:f>
              <c:numCache>
                <c:formatCode>General</c:formatCode>
                <c:ptCount val="5"/>
                <c:pt idx="0">
                  <c:v>21748.3</c:v>
                </c:pt>
                <c:pt idx="1">
                  <c:v>24285.5</c:v>
                </c:pt>
                <c:pt idx="2">
                  <c:v>27246.5</c:v>
                </c:pt>
                <c:pt idx="3">
                  <c:v>33796</c:v>
                </c:pt>
                <c:pt idx="4">
                  <c:v>38604.400000000001</c:v>
                </c:pt>
              </c:numCache>
            </c:numRef>
          </c:val>
          <c:extLst xmlns:c16r2="http://schemas.microsoft.com/office/drawing/2015/06/chart">
            <c:ext xmlns:c16="http://schemas.microsoft.com/office/drawing/2014/chart" uri="{C3380CC4-5D6E-409C-BE32-E72D297353CC}">
              <c16:uniqueId val="{00000002-2044-4A5B-9396-970B3A0C8726}"/>
            </c:ext>
          </c:extLst>
        </c:ser>
        <c:dLbls>
          <c:showLegendKey val="0"/>
          <c:showVal val="0"/>
          <c:showCatName val="0"/>
          <c:showSerName val="0"/>
          <c:showPercent val="0"/>
          <c:showBubbleSize val="0"/>
        </c:dLbls>
        <c:gapWidth val="100"/>
        <c:overlap val="-24"/>
        <c:axId val="288686968"/>
        <c:axId val="287147864"/>
      </c:barChart>
      <c:catAx>
        <c:axId val="288686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7147864"/>
        <c:crosses val="autoZero"/>
        <c:auto val="1"/>
        <c:lblAlgn val="ctr"/>
        <c:lblOffset val="100"/>
        <c:noMultiLvlLbl val="0"/>
      </c:catAx>
      <c:valAx>
        <c:axId val="2871478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8686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Column1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Anul 2019</c:v>
                </c:pt>
                <c:pt idx="1">
                  <c:v>Anul 2020</c:v>
                </c:pt>
                <c:pt idx="2">
                  <c:v>Anul 2021 </c:v>
                </c:pt>
                <c:pt idx="3">
                  <c:v>Anul 2022</c:v>
                </c:pt>
                <c:pt idx="4">
                  <c:v>Anul 2023</c:v>
                </c:pt>
              </c:strCache>
            </c:strRef>
          </c:cat>
          <c:val>
            <c:numRef>
              <c:f>Sheet1!$B$2:$B$6</c:f>
              <c:numCache>
                <c:formatCode>General</c:formatCode>
                <c:ptCount val="5"/>
                <c:pt idx="0">
                  <c:v>21681.8</c:v>
                </c:pt>
                <c:pt idx="1">
                  <c:v>24300.6</c:v>
                </c:pt>
                <c:pt idx="2">
                  <c:v>27149.3</c:v>
                </c:pt>
                <c:pt idx="3">
                  <c:v>33773.300000000003</c:v>
                </c:pt>
                <c:pt idx="4">
                  <c:v>38591.1</c:v>
                </c:pt>
              </c:numCache>
            </c:numRef>
          </c:val>
          <c:extLst xmlns:c16r2="http://schemas.microsoft.com/office/drawing/2015/06/chart">
            <c:ext xmlns:c16="http://schemas.microsoft.com/office/drawing/2014/chart" uri="{C3380CC4-5D6E-409C-BE32-E72D297353CC}">
              <c16:uniqueId val="{00000000-600F-49B6-A57C-926DEA99A64E}"/>
            </c:ext>
          </c:extLst>
        </c:ser>
        <c:dLbls>
          <c:showLegendKey val="0"/>
          <c:showVal val="0"/>
          <c:showCatName val="0"/>
          <c:showSerName val="0"/>
          <c:showPercent val="1"/>
          <c:showBubbleSize val="0"/>
        </c:dLbls>
        <c:gapWidth val="79"/>
        <c:shape val="box"/>
        <c:axId val="287147472"/>
        <c:axId val="187115456"/>
        <c:axId val="0"/>
      </c:bar3DChart>
      <c:catAx>
        <c:axId val="2871474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7115456"/>
        <c:crosses val="autoZero"/>
        <c:auto val="1"/>
        <c:lblAlgn val="ctr"/>
        <c:lblOffset val="100"/>
        <c:noMultiLvlLbl val="0"/>
      </c:catAx>
      <c:valAx>
        <c:axId val="187115456"/>
        <c:scaling>
          <c:orientation val="minMax"/>
        </c:scaling>
        <c:delete val="1"/>
        <c:axPos val="b"/>
        <c:numFmt formatCode="General" sourceLinked="1"/>
        <c:majorTickMark val="none"/>
        <c:minorTickMark val="none"/>
        <c:tickLblPos val="nextTo"/>
        <c:crossAx val="28714747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perspective val="5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577996715927751E-2"/>
          <c:y val="4.3650793650793648E-2"/>
          <c:w val="0.62349711673971786"/>
          <c:h val="0.94047619047619047"/>
        </c:manualLayout>
      </c:layout>
      <c:pie3DChart>
        <c:varyColors val="1"/>
        <c:ser>
          <c:idx val="0"/>
          <c:order val="0"/>
          <c:tx>
            <c:strRef>
              <c:f>Sheet1!$B$1</c:f>
              <c:strCache>
                <c:ptCount val="1"/>
                <c:pt idx="0">
                  <c:v>Sales</c:v>
                </c:pt>
              </c:strCache>
            </c:strRef>
          </c:tx>
          <c:dPt>
            <c:idx val="0"/>
            <c:bubble3D val="0"/>
            <c:explosion val="8"/>
            <c:spPr>
              <a:solidFill>
                <a:schemeClr val="accent3">
                  <a:shade val="42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1-DC78-496F-A26A-C120211041AA}"/>
              </c:ext>
            </c:extLst>
          </c:dPt>
          <c:dPt>
            <c:idx val="1"/>
            <c:bubble3D val="0"/>
            <c:explosion val="6"/>
            <c:spPr>
              <a:solidFill>
                <a:schemeClr val="accent3">
                  <a:shade val="55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3-DC78-496F-A26A-C120211041AA}"/>
              </c:ext>
            </c:extLst>
          </c:dPt>
          <c:dPt>
            <c:idx val="2"/>
            <c:bubble3D val="0"/>
            <c:explosion val="3"/>
            <c:spPr>
              <a:solidFill>
                <a:schemeClr val="accent3">
                  <a:shade val="68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5-DC78-496F-A26A-C120211041AA}"/>
              </c:ext>
            </c:extLst>
          </c:dPt>
          <c:dPt>
            <c:idx val="3"/>
            <c:bubble3D val="0"/>
            <c:spPr>
              <a:solidFill>
                <a:schemeClr val="accent3">
                  <a:shade val="80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7-DC78-496F-A26A-C120211041AA}"/>
              </c:ext>
            </c:extLst>
          </c:dPt>
          <c:dPt>
            <c:idx val="4"/>
            <c:bubble3D val="0"/>
            <c:spPr>
              <a:solidFill>
                <a:schemeClr val="accent3">
                  <a:shade val="93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9-DC78-496F-A26A-C120211041AA}"/>
              </c:ext>
            </c:extLst>
          </c:dPt>
          <c:dPt>
            <c:idx val="5"/>
            <c:bubble3D val="0"/>
            <c:spPr>
              <a:solidFill>
                <a:schemeClr val="accent3">
                  <a:tint val="94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B-DC78-496F-A26A-C120211041AA}"/>
              </c:ext>
            </c:extLst>
          </c:dPt>
          <c:dPt>
            <c:idx val="6"/>
            <c:bubble3D val="0"/>
            <c:explosion val="4"/>
            <c:spPr>
              <a:solidFill>
                <a:schemeClr val="accent3">
                  <a:tint val="81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D-DC78-496F-A26A-C120211041AA}"/>
              </c:ext>
            </c:extLst>
          </c:dPt>
          <c:dPt>
            <c:idx val="7"/>
            <c:bubble3D val="0"/>
            <c:explosion val="5"/>
            <c:spPr>
              <a:solidFill>
                <a:schemeClr val="accent3">
                  <a:tint val="69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F-DC78-496F-A26A-C120211041AA}"/>
              </c:ext>
            </c:extLst>
          </c:dPt>
          <c:dPt>
            <c:idx val="8"/>
            <c:bubble3D val="0"/>
            <c:explosion val="9"/>
            <c:spPr>
              <a:solidFill>
                <a:schemeClr val="accent3">
                  <a:tint val="56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11-DC78-496F-A26A-C120211041AA}"/>
              </c:ext>
            </c:extLst>
          </c:dPt>
          <c:dPt>
            <c:idx val="9"/>
            <c:bubble3D val="0"/>
            <c:explosion val="8"/>
            <c:spPr>
              <a:solidFill>
                <a:schemeClr val="accent3">
                  <a:tint val="43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13-DC78-496F-A26A-C120211041AA}"/>
              </c:ext>
            </c:extLst>
          </c:dPt>
          <c:dLbls>
            <c:dLbl>
              <c:idx val="0"/>
              <c:layout>
                <c:manualLayout>
                  <c:x val="7.6370841575837123E-3"/>
                  <c:y val="-1.751437320334960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DC78-496F-A26A-C120211041AA}"/>
                </c:ext>
                <c:ext xmlns:c15="http://schemas.microsoft.com/office/drawing/2012/chart" uri="{CE6537A1-D6FC-4f65-9D91-7224C49458BB}"/>
              </c:extLst>
            </c:dLbl>
            <c:dLbl>
              <c:idx val="1"/>
              <c:layout>
                <c:manualLayout>
                  <c:x val="2.0723594895465654E-2"/>
                  <c:y val="-1.288838895138107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DC78-496F-A26A-C120211041AA}"/>
                </c:ext>
                <c:ext xmlns:c15="http://schemas.microsoft.com/office/drawing/2012/chart" uri="{CE6537A1-D6FC-4f65-9D91-7224C49458BB}"/>
              </c:extLst>
            </c:dLbl>
            <c:dLbl>
              <c:idx val="3"/>
              <c:layout>
                <c:manualLayout>
                  <c:x val="-2.9194626533752249E-3"/>
                  <c:y val="-2.869735033120852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DC78-496F-A26A-C120211041AA}"/>
                </c:ext>
                <c:ext xmlns:c15="http://schemas.microsoft.com/office/drawing/2012/chart" uri="{CE6537A1-D6FC-4f65-9D91-7224C49458BB}"/>
              </c:extLst>
            </c:dLbl>
            <c:dLbl>
              <c:idx val="4"/>
              <c:layout>
                <c:manualLayout>
                  <c:x val="-2.2250882432799362E-2"/>
                  <c:y val="-0.128153980752406"/>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DC78-496F-A26A-C120211041AA}"/>
                </c:ext>
                <c:ext xmlns:c15="http://schemas.microsoft.com/office/drawing/2012/chart" uri="{CE6537A1-D6FC-4f65-9D91-7224C49458BB}"/>
              </c:extLst>
            </c:dLbl>
            <c:dLbl>
              <c:idx val="5"/>
              <c:layout>
                <c:manualLayout>
                  <c:x val="-6.9220873252914231E-4"/>
                  <c:y val="-4.503593300837398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DC78-496F-A26A-C120211041AA}"/>
                </c:ext>
                <c:ext xmlns:c15="http://schemas.microsoft.com/office/drawing/2012/chart" uri="{CE6537A1-D6FC-4f65-9D91-7224C49458BB}"/>
              </c:extLst>
            </c:dLbl>
            <c:dLbl>
              <c:idx val="6"/>
              <c:layout>
                <c:manualLayout>
                  <c:x val="4.2318794202448815E-2"/>
                  <c:y val="-5.089332583427073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DC78-496F-A26A-C120211041AA}"/>
                </c:ext>
                <c:ext xmlns:c15="http://schemas.microsoft.com/office/drawing/2012/chart" uri="{CE6537A1-D6FC-4f65-9D91-7224C49458BB}"/>
              </c:extLst>
            </c:dLbl>
            <c:dLbl>
              <c:idx val="7"/>
              <c:layout>
                <c:manualLayout>
                  <c:x val="-5.975977140788436E-3"/>
                  <c:y val="-1.38838895138108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DC78-496F-A26A-C120211041AA}"/>
                </c:ext>
                <c:ext xmlns:c15="http://schemas.microsoft.com/office/drawing/2012/chart" uri="{CE6537A1-D6FC-4f65-9D91-7224C49458BB}"/>
              </c:extLst>
            </c:dLbl>
            <c:dLbl>
              <c:idx val="8"/>
              <c:layout>
                <c:manualLayout>
                  <c:x val="-1.119526007524959E-3"/>
                  <c:y val="-2.709036370453695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DC78-496F-A26A-C120211041AA}"/>
                </c:ext>
                <c:ext xmlns:c15="http://schemas.microsoft.com/office/drawing/2012/chart" uri="{CE6537A1-D6FC-4f65-9D91-7224C49458BB}"/>
              </c:extLst>
            </c:dLbl>
            <c:dLbl>
              <c:idx val="9"/>
              <c:layout>
                <c:manualLayout>
                  <c:x val="-2.0369005598438128E-2"/>
                  <c:y val="-1.751437320334960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3-DC78-496F-A26A-C120211041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j-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Sheet1!$A$2:$A$11</c:f>
              <c:strCache>
                <c:ptCount val="10"/>
                <c:pt idx="0">
                  <c:v>Administrarea sistemului public de asigurări sociale (277.2 mil.lei)</c:v>
                </c:pt>
                <c:pt idx="1">
                  <c:v>Protecţia în caz de incapacitate temporară de muncă (0.93 mil.lei)</c:v>
                </c:pt>
                <c:pt idx="2">
                  <c:v>Protecţia persoanelor în etate (25,8 mil.lei)</c:v>
                </c:pt>
                <c:pt idx="3">
                  <c:v>Protecţia în legătură cu pierderea întreţinătorului (0.57 mil.lei)</c:v>
                </c:pt>
                <c:pt idx="4">
                  <c:v>Protecţia familiei şi copilului (3.82 mil.lei)</c:v>
                </c:pt>
                <c:pt idx="5">
                  <c:v>Protecţia şomerilor (0.07 mil.lei)</c:v>
                </c:pt>
                <c:pt idx="6">
                  <c:v>Protecţia socială a persoanelor cu dizabilităţi (4.58 mil.lei)</c:v>
                </c:pt>
                <c:pt idx="7">
                  <c:v>Susţinerea suplimentară a unor categorii de populaţie (0.14 mil.lei)</c:v>
                </c:pt>
                <c:pt idx="8">
                  <c:v>Protecţia socială în cazuri excepţionale (1.53 mil.lei)</c:v>
                </c:pt>
                <c:pt idx="9">
                  <c:v>Protecţia socială a unor categorii de cetăţeni (0.69  mil.lei)</c:v>
                </c:pt>
              </c:strCache>
            </c:strRef>
          </c:cat>
          <c:val>
            <c:numRef>
              <c:f>Sheet1!$B$2:$B$11</c:f>
              <c:numCache>
                <c:formatCode>0.0</c:formatCode>
                <c:ptCount val="10"/>
                <c:pt idx="0">
                  <c:v>277265</c:v>
                </c:pt>
                <c:pt idx="1">
                  <c:v>933982.2</c:v>
                </c:pt>
                <c:pt idx="2">
                  <c:v>25880374.199999999</c:v>
                </c:pt>
                <c:pt idx="3">
                  <c:v>577330.4</c:v>
                </c:pt>
                <c:pt idx="4">
                  <c:v>3823245</c:v>
                </c:pt>
                <c:pt idx="5">
                  <c:v>70558.100000000006</c:v>
                </c:pt>
                <c:pt idx="6">
                  <c:v>4585862.4000000004</c:v>
                </c:pt>
                <c:pt idx="7">
                  <c:v>148592.79999999999</c:v>
                </c:pt>
                <c:pt idx="8">
                  <c:v>1536841</c:v>
                </c:pt>
                <c:pt idx="9">
                  <c:v>690628.5</c:v>
                </c:pt>
              </c:numCache>
            </c:numRef>
          </c:val>
          <c:extLst xmlns:c16r2="http://schemas.microsoft.com/office/drawing/2015/06/chart">
            <c:ext xmlns:c16="http://schemas.microsoft.com/office/drawing/2014/chart" uri="{C3380CC4-5D6E-409C-BE32-E72D297353CC}">
              <c16:uniqueId val="{00000014-DC78-496F-A26A-C120211041AA}"/>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018020376763253"/>
          <c:y val="5.9520059992500936E-2"/>
          <c:w val="0.3375045252964069"/>
          <c:h val="0.94047994000749902"/>
        </c:manualLayout>
      </c:layout>
      <c:overlay val="0"/>
      <c:spPr>
        <a:solidFill>
          <a:schemeClr val="lt1">
            <a:alpha val="50000"/>
          </a:schemeClr>
        </a:solid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15000"/>
          <a:lumOff val="85000"/>
        </a:schemeClr>
      </a:solidFill>
      <a:prstDash val="solid"/>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perspective val="5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6696923301254003E-2"/>
          <c:w val="0.66354109820430851"/>
          <c:h val="0.87158683289588801"/>
        </c:manualLayout>
      </c:layout>
      <c:pie3DChart>
        <c:varyColors val="1"/>
        <c:ser>
          <c:idx val="0"/>
          <c:order val="0"/>
          <c:tx>
            <c:strRef>
              <c:f>Лист1!$B$1</c:f>
              <c:strCache>
                <c:ptCount val="1"/>
                <c:pt idx="0">
                  <c:v>Structura prestațiilor de asigurări sociale</c:v>
                </c:pt>
              </c:strCache>
            </c:strRef>
          </c:tx>
          <c:explosion val="12"/>
          <c:dPt>
            <c:idx val="0"/>
            <c:bubble3D val="0"/>
            <c:explosion val="35"/>
            <c:spPr>
              <a:solidFill>
                <a:schemeClr val="accent3">
                  <a:shade val="45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1-701E-4C0A-B9A5-9880F13D0169}"/>
              </c:ext>
            </c:extLst>
          </c:dPt>
          <c:dPt>
            <c:idx val="1"/>
            <c:bubble3D val="0"/>
            <c:spPr>
              <a:solidFill>
                <a:schemeClr val="accent3">
                  <a:shade val="61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3-701E-4C0A-B9A5-9880F13D0169}"/>
              </c:ext>
            </c:extLst>
          </c:dPt>
          <c:dPt>
            <c:idx val="2"/>
            <c:bubble3D val="0"/>
            <c:spPr>
              <a:solidFill>
                <a:schemeClr val="accent3">
                  <a:shade val="76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5-701E-4C0A-B9A5-9880F13D0169}"/>
              </c:ext>
            </c:extLst>
          </c:dPt>
          <c:dPt>
            <c:idx val="3"/>
            <c:bubble3D val="0"/>
            <c:spPr>
              <a:solidFill>
                <a:schemeClr val="accent3">
                  <a:shade val="92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7-701E-4C0A-B9A5-9880F13D0169}"/>
              </c:ext>
            </c:extLst>
          </c:dPt>
          <c:dPt>
            <c:idx val="4"/>
            <c:bubble3D val="0"/>
            <c:spPr>
              <a:solidFill>
                <a:schemeClr val="accent3">
                  <a:tint val="93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9-701E-4C0A-B9A5-9880F13D0169}"/>
              </c:ext>
            </c:extLst>
          </c:dPt>
          <c:dPt>
            <c:idx val="5"/>
            <c:bubble3D val="0"/>
            <c:spPr>
              <a:solidFill>
                <a:schemeClr val="accent3">
                  <a:tint val="77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B-701E-4C0A-B9A5-9880F13D0169}"/>
              </c:ext>
            </c:extLst>
          </c:dPt>
          <c:dPt>
            <c:idx val="6"/>
            <c:bubble3D val="0"/>
            <c:spPr>
              <a:solidFill>
                <a:schemeClr val="accent3">
                  <a:tint val="62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D-701E-4C0A-B9A5-9880F13D0169}"/>
              </c:ext>
            </c:extLst>
          </c:dPt>
          <c:dPt>
            <c:idx val="7"/>
            <c:bubble3D val="0"/>
            <c:explosion val="13"/>
            <c:spPr>
              <a:solidFill>
                <a:schemeClr val="accent3">
                  <a:tint val="46000"/>
                </a:schemeClr>
              </a:solidFill>
              <a:ln>
                <a:noFill/>
              </a:ln>
              <a:effectLst/>
              <a:sp3d>
                <a:contourClr>
                  <a:schemeClr val="lt1"/>
                </a:contourClr>
              </a:sp3d>
            </c:spPr>
            <c:extLst xmlns:c16r2="http://schemas.microsoft.com/office/drawing/2015/06/chart">
              <c:ext xmlns:c16="http://schemas.microsoft.com/office/drawing/2014/chart" uri="{C3380CC4-5D6E-409C-BE32-E72D297353CC}">
                <c16:uniqueId val="{0000000F-701E-4C0A-B9A5-9880F13D0169}"/>
              </c:ext>
            </c:extLst>
          </c:dPt>
          <c:dLbls>
            <c:dLbl>
              <c:idx val="0"/>
              <c:layout>
                <c:manualLayout>
                  <c:x val="-8.2477553857748048E-2"/>
                  <c:y val="-0.29842300962379709"/>
                </c:manualLayout>
              </c:layout>
              <c:tx>
                <c:rich>
                  <a:bodyPr/>
                  <a:lstStyle/>
                  <a:p>
                    <a:r>
                      <a:rPr lang="en-US"/>
                      <a:t>84,04%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01E-4C0A-B9A5-9880F13D0169}"/>
                </c:ext>
                <c:ext xmlns:c15="http://schemas.microsoft.com/office/drawing/2012/chart" uri="{CE6537A1-D6FC-4f65-9D91-7224C49458BB}"/>
              </c:extLst>
            </c:dLbl>
            <c:dLbl>
              <c:idx val="1"/>
              <c:layout>
                <c:manualLayout>
                  <c:x val="6.6637431459681401E-2"/>
                  <c:y val="7.3776975794692334E-2"/>
                </c:manualLayout>
              </c:layout>
              <c:tx>
                <c:rich>
                  <a:bodyPr/>
                  <a:lstStyle/>
                  <a:p>
                    <a:r>
                      <a:rPr lang="en-US"/>
                      <a:t>10,88%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01E-4C0A-B9A5-9880F13D0169}"/>
                </c:ext>
                <c:ext xmlns:c15="http://schemas.microsoft.com/office/drawing/2012/chart" uri="{CE6537A1-D6FC-4f65-9D91-7224C49458BB}"/>
              </c:extLst>
            </c:dLbl>
            <c:dLbl>
              <c:idx val="2"/>
              <c:layout>
                <c:manualLayout>
                  <c:x val="-9.1782145734258483E-2"/>
                  <c:y val="4.1105278506853096E-3"/>
                </c:manualLayout>
              </c:layout>
              <c:tx>
                <c:rich>
                  <a:bodyPr/>
                  <a:lstStyle/>
                  <a:p>
                    <a:r>
                      <a:rPr lang="en-US"/>
                      <a:t>1,65%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01E-4C0A-B9A5-9880F13D0169}"/>
                </c:ext>
                <c:ext xmlns:c15="http://schemas.microsoft.com/office/drawing/2012/chart" uri="{CE6537A1-D6FC-4f65-9D91-7224C49458BB}"/>
              </c:extLst>
            </c:dLbl>
            <c:dLbl>
              <c:idx val="3"/>
              <c:layout>
                <c:manualLayout>
                  <c:x val="-7.8382838283828388E-2"/>
                  <c:y val="-4.2486147564887722E-2"/>
                </c:manualLayout>
              </c:layout>
              <c:tx>
                <c:rich>
                  <a:bodyPr/>
                  <a:lstStyle/>
                  <a:p>
                    <a:r>
                      <a:rPr lang="en-US"/>
                      <a:t>0.91%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01E-4C0A-B9A5-9880F13D0169}"/>
                </c:ext>
                <c:ext xmlns:c15="http://schemas.microsoft.com/office/drawing/2012/chart" uri="{CE6537A1-D6FC-4f65-9D91-7224C49458BB}"/>
              </c:extLst>
            </c:dLbl>
            <c:dLbl>
              <c:idx val="4"/>
              <c:layout>
                <c:manualLayout>
                  <c:x val="-3.8515923442737972E-2"/>
                  <c:y val="-4.6231773111694394E-2"/>
                </c:manualLayout>
              </c:layout>
              <c:tx>
                <c:rich>
                  <a:bodyPr/>
                  <a:lstStyle/>
                  <a:p>
                    <a:r>
                      <a:rPr lang="en-US"/>
                      <a:t>0,19%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01E-4C0A-B9A5-9880F13D0169}"/>
                </c:ext>
                <c:ext xmlns:c15="http://schemas.microsoft.com/office/drawing/2012/chart" uri="{CE6537A1-D6FC-4f65-9D91-7224C49458BB}"/>
              </c:extLst>
            </c:dLbl>
            <c:dLbl>
              <c:idx val="5"/>
              <c:layout>
                <c:manualLayout>
                  <c:x val="7.9246901068059563E-3"/>
                  <c:y val="-7.7481773111694394E-2"/>
                </c:manualLayout>
              </c:layout>
              <c:tx>
                <c:rich>
                  <a:bodyPr/>
                  <a:lstStyle/>
                  <a:p>
                    <a:r>
                      <a:rPr lang="en-US"/>
                      <a:t>0,33%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01E-4C0A-B9A5-9880F13D0169}"/>
                </c:ext>
                <c:ext xmlns:c15="http://schemas.microsoft.com/office/drawing/2012/chart" uri="{CE6537A1-D6FC-4f65-9D91-7224C49458BB}"/>
              </c:extLst>
            </c:dLbl>
            <c:dLbl>
              <c:idx val="6"/>
              <c:layout>
                <c:manualLayout>
                  <c:x val="3.4844793534471522E-2"/>
                  <c:y val="-2.1926217556138838E-2"/>
                </c:manualLayout>
              </c:layout>
              <c:tx>
                <c:rich>
                  <a:bodyPr/>
                  <a:lstStyle/>
                  <a:p>
                    <a:r>
                      <a:rPr lang="en-US"/>
                      <a:t>1,62%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01E-4C0A-B9A5-9880F13D0169}"/>
                </c:ext>
                <c:ext xmlns:c15="http://schemas.microsoft.com/office/drawing/2012/chart" uri="{CE6537A1-D6FC-4f65-9D91-7224C49458BB}"/>
              </c:extLst>
            </c:dLbl>
            <c:dLbl>
              <c:idx val="7"/>
              <c:layout>
                <c:manualLayout>
                  <c:x val="6.7597320755697618E-2"/>
                  <c:y val="1.2796004666083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01E-4C0A-B9A5-9880F13D016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pensia pentru limita de vârstă 84,04%</c:v>
                </c:pt>
                <c:pt idx="1">
                  <c:v>pensia de dizabilitate 10,88%</c:v>
                </c:pt>
                <c:pt idx="2">
                  <c:v>pensiile de urmaș 1,65%</c:v>
                </c:pt>
                <c:pt idx="3">
                  <c:v>pensia funcționarilor publici 0,91%</c:v>
                </c:pt>
                <c:pt idx="4">
                  <c:v>pensiile unor categorii de angajați din aviația civilă 0,33%</c:v>
                </c:pt>
                <c:pt idx="5">
                  <c:v>pensiile judecătorilor 0,19%</c:v>
                </c:pt>
                <c:pt idx="6">
                  <c:v>pensiile anticipate pentru carieră lungă 1,62%</c:v>
                </c:pt>
                <c:pt idx="7">
                  <c:v>Alte prestații de asigurări sociale 0,44% </c:v>
                </c:pt>
              </c:strCache>
            </c:strRef>
          </c:cat>
          <c:val>
            <c:numRef>
              <c:f>Лист1!$B$2:$B$9</c:f>
              <c:numCache>
                <c:formatCode>0.00%</c:formatCode>
                <c:ptCount val="8"/>
                <c:pt idx="0">
                  <c:v>0.84040000000000004</c:v>
                </c:pt>
                <c:pt idx="1">
                  <c:v>0.10879999999999999</c:v>
                </c:pt>
                <c:pt idx="2">
                  <c:v>1.6500000000000001E-2</c:v>
                </c:pt>
                <c:pt idx="3">
                  <c:v>9.1000000000000004E-3</c:v>
                </c:pt>
                <c:pt idx="4">
                  <c:v>3.3E-3</c:v>
                </c:pt>
                <c:pt idx="5">
                  <c:v>1.9E-3</c:v>
                </c:pt>
                <c:pt idx="6">
                  <c:v>1.6199999999999999E-2</c:v>
                </c:pt>
                <c:pt idx="7">
                  <c:v>4.4000000000000003E-3</c:v>
                </c:pt>
              </c:numCache>
            </c:numRef>
          </c:val>
          <c:extLst xmlns:c16r2="http://schemas.microsoft.com/office/drawing/2015/06/chart">
            <c:ext xmlns:c16="http://schemas.microsoft.com/office/drawing/2014/chart" uri="{C3380CC4-5D6E-409C-BE32-E72D297353CC}">
              <c16:uniqueId val="{00000010-701E-4C0A-B9A5-9880F13D0169}"/>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5559513136353009"/>
          <c:y val="8.83293234179061E-2"/>
          <c:w val="0.33202863101270758"/>
          <c:h val="0.84093394575678038"/>
        </c:manualLayout>
      </c:layout>
      <c:overlay val="0"/>
      <c:spPr>
        <a:solidFill>
          <a:schemeClr val="lt1">
            <a:alpha val="50000"/>
          </a:schemeClr>
        </a:solid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prstDash val="solid"/>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2162173394586334"/>
          <c:y val="4.3650793650793648E-2"/>
          <c:w val="0.82382089571324901"/>
          <c:h val="0.67496937882764652"/>
        </c:manualLayout>
      </c:layout>
      <c:barChart>
        <c:barDir val="bar"/>
        <c:grouping val="clustered"/>
        <c:varyColors val="0"/>
        <c:ser>
          <c:idx val="0"/>
          <c:order val="0"/>
          <c:tx>
            <c:strRef>
              <c:f>Sheet1!$B$1</c:f>
              <c:strCache>
                <c:ptCount val="1"/>
                <c:pt idx="0">
                  <c:v>Ponderea contribuțiilor și primelor de asigurări obligatorii în total venituri</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Anul 2019</c:v>
                </c:pt>
                <c:pt idx="1">
                  <c:v>Anul 2020</c:v>
                </c:pt>
                <c:pt idx="2">
                  <c:v>Anul 2021</c:v>
                </c:pt>
                <c:pt idx="3">
                  <c:v>Anul 2022</c:v>
                </c:pt>
                <c:pt idx="4">
                  <c:v>Anul 2023</c:v>
                </c:pt>
              </c:strCache>
            </c:strRef>
          </c:cat>
          <c:val>
            <c:numRef>
              <c:f>Sheet1!$B$2:$B$6</c:f>
              <c:numCache>
                <c:formatCode>0.00%</c:formatCode>
                <c:ptCount val="5"/>
                <c:pt idx="0">
                  <c:v>0.627</c:v>
                </c:pt>
                <c:pt idx="1">
                  <c:v>0.58860000000000001</c:v>
                </c:pt>
                <c:pt idx="2">
                  <c:v>0.59540000000000004</c:v>
                </c:pt>
                <c:pt idx="3">
                  <c:v>0.56200000000000006</c:v>
                </c:pt>
                <c:pt idx="4">
                  <c:v>0.5575</c:v>
                </c:pt>
              </c:numCache>
            </c:numRef>
          </c:val>
          <c:extLst xmlns:c16r2="http://schemas.microsoft.com/office/drawing/2015/06/chart">
            <c:ext xmlns:c16="http://schemas.microsoft.com/office/drawing/2014/chart" uri="{C3380CC4-5D6E-409C-BE32-E72D297353CC}">
              <c16:uniqueId val="{00000000-096F-4742-9BB0-4A650F4B51EA}"/>
            </c:ext>
          </c:extLst>
        </c:ser>
        <c:ser>
          <c:idx val="1"/>
          <c:order val="1"/>
          <c:tx>
            <c:strRef>
              <c:f>Sheet1!$C$1</c:f>
              <c:strCache>
                <c:ptCount val="1"/>
                <c:pt idx="0">
                  <c:v>Ponderea transferurilor în total venituri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Anul 2019</c:v>
                </c:pt>
                <c:pt idx="1">
                  <c:v>Anul 2020</c:v>
                </c:pt>
                <c:pt idx="2">
                  <c:v>Anul 2021</c:v>
                </c:pt>
                <c:pt idx="3">
                  <c:v>Anul 2022</c:v>
                </c:pt>
                <c:pt idx="4">
                  <c:v>Anul 2023</c:v>
                </c:pt>
              </c:strCache>
            </c:strRef>
          </c:cat>
          <c:val>
            <c:numRef>
              <c:f>Sheet1!$C$2:$C$6</c:f>
              <c:numCache>
                <c:formatCode>0.00%</c:formatCode>
                <c:ptCount val="5"/>
                <c:pt idx="0">
                  <c:v>0.3659</c:v>
                </c:pt>
                <c:pt idx="1">
                  <c:v>0.40229999999999999</c:v>
                </c:pt>
                <c:pt idx="2">
                  <c:v>0.39360000000000001</c:v>
                </c:pt>
                <c:pt idx="3">
                  <c:v>0.438</c:v>
                </c:pt>
                <c:pt idx="4">
                  <c:v>0.42770000000000002</c:v>
                </c:pt>
              </c:numCache>
            </c:numRef>
          </c:val>
          <c:extLst xmlns:c16r2="http://schemas.microsoft.com/office/drawing/2015/06/chart">
            <c:ext xmlns:c16="http://schemas.microsoft.com/office/drawing/2014/chart" uri="{C3380CC4-5D6E-409C-BE32-E72D297353CC}">
              <c16:uniqueId val="{00000001-096F-4742-9BB0-4A650F4B51EA}"/>
            </c:ext>
          </c:extLst>
        </c:ser>
        <c:ser>
          <c:idx val="2"/>
          <c:order val="2"/>
          <c:tx>
            <c:strRef>
              <c:f>Sheet1!$D$1</c:f>
              <c:strCache>
                <c:ptCount val="1"/>
                <c:pt idx="0">
                  <c:v>Total venituri</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Anul 2019</c:v>
                </c:pt>
                <c:pt idx="1">
                  <c:v>Anul 2020</c:v>
                </c:pt>
                <c:pt idx="2">
                  <c:v>Anul 2021</c:v>
                </c:pt>
                <c:pt idx="3">
                  <c:v>Anul 2022</c:v>
                </c:pt>
                <c:pt idx="4">
                  <c:v>Anul 2023</c:v>
                </c:pt>
              </c:strCache>
            </c:strRef>
          </c:cat>
          <c:val>
            <c:numRef>
              <c:f>Sheet1!$D$2:$D$6</c:f>
              <c:numCache>
                <c:formatCode>0%</c:formatCode>
                <c:ptCount val="5"/>
                <c:pt idx="0">
                  <c:v>1</c:v>
                </c:pt>
                <c:pt idx="1">
                  <c:v>1</c:v>
                </c:pt>
                <c:pt idx="2">
                  <c:v>1</c:v>
                </c:pt>
                <c:pt idx="3">
                  <c:v>1</c:v>
                </c:pt>
                <c:pt idx="4">
                  <c:v>1</c:v>
                </c:pt>
              </c:numCache>
            </c:numRef>
          </c:val>
          <c:extLst xmlns:c16r2="http://schemas.microsoft.com/office/drawing/2015/06/chart">
            <c:ext xmlns:c16="http://schemas.microsoft.com/office/drawing/2014/chart" uri="{C3380CC4-5D6E-409C-BE32-E72D297353CC}">
              <c16:uniqueId val="{00000002-096F-4742-9BB0-4A650F4B51EA}"/>
            </c:ext>
          </c:extLst>
        </c:ser>
        <c:dLbls>
          <c:dLblPos val="inEnd"/>
          <c:showLegendKey val="0"/>
          <c:showVal val="1"/>
          <c:showCatName val="0"/>
          <c:showSerName val="0"/>
          <c:showPercent val="0"/>
          <c:showBubbleSize val="0"/>
        </c:dLbls>
        <c:gapWidth val="182"/>
        <c:axId val="295819912"/>
        <c:axId val="295820304"/>
      </c:barChart>
      <c:catAx>
        <c:axId val="295819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5820304"/>
        <c:crosses val="autoZero"/>
        <c:auto val="1"/>
        <c:lblAlgn val="ctr"/>
        <c:lblOffset val="100"/>
        <c:noMultiLvlLbl val="0"/>
      </c:catAx>
      <c:valAx>
        <c:axId val="2958203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95819912"/>
        <c:crosses val="autoZero"/>
        <c:crossBetween val="between"/>
      </c:valAx>
      <c:spPr>
        <a:noFill/>
        <a:ln>
          <a:noFill/>
        </a:ln>
        <a:effectLst/>
      </c:spPr>
    </c:plotArea>
    <c:legend>
      <c:legendPos val="b"/>
      <c:layout>
        <c:manualLayout>
          <c:xMode val="edge"/>
          <c:yMode val="edge"/>
          <c:x val="0.21762779937570517"/>
          <c:y val="0.80488365920552063"/>
          <c:w val="0.60465318118017464"/>
          <c:h val="0.19511634079447934"/>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05E09F-D018-4FE5-9B44-B4453C291D21}" type="doc">
      <dgm:prSet loTypeId="urn:microsoft.com/office/officeart/2005/8/layout/process4" loCatId="process" qsTypeId="urn:microsoft.com/office/officeart/2005/8/quickstyle/simple1" qsCatId="simple" csTypeId="urn:microsoft.com/office/officeart/2005/8/colors/accent3_2" csCatId="accent3" phldr="1"/>
      <dgm:spPr/>
      <dgm:t>
        <a:bodyPr/>
        <a:lstStyle/>
        <a:p>
          <a:endParaRPr lang="en-US"/>
        </a:p>
      </dgm:t>
    </dgm:pt>
    <dgm:pt modelId="{E5D740C3-F51A-4C8F-8EC2-885DC92A4152}">
      <dgm:prSet phldrT="[Text]" custT="1"/>
      <dgm:spPr>
        <a:xfrm rot="10800000">
          <a:off x="0" y="1145"/>
          <a:ext cx="6469380" cy="929524"/>
        </a:xfrm>
      </dgm:spPr>
      <dgm:t>
        <a:bodyPr/>
        <a:lstStyle/>
        <a:p>
          <a:pPr algn="ctr"/>
          <a:r>
            <a:rPr lang="x-none" sz="1100">
              <a:latin typeface="Times New Roman" panose="02020603050405020304" pitchFamily="18" charset="0"/>
              <a:ea typeface="+mn-ea"/>
              <a:cs typeface="Times New Roman" panose="02020603050405020304" pitchFamily="18" charset="0"/>
            </a:rPr>
            <a:t>Evaluarea termenelor de înregistrare a informațiilor constatate de audit</a:t>
          </a:r>
          <a:endParaRPr lang="en-US" sz="1100">
            <a:latin typeface="Times New Roman" panose="02020603050405020304" pitchFamily="18" charset="0"/>
            <a:ea typeface="+mn-ea"/>
            <a:cs typeface="Times New Roman" panose="02020603050405020304" pitchFamily="18" charset="0"/>
          </a:endParaRPr>
        </a:p>
      </dgm:t>
    </dgm:pt>
    <dgm:pt modelId="{A68725FA-E5D4-4414-936B-69F01F208536}" type="parTrans" cxnId="{BBA7D3F9-05CF-4367-8ACC-BAA1EB8510C3}">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E65FF44A-A1EA-4D02-8A0B-F04DE8BABFAE}" type="sibTrans" cxnId="{BBA7D3F9-05CF-4367-8ACC-BAA1EB8510C3}">
      <dgm:prSet custT="1"/>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969A3349-9218-4069-95DD-467971110FEC}">
      <dgm:prSet phldrT="[Text]" custT="1"/>
      <dgm:spPr>
        <a:xfrm>
          <a:off x="0" y="1247867"/>
          <a:ext cx="3234689" cy="277927"/>
        </a:xfrm>
      </dgm:spPr>
      <dgm:t>
        <a:bodyPr/>
        <a:lstStyle/>
        <a:p>
          <a:pPr algn="ctr"/>
          <a:r>
            <a:rPr lang="x-none" sz="1100">
              <a:latin typeface="Times New Roman" panose="02020603050405020304" pitchFamily="18" charset="0"/>
              <a:ea typeface="+mn-ea"/>
              <a:cs typeface="Times New Roman" panose="02020603050405020304" pitchFamily="18" charset="0"/>
            </a:rPr>
            <a:t>Registrul de stat al populației</a:t>
          </a:r>
          <a:endParaRPr lang="en-US" sz="1100">
            <a:latin typeface="Times New Roman" panose="02020603050405020304" pitchFamily="18" charset="0"/>
            <a:ea typeface="+mn-ea"/>
            <a:cs typeface="Times New Roman" panose="02020603050405020304" pitchFamily="18" charset="0"/>
          </a:endParaRPr>
        </a:p>
      </dgm:t>
    </dgm:pt>
    <dgm:pt modelId="{ABEAA278-D505-4ED5-935C-0D85EF6D3345}" type="parTrans" cxnId="{5B525224-6170-4023-96F9-27922F820C9B}">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33DA13E1-28A2-4580-8FBF-AE4D4C125014}" type="sibTrans" cxnId="{5B525224-6170-4023-96F9-27922F820C9B}">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B4B77B85-AB8D-4173-B8F4-B69742252F24}">
      <dgm:prSet phldrT="[Text]" custT="1"/>
      <dgm:spPr>
        <a:xfrm rot="10800000">
          <a:off x="0" y="1842063"/>
          <a:ext cx="6469380" cy="929524"/>
        </a:xfrm>
      </dgm:spPr>
      <dgm:t>
        <a:bodyPr/>
        <a:lstStyle/>
        <a:p>
          <a:pPr algn="ctr"/>
          <a:r>
            <a:rPr lang="x-none" sz="1100">
              <a:latin typeface="Times New Roman" panose="02020603050405020304" pitchFamily="18" charset="0"/>
              <a:ea typeface="+mn-ea"/>
              <a:cs typeface="Times New Roman" panose="02020603050405020304" pitchFamily="18" charset="0"/>
            </a:rPr>
            <a:t>AGE</a:t>
          </a:r>
          <a:endParaRPr lang="en-US" sz="1100">
            <a:latin typeface="Times New Roman" panose="02020603050405020304" pitchFamily="18" charset="0"/>
            <a:ea typeface="+mn-ea"/>
            <a:cs typeface="Times New Roman" panose="02020603050405020304" pitchFamily="18" charset="0"/>
          </a:endParaRPr>
        </a:p>
      </dgm:t>
    </dgm:pt>
    <dgm:pt modelId="{0006B9EE-880F-4756-8A25-1CFEC1A61611}" type="parTrans" cxnId="{C5D3C766-6BC9-4709-8ADC-14B3E70ED0BC}">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8BDFDB83-9BEC-4CE6-BDFB-2B6FAE338503}" type="sibTrans" cxnId="{C5D3C766-6BC9-4709-8ADC-14B3E70ED0BC}">
      <dgm:prSet custT="1"/>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667BA58C-DE6F-4C81-8424-C97E77874876}">
      <dgm:prSet phldrT="[Text]" custT="1"/>
      <dgm:spPr>
        <a:xfrm>
          <a:off x="0" y="2115218"/>
          <a:ext cx="3234689" cy="384143"/>
        </a:xfrm>
      </dgm:spPr>
      <dgm:t>
        <a:bodyPr/>
        <a:lstStyle/>
        <a:p>
          <a:pPr algn="ctr"/>
          <a:r>
            <a:rPr lang="x-none" sz="1100">
              <a:latin typeface="Times New Roman" panose="02020603050405020304" pitchFamily="18" charset="0"/>
              <a:ea typeface="+mn-ea"/>
              <a:cs typeface="Times New Roman" panose="02020603050405020304" pitchFamily="18" charset="0"/>
            </a:rPr>
            <a:t>Asigură legătura între SI al ASP și CNAS </a:t>
          </a:r>
        </a:p>
        <a:p>
          <a:pPr algn="ctr"/>
          <a:r>
            <a:rPr lang="x-none" sz="1100">
              <a:latin typeface="Times New Roman" panose="02020603050405020304" pitchFamily="18" charset="0"/>
              <a:ea typeface="+mn-ea"/>
              <a:cs typeface="Times New Roman" panose="02020603050405020304" pitchFamily="18" charset="0"/>
            </a:rPr>
            <a:t>(MConnect)</a:t>
          </a:r>
          <a:endParaRPr lang="en-US" sz="1100">
            <a:latin typeface="Times New Roman" panose="02020603050405020304" pitchFamily="18" charset="0"/>
            <a:ea typeface="+mn-ea"/>
            <a:cs typeface="Times New Roman" panose="02020603050405020304" pitchFamily="18" charset="0"/>
          </a:endParaRPr>
        </a:p>
      </dgm:t>
    </dgm:pt>
    <dgm:pt modelId="{A7E262BB-7B79-4C65-A62E-FEB3D52310D1}" type="parTrans" cxnId="{3A6C6C39-0295-4561-B176-BFC1B4A3F2D1}">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CCF8DCA1-3D70-46FE-BFCD-38E1A15639B6}" type="sibTrans" cxnId="{3A6C6C39-0295-4561-B176-BFC1B4A3F2D1}">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E36EEBC4-05F7-4981-8C22-C5411FF46672}">
      <dgm:prSet phldrT="[Text]" custT="1"/>
      <dgm:spPr>
        <a:xfrm>
          <a:off x="0" y="2762522"/>
          <a:ext cx="6469380" cy="604372"/>
        </a:xfrm>
      </dgm:spPr>
      <dgm:t>
        <a:bodyPr/>
        <a:lstStyle/>
        <a:p>
          <a:pPr algn="ctr"/>
          <a:r>
            <a:rPr lang="x-none" sz="1100">
              <a:latin typeface="Times New Roman" panose="02020603050405020304" pitchFamily="18" charset="0"/>
              <a:ea typeface="+mn-ea"/>
              <a:cs typeface="Times New Roman" panose="02020603050405020304" pitchFamily="18" charset="0"/>
            </a:rPr>
            <a:t>CNAS</a:t>
          </a:r>
          <a:endParaRPr lang="en-US" sz="1100">
            <a:latin typeface="Times New Roman" panose="02020603050405020304" pitchFamily="18" charset="0"/>
            <a:ea typeface="+mn-ea"/>
            <a:cs typeface="Times New Roman" panose="02020603050405020304" pitchFamily="18" charset="0"/>
          </a:endParaRPr>
        </a:p>
      </dgm:t>
    </dgm:pt>
    <dgm:pt modelId="{22349E75-DBFB-4EEC-ABD8-42D1D0C89911}" type="parTrans" cxnId="{1F21E38C-1155-435D-A120-C358AEA33E58}">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5A60EC33-0ACB-4D37-874E-9864D56927BD}" type="sibTrans" cxnId="{1F21E38C-1155-435D-A120-C358AEA33E58}">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1258D239-8349-4184-ACEF-F9072367F413}">
      <dgm:prSet phldrT="[Text]" custT="1"/>
      <dgm:spPr>
        <a:xfrm>
          <a:off x="0" y="3076796"/>
          <a:ext cx="3234689" cy="278011"/>
        </a:xfrm>
      </dgm:spPr>
      <dgm:t>
        <a:bodyPr/>
        <a:lstStyle/>
        <a:p>
          <a:pPr algn="ctr"/>
          <a:r>
            <a:rPr lang="x-none" sz="1100">
              <a:latin typeface="Times New Roman" panose="02020603050405020304" pitchFamily="18" charset="0"/>
              <a:ea typeface="+mn-ea"/>
              <a:cs typeface="Times New Roman" panose="02020603050405020304" pitchFamily="18" charset="0"/>
            </a:rPr>
            <a:t>Recepționarea informației despre deces în SI „Protecție Socială”</a:t>
          </a:r>
          <a:endParaRPr lang="en-US" sz="1100">
            <a:latin typeface="Times New Roman" panose="02020603050405020304" pitchFamily="18" charset="0"/>
            <a:ea typeface="+mn-ea"/>
            <a:cs typeface="Times New Roman" panose="02020603050405020304" pitchFamily="18" charset="0"/>
          </a:endParaRPr>
        </a:p>
      </dgm:t>
    </dgm:pt>
    <dgm:pt modelId="{1EAD3B7C-97EB-46AB-8B7D-B516F8D9BCB4}" type="parTrans" cxnId="{3BDACD31-E9C9-48C6-8EBA-E9A10FC00B5E}">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7E998A40-4F7F-4EE4-A2C4-9F71A027FC17}" type="sibTrans" cxnId="{3BDACD31-E9C9-48C6-8EBA-E9A10FC00B5E}">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8A428986-8F71-4303-B61D-6A5A86FAB420}">
      <dgm:prSet phldrT="[Text]" custT="1"/>
      <dgm:spPr>
        <a:xfrm>
          <a:off x="3234690" y="1247867"/>
          <a:ext cx="3234689" cy="277927"/>
        </a:xfrm>
      </dgm:spPr>
      <dgm:t>
        <a:bodyPr/>
        <a:lstStyle/>
        <a:p>
          <a:pPr algn="ctr"/>
          <a:r>
            <a:rPr lang="x-none" sz="1100">
              <a:latin typeface="Times New Roman" panose="02020603050405020304" pitchFamily="18" charset="0"/>
              <a:ea typeface="+mn-ea"/>
              <a:cs typeface="Times New Roman" panose="02020603050405020304" pitchFamily="18" charset="0"/>
            </a:rPr>
            <a:t>până la 1</a:t>
          </a:r>
          <a:r>
            <a:rPr lang="en-US" sz="1100">
              <a:latin typeface="Times New Roman" panose="02020603050405020304" pitchFamily="18" charset="0"/>
              <a:ea typeface="+mn-ea"/>
              <a:cs typeface="Times New Roman" panose="02020603050405020304" pitchFamily="18" charset="0"/>
            </a:rPr>
            <a:t>40</a:t>
          </a:r>
          <a:r>
            <a:rPr lang="x-none" sz="1100">
              <a:latin typeface="Times New Roman" panose="02020603050405020304" pitchFamily="18" charset="0"/>
              <a:ea typeface="+mn-ea"/>
              <a:cs typeface="Times New Roman" panose="02020603050405020304" pitchFamily="18" charset="0"/>
            </a:rPr>
            <a:t> zile</a:t>
          </a:r>
          <a:endParaRPr lang="en-US" sz="1100">
            <a:latin typeface="Times New Roman" panose="02020603050405020304" pitchFamily="18" charset="0"/>
            <a:ea typeface="+mn-ea"/>
            <a:cs typeface="Times New Roman" panose="02020603050405020304" pitchFamily="18" charset="0"/>
          </a:endParaRPr>
        </a:p>
      </dgm:t>
    </dgm:pt>
    <dgm:pt modelId="{EFF23EC3-6331-4A1D-A1EE-A576A1CF7612}" type="parTrans" cxnId="{0E98DB2E-4865-4FB4-A286-9D067995C342}">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C68851C6-4A23-4A8A-823B-71D379F307DF}" type="sibTrans" cxnId="{0E98DB2E-4865-4FB4-A286-9D067995C342}">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D9A37964-48F5-4061-B7D9-2B8828364928}">
      <dgm:prSet phldrT="[Text]" custT="1"/>
      <dgm:spPr>
        <a:xfrm rot="10800000">
          <a:off x="0" y="921604"/>
          <a:ext cx="6469380" cy="929524"/>
        </a:xfrm>
      </dgm:spPr>
      <dgm:t>
        <a:bodyPr/>
        <a:lstStyle/>
        <a:p>
          <a:pPr algn="ctr"/>
          <a:r>
            <a:rPr lang="x-none" sz="1100">
              <a:latin typeface="Times New Roman" panose="02020603050405020304" pitchFamily="18" charset="0"/>
              <a:ea typeface="+mn-ea"/>
              <a:cs typeface="Times New Roman" panose="02020603050405020304" pitchFamily="18" charset="0"/>
            </a:rPr>
            <a:t>Introducerea</a:t>
          </a:r>
          <a:r>
            <a:rPr lang="x-none" sz="1200">
              <a:latin typeface="Times New Roman" panose="02020603050405020304" pitchFamily="18" charset="0"/>
              <a:ea typeface="+mn-ea"/>
              <a:cs typeface="Times New Roman" panose="02020603050405020304" pitchFamily="18" charset="0"/>
            </a:rPr>
            <a:t> de căre ASP</a:t>
          </a:r>
          <a:endParaRPr lang="en-US" sz="1200">
            <a:latin typeface="Times New Roman" panose="02020603050405020304" pitchFamily="18" charset="0"/>
            <a:ea typeface="+mn-ea"/>
            <a:cs typeface="Times New Roman" panose="02020603050405020304" pitchFamily="18" charset="0"/>
          </a:endParaRPr>
        </a:p>
      </dgm:t>
    </dgm:pt>
    <dgm:pt modelId="{8E66F4FE-5EC6-429C-875E-8517553B50E5}" type="parTrans" cxnId="{36C697AB-6BF7-4988-A1A7-AB46631110A1}">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67C62706-EDAD-4250-AA21-260B6C60C6CC}" type="sibTrans" cxnId="{36C697AB-6BF7-4988-A1A7-AB46631110A1}">
      <dgm:prSet custT="1"/>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0F2621C4-EDC6-44D5-B438-A1E17F1E69D2}">
      <dgm:prSet phldrT="[Text]" custT="1"/>
      <dgm:spPr>
        <a:xfrm>
          <a:off x="3234690" y="2115218"/>
          <a:ext cx="3234689" cy="384143"/>
        </a:xfrm>
      </dgm:spPr>
      <dgm:t>
        <a:bodyPr/>
        <a:lstStyle/>
        <a:p>
          <a:pPr algn="ctr"/>
          <a:r>
            <a:rPr lang="x-none" sz="1100">
              <a:latin typeface="Times New Roman" panose="02020603050405020304" pitchFamily="18" charset="0"/>
              <a:ea typeface="+mn-ea"/>
              <a:cs typeface="Times New Roman" panose="02020603050405020304" pitchFamily="18" charset="0"/>
            </a:rPr>
            <a:t>Zilnic pentru decesele introduse în sistem</a:t>
          </a:r>
          <a:endParaRPr lang="en-US" sz="1100">
            <a:latin typeface="Times New Roman" panose="02020603050405020304" pitchFamily="18" charset="0"/>
            <a:ea typeface="+mn-ea"/>
            <a:cs typeface="Times New Roman" panose="02020603050405020304" pitchFamily="18" charset="0"/>
          </a:endParaRPr>
        </a:p>
      </dgm:t>
    </dgm:pt>
    <dgm:pt modelId="{4F0F5C99-81A1-46F3-B913-113D6109CA93}" type="parTrans" cxnId="{58995482-3BC1-4B7A-9F97-0CE5C6244054}">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52905E2B-07CE-44F5-8FC7-1082B9B12B42}" type="sibTrans" cxnId="{58995482-3BC1-4B7A-9F97-0CE5C6244054}">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238BA144-B0A2-4F9C-B3B9-F52AD48C42A3}">
      <dgm:prSet phldrT="[Text]" custT="1"/>
      <dgm:spPr>
        <a:xfrm>
          <a:off x="3234690" y="3076796"/>
          <a:ext cx="3234689" cy="278011"/>
        </a:xfrm>
      </dgm:spPr>
      <dgm:t>
        <a:bodyPr/>
        <a:lstStyle/>
        <a:p>
          <a:pPr algn="ctr"/>
          <a:r>
            <a:rPr lang="x-none" sz="1100">
              <a:latin typeface="Times New Roman" panose="02020603050405020304" pitchFamily="18" charset="0"/>
              <a:ea typeface="+mn-ea"/>
              <a:cs typeface="Times New Roman" panose="02020603050405020304" pitchFamily="18" charset="0"/>
            </a:rPr>
            <a:t>până la 1</a:t>
          </a:r>
          <a:r>
            <a:rPr lang="en-US" sz="1100">
              <a:latin typeface="Times New Roman" panose="02020603050405020304" pitchFamily="18" charset="0"/>
              <a:ea typeface="+mn-ea"/>
              <a:cs typeface="Times New Roman" panose="02020603050405020304" pitchFamily="18" charset="0"/>
            </a:rPr>
            <a:t>41</a:t>
          </a:r>
          <a:r>
            <a:rPr lang="x-none" sz="1100">
              <a:latin typeface="Times New Roman" panose="02020603050405020304" pitchFamily="18" charset="0"/>
              <a:ea typeface="+mn-ea"/>
              <a:cs typeface="Times New Roman" panose="02020603050405020304" pitchFamily="18" charset="0"/>
            </a:rPr>
            <a:t> zile</a:t>
          </a:r>
          <a:endParaRPr lang="en-US" sz="1100">
            <a:latin typeface="Times New Roman" panose="02020603050405020304" pitchFamily="18" charset="0"/>
            <a:ea typeface="+mn-ea"/>
            <a:cs typeface="Times New Roman" panose="02020603050405020304" pitchFamily="18" charset="0"/>
          </a:endParaRPr>
        </a:p>
      </dgm:t>
    </dgm:pt>
    <dgm:pt modelId="{578C8A2E-7D6C-496B-8EE3-92FD6934E7EB}" type="parTrans" cxnId="{DB602EE2-0D44-486E-BA7E-D50613E98316}">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8E1A3DFC-030C-49CB-8265-A664B0A1218F}" type="sibTrans" cxnId="{DB602EE2-0D44-486E-BA7E-D50613E98316}">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DAFC80F2-896F-465A-AC32-3FEB7DC5767F}">
      <dgm:prSet custT="1"/>
      <dgm:spPr>
        <a:xfrm>
          <a:off x="0" y="327408"/>
          <a:ext cx="6469380" cy="277927"/>
        </a:xfrm>
      </dgm:spPr>
      <dgm:t>
        <a:bodyPr/>
        <a:lstStyle/>
        <a:p>
          <a:pPr algn="ctr"/>
          <a:r>
            <a:rPr lang="x-none" sz="1100">
              <a:latin typeface="Times New Roman" panose="02020603050405020304" pitchFamily="18" charset="0"/>
              <a:ea typeface="+mn-ea"/>
              <a:cs typeface="Times New Roman" panose="02020603050405020304" pitchFamily="18" charset="0"/>
            </a:rPr>
            <a:t>Decesul beneficiarului</a:t>
          </a:r>
          <a:endParaRPr lang="en-US" sz="1100">
            <a:latin typeface="Times New Roman" panose="02020603050405020304" pitchFamily="18" charset="0"/>
            <a:ea typeface="+mn-ea"/>
            <a:cs typeface="Times New Roman" panose="02020603050405020304" pitchFamily="18" charset="0"/>
          </a:endParaRPr>
        </a:p>
      </dgm:t>
    </dgm:pt>
    <dgm:pt modelId="{55AD50B9-F9A3-4792-8E90-4A0D81E69D2D}" type="parTrans" cxnId="{0196A853-B817-4132-AEBF-E2F2FE45DAA6}">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902BD209-406B-4301-ADE3-795F0078C750}" type="sibTrans" cxnId="{0196A853-B817-4132-AEBF-E2F2FE45DAA6}">
      <dgm:prSet/>
      <dgm:spPr/>
      <dgm:t>
        <a:bodyPr/>
        <a:lstStyle/>
        <a:p>
          <a:pPr algn="ctr"/>
          <a:endParaRPr lang="en-US" sz="1200">
            <a:solidFill>
              <a:schemeClr val="tx1"/>
            </a:solidFill>
            <a:latin typeface="Times New Roman" panose="02020603050405020304" pitchFamily="18" charset="0"/>
            <a:cs typeface="Times New Roman" panose="02020603050405020304" pitchFamily="18" charset="0"/>
          </a:endParaRPr>
        </a:p>
      </dgm:t>
    </dgm:pt>
    <dgm:pt modelId="{B62B29F6-6DAE-4ECA-B7EB-C8B10F02BB73}" type="pres">
      <dgm:prSet presAssocID="{8F05E09F-D018-4FE5-9B44-B4453C291D21}" presName="Name0" presStyleCnt="0">
        <dgm:presLayoutVars>
          <dgm:dir/>
          <dgm:animLvl val="lvl"/>
          <dgm:resizeHandles val="exact"/>
        </dgm:presLayoutVars>
      </dgm:prSet>
      <dgm:spPr/>
      <dgm:t>
        <a:bodyPr/>
        <a:lstStyle/>
        <a:p>
          <a:endParaRPr lang="en-US"/>
        </a:p>
      </dgm:t>
    </dgm:pt>
    <dgm:pt modelId="{7A2B2CD6-0FDF-4ED1-8B70-B51EBA05ABC3}" type="pres">
      <dgm:prSet presAssocID="{E36EEBC4-05F7-4981-8C22-C5411FF46672}" presName="boxAndChildren" presStyleCnt="0"/>
      <dgm:spPr/>
      <dgm:t>
        <a:bodyPr/>
        <a:lstStyle/>
        <a:p>
          <a:endParaRPr lang="en-US"/>
        </a:p>
      </dgm:t>
    </dgm:pt>
    <dgm:pt modelId="{79F2FAE2-A45D-4EF2-8F60-941D13E11197}" type="pres">
      <dgm:prSet presAssocID="{E36EEBC4-05F7-4981-8C22-C5411FF46672}" presName="parentTextBox" presStyleLbl="node1" presStyleIdx="0" presStyleCnt="4"/>
      <dgm:spPr>
        <a:prstGeom prst="rect">
          <a:avLst/>
        </a:prstGeom>
      </dgm:spPr>
      <dgm:t>
        <a:bodyPr/>
        <a:lstStyle/>
        <a:p>
          <a:endParaRPr lang="en-US"/>
        </a:p>
      </dgm:t>
    </dgm:pt>
    <dgm:pt modelId="{43CB29BE-4D53-417A-AD02-F1FCC052E860}" type="pres">
      <dgm:prSet presAssocID="{E36EEBC4-05F7-4981-8C22-C5411FF46672}" presName="entireBox" presStyleLbl="node1" presStyleIdx="0" presStyleCnt="4"/>
      <dgm:spPr/>
      <dgm:t>
        <a:bodyPr/>
        <a:lstStyle/>
        <a:p>
          <a:endParaRPr lang="en-US"/>
        </a:p>
      </dgm:t>
    </dgm:pt>
    <dgm:pt modelId="{AEB1C61D-2EEE-4E76-85EA-6A9BCC17027C}" type="pres">
      <dgm:prSet presAssocID="{E36EEBC4-05F7-4981-8C22-C5411FF46672}" presName="descendantBox" presStyleCnt="0"/>
      <dgm:spPr/>
      <dgm:t>
        <a:bodyPr/>
        <a:lstStyle/>
        <a:p>
          <a:endParaRPr lang="en-US"/>
        </a:p>
      </dgm:t>
    </dgm:pt>
    <dgm:pt modelId="{CC6081A0-D201-4FE6-BFF3-34C5F1D7D9F6}" type="pres">
      <dgm:prSet presAssocID="{1258D239-8349-4184-ACEF-F9072367F413}" presName="childTextBox" presStyleLbl="fgAccFollowNode1" presStyleIdx="0" presStyleCnt="7">
        <dgm:presLayoutVars>
          <dgm:bulletEnabled val="1"/>
        </dgm:presLayoutVars>
      </dgm:prSet>
      <dgm:spPr>
        <a:prstGeom prst="rect">
          <a:avLst/>
        </a:prstGeom>
      </dgm:spPr>
      <dgm:t>
        <a:bodyPr/>
        <a:lstStyle/>
        <a:p>
          <a:endParaRPr lang="en-US"/>
        </a:p>
      </dgm:t>
    </dgm:pt>
    <dgm:pt modelId="{213CCA8C-1DD8-43C6-8018-22BE261B0E56}" type="pres">
      <dgm:prSet presAssocID="{238BA144-B0A2-4F9C-B3B9-F52AD48C42A3}" presName="childTextBox" presStyleLbl="fgAccFollowNode1" presStyleIdx="1" presStyleCnt="7">
        <dgm:presLayoutVars>
          <dgm:bulletEnabled val="1"/>
        </dgm:presLayoutVars>
      </dgm:prSet>
      <dgm:spPr>
        <a:prstGeom prst="rect">
          <a:avLst/>
        </a:prstGeom>
      </dgm:spPr>
      <dgm:t>
        <a:bodyPr/>
        <a:lstStyle/>
        <a:p>
          <a:endParaRPr lang="en-US"/>
        </a:p>
      </dgm:t>
    </dgm:pt>
    <dgm:pt modelId="{2902CBE6-2ED1-49C1-B25C-AD18BAF44342}" type="pres">
      <dgm:prSet presAssocID="{8BDFDB83-9BEC-4CE6-BDFB-2B6FAE338503}" presName="sp" presStyleCnt="0"/>
      <dgm:spPr/>
      <dgm:t>
        <a:bodyPr/>
        <a:lstStyle/>
        <a:p>
          <a:endParaRPr lang="en-US"/>
        </a:p>
      </dgm:t>
    </dgm:pt>
    <dgm:pt modelId="{B8596B25-61FF-43F7-92FC-4A66A0BC3F38}" type="pres">
      <dgm:prSet presAssocID="{B4B77B85-AB8D-4173-B8F4-B69742252F24}" presName="arrowAndChildren" presStyleCnt="0"/>
      <dgm:spPr/>
      <dgm:t>
        <a:bodyPr/>
        <a:lstStyle/>
        <a:p>
          <a:endParaRPr lang="en-US"/>
        </a:p>
      </dgm:t>
    </dgm:pt>
    <dgm:pt modelId="{6FBC3E95-C9FE-4BE0-AD95-F982F5900E34}" type="pres">
      <dgm:prSet presAssocID="{B4B77B85-AB8D-4173-B8F4-B69742252F24}" presName="parentTextArrow" presStyleLbl="node1" presStyleIdx="0" presStyleCnt="4"/>
      <dgm:spPr>
        <a:prstGeom prst="upArrowCallout">
          <a:avLst/>
        </a:prstGeom>
      </dgm:spPr>
      <dgm:t>
        <a:bodyPr/>
        <a:lstStyle/>
        <a:p>
          <a:endParaRPr lang="en-US"/>
        </a:p>
      </dgm:t>
    </dgm:pt>
    <dgm:pt modelId="{8C6CE277-25EF-4BB3-BFC4-19F282143301}" type="pres">
      <dgm:prSet presAssocID="{B4B77B85-AB8D-4173-B8F4-B69742252F24}" presName="arrow" presStyleLbl="node1" presStyleIdx="1" presStyleCnt="4" custLinFactNeighborX="239" custLinFactNeighborY="-8277"/>
      <dgm:spPr/>
      <dgm:t>
        <a:bodyPr/>
        <a:lstStyle/>
        <a:p>
          <a:endParaRPr lang="en-US"/>
        </a:p>
      </dgm:t>
    </dgm:pt>
    <dgm:pt modelId="{282E1D2F-8D61-4E1E-8B98-5020F7D51F7C}" type="pres">
      <dgm:prSet presAssocID="{B4B77B85-AB8D-4173-B8F4-B69742252F24}" presName="descendantArrow" presStyleCnt="0"/>
      <dgm:spPr/>
      <dgm:t>
        <a:bodyPr/>
        <a:lstStyle/>
        <a:p>
          <a:endParaRPr lang="en-US"/>
        </a:p>
      </dgm:t>
    </dgm:pt>
    <dgm:pt modelId="{20E34D21-591E-4614-995F-0ADE79E299C9}" type="pres">
      <dgm:prSet presAssocID="{667BA58C-DE6F-4C81-8424-C97E77874876}" presName="childTextArrow" presStyleLbl="fgAccFollowNode1" presStyleIdx="2" presStyleCnt="7" custScaleY="138217">
        <dgm:presLayoutVars>
          <dgm:bulletEnabled val="1"/>
        </dgm:presLayoutVars>
      </dgm:prSet>
      <dgm:spPr>
        <a:prstGeom prst="rect">
          <a:avLst/>
        </a:prstGeom>
      </dgm:spPr>
      <dgm:t>
        <a:bodyPr/>
        <a:lstStyle/>
        <a:p>
          <a:endParaRPr lang="en-US"/>
        </a:p>
      </dgm:t>
    </dgm:pt>
    <dgm:pt modelId="{28DB0BDC-D2F7-41F2-B4DA-5D5B1343498F}" type="pres">
      <dgm:prSet presAssocID="{0F2621C4-EDC6-44D5-B438-A1E17F1E69D2}" presName="childTextArrow" presStyleLbl="fgAccFollowNode1" presStyleIdx="3" presStyleCnt="7" custScaleY="138217">
        <dgm:presLayoutVars>
          <dgm:bulletEnabled val="1"/>
        </dgm:presLayoutVars>
      </dgm:prSet>
      <dgm:spPr>
        <a:prstGeom prst="rect">
          <a:avLst/>
        </a:prstGeom>
      </dgm:spPr>
      <dgm:t>
        <a:bodyPr/>
        <a:lstStyle/>
        <a:p>
          <a:endParaRPr lang="en-US"/>
        </a:p>
      </dgm:t>
    </dgm:pt>
    <dgm:pt modelId="{693ED221-AD77-43DF-8D86-DBBC8A31F04C}" type="pres">
      <dgm:prSet presAssocID="{67C62706-EDAD-4250-AA21-260B6C60C6CC}" presName="sp" presStyleCnt="0"/>
      <dgm:spPr/>
      <dgm:t>
        <a:bodyPr/>
        <a:lstStyle/>
        <a:p>
          <a:endParaRPr lang="en-US"/>
        </a:p>
      </dgm:t>
    </dgm:pt>
    <dgm:pt modelId="{6E70B460-C524-4FC3-9BF4-0BB79A762B35}" type="pres">
      <dgm:prSet presAssocID="{D9A37964-48F5-4061-B7D9-2B8828364928}" presName="arrowAndChildren" presStyleCnt="0"/>
      <dgm:spPr/>
      <dgm:t>
        <a:bodyPr/>
        <a:lstStyle/>
        <a:p>
          <a:endParaRPr lang="en-US"/>
        </a:p>
      </dgm:t>
    </dgm:pt>
    <dgm:pt modelId="{CC2BA1ED-9E36-4516-B237-F64D72BF6D6F}" type="pres">
      <dgm:prSet presAssocID="{D9A37964-48F5-4061-B7D9-2B8828364928}" presName="parentTextArrow" presStyleLbl="node1" presStyleIdx="1" presStyleCnt="4"/>
      <dgm:spPr>
        <a:prstGeom prst="upArrowCallout">
          <a:avLst/>
        </a:prstGeom>
      </dgm:spPr>
      <dgm:t>
        <a:bodyPr/>
        <a:lstStyle/>
        <a:p>
          <a:endParaRPr lang="en-US"/>
        </a:p>
      </dgm:t>
    </dgm:pt>
    <dgm:pt modelId="{DBA0CE2F-48B5-48BA-B731-4408BD9E1F81}" type="pres">
      <dgm:prSet presAssocID="{D9A37964-48F5-4061-B7D9-2B8828364928}" presName="arrow" presStyleLbl="node1" presStyleIdx="2" presStyleCnt="4"/>
      <dgm:spPr/>
      <dgm:t>
        <a:bodyPr/>
        <a:lstStyle/>
        <a:p>
          <a:endParaRPr lang="en-US"/>
        </a:p>
      </dgm:t>
    </dgm:pt>
    <dgm:pt modelId="{EC911995-BF89-4FA4-A023-98A27EFBFEC4}" type="pres">
      <dgm:prSet presAssocID="{D9A37964-48F5-4061-B7D9-2B8828364928}" presName="descendantArrow" presStyleCnt="0"/>
      <dgm:spPr/>
      <dgm:t>
        <a:bodyPr/>
        <a:lstStyle/>
        <a:p>
          <a:endParaRPr lang="en-US"/>
        </a:p>
      </dgm:t>
    </dgm:pt>
    <dgm:pt modelId="{0FF95BE5-9191-4870-95D6-5CE02CCEB42B}" type="pres">
      <dgm:prSet presAssocID="{969A3349-9218-4069-95DD-467971110FEC}" presName="childTextArrow" presStyleLbl="fgAccFollowNode1" presStyleIdx="4" presStyleCnt="7">
        <dgm:presLayoutVars>
          <dgm:bulletEnabled val="1"/>
        </dgm:presLayoutVars>
      </dgm:prSet>
      <dgm:spPr>
        <a:prstGeom prst="rect">
          <a:avLst/>
        </a:prstGeom>
      </dgm:spPr>
      <dgm:t>
        <a:bodyPr/>
        <a:lstStyle/>
        <a:p>
          <a:endParaRPr lang="en-US"/>
        </a:p>
      </dgm:t>
    </dgm:pt>
    <dgm:pt modelId="{6A631D41-1FAD-48A6-BA60-877A0FC810AA}" type="pres">
      <dgm:prSet presAssocID="{8A428986-8F71-4303-B61D-6A5A86FAB420}" presName="childTextArrow" presStyleLbl="fgAccFollowNode1" presStyleIdx="5" presStyleCnt="7">
        <dgm:presLayoutVars>
          <dgm:bulletEnabled val="1"/>
        </dgm:presLayoutVars>
      </dgm:prSet>
      <dgm:spPr>
        <a:prstGeom prst="rect">
          <a:avLst/>
        </a:prstGeom>
      </dgm:spPr>
      <dgm:t>
        <a:bodyPr/>
        <a:lstStyle/>
        <a:p>
          <a:endParaRPr lang="en-US"/>
        </a:p>
      </dgm:t>
    </dgm:pt>
    <dgm:pt modelId="{CC5DF521-D1BA-4557-97D9-90D30286FA65}" type="pres">
      <dgm:prSet presAssocID="{E65FF44A-A1EA-4D02-8A0B-F04DE8BABFAE}" presName="sp" presStyleCnt="0"/>
      <dgm:spPr/>
      <dgm:t>
        <a:bodyPr/>
        <a:lstStyle/>
        <a:p>
          <a:endParaRPr lang="en-US"/>
        </a:p>
      </dgm:t>
    </dgm:pt>
    <dgm:pt modelId="{85AB2497-594E-48C5-898F-0854B86DCCBC}" type="pres">
      <dgm:prSet presAssocID="{E5D740C3-F51A-4C8F-8EC2-885DC92A4152}" presName="arrowAndChildren" presStyleCnt="0"/>
      <dgm:spPr/>
      <dgm:t>
        <a:bodyPr/>
        <a:lstStyle/>
        <a:p>
          <a:endParaRPr lang="en-US"/>
        </a:p>
      </dgm:t>
    </dgm:pt>
    <dgm:pt modelId="{3F9D3919-E1EA-46A3-8C54-8892AAABBE91}" type="pres">
      <dgm:prSet presAssocID="{E5D740C3-F51A-4C8F-8EC2-885DC92A4152}" presName="parentTextArrow" presStyleLbl="node1" presStyleIdx="2" presStyleCnt="4"/>
      <dgm:spPr>
        <a:prstGeom prst="upArrowCallout">
          <a:avLst/>
        </a:prstGeom>
      </dgm:spPr>
      <dgm:t>
        <a:bodyPr/>
        <a:lstStyle/>
        <a:p>
          <a:endParaRPr lang="en-US"/>
        </a:p>
      </dgm:t>
    </dgm:pt>
    <dgm:pt modelId="{20FB684C-8D46-455D-97E4-026CE3535907}" type="pres">
      <dgm:prSet presAssocID="{E5D740C3-F51A-4C8F-8EC2-885DC92A4152}" presName="arrow" presStyleLbl="node1" presStyleIdx="3" presStyleCnt="4"/>
      <dgm:spPr/>
      <dgm:t>
        <a:bodyPr/>
        <a:lstStyle/>
        <a:p>
          <a:endParaRPr lang="en-US"/>
        </a:p>
      </dgm:t>
    </dgm:pt>
    <dgm:pt modelId="{E354AD58-0FA8-477F-8FF4-2D89D94DC472}" type="pres">
      <dgm:prSet presAssocID="{E5D740C3-F51A-4C8F-8EC2-885DC92A4152}" presName="descendantArrow" presStyleCnt="0"/>
      <dgm:spPr/>
      <dgm:t>
        <a:bodyPr/>
        <a:lstStyle/>
        <a:p>
          <a:endParaRPr lang="en-US"/>
        </a:p>
      </dgm:t>
    </dgm:pt>
    <dgm:pt modelId="{5D06C962-11CB-48D4-A61E-33F242C6238C}" type="pres">
      <dgm:prSet presAssocID="{DAFC80F2-896F-465A-AC32-3FEB7DC5767F}" presName="childTextArrow" presStyleLbl="fgAccFollowNode1" presStyleIdx="6" presStyleCnt="7">
        <dgm:presLayoutVars>
          <dgm:bulletEnabled val="1"/>
        </dgm:presLayoutVars>
      </dgm:prSet>
      <dgm:spPr>
        <a:prstGeom prst="rect">
          <a:avLst/>
        </a:prstGeom>
      </dgm:spPr>
      <dgm:t>
        <a:bodyPr/>
        <a:lstStyle/>
        <a:p>
          <a:endParaRPr lang="en-US"/>
        </a:p>
      </dgm:t>
    </dgm:pt>
  </dgm:ptLst>
  <dgm:cxnLst>
    <dgm:cxn modelId="{53A7EFFD-64B4-4530-85AD-02C738D74A0C}" type="presOf" srcId="{D9A37964-48F5-4061-B7D9-2B8828364928}" destId="{CC2BA1ED-9E36-4516-B237-F64D72BF6D6F}" srcOrd="0" destOrd="0" presId="urn:microsoft.com/office/officeart/2005/8/layout/process4"/>
    <dgm:cxn modelId="{99492E89-3AD9-427F-AD60-5A4FFC594FD5}" type="presOf" srcId="{1258D239-8349-4184-ACEF-F9072367F413}" destId="{CC6081A0-D201-4FE6-BFF3-34C5F1D7D9F6}" srcOrd="0" destOrd="0" presId="urn:microsoft.com/office/officeart/2005/8/layout/process4"/>
    <dgm:cxn modelId="{0E98DB2E-4865-4FB4-A286-9D067995C342}" srcId="{D9A37964-48F5-4061-B7D9-2B8828364928}" destId="{8A428986-8F71-4303-B61D-6A5A86FAB420}" srcOrd="1" destOrd="0" parTransId="{EFF23EC3-6331-4A1D-A1EE-A576A1CF7612}" sibTransId="{C68851C6-4A23-4A8A-823B-71D379F307DF}"/>
    <dgm:cxn modelId="{58995482-3BC1-4B7A-9F97-0CE5C6244054}" srcId="{B4B77B85-AB8D-4173-B8F4-B69742252F24}" destId="{0F2621C4-EDC6-44D5-B438-A1E17F1E69D2}" srcOrd="1" destOrd="0" parTransId="{4F0F5C99-81A1-46F3-B913-113D6109CA93}" sibTransId="{52905E2B-07CE-44F5-8FC7-1082B9B12B42}"/>
    <dgm:cxn modelId="{C5D3C766-6BC9-4709-8ADC-14B3E70ED0BC}" srcId="{8F05E09F-D018-4FE5-9B44-B4453C291D21}" destId="{B4B77B85-AB8D-4173-B8F4-B69742252F24}" srcOrd="2" destOrd="0" parTransId="{0006B9EE-880F-4756-8A25-1CFEC1A61611}" sibTransId="{8BDFDB83-9BEC-4CE6-BDFB-2B6FAE338503}"/>
    <dgm:cxn modelId="{BBAFDBB0-F34B-4C04-A787-0D74FDD109AC}" type="presOf" srcId="{B4B77B85-AB8D-4173-B8F4-B69742252F24}" destId="{6FBC3E95-C9FE-4BE0-AD95-F982F5900E34}" srcOrd="0" destOrd="0" presId="urn:microsoft.com/office/officeart/2005/8/layout/process4"/>
    <dgm:cxn modelId="{AA6BD7EE-C07C-4DFB-B1D4-24CBA2507344}" type="presOf" srcId="{E5D740C3-F51A-4C8F-8EC2-885DC92A4152}" destId="{3F9D3919-E1EA-46A3-8C54-8892AAABBE91}" srcOrd="0" destOrd="0" presId="urn:microsoft.com/office/officeart/2005/8/layout/process4"/>
    <dgm:cxn modelId="{BC792017-BA83-4B77-8BFF-0F0EAD4B3909}" type="presOf" srcId="{B4B77B85-AB8D-4173-B8F4-B69742252F24}" destId="{8C6CE277-25EF-4BB3-BFC4-19F282143301}" srcOrd="1" destOrd="0" presId="urn:microsoft.com/office/officeart/2005/8/layout/process4"/>
    <dgm:cxn modelId="{B3379871-9986-4CA8-9E4F-0D56CC858602}" type="presOf" srcId="{238BA144-B0A2-4F9C-B3B9-F52AD48C42A3}" destId="{213CCA8C-1DD8-43C6-8018-22BE261B0E56}" srcOrd="0" destOrd="0" presId="urn:microsoft.com/office/officeart/2005/8/layout/process4"/>
    <dgm:cxn modelId="{3DA3BEE3-8A0A-4BD3-A2C9-81655BE8F6E5}" type="presOf" srcId="{E36EEBC4-05F7-4981-8C22-C5411FF46672}" destId="{79F2FAE2-A45D-4EF2-8F60-941D13E11197}" srcOrd="0" destOrd="0" presId="urn:microsoft.com/office/officeart/2005/8/layout/process4"/>
    <dgm:cxn modelId="{4FD4735E-6012-492B-A9A5-E42D59702776}" type="presOf" srcId="{D9A37964-48F5-4061-B7D9-2B8828364928}" destId="{DBA0CE2F-48B5-48BA-B731-4408BD9E1F81}" srcOrd="1" destOrd="0" presId="urn:microsoft.com/office/officeart/2005/8/layout/process4"/>
    <dgm:cxn modelId="{4570566C-905F-4EF9-B0B3-8886B9ABB04A}" type="presOf" srcId="{0F2621C4-EDC6-44D5-B438-A1E17F1E69D2}" destId="{28DB0BDC-D2F7-41F2-B4DA-5D5B1343498F}" srcOrd="0" destOrd="0" presId="urn:microsoft.com/office/officeart/2005/8/layout/process4"/>
    <dgm:cxn modelId="{3BDACD31-E9C9-48C6-8EBA-E9A10FC00B5E}" srcId="{E36EEBC4-05F7-4981-8C22-C5411FF46672}" destId="{1258D239-8349-4184-ACEF-F9072367F413}" srcOrd="0" destOrd="0" parTransId="{1EAD3B7C-97EB-46AB-8B7D-B516F8D9BCB4}" sibTransId="{7E998A40-4F7F-4EE4-A2C4-9F71A027FC17}"/>
    <dgm:cxn modelId="{1F21E38C-1155-435D-A120-C358AEA33E58}" srcId="{8F05E09F-D018-4FE5-9B44-B4453C291D21}" destId="{E36EEBC4-05F7-4981-8C22-C5411FF46672}" srcOrd="3" destOrd="0" parTransId="{22349E75-DBFB-4EEC-ABD8-42D1D0C89911}" sibTransId="{5A60EC33-0ACB-4D37-874E-9864D56927BD}"/>
    <dgm:cxn modelId="{F3941480-FDA3-4DE9-B230-A7968D9B626B}" type="presOf" srcId="{8A428986-8F71-4303-B61D-6A5A86FAB420}" destId="{6A631D41-1FAD-48A6-BA60-877A0FC810AA}" srcOrd="0" destOrd="0" presId="urn:microsoft.com/office/officeart/2005/8/layout/process4"/>
    <dgm:cxn modelId="{36C697AB-6BF7-4988-A1A7-AB46631110A1}" srcId="{8F05E09F-D018-4FE5-9B44-B4453C291D21}" destId="{D9A37964-48F5-4061-B7D9-2B8828364928}" srcOrd="1" destOrd="0" parTransId="{8E66F4FE-5EC6-429C-875E-8517553B50E5}" sibTransId="{67C62706-EDAD-4250-AA21-260B6C60C6CC}"/>
    <dgm:cxn modelId="{0196A853-B817-4132-AEBF-E2F2FE45DAA6}" srcId="{E5D740C3-F51A-4C8F-8EC2-885DC92A4152}" destId="{DAFC80F2-896F-465A-AC32-3FEB7DC5767F}" srcOrd="0" destOrd="0" parTransId="{55AD50B9-F9A3-4792-8E90-4A0D81E69D2D}" sibTransId="{902BD209-406B-4301-ADE3-795F0078C750}"/>
    <dgm:cxn modelId="{5B525224-6170-4023-96F9-27922F820C9B}" srcId="{D9A37964-48F5-4061-B7D9-2B8828364928}" destId="{969A3349-9218-4069-95DD-467971110FEC}" srcOrd="0" destOrd="0" parTransId="{ABEAA278-D505-4ED5-935C-0D85EF6D3345}" sibTransId="{33DA13E1-28A2-4580-8FBF-AE4D4C125014}"/>
    <dgm:cxn modelId="{DB602EE2-0D44-486E-BA7E-D50613E98316}" srcId="{E36EEBC4-05F7-4981-8C22-C5411FF46672}" destId="{238BA144-B0A2-4F9C-B3B9-F52AD48C42A3}" srcOrd="1" destOrd="0" parTransId="{578C8A2E-7D6C-496B-8EE3-92FD6934E7EB}" sibTransId="{8E1A3DFC-030C-49CB-8265-A664B0A1218F}"/>
    <dgm:cxn modelId="{BFFA33EE-2D15-4E88-84C2-E7E04673DD87}" type="presOf" srcId="{E36EEBC4-05F7-4981-8C22-C5411FF46672}" destId="{43CB29BE-4D53-417A-AD02-F1FCC052E860}" srcOrd="1" destOrd="0" presId="urn:microsoft.com/office/officeart/2005/8/layout/process4"/>
    <dgm:cxn modelId="{6C6AFC51-550D-4013-840F-9101CF904CAE}" type="presOf" srcId="{E5D740C3-F51A-4C8F-8EC2-885DC92A4152}" destId="{20FB684C-8D46-455D-97E4-026CE3535907}" srcOrd="1" destOrd="0" presId="urn:microsoft.com/office/officeart/2005/8/layout/process4"/>
    <dgm:cxn modelId="{BBA7D3F9-05CF-4367-8ACC-BAA1EB8510C3}" srcId="{8F05E09F-D018-4FE5-9B44-B4453C291D21}" destId="{E5D740C3-F51A-4C8F-8EC2-885DC92A4152}" srcOrd="0" destOrd="0" parTransId="{A68725FA-E5D4-4414-936B-69F01F208536}" sibTransId="{E65FF44A-A1EA-4D02-8A0B-F04DE8BABFAE}"/>
    <dgm:cxn modelId="{F87F6EA2-BEA0-4A50-8BBB-413061D3EE62}" type="presOf" srcId="{969A3349-9218-4069-95DD-467971110FEC}" destId="{0FF95BE5-9191-4870-95D6-5CE02CCEB42B}" srcOrd="0" destOrd="0" presId="urn:microsoft.com/office/officeart/2005/8/layout/process4"/>
    <dgm:cxn modelId="{F4E513F8-02E1-4971-B04C-EC67D0033478}" type="presOf" srcId="{DAFC80F2-896F-465A-AC32-3FEB7DC5767F}" destId="{5D06C962-11CB-48D4-A61E-33F242C6238C}" srcOrd="0" destOrd="0" presId="urn:microsoft.com/office/officeart/2005/8/layout/process4"/>
    <dgm:cxn modelId="{DC6F5C7B-F6F7-4C79-AA32-85B786BC53B1}" type="presOf" srcId="{667BA58C-DE6F-4C81-8424-C97E77874876}" destId="{20E34D21-591E-4614-995F-0ADE79E299C9}" srcOrd="0" destOrd="0" presId="urn:microsoft.com/office/officeart/2005/8/layout/process4"/>
    <dgm:cxn modelId="{3A6C6C39-0295-4561-B176-BFC1B4A3F2D1}" srcId="{B4B77B85-AB8D-4173-B8F4-B69742252F24}" destId="{667BA58C-DE6F-4C81-8424-C97E77874876}" srcOrd="0" destOrd="0" parTransId="{A7E262BB-7B79-4C65-A62E-FEB3D52310D1}" sibTransId="{CCF8DCA1-3D70-46FE-BFCD-38E1A15639B6}"/>
    <dgm:cxn modelId="{34245EF0-FEBC-4A0F-B4E9-4A96DF32B716}" type="presOf" srcId="{8F05E09F-D018-4FE5-9B44-B4453C291D21}" destId="{B62B29F6-6DAE-4ECA-B7EB-C8B10F02BB73}" srcOrd="0" destOrd="0" presId="urn:microsoft.com/office/officeart/2005/8/layout/process4"/>
    <dgm:cxn modelId="{8F4C27EF-E6AA-44CA-8806-8F03B7974FBF}" type="presParOf" srcId="{B62B29F6-6DAE-4ECA-B7EB-C8B10F02BB73}" destId="{7A2B2CD6-0FDF-4ED1-8B70-B51EBA05ABC3}" srcOrd="0" destOrd="0" presId="urn:microsoft.com/office/officeart/2005/8/layout/process4"/>
    <dgm:cxn modelId="{FFCB0B14-4EA0-4132-98E5-FDD1DE2E5B56}" type="presParOf" srcId="{7A2B2CD6-0FDF-4ED1-8B70-B51EBA05ABC3}" destId="{79F2FAE2-A45D-4EF2-8F60-941D13E11197}" srcOrd="0" destOrd="0" presId="urn:microsoft.com/office/officeart/2005/8/layout/process4"/>
    <dgm:cxn modelId="{5FE7B8F9-B26E-452B-9C2F-5BA4C1004E46}" type="presParOf" srcId="{7A2B2CD6-0FDF-4ED1-8B70-B51EBA05ABC3}" destId="{43CB29BE-4D53-417A-AD02-F1FCC052E860}" srcOrd="1" destOrd="0" presId="urn:microsoft.com/office/officeart/2005/8/layout/process4"/>
    <dgm:cxn modelId="{99F4AE7F-DDF5-4EBC-8295-63517446E6A5}" type="presParOf" srcId="{7A2B2CD6-0FDF-4ED1-8B70-B51EBA05ABC3}" destId="{AEB1C61D-2EEE-4E76-85EA-6A9BCC17027C}" srcOrd="2" destOrd="0" presId="urn:microsoft.com/office/officeart/2005/8/layout/process4"/>
    <dgm:cxn modelId="{307FA9CD-2AE0-4157-9866-F8E671FDA524}" type="presParOf" srcId="{AEB1C61D-2EEE-4E76-85EA-6A9BCC17027C}" destId="{CC6081A0-D201-4FE6-BFF3-34C5F1D7D9F6}" srcOrd="0" destOrd="0" presId="urn:microsoft.com/office/officeart/2005/8/layout/process4"/>
    <dgm:cxn modelId="{5D69A0C6-A4DD-4D49-B7A8-0824512E97E9}" type="presParOf" srcId="{AEB1C61D-2EEE-4E76-85EA-6A9BCC17027C}" destId="{213CCA8C-1DD8-43C6-8018-22BE261B0E56}" srcOrd="1" destOrd="0" presId="urn:microsoft.com/office/officeart/2005/8/layout/process4"/>
    <dgm:cxn modelId="{91CD69DD-F659-4769-B61B-6F37329D643D}" type="presParOf" srcId="{B62B29F6-6DAE-4ECA-B7EB-C8B10F02BB73}" destId="{2902CBE6-2ED1-49C1-B25C-AD18BAF44342}" srcOrd="1" destOrd="0" presId="urn:microsoft.com/office/officeart/2005/8/layout/process4"/>
    <dgm:cxn modelId="{50489D0F-DEA0-41B3-A48C-8480E0A54BBF}" type="presParOf" srcId="{B62B29F6-6DAE-4ECA-B7EB-C8B10F02BB73}" destId="{B8596B25-61FF-43F7-92FC-4A66A0BC3F38}" srcOrd="2" destOrd="0" presId="urn:microsoft.com/office/officeart/2005/8/layout/process4"/>
    <dgm:cxn modelId="{66F31B6E-74A7-41B4-BF40-999D0774E2C3}" type="presParOf" srcId="{B8596B25-61FF-43F7-92FC-4A66A0BC3F38}" destId="{6FBC3E95-C9FE-4BE0-AD95-F982F5900E34}" srcOrd="0" destOrd="0" presId="urn:microsoft.com/office/officeart/2005/8/layout/process4"/>
    <dgm:cxn modelId="{73B93118-9A53-4DCD-918B-FB76670C0B95}" type="presParOf" srcId="{B8596B25-61FF-43F7-92FC-4A66A0BC3F38}" destId="{8C6CE277-25EF-4BB3-BFC4-19F282143301}" srcOrd="1" destOrd="0" presId="urn:microsoft.com/office/officeart/2005/8/layout/process4"/>
    <dgm:cxn modelId="{8E3AB809-0E83-4E8D-8D6A-F829C81892F6}" type="presParOf" srcId="{B8596B25-61FF-43F7-92FC-4A66A0BC3F38}" destId="{282E1D2F-8D61-4E1E-8B98-5020F7D51F7C}" srcOrd="2" destOrd="0" presId="urn:microsoft.com/office/officeart/2005/8/layout/process4"/>
    <dgm:cxn modelId="{BB4D7D66-90A2-4429-BCA0-3476EE52694E}" type="presParOf" srcId="{282E1D2F-8D61-4E1E-8B98-5020F7D51F7C}" destId="{20E34D21-591E-4614-995F-0ADE79E299C9}" srcOrd="0" destOrd="0" presId="urn:microsoft.com/office/officeart/2005/8/layout/process4"/>
    <dgm:cxn modelId="{5BE3BCE0-317B-41DC-AFA8-7EE76C8158BC}" type="presParOf" srcId="{282E1D2F-8D61-4E1E-8B98-5020F7D51F7C}" destId="{28DB0BDC-D2F7-41F2-B4DA-5D5B1343498F}" srcOrd="1" destOrd="0" presId="urn:microsoft.com/office/officeart/2005/8/layout/process4"/>
    <dgm:cxn modelId="{C9A9FD14-148D-4724-BC4B-00610A9A1574}" type="presParOf" srcId="{B62B29F6-6DAE-4ECA-B7EB-C8B10F02BB73}" destId="{693ED221-AD77-43DF-8D86-DBBC8A31F04C}" srcOrd="3" destOrd="0" presId="urn:microsoft.com/office/officeart/2005/8/layout/process4"/>
    <dgm:cxn modelId="{C85DEBF9-C4EB-4C29-A322-C5BDB5B72F84}" type="presParOf" srcId="{B62B29F6-6DAE-4ECA-B7EB-C8B10F02BB73}" destId="{6E70B460-C524-4FC3-9BF4-0BB79A762B35}" srcOrd="4" destOrd="0" presId="urn:microsoft.com/office/officeart/2005/8/layout/process4"/>
    <dgm:cxn modelId="{9787C30F-6974-404C-8BF4-E781757F22D3}" type="presParOf" srcId="{6E70B460-C524-4FC3-9BF4-0BB79A762B35}" destId="{CC2BA1ED-9E36-4516-B237-F64D72BF6D6F}" srcOrd="0" destOrd="0" presId="urn:microsoft.com/office/officeart/2005/8/layout/process4"/>
    <dgm:cxn modelId="{78C174B6-AE0D-4DDB-A619-6139FFED7F3D}" type="presParOf" srcId="{6E70B460-C524-4FC3-9BF4-0BB79A762B35}" destId="{DBA0CE2F-48B5-48BA-B731-4408BD9E1F81}" srcOrd="1" destOrd="0" presId="urn:microsoft.com/office/officeart/2005/8/layout/process4"/>
    <dgm:cxn modelId="{502E3E47-22CB-437F-8D0D-BF3AA0D1D74D}" type="presParOf" srcId="{6E70B460-C524-4FC3-9BF4-0BB79A762B35}" destId="{EC911995-BF89-4FA4-A023-98A27EFBFEC4}" srcOrd="2" destOrd="0" presId="urn:microsoft.com/office/officeart/2005/8/layout/process4"/>
    <dgm:cxn modelId="{1F8683B3-C4AD-447D-A5B2-F717DF14F75B}" type="presParOf" srcId="{EC911995-BF89-4FA4-A023-98A27EFBFEC4}" destId="{0FF95BE5-9191-4870-95D6-5CE02CCEB42B}" srcOrd="0" destOrd="0" presId="urn:microsoft.com/office/officeart/2005/8/layout/process4"/>
    <dgm:cxn modelId="{F19A1946-2FC4-498D-951E-F6B37A216E24}" type="presParOf" srcId="{EC911995-BF89-4FA4-A023-98A27EFBFEC4}" destId="{6A631D41-1FAD-48A6-BA60-877A0FC810AA}" srcOrd="1" destOrd="0" presId="urn:microsoft.com/office/officeart/2005/8/layout/process4"/>
    <dgm:cxn modelId="{79588711-E126-45FC-8B5C-3C32B2B7F574}" type="presParOf" srcId="{B62B29F6-6DAE-4ECA-B7EB-C8B10F02BB73}" destId="{CC5DF521-D1BA-4557-97D9-90D30286FA65}" srcOrd="5" destOrd="0" presId="urn:microsoft.com/office/officeart/2005/8/layout/process4"/>
    <dgm:cxn modelId="{0DA0D727-B051-4699-8E93-4EFDC7BF6FBE}" type="presParOf" srcId="{B62B29F6-6DAE-4ECA-B7EB-C8B10F02BB73}" destId="{85AB2497-594E-48C5-898F-0854B86DCCBC}" srcOrd="6" destOrd="0" presId="urn:microsoft.com/office/officeart/2005/8/layout/process4"/>
    <dgm:cxn modelId="{FBF4368F-34CC-4C44-8016-A107E6663CF1}" type="presParOf" srcId="{85AB2497-594E-48C5-898F-0854B86DCCBC}" destId="{3F9D3919-E1EA-46A3-8C54-8892AAABBE91}" srcOrd="0" destOrd="0" presId="urn:microsoft.com/office/officeart/2005/8/layout/process4"/>
    <dgm:cxn modelId="{4ECC7333-A564-419E-AD0F-5E34BB4A9474}" type="presParOf" srcId="{85AB2497-594E-48C5-898F-0854B86DCCBC}" destId="{20FB684C-8D46-455D-97E4-026CE3535907}" srcOrd="1" destOrd="0" presId="urn:microsoft.com/office/officeart/2005/8/layout/process4"/>
    <dgm:cxn modelId="{0D07B3FA-D68A-4635-BC9D-353CB8684503}" type="presParOf" srcId="{85AB2497-594E-48C5-898F-0854B86DCCBC}" destId="{E354AD58-0FA8-477F-8FF4-2D89D94DC472}" srcOrd="2" destOrd="0" presId="urn:microsoft.com/office/officeart/2005/8/layout/process4"/>
    <dgm:cxn modelId="{B456F5C6-0EFF-44C6-BB18-5DD4C01C826B}" type="presParOf" srcId="{E354AD58-0FA8-477F-8FF4-2D89D94DC472}" destId="{5D06C962-11CB-48D4-A61E-33F242C6238C}"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B29BE-4D53-417A-AD02-F1FCC052E860}">
      <dsp:nvSpPr>
        <dsp:cNvPr id="0" name=""/>
        <dsp:cNvSpPr/>
      </dsp:nvSpPr>
      <dsp:spPr>
        <a:xfrm>
          <a:off x="0" y="2000016"/>
          <a:ext cx="6031522" cy="43755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CNAS</a:t>
          </a:r>
          <a:endParaRPr lang="en-US" sz="1100" kern="1200">
            <a:latin typeface="Times New Roman" panose="02020603050405020304" pitchFamily="18" charset="0"/>
            <a:ea typeface="+mn-ea"/>
            <a:cs typeface="Times New Roman" panose="02020603050405020304" pitchFamily="18" charset="0"/>
          </a:endParaRPr>
        </a:p>
      </dsp:txBody>
      <dsp:txXfrm>
        <a:off x="0" y="2000016"/>
        <a:ext cx="6031522" cy="236279"/>
      </dsp:txXfrm>
    </dsp:sp>
    <dsp:sp modelId="{CC6081A0-D201-4FE6-BFF3-34C5F1D7D9F6}">
      <dsp:nvSpPr>
        <dsp:cNvPr id="0" name=""/>
        <dsp:cNvSpPr/>
      </dsp:nvSpPr>
      <dsp:spPr>
        <a:xfrm>
          <a:off x="0" y="2227544"/>
          <a:ext cx="3015761" cy="201275"/>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Recepționarea informației despre deces în SI „Protecție Socială”</a:t>
          </a:r>
          <a:endParaRPr lang="en-US" sz="1100" kern="1200">
            <a:latin typeface="Times New Roman" panose="02020603050405020304" pitchFamily="18" charset="0"/>
            <a:ea typeface="+mn-ea"/>
            <a:cs typeface="Times New Roman" panose="02020603050405020304" pitchFamily="18" charset="0"/>
          </a:endParaRPr>
        </a:p>
      </dsp:txBody>
      <dsp:txXfrm>
        <a:off x="0" y="2227544"/>
        <a:ext cx="3015761" cy="201275"/>
      </dsp:txXfrm>
    </dsp:sp>
    <dsp:sp modelId="{213CCA8C-1DD8-43C6-8018-22BE261B0E56}">
      <dsp:nvSpPr>
        <dsp:cNvPr id="0" name=""/>
        <dsp:cNvSpPr/>
      </dsp:nvSpPr>
      <dsp:spPr>
        <a:xfrm>
          <a:off x="3015761" y="2227544"/>
          <a:ext cx="3015761" cy="201275"/>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până la 1</a:t>
          </a:r>
          <a:r>
            <a:rPr lang="en-US" sz="1100" kern="1200">
              <a:latin typeface="Times New Roman" panose="02020603050405020304" pitchFamily="18" charset="0"/>
              <a:ea typeface="+mn-ea"/>
              <a:cs typeface="Times New Roman" panose="02020603050405020304" pitchFamily="18" charset="0"/>
            </a:rPr>
            <a:t>41</a:t>
          </a:r>
          <a:r>
            <a:rPr lang="x-none" sz="1100" kern="1200">
              <a:latin typeface="Times New Roman" panose="02020603050405020304" pitchFamily="18" charset="0"/>
              <a:ea typeface="+mn-ea"/>
              <a:cs typeface="Times New Roman" panose="02020603050405020304" pitchFamily="18" charset="0"/>
            </a:rPr>
            <a:t> zile</a:t>
          </a:r>
          <a:endParaRPr lang="en-US" sz="1100" kern="1200">
            <a:latin typeface="Times New Roman" panose="02020603050405020304" pitchFamily="18" charset="0"/>
            <a:ea typeface="+mn-ea"/>
            <a:cs typeface="Times New Roman" panose="02020603050405020304" pitchFamily="18" charset="0"/>
          </a:endParaRPr>
        </a:p>
      </dsp:txBody>
      <dsp:txXfrm>
        <a:off x="3015761" y="2227544"/>
        <a:ext cx="3015761" cy="201275"/>
      </dsp:txXfrm>
    </dsp:sp>
    <dsp:sp modelId="{8C6CE277-25EF-4BB3-BFC4-19F282143301}">
      <dsp:nvSpPr>
        <dsp:cNvPr id="0" name=""/>
        <dsp:cNvSpPr/>
      </dsp:nvSpPr>
      <dsp:spPr>
        <a:xfrm rot="10800000">
          <a:off x="0" y="1277919"/>
          <a:ext cx="6031522" cy="672959"/>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AGE</a:t>
          </a:r>
          <a:endParaRPr lang="en-US" sz="1100" kern="1200">
            <a:latin typeface="Times New Roman" panose="02020603050405020304" pitchFamily="18" charset="0"/>
            <a:ea typeface="+mn-ea"/>
            <a:cs typeface="Times New Roman" panose="02020603050405020304" pitchFamily="18" charset="0"/>
          </a:endParaRPr>
        </a:p>
      </dsp:txBody>
      <dsp:txXfrm rot="-10800000">
        <a:off x="0" y="1360646"/>
        <a:ext cx="6031522" cy="153481"/>
      </dsp:txXfrm>
    </dsp:sp>
    <dsp:sp modelId="{20E34D21-591E-4614-995F-0ADE79E299C9}">
      <dsp:nvSpPr>
        <dsp:cNvPr id="0" name=""/>
        <dsp:cNvSpPr/>
      </dsp:nvSpPr>
      <dsp:spPr>
        <a:xfrm>
          <a:off x="0" y="1531380"/>
          <a:ext cx="3015761" cy="278113"/>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Asigură legătura între SI al ASP și CNAS </a:t>
          </a:r>
        </a:p>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(MConnect)</a:t>
          </a:r>
          <a:endParaRPr lang="en-US" sz="1100" kern="1200">
            <a:latin typeface="Times New Roman" panose="02020603050405020304" pitchFamily="18" charset="0"/>
            <a:ea typeface="+mn-ea"/>
            <a:cs typeface="Times New Roman" panose="02020603050405020304" pitchFamily="18" charset="0"/>
          </a:endParaRPr>
        </a:p>
      </dsp:txBody>
      <dsp:txXfrm>
        <a:off x="0" y="1531380"/>
        <a:ext cx="3015761" cy="278113"/>
      </dsp:txXfrm>
    </dsp:sp>
    <dsp:sp modelId="{28DB0BDC-D2F7-41F2-B4DA-5D5B1343498F}">
      <dsp:nvSpPr>
        <dsp:cNvPr id="0" name=""/>
        <dsp:cNvSpPr/>
      </dsp:nvSpPr>
      <dsp:spPr>
        <a:xfrm>
          <a:off x="3015761" y="1531380"/>
          <a:ext cx="3015761" cy="278113"/>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Zilnic pentru decesele introduse în sistem</a:t>
          </a:r>
          <a:endParaRPr lang="en-US" sz="1100" kern="1200">
            <a:latin typeface="Times New Roman" panose="02020603050405020304" pitchFamily="18" charset="0"/>
            <a:ea typeface="+mn-ea"/>
            <a:cs typeface="Times New Roman" panose="02020603050405020304" pitchFamily="18" charset="0"/>
          </a:endParaRPr>
        </a:p>
      </dsp:txBody>
      <dsp:txXfrm>
        <a:off x="3015761" y="1531380"/>
        <a:ext cx="3015761" cy="278113"/>
      </dsp:txXfrm>
    </dsp:sp>
    <dsp:sp modelId="{DBA0CE2F-48B5-48BA-B731-4408BD9E1F81}">
      <dsp:nvSpPr>
        <dsp:cNvPr id="0" name=""/>
        <dsp:cNvSpPr/>
      </dsp:nvSpPr>
      <dsp:spPr>
        <a:xfrm rot="10800000">
          <a:off x="0" y="667224"/>
          <a:ext cx="6031522" cy="672959"/>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Introducerea</a:t>
          </a:r>
          <a:r>
            <a:rPr lang="x-none" sz="1200" kern="1200">
              <a:latin typeface="Times New Roman" panose="02020603050405020304" pitchFamily="18" charset="0"/>
              <a:ea typeface="+mn-ea"/>
              <a:cs typeface="Times New Roman" panose="02020603050405020304" pitchFamily="18" charset="0"/>
            </a:rPr>
            <a:t> de căre ASP</a:t>
          </a:r>
          <a:endParaRPr lang="en-US" sz="1200" kern="1200">
            <a:latin typeface="Times New Roman" panose="02020603050405020304" pitchFamily="18" charset="0"/>
            <a:ea typeface="+mn-ea"/>
            <a:cs typeface="Times New Roman" panose="02020603050405020304" pitchFamily="18" charset="0"/>
          </a:endParaRPr>
        </a:p>
      </dsp:txBody>
      <dsp:txXfrm rot="-10800000">
        <a:off x="0" y="749951"/>
        <a:ext cx="6031522" cy="153481"/>
      </dsp:txXfrm>
    </dsp:sp>
    <dsp:sp modelId="{0FF95BE5-9191-4870-95D6-5CE02CCEB42B}">
      <dsp:nvSpPr>
        <dsp:cNvPr id="0" name=""/>
        <dsp:cNvSpPr/>
      </dsp:nvSpPr>
      <dsp:spPr>
        <a:xfrm>
          <a:off x="0" y="903433"/>
          <a:ext cx="3015761" cy="201214"/>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Registrul de stat al populației</a:t>
          </a:r>
          <a:endParaRPr lang="en-US" sz="1100" kern="1200">
            <a:latin typeface="Times New Roman" panose="02020603050405020304" pitchFamily="18" charset="0"/>
            <a:ea typeface="+mn-ea"/>
            <a:cs typeface="Times New Roman" panose="02020603050405020304" pitchFamily="18" charset="0"/>
          </a:endParaRPr>
        </a:p>
      </dsp:txBody>
      <dsp:txXfrm>
        <a:off x="0" y="903433"/>
        <a:ext cx="3015761" cy="201214"/>
      </dsp:txXfrm>
    </dsp:sp>
    <dsp:sp modelId="{6A631D41-1FAD-48A6-BA60-877A0FC810AA}">
      <dsp:nvSpPr>
        <dsp:cNvPr id="0" name=""/>
        <dsp:cNvSpPr/>
      </dsp:nvSpPr>
      <dsp:spPr>
        <a:xfrm>
          <a:off x="3015761" y="903433"/>
          <a:ext cx="3015761" cy="201214"/>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până la 1</a:t>
          </a:r>
          <a:r>
            <a:rPr lang="en-US" sz="1100" kern="1200">
              <a:latin typeface="Times New Roman" panose="02020603050405020304" pitchFamily="18" charset="0"/>
              <a:ea typeface="+mn-ea"/>
              <a:cs typeface="Times New Roman" panose="02020603050405020304" pitchFamily="18" charset="0"/>
            </a:rPr>
            <a:t>40</a:t>
          </a:r>
          <a:r>
            <a:rPr lang="x-none" sz="1100" kern="1200">
              <a:latin typeface="Times New Roman" panose="02020603050405020304" pitchFamily="18" charset="0"/>
              <a:ea typeface="+mn-ea"/>
              <a:cs typeface="Times New Roman" panose="02020603050405020304" pitchFamily="18" charset="0"/>
            </a:rPr>
            <a:t> zile</a:t>
          </a:r>
          <a:endParaRPr lang="en-US" sz="1100" kern="1200">
            <a:latin typeface="Times New Roman" panose="02020603050405020304" pitchFamily="18" charset="0"/>
            <a:ea typeface="+mn-ea"/>
            <a:cs typeface="Times New Roman" panose="02020603050405020304" pitchFamily="18" charset="0"/>
          </a:endParaRPr>
        </a:p>
      </dsp:txBody>
      <dsp:txXfrm>
        <a:off x="3015761" y="903433"/>
        <a:ext cx="3015761" cy="201214"/>
      </dsp:txXfrm>
    </dsp:sp>
    <dsp:sp modelId="{20FB684C-8D46-455D-97E4-026CE3535907}">
      <dsp:nvSpPr>
        <dsp:cNvPr id="0" name=""/>
        <dsp:cNvSpPr/>
      </dsp:nvSpPr>
      <dsp:spPr>
        <a:xfrm rot="10800000">
          <a:off x="0" y="828"/>
          <a:ext cx="6031522" cy="672959"/>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Evaluarea termenelor de înregistrare a informațiilor constatate de audit</a:t>
          </a:r>
          <a:endParaRPr lang="en-US" sz="1100" kern="1200">
            <a:latin typeface="Times New Roman" panose="02020603050405020304" pitchFamily="18" charset="0"/>
            <a:ea typeface="+mn-ea"/>
            <a:cs typeface="Times New Roman" panose="02020603050405020304" pitchFamily="18" charset="0"/>
          </a:endParaRPr>
        </a:p>
      </dsp:txBody>
      <dsp:txXfrm rot="-10800000">
        <a:off x="0" y="83555"/>
        <a:ext cx="6031522" cy="153481"/>
      </dsp:txXfrm>
    </dsp:sp>
    <dsp:sp modelId="{5D06C962-11CB-48D4-A61E-33F242C6238C}">
      <dsp:nvSpPr>
        <dsp:cNvPr id="0" name=""/>
        <dsp:cNvSpPr/>
      </dsp:nvSpPr>
      <dsp:spPr>
        <a:xfrm>
          <a:off x="0" y="237037"/>
          <a:ext cx="6031522" cy="201214"/>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x-none" sz="1100" kern="1200">
              <a:latin typeface="Times New Roman" panose="02020603050405020304" pitchFamily="18" charset="0"/>
              <a:ea typeface="+mn-ea"/>
              <a:cs typeface="Times New Roman" panose="02020603050405020304" pitchFamily="18" charset="0"/>
            </a:rPr>
            <a:t>Decesul beneficiarului</a:t>
          </a:r>
          <a:endParaRPr lang="en-US" sz="1100" kern="1200">
            <a:latin typeface="Times New Roman" panose="02020603050405020304" pitchFamily="18" charset="0"/>
            <a:ea typeface="+mn-ea"/>
            <a:cs typeface="Times New Roman" panose="02020603050405020304" pitchFamily="18" charset="0"/>
          </a:endParaRPr>
        </a:p>
      </dsp:txBody>
      <dsp:txXfrm>
        <a:off x="0" y="237037"/>
        <a:ext cx="6031522" cy="2012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4017-33E1-4235-AF04-72E6031D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31703</Words>
  <Characters>180710</Characters>
  <Application>Microsoft Office Word</Application>
  <DocSecurity>0</DocSecurity>
  <Lines>1505</Lines>
  <Paragraphs>423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Rogaciov Irina</dc:creator>
  <cp:keywords/>
  <dc:description/>
  <cp:lastModifiedBy>Paiu Eugenia</cp:lastModifiedBy>
  <cp:revision>3</cp:revision>
  <cp:lastPrinted>2024-05-30T13:11:00Z</cp:lastPrinted>
  <dcterms:created xsi:type="dcterms:W3CDTF">2024-05-30T13:49:00Z</dcterms:created>
  <dcterms:modified xsi:type="dcterms:W3CDTF">2024-05-30T13:49:00Z</dcterms:modified>
</cp:coreProperties>
</file>