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60" w:rsidRPr="00AB3F50" w:rsidRDefault="003F2560" w:rsidP="00D6173C">
      <w:pPr>
        <w:pStyle w:val="cn"/>
        <w:spacing w:line="276" w:lineRule="auto"/>
        <w:ind w:left="-567"/>
        <w:rPr>
          <w:lang w:val="ro-MD"/>
        </w:rPr>
      </w:pPr>
      <w:r w:rsidRPr="00AB3F50">
        <w:rPr>
          <w:noProof/>
          <w:sz w:val="26"/>
          <w:szCs w:val="26"/>
          <w:lang w:val="ru-RU" w:eastAsia="ru-RU"/>
        </w:rPr>
        <w:drawing>
          <wp:inline distT="0" distB="0" distL="0" distR="0" wp14:anchorId="547A8FFA" wp14:editId="10EB9DD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F2560" w:rsidRPr="00AB3F50" w:rsidRDefault="003F2560" w:rsidP="00D6173C">
      <w:pPr>
        <w:spacing w:after="0" w:line="276" w:lineRule="auto"/>
        <w:jc w:val="center"/>
        <w:rPr>
          <w:rFonts w:ascii="Times New Roman" w:eastAsia="Times New Roman" w:hAnsi="Times New Roman" w:cs="Times New Roman"/>
          <w:b/>
          <w:bCs/>
          <w:sz w:val="16"/>
          <w:szCs w:val="16"/>
          <w:lang w:val="ro-MD"/>
        </w:rPr>
      </w:pPr>
    </w:p>
    <w:p w:rsidR="003F2560" w:rsidRPr="00C45B3D" w:rsidRDefault="003F2560" w:rsidP="00D6173C">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rsidR="003F2560" w:rsidRPr="00AB3F50" w:rsidRDefault="003F2560" w:rsidP="00D6173C">
      <w:pPr>
        <w:spacing w:after="0" w:line="276" w:lineRule="auto"/>
        <w:ind w:left="-567"/>
        <w:jc w:val="center"/>
        <w:rPr>
          <w:rFonts w:ascii="Calibri Light" w:eastAsia="Times New Roman" w:hAnsi="Calibri Light" w:cs="Calibri Light"/>
          <w:bCs/>
          <w:sz w:val="28"/>
          <w:szCs w:val="28"/>
          <w:lang w:val="ro-MD"/>
        </w:rPr>
      </w:pPr>
    </w:p>
    <w:p w:rsidR="003F2560" w:rsidRPr="00C45B3D" w:rsidRDefault="003F2560" w:rsidP="00D6173C">
      <w:pPr>
        <w:spacing w:after="0" w:line="276" w:lineRule="auto"/>
        <w:ind w:left="-567"/>
        <w:jc w:val="center"/>
        <w:rPr>
          <w:rFonts w:ascii="Calibri Light" w:eastAsia="Times New Roman" w:hAnsi="Calibri Light" w:cs="Calibri Light"/>
          <w:b/>
          <w:bCs/>
          <w:sz w:val="24"/>
          <w:szCs w:val="24"/>
          <w:lang w:val="ro-MD"/>
        </w:rPr>
      </w:pPr>
      <w:bookmarkStart w:id="0" w:name="_Toc450123757"/>
      <w:r w:rsidRPr="00C45B3D">
        <w:rPr>
          <w:rFonts w:ascii="Calibri Light" w:eastAsia="Times New Roman" w:hAnsi="Calibri Light" w:cs="Calibri Light"/>
          <w:b/>
          <w:bCs/>
          <w:sz w:val="24"/>
          <w:szCs w:val="24"/>
          <w:lang w:val="ro-MD"/>
        </w:rPr>
        <w:t>H O T Ă R Â R E A nr.</w:t>
      </w:r>
      <w:bookmarkEnd w:id="0"/>
      <w:r w:rsidR="00A60FC2">
        <w:rPr>
          <w:rFonts w:ascii="Calibri Light" w:eastAsia="Times New Roman" w:hAnsi="Calibri Light" w:cs="Calibri Light"/>
          <w:b/>
          <w:bCs/>
          <w:sz w:val="24"/>
          <w:szCs w:val="24"/>
          <w:lang w:val="ro-MD"/>
        </w:rPr>
        <w:t xml:space="preserve"> </w:t>
      </w:r>
      <w:r w:rsidR="00E32AA9">
        <w:rPr>
          <w:rFonts w:ascii="Calibri Light" w:eastAsia="Times New Roman" w:hAnsi="Calibri Light" w:cs="Calibri Light"/>
          <w:b/>
          <w:bCs/>
          <w:sz w:val="24"/>
          <w:szCs w:val="24"/>
          <w:lang w:val="ro-MD"/>
        </w:rPr>
        <w:t>26</w:t>
      </w:r>
    </w:p>
    <w:p w:rsidR="003F2560" w:rsidRPr="00C45B3D" w:rsidRDefault="003F2560" w:rsidP="00D6173C">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 xml:space="preserve">din </w:t>
      </w:r>
      <w:r w:rsidR="00CF1157">
        <w:rPr>
          <w:rFonts w:ascii="Calibri Light" w:eastAsia="Times New Roman" w:hAnsi="Calibri Light" w:cs="Calibri Light"/>
          <w:b/>
          <w:bCs/>
          <w:sz w:val="24"/>
          <w:szCs w:val="24"/>
          <w:lang w:val="ro-MD"/>
        </w:rPr>
        <w:t>3</w:t>
      </w:r>
      <w:r w:rsidR="00A60FC2">
        <w:rPr>
          <w:rFonts w:ascii="Calibri Light" w:eastAsia="Times New Roman" w:hAnsi="Calibri Light" w:cs="Calibri Light"/>
          <w:b/>
          <w:bCs/>
          <w:sz w:val="24"/>
          <w:szCs w:val="24"/>
          <w:lang w:val="ro-MD"/>
        </w:rPr>
        <w:t xml:space="preserve">0 </w:t>
      </w:r>
      <w:r w:rsidR="00D6173C">
        <w:rPr>
          <w:rFonts w:ascii="Calibri Light" w:eastAsia="Times New Roman" w:hAnsi="Calibri Light" w:cs="Calibri Light"/>
          <w:b/>
          <w:bCs/>
          <w:sz w:val="24"/>
          <w:szCs w:val="24"/>
          <w:lang w:val="ro-MD"/>
        </w:rPr>
        <w:t>mai</w:t>
      </w:r>
      <w:r w:rsidR="00A60FC2">
        <w:rPr>
          <w:rFonts w:ascii="Calibri Light" w:eastAsia="Times New Roman" w:hAnsi="Calibri Light" w:cs="Calibri Light"/>
          <w:b/>
          <w:bCs/>
          <w:sz w:val="24"/>
          <w:szCs w:val="24"/>
          <w:lang w:val="ro-MD"/>
        </w:rPr>
        <w:t xml:space="preserve"> 202</w:t>
      </w:r>
      <w:r w:rsidR="00CF1157">
        <w:rPr>
          <w:rFonts w:ascii="Calibri Light" w:eastAsia="Times New Roman" w:hAnsi="Calibri Light" w:cs="Calibri Light"/>
          <w:b/>
          <w:bCs/>
          <w:sz w:val="24"/>
          <w:szCs w:val="24"/>
          <w:lang w:val="ro-MD"/>
        </w:rPr>
        <w:t>2</w:t>
      </w:r>
    </w:p>
    <w:p w:rsidR="003F2560" w:rsidRPr="00C45B3D" w:rsidRDefault="003F2560" w:rsidP="00D6173C">
      <w:pPr>
        <w:spacing w:after="0" w:line="276" w:lineRule="auto"/>
        <w:ind w:left="-567"/>
        <w:jc w:val="center"/>
        <w:rPr>
          <w:rFonts w:asciiTheme="majorHAnsi" w:eastAsia="Times New Roman" w:hAnsiTheme="majorHAnsi" w:cstheme="majorHAnsi"/>
          <w:b/>
          <w:bCs/>
          <w:sz w:val="24"/>
          <w:szCs w:val="24"/>
        </w:rPr>
      </w:pPr>
      <w:r w:rsidRPr="00C45B3D">
        <w:rPr>
          <w:rFonts w:asciiTheme="majorHAnsi" w:eastAsia="Times New Roman" w:hAnsiTheme="majorHAnsi" w:cstheme="majorHAnsi"/>
          <w:b/>
          <w:bCs/>
          <w:sz w:val="24"/>
          <w:szCs w:val="24"/>
          <w:lang w:val="ro-MD" w:eastAsia="ru-RU"/>
        </w:rPr>
        <w:t xml:space="preserve">cu privire la Raportul auditului asupra </w:t>
      </w:r>
      <w:r w:rsidRPr="007C31A0">
        <w:rPr>
          <w:rFonts w:asciiTheme="majorHAnsi" w:eastAsia="Times New Roman" w:hAnsiTheme="majorHAnsi" w:cstheme="majorHAnsi"/>
          <w:b/>
          <w:bCs/>
          <w:sz w:val="24"/>
          <w:szCs w:val="24"/>
          <w:lang w:val="ro-RO"/>
        </w:rPr>
        <w:t>rapoartelor financiare</w:t>
      </w:r>
      <w:r w:rsidRPr="00C45B3D">
        <w:rPr>
          <w:rFonts w:asciiTheme="majorHAnsi" w:eastAsia="Times New Roman" w:hAnsiTheme="majorHAnsi" w:cstheme="majorHAnsi"/>
          <w:b/>
          <w:bCs/>
          <w:sz w:val="24"/>
          <w:szCs w:val="24"/>
        </w:rPr>
        <w:t xml:space="preserve"> consolidate </w:t>
      </w:r>
    </w:p>
    <w:p w:rsidR="003F2560" w:rsidRPr="00C45B3D" w:rsidRDefault="003F2560" w:rsidP="00D6173C">
      <w:pPr>
        <w:spacing w:after="0" w:line="276" w:lineRule="auto"/>
        <w:ind w:left="-567"/>
        <w:jc w:val="center"/>
        <w:rPr>
          <w:rFonts w:asciiTheme="majorHAnsi" w:eastAsia="Times New Roman" w:hAnsiTheme="majorHAnsi" w:cstheme="majorHAnsi"/>
          <w:b/>
          <w:bCs/>
          <w:sz w:val="24"/>
          <w:szCs w:val="24"/>
          <w:lang w:val="ro-MD" w:eastAsia="ru-RU"/>
        </w:rPr>
      </w:pPr>
      <w:r w:rsidRPr="007C31A0">
        <w:rPr>
          <w:rFonts w:asciiTheme="majorHAnsi" w:eastAsia="Times New Roman" w:hAnsiTheme="majorHAnsi" w:cstheme="majorHAnsi"/>
          <w:b/>
          <w:bCs/>
          <w:sz w:val="24"/>
          <w:szCs w:val="24"/>
          <w:lang w:val="ro-RO"/>
        </w:rPr>
        <w:t>ale Ministerului Finanțelor</w:t>
      </w:r>
      <w:r w:rsidRPr="00C45B3D">
        <w:rPr>
          <w:rFonts w:asciiTheme="majorHAnsi" w:eastAsia="Times New Roman" w:hAnsiTheme="majorHAnsi" w:cstheme="majorHAnsi"/>
          <w:b/>
          <w:bCs/>
          <w:sz w:val="24"/>
          <w:szCs w:val="24"/>
          <w:lang w:val="ro-MD" w:eastAsia="ru-RU"/>
        </w:rPr>
        <w:t xml:space="preserve"> încheiate la 31 decembrie 20</w:t>
      </w:r>
      <w:r w:rsidR="00A60FC2">
        <w:rPr>
          <w:rFonts w:asciiTheme="majorHAnsi" w:eastAsia="Times New Roman" w:hAnsiTheme="majorHAnsi" w:cstheme="majorHAnsi"/>
          <w:b/>
          <w:bCs/>
          <w:sz w:val="24"/>
          <w:szCs w:val="24"/>
          <w:lang w:val="ro-MD" w:eastAsia="ru-RU"/>
        </w:rPr>
        <w:t>2</w:t>
      </w:r>
      <w:r w:rsidR="00CF1157">
        <w:rPr>
          <w:rFonts w:asciiTheme="majorHAnsi" w:eastAsia="Times New Roman" w:hAnsiTheme="majorHAnsi" w:cstheme="majorHAnsi"/>
          <w:b/>
          <w:bCs/>
          <w:sz w:val="24"/>
          <w:szCs w:val="24"/>
          <w:lang w:val="ro-MD" w:eastAsia="ru-RU"/>
        </w:rPr>
        <w:t>1</w:t>
      </w:r>
    </w:p>
    <w:p w:rsidR="003F2560" w:rsidRPr="00AB3F50" w:rsidRDefault="003F2560" w:rsidP="00D6173C">
      <w:pPr>
        <w:spacing w:after="0" w:line="276" w:lineRule="auto"/>
        <w:ind w:left="-567"/>
        <w:jc w:val="center"/>
        <w:rPr>
          <w:rFonts w:asciiTheme="majorHAnsi" w:eastAsia="Times New Roman" w:hAnsiTheme="majorHAnsi" w:cstheme="majorHAnsi"/>
          <w:sz w:val="16"/>
          <w:szCs w:val="16"/>
          <w:lang w:val="ro-MD"/>
        </w:rPr>
      </w:pPr>
    </w:p>
    <w:p w:rsidR="003F2560" w:rsidRPr="00A60FC2" w:rsidRDefault="003F2560" w:rsidP="00D6173C">
      <w:pPr>
        <w:spacing w:after="120" w:line="276" w:lineRule="auto"/>
        <w:ind w:firstLine="720"/>
        <w:jc w:val="both"/>
        <w:rPr>
          <w:rFonts w:asciiTheme="majorHAnsi" w:hAnsiTheme="majorHAnsi" w:cstheme="majorHAnsi"/>
          <w:sz w:val="24"/>
          <w:szCs w:val="24"/>
          <w:lang w:val="ro-RO"/>
        </w:rPr>
      </w:pPr>
      <w:r w:rsidRPr="00F37483">
        <w:rPr>
          <w:rFonts w:asciiTheme="majorHAnsi" w:hAnsiTheme="majorHAnsi" w:cstheme="majorHAnsi"/>
          <w:sz w:val="24"/>
          <w:szCs w:val="24"/>
          <w:lang w:val="ro-RO"/>
        </w:rPr>
        <w:t xml:space="preserve">Curtea de Conturi, </w:t>
      </w:r>
      <w:r w:rsidRPr="00F37483">
        <w:rPr>
          <w:rFonts w:asciiTheme="majorHAnsi" w:eastAsia="Times New Roman" w:hAnsiTheme="majorHAnsi" w:cstheme="majorHAnsi"/>
          <w:sz w:val="24"/>
          <w:szCs w:val="24"/>
          <w:lang w:val="ro-RO"/>
        </w:rPr>
        <w:t xml:space="preserve">în prezența </w:t>
      </w:r>
      <w:r w:rsidR="00D564B4" w:rsidRPr="00F37483">
        <w:rPr>
          <w:rFonts w:asciiTheme="majorHAnsi" w:eastAsia="Times New Roman" w:hAnsiTheme="majorHAnsi" w:cstheme="majorHAnsi"/>
          <w:sz w:val="24"/>
          <w:szCs w:val="24"/>
          <w:lang w:val="ro-RO"/>
        </w:rPr>
        <w:t xml:space="preserve">secretarilor de stat ai </w:t>
      </w:r>
      <w:r w:rsidR="00D564B4" w:rsidRPr="00F37483">
        <w:rPr>
          <w:rFonts w:asciiTheme="majorHAnsi" w:hAnsiTheme="majorHAnsi"/>
          <w:sz w:val="24"/>
          <w:szCs w:val="24"/>
          <w:lang w:val="ro-MD"/>
        </w:rPr>
        <w:t>M</w:t>
      </w:r>
      <w:r w:rsidR="00F4333C" w:rsidRPr="00F37483">
        <w:rPr>
          <w:rFonts w:asciiTheme="majorHAnsi" w:hAnsiTheme="majorHAnsi"/>
          <w:sz w:val="24"/>
          <w:szCs w:val="24"/>
          <w:lang w:val="ro-MD"/>
        </w:rPr>
        <w:t>inist</w:t>
      </w:r>
      <w:r w:rsidR="00D564B4" w:rsidRPr="00F37483">
        <w:rPr>
          <w:rFonts w:asciiTheme="majorHAnsi" w:hAnsiTheme="majorHAnsi"/>
          <w:sz w:val="24"/>
          <w:szCs w:val="24"/>
          <w:lang w:val="ro-MD"/>
        </w:rPr>
        <w:t>erului F</w:t>
      </w:r>
      <w:r w:rsidR="00F4333C" w:rsidRPr="00F37483">
        <w:rPr>
          <w:rFonts w:asciiTheme="majorHAnsi" w:hAnsiTheme="majorHAnsi"/>
          <w:sz w:val="24"/>
          <w:szCs w:val="24"/>
          <w:lang w:val="ro-MD"/>
        </w:rPr>
        <w:t>inanțelor, d</w:t>
      </w:r>
      <w:r w:rsidR="00751B2F" w:rsidRPr="00F37483">
        <w:rPr>
          <w:rFonts w:asciiTheme="majorHAnsi" w:hAnsiTheme="majorHAnsi"/>
          <w:sz w:val="24"/>
          <w:szCs w:val="24"/>
          <w:lang w:val="ro-MD"/>
        </w:rPr>
        <w:t>nii</w:t>
      </w:r>
      <w:r w:rsidR="00F4333C" w:rsidRPr="00F37483">
        <w:rPr>
          <w:rFonts w:asciiTheme="majorHAnsi" w:hAnsiTheme="majorHAnsi"/>
          <w:sz w:val="24"/>
          <w:szCs w:val="24"/>
          <w:lang w:val="ro-MD"/>
        </w:rPr>
        <w:t xml:space="preserve"> </w:t>
      </w:r>
      <w:r w:rsidR="00D564B4" w:rsidRPr="00F37483">
        <w:rPr>
          <w:rFonts w:asciiTheme="majorHAnsi" w:hAnsiTheme="majorHAnsi"/>
          <w:sz w:val="24"/>
          <w:szCs w:val="24"/>
          <w:lang w:val="ro-MD"/>
        </w:rPr>
        <w:t>Ion Gumene și Vladimir Arachelov</w:t>
      </w:r>
      <w:r w:rsidR="003855BF" w:rsidRPr="00F37483">
        <w:rPr>
          <w:rFonts w:asciiTheme="majorHAnsi" w:hAnsiTheme="majorHAnsi"/>
          <w:sz w:val="24"/>
          <w:szCs w:val="24"/>
          <w:lang w:val="ro-MD"/>
        </w:rPr>
        <w:t xml:space="preserve">; </w:t>
      </w:r>
      <w:r w:rsidR="008202BC" w:rsidRPr="00F37483">
        <w:rPr>
          <w:rFonts w:asciiTheme="majorHAnsi" w:hAnsiTheme="majorHAnsi" w:cstheme="majorHAnsi"/>
          <w:sz w:val="24"/>
          <w:szCs w:val="24"/>
          <w:lang w:val="ro-RO"/>
        </w:rPr>
        <w:t xml:space="preserve">șefei adjuncte a Direcției management instituțional, șefa Secției finanțe din cadrul Ministerului Finanțelor, dna Diana Cazacu; </w:t>
      </w:r>
      <w:r w:rsidR="003855BF" w:rsidRPr="00F37483">
        <w:rPr>
          <w:rFonts w:asciiTheme="majorHAnsi" w:hAnsiTheme="majorHAnsi"/>
          <w:sz w:val="24"/>
          <w:szCs w:val="24"/>
          <w:lang w:val="ro-MD"/>
        </w:rPr>
        <w:t>D</w:t>
      </w:r>
      <w:r w:rsidR="00F4333C" w:rsidRPr="00F37483">
        <w:rPr>
          <w:rFonts w:asciiTheme="majorHAnsi" w:hAnsiTheme="majorHAnsi"/>
          <w:sz w:val="24"/>
          <w:szCs w:val="24"/>
          <w:lang w:val="ro-MD"/>
        </w:rPr>
        <w:t>irecto</w:t>
      </w:r>
      <w:r w:rsidR="00D564B4" w:rsidRPr="00F37483">
        <w:rPr>
          <w:rFonts w:asciiTheme="majorHAnsi" w:hAnsiTheme="majorHAnsi"/>
          <w:sz w:val="24"/>
          <w:szCs w:val="24"/>
          <w:lang w:val="ro-MD"/>
        </w:rPr>
        <w:t>are</w:t>
      </w:r>
      <w:r w:rsidR="00F4333C" w:rsidRPr="00F37483">
        <w:rPr>
          <w:rFonts w:asciiTheme="majorHAnsi" w:hAnsiTheme="majorHAnsi"/>
          <w:sz w:val="24"/>
          <w:szCs w:val="24"/>
          <w:lang w:val="ro-MD"/>
        </w:rPr>
        <w:t xml:space="preserve">i Serviciului Fiscal de Stat, </w:t>
      </w:r>
      <w:r w:rsidR="00D564B4" w:rsidRPr="00F37483">
        <w:rPr>
          <w:rFonts w:asciiTheme="majorHAnsi" w:hAnsiTheme="majorHAnsi"/>
          <w:sz w:val="24"/>
          <w:szCs w:val="24"/>
          <w:lang w:val="ro-MD"/>
        </w:rPr>
        <w:t>dna Rozalina Albu; șefei Direcției economie și finanțe a Serviciului Fiscal de Stat, dna Cristina Buliurcă</w:t>
      </w:r>
      <w:r w:rsidR="00A276E6" w:rsidRPr="00F37483">
        <w:rPr>
          <w:rFonts w:asciiTheme="majorHAnsi" w:hAnsiTheme="majorHAnsi"/>
          <w:sz w:val="24"/>
          <w:szCs w:val="24"/>
          <w:lang w:val="ro-MD"/>
        </w:rPr>
        <w:t xml:space="preserve">; </w:t>
      </w:r>
      <w:r w:rsidR="008202BC" w:rsidRPr="00F37483">
        <w:rPr>
          <w:rFonts w:asciiTheme="majorHAnsi" w:hAnsiTheme="majorHAnsi" w:cstheme="majorHAnsi"/>
          <w:sz w:val="24"/>
          <w:szCs w:val="24"/>
          <w:lang w:val="ro-MD"/>
        </w:rPr>
        <w:t>șefei Direcției finanțe și evidență contabilă a Serviciului Vamal,</w:t>
      </w:r>
      <w:r w:rsidR="008202BC" w:rsidRPr="00F37483">
        <w:rPr>
          <w:rFonts w:asciiTheme="majorHAnsi" w:hAnsiTheme="majorHAnsi" w:cstheme="majorHAnsi"/>
          <w:sz w:val="24"/>
          <w:szCs w:val="24"/>
          <w:lang w:val="ro-RO"/>
        </w:rPr>
        <w:t xml:space="preserve"> dna Inga Drobițchii; </w:t>
      </w:r>
      <w:r w:rsidR="00A276E6" w:rsidRPr="00F37483">
        <w:rPr>
          <w:rFonts w:asciiTheme="majorHAnsi" w:hAnsiTheme="majorHAnsi" w:cstheme="majorHAnsi"/>
          <w:sz w:val="24"/>
          <w:szCs w:val="24"/>
          <w:lang w:val="ro-RO"/>
        </w:rPr>
        <w:t xml:space="preserve">precum </w:t>
      </w:r>
      <w:r w:rsidR="00F4333C" w:rsidRPr="00F37483">
        <w:rPr>
          <w:rFonts w:asciiTheme="majorHAnsi" w:hAnsiTheme="majorHAnsi"/>
          <w:sz w:val="24"/>
          <w:szCs w:val="24"/>
          <w:lang w:val="ro-MD"/>
        </w:rPr>
        <w:t xml:space="preserve">și a altor persoane cu funcții de răspundere, </w:t>
      </w:r>
      <w:r w:rsidR="00F4333C" w:rsidRPr="00F37483">
        <w:rPr>
          <w:rFonts w:asciiTheme="majorHAnsi" w:eastAsia="Times New Roman" w:hAnsiTheme="majorHAnsi" w:cstheme="majorHAnsi"/>
          <w:color w:val="000000"/>
          <w:sz w:val="24"/>
          <w:szCs w:val="24"/>
          <w:lang w:val="ro-MD"/>
        </w:rPr>
        <w:t xml:space="preserve">în cadrul ședinței video, </w:t>
      </w:r>
      <w:r w:rsidR="00F4333C" w:rsidRPr="00F37483">
        <w:rPr>
          <w:rFonts w:asciiTheme="majorHAnsi" w:hAnsiTheme="majorHAnsi"/>
          <w:bCs/>
          <w:sz w:val="24"/>
          <w:szCs w:val="24"/>
          <w:lang w:val="ro-MD"/>
        </w:rPr>
        <w:t>călăuzindu-se de</w:t>
      </w:r>
      <w:r w:rsidR="00F4333C" w:rsidRPr="00F37483">
        <w:rPr>
          <w:rFonts w:asciiTheme="majorHAnsi" w:hAnsiTheme="majorHAnsi"/>
          <w:sz w:val="24"/>
          <w:szCs w:val="24"/>
          <w:lang w:val="ro-MD"/>
        </w:rPr>
        <w:t xml:space="preserve"> art.3 alin.(1), art.5 alin.(1) lit. a) și art. 31 alin. (1) lit. a) din Legea privind organizarea și funcționarea Curții de Conturi a Republicii Moldova</w:t>
      </w:r>
      <w:r w:rsidR="00F4333C" w:rsidRPr="00F37483">
        <w:rPr>
          <w:rFonts w:asciiTheme="majorHAnsi" w:hAnsiTheme="majorHAnsi"/>
          <w:sz w:val="24"/>
          <w:szCs w:val="24"/>
          <w:vertAlign w:val="superscript"/>
          <w:lang w:val="ro-MD"/>
        </w:rPr>
        <w:footnoteReference w:id="1"/>
      </w:r>
      <w:r w:rsidR="00F4333C" w:rsidRPr="00F37483">
        <w:rPr>
          <w:rFonts w:asciiTheme="majorHAnsi" w:hAnsiTheme="majorHAnsi"/>
          <w:sz w:val="24"/>
          <w:szCs w:val="24"/>
          <w:lang w:val="ro-MD"/>
        </w:rPr>
        <w:t xml:space="preserve">, </w:t>
      </w:r>
      <w:r w:rsidRPr="00F37483">
        <w:rPr>
          <w:rFonts w:asciiTheme="majorHAnsi" w:hAnsiTheme="majorHAnsi" w:cstheme="majorHAnsi"/>
          <w:sz w:val="24"/>
          <w:szCs w:val="24"/>
          <w:lang w:val="ro-RO"/>
        </w:rPr>
        <w:t xml:space="preserve">a examinat </w:t>
      </w:r>
      <w:r w:rsidRPr="00F37483">
        <w:rPr>
          <w:rFonts w:asciiTheme="majorHAnsi" w:eastAsia="Times New Roman" w:hAnsiTheme="majorHAnsi" w:cstheme="majorHAnsi"/>
          <w:bCs/>
          <w:sz w:val="24"/>
          <w:szCs w:val="24"/>
          <w:lang w:val="ro-RO" w:eastAsia="ru-RU"/>
        </w:rPr>
        <w:t xml:space="preserve">Raportul auditului </w:t>
      </w:r>
      <w:r w:rsidR="001507C3" w:rsidRPr="00F37483">
        <w:rPr>
          <w:rFonts w:asciiTheme="majorHAnsi" w:eastAsia="Times New Roman" w:hAnsiTheme="majorHAnsi" w:cstheme="majorHAnsi"/>
          <w:bCs/>
          <w:sz w:val="24"/>
          <w:szCs w:val="24"/>
          <w:lang w:val="ro-RO" w:eastAsia="ru-RU"/>
        </w:rPr>
        <w:t xml:space="preserve">asupra </w:t>
      </w:r>
      <w:r w:rsidRPr="00F37483">
        <w:rPr>
          <w:rFonts w:asciiTheme="majorHAnsi" w:eastAsia="Times New Roman" w:hAnsiTheme="majorHAnsi" w:cstheme="majorHAnsi"/>
          <w:bCs/>
          <w:sz w:val="24"/>
          <w:szCs w:val="24"/>
          <w:lang w:val="ro-RO"/>
        </w:rPr>
        <w:t>rapoartelor financiare consolidate ale Ministerului Finanțelor</w:t>
      </w:r>
      <w:r w:rsidRPr="00F37483">
        <w:rPr>
          <w:rFonts w:asciiTheme="majorHAnsi" w:eastAsia="Times New Roman" w:hAnsiTheme="majorHAnsi" w:cstheme="majorHAnsi"/>
          <w:bCs/>
          <w:sz w:val="24"/>
          <w:szCs w:val="24"/>
          <w:lang w:val="ro-RO" w:eastAsia="ru-RU"/>
        </w:rPr>
        <w:t xml:space="preserve"> încheiate la 31 decembrie 20</w:t>
      </w:r>
      <w:r w:rsidR="00A60FC2" w:rsidRPr="00F37483">
        <w:rPr>
          <w:rFonts w:asciiTheme="majorHAnsi" w:eastAsia="Times New Roman" w:hAnsiTheme="majorHAnsi" w:cstheme="majorHAnsi"/>
          <w:bCs/>
          <w:sz w:val="24"/>
          <w:szCs w:val="24"/>
          <w:lang w:val="ro-RO" w:eastAsia="ru-RU"/>
        </w:rPr>
        <w:t>2</w:t>
      </w:r>
      <w:r w:rsidR="009E2BEC" w:rsidRPr="00F37483">
        <w:rPr>
          <w:rFonts w:asciiTheme="majorHAnsi" w:eastAsia="Times New Roman" w:hAnsiTheme="majorHAnsi" w:cstheme="majorHAnsi"/>
          <w:bCs/>
          <w:sz w:val="24"/>
          <w:szCs w:val="24"/>
          <w:lang w:val="ro-RO" w:eastAsia="ru-RU"/>
        </w:rPr>
        <w:t>1</w:t>
      </w:r>
      <w:r w:rsidRPr="00F37483">
        <w:rPr>
          <w:rFonts w:asciiTheme="majorHAnsi" w:eastAsia="Times New Roman" w:hAnsiTheme="majorHAnsi" w:cstheme="majorHAnsi"/>
          <w:bCs/>
          <w:sz w:val="24"/>
          <w:szCs w:val="24"/>
          <w:lang w:val="ro-RO" w:eastAsia="ru-RU"/>
        </w:rPr>
        <w:t>.</w:t>
      </w:r>
    </w:p>
    <w:p w:rsidR="003F2560" w:rsidRPr="00AB3F50" w:rsidRDefault="003F2560" w:rsidP="00D6173C">
      <w:pPr>
        <w:spacing w:after="12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Programului activității de audit a</w:t>
      </w:r>
      <w:r w:rsidR="000D519D">
        <w:rPr>
          <w:rFonts w:asciiTheme="majorHAnsi" w:hAnsiTheme="majorHAnsi" w:cstheme="majorHAnsi"/>
          <w:sz w:val="24"/>
          <w:szCs w:val="24"/>
          <w:lang w:val="ro-MD"/>
        </w:rPr>
        <w:t>l</w:t>
      </w:r>
      <w:r w:rsidRPr="00AB3F50">
        <w:rPr>
          <w:rFonts w:asciiTheme="majorHAnsi" w:hAnsiTheme="majorHAnsi" w:cstheme="majorHAnsi"/>
          <w:sz w:val="24"/>
          <w:szCs w:val="24"/>
          <w:lang w:val="ro-MD"/>
        </w:rPr>
        <w:t xml:space="preserve"> Curții de Conturi pe anul </w:t>
      </w:r>
      <w:r w:rsidR="004A74B7" w:rsidRPr="00D1341A">
        <w:rPr>
          <w:rFonts w:asciiTheme="majorHAnsi" w:hAnsiTheme="majorHAnsi" w:cstheme="majorHAnsi"/>
          <w:sz w:val="24"/>
          <w:szCs w:val="24"/>
          <w:lang w:val="ro-MD"/>
        </w:rPr>
        <w:t>2022</w:t>
      </w:r>
      <w:r w:rsidR="004A74B7" w:rsidRPr="00D1341A">
        <w:rPr>
          <w:rFonts w:asciiTheme="majorHAnsi" w:hAnsiTheme="majorHAnsi" w:cstheme="majorHAnsi"/>
          <w:sz w:val="24"/>
          <w:szCs w:val="24"/>
          <w:vertAlign w:val="superscript"/>
          <w:lang w:val="ro-MD"/>
        </w:rPr>
        <w:footnoteReference w:id="2"/>
      </w:r>
      <w:r w:rsidR="004A74B7" w:rsidRPr="00D1341A">
        <w:rPr>
          <w:rFonts w:asciiTheme="majorHAnsi" w:hAnsiTheme="majorHAnsi" w:cstheme="majorHAnsi"/>
          <w:sz w:val="24"/>
          <w:szCs w:val="24"/>
          <w:lang w:val="ro-MD"/>
        </w:rPr>
        <w:t>,</w:t>
      </w:r>
      <w:r w:rsidRPr="00AB3F50">
        <w:rPr>
          <w:rFonts w:asciiTheme="majorHAnsi" w:hAnsiTheme="majorHAnsi" w:cstheme="majorHAnsi"/>
          <w:sz w:val="24"/>
          <w:szCs w:val="24"/>
          <w:lang w:val="ro-MD"/>
        </w:rPr>
        <w:t xml:space="preserve"> </w:t>
      </w:r>
      <w:r w:rsidRPr="00AB3F50">
        <w:rPr>
          <w:rFonts w:asciiTheme="majorHAnsi" w:eastAsia="Times New Roman" w:hAnsiTheme="majorHAnsi" w:cstheme="majorHAnsi"/>
          <w:sz w:val="24"/>
          <w:szCs w:val="24"/>
          <w:lang w:val="ro-MD"/>
        </w:rPr>
        <w:t xml:space="preserve">având drept scop </w:t>
      </w:r>
      <w:r w:rsidRPr="00AB3F50">
        <w:rPr>
          <w:rFonts w:asciiTheme="majorHAnsi" w:hAnsiTheme="majorHAnsi" w:cstheme="majorHAnsi"/>
          <w:sz w:val="24"/>
          <w:szCs w:val="24"/>
          <w:lang w:val="ro-MD"/>
        </w:rPr>
        <w:t>oferirea unei asigurări rezonabile cu privire la faptul că rapoartele financiare consolidate ale Ministerului Finanțelor încheiate la 31 decembrie 20</w:t>
      </w:r>
      <w:r w:rsidR="00A60FC2">
        <w:rPr>
          <w:rFonts w:asciiTheme="majorHAnsi" w:hAnsiTheme="majorHAnsi" w:cstheme="majorHAnsi"/>
          <w:sz w:val="24"/>
          <w:szCs w:val="24"/>
          <w:lang w:val="ro-MD"/>
        </w:rPr>
        <w:t>2</w:t>
      </w:r>
      <w:r w:rsidR="009E2BEC">
        <w:rPr>
          <w:rFonts w:asciiTheme="majorHAnsi" w:hAnsiTheme="majorHAnsi" w:cstheme="majorHAnsi"/>
          <w:sz w:val="24"/>
          <w:szCs w:val="24"/>
          <w:lang w:val="ro-MD"/>
        </w:rPr>
        <w:t>1</w:t>
      </w:r>
      <w:r w:rsidRPr="00AB3F50">
        <w:rPr>
          <w:rFonts w:asciiTheme="majorHAnsi" w:hAnsiTheme="majorHAnsi" w:cstheme="majorHAnsi"/>
          <w:sz w:val="24"/>
          <w:szCs w:val="24"/>
          <w:lang w:val="ro-MD"/>
        </w:rPr>
        <w:t xml:space="preserve"> nu conțin, în ansamblul lor, denaturări semnificative</w:t>
      </w:r>
      <w:r w:rsidR="000F2548">
        <w:rPr>
          <w:rFonts w:asciiTheme="majorHAnsi" w:hAnsiTheme="majorHAnsi" w:cstheme="majorHAnsi"/>
          <w:sz w:val="24"/>
          <w:szCs w:val="24"/>
          <w:lang w:val="ro-MD"/>
        </w:rPr>
        <w:t>,</w:t>
      </w:r>
      <w:r w:rsidRPr="00AB3F50">
        <w:rPr>
          <w:rFonts w:asciiTheme="majorHAnsi" w:hAnsiTheme="majorHAnsi" w:cstheme="majorHAnsi"/>
          <w:sz w:val="24"/>
          <w:szCs w:val="24"/>
          <w:lang w:val="ro-MD"/>
        </w:rPr>
        <w:t xml:space="preserve"> cauzate de fraude sau erori, precum și emiterea unei opinii.</w:t>
      </w:r>
    </w:p>
    <w:p w:rsidR="003F2560" w:rsidRPr="00AB3F50" w:rsidRDefault="003F2560" w:rsidP="00D6173C">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sidR="00C9778F">
        <w:rPr>
          <w:rFonts w:asciiTheme="majorHAnsi" w:eastAsia="Times New Roman" w:hAnsiTheme="majorHAnsi" w:cstheme="majorHAnsi"/>
          <w:sz w:val="24"/>
          <w:szCs w:val="24"/>
          <w:lang w:val="ro-MD"/>
        </w:rPr>
        <w:t>t, pus</w:t>
      </w:r>
      <w:r w:rsidR="000D519D">
        <w:rPr>
          <w:rFonts w:asciiTheme="majorHAnsi" w:eastAsia="Times New Roman" w:hAnsiTheme="majorHAnsi" w:cstheme="majorHAnsi"/>
          <w:sz w:val="24"/>
          <w:szCs w:val="24"/>
          <w:lang w:val="ro-MD"/>
        </w:rPr>
        <w:t>e</w:t>
      </w:r>
      <w:r w:rsidR="00C9778F">
        <w:rPr>
          <w:rFonts w:asciiTheme="majorHAnsi" w:eastAsia="Times New Roman" w:hAnsiTheme="majorHAnsi" w:cstheme="majorHAnsi"/>
          <w:sz w:val="24"/>
          <w:szCs w:val="24"/>
          <w:lang w:val="ro-MD"/>
        </w:rPr>
        <w:t xml:space="preserve"> </w:t>
      </w:r>
      <w:r w:rsidR="00DC40E7">
        <w:rPr>
          <w:rFonts w:asciiTheme="majorHAnsi" w:eastAsia="Times New Roman" w:hAnsiTheme="majorHAnsi" w:cstheme="majorHAnsi"/>
          <w:sz w:val="24"/>
          <w:szCs w:val="24"/>
          <w:lang w:val="ro-MD"/>
        </w:rPr>
        <w:t>în aplicare de Curtea de Conturi</w:t>
      </w:r>
      <w:r w:rsidR="00C9778F">
        <w:rPr>
          <w:rStyle w:val="af3"/>
          <w:rFonts w:asciiTheme="majorHAnsi" w:eastAsia="Times New Roman" w:hAnsiTheme="majorHAnsi" w:cstheme="majorHAnsi"/>
          <w:sz w:val="24"/>
          <w:szCs w:val="24"/>
          <w:lang w:val="ro-MD"/>
        </w:rPr>
        <w:footnoteReference w:id="3"/>
      </w:r>
      <w:r w:rsidR="000D519D">
        <w:rPr>
          <w:rFonts w:asciiTheme="majorHAnsi" w:eastAsia="Times New Roman" w:hAnsiTheme="majorHAnsi" w:cstheme="majorHAnsi"/>
          <w:sz w:val="24"/>
          <w:szCs w:val="24"/>
          <w:lang w:val="ro-MD"/>
        </w:rPr>
        <w:t>.</w:t>
      </w:r>
      <w:r w:rsidRPr="00AB3F50">
        <w:rPr>
          <w:rFonts w:asciiTheme="majorHAnsi" w:eastAsia="Times New Roman" w:hAnsiTheme="majorHAnsi" w:cstheme="majorHAnsi"/>
          <w:sz w:val="24"/>
          <w:szCs w:val="24"/>
          <w:lang w:val="ro-MD"/>
        </w:rPr>
        <w:t xml:space="preserve"> </w:t>
      </w:r>
    </w:p>
    <w:p w:rsidR="003F2560" w:rsidRPr="00AB3F50" w:rsidRDefault="003F2560" w:rsidP="00D6173C">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rsidR="003F2560" w:rsidRPr="00C45B3D" w:rsidRDefault="003F2560" w:rsidP="00D6173C">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rsidR="003F2560" w:rsidRPr="007C31A0" w:rsidRDefault="003F2560" w:rsidP="00D6173C">
      <w:pPr>
        <w:pStyle w:val="a4"/>
        <w:spacing w:after="120" w:line="276" w:lineRule="auto"/>
        <w:ind w:firstLine="720"/>
        <w:rPr>
          <w:rFonts w:asciiTheme="majorHAnsi" w:hAnsiTheme="majorHAnsi" w:cstheme="majorHAnsi"/>
          <w:lang w:val="ro-RO"/>
        </w:rPr>
      </w:pPr>
      <w:r w:rsidRPr="00CC3867">
        <w:rPr>
          <w:rFonts w:asciiTheme="majorHAnsi" w:hAnsiTheme="majorHAnsi" w:cstheme="majorHAnsi"/>
          <w:lang w:val="ro-MD"/>
        </w:rPr>
        <w:t>Rapoartele financiare consolidate ale Ministerului Finanțelor încheiate la 31 decembrie 20</w:t>
      </w:r>
      <w:r w:rsidR="00A60FC2" w:rsidRPr="00CC3867">
        <w:rPr>
          <w:rFonts w:asciiTheme="majorHAnsi" w:hAnsiTheme="majorHAnsi" w:cstheme="majorHAnsi"/>
          <w:lang w:val="ro-MD"/>
        </w:rPr>
        <w:t>2</w:t>
      </w:r>
      <w:r w:rsidR="009E2BEC">
        <w:rPr>
          <w:rFonts w:asciiTheme="majorHAnsi" w:hAnsiTheme="majorHAnsi" w:cstheme="majorHAnsi"/>
          <w:lang w:val="ro-MD"/>
        </w:rPr>
        <w:t>1</w:t>
      </w:r>
      <w:r w:rsidR="00CC3867" w:rsidRPr="00CC3867">
        <w:rPr>
          <w:rFonts w:asciiTheme="majorHAnsi" w:hAnsiTheme="majorHAnsi" w:cstheme="majorHAnsi"/>
          <w:lang w:val="ro-MD"/>
        </w:rPr>
        <w:t xml:space="preserve"> oferă</w:t>
      </w:r>
      <w:r w:rsidRPr="00CC3867">
        <w:rPr>
          <w:rFonts w:asciiTheme="majorHAnsi" w:hAnsiTheme="majorHAnsi" w:cstheme="majorHAnsi"/>
          <w:lang w:val="ro-MD"/>
        </w:rPr>
        <w:t>,</w:t>
      </w:r>
      <w:r w:rsidRPr="00CC3867">
        <w:rPr>
          <w:rFonts w:asciiTheme="majorHAnsi" w:hAnsiTheme="majorHAnsi" w:cstheme="minorHAnsi"/>
          <w:lang w:val="ro-RO"/>
        </w:rPr>
        <w:t xml:space="preserve"> sub toate aspectele semnificative, o imagine corectă și fidelă </w:t>
      </w:r>
      <w:r w:rsidR="00CC3867" w:rsidRPr="00CC3867">
        <w:rPr>
          <w:rFonts w:asciiTheme="majorHAnsi" w:hAnsiTheme="majorHAnsi" w:cstheme="minorHAnsi"/>
          <w:lang w:val="ro-RO"/>
        </w:rPr>
        <w:t xml:space="preserve">în corespundere cu cadrul </w:t>
      </w:r>
      <w:r w:rsidR="004A7BFF" w:rsidRPr="00CC3867">
        <w:rPr>
          <w:rFonts w:asciiTheme="majorHAnsi" w:hAnsiTheme="majorHAnsi" w:cstheme="minorHAnsi"/>
          <w:lang w:val="ro-RO"/>
        </w:rPr>
        <w:t xml:space="preserve">de raportare financiară </w:t>
      </w:r>
      <w:r w:rsidR="00CC3867" w:rsidRPr="00CC3867">
        <w:rPr>
          <w:rFonts w:asciiTheme="majorHAnsi" w:hAnsiTheme="majorHAnsi" w:cstheme="minorHAnsi"/>
          <w:lang w:val="ro-RO"/>
        </w:rPr>
        <w:t>aplicabil.</w:t>
      </w:r>
    </w:p>
    <w:p w:rsidR="003F2560" w:rsidRPr="00FF1014" w:rsidRDefault="003F2560" w:rsidP="00D6173C">
      <w:pPr>
        <w:pStyle w:val="a4"/>
        <w:spacing w:after="120" w:line="276" w:lineRule="auto"/>
        <w:ind w:firstLine="720"/>
        <w:rPr>
          <w:rFonts w:asciiTheme="majorHAnsi" w:hAnsiTheme="majorHAnsi" w:cstheme="majorHAnsi"/>
          <w:lang w:val="ro-RO"/>
        </w:rPr>
      </w:pPr>
      <w:r w:rsidRPr="00AB3F50">
        <w:rPr>
          <w:rFonts w:asciiTheme="majorHAnsi" w:hAnsiTheme="majorHAnsi" w:cstheme="majorHAnsi"/>
          <w:lang w:val="ro-MD"/>
        </w:rPr>
        <w:t>Reieșind din cele expuse, în temeiul art. 14 alin. (2), art.15 lit. d) și art. 37 alin. (2) din Legea   nr. 260 din 07.12.2017, Curtea de Conturi</w:t>
      </w:r>
    </w:p>
    <w:p w:rsidR="00D6173C" w:rsidRDefault="00D6173C" w:rsidP="004A2F0D">
      <w:pPr>
        <w:pStyle w:val="cp"/>
        <w:spacing w:after="120" w:line="276" w:lineRule="auto"/>
        <w:jc w:val="left"/>
        <w:rPr>
          <w:rFonts w:asciiTheme="majorHAnsi" w:hAnsiTheme="majorHAnsi" w:cstheme="majorHAnsi"/>
          <w:lang w:val="ro-MD"/>
        </w:rPr>
      </w:pPr>
    </w:p>
    <w:p w:rsidR="004A2F0D" w:rsidRDefault="004A2F0D" w:rsidP="004A2F0D">
      <w:pPr>
        <w:pStyle w:val="cp"/>
        <w:spacing w:after="120" w:line="276" w:lineRule="auto"/>
        <w:jc w:val="left"/>
        <w:rPr>
          <w:rFonts w:asciiTheme="majorHAnsi" w:hAnsiTheme="majorHAnsi" w:cstheme="majorHAnsi"/>
          <w:lang w:val="ro-MD"/>
        </w:rPr>
      </w:pPr>
    </w:p>
    <w:p w:rsidR="003F2560" w:rsidRDefault="003F2560" w:rsidP="00D6173C">
      <w:pPr>
        <w:pStyle w:val="cp"/>
        <w:spacing w:after="120" w:line="276" w:lineRule="auto"/>
        <w:rPr>
          <w:rFonts w:asciiTheme="majorHAnsi" w:hAnsiTheme="majorHAnsi" w:cstheme="majorHAnsi"/>
          <w:lang w:val="ro-RO"/>
        </w:rPr>
      </w:pPr>
      <w:r w:rsidRPr="00C45B3D">
        <w:rPr>
          <w:rFonts w:asciiTheme="majorHAnsi" w:hAnsiTheme="majorHAnsi" w:cstheme="majorHAnsi"/>
          <w:lang w:val="ro-MD"/>
        </w:rPr>
        <w:lastRenderedPageBreak/>
        <w:t>HOTĂRĂŞTE:</w:t>
      </w:r>
      <w:r>
        <w:rPr>
          <w:rFonts w:asciiTheme="majorHAnsi" w:hAnsiTheme="majorHAnsi" w:cstheme="majorHAnsi"/>
          <w:lang w:val="ro-MD"/>
        </w:rPr>
        <w:tab/>
      </w:r>
    </w:p>
    <w:p w:rsidR="00CC3867" w:rsidRPr="00EA05B4" w:rsidRDefault="00CC3867" w:rsidP="00D6173C">
      <w:pPr>
        <w:pStyle w:val="a4"/>
        <w:spacing w:after="12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Pr>
          <w:rFonts w:asciiTheme="majorHAnsi" w:hAnsiTheme="majorHAnsi"/>
          <w:lang w:val="ro-MD"/>
        </w:rPr>
        <w:t xml:space="preserve"> consolidate</w:t>
      </w:r>
      <w:r w:rsidRPr="00EA05B4">
        <w:rPr>
          <w:rFonts w:asciiTheme="majorHAnsi" w:hAnsiTheme="majorHAnsi"/>
          <w:lang w:val="ro-MD"/>
        </w:rPr>
        <w:t xml:space="preserve"> ale </w:t>
      </w:r>
      <w:r>
        <w:rPr>
          <w:rFonts w:asciiTheme="majorHAnsi" w:hAnsiTheme="majorHAnsi"/>
          <w:lang w:val="ro-MD"/>
        </w:rPr>
        <w:t xml:space="preserve">Ministerului Finanțelor </w:t>
      </w:r>
      <w:r w:rsidRPr="00EA05B4">
        <w:rPr>
          <w:rFonts w:asciiTheme="majorHAnsi" w:hAnsiTheme="majorHAnsi"/>
          <w:lang w:val="ro-MD"/>
        </w:rPr>
        <w:t>încheiate la 31 decembrie 20</w:t>
      </w:r>
      <w:r>
        <w:rPr>
          <w:rFonts w:asciiTheme="majorHAnsi" w:hAnsiTheme="majorHAnsi"/>
          <w:lang w:val="ro-MD"/>
        </w:rPr>
        <w:t>2</w:t>
      </w:r>
      <w:r w:rsidR="009E2BEC">
        <w:rPr>
          <w:rFonts w:asciiTheme="majorHAnsi" w:hAnsiTheme="majorHAnsi"/>
          <w:lang w:val="ro-MD"/>
        </w:rPr>
        <w:t>1</w:t>
      </w:r>
      <w:r w:rsidRPr="00EA05B4">
        <w:rPr>
          <w:rFonts w:asciiTheme="majorHAnsi" w:hAnsiTheme="majorHAnsi"/>
          <w:lang w:val="ro-MD"/>
        </w:rPr>
        <w:t>, anexat la prezenta Hotărâre.</w:t>
      </w:r>
    </w:p>
    <w:p w:rsidR="00CC3867" w:rsidRDefault="00CC3867" w:rsidP="00D6173C">
      <w:pPr>
        <w:pStyle w:val="a4"/>
        <w:spacing w:after="12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6C4209" w:rsidRPr="009F76CA" w:rsidRDefault="00CC3867" w:rsidP="00D6173C">
      <w:pPr>
        <w:pStyle w:val="a4"/>
        <w:spacing w:after="120" w:line="276" w:lineRule="auto"/>
        <w:rPr>
          <w:rFonts w:asciiTheme="majorHAnsi" w:hAnsiTheme="majorHAnsi" w:cstheme="majorHAnsi"/>
          <w:b/>
          <w:bCs/>
          <w:lang w:val="ro-MD"/>
        </w:rPr>
      </w:pPr>
      <w:r w:rsidRPr="00483FCF">
        <w:rPr>
          <w:rFonts w:asciiTheme="majorHAnsi" w:hAnsiTheme="majorHAnsi" w:cstheme="majorHAnsi"/>
          <w:lang w:val="ro-MD"/>
        </w:rPr>
        <w:t>2.1.</w:t>
      </w:r>
      <w:r w:rsidR="006C4209" w:rsidRPr="006C4209">
        <w:rPr>
          <w:rFonts w:asciiTheme="majorHAnsi" w:hAnsiTheme="majorHAnsi" w:cstheme="majorHAnsi"/>
          <w:b/>
          <w:bCs/>
          <w:lang w:val="ro-MD"/>
        </w:rPr>
        <w:t xml:space="preserve"> </w:t>
      </w:r>
      <w:r w:rsidR="006C4209" w:rsidRPr="00EC254E">
        <w:rPr>
          <w:rFonts w:asciiTheme="majorHAnsi" w:hAnsiTheme="majorHAnsi" w:cstheme="majorHAnsi"/>
          <w:b/>
          <w:bCs/>
          <w:lang w:val="ro-MD"/>
        </w:rPr>
        <w:t>Parlamentul</w:t>
      </w:r>
      <w:r w:rsidR="006C4209" w:rsidRPr="009F76CA">
        <w:rPr>
          <w:rFonts w:asciiTheme="majorHAnsi" w:hAnsiTheme="majorHAnsi" w:cstheme="majorHAnsi"/>
          <w:b/>
          <w:bCs/>
          <w:lang w:val="ro-MD"/>
        </w:rPr>
        <w:t>ui Republicii Moldova,</w:t>
      </w:r>
      <w:r w:rsidR="006C4209" w:rsidRPr="009F76CA">
        <w:rPr>
          <w:rFonts w:asciiTheme="majorHAnsi" w:hAnsiTheme="majorHAnsi" w:cstheme="majorHAnsi"/>
          <w:bCs/>
          <w:lang w:val="ro-MD"/>
        </w:rPr>
        <w:t xml:space="preserve"> pentru informare și examinare, după caz, în cadrul Comisiei parlamentare de control al finanțelor publice;</w:t>
      </w:r>
    </w:p>
    <w:p w:rsidR="00CC3867" w:rsidRPr="009F76CA" w:rsidRDefault="00CC3867" w:rsidP="00D6173C">
      <w:pPr>
        <w:pStyle w:val="a4"/>
        <w:spacing w:after="120" w:line="276" w:lineRule="auto"/>
        <w:rPr>
          <w:rFonts w:asciiTheme="majorHAnsi" w:hAnsiTheme="majorHAnsi" w:cstheme="majorHAnsi"/>
          <w:bCs/>
          <w:lang w:val="ro-MD"/>
        </w:rPr>
      </w:pPr>
      <w:r w:rsidRPr="00483FCF">
        <w:rPr>
          <w:rFonts w:asciiTheme="majorHAnsi" w:hAnsiTheme="majorHAnsi" w:cstheme="majorHAnsi"/>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rsidR="006C4209" w:rsidRPr="009F76CA" w:rsidRDefault="00CC3867" w:rsidP="00D6173C">
      <w:pPr>
        <w:pStyle w:val="a4"/>
        <w:spacing w:after="120" w:line="276" w:lineRule="auto"/>
        <w:rPr>
          <w:rFonts w:asciiTheme="majorHAnsi" w:hAnsiTheme="majorHAnsi" w:cstheme="majorHAnsi"/>
          <w:bCs/>
          <w:lang w:val="ro-MD"/>
        </w:rPr>
      </w:pPr>
      <w:r w:rsidRPr="00483FCF">
        <w:rPr>
          <w:rFonts w:asciiTheme="majorHAnsi" w:hAnsiTheme="majorHAnsi" w:cstheme="majorHAnsi"/>
          <w:bCs/>
          <w:lang w:val="ro-MD"/>
        </w:rPr>
        <w:t>2.3.</w:t>
      </w:r>
      <w:r w:rsidRPr="009F76CA">
        <w:rPr>
          <w:rFonts w:asciiTheme="majorHAnsi" w:hAnsiTheme="majorHAnsi" w:cstheme="majorHAnsi"/>
          <w:bCs/>
          <w:lang w:val="ro-MD"/>
        </w:rPr>
        <w:t xml:space="preserve"> </w:t>
      </w:r>
      <w:r w:rsidR="006C4209" w:rsidRPr="009F76CA">
        <w:rPr>
          <w:rFonts w:asciiTheme="majorHAnsi" w:hAnsiTheme="majorHAnsi" w:cstheme="majorHAnsi"/>
          <w:b/>
          <w:lang w:val="ro-MD"/>
        </w:rPr>
        <w:t>Guvernului Republicii Moldova,</w:t>
      </w:r>
      <w:r w:rsidR="006C4209" w:rsidRPr="009F76CA">
        <w:rPr>
          <w:rFonts w:asciiTheme="majorHAnsi" w:hAnsiTheme="majorHAnsi" w:cstheme="majorHAnsi"/>
          <w:lang w:val="ro-MD"/>
        </w:rPr>
        <w:t xml:space="preserve"> pentru</w:t>
      </w:r>
      <w:r w:rsidR="006C4209" w:rsidRPr="009F76CA">
        <w:rPr>
          <w:rFonts w:asciiTheme="majorHAnsi" w:hAnsiTheme="majorHAnsi" w:cstheme="majorHAnsi"/>
          <w:bCs/>
          <w:lang w:val="ro-MD"/>
        </w:rPr>
        <w:t xml:space="preserve"> informare;</w:t>
      </w:r>
    </w:p>
    <w:p w:rsidR="00CC3867" w:rsidRDefault="00CC3867" w:rsidP="00D6173C">
      <w:pPr>
        <w:pStyle w:val="a4"/>
        <w:spacing w:after="120" w:line="276" w:lineRule="auto"/>
        <w:rPr>
          <w:rFonts w:asciiTheme="majorHAnsi" w:hAnsiTheme="majorHAnsi" w:cstheme="majorHAnsi"/>
          <w:color w:val="333333"/>
          <w:shd w:val="clear" w:color="auto" w:fill="FFFFFF"/>
          <w:lang w:val="ro-RO"/>
        </w:rPr>
      </w:pPr>
      <w:r w:rsidRPr="00483FCF">
        <w:rPr>
          <w:rFonts w:asciiTheme="majorHAnsi" w:hAnsiTheme="majorHAnsi"/>
          <w:lang w:val="ro-MD"/>
        </w:rPr>
        <w:t>2.4.</w:t>
      </w:r>
      <w:r w:rsidRPr="00755D18">
        <w:rPr>
          <w:rFonts w:asciiTheme="majorHAnsi" w:hAnsiTheme="majorHAnsi"/>
          <w:lang w:val="ro-MD"/>
        </w:rPr>
        <w:t xml:space="preserve"> </w:t>
      </w:r>
      <w:r>
        <w:rPr>
          <w:rFonts w:asciiTheme="majorHAnsi" w:eastAsiaTheme="minorHAnsi" w:hAnsiTheme="majorHAnsi" w:cstheme="minorBidi"/>
          <w:b/>
          <w:bCs/>
          <w:lang w:val="ro-MD"/>
        </w:rPr>
        <w:t>Ministerului Finanțelor</w:t>
      </w:r>
      <w:r w:rsidRPr="00755D18">
        <w:rPr>
          <w:rFonts w:asciiTheme="majorHAnsi" w:hAnsiTheme="majorHAnsi"/>
          <w:b/>
          <w:lang w:val="ro-MD"/>
        </w:rPr>
        <w:t>,</w:t>
      </w:r>
      <w:r w:rsidRPr="00755D18">
        <w:rPr>
          <w:rFonts w:asciiTheme="majorHAnsi" w:hAnsiTheme="majorHAnsi"/>
          <w:lang w:val="ro-MD"/>
        </w:rPr>
        <w:t xml:space="preserve"> </w:t>
      </w:r>
      <w:r w:rsidR="00F13E6F" w:rsidRPr="00AB3F50">
        <w:rPr>
          <w:rFonts w:asciiTheme="majorHAnsi" w:hAnsiTheme="majorHAnsi" w:cstheme="majorHAnsi"/>
          <w:lang w:val="ro-RO"/>
        </w:rPr>
        <w:t>pentru examinarea rezult</w:t>
      </w:r>
      <w:r w:rsidR="0052263C">
        <w:rPr>
          <w:rFonts w:asciiTheme="majorHAnsi" w:hAnsiTheme="majorHAnsi" w:cstheme="majorHAnsi"/>
          <w:lang w:val="ro-RO"/>
        </w:rPr>
        <w:t xml:space="preserve">atelor auditului public extern </w:t>
      </w:r>
      <w:r w:rsidR="00F13E6F">
        <w:rPr>
          <w:rFonts w:asciiTheme="majorHAnsi" w:hAnsiTheme="majorHAnsi" w:cstheme="majorHAnsi"/>
          <w:lang w:val="ro-RO"/>
        </w:rPr>
        <w:t>și implementarea recomandărilor de audit</w:t>
      </w:r>
      <w:r w:rsidRPr="00446EB5">
        <w:rPr>
          <w:rFonts w:asciiTheme="majorHAnsi" w:hAnsiTheme="majorHAnsi" w:cstheme="majorHAnsi"/>
          <w:color w:val="333333"/>
          <w:shd w:val="clear" w:color="auto" w:fill="FFFFFF"/>
          <w:lang w:val="ro-RO"/>
        </w:rPr>
        <w:t>.</w:t>
      </w:r>
    </w:p>
    <w:p w:rsidR="00CC3867" w:rsidRPr="00F37483" w:rsidRDefault="00CC3867" w:rsidP="00D6173C">
      <w:pPr>
        <w:pStyle w:val="a4"/>
        <w:spacing w:after="120" w:line="276" w:lineRule="auto"/>
        <w:rPr>
          <w:rFonts w:asciiTheme="majorHAnsi" w:hAnsiTheme="majorHAnsi"/>
          <w:lang w:val="ro-MD"/>
        </w:rPr>
      </w:pPr>
      <w:r w:rsidRPr="00170B05">
        <w:rPr>
          <w:rFonts w:asciiTheme="majorHAnsi" w:eastAsiaTheme="minorHAnsi" w:hAnsiTheme="majorHAnsi" w:cstheme="minorBidi"/>
          <w:b/>
          <w:bCs/>
          <w:lang w:val="ro-MD"/>
        </w:rPr>
        <w:t>3.</w:t>
      </w:r>
      <w:r w:rsidRPr="00170B05">
        <w:rPr>
          <w:rFonts w:asciiTheme="majorHAnsi" w:eastAsiaTheme="minorHAnsi" w:hAnsiTheme="majorHAnsi" w:cstheme="minorBidi"/>
          <w:bCs/>
          <w:lang w:val="ro-MD"/>
        </w:rPr>
        <w:t xml:space="preserve"> </w:t>
      </w:r>
      <w:r w:rsidR="00C9778F" w:rsidRPr="00170B05">
        <w:rPr>
          <w:rFonts w:asciiTheme="majorHAnsi" w:eastAsiaTheme="minorHAnsi" w:hAnsiTheme="majorHAnsi" w:cstheme="minorBidi"/>
          <w:bCs/>
          <w:lang w:val="ro-MD"/>
        </w:rPr>
        <w:t>Prin prezenta Hotărâre, se exclude din regim de monitorizare Hotărârea Curții de Conturi nr.</w:t>
      </w:r>
      <w:r w:rsidR="00170B05" w:rsidRPr="00170B05">
        <w:rPr>
          <w:rFonts w:asciiTheme="majorHAnsi" w:eastAsiaTheme="minorHAnsi" w:hAnsiTheme="majorHAnsi" w:cstheme="minorBidi"/>
          <w:bCs/>
          <w:lang w:val="ro-MD"/>
        </w:rPr>
        <w:t xml:space="preserve">23 </w:t>
      </w:r>
      <w:r w:rsidR="00C9778F" w:rsidRPr="00170B05">
        <w:rPr>
          <w:rFonts w:asciiTheme="majorHAnsi" w:eastAsiaTheme="minorHAnsi" w:hAnsiTheme="majorHAnsi" w:cstheme="minorBidi"/>
          <w:bCs/>
          <w:lang w:val="ro-MD"/>
        </w:rPr>
        <w:t xml:space="preserve">din </w:t>
      </w:r>
      <w:r w:rsidR="00170B05" w:rsidRPr="00170B05">
        <w:rPr>
          <w:rFonts w:asciiTheme="majorHAnsi" w:eastAsiaTheme="minorHAnsi" w:hAnsiTheme="majorHAnsi" w:cstheme="minorBidi"/>
          <w:bCs/>
          <w:lang w:val="ro-MD"/>
        </w:rPr>
        <w:t>10</w:t>
      </w:r>
      <w:r w:rsidR="00C9778F" w:rsidRPr="00170B05">
        <w:rPr>
          <w:rFonts w:asciiTheme="majorHAnsi" w:eastAsiaTheme="minorHAnsi" w:hAnsiTheme="majorHAnsi" w:cstheme="minorBidi"/>
          <w:bCs/>
          <w:lang w:val="ro-MD"/>
        </w:rPr>
        <w:t xml:space="preserve"> iunie 2021 „Cu privire la Raportul auditului asupra </w:t>
      </w:r>
      <w:r w:rsidR="00170B05" w:rsidRPr="00170B05">
        <w:rPr>
          <w:rFonts w:asciiTheme="majorHAnsi" w:eastAsiaTheme="minorHAnsi" w:hAnsiTheme="majorHAnsi" w:cstheme="minorBidi"/>
          <w:bCs/>
          <w:lang w:val="ro-MD"/>
        </w:rPr>
        <w:t>rapoartelor financiare consolidate ale Ministerului Finanțelor încheiate la 31 decembrie</w:t>
      </w:r>
      <w:r w:rsidR="00C9778F" w:rsidRPr="00170B05">
        <w:rPr>
          <w:rFonts w:asciiTheme="majorHAnsi" w:eastAsiaTheme="minorHAnsi" w:hAnsiTheme="majorHAnsi" w:cstheme="minorBidi"/>
          <w:bCs/>
          <w:lang w:val="ro-MD"/>
        </w:rPr>
        <w:t xml:space="preserve"> 2020”, ca urmare a realizării la nivel de </w:t>
      </w:r>
      <w:r w:rsidR="00170B05" w:rsidRPr="00170B05">
        <w:rPr>
          <w:rFonts w:asciiTheme="majorHAnsi" w:eastAsiaTheme="minorHAnsi" w:hAnsiTheme="majorHAnsi" w:cstheme="minorBidi"/>
          <w:bCs/>
          <w:lang w:val="ro-MD"/>
        </w:rPr>
        <w:t>91</w:t>
      </w:r>
      <w:r w:rsidR="00C9778F" w:rsidRPr="00170B05">
        <w:rPr>
          <w:rFonts w:asciiTheme="majorHAnsi" w:eastAsiaTheme="minorHAnsi" w:hAnsiTheme="majorHAnsi" w:cstheme="minorBidi"/>
          <w:bCs/>
          <w:lang w:val="ro-MD"/>
        </w:rPr>
        <w:t xml:space="preserve">% a recomandărilor înaintate în cadrul misiunii de audit precedente și a reiterării celor implementate </w:t>
      </w:r>
      <w:r w:rsidR="00C9778F" w:rsidRPr="00F37483">
        <w:rPr>
          <w:rFonts w:asciiTheme="majorHAnsi" w:eastAsiaTheme="minorHAnsi" w:hAnsiTheme="majorHAnsi" w:cstheme="minorBidi"/>
          <w:bCs/>
          <w:lang w:val="ro-MD"/>
        </w:rPr>
        <w:t>parțial.</w:t>
      </w:r>
    </w:p>
    <w:p w:rsidR="003674D0" w:rsidRDefault="00CC3867" w:rsidP="00D6173C">
      <w:pPr>
        <w:pStyle w:val="a4"/>
        <w:spacing w:after="120" w:line="276" w:lineRule="auto"/>
        <w:rPr>
          <w:rFonts w:asciiTheme="majorHAnsi" w:hAnsiTheme="majorHAnsi"/>
          <w:bCs/>
          <w:lang w:val="ro-RO"/>
        </w:rPr>
      </w:pPr>
      <w:r w:rsidRPr="00F37483">
        <w:rPr>
          <w:rFonts w:asciiTheme="majorHAnsi" w:hAnsiTheme="majorHAnsi"/>
          <w:b/>
          <w:bCs/>
          <w:lang w:val="ro-RO"/>
        </w:rPr>
        <w:t>4.</w:t>
      </w:r>
      <w:r w:rsidRPr="00F37483">
        <w:rPr>
          <w:rFonts w:asciiTheme="majorHAnsi" w:hAnsiTheme="majorHAnsi"/>
          <w:bCs/>
          <w:lang w:val="ro-RO"/>
        </w:rPr>
        <w:t xml:space="preserve"> </w:t>
      </w:r>
      <w:r w:rsidR="003851B8" w:rsidRPr="00F37483">
        <w:rPr>
          <w:rFonts w:asciiTheme="majorHAnsi" w:hAnsiTheme="majorHAnsi"/>
          <w:bCs/>
          <w:lang w:val="ro-RO"/>
        </w:rPr>
        <w:t>Se împuterniceș</w:t>
      </w:r>
      <w:r w:rsidR="003674D0" w:rsidRPr="00F37483">
        <w:rPr>
          <w:rFonts w:asciiTheme="majorHAnsi" w:hAnsiTheme="majorHAnsi"/>
          <w:bCs/>
          <w:lang w:val="ro-RO"/>
        </w:rPr>
        <w:t>te m</w:t>
      </w:r>
      <w:r w:rsidR="003851B8" w:rsidRPr="00F37483">
        <w:rPr>
          <w:rFonts w:asciiTheme="majorHAnsi" w:hAnsiTheme="majorHAnsi"/>
          <w:bCs/>
          <w:lang w:val="ro-RO"/>
        </w:rPr>
        <w:t>embrul Curț</w:t>
      </w:r>
      <w:r w:rsidR="003674D0" w:rsidRPr="00F37483">
        <w:rPr>
          <w:rFonts w:asciiTheme="majorHAnsi" w:hAnsiTheme="majorHAnsi"/>
          <w:bCs/>
          <w:lang w:val="ro-RO"/>
        </w:rPr>
        <w:t>ii de Conturi care coordonează sectorul respectiv cu dreptul de a semna Scr</w:t>
      </w:r>
      <w:r w:rsidR="003851B8" w:rsidRPr="00F37483">
        <w:rPr>
          <w:rFonts w:asciiTheme="majorHAnsi" w:hAnsiTheme="majorHAnsi"/>
          <w:bCs/>
          <w:lang w:val="ro-RO"/>
        </w:rPr>
        <w:t>isoarea către conducerea entităț</w:t>
      </w:r>
      <w:r w:rsidR="003674D0" w:rsidRPr="00F37483">
        <w:rPr>
          <w:rFonts w:asciiTheme="majorHAnsi" w:hAnsiTheme="majorHAnsi"/>
          <w:bCs/>
          <w:lang w:val="ro-RO"/>
        </w:rPr>
        <w:t>ii auditate.</w:t>
      </w:r>
    </w:p>
    <w:p w:rsidR="00CC3867" w:rsidRDefault="00CC3867" w:rsidP="00D6173C">
      <w:pPr>
        <w:pStyle w:val="a4"/>
        <w:spacing w:after="120" w:line="276" w:lineRule="auto"/>
        <w:rPr>
          <w:rFonts w:asciiTheme="majorHAnsi" w:hAnsiTheme="majorHAnsi" w:cstheme="majorHAnsi"/>
          <w:lang w:val="ro-MD"/>
        </w:rPr>
      </w:pPr>
      <w:r>
        <w:rPr>
          <w:rFonts w:asciiTheme="majorHAnsi" w:hAnsiTheme="majorHAnsi"/>
          <w:b/>
          <w:bCs/>
          <w:lang w:val="ro-MD"/>
        </w:rPr>
        <w:t>5</w:t>
      </w:r>
      <w:r w:rsidRPr="00755D18">
        <w:rPr>
          <w:rFonts w:asciiTheme="majorHAnsi" w:eastAsiaTheme="minorHAnsi" w:hAnsiTheme="majorHAnsi" w:cstheme="minorBidi"/>
          <w:bCs/>
          <w:lang w:val="ro-MD"/>
        </w:rPr>
        <w:t>. Prezenta</w:t>
      </w:r>
      <w:r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Pr>
          <w:rFonts w:asciiTheme="majorHAnsi" w:hAnsiTheme="majorHAnsi" w:cstheme="majorHAnsi"/>
          <w:lang w:val="ro-MD"/>
        </w:rPr>
        <w:t xml:space="preserve"> </w:t>
      </w:r>
    </w:p>
    <w:p w:rsidR="00CC3867" w:rsidRPr="009F76CA" w:rsidRDefault="00CC3867" w:rsidP="00D6173C">
      <w:pPr>
        <w:pStyle w:val="a4"/>
        <w:spacing w:after="120" w:line="276" w:lineRule="auto"/>
        <w:rPr>
          <w:rFonts w:asciiTheme="majorHAnsi" w:hAnsiTheme="majorHAnsi" w:cstheme="majorHAnsi"/>
          <w:lang w:val="ro-MD"/>
        </w:rPr>
      </w:pPr>
      <w:r>
        <w:rPr>
          <w:rFonts w:asciiTheme="majorHAnsi" w:hAnsiTheme="majorHAnsi" w:cstheme="majorHAnsi"/>
          <w:b/>
          <w:lang w:val="ro-MD"/>
        </w:rPr>
        <w:t>6</w:t>
      </w:r>
      <w:r w:rsidRPr="003D2BE5">
        <w:rPr>
          <w:rFonts w:asciiTheme="majorHAnsi" w:hAnsiTheme="majorHAnsi" w:cstheme="majorHAnsi"/>
          <w:b/>
          <w:lang w:val="ro-MD"/>
        </w:rPr>
        <w:t>.</w:t>
      </w:r>
      <w:r>
        <w:rPr>
          <w:rFonts w:asciiTheme="majorHAnsi" w:hAnsiTheme="majorHAnsi" w:cstheme="majorHAnsi"/>
          <w:lang w:val="ro-MD"/>
        </w:rPr>
        <w:t xml:space="preserve"> </w:t>
      </w:r>
      <w:r w:rsidRPr="004D72E1">
        <w:rPr>
          <w:rFonts w:ascii="Calibri Light" w:hAnsi="Calibri Light" w:cs="Calibri Light"/>
          <w:noProof/>
          <w:lang w:val="ro-MD"/>
        </w:rPr>
        <w:t xml:space="preserve">Curtea de </w:t>
      </w:r>
      <w:r w:rsidRPr="0067238D">
        <w:rPr>
          <w:rFonts w:ascii="Calibri Light" w:hAnsi="Calibri Light" w:cs="Calibri Light"/>
          <w:noProof/>
          <w:lang w:val="ro-MD"/>
        </w:rPr>
        <w:t xml:space="preserve">Conturi va fi informată, în termen de 6 luni din data </w:t>
      </w:r>
      <w:r w:rsidRPr="0067238D">
        <w:rPr>
          <w:rFonts w:ascii="Calibri Light" w:hAnsi="Calibri Light" w:cs="Calibri Light"/>
          <w:noProof/>
          <w:lang w:val="ro-MD" w:eastAsia="ru-RU"/>
        </w:rPr>
        <w:t xml:space="preserve">publicării </w:t>
      </w:r>
      <w:r w:rsidRPr="0067238D">
        <w:rPr>
          <w:rFonts w:ascii="Calibri Light" w:hAnsi="Calibri Light" w:cs="Calibri Light"/>
          <w:noProof/>
          <w:lang w:val="ro-MD"/>
        </w:rPr>
        <w:t>Hotărârii</w:t>
      </w:r>
      <w:r w:rsidRPr="0067238D">
        <w:rPr>
          <w:rFonts w:ascii="Calibri Light" w:hAnsi="Calibri Light" w:cs="Calibri Light"/>
          <w:lang w:val="ro-MD"/>
        </w:rPr>
        <w:t xml:space="preserve"> în Monitorul Oficial al Republicii Moldova,</w:t>
      </w:r>
      <w:r w:rsidRPr="0067238D">
        <w:rPr>
          <w:rFonts w:ascii="Calibri Light" w:hAnsi="Calibri Light" w:cs="Calibri Light"/>
          <w:noProof/>
          <w:lang w:val="ro-MD"/>
        </w:rPr>
        <w:t xml:space="preserve"> despre acțiunile întreprinse pentru executarea subpunct</w:t>
      </w:r>
      <w:r w:rsidR="00C81D2C" w:rsidRPr="0067238D">
        <w:rPr>
          <w:rFonts w:ascii="Calibri Light" w:hAnsi="Calibri Light" w:cs="Calibri Light"/>
          <w:noProof/>
          <w:lang w:val="ro-MD"/>
        </w:rPr>
        <w:t>ului</w:t>
      </w:r>
      <w:r w:rsidRPr="0067238D">
        <w:rPr>
          <w:rFonts w:ascii="Calibri Light" w:hAnsi="Calibri Light" w:cs="Calibri Light"/>
          <w:noProof/>
          <w:lang w:val="ro-MD"/>
        </w:rPr>
        <w:t xml:space="preserve"> 2.4. din prezenta Hotărâre.</w:t>
      </w:r>
    </w:p>
    <w:p w:rsidR="001D1798" w:rsidRDefault="00CC3867" w:rsidP="00D6173C">
      <w:pPr>
        <w:spacing w:after="120" w:line="276" w:lineRule="auto"/>
        <w:ind w:firstLine="567"/>
        <w:jc w:val="both"/>
        <w:rPr>
          <w:rFonts w:asciiTheme="majorHAnsi" w:eastAsia="Times New Roman" w:hAnsiTheme="majorHAnsi" w:cstheme="majorHAnsi"/>
          <w:sz w:val="24"/>
          <w:szCs w:val="24"/>
          <w:lang w:val="ro-MD"/>
        </w:rPr>
      </w:pPr>
      <w:r>
        <w:rPr>
          <w:rFonts w:asciiTheme="majorHAnsi" w:hAnsiTheme="majorHAnsi"/>
          <w:b/>
          <w:bCs/>
          <w:sz w:val="24"/>
          <w:szCs w:val="24"/>
          <w:lang w:val="ro-MD"/>
        </w:rPr>
        <w:t>7</w:t>
      </w:r>
      <w:r w:rsidRPr="001376A5">
        <w:rPr>
          <w:rFonts w:asciiTheme="majorHAnsi" w:hAnsiTheme="majorHAnsi"/>
          <w:b/>
          <w:bCs/>
          <w:sz w:val="24"/>
          <w:szCs w:val="24"/>
          <w:lang w:val="ro-MD"/>
        </w:rPr>
        <w:t>.</w:t>
      </w:r>
      <w:r>
        <w:rPr>
          <w:rFonts w:asciiTheme="majorHAnsi" w:eastAsia="Times New Roman" w:hAnsiTheme="majorHAnsi" w:cs="Times New Roman"/>
          <w:sz w:val="28"/>
          <w:szCs w:val="28"/>
          <w:lang w:val="ro-RO" w:eastAsia="ro-MD"/>
        </w:rPr>
        <w:t xml:space="preserve"> </w:t>
      </w:r>
      <w:r>
        <w:rPr>
          <w:rFonts w:asciiTheme="majorHAnsi" w:hAnsiTheme="majorHAnsi"/>
          <w:sz w:val="24"/>
          <w:szCs w:val="24"/>
          <w:lang w:val="ro-MD"/>
        </w:rPr>
        <w:t xml:space="preserve"> </w:t>
      </w:r>
      <w:r w:rsidRPr="000F0D60">
        <w:rPr>
          <w:rFonts w:asciiTheme="majorHAnsi" w:hAnsiTheme="majorHAnsi"/>
          <w:sz w:val="24"/>
          <w:szCs w:val="24"/>
          <w:lang w:val="ro-MD"/>
        </w:rPr>
        <w:t xml:space="preserve">Hotărârea și Raportul auditului asupra rapoartelor financiare </w:t>
      </w:r>
      <w:r>
        <w:rPr>
          <w:rFonts w:asciiTheme="majorHAnsi" w:hAnsiTheme="majorHAnsi"/>
          <w:sz w:val="24"/>
          <w:szCs w:val="24"/>
          <w:lang w:val="ro-MD"/>
        </w:rPr>
        <w:t xml:space="preserve">consolidate ale Ministerului </w:t>
      </w:r>
      <w:r w:rsidR="00C81D2C">
        <w:rPr>
          <w:rFonts w:asciiTheme="majorHAnsi" w:hAnsiTheme="majorHAnsi"/>
          <w:sz w:val="24"/>
          <w:szCs w:val="24"/>
          <w:lang w:val="ro-MD"/>
        </w:rPr>
        <w:t>Finanțelor</w:t>
      </w:r>
      <w:r>
        <w:rPr>
          <w:rFonts w:asciiTheme="majorHAnsi" w:hAnsiTheme="majorHAnsi"/>
          <w:sz w:val="24"/>
          <w:szCs w:val="24"/>
          <w:lang w:val="ro-MD"/>
        </w:rPr>
        <w:t xml:space="preserve"> </w:t>
      </w:r>
      <w:r w:rsidR="00216E07">
        <w:rPr>
          <w:rFonts w:asciiTheme="majorHAnsi" w:hAnsiTheme="majorHAnsi"/>
          <w:sz w:val="24"/>
          <w:szCs w:val="24"/>
          <w:lang w:val="ro-MD"/>
        </w:rPr>
        <w:t>încheiate la 31 decembrie 2021</w:t>
      </w:r>
      <w:r w:rsidRPr="000F0D60">
        <w:rPr>
          <w:rFonts w:asciiTheme="majorHAnsi" w:hAnsiTheme="majorHAnsi"/>
          <w:sz w:val="24"/>
          <w:szCs w:val="24"/>
          <w:lang w:val="ro-MD"/>
        </w:rPr>
        <w:t xml:space="preserve"> se plasează pe site-ul oficial al Curții de Conturi </w:t>
      </w:r>
      <w:r w:rsidRPr="000F0D60">
        <w:rPr>
          <w:rFonts w:ascii="Calibri Light" w:hAnsi="Calibri Light" w:cs="Calibri Light"/>
          <w:sz w:val="24"/>
          <w:szCs w:val="24"/>
          <w:lang w:val="ro-MD"/>
        </w:rPr>
        <w:t>(</w:t>
      </w:r>
      <w:hyperlink r:id="rId8" w:history="1">
        <w:r w:rsidR="00992E55" w:rsidRPr="00B35B6C">
          <w:rPr>
            <w:rStyle w:val="a3"/>
            <w:rFonts w:asciiTheme="majorHAnsi" w:hAnsiTheme="majorHAnsi"/>
            <w:sz w:val="24"/>
            <w:szCs w:val="24"/>
          </w:rPr>
          <w:t>https://www.ccrm.md/ro/decisions</w:t>
        </w:r>
      </w:hyperlink>
      <w:r w:rsidRPr="000F0D60">
        <w:rPr>
          <w:rFonts w:ascii="Calibri Light" w:hAnsi="Calibri Light" w:cs="Calibri Light"/>
          <w:sz w:val="24"/>
          <w:szCs w:val="24"/>
          <w:lang w:val="ro-MD"/>
        </w:rPr>
        <w:t>).</w:t>
      </w:r>
      <w:r w:rsidR="003F2560" w:rsidRPr="00AB3F50">
        <w:rPr>
          <w:rFonts w:asciiTheme="majorHAnsi" w:eastAsia="Times New Roman" w:hAnsiTheme="majorHAnsi" w:cstheme="majorHAnsi"/>
          <w:sz w:val="24"/>
          <w:szCs w:val="24"/>
          <w:lang w:val="ro-MD"/>
        </w:rPr>
        <w:t xml:space="preserve">     </w:t>
      </w:r>
    </w:p>
    <w:p w:rsidR="00D6173C" w:rsidRDefault="00D6173C" w:rsidP="00D6173C">
      <w:pPr>
        <w:spacing w:after="0" w:line="276" w:lineRule="auto"/>
        <w:jc w:val="right"/>
        <w:rPr>
          <w:rFonts w:asciiTheme="majorHAnsi" w:eastAsia="Times New Roman" w:hAnsiTheme="majorHAnsi" w:cstheme="majorHAnsi"/>
          <w:b/>
          <w:sz w:val="28"/>
          <w:szCs w:val="28"/>
          <w:lang w:val="ro-MD"/>
        </w:rPr>
      </w:pPr>
    </w:p>
    <w:p w:rsidR="00D6173C" w:rsidRDefault="00D6173C" w:rsidP="001A3CDE">
      <w:pPr>
        <w:spacing w:after="0" w:line="276" w:lineRule="auto"/>
        <w:rPr>
          <w:rFonts w:asciiTheme="majorHAnsi" w:eastAsia="Times New Roman" w:hAnsiTheme="majorHAnsi" w:cstheme="majorHAnsi"/>
          <w:b/>
          <w:sz w:val="28"/>
          <w:szCs w:val="28"/>
          <w:lang w:val="ro-MD"/>
        </w:rPr>
      </w:pPr>
    </w:p>
    <w:p w:rsidR="00D6173C" w:rsidRDefault="00D6173C" w:rsidP="00D6173C">
      <w:pPr>
        <w:spacing w:after="0" w:line="276" w:lineRule="auto"/>
        <w:jc w:val="right"/>
        <w:rPr>
          <w:rFonts w:asciiTheme="majorHAnsi" w:eastAsia="Times New Roman" w:hAnsiTheme="majorHAnsi" w:cstheme="majorHAnsi"/>
          <w:b/>
          <w:sz w:val="28"/>
          <w:szCs w:val="28"/>
          <w:lang w:val="ro-MD"/>
        </w:rPr>
      </w:pPr>
    </w:p>
    <w:p w:rsidR="003F2560" w:rsidRPr="00AB3F50" w:rsidRDefault="003F2560" w:rsidP="00D6173C">
      <w:pPr>
        <w:spacing w:after="0" w:line="276" w:lineRule="auto"/>
        <w:jc w:val="right"/>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Marian LUPU,</w:t>
      </w:r>
    </w:p>
    <w:p w:rsidR="003674D0" w:rsidRDefault="003F2560" w:rsidP="00D6173C">
      <w:pPr>
        <w:spacing w:after="0" w:line="276" w:lineRule="auto"/>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 xml:space="preserve">                                                                                                                            Președinte</w:t>
      </w:r>
    </w:p>
    <w:p w:rsidR="001A3CDE" w:rsidRDefault="001A3CDE" w:rsidP="00D6173C">
      <w:pPr>
        <w:spacing w:after="0" w:line="276" w:lineRule="auto"/>
        <w:rPr>
          <w:rFonts w:asciiTheme="majorHAnsi" w:eastAsia="Times New Roman" w:hAnsiTheme="majorHAnsi" w:cstheme="majorHAnsi"/>
          <w:b/>
          <w:sz w:val="28"/>
          <w:szCs w:val="28"/>
          <w:lang w:val="ro-MD"/>
        </w:rPr>
      </w:pPr>
    </w:p>
    <w:p w:rsidR="003674D0" w:rsidRDefault="003674D0" w:rsidP="00D6173C">
      <w:pPr>
        <w:spacing w:after="0" w:line="276" w:lineRule="auto"/>
        <w:rPr>
          <w:rFonts w:asciiTheme="majorHAnsi" w:eastAsia="Times New Roman" w:hAnsiTheme="majorHAnsi" w:cstheme="majorHAnsi"/>
          <w:b/>
          <w:sz w:val="28"/>
          <w:szCs w:val="28"/>
          <w:lang w:val="ro-MD"/>
        </w:rPr>
      </w:pPr>
      <w:bookmarkStart w:id="1" w:name="_GoBack"/>
      <w:bookmarkEnd w:id="1"/>
    </w:p>
    <w:sectPr w:rsidR="003674D0" w:rsidSect="00D6173C">
      <w:headerReference w:type="default" r:id="rId9"/>
      <w:footerReference w:type="default" r:id="rId10"/>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6C" w:rsidRDefault="004C1D6C" w:rsidP="003F2560">
      <w:pPr>
        <w:spacing w:after="0" w:line="240" w:lineRule="auto"/>
      </w:pPr>
      <w:r>
        <w:separator/>
      </w:r>
    </w:p>
  </w:endnote>
  <w:endnote w:type="continuationSeparator" w:id="0">
    <w:p w:rsidR="004C1D6C" w:rsidRDefault="004C1D6C"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7B7D3B">
        <w:pPr>
          <w:pStyle w:val="aa"/>
          <w:jc w:val="right"/>
        </w:pPr>
        <w:r>
          <w:fldChar w:fldCharType="begin"/>
        </w:r>
        <w:r>
          <w:instrText xml:space="preserve"> PAGE   \* MERGEFORMAT </w:instrText>
        </w:r>
        <w:r>
          <w:fldChar w:fldCharType="separate"/>
        </w:r>
        <w:r w:rsidR="004C1D6C">
          <w:rPr>
            <w:noProof/>
          </w:rPr>
          <w:t>1</w:t>
        </w:r>
        <w:r>
          <w:rPr>
            <w:noProof/>
          </w:rPr>
          <w:fldChar w:fldCharType="end"/>
        </w:r>
      </w:p>
    </w:sdtContent>
  </w:sdt>
  <w:p w:rsidR="00CB4882" w:rsidRDefault="004C1D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6C" w:rsidRDefault="004C1D6C" w:rsidP="003F2560">
      <w:pPr>
        <w:spacing w:after="0" w:line="240" w:lineRule="auto"/>
      </w:pPr>
      <w:r>
        <w:separator/>
      </w:r>
    </w:p>
  </w:footnote>
  <w:footnote w:type="continuationSeparator" w:id="0">
    <w:p w:rsidR="004C1D6C" w:rsidRDefault="004C1D6C" w:rsidP="003F2560">
      <w:pPr>
        <w:spacing w:after="0" w:line="240" w:lineRule="auto"/>
      </w:pPr>
      <w:r>
        <w:continuationSeparator/>
      </w:r>
    </w:p>
  </w:footnote>
  <w:footnote w:id="1">
    <w:p w:rsidR="00F4333C" w:rsidRPr="00170B05" w:rsidRDefault="00F4333C" w:rsidP="00992E55">
      <w:pPr>
        <w:pStyle w:val="a7"/>
        <w:jc w:val="both"/>
        <w:rPr>
          <w:rFonts w:asciiTheme="majorHAnsi" w:eastAsia="Times New Roman" w:hAnsiTheme="majorHAnsi" w:cstheme="majorHAnsi"/>
          <w:sz w:val="16"/>
          <w:szCs w:val="16"/>
          <w:lang w:val="ro-MD"/>
        </w:rPr>
      </w:pPr>
      <w:r w:rsidRPr="00170B05">
        <w:rPr>
          <w:rFonts w:asciiTheme="majorHAnsi" w:eastAsia="Times New Roman" w:hAnsiTheme="majorHAnsi" w:cstheme="majorHAnsi"/>
          <w:sz w:val="16"/>
          <w:szCs w:val="16"/>
          <w:vertAlign w:val="superscript"/>
          <w:lang w:val="ro-MD"/>
        </w:rPr>
        <w:footnoteRef/>
      </w:r>
      <w:r w:rsidRPr="00170B05">
        <w:rPr>
          <w:rFonts w:asciiTheme="majorHAnsi" w:eastAsia="Times New Roman" w:hAnsiTheme="majorHAnsi" w:cstheme="majorHAnsi"/>
          <w:sz w:val="16"/>
          <w:szCs w:val="16"/>
          <w:lang w:val="ro-MD"/>
        </w:rPr>
        <w:t xml:space="preserve"> Legea nr.260 din 07.12.2017 privind organizarea și funcționarea Curții de Conturi a Republicii Moldova (în continuare – Legea nr.260 din 07.12.2017).</w:t>
      </w:r>
    </w:p>
  </w:footnote>
  <w:footnote w:id="2">
    <w:p w:rsidR="004A74B7" w:rsidRPr="00170B05" w:rsidRDefault="004A74B7" w:rsidP="001D1798">
      <w:pPr>
        <w:pStyle w:val="a7"/>
        <w:jc w:val="both"/>
        <w:rPr>
          <w:rFonts w:ascii="Calibri Light" w:hAnsi="Calibri Light" w:cs="Calibri Light"/>
          <w:sz w:val="16"/>
          <w:szCs w:val="16"/>
          <w:lang w:val="ro-MD"/>
        </w:rPr>
      </w:pPr>
      <w:r w:rsidRPr="00170B05">
        <w:rPr>
          <w:rFonts w:ascii="Calibri Light" w:hAnsi="Calibri Light" w:cs="Calibri Light"/>
          <w:sz w:val="16"/>
          <w:szCs w:val="16"/>
          <w:vertAlign w:val="superscript"/>
          <w:lang w:val="ro-MD"/>
        </w:rPr>
        <w:footnoteRef/>
      </w:r>
      <w:r w:rsidRPr="00170B05">
        <w:rPr>
          <w:rFonts w:ascii="Calibri Light" w:hAnsi="Calibri Light" w:cs="Calibri Light"/>
          <w:sz w:val="16"/>
          <w:szCs w:val="16"/>
          <w:vertAlign w:val="superscript"/>
          <w:lang w:val="ro-MD"/>
        </w:rPr>
        <w:t xml:space="preserve"> </w:t>
      </w:r>
      <w:r w:rsidRPr="00170B05">
        <w:rPr>
          <w:rFonts w:ascii="Calibri Light" w:hAnsi="Calibri Light" w:cs="Calibri Light"/>
          <w:sz w:val="16"/>
          <w:szCs w:val="16"/>
          <w:lang w:val="ro-MD"/>
        </w:rPr>
        <w:t>Hotărârea Curții de Conturi nr.75 din 28.12.2021 „Privind aprobarea Programului activității de audit a</w:t>
      </w:r>
      <w:r w:rsidR="00992E55">
        <w:rPr>
          <w:rFonts w:ascii="Calibri Light" w:hAnsi="Calibri Light" w:cs="Calibri Light"/>
          <w:sz w:val="16"/>
          <w:szCs w:val="16"/>
          <w:lang w:val="ro-MD"/>
        </w:rPr>
        <w:t>l</w:t>
      </w:r>
      <w:r w:rsidRPr="00170B05">
        <w:rPr>
          <w:rFonts w:ascii="Calibri Light" w:hAnsi="Calibri Light" w:cs="Calibri Light"/>
          <w:sz w:val="16"/>
          <w:szCs w:val="16"/>
          <w:lang w:val="ro-MD"/>
        </w:rPr>
        <w:t xml:space="preserve"> Curții de Conturi pe anul 2022”.</w:t>
      </w:r>
    </w:p>
  </w:footnote>
  <w:footnote w:id="3">
    <w:p w:rsidR="00C9778F" w:rsidRPr="001D1798" w:rsidRDefault="00C9778F" w:rsidP="00170B05">
      <w:pPr>
        <w:pStyle w:val="a7"/>
        <w:jc w:val="both"/>
        <w:rPr>
          <w:rFonts w:asciiTheme="majorHAnsi" w:hAnsiTheme="majorHAnsi"/>
          <w:sz w:val="16"/>
          <w:szCs w:val="16"/>
          <w:lang w:val="ro-MD"/>
        </w:rPr>
      </w:pPr>
      <w:r w:rsidRPr="00170B05">
        <w:rPr>
          <w:rStyle w:val="af3"/>
          <w:rFonts w:asciiTheme="majorHAnsi" w:hAnsiTheme="majorHAnsi"/>
          <w:sz w:val="16"/>
          <w:szCs w:val="16"/>
          <w:lang w:val="ro-MD"/>
        </w:rPr>
        <w:footnoteRef/>
      </w:r>
      <w:r w:rsidRPr="00170B05">
        <w:rPr>
          <w:rFonts w:asciiTheme="majorHAnsi" w:hAnsiTheme="majorHAnsi"/>
          <w:sz w:val="16"/>
          <w:szCs w:val="16"/>
          <w:lang w:val="ro-MD"/>
        </w:rPr>
        <w:t xml:space="preserve"> Hotărârea Curții de Conturi nr.2 din 24.01.2020 „Cu privire la Cadrul Declarațiilor Profesionale ale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4C1D6C" w:rsidP="00AB3F50">
    <w:pPr>
      <w:pStyle w:val="a8"/>
      <w:jc w:val="right"/>
      <w:rPr>
        <w:rFonts w:asciiTheme="majorHAnsi" w:hAnsiTheme="majorHAnsi" w:cstheme="majorHAnsi"/>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45085"/>
    <w:rsid w:val="000905B7"/>
    <w:rsid w:val="0009500F"/>
    <w:rsid w:val="000A51F5"/>
    <w:rsid w:val="000B0975"/>
    <w:rsid w:val="000B6A33"/>
    <w:rsid w:val="000C41F5"/>
    <w:rsid w:val="000D37DD"/>
    <w:rsid w:val="000D519D"/>
    <w:rsid w:val="000E4249"/>
    <w:rsid w:val="000E769F"/>
    <w:rsid w:val="000F2548"/>
    <w:rsid w:val="001001D4"/>
    <w:rsid w:val="001002E7"/>
    <w:rsid w:val="001209DB"/>
    <w:rsid w:val="001214FF"/>
    <w:rsid w:val="001236E6"/>
    <w:rsid w:val="001365C1"/>
    <w:rsid w:val="00141DAE"/>
    <w:rsid w:val="001507C3"/>
    <w:rsid w:val="00170B05"/>
    <w:rsid w:val="00171672"/>
    <w:rsid w:val="0019794E"/>
    <w:rsid w:val="001A3CDE"/>
    <w:rsid w:val="001D1798"/>
    <w:rsid w:val="001E2227"/>
    <w:rsid w:val="00216E07"/>
    <w:rsid w:val="002247DD"/>
    <w:rsid w:val="00237481"/>
    <w:rsid w:val="00255F95"/>
    <w:rsid w:val="002611BF"/>
    <w:rsid w:val="002754A0"/>
    <w:rsid w:val="00287309"/>
    <w:rsid w:val="002A250F"/>
    <w:rsid w:val="002A3C9E"/>
    <w:rsid w:val="002B6645"/>
    <w:rsid w:val="002E770D"/>
    <w:rsid w:val="002E7D6C"/>
    <w:rsid w:val="0030166A"/>
    <w:rsid w:val="00302736"/>
    <w:rsid w:val="0030446A"/>
    <w:rsid w:val="003259B1"/>
    <w:rsid w:val="00345131"/>
    <w:rsid w:val="003674D0"/>
    <w:rsid w:val="003851B8"/>
    <w:rsid w:val="003855BF"/>
    <w:rsid w:val="00390BE1"/>
    <w:rsid w:val="003943F7"/>
    <w:rsid w:val="003968D5"/>
    <w:rsid w:val="003A2DBB"/>
    <w:rsid w:val="003B1B66"/>
    <w:rsid w:val="003B6B9F"/>
    <w:rsid w:val="003B7DC2"/>
    <w:rsid w:val="003D0AAD"/>
    <w:rsid w:val="003F2560"/>
    <w:rsid w:val="00426047"/>
    <w:rsid w:val="0043547E"/>
    <w:rsid w:val="00483FCF"/>
    <w:rsid w:val="00484300"/>
    <w:rsid w:val="00485090"/>
    <w:rsid w:val="004903F9"/>
    <w:rsid w:val="0049739A"/>
    <w:rsid w:val="004A2F0D"/>
    <w:rsid w:val="004A74B7"/>
    <w:rsid w:val="004A7BFF"/>
    <w:rsid w:val="004B1DC0"/>
    <w:rsid w:val="004C135D"/>
    <w:rsid w:val="004C1D6C"/>
    <w:rsid w:val="004D5FEA"/>
    <w:rsid w:val="004E47E6"/>
    <w:rsid w:val="004E4C41"/>
    <w:rsid w:val="004E63AF"/>
    <w:rsid w:val="00513C97"/>
    <w:rsid w:val="00520790"/>
    <w:rsid w:val="00520E57"/>
    <w:rsid w:val="0052263C"/>
    <w:rsid w:val="00522EF5"/>
    <w:rsid w:val="00542317"/>
    <w:rsid w:val="00552800"/>
    <w:rsid w:val="005552B7"/>
    <w:rsid w:val="00556A42"/>
    <w:rsid w:val="0056269A"/>
    <w:rsid w:val="005633A9"/>
    <w:rsid w:val="005724C0"/>
    <w:rsid w:val="00592518"/>
    <w:rsid w:val="00596779"/>
    <w:rsid w:val="005D22BD"/>
    <w:rsid w:val="005F0326"/>
    <w:rsid w:val="006052F4"/>
    <w:rsid w:val="00625E68"/>
    <w:rsid w:val="00635078"/>
    <w:rsid w:val="0067238D"/>
    <w:rsid w:val="006C4209"/>
    <w:rsid w:val="006C6F2F"/>
    <w:rsid w:val="006E2CBF"/>
    <w:rsid w:val="006E6C1A"/>
    <w:rsid w:val="00746BB0"/>
    <w:rsid w:val="00751B2F"/>
    <w:rsid w:val="007674F9"/>
    <w:rsid w:val="00772195"/>
    <w:rsid w:val="007733FA"/>
    <w:rsid w:val="00774BC0"/>
    <w:rsid w:val="00777062"/>
    <w:rsid w:val="007871AF"/>
    <w:rsid w:val="007957BA"/>
    <w:rsid w:val="007A49D6"/>
    <w:rsid w:val="007B7D3B"/>
    <w:rsid w:val="007C31A0"/>
    <w:rsid w:val="0081765B"/>
    <w:rsid w:val="008202BC"/>
    <w:rsid w:val="008206DA"/>
    <w:rsid w:val="008324B8"/>
    <w:rsid w:val="00836E12"/>
    <w:rsid w:val="008561AF"/>
    <w:rsid w:val="008707C1"/>
    <w:rsid w:val="008914ED"/>
    <w:rsid w:val="00896A15"/>
    <w:rsid w:val="008A4586"/>
    <w:rsid w:val="008F0CA0"/>
    <w:rsid w:val="008F1D8C"/>
    <w:rsid w:val="009106C8"/>
    <w:rsid w:val="009141D2"/>
    <w:rsid w:val="00925451"/>
    <w:rsid w:val="00943BC6"/>
    <w:rsid w:val="00956D7A"/>
    <w:rsid w:val="009605A6"/>
    <w:rsid w:val="009872F0"/>
    <w:rsid w:val="00992E55"/>
    <w:rsid w:val="0099377B"/>
    <w:rsid w:val="009A528E"/>
    <w:rsid w:val="009D3660"/>
    <w:rsid w:val="009E2BEC"/>
    <w:rsid w:val="00A077B3"/>
    <w:rsid w:val="00A24FED"/>
    <w:rsid w:val="00A276E6"/>
    <w:rsid w:val="00A60AC1"/>
    <w:rsid w:val="00A60FC2"/>
    <w:rsid w:val="00A64775"/>
    <w:rsid w:val="00A71ECE"/>
    <w:rsid w:val="00A72F46"/>
    <w:rsid w:val="00A85294"/>
    <w:rsid w:val="00AA50B5"/>
    <w:rsid w:val="00AB6097"/>
    <w:rsid w:val="00AF0DF7"/>
    <w:rsid w:val="00AF1792"/>
    <w:rsid w:val="00AF5125"/>
    <w:rsid w:val="00AF7055"/>
    <w:rsid w:val="00B10A6D"/>
    <w:rsid w:val="00B31E6D"/>
    <w:rsid w:val="00B41DAB"/>
    <w:rsid w:val="00B64098"/>
    <w:rsid w:val="00B96DA1"/>
    <w:rsid w:val="00BC1A8F"/>
    <w:rsid w:val="00BD475D"/>
    <w:rsid w:val="00BE4E23"/>
    <w:rsid w:val="00BF4841"/>
    <w:rsid w:val="00C01CB0"/>
    <w:rsid w:val="00C153B3"/>
    <w:rsid w:val="00C7768B"/>
    <w:rsid w:val="00C80ACA"/>
    <w:rsid w:val="00C81D2C"/>
    <w:rsid w:val="00C90DCD"/>
    <w:rsid w:val="00C9354A"/>
    <w:rsid w:val="00C97530"/>
    <w:rsid w:val="00C9778F"/>
    <w:rsid w:val="00CB2119"/>
    <w:rsid w:val="00CB52AA"/>
    <w:rsid w:val="00CC3867"/>
    <w:rsid w:val="00CE646B"/>
    <w:rsid w:val="00CF021B"/>
    <w:rsid w:val="00CF1157"/>
    <w:rsid w:val="00CF2426"/>
    <w:rsid w:val="00D01402"/>
    <w:rsid w:val="00D3467D"/>
    <w:rsid w:val="00D465C0"/>
    <w:rsid w:val="00D474B0"/>
    <w:rsid w:val="00D54E76"/>
    <w:rsid w:val="00D564B4"/>
    <w:rsid w:val="00D6173C"/>
    <w:rsid w:val="00D64955"/>
    <w:rsid w:val="00D7600E"/>
    <w:rsid w:val="00D91030"/>
    <w:rsid w:val="00DC40E7"/>
    <w:rsid w:val="00DD6D97"/>
    <w:rsid w:val="00DE1553"/>
    <w:rsid w:val="00DE440A"/>
    <w:rsid w:val="00DE59B2"/>
    <w:rsid w:val="00E04171"/>
    <w:rsid w:val="00E10F69"/>
    <w:rsid w:val="00E14B61"/>
    <w:rsid w:val="00E16064"/>
    <w:rsid w:val="00E171C0"/>
    <w:rsid w:val="00E32AA9"/>
    <w:rsid w:val="00E40457"/>
    <w:rsid w:val="00E43C57"/>
    <w:rsid w:val="00E55911"/>
    <w:rsid w:val="00E67A99"/>
    <w:rsid w:val="00E87648"/>
    <w:rsid w:val="00EA2705"/>
    <w:rsid w:val="00EA5792"/>
    <w:rsid w:val="00EC09EF"/>
    <w:rsid w:val="00EC72F6"/>
    <w:rsid w:val="00EE17D5"/>
    <w:rsid w:val="00EF2DB7"/>
    <w:rsid w:val="00EF47F3"/>
    <w:rsid w:val="00F024A7"/>
    <w:rsid w:val="00F13E6F"/>
    <w:rsid w:val="00F32450"/>
    <w:rsid w:val="00F37483"/>
    <w:rsid w:val="00F4333C"/>
    <w:rsid w:val="00F6598B"/>
    <w:rsid w:val="00F71236"/>
    <w:rsid w:val="00F77CAB"/>
    <w:rsid w:val="00F86CF9"/>
    <w:rsid w:val="00F961EA"/>
    <w:rsid w:val="00FA17F6"/>
    <w:rsid w:val="00FC6ABA"/>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560"/>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3F2560"/>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F2560"/>
    <w:pPr>
      <w:spacing w:after="0" w:line="240" w:lineRule="auto"/>
    </w:pPr>
    <w:rPr>
      <w:sz w:val="20"/>
      <w:szCs w:val="20"/>
    </w:rPr>
  </w:style>
  <w:style w:type="character" w:customStyle="1" w:styleId="FootnoteTextChar1">
    <w:name w:val="Footnote Text Char1"/>
    <w:basedOn w:val="a0"/>
    <w:uiPriority w:val="99"/>
    <w:semiHidden/>
    <w:rsid w:val="003F2560"/>
    <w:rPr>
      <w:sz w:val="20"/>
      <w:szCs w:val="20"/>
    </w:rPr>
  </w:style>
  <w:style w:type="paragraph" w:customStyle="1" w:styleId="cn">
    <w:name w:val="cn"/>
    <w:basedOn w:val="a"/>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F2560"/>
    <w:pPr>
      <w:spacing w:line="240" w:lineRule="exact"/>
    </w:pPr>
    <w:rPr>
      <w:vertAlign w:val="superscript"/>
      <w:lang w:val="ro-MD"/>
    </w:rPr>
  </w:style>
  <w:style w:type="paragraph" w:customStyle="1" w:styleId="cp">
    <w:name w:val="cp"/>
    <w:basedOn w:val="a"/>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F2560"/>
    <w:rPr>
      <w:vertAlign w:val="superscript"/>
      <w:lang w:val="ro-MD"/>
    </w:rPr>
  </w:style>
  <w:style w:type="paragraph" w:styleId="a8">
    <w:name w:val="header"/>
    <w:basedOn w:val="a"/>
    <w:link w:val="a9"/>
    <w:uiPriority w:val="99"/>
    <w:unhideWhenUsed/>
    <w:rsid w:val="003F2560"/>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F2560"/>
  </w:style>
  <w:style w:type="paragraph" w:styleId="aa">
    <w:name w:val="footer"/>
    <w:basedOn w:val="a"/>
    <w:link w:val="ab"/>
    <w:uiPriority w:val="99"/>
    <w:unhideWhenUsed/>
    <w:rsid w:val="003F2560"/>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F2560"/>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F2560"/>
    <w:rPr>
      <w:rFonts w:ascii="Times New Roman" w:eastAsia="Times New Roman" w:hAnsi="Times New Roman" w:cs="Times New Roman"/>
      <w:sz w:val="24"/>
      <w:szCs w:val="24"/>
    </w:rPr>
  </w:style>
  <w:style w:type="character" w:styleId="ac">
    <w:name w:val="annotation reference"/>
    <w:basedOn w:val="a0"/>
    <w:uiPriority w:val="99"/>
    <w:semiHidden/>
    <w:unhideWhenUsed/>
    <w:rsid w:val="00FC6ABA"/>
    <w:rPr>
      <w:sz w:val="16"/>
      <w:szCs w:val="16"/>
    </w:rPr>
  </w:style>
  <w:style w:type="paragraph" w:styleId="ad">
    <w:name w:val="annotation text"/>
    <w:basedOn w:val="a"/>
    <w:link w:val="ae"/>
    <w:uiPriority w:val="99"/>
    <w:semiHidden/>
    <w:unhideWhenUsed/>
    <w:rsid w:val="00FC6ABA"/>
    <w:pPr>
      <w:spacing w:line="240" w:lineRule="auto"/>
    </w:pPr>
    <w:rPr>
      <w:sz w:val="20"/>
      <w:szCs w:val="20"/>
    </w:rPr>
  </w:style>
  <w:style w:type="character" w:customStyle="1" w:styleId="ae">
    <w:name w:val="Текст примечания Знак"/>
    <w:basedOn w:val="a0"/>
    <w:link w:val="ad"/>
    <w:uiPriority w:val="99"/>
    <w:semiHidden/>
    <w:rsid w:val="00FC6ABA"/>
    <w:rPr>
      <w:sz w:val="20"/>
      <w:szCs w:val="20"/>
    </w:rPr>
  </w:style>
  <w:style w:type="paragraph" w:styleId="af">
    <w:name w:val="annotation subject"/>
    <w:basedOn w:val="ad"/>
    <w:next w:val="ad"/>
    <w:link w:val="af0"/>
    <w:uiPriority w:val="99"/>
    <w:semiHidden/>
    <w:unhideWhenUsed/>
    <w:rsid w:val="00FC6ABA"/>
    <w:rPr>
      <w:b/>
      <w:bCs/>
    </w:rPr>
  </w:style>
  <w:style w:type="character" w:customStyle="1" w:styleId="af0">
    <w:name w:val="Тема примечания Знак"/>
    <w:basedOn w:val="ae"/>
    <w:link w:val="af"/>
    <w:uiPriority w:val="99"/>
    <w:semiHidden/>
    <w:rsid w:val="00FC6ABA"/>
    <w:rPr>
      <w:b/>
      <w:bCs/>
      <w:sz w:val="20"/>
      <w:szCs w:val="20"/>
    </w:rPr>
  </w:style>
  <w:style w:type="paragraph" w:styleId="af1">
    <w:name w:val="Balloon Text"/>
    <w:basedOn w:val="a"/>
    <w:link w:val="af2"/>
    <w:uiPriority w:val="99"/>
    <w:semiHidden/>
    <w:unhideWhenUsed/>
    <w:rsid w:val="00FC6A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C6ABA"/>
    <w:rPr>
      <w:rFonts w:ascii="Segoe UI" w:hAnsi="Segoe UI" w:cs="Segoe UI"/>
      <w:sz w:val="18"/>
      <w:szCs w:val="18"/>
    </w:rPr>
  </w:style>
  <w:style w:type="character" w:styleId="af3">
    <w:name w:val="footnote reference"/>
    <w:basedOn w:val="a0"/>
    <w:uiPriority w:val="99"/>
    <w:semiHidden/>
    <w:unhideWhenUsed/>
    <w:rsid w:val="00C97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4200">
      <w:bodyDiv w:val="1"/>
      <w:marLeft w:val="0"/>
      <w:marRight w:val="0"/>
      <w:marTop w:val="0"/>
      <w:marBottom w:val="0"/>
      <w:divBdr>
        <w:top w:val="none" w:sz="0" w:space="0" w:color="auto"/>
        <w:left w:val="none" w:sz="0" w:space="0" w:color="auto"/>
        <w:bottom w:val="none" w:sz="0" w:space="0" w:color="auto"/>
        <w:right w:val="none" w:sz="0" w:space="0" w:color="auto"/>
      </w:divBdr>
    </w:div>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CA5A-FEC8-49FE-9944-A3E82E23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3</cp:revision>
  <cp:lastPrinted>2022-05-31T10:45:00Z</cp:lastPrinted>
  <dcterms:created xsi:type="dcterms:W3CDTF">2022-06-03T08:43:00Z</dcterms:created>
  <dcterms:modified xsi:type="dcterms:W3CDTF">2022-06-03T09:19:00Z</dcterms:modified>
</cp:coreProperties>
</file>