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4D84" w14:textId="77777777" w:rsidR="00723DA7" w:rsidRPr="00967339" w:rsidRDefault="00723DA7" w:rsidP="00023A8F">
      <w:pPr>
        <w:tabs>
          <w:tab w:val="left" w:pos="720"/>
        </w:tabs>
        <w:spacing w:line="276" w:lineRule="auto"/>
        <w:jc w:val="right"/>
        <w:rPr>
          <w:rFonts w:asciiTheme="majorHAnsi" w:hAnsiTheme="majorHAnsi" w:cstheme="majorHAnsi"/>
          <w:bCs/>
          <w:noProof/>
        </w:rPr>
      </w:pPr>
      <w:bookmarkStart w:id="0" w:name="_GoBack"/>
      <w:bookmarkEnd w:id="0"/>
      <w:r w:rsidRPr="00967339">
        <w:rPr>
          <w:rFonts w:asciiTheme="majorHAnsi" w:hAnsiTheme="majorHAnsi" w:cstheme="majorHAnsi"/>
          <w:bCs/>
          <w:noProof/>
        </w:rPr>
        <w:t xml:space="preserve">Anexă </w:t>
      </w:r>
    </w:p>
    <w:p w14:paraId="1D8E7ED9" w14:textId="77777777" w:rsidR="00723DA7" w:rsidRPr="00967339" w:rsidRDefault="00723DA7" w:rsidP="00023A8F">
      <w:pPr>
        <w:tabs>
          <w:tab w:val="left" w:pos="720"/>
        </w:tabs>
        <w:spacing w:line="276" w:lineRule="auto"/>
        <w:jc w:val="right"/>
        <w:rPr>
          <w:rFonts w:asciiTheme="majorHAnsi" w:hAnsiTheme="majorHAnsi" w:cstheme="majorHAnsi"/>
          <w:bCs/>
          <w:noProof/>
        </w:rPr>
      </w:pPr>
      <w:r w:rsidRPr="00967339">
        <w:rPr>
          <w:rFonts w:asciiTheme="majorHAnsi" w:hAnsiTheme="majorHAnsi" w:cstheme="majorHAnsi"/>
          <w:bCs/>
          <w:noProof/>
        </w:rPr>
        <w:t xml:space="preserve">la Hotărârea Curții de Conturi </w:t>
      </w:r>
    </w:p>
    <w:p w14:paraId="7EA4FFA7" w14:textId="6D9F31A6" w:rsidR="00723DA7" w:rsidRPr="00967339" w:rsidRDefault="00DD3D2D" w:rsidP="00023A8F">
      <w:pPr>
        <w:tabs>
          <w:tab w:val="left" w:pos="720"/>
        </w:tabs>
        <w:spacing w:line="276" w:lineRule="auto"/>
        <w:jc w:val="right"/>
        <w:rPr>
          <w:rFonts w:asciiTheme="majorHAnsi" w:hAnsiTheme="majorHAnsi" w:cstheme="majorHAnsi"/>
          <w:bCs/>
          <w:noProof/>
          <w:color w:val="1F4E79"/>
        </w:rPr>
      </w:pPr>
      <w:r w:rsidRPr="00967339">
        <w:rPr>
          <w:rFonts w:asciiTheme="majorHAnsi" w:hAnsiTheme="majorHAnsi" w:cstheme="majorHAnsi"/>
          <w:bCs/>
          <w:noProof/>
        </w:rPr>
        <w:t>nr.</w:t>
      </w:r>
      <w:r w:rsidR="00CA5E8E">
        <w:rPr>
          <w:rFonts w:asciiTheme="majorHAnsi" w:hAnsiTheme="majorHAnsi" w:cstheme="majorHAnsi"/>
          <w:bCs/>
          <w:noProof/>
        </w:rPr>
        <w:t>35</w:t>
      </w:r>
      <w:r w:rsidRPr="00967339">
        <w:rPr>
          <w:rFonts w:asciiTheme="majorHAnsi" w:hAnsiTheme="majorHAnsi" w:cstheme="majorHAnsi"/>
          <w:bCs/>
          <w:noProof/>
        </w:rPr>
        <w:t xml:space="preserve"> </w:t>
      </w:r>
      <w:r w:rsidR="00723DA7" w:rsidRPr="00967339">
        <w:rPr>
          <w:rFonts w:asciiTheme="majorHAnsi" w:hAnsiTheme="majorHAnsi" w:cstheme="majorHAnsi"/>
          <w:bCs/>
          <w:noProof/>
        </w:rPr>
        <w:t xml:space="preserve">din </w:t>
      </w:r>
      <w:r w:rsidR="006B12FE" w:rsidRPr="00967339">
        <w:rPr>
          <w:rFonts w:asciiTheme="majorHAnsi" w:hAnsiTheme="majorHAnsi" w:cstheme="majorHAnsi"/>
          <w:bCs/>
          <w:noProof/>
        </w:rPr>
        <w:t>2</w:t>
      </w:r>
      <w:r w:rsidR="00116B52" w:rsidRPr="00967339">
        <w:rPr>
          <w:rFonts w:asciiTheme="majorHAnsi" w:hAnsiTheme="majorHAnsi" w:cstheme="majorHAnsi"/>
          <w:bCs/>
          <w:noProof/>
        </w:rPr>
        <w:t>8</w:t>
      </w:r>
      <w:r w:rsidR="00723DA7" w:rsidRPr="00967339">
        <w:rPr>
          <w:rFonts w:asciiTheme="majorHAnsi" w:hAnsiTheme="majorHAnsi" w:cstheme="majorHAnsi"/>
          <w:bCs/>
          <w:noProof/>
        </w:rPr>
        <w:t xml:space="preserve"> </w:t>
      </w:r>
      <w:r w:rsidR="00D87992" w:rsidRPr="00967339">
        <w:rPr>
          <w:rFonts w:asciiTheme="majorHAnsi" w:hAnsiTheme="majorHAnsi" w:cstheme="majorHAnsi"/>
          <w:bCs/>
          <w:noProof/>
        </w:rPr>
        <w:t>iu</w:t>
      </w:r>
      <w:r w:rsidR="00116B52" w:rsidRPr="00967339">
        <w:rPr>
          <w:rFonts w:asciiTheme="majorHAnsi" w:hAnsiTheme="majorHAnsi" w:cstheme="majorHAnsi"/>
          <w:bCs/>
          <w:noProof/>
        </w:rPr>
        <w:t>lie</w:t>
      </w:r>
      <w:r w:rsidR="00D87992" w:rsidRPr="00967339">
        <w:rPr>
          <w:rFonts w:asciiTheme="majorHAnsi" w:hAnsiTheme="majorHAnsi" w:cstheme="majorHAnsi"/>
          <w:bCs/>
          <w:noProof/>
        </w:rPr>
        <w:t xml:space="preserve"> 202</w:t>
      </w:r>
      <w:r w:rsidR="00116B52" w:rsidRPr="00967339">
        <w:rPr>
          <w:rFonts w:asciiTheme="majorHAnsi" w:hAnsiTheme="majorHAnsi" w:cstheme="majorHAnsi"/>
          <w:bCs/>
          <w:noProof/>
        </w:rPr>
        <w:t>2</w:t>
      </w:r>
      <w:r w:rsidR="00723DA7" w:rsidRPr="00967339">
        <w:rPr>
          <w:rFonts w:asciiTheme="majorHAnsi" w:hAnsiTheme="majorHAnsi" w:cstheme="majorHAnsi"/>
          <w:bCs/>
          <w:noProof/>
        </w:rPr>
        <w:t xml:space="preserve"> </w:t>
      </w:r>
    </w:p>
    <w:p w14:paraId="1AF0AC0C" w14:textId="77777777" w:rsidR="00723DA7" w:rsidRPr="00967339" w:rsidRDefault="00723DA7" w:rsidP="00023A8F">
      <w:pPr>
        <w:spacing w:line="276" w:lineRule="auto"/>
        <w:jc w:val="center"/>
        <w:rPr>
          <w:rFonts w:asciiTheme="majorHAnsi" w:hAnsiTheme="majorHAnsi" w:cstheme="majorHAnsi"/>
          <w:b/>
          <w:noProof/>
        </w:rPr>
      </w:pPr>
    </w:p>
    <w:p w14:paraId="1E04FDEF" w14:textId="77777777" w:rsidR="00723DA7" w:rsidRPr="00967339" w:rsidRDefault="00723DA7" w:rsidP="00023A8F">
      <w:pPr>
        <w:spacing w:line="276" w:lineRule="auto"/>
        <w:rPr>
          <w:rFonts w:asciiTheme="majorHAnsi" w:hAnsiTheme="majorHAnsi" w:cstheme="majorHAnsi"/>
          <w:noProof/>
        </w:rPr>
      </w:pPr>
    </w:p>
    <w:p w14:paraId="408E8ECB"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3808DAD6"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val="ru-RU"/>
        </w:rPr>
        <w:drawing>
          <wp:inline distT="0" distB="0" distL="0" distR="0" wp14:anchorId="1F868C6F" wp14:editId="07C64702">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46C01C75"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531090BD"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3D8D9381"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7B608477"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eastAsia="en-US"/>
        </w:rPr>
        <w:t>CURTEA DE CONTURI A REPUBLICII MOLDOVA</w:t>
      </w:r>
    </w:p>
    <w:p w14:paraId="40C6C9CF" w14:textId="77777777" w:rsidR="008E509E" w:rsidRPr="00967339" w:rsidRDefault="008E509E" w:rsidP="00023A8F">
      <w:pPr>
        <w:tabs>
          <w:tab w:val="left" w:pos="720"/>
        </w:tabs>
        <w:spacing w:line="276" w:lineRule="auto"/>
        <w:jc w:val="center"/>
        <w:rPr>
          <w:rFonts w:asciiTheme="majorHAnsi" w:hAnsiTheme="majorHAnsi" w:cstheme="majorHAnsi"/>
          <w:noProof/>
          <w:lang w:eastAsia="en-US"/>
        </w:rPr>
      </w:pPr>
    </w:p>
    <w:p w14:paraId="2538D85A"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p w14:paraId="10D0B97C"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967339" w14:paraId="53C3434C" w14:textId="77777777" w:rsidTr="002E2F16">
        <w:trPr>
          <w:trHeight w:val="435"/>
        </w:trPr>
        <w:tc>
          <w:tcPr>
            <w:tcW w:w="9350" w:type="dxa"/>
          </w:tcPr>
          <w:p w14:paraId="326873C8" w14:textId="77777777" w:rsidR="008E509E" w:rsidRPr="005C0B3C" w:rsidRDefault="008E509E" w:rsidP="00023A8F">
            <w:pPr>
              <w:tabs>
                <w:tab w:val="left" w:pos="720"/>
              </w:tabs>
              <w:spacing w:line="276" w:lineRule="auto"/>
              <w:jc w:val="center"/>
              <w:rPr>
                <w:rFonts w:asciiTheme="majorHAnsi" w:hAnsiTheme="majorHAnsi" w:cstheme="majorHAnsi"/>
                <w:noProof/>
                <w:lang w:eastAsia="en-US"/>
              </w:rPr>
            </w:pPr>
            <w:r w:rsidRPr="005C0B3C">
              <w:rPr>
                <w:rFonts w:asciiTheme="majorHAnsi" w:hAnsiTheme="majorHAnsi" w:cstheme="majorHAnsi"/>
                <w:noProof/>
                <w:lang w:eastAsia="en-US"/>
              </w:rPr>
              <w:t xml:space="preserve">MD-2001, mun. Chișinău, bd. Ștefan cel Mare și Sfânt nr.69, tel.: (+373) 22 23 25 79, fax: (+373) 22 23 30 20, </w:t>
            </w:r>
          </w:p>
          <w:p w14:paraId="6C2EA029" w14:textId="77777777" w:rsidR="008E509E" w:rsidRPr="00967339" w:rsidRDefault="00DF4216" w:rsidP="00023A8F">
            <w:pPr>
              <w:tabs>
                <w:tab w:val="left" w:pos="720"/>
              </w:tabs>
              <w:spacing w:line="276" w:lineRule="auto"/>
              <w:jc w:val="center"/>
              <w:rPr>
                <w:rFonts w:asciiTheme="majorHAnsi" w:hAnsiTheme="majorHAnsi" w:cstheme="majorHAnsi"/>
                <w:b/>
                <w:bCs/>
                <w:noProof/>
                <w:lang w:eastAsia="en-US"/>
              </w:rPr>
            </w:pPr>
            <w:hyperlink r:id="rId9" w:history="1">
              <w:r w:rsidR="008E509E" w:rsidRPr="005C0B3C">
                <w:rPr>
                  <w:rStyle w:val="af0"/>
                  <w:rFonts w:asciiTheme="majorHAnsi" w:hAnsiTheme="majorHAnsi" w:cstheme="majorHAnsi"/>
                  <w:noProof/>
                  <w:lang w:eastAsia="en-US"/>
                </w:rPr>
                <w:t>www.ccrm.md</w:t>
              </w:r>
            </w:hyperlink>
            <w:r w:rsidR="008E509E" w:rsidRPr="005C0B3C">
              <w:rPr>
                <w:rFonts w:asciiTheme="majorHAnsi" w:hAnsiTheme="majorHAnsi" w:cstheme="majorHAnsi"/>
                <w:noProof/>
                <w:u w:val="single"/>
                <w:lang w:eastAsia="en-US"/>
              </w:rPr>
              <w:t xml:space="preserve">; </w:t>
            </w:r>
            <w:r w:rsidR="008E509E" w:rsidRPr="005C0B3C">
              <w:rPr>
                <w:rFonts w:asciiTheme="majorHAnsi" w:hAnsiTheme="majorHAnsi" w:cstheme="majorHAnsi"/>
                <w:noProof/>
                <w:lang w:eastAsia="en-US"/>
              </w:rPr>
              <w:t xml:space="preserve">e-mail: </w:t>
            </w:r>
            <w:hyperlink r:id="rId10" w:history="1">
              <w:r w:rsidR="008E509E" w:rsidRPr="005C0B3C">
                <w:rPr>
                  <w:rStyle w:val="af0"/>
                  <w:rFonts w:asciiTheme="majorHAnsi" w:hAnsiTheme="majorHAnsi" w:cstheme="majorHAnsi"/>
                  <w:noProof/>
                  <w:lang w:eastAsia="en-US"/>
                </w:rPr>
                <w:t>ccrm@ccrm.md</w:t>
              </w:r>
            </w:hyperlink>
          </w:p>
        </w:tc>
      </w:tr>
    </w:tbl>
    <w:p w14:paraId="04F9A4F0"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p w14:paraId="783934FF"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45B3021D"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7F64E687"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5CECBAA2"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00C0C0C8" w14:textId="77777777" w:rsidR="00723DA7"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RAPORTUL</w:t>
      </w:r>
    </w:p>
    <w:p w14:paraId="7DB069A8" w14:textId="77777777" w:rsidR="0047622D"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 xml:space="preserve">auditului </w:t>
      </w:r>
      <w:r w:rsidR="0098616C" w:rsidRPr="00967339">
        <w:rPr>
          <w:rFonts w:asciiTheme="majorHAnsi" w:hAnsiTheme="majorHAnsi" w:cstheme="majorHAnsi"/>
          <w:b/>
          <w:bCs/>
          <w:noProof/>
        </w:rPr>
        <w:t xml:space="preserve">asupra </w:t>
      </w:r>
      <w:r w:rsidR="00B16141" w:rsidRPr="00967339">
        <w:rPr>
          <w:rFonts w:asciiTheme="majorHAnsi" w:hAnsiTheme="majorHAnsi" w:cstheme="majorHAnsi"/>
          <w:b/>
          <w:bCs/>
          <w:noProof/>
        </w:rPr>
        <w:t>rapoartelor</w:t>
      </w:r>
      <w:r w:rsidR="003B48E9" w:rsidRPr="00967339">
        <w:rPr>
          <w:rFonts w:asciiTheme="majorHAnsi" w:hAnsiTheme="majorHAnsi" w:cstheme="majorHAnsi"/>
          <w:b/>
          <w:bCs/>
          <w:noProof/>
        </w:rPr>
        <w:t xml:space="preserve"> financiare consolidate ale </w:t>
      </w:r>
    </w:p>
    <w:p w14:paraId="73D24A4A" w14:textId="77777777" w:rsidR="00723DA7" w:rsidRPr="00967339" w:rsidRDefault="003B48E9"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Ministerului S</w:t>
      </w:r>
      <w:r w:rsidR="00462407" w:rsidRPr="00967339">
        <w:rPr>
          <w:rFonts w:asciiTheme="majorHAnsi" w:hAnsiTheme="majorHAnsi" w:cstheme="majorHAnsi"/>
          <w:b/>
          <w:bCs/>
          <w:noProof/>
        </w:rPr>
        <w:t>ă</w:t>
      </w:r>
      <w:r w:rsidRPr="00967339">
        <w:rPr>
          <w:rFonts w:asciiTheme="majorHAnsi" w:hAnsiTheme="majorHAnsi" w:cstheme="majorHAnsi"/>
          <w:b/>
          <w:bCs/>
          <w:noProof/>
        </w:rPr>
        <w:t>n</w:t>
      </w:r>
      <w:r w:rsidR="00462407" w:rsidRPr="00967339">
        <w:rPr>
          <w:rFonts w:asciiTheme="majorHAnsi" w:hAnsiTheme="majorHAnsi" w:cstheme="majorHAnsi"/>
          <w:b/>
          <w:bCs/>
          <w:noProof/>
        </w:rPr>
        <w:t>ă</w:t>
      </w:r>
      <w:r w:rsidRPr="00967339">
        <w:rPr>
          <w:rFonts w:asciiTheme="majorHAnsi" w:hAnsiTheme="majorHAnsi" w:cstheme="majorHAnsi"/>
          <w:b/>
          <w:bCs/>
          <w:noProof/>
        </w:rPr>
        <w:t>t</w:t>
      </w:r>
      <w:r w:rsidR="00462407" w:rsidRPr="00967339">
        <w:rPr>
          <w:rFonts w:asciiTheme="majorHAnsi" w:hAnsiTheme="majorHAnsi" w:cstheme="majorHAnsi"/>
          <w:b/>
          <w:bCs/>
          <w:noProof/>
        </w:rPr>
        <w:t>ăț</w:t>
      </w:r>
      <w:r w:rsidRPr="00967339">
        <w:rPr>
          <w:rFonts w:asciiTheme="majorHAnsi" w:hAnsiTheme="majorHAnsi" w:cstheme="majorHAnsi"/>
          <w:b/>
          <w:bCs/>
          <w:noProof/>
        </w:rPr>
        <w:t>ii</w:t>
      </w:r>
      <w:r w:rsidR="0047622D" w:rsidRPr="00967339">
        <w:rPr>
          <w:rFonts w:asciiTheme="majorHAnsi" w:hAnsiTheme="majorHAnsi" w:cstheme="majorHAnsi"/>
          <w:b/>
          <w:bCs/>
          <w:noProof/>
        </w:rPr>
        <w:t>, Muncii și Protecției Sociale</w:t>
      </w:r>
      <w:r w:rsidR="00955200" w:rsidRPr="00967339">
        <w:rPr>
          <w:rFonts w:asciiTheme="majorHAnsi" w:hAnsiTheme="majorHAnsi" w:cstheme="majorHAnsi"/>
          <w:b/>
          <w:bCs/>
          <w:noProof/>
        </w:rPr>
        <w:t xml:space="preserve"> î</w:t>
      </w:r>
      <w:r w:rsidRPr="00967339">
        <w:rPr>
          <w:rFonts w:asciiTheme="majorHAnsi" w:hAnsiTheme="majorHAnsi" w:cstheme="majorHAnsi"/>
          <w:b/>
          <w:bCs/>
          <w:noProof/>
        </w:rPr>
        <w:t>n</w:t>
      </w:r>
      <w:r w:rsidR="002B42C6" w:rsidRPr="00967339">
        <w:rPr>
          <w:rFonts w:asciiTheme="majorHAnsi" w:hAnsiTheme="majorHAnsi" w:cstheme="majorHAnsi"/>
          <w:b/>
          <w:bCs/>
          <w:noProof/>
        </w:rPr>
        <w:t>che</w:t>
      </w:r>
      <w:r w:rsidR="00B16141" w:rsidRPr="00967339">
        <w:rPr>
          <w:rFonts w:asciiTheme="majorHAnsi" w:hAnsiTheme="majorHAnsi" w:cstheme="majorHAnsi"/>
          <w:b/>
          <w:bCs/>
          <w:noProof/>
        </w:rPr>
        <w:t>i</w:t>
      </w:r>
      <w:r w:rsidR="002B42C6" w:rsidRPr="00967339">
        <w:rPr>
          <w:rFonts w:asciiTheme="majorHAnsi" w:hAnsiTheme="majorHAnsi" w:cstheme="majorHAnsi"/>
          <w:b/>
          <w:bCs/>
          <w:noProof/>
        </w:rPr>
        <w:t>ate</w:t>
      </w:r>
      <w:r w:rsidR="009A21A5" w:rsidRPr="00967339">
        <w:rPr>
          <w:rFonts w:asciiTheme="majorHAnsi" w:hAnsiTheme="majorHAnsi" w:cstheme="majorHAnsi"/>
          <w:b/>
          <w:bCs/>
          <w:noProof/>
        </w:rPr>
        <w:t xml:space="preserve"> la 31</w:t>
      </w:r>
      <w:r w:rsidR="0098616C" w:rsidRPr="00967339">
        <w:rPr>
          <w:rFonts w:asciiTheme="majorHAnsi" w:hAnsiTheme="majorHAnsi" w:cstheme="majorHAnsi"/>
          <w:b/>
          <w:bCs/>
          <w:noProof/>
        </w:rPr>
        <w:t xml:space="preserve"> decembrie </w:t>
      </w:r>
      <w:r w:rsidR="00562DCF" w:rsidRPr="00967339">
        <w:rPr>
          <w:rFonts w:asciiTheme="majorHAnsi" w:hAnsiTheme="majorHAnsi" w:cstheme="majorHAnsi"/>
          <w:b/>
          <w:bCs/>
          <w:noProof/>
        </w:rPr>
        <w:t>202</w:t>
      </w:r>
      <w:r w:rsidR="00116B52" w:rsidRPr="00967339">
        <w:rPr>
          <w:rFonts w:asciiTheme="majorHAnsi" w:hAnsiTheme="majorHAnsi" w:cstheme="majorHAnsi"/>
          <w:b/>
          <w:bCs/>
          <w:noProof/>
        </w:rPr>
        <w:t>1</w:t>
      </w:r>
    </w:p>
    <w:p w14:paraId="6578F2CA"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6C071D9A" w14:textId="77777777" w:rsidR="00723DA7" w:rsidRPr="00967339" w:rsidRDefault="00723DA7" w:rsidP="00023A8F">
      <w:pPr>
        <w:spacing w:line="276" w:lineRule="auto"/>
        <w:rPr>
          <w:rFonts w:asciiTheme="majorHAnsi" w:hAnsiTheme="majorHAnsi" w:cstheme="majorHAnsi"/>
          <w:noProof/>
        </w:rPr>
      </w:pPr>
    </w:p>
    <w:p w14:paraId="68077E33" w14:textId="77777777" w:rsidR="00723DA7" w:rsidRPr="00967339" w:rsidRDefault="00723DA7" w:rsidP="00023A8F">
      <w:pPr>
        <w:spacing w:line="276" w:lineRule="auto"/>
        <w:rPr>
          <w:rFonts w:asciiTheme="majorHAnsi" w:hAnsiTheme="majorHAnsi" w:cstheme="majorHAnsi"/>
          <w:noProof/>
        </w:rPr>
      </w:pPr>
    </w:p>
    <w:p w14:paraId="0281620B" w14:textId="77777777" w:rsidR="00723DA7" w:rsidRPr="00967339" w:rsidRDefault="00723DA7" w:rsidP="00023A8F">
      <w:pPr>
        <w:spacing w:line="276" w:lineRule="auto"/>
        <w:rPr>
          <w:rFonts w:asciiTheme="majorHAnsi" w:hAnsiTheme="majorHAnsi" w:cstheme="majorHAnsi"/>
          <w:noProof/>
        </w:rPr>
      </w:pPr>
    </w:p>
    <w:p w14:paraId="389AE89C" w14:textId="77777777" w:rsidR="00723DA7" w:rsidRPr="00967339" w:rsidRDefault="00723DA7" w:rsidP="00023A8F">
      <w:pPr>
        <w:spacing w:line="276" w:lineRule="auto"/>
        <w:rPr>
          <w:rFonts w:asciiTheme="majorHAnsi" w:hAnsiTheme="majorHAnsi" w:cstheme="majorHAnsi"/>
          <w:noProof/>
        </w:rPr>
      </w:pPr>
    </w:p>
    <w:p w14:paraId="29DA6D63" w14:textId="77777777" w:rsidR="00723DA7" w:rsidRPr="00967339" w:rsidRDefault="00723DA7" w:rsidP="00023A8F">
      <w:pPr>
        <w:spacing w:line="276" w:lineRule="auto"/>
        <w:rPr>
          <w:rFonts w:asciiTheme="majorHAnsi" w:hAnsiTheme="majorHAnsi" w:cstheme="majorHAnsi"/>
          <w:noProof/>
        </w:rPr>
      </w:pPr>
    </w:p>
    <w:p w14:paraId="3BA328BC" w14:textId="77777777" w:rsidR="00723DA7" w:rsidRPr="00967339" w:rsidRDefault="00723DA7" w:rsidP="00023A8F">
      <w:pPr>
        <w:spacing w:line="276" w:lineRule="auto"/>
        <w:rPr>
          <w:rFonts w:asciiTheme="majorHAnsi" w:hAnsiTheme="majorHAnsi" w:cstheme="majorHAnsi"/>
          <w:b/>
          <w:noProof/>
          <w:color w:val="2E74B5"/>
        </w:rPr>
        <w:sectPr w:rsidR="00723DA7" w:rsidRPr="00967339" w:rsidSect="00080E44">
          <w:headerReference w:type="default" r:id="rId11"/>
          <w:footerReference w:type="default" r:id="rId12"/>
          <w:pgSz w:w="11906" w:h="16838" w:code="9"/>
          <w:pgMar w:top="851" w:right="851" w:bottom="1440" w:left="1701" w:header="709" w:footer="403" w:gutter="0"/>
          <w:cols w:space="708"/>
          <w:titlePg/>
          <w:docGrid w:linePitch="360"/>
        </w:sectPr>
      </w:pPr>
    </w:p>
    <w:p w14:paraId="7D5E8FDB" w14:textId="77777777" w:rsidR="008B575C" w:rsidRPr="00967339" w:rsidRDefault="008B575C" w:rsidP="00023A8F">
      <w:pPr>
        <w:spacing w:line="276" w:lineRule="auto"/>
        <w:rPr>
          <w:rFonts w:asciiTheme="majorHAnsi" w:hAnsiTheme="majorHAnsi" w:cstheme="majorHAnsi"/>
          <w:b/>
          <w:bCs/>
          <w:noProof/>
          <w:lang w:eastAsia="en-US"/>
        </w:rPr>
      </w:pPr>
      <w:bookmarkStart w:id="1" w:name="_Toc492893766"/>
      <w:bookmarkStart w:id="2" w:name="_Toc492899647"/>
      <w:bookmarkStart w:id="3" w:name="_Toc509412841"/>
      <w:bookmarkStart w:id="4" w:name="_Toc510185762"/>
      <w:r w:rsidRPr="00967339">
        <w:rPr>
          <w:rFonts w:asciiTheme="majorHAnsi" w:hAnsiTheme="majorHAnsi" w:cstheme="majorHAnsi"/>
          <w:b/>
          <w:bCs/>
          <w:noProof/>
          <w:lang w:eastAsia="en-US"/>
        </w:rPr>
        <w:lastRenderedPageBreak/>
        <w:tab/>
        <w:t xml:space="preserve">I. OPINIE </w:t>
      </w:r>
      <w:r w:rsidR="00926DA9">
        <w:rPr>
          <w:rFonts w:asciiTheme="majorHAnsi" w:hAnsiTheme="majorHAnsi" w:cstheme="majorHAnsi"/>
          <w:b/>
          <w:bCs/>
          <w:noProof/>
          <w:lang w:eastAsia="en-US"/>
        </w:rPr>
        <w:t>CU REZERVE</w:t>
      </w:r>
    </w:p>
    <w:p w14:paraId="2FC1C36A" w14:textId="736BA5B7" w:rsidR="003519FB"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642DB8" w:rsidRPr="00967339">
        <w:rPr>
          <w:rFonts w:asciiTheme="majorHAnsi" w:hAnsiTheme="majorHAnsi" w:cstheme="majorHAnsi"/>
          <w:noProof/>
          <w:lang w:eastAsia="en-US"/>
        </w:rPr>
        <w:t xml:space="preserve">Am auditat rapoartele financiare consolidate ale </w:t>
      </w:r>
      <w:r w:rsidR="001677A4" w:rsidRPr="00967339">
        <w:rPr>
          <w:rFonts w:asciiTheme="majorHAnsi" w:hAnsiTheme="majorHAnsi" w:cstheme="majorHAnsi"/>
          <w:noProof/>
        </w:rPr>
        <w:t>Ministerul</w:t>
      </w:r>
      <w:r w:rsidR="00305AAB">
        <w:rPr>
          <w:rFonts w:asciiTheme="majorHAnsi" w:hAnsiTheme="majorHAnsi" w:cstheme="majorHAnsi"/>
          <w:noProof/>
        </w:rPr>
        <w:t>ui</w:t>
      </w:r>
      <w:r w:rsidR="001677A4" w:rsidRPr="00967339">
        <w:rPr>
          <w:rFonts w:asciiTheme="majorHAnsi" w:hAnsiTheme="majorHAnsi" w:cstheme="majorHAnsi"/>
          <w:noProof/>
        </w:rPr>
        <w:t xml:space="preserve"> Sănătății, </w:t>
      </w:r>
      <w:r w:rsidR="001677A4" w:rsidRPr="00967339">
        <w:rPr>
          <w:rFonts w:asciiTheme="majorHAnsi" w:hAnsiTheme="majorHAnsi" w:cstheme="majorHAnsi"/>
          <w:noProof/>
          <w:lang w:eastAsia="en-US"/>
        </w:rPr>
        <w:t>Muncii și Protecției Sociale</w:t>
      </w:r>
      <w:r w:rsidR="003519FB" w:rsidRPr="00967339">
        <w:rPr>
          <w:rFonts w:asciiTheme="majorHAnsi" w:hAnsiTheme="majorHAnsi" w:cstheme="majorHAnsi"/>
          <w:noProof/>
          <w:lang w:eastAsia="en-US"/>
        </w:rPr>
        <w:t xml:space="preserve"> (în continuare </w:t>
      </w:r>
      <w:r w:rsidR="00305AAB">
        <w:rPr>
          <w:rFonts w:asciiTheme="majorHAnsi" w:hAnsiTheme="majorHAnsi" w:cstheme="majorHAnsi"/>
          <w:noProof/>
          <w:lang w:eastAsia="en-US"/>
        </w:rPr>
        <w:t>–</w:t>
      </w:r>
      <w:r w:rsidR="003519FB" w:rsidRPr="00967339">
        <w:rPr>
          <w:rFonts w:asciiTheme="majorHAnsi" w:hAnsiTheme="majorHAnsi" w:cstheme="majorHAnsi"/>
          <w:noProof/>
          <w:lang w:eastAsia="en-US"/>
        </w:rPr>
        <w:t xml:space="preserve"> ministerul)</w:t>
      </w:r>
      <w:r w:rsidR="001677A4" w:rsidRPr="00967339">
        <w:rPr>
          <w:rFonts w:asciiTheme="majorHAnsi" w:hAnsiTheme="majorHAnsi" w:cstheme="majorHAnsi"/>
          <w:noProof/>
          <w:lang w:eastAsia="en-US"/>
        </w:rPr>
        <w:t xml:space="preserve"> </w:t>
      </w:r>
      <w:r w:rsidR="00642DB8" w:rsidRPr="00967339">
        <w:rPr>
          <w:rFonts w:asciiTheme="majorHAnsi" w:hAnsiTheme="majorHAnsi" w:cstheme="majorHAnsi"/>
          <w:noProof/>
          <w:lang w:eastAsia="en-US"/>
        </w:rPr>
        <w:t>pentru exercițiul încheiat la 31 decembrie 202</w:t>
      </w:r>
      <w:r w:rsidR="00116C78" w:rsidRPr="00967339">
        <w:rPr>
          <w:rFonts w:asciiTheme="majorHAnsi" w:hAnsiTheme="majorHAnsi" w:cstheme="majorHAnsi"/>
          <w:noProof/>
          <w:lang w:eastAsia="en-US"/>
        </w:rPr>
        <w:t>1</w:t>
      </w:r>
      <w:r w:rsidR="003519FB" w:rsidRPr="00967339">
        <w:rPr>
          <w:rFonts w:asciiTheme="majorHAnsi" w:hAnsiTheme="majorHAnsi" w:cstheme="majorHAnsi"/>
          <w:noProof/>
          <w:lang w:eastAsia="en-US"/>
        </w:rPr>
        <w:t>, care</w:t>
      </w:r>
      <w:r w:rsidR="00642DB8" w:rsidRPr="00967339">
        <w:rPr>
          <w:rFonts w:asciiTheme="majorHAnsi" w:hAnsiTheme="majorHAnsi" w:cstheme="majorHAnsi"/>
          <w:noProof/>
          <w:lang w:eastAsia="en-US"/>
        </w:rPr>
        <w:t xml:space="preserve"> cuprind: Bilanţul contabil (Formularul FD-041); Raportul privind veniturile şi cheltuielile (Formularul FD-042);</w:t>
      </w:r>
      <w:r w:rsidR="00F975A2" w:rsidRPr="00967339">
        <w:rPr>
          <w:rFonts w:asciiTheme="majorHAnsi" w:hAnsiTheme="majorHAnsi" w:cstheme="majorHAnsi"/>
          <w:noProof/>
          <w:lang w:eastAsia="en-US"/>
        </w:rPr>
        <w:t xml:space="preserve"> Raportul privind fluxul mijloacelor bănești (Formularul FD-043), </w:t>
      </w:r>
      <w:r w:rsidR="00642DB8" w:rsidRPr="00967339">
        <w:rPr>
          <w:rFonts w:asciiTheme="majorHAnsi" w:hAnsiTheme="majorHAnsi" w:cstheme="majorHAnsi"/>
          <w:noProof/>
          <w:lang w:eastAsia="en-US"/>
        </w:rPr>
        <w:t>Raportul privind executare</w:t>
      </w:r>
      <w:r w:rsidR="00892FD6" w:rsidRPr="00967339">
        <w:rPr>
          <w:rFonts w:asciiTheme="majorHAnsi" w:hAnsiTheme="majorHAnsi" w:cstheme="majorHAnsi"/>
          <w:noProof/>
          <w:lang w:eastAsia="en-US"/>
        </w:rPr>
        <w:t>a bugetului (Formularul FD-044)</w:t>
      </w:r>
      <w:r w:rsidR="00305AAB">
        <w:rPr>
          <w:rFonts w:asciiTheme="majorHAnsi" w:hAnsiTheme="majorHAnsi" w:cstheme="majorHAnsi"/>
          <w:noProof/>
          <w:lang w:eastAsia="en-US"/>
        </w:rPr>
        <w:t>,</w:t>
      </w:r>
      <w:r w:rsidR="003519FB" w:rsidRPr="00967339">
        <w:rPr>
          <w:rFonts w:asciiTheme="majorHAnsi" w:hAnsiTheme="majorHAnsi" w:cstheme="majorHAnsi"/>
          <w:noProof/>
          <w:lang w:eastAsia="en-US"/>
        </w:rPr>
        <w:t xml:space="preserve"> Raportul narativ privind executarea bugetului</w:t>
      </w:r>
      <w:r w:rsidR="00642DB8" w:rsidRPr="00967339">
        <w:rPr>
          <w:rFonts w:asciiTheme="majorHAnsi" w:hAnsiTheme="majorHAnsi" w:cstheme="majorHAnsi"/>
          <w:noProof/>
          <w:lang w:eastAsia="en-US"/>
        </w:rPr>
        <w:t xml:space="preserve">, inclusiv un sumar al politicilor contabile semnificative. </w:t>
      </w:r>
    </w:p>
    <w:p w14:paraId="377280EA" w14:textId="1EE4DF63" w:rsidR="00926DA9" w:rsidRDefault="00926DA9" w:rsidP="00305AAB">
      <w:pPr>
        <w:spacing w:line="276" w:lineRule="auto"/>
        <w:ind w:firstLine="720"/>
        <w:jc w:val="both"/>
        <w:rPr>
          <w:rFonts w:asciiTheme="majorHAnsi" w:hAnsiTheme="majorHAnsi" w:cstheme="majorHAnsi"/>
          <w:noProof/>
          <w:lang w:eastAsia="en-US"/>
        </w:rPr>
      </w:pPr>
      <w:r>
        <w:rPr>
          <w:rFonts w:asciiTheme="majorHAnsi" w:hAnsiTheme="majorHAnsi" w:cstheme="majorHAnsi"/>
          <w:noProof/>
          <w:lang w:eastAsia="en-US"/>
        </w:rPr>
        <w:t>În opinia noastră, cu excepția</w:t>
      </w:r>
      <w:r w:rsidR="008E38A9">
        <w:rPr>
          <w:rFonts w:asciiTheme="majorHAnsi" w:hAnsiTheme="majorHAnsi" w:cstheme="majorHAnsi"/>
          <w:noProof/>
          <w:lang w:eastAsia="en-US"/>
        </w:rPr>
        <w:t xml:space="preserve"> unor</w:t>
      </w:r>
      <w:r>
        <w:rPr>
          <w:rFonts w:asciiTheme="majorHAnsi" w:hAnsiTheme="majorHAnsi" w:cstheme="majorHAnsi"/>
          <w:noProof/>
          <w:lang w:eastAsia="en-US"/>
        </w:rPr>
        <w:t xml:space="preserve"> efecte ale aspectelor descrise în secțiunea </w:t>
      </w:r>
      <w:r>
        <w:rPr>
          <w:rFonts w:asciiTheme="majorHAnsi" w:hAnsiTheme="majorHAnsi" w:cstheme="majorHAnsi"/>
          <w:i/>
          <w:noProof/>
          <w:lang w:eastAsia="en-US"/>
        </w:rPr>
        <w:t>Baza pentru opinia cu rezerve</w:t>
      </w:r>
      <w:r>
        <w:rPr>
          <w:rFonts w:asciiTheme="majorHAnsi" w:hAnsiTheme="majorHAnsi" w:cstheme="majorHAnsi"/>
          <w:noProof/>
          <w:lang w:eastAsia="en-US"/>
        </w:rPr>
        <w:t xml:space="preserve">, rapoartele financiare </w:t>
      </w:r>
      <w:r w:rsidR="00305AAB">
        <w:rPr>
          <w:rFonts w:asciiTheme="majorHAnsi" w:hAnsiTheme="majorHAnsi" w:cstheme="majorHAnsi"/>
          <w:noProof/>
          <w:lang w:eastAsia="en-US"/>
        </w:rPr>
        <w:t xml:space="preserve">oferă, </w:t>
      </w:r>
      <w:r>
        <w:rPr>
          <w:rFonts w:asciiTheme="majorHAnsi" w:hAnsiTheme="majorHAnsi" w:cstheme="majorHAnsi"/>
          <w:noProof/>
          <w:lang w:eastAsia="en-US"/>
        </w:rPr>
        <w:t>sub toate aspectele semnificative, o imagine corectă și fidelă în conformitate cu cadrul de raportare financiară aplicabil</w:t>
      </w:r>
      <w:r>
        <w:rPr>
          <w:rFonts w:asciiTheme="majorHAnsi" w:hAnsiTheme="majorHAnsi" w:cstheme="majorHAnsi"/>
          <w:noProof/>
          <w:vertAlign w:val="superscript"/>
          <w:lang w:eastAsia="en-US"/>
        </w:rPr>
        <w:footnoteReference w:id="2"/>
      </w:r>
      <w:r>
        <w:rPr>
          <w:rFonts w:asciiTheme="majorHAnsi" w:hAnsiTheme="majorHAnsi" w:cstheme="majorHAnsi"/>
          <w:noProof/>
          <w:lang w:eastAsia="en-US"/>
        </w:rPr>
        <w:t>.</w:t>
      </w:r>
    </w:p>
    <w:p w14:paraId="3EC86ED2" w14:textId="77777777" w:rsidR="00B3128F" w:rsidRPr="00967339" w:rsidRDefault="00B3128F" w:rsidP="00023A8F">
      <w:pPr>
        <w:spacing w:line="276" w:lineRule="auto"/>
        <w:jc w:val="both"/>
        <w:rPr>
          <w:rFonts w:asciiTheme="majorHAnsi" w:hAnsiTheme="majorHAnsi" w:cstheme="majorHAnsi"/>
          <w:noProof/>
          <w:lang w:eastAsia="en-US"/>
        </w:rPr>
      </w:pPr>
    </w:p>
    <w:p w14:paraId="2A5031A7" w14:textId="77777777" w:rsidR="004615AA" w:rsidRPr="00967339" w:rsidRDefault="00A64792" w:rsidP="00023A8F">
      <w:pPr>
        <w:spacing w:line="276" w:lineRule="auto"/>
        <w:ind w:firstLine="720"/>
        <w:jc w:val="both"/>
        <w:rPr>
          <w:rFonts w:asciiTheme="majorHAnsi" w:hAnsiTheme="majorHAnsi" w:cstheme="majorHAnsi"/>
          <w:b/>
          <w:bCs/>
          <w:noProof/>
          <w:lang w:eastAsia="en-US"/>
        </w:rPr>
      </w:pPr>
      <w:r w:rsidRPr="00967339">
        <w:rPr>
          <w:rFonts w:asciiTheme="majorHAnsi" w:hAnsiTheme="majorHAnsi" w:cstheme="majorHAnsi"/>
          <w:b/>
          <w:noProof/>
          <w:lang w:eastAsia="en-US"/>
        </w:rPr>
        <w:t xml:space="preserve">II. </w:t>
      </w:r>
      <w:r w:rsidR="001F67D1" w:rsidRPr="00967339">
        <w:rPr>
          <w:rFonts w:asciiTheme="majorHAnsi" w:hAnsiTheme="majorHAnsi" w:cstheme="majorHAnsi"/>
          <w:b/>
          <w:noProof/>
          <w:lang w:eastAsia="en-US"/>
        </w:rPr>
        <w:t xml:space="preserve">BAZA PENTRU </w:t>
      </w:r>
      <w:bookmarkEnd w:id="1"/>
      <w:bookmarkEnd w:id="2"/>
      <w:bookmarkEnd w:id="3"/>
      <w:bookmarkEnd w:id="4"/>
      <w:r w:rsidR="00DF19B9" w:rsidRPr="00967339">
        <w:rPr>
          <w:rFonts w:asciiTheme="majorHAnsi" w:hAnsiTheme="majorHAnsi" w:cstheme="majorHAnsi"/>
          <w:b/>
          <w:bCs/>
          <w:noProof/>
          <w:lang w:eastAsia="en-US"/>
        </w:rPr>
        <w:t>OPINI</w:t>
      </w:r>
      <w:r w:rsidR="00E0156E" w:rsidRPr="00967339">
        <w:rPr>
          <w:rFonts w:asciiTheme="majorHAnsi" w:hAnsiTheme="majorHAnsi" w:cstheme="majorHAnsi"/>
          <w:b/>
          <w:bCs/>
          <w:noProof/>
          <w:lang w:eastAsia="en-US"/>
        </w:rPr>
        <w:t>A</w:t>
      </w:r>
      <w:r w:rsidR="00DF19B9" w:rsidRPr="00967339">
        <w:rPr>
          <w:rFonts w:asciiTheme="majorHAnsi" w:hAnsiTheme="majorHAnsi" w:cstheme="majorHAnsi"/>
          <w:b/>
          <w:bCs/>
          <w:noProof/>
          <w:lang w:eastAsia="en-US"/>
        </w:rPr>
        <w:t xml:space="preserve"> </w:t>
      </w:r>
      <w:r w:rsidR="00926DA9">
        <w:rPr>
          <w:rFonts w:asciiTheme="majorHAnsi" w:hAnsiTheme="majorHAnsi" w:cstheme="majorHAnsi"/>
          <w:b/>
          <w:bCs/>
          <w:noProof/>
          <w:lang w:eastAsia="en-US"/>
        </w:rPr>
        <w:t>CU REZERVE</w:t>
      </w:r>
    </w:p>
    <w:p w14:paraId="1BD23F05" w14:textId="49AEDA20" w:rsidR="009D7636" w:rsidRPr="009D7636" w:rsidRDefault="00305AAB" w:rsidP="009D7636">
      <w:pPr>
        <w:tabs>
          <w:tab w:val="left" w:pos="1080"/>
        </w:tabs>
        <w:spacing w:line="276" w:lineRule="auto"/>
        <w:contextualSpacing/>
        <w:jc w:val="both"/>
        <w:rPr>
          <w:rFonts w:asciiTheme="majorHAnsi" w:hAnsiTheme="majorHAnsi" w:cstheme="majorHAnsi"/>
          <w:noProof/>
        </w:rPr>
      </w:pPr>
      <w:r>
        <w:rPr>
          <w:rFonts w:asciiTheme="majorHAnsi" w:hAnsiTheme="majorHAnsi" w:cstheme="majorHAnsi"/>
          <w:noProof/>
        </w:rPr>
        <w:t xml:space="preserve">             </w:t>
      </w:r>
      <w:r w:rsidR="009D7636" w:rsidRPr="009D7636">
        <w:rPr>
          <w:rFonts w:asciiTheme="majorHAnsi" w:hAnsiTheme="majorHAnsi" w:cstheme="majorHAnsi"/>
          <w:noProof/>
        </w:rPr>
        <w:t>Ca urmare a reorganizării structurale a administrației publice centrale de specialitate, în temeiul  Hotărârii Guvernului  nr.117 din 12.08.2021</w:t>
      </w:r>
      <w:r w:rsidR="009D7636" w:rsidRPr="009D7636">
        <w:rPr>
          <w:rFonts w:asciiTheme="majorHAnsi" w:hAnsiTheme="majorHAnsi" w:cstheme="majorHAnsi"/>
          <w:noProof/>
          <w:vertAlign w:val="superscript"/>
        </w:rPr>
        <w:footnoteReference w:id="3"/>
      </w:r>
      <w:r w:rsidR="009D7636" w:rsidRPr="009D7636">
        <w:rPr>
          <w:rFonts w:asciiTheme="majorHAnsi" w:hAnsiTheme="majorHAnsi" w:cstheme="majorHAnsi"/>
          <w:noProof/>
        </w:rPr>
        <w:t>, Ministerul Sănătății, Muncii şi Protecției Sociale a fost reorganizat în Ministerul Sănătății și Ministerul Muncii şi Protecției Sociale cu preluarea domeniilor de sănătate și cel</w:t>
      </w:r>
      <w:r>
        <w:rPr>
          <w:rFonts w:asciiTheme="majorHAnsi" w:hAnsiTheme="majorHAnsi" w:cstheme="majorHAnsi"/>
          <w:noProof/>
        </w:rPr>
        <w:t>ui</w:t>
      </w:r>
      <w:r w:rsidR="009D7636" w:rsidRPr="009D7636">
        <w:rPr>
          <w:rFonts w:asciiTheme="majorHAnsi" w:hAnsiTheme="majorHAnsi" w:cstheme="majorHAnsi"/>
          <w:noProof/>
        </w:rPr>
        <w:t xml:space="preserve"> de protecție socială, </w:t>
      </w:r>
      <w:r w:rsidR="008E38A9">
        <w:rPr>
          <w:rFonts w:asciiTheme="majorHAnsi" w:hAnsiTheme="majorHAnsi" w:cstheme="majorHAnsi"/>
          <w:noProof/>
        </w:rPr>
        <w:t>devenind</w:t>
      </w:r>
      <w:r w:rsidR="009D7636" w:rsidRPr="009D7636">
        <w:rPr>
          <w:rFonts w:asciiTheme="majorHAnsi" w:hAnsiTheme="majorHAnsi" w:cstheme="majorHAnsi"/>
          <w:noProof/>
        </w:rPr>
        <w:t xml:space="preserve"> succesori de drepturi şi obligații conexe domeniilor preluate.</w:t>
      </w:r>
      <w:r w:rsidR="009D7636" w:rsidRPr="009D7636">
        <w:rPr>
          <w:rFonts w:asciiTheme="majorHAnsi" w:hAnsiTheme="majorHAnsi"/>
          <w:noProof/>
        </w:rPr>
        <w:t xml:space="preserve"> Prin urmare, </w:t>
      </w:r>
      <w:r w:rsidR="009D7636" w:rsidRPr="009D7636">
        <w:rPr>
          <w:rFonts w:asciiTheme="majorHAnsi" w:hAnsiTheme="majorHAnsi" w:cstheme="majorHAnsi"/>
          <w:noProof/>
        </w:rPr>
        <w:t>Ministerul Sănătății, Muncii şi Protecției Sociale</w:t>
      </w:r>
      <w:r w:rsidR="009D7636" w:rsidRPr="009D7636">
        <w:rPr>
          <w:rFonts w:asciiTheme="majorHAnsi" w:hAnsiTheme="majorHAnsi"/>
          <w:noProof/>
        </w:rPr>
        <w:t xml:space="preserve"> a transmis către Ministerele reorganizate/create patrimoniul gestionat, raportând soldul consolidat al elementelor bilanțiere la situația din 31.12.2021 cu valoarea zero. Deși transmiterea patrimoniului a fost efectuată în conformitate cu prevederile cadrului normativ aplicabil</w:t>
      </w:r>
      <w:r>
        <w:rPr>
          <w:rFonts w:asciiTheme="majorHAnsi" w:hAnsiTheme="majorHAnsi"/>
          <w:noProof/>
        </w:rPr>
        <w:t>,</w:t>
      </w:r>
      <w:r w:rsidR="009D7636" w:rsidRPr="009D7636">
        <w:rPr>
          <w:rFonts w:asciiTheme="majorHAnsi" w:hAnsiTheme="majorHAnsi"/>
          <w:noProof/>
        </w:rPr>
        <w:t xml:space="preserve"> se denotă denaturarea soldurilor</w:t>
      </w:r>
      <w:r w:rsidR="00F905B0">
        <w:rPr>
          <w:rFonts w:asciiTheme="majorHAnsi" w:hAnsiTheme="majorHAnsi"/>
          <w:noProof/>
        </w:rPr>
        <w:t>,</w:t>
      </w:r>
      <w:r w:rsidR="009D7636" w:rsidRPr="009D7636">
        <w:rPr>
          <w:rFonts w:asciiTheme="majorHAnsi" w:hAnsiTheme="majorHAnsi"/>
          <w:noProof/>
        </w:rPr>
        <w:t xml:space="preserve"> după cum urmează:</w:t>
      </w:r>
      <w:r w:rsidR="007517C4" w:rsidRPr="00967339">
        <w:rPr>
          <w:rFonts w:asciiTheme="majorHAnsi" w:hAnsiTheme="majorHAnsi" w:cstheme="majorHAnsi"/>
          <w:b/>
          <w:noProof/>
        </w:rPr>
        <w:tab/>
      </w:r>
    </w:p>
    <w:p w14:paraId="15918664" w14:textId="31DAEF2E" w:rsidR="009D7636" w:rsidRPr="00DF4ED4" w:rsidRDefault="003212E0" w:rsidP="009D7636">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lang w:eastAsia="en-US"/>
        </w:rPr>
        <w:t>m</w:t>
      </w:r>
      <w:r w:rsidR="00B42C14" w:rsidRPr="00DF4ED4">
        <w:rPr>
          <w:rFonts w:asciiTheme="majorHAnsi" w:hAnsiTheme="majorHAnsi" w:cs="Calibri Light"/>
          <w:noProof/>
          <w:lang w:eastAsia="en-US"/>
        </w:rPr>
        <w:t xml:space="preserve">inisterul </w:t>
      </w:r>
      <w:r w:rsidR="009D7636" w:rsidRPr="00DF4ED4">
        <w:rPr>
          <w:rFonts w:asciiTheme="majorHAnsi" w:hAnsiTheme="majorHAnsi" w:cs="Calibri Light"/>
          <w:noProof/>
          <w:lang w:eastAsia="en-US"/>
        </w:rPr>
        <w:t>a raportat valoarea contului 371</w:t>
      </w:r>
      <w:r w:rsidR="009133B5">
        <w:rPr>
          <w:rFonts w:asciiTheme="majorHAnsi" w:hAnsiTheme="majorHAnsi" w:cs="Calibri Light"/>
          <w:noProof/>
          <w:lang w:eastAsia="en-US"/>
        </w:rPr>
        <w:t xml:space="preserve"> „Terenuri” subevaluată  cu </w:t>
      </w:r>
      <w:r w:rsidR="00C855EB" w:rsidRPr="00C855EB">
        <w:rPr>
          <w:rFonts w:asciiTheme="majorHAnsi" w:hAnsiTheme="majorHAnsi" w:cs="Calibri Light"/>
          <w:noProof/>
          <w:lang w:eastAsia="en-US"/>
        </w:rPr>
        <w:t xml:space="preserve">22.782,3 </w:t>
      </w:r>
      <w:r w:rsidR="009D7636" w:rsidRPr="00C855EB">
        <w:rPr>
          <w:rFonts w:asciiTheme="majorHAnsi" w:hAnsiTheme="majorHAnsi" w:cs="Calibri Light"/>
          <w:noProof/>
          <w:lang w:eastAsia="en-US"/>
        </w:rPr>
        <w:t>mii lei. Denaturarea contului a fost condiționată  de  lip</w:t>
      </w:r>
      <w:r w:rsidR="00570D21" w:rsidRPr="00C855EB">
        <w:rPr>
          <w:rFonts w:asciiTheme="majorHAnsi" w:hAnsiTheme="majorHAnsi" w:cs="Calibri Light"/>
          <w:noProof/>
          <w:lang w:eastAsia="en-US"/>
        </w:rPr>
        <w:t>sa reevaluării a 9 terenuri</w:t>
      </w:r>
      <w:r w:rsidR="008940E4" w:rsidRPr="00C855EB">
        <w:rPr>
          <w:rStyle w:val="ad"/>
          <w:rFonts w:asciiTheme="majorHAnsi" w:hAnsiTheme="majorHAnsi" w:cs="Calibri Light"/>
          <w:noProof/>
          <w:lang w:eastAsia="en-US"/>
        </w:rPr>
        <w:footnoteReference w:id="4"/>
      </w:r>
      <w:r w:rsidR="009D7636" w:rsidRPr="00C855EB">
        <w:rPr>
          <w:rFonts w:asciiTheme="majorHAnsi" w:hAnsiTheme="majorHAnsi" w:cs="Calibri Light"/>
          <w:noProof/>
          <w:lang w:eastAsia="en-US"/>
        </w:rPr>
        <w:t xml:space="preserve"> cu supraf</w:t>
      </w:r>
      <w:r w:rsidR="009133B5" w:rsidRPr="00C855EB">
        <w:rPr>
          <w:rFonts w:asciiTheme="majorHAnsi" w:hAnsiTheme="majorHAnsi" w:cs="Calibri Light"/>
          <w:noProof/>
          <w:lang w:eastAsia="en-US"/>
        </w:rPr>
        <w:t>a</w:t>
      </w:r>
      <w:r w:rsidR="006B279A" w:rsidRPr="00C855EB">
        <w:rPr>
          <w:rFonts w:asciiTheme="majorHAnsi" w:hAnsiTheme="majorHAnsi" w:cs="Calibri Light"/>
          <w:noProof/>
          <w:lang w:eastAsia="en-US"/>
        </w:rPr>
        <w:t>ța</w:t>
      </w:r>
      <w:r w:rsidR="009133B5" w:rsidRPr="00C855EB">
        <w:rPr>
          <w:rFonts w:asciiTheme="majorHAnsi" w:hAnsiTheme="majorHAnsi" w:cs="Calibri Light"/>
          <w:noProof/>
          <w:lang w:eastAsia="en-US"/>
        </w:rPr>
        <w:t xml:space="preserve"> de 1,69 ha în valoare de 22</w:t>
      </w:r>
      <w:r w:rsidR="006B279A" w:rsidRPr="00C855EB">
        <w:rPr>
          <w:rFonts w:asciiTheme="majorHAnsi" w:hAnsiTheme="majorHAnsi" w:cs="Calibri Light"/>
          <w:noProof/>
          <w:lang w:eastAsia="en-US"/>
        </w:rPr>
        <w:t>.</w:t>
      </w:r>
      <w:r w:rsidR="009D7636" w:rsidRPr="00C855EB">
        <w:rPr>
          <w:rFonts w:asciiTheme="majorHAnsi" w:hAnsiTheme="majorHAnsi" w:cs="Calibri Light"/>
          <w:noProof/>
          <w:lang w:eastAsia="en-US"/>
        </w:rPr>
        <w:t xml:space="preserve">782,3 mii lei </w:t>
      </w:r>
      <w:r w:rsidR="00324FF9" w:rsidRPr="00C855EB">
        <w:rPr>
          <w:rFonts w:asciiTheme="majorHAnsi" w:hAnsiTheme="majorHAnsi" w:cs="Calibri Light"/>
          <w:noProof/>
          <w:lang w:eastAsia="en-US"/>
        </w:rPr>
        <w:t>,</w:t>
      </w:r>
      <w:r w:rsidR="009D7636" w:rsidRPr="00DF4ED4">
        <w:rPr>
          <w:rFonts w:asciiTheme="majorHAnsi" w:hAnsiTheme="majorHAnsi" w:cs="Calibri Light"/>
          <w:noProof/>
          <w:lang w:eastAsia="en-US"/>
        </w:rPr>
        <w:t xml:space="preserve"> din recunoașterea </w:t>
      </w:r>
      <w:r w:rsidR="005B5D31">
        <w:rPr>
          <w:rFonts w:asciiTheme="majorHAnsi" w:hAnsiTheme="majorHAnsi" w:cs="Calibri Light"/>
          <w:noProof/>
          <w:lang w:eastAsia="en-US"/>
        </w:rPr>
        <w:t>unui teren cu suprafața de 0,17</w:t>
      </w:r>
      <w:r w:rsidR="009D7636" w:rsidRPr="00DF4ED4">
        <w:rPr>
          <w:rFonts w:asciiTheme="majorHAnsi" w:hAnsiTheme="majorHAnsi" w:cs="Calibri Light"/>
          <w:noProof/>
          <w:lang w:eastAsia="en-US"/>
        </w:rPr>
        <w:t xml:space="preserve"> ha care</w:t>
      </w:r>
      <w:r w:rsidR="00324FF9">
        <w:rPr>
          <w:rFonts w:asciiTheme="majorHAnsi" w:hAnsiTheme="majorHAnsi" w:cs="Calibri Light"/>
          <w:noProof/>
          <w:lang w:eastAsia="en-US"/>
        </w:rPr>
        <w:t>,</w:t>
      </w:r>
      <w:r w:rsidR="009D7636" w:rsidRPr="00DF4ED4">
        <w:rPr>
          <w:rFonts w:asciiTheme="majorHAnsi" w:hAnsiTheme="majorHAnsi" w:cs="Calibri Light"/>
          <w:noProof/>
          <w:lang w:eastAsia="en-US"/>
        </w:rPr>
        <w:t xml:space="preserve"> conform înscrisurilor din Registrul bunurilor imobile, aparține persoanelor terțe, în contextul prevederilor </w:t>
      </w:r>
      <w:r w:rsidR="00B272D6">
        <w:rPr>
          <w:rFonts w:asciiTheme="majorHAnsi" w:hAnsiTheme="majorHAnsi" w:cs="Calibri Light"/>
          <w:noProof/>
          <w:lang w:eastAsia="en-US"/>
        </w:rPr>
        <w:t xml:space="preserve">din </w:t>
      </w:r>
      <w:r w:rsidR="009D7636" w:rsidRPr="00DF4ED4">
        <w:rPr>
          <w:rFonts w:asciiTheme="majorHAnsi" w:hAnsiTheme="majorHAnsi" w:cs="Calibri Light"/>
          <w:noProof/>
          <w:lang w:eastAsia="en-US"/>
        </w:rPr>
        <w:t>H</w:t>
      </w:r>
      <w:r w:rsidR="00B272D6">
        <w:rPr>
          <w:rFonts w:asciiTheme="majorHAnsi" w:hAnsiTheme="majorHAnsi" w:cs="Calibri Light"/>
          <w:noProof/>
          <w:lang w:eastAsia="en-US"/>
        </w:rPr>
        <w:t xml:space="preserve">otărârea </w:t>
      </w:r>
      <w:r w:rsidR="009D7636" w:rsidRPr="00DF4ED4">
        <w:rPr>
          <w:rFonts w:asciiTheme="majorHAnsi" w:hAnsiTheme="majorHAnsi" w:cs="Calibri Light"/>
          <w:noProof/>
          <w:lang w:eastAsia="en-US"/>
        </w:rPr>
        <w:t>G</w:t>
      </w:r>
      <w:r w:rsidR="00B272D6">
        <w:rPr>
          <w:rFonts w:asciiTheme="majorHAnsi" w:hAnsiTheme="majorHAnsi" w:cs="Calibri Light"/>
          <w:noProof/>
          <w:lang w:eastAsia="en-US"/>
        </w:rPr>
        <w:t>uvernului</w:t>
      </w:r>
      <w:r w:rsidR="009D7636" w:rsidRPr="00DF4ED4">
        <w:rPr>
          <w:rFonts w:asciiTheme="majorHAnsi" w:hAnsiTheme="majorHAnsi" w:cs="Calibri Light"/>
          <w:noProof/>
          <w:lang w:eastAsia="en-US"/>
        </w:rPr>
        <w:t xml:space="preserve"> </w:t>
      </w:r>
      <w:r w:rsidR="006B279A">
        <w:rPr>
          <w:rFonts w:asciiTheme="majorHAnsi" w:hAnsiTheme="majorHAnsi" w:cs="Calibri Light"/>
          <w:noProof/>
          <w:lang w:eastAsia="en-US"/>
        </w:rPr>
        <w:t>nr.</w:t>
      </w:r>
      <w:r w:rsidR="009D7636" w:rsidRPr="00DF4ED4">
        <w:rPr>
          <w:rFonts w:asciiTheme="majorHAnsi" w:hAnsiTheme="majorHAnsi" w:cs="Calibri Light"/>
          <w:noProof/>
          <w:lang w:eastAsia="en-US"/>
        </w:rPr>
        <w:t>161/2018</w:t>
      </w:r>
      <w:r w:rsidR="00324FF9">
        <w:rPr>
          <w:rFonts w:asciiTheme="majorHAnsi" w:hAnsiTheme="majorHAnsi" w:cs="Calibri Light"/>
          <w:noProof/>
          <w:lang w:eastAsia="en-US"/>
        </w:rPr>
        <w:t>;</w:t>
      </w:r>
    </w:p>
    <w:p w14:paraId="0E66BC3F" w14:textId="06B4D5E7" w:rsidR="009B1B83" w:rsidRPr="00DF4ED4" w:rsidRDefault="003212E0" w:rsidP="009B1B83">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rPr>
        <w:t>m</w:t>
      </w:r>
      <w:r w:rsidR="008B4412" w:rsidRPr="00DF4ED4">
        <w:rPr>
          <w:rFonts w:asciiTheme="majorHAnsi" w:hAnsiTheme="majorHAnsi" w:cs="Calibri Light"/>
          <w:noProof/>
        </w:rPr>
        <w:t>ini</w:t>
      </w:r>
      <w:r w:rsidR="00B75FDD" w:rsidRPr="00DF4ED4">
        <w:rPr>
          <w:rFonts w:asciiTheme="majorHAnsi" w:hAnsiTheme="majorHAnsi" w:cs="Calibri Light"/>
          <w:noProof/>
        </w:rPr>
        <w:t>sterul a supraevaluat valoarea</w:t>
      </w:r>
      <w:r w:rsidR="008B4412" w:rsidRPr="00DF4ED4">
        <w:rPr>
          <w:rFonts w:asciiTheme="majorHAnsi" w:hAnsiTheme="majorHAnsi" w:cs="Calibri Light"/>
          <w:noProof/>
        </w:rPr>
        <w:t xml:space="preserve"> grupei de conturi 415 „Acțiuni și alte forme de participare în interiorul tării” cu </w:t>
      </w:r>
      <w:r w:rsidR="00DF4ED4">
        <w:rPr>
          <w:rFonts w:asciiTheme="majorHAnsi" w:hAnsiTheme="majorHAnsi" w:cs="Calibri Light"/>
          <w:noProof/>
        </w:rPr>
        <w:t>98</w:t>
      </w:r>
      <w:r w:rsidR="00324FF9">
        <w:rPr>
          <w:rFonts w:asciiTheme="majorHAnsi" w:hAnsiTheme="majorHAnsi" w:cs="Calibri Light"/>
          <w:noProof/>
        </w:rPr>
        <w:t>.</w:t>
      </w:r>
      <w:r w:rsidR="00DF4ED4">
        <w:rPr>
          <w:rFonts w:asciiTheme="majorHAnsi" w:hAnsiTheme="majorHAnsi" w:cs="Calibri Light"/>
          <w:noProof/>
        </w:rPr>
        <w:t>799</w:t>
      </w:r>
      <w:r w:rsidR="00B75FDD" w:rsidRPr="00DF4ED4">
        <w:rPr>
          <w:rFonts w:asciiTheme="majorHAnsi" w:hAnsiTheme="majorHAnsi" w:cs="Calibri Light"/>
          <w:noProof/>
        </w:rPr>
        <w:t xml:space="preserve">,6 mii lei </w:t>
      </w:r>
      <w:r w:rsidR="008E38A9">
        <w:rPr>
          <w:rFonts w:asciiTheme="majorHAnsi" w:hAnsiTheme="majorHAnsi" w:cs="Calibri Light"/>
          <w:noProof/>
        </w:rPr>
        <w:t xml:space="preserve">în </w:t>
      </w:r>
      <w:r w:rsidR="00324FF9">
        <w:rPr>
          <w:rFonts w:asciiTheme="majorHAnsi" w:hAnsiTheme="majorHAnsi" w:cs="Calibri Light"/>
          <w:noProof/>
        </w:rPr>
        <w:t>urma</w:t>
      </w:r>
      <w:r w:rsidR="00B75FDD" w:rsidRPr="00DF4ED4">
        <w:rPr>
          <w:rFonts w:asciiTheme="majorHAnsi" w:hAnsiTheme="majorHAnsi" w:cs="Calibri Light"/>
          <w:noProof/>
        </w:rPr>
        <w:t>:</w:t>
      </w:r>
    </w:p>
    <w:p w14:paraId="3D9A7D3D" w14:textId="26D074A6" w:rsidR="009B1B83" w:rsidRPr="00DF4ED4" w:rsidRDefault="008B4412" w:rsidP="009B1B83">
      <w:pPr>
        <w:pStyle w:val="a3"/>
        <w:numPr>
          <w:ilvl w:val="0"/>
          <w:numId w:val="34"/>
        </w:numPr>
        <w:tabs>
          <w:tab w:val="left" w:pos="0"/>
        </w:tabs>
        <w:spacing w:line="276" w:lineRule="auto"/>
        <w:jc w:val="both"/>
        <w:rPr>
          <w:rFonts w:asciiTheme="majorHAnsi" w:hAnsiTheme="majorHAnsi" w:cs="Calibri Light"/>
          <w:noProof/>
        </w:rPr>
      </w:pPr>
      <w:r w:rsidRPr="00DF4ED4">
        <w:rPr>
          <w:rFonts w:asciiTheme="majorHAnsi" w:hAnsiTheme="majorHAnsi" w:cs="Calibri Light"/>
          <w:noProof/>
        </w:rPr>
        <w:t>ne</w:t>
      </w:r>
      <w:r w:rsidR="009B1B83" w:rsidRPr="00DF4ED4">
        <w:rPr>
          <w:rFonts w:asciiTheme="majorHAnsi" w:hAnsiTheme="majorHAnsi" w:cs="Calibri Light"/>
          <w:noProof/>
        </w:rPr>
        <w:t>e</w:t>
      </w:r>
      <w:r w:rsidRPr="00DF4ED4">
        <w:rPr>
          <w:rFonts w:asciiTheme="majorHAnsi" w:hAnsiTheme="majorHAnsi" w:cs="Calibri Light"/>
          <w:noProof/>
        </w:rPr>
        <w:t xml:space="preserve">xcluderii </w:t>
      </w:r>
      <w:r w:rsidR="00667DAA">
        <w:rPr>
          <w:rFonts w:asciiTheme="majorHAnsi" w:hAnsiTheme="majorHAnsi" w:cs="Calibri Light"/>
          <w:noProof/>
        </w:rPr>
        <w:t>sumei</w:t>
      </w:r>
      <w:r w:rsidR="00667DAA" w:rsidRPr="00DF4ED4">
        <w:rPr>
          <w:rFonts w:asciiTheme="majorHAnsi" w:hAnsiTheme="majorHAnsi" w:cs="Calibri Light"/>
          <w:noProof/>
        </w:rPr>
        <w:t xml:space="preserve"> </w:t>
      </w:r>
      <w:r w:rsidR="009B1B83" w:rsidRPr="00DF4ED4">
        <w:rPr>
          <w:rFonts w:asciiTheme="majorHAnsi" w:hAnsiTheme="majorHAnsi" w:cs="Calibri Light"/>
          <w:noProof/>
        </w:rPr>
        <w:t xml:space="preserve">de </w:t>
      </w:r>
      <w:r w:rsidR="009133B5">
        <w:rPr>
          <w:rFonts w:asciiTheme="majorHAnsi" w:hAnsiTheme="majorHAnsi" w:cs="Calibri Light"/>
          <w:noProof/>
        </w:rPr>
        <w:t>86</w:t>
      </w:r>
      <w:r w:rsidR="00324FF9">
        <w:rPr>
          <w:rFonts w:asciiTheme="majorHAnsi" w:hAnsiTheme="majorHAnsi" w:cs="Calibri Light"/>
          <w:noProof/>
        </w:rPr>
        <w:t>.</w:t>
      </w:r>
      <w:r w:rsidR="00057029" w:rsidRPr="00DF4ED4">
        <w:rPr>
          <w:rFonts w:asciiTheme="majorHAnsi" w:hAnsiTheme="majorHAnsi" w:cs="Calibri Light"/>
          <w:noProof/>
        </w:rPr>
        <w:t>133</w:t>
      </w:r>
      <w:r w:rsidR="00DF4ED4">
        <w:rPr>
          <w:rFonts w:asciiTheme="majorHAnsi" w:hAnsiTheme="majorHAnsi" w:cs="Calibri Light"/>
          <w:noProof/>
        </w:rPr>
        <w:t>,0</w:t>
      </w:r>
      <w:r w:rsidR="00057029" w:rsidRPr="00DF4ED4">
        <w:rPr>
          <w:rFonts w:asciiTheme="majorHAnsi" w:hAnsiTheme="majorHAnsi" w:cs="Calibri Light"/>
          <w:noProof/>
        </w:rPr>
        <w:t xml:space="preserve"> mii</w:t>
      </w:r>
      <w:r w:rsidR="009B1B83" w:rsidRPr="00DF4ED4">
        <w:rPr>
          <w:rFonts w:asciiTheme="majorHAnsi" w:hAnsiTheme="majorHAnsi" w:cs="Calibri Light"/>
          <w:noProof/>
        </w:rPr>
        <w:t xml:space="preserve"> le</w:t>
      </w:r>
      <w:r w:rsidR="00057029" w:rsidRPr="00DF4ED4">
        <w:rPr>
          <w:rFonts w:asciiTheme="majorHAnsi" w:hAnsiTheme="majorHAnsi" w:cs="Calibri Light"/>
          <w:noProof/>
        </w:rPr>
        <w:t>i</w:t>
      </w:r>
      <w:r w:rsidR="009B1B83" w:rsidRPr="00DF4ED4">
        <w:rPr>
          <w:rFonts w:asciiTheme="majorHAnsi" w:hAnsiTheme="majorHAnsi" w:cs="Calibri Light"/>
          <w:noProof/>
        </w:rPr>
        <w:t xml:space="preserve"> </w:t>
      </w:r>
      <w:r w:rsidR="00324FF9">
        <w:rPr>
          <w:rFonts w:asciiTheme="majorHAnsi" w:hAnsiTheme="majorHAnsi" w:cs="Calibri Light"/>
          <w:noProof/>
        </w:rPr>
        <w:t xml:space="preserve">aferente </w:t>
      </w:r>
      <w:r w:rsidRPr="00DF4ED4">
        <w:rPr>
          <w:rFonts w:asciiTheme="majorHAnsi" w:hAnsiTheme="majorHAnsi" w:cs="Calibri Light"/>
          <w:noProof/>
        </w:rPr>
        <w:t>terenurilor depuse sub formă de aport în capitalul social a</w:t>
      </w:r>
      <w:r w:rsidR="00324FF9">
        <w:rPr>
          <w:rFonts w:asciiTheme="majorHAnsi" w:hAnsiTheme="majorHAnsi" w:cs="Calibri Light"/>
          <w:noProof/>
        </w:rPr>
        <w:t>l</w:t>
      </w:r>
      <w:r w:rsidRPr="00DF4ED4">
        <w:rPr>
          <w:rFonts w:asciiTheme="majorHAnsi" w:hAnsiTheme="majorHAnsi" w:cs="Calibri Light"/>
          <w:noProof/>
        </w:rPr>
        <w:t xml:space="preserve"> Universității de Stat de Medicină şi </w:t>
      </w:r>
      <w:r w:rsidR="009D7636" w:rsidRPr="00DF4ED4">
        <w:rPr>
          <w:rFonts w:asciiTheme="majorHAnsi" w:hAnsiTheme="majorHAnsi" w:cs="Calibri Light"/>
          <w:noProof/>
        </w:rPr>
        <w:t>Farmacie „Nicolae Testemiţanu”</w:t>
      </w:r>
      <w:r w:rsidR="00324FF9">
        <w:rPr>
          <w:rFonts w:asciiTheme="majorHAnsi" w:hAnsiTheme="majorHAnsi" w:cs="Calibri Light"/>
          <w:noProof/>
        </w:rPr>
        <w:t>;</w:t>
      </w:r>
    </w:p>
    <w:p w14:paraId="1EB4098D" w14:textId="23F83EFB" w:rsidR="009B1FD4" w:rsidRPr="00DF4ED4" w:rsidRDefault="009B1B83" w:rsidP="009B1FD4">
      <w:pPr>
        <w:pStyle w:val="a3"/>
        <w:numPr>
          <w:ilvl w:val="0"/>
          <w:numId w:val="34"/>
        </w:numPr>
        <w:tabs>
          <w:tab w:val="left" w:pos="0"/>
        </w:tabs>
        <w:spacing w:line="276" w:lineRule="auto"/>
        <w:jc w:val="both"/>
        <w:rPr>
          <w:rFonts w:asciiTheme="majorHAnsi" w:hAnsiTheme="majorHAnsi" w:cs="Calibri Light"/>
          <w:noProof/>
        </w:rPr>
      </w:pPr>
      <w:r w:rsidRPr="00DF4ED4">
        <w:rPr>
          <w:rFonts w:asciiTheme="majorHAnsi" w:hAnsiTheme="majorHAnsi" w:cs="Calibri Light"/>
          <w:noProof/>
        </w:rPr>
        <w:t xml:space="preserve">neexcluderii </w:t>
      </w:r>
      <w:r w:rsidR="00667DAA">
        <w:rPr>
          <w:rFonts w:asciiTheme="majorHAnsi" w:hAnsiTheme="majorHAnsi" w:cs="Calibri Light"/>
          <w:noProof/>
        </w:rPr>
        <w:t>sumei</w:t>
      </w:r>
      <w:r w:rsidR="00667DAA" w:rsidRPr="00DF4ED4">
        <w:rPr>
          <w:rFonts w:asciiTheme="majorHAnsi" w:hAnsiTheme="majorHAnsi" w:cs="Calibri Light"/>
          <w:noProof/>
        </w:rPr>
        <w:t xml:space="preserve"> </w:t>
      </w:r>
      <w:r w:rsidRPr="00DF4ED4">
        <w:rPr>
          <w:rFonts w:asciiTheme="majorHAnsi" w:hAnsiTheme="majorHAnsi" w:cs="Calibri Light"/>
          <w:noProof/>
        </w:rPr>
        <w:t xml:space="preserve">de </w:t>
      </w:r>
      <w:r w:rsidR="009133B5">
        <w:rPr>
          <w:rFonts w:asciiTheme="majorHAnsi" w:hAnsiTheme="majorHAnsi" w:cstheme="majorHAnsi"/>
          <w:noProof/>
        </w:rPr>
        <w:t>12</w:t>
      </w:r>
      <w:r w:rsidR="00324FF9">
        <w:rPr>
          <w:rFonts w:asciiTheme="majorHAnsi" w:hAnsiTheme="majorHAnsi" w:cstheme="majorHAnsi"/>
          <w:noProof/>
        </w:rPr>
        <w:t>.</w:t>
      </w:r>
      <w:r w:rsidRPr="00DF4ED4">
        <w:rPr>
          <w:rFonts w:asciiTheme="majorHAnsi" w:hAnsiTheme="majorHAnsi" w:cstheme="majorHAnsi"/>
          <w:noProof/>
        </w:rPr>
        <w:t>666,6 mii lei</w:t>
      </w:r>
      <w:r w:rsidRPr="00DF4ED4">
        <w:rPr>
          <w:rFonts w:asciiTheme="majorHAnsi" w:hAnsiTheme="majorHAnsi" w:cs="Calibri Light"/>
          <w:noProof/>
        </w:rPr>
        <w:t xml:space="preserve"> din evidența contabilă</w:t>
      </w:r>
      <w:r w:rsidR="00324FF9">
        <w:rPr>
          <w:rFonts w:asciiTheme="majorHAnsi" w:hAnsiTheme="majorHAnsi" w:cs="Calibri Light"/>
          <w:noProof/>
        </w:rPr>
        <w:t>,</w:t>
      </w:r>
      <w:r w:rsidRPr="00DF4ED4">
        <w:rPr>
          <w:rFonts w:asciiTheme="majorHAnsi" w:hAnsiTheme="majorHAnsi" w:cs="Calibri Light"/>
          <w:noProof/>
        </w:rPr>
        <w:t xml:space="preserve"> </w:t>
      </w:r>
      <w:r w:rsidR="00324FF9">
        <w:rPr>
          <w:rFonts w:asciiTheme="majorHAnsi" w:hAnsiTheme="majorHAnsi" w:cs="Calibri Light"/>
          <w:noProof/>
        </w:rPr>
        <w:t xml:space="preserve">care reprezintă </w:t>
      </w:r>
      <w:r w:rsidRPr="00DF4ED4">
        <w:rPr>
          <w:rFonts w:asciiTheme="majorHAnsi" w:hAnsiTheme="majorHAnsi" w:cs="Calibri Light"/>
          <w:noProof/>
        </w:rPr>
        <w:t>volumul acțiunilor şi cotei-părți în capitalul social în interiorul țării a 3 instituții medico-sanitare publice</w:t>
      </w:r>
      <w:r w:rsidRPr="00DF4ED4">
        <w:rPr>
          <w:rFonts w:asciiTheme="majorHAnsi" w:eastAsia="Calibri" w:hAnsiTheme="majorHAnsi"/>
          <w:noProof/>
          <w:vertAlign w:val="superscript"/>
        </w:rPr>
        <w:footnoteReference w:id="5"/>
      </w:r>
      <w:r w:rsidRPr="00DF4ED4">
        <w:rPr>
          <w:rFonts w:asciiTheme="majorHAnsi" w:hAnsiTheme="majorHAnsi" w:cs="Calibri Light"/>
          <w:noProof/>
        </w:rPr>
        <w:t xml:space="preserve"> din cele 47 în care Ministerul deține calitatea de fondator, prin ce nu a </w:t>
      </w:r>
      <w:r w:rsidRPr="00DF4ED4">
        <w:rPr>
          <w:rFonts w:asciiTheme="majorHAnsi" w:hAnsiTheme="majorHAnsi" w:cs="Calibri Light"/>
          <w:iCs/>
          <w:noProof/>
        </w:rPr>
        <w:t>micşorat volumului acţiunilor şi a cotei</w:t>
      </w:r>
      <w:r w:rsidR="00667DAA">
        <w:rPr>
          <w:rFonts w:asciiTheme="majorHAnsi" w:hAnsiTheme="majorHAnsi" w:cs="Calibri Light"/>
          <w:iCs/>
          <w:noProof/>
        </w:rPr>
        <w:t>-</w:t>
      </w:r>
      <w:r w:rsidRPr="00DF4ED4">
        <w:rPr>
          <w:rFonts w:asciiTheme="majorHAnsi" w:hAnsiTheme="majorHAnsi" w:cs="Calibri Light"/>
          <w:iCs/>
          <w:noProof/>
        </w:rPr>
        <w:t>părţi în capitalul social în interiorul ţării ca rezultat a</w:t>
      </w:r>
      <w:r w:rsidR="00667DAA">
        <w:rPr>
          <w:rFonts w:asciiTheme="majorHAnsi" w:hAnsiTheme="majorHAnsi" w:cs="Calibri Light"/>
          <w:iCs/>
          <w:noProof/>
        </w:rPr>
        <w:t>l:</w:t>
      </w:r>
      <w:r w:rsidRPr="00DF4ED4">
        <w:rPr>
          <w:rFonts w:asciiTheme="majorHAnsi" w:hAnsiTheme="majorHAnsi" w:cs="Calibri Light"/>
          <w:iCs/>
          <w:noProof/>
        </w:rPr>
        <w:t xml:space="preserve"> </w:t>
      </w:r>
      <w:r w:rsidRPr="00DF4ED4">
        <w:rPr>
          <w:rFonts w:asciiTheme="majorHAnsi" w:hAnsiTheme="majorHAnsi" w:cs="Calibri Light"/>
          <w:b/>
          <w:iCs/>
          <w:noProof/>
        </w:rPr>
        <w:t xml:space="preserve">(I) </w:t>
      </w:r>
      <w:r w:rsidRPr="00DF4ED4">
        <w:rPr>
          <w:rFonts w:asciiTheme="majorHAnsi" w:hAnsiTheme="majorHAnsi" w:cs="Calibri Light"/>
          <w:iCs/>
          <w:noProof/>
        </w:rPr>
        <w:t>privatizării spațiului locativ de către foștii angajați ai Instituției</w:t>
      </w:r>
      <w:r w:rsidR="00667DAA">
        <w:rPr>
          <w:rFonts w:asciiTheme="majorHAnsi" w:hAnsiTheme="majorHAnsi" w:cs="Calibri Light"/>
          <w:iCs/>
          <w:noProof/>
        </w:rPr>
        <w:t>;</w:t>
      </w:r>
      <w:r w:rsidRPr="00DF4ED4">
        <w:rPr>
          <w:rFonts w:asciiTheme="majorHAnsi" w:hAnsiTheme="majorHAnsi" w:cs="Calibri Light"/>
          <w:iCs/>
          <w:noProof/>
        </w:rPr>
        <w:t xml:space="preserve"> </w:t>
      </w:r>
      <w:r w:rsidRPr="00DF4ED4">
        <w:rPr>
          <w:rFonts w:asciiTheme="majorHAnsi" w:hAnsiTheme="majorHAnsi" w:cs="Calibri Light"/>
          <w:b/>
          <w:iCs/>
          <w:noProof/>
        </w:rPr>
        <w:t>(II)</w:t>
      </w:r>
      <w:r w:rsidRPr="00DF4ED4">
        <w:rPr>
          <w:rFonts w:asciiTheme="majorHAnsi" w:hAnsiTheme="majorHAnsi" w:cs="Calibri Light"/>
          <w:iCs/>
          <w:noProof/>
        </w:rPr>
        <w:t xml:space="preserve"> demolării unor construcții</w:t>
      </w:r>
      <w:r w:rsidR="00667DAA">
        <w:rPr>
          <w:rFonts w:asciiTheme="majorHAnsi" w:hAnsiTheme="majorHAnsi" w:cs="Calibri Light"/>
          <w:iCs/>
          <w:noProof/>
        </w:rPr>
        <w:t>;</w:t>
      </w:r>
      <w:r w:rsidRPr="00DF4ED4">
        <w:rPr>
          <w:rFonts w:asciiTheme="majorHAnsi" w:hAnsiTheme="majorHAnsi" w:cs="Calibri Light"/>
          <w:iCs/>
          <w:noProof/>
        </w:rPr>
        <w:t xml:space="preserve"> </w:t>
      </w:r>
      <w:r w:rsidRPr="00DF4ED4">
        <w:rPr>
          <w:rFonts w:asciiTheme="majorHAnsi" w:hAnsiTheme="majorHAnsi" w:cs="Calibri Light"/>
          <w:b/>
          <w:iCs/>
          <w:noProof/>
        </w:rPr>
        <w:t>(III)</w:t>
      </w:r>
      <w:r w:rsidRPr="00DF4ED4">
        <w:rPr>
          <w:rFonts w:asciiTheme="majorHAnsi" w:hAnsiTheme="majorHAnsi" w:cs="Calibri Light"/>
          <w:iCs/>
          <w:noProof/>
        </w:rPr>
        <w:t xml:space="preserve"> căsării mijloacelor fixe, care </w:t>
      </w:r>
      <w:r w:rsidR="00667DAA">
        <w:rPr>
          <w:rFonts w:asciiTheme="majorHAnsi" w:hAnsiTheme="majorHAnsi" w:cs="Calibri Light"/>
          <w:iCs/>
          <w:noProof/>
        </w:rPr>
        <w:t>reprezenta</w:t>
      </w:r>
      <w:r w:rsidRPr="00DF4ED4">
        <w:rPr>
          <w:rFonts w:asciiTheme="majorHAnsi" w:hAnsiTheme="majorHAnsi" w:cs="Calibri Light"/>
          <w:iCs/>
          <w:noProof/>
        </w:rPr>
        <w:t xml:space="preserve"> componenta capitalului social la data formării acestuia</w:t>
      </w:r>
      <w:r w:rsidR="009B1FD4" w:rsidRPr="00DF4ED4">
        <w:rPr>
          <w:rFonts w:asciiTheme="majorHAnsi" w:hAnsiTheme="majorHAnsi" w:cs="Calibri Light"/>
          <w:noProof/>
        </w:rPr>
        <w:t>;</w:t>
      </w:r>
      <w:r w:rsidRPr="00DF4ED4">
        <w:rPr>
          <w:rFonts w:asciiTheme="majorHAnsi" w:hAnsiTheme="majorHAnsi" w:cs="Calibri Light"/>
          <w:noProof/>
        </w:rPr>
        <w:t xml:space="preserve"> </w:t>
      </w:r>
    </w:p>
    <w:p w14:paraId="798A0684" w14:textId="6B081C2E" w:rsidR="009B1FD4" w:rsidRDefault="003212E0" w:rsidP="009B1FD4">
      <w:pPr>
        <w:pStyle w:val="a3"/>
        <w:numPr>
          <w:ilvl w:val="1"/>
          <w:numId w:val="26"/>
        </w:numPr>
        <w:spacing w:line="276" w:lineRule="auto"/>
        <w:ind w:firstLine="66"/>
        <w:jc w:val="both"/>
        <w:rPr>
          <w:rFonts w:asciiTheme="majorHAnsi" w:hAnsiTheme="majorHAnsi" w:cs="Calibri Light"/>
          <w:noProof/>
        </w:rPr>
      </w:pPr>
      <w:r>
        <w:rPr>
          <w:rFonts w:asciiTheme="majorHAnsi" w:hAnsiTheme="majorHAnsi" w:cs="Calibri Light"/>
          <w:noProof/>
        </w:rPr>
        <w:t>m</w:t>
      </w:r>
      <w:r w:rsidR="00EB11AE" w:rsidRPr="00EB11AE">
        <w:rPr>
          <w:rFonts w:asciiTheme="majorHAnsi" w:hAnsiTheme="majorHAnsi" w:cs="Calibri Light"/>
          <w:noProof/>
        </w:rPr>
        <w:t xml:space="preserve">inisterul a interpretat eronat prevederile Ordinului </w:t>
      </w:r>
      <w:r w:rsidR="009B1FD4">
        <w:rPr>
          <w:rFonts w:asciiTheme="majorHAnsi" w:hAnsiTheme="majorHAnsi" w:cs="Calibri Light"/>
          <w:noProof/>
        </w:rPr>
        <w:t>MF</w:t>
      </w:r>
      <w:r w:rsidR="00EB11AE" w:rsidRPr="00EB11AE">
        <w:rPr>
          <w:rFonts w:asciiTheme="majorHAnsi" w:hAnsiTheme="majorHAnsi" w:cs="Calibri Light"/>
          <w:noProof/>
        </w:rPr>
        <w:t xml:space="preserve"> nr.216/2015  și a </w:t>
      </w:r>
      <w:r w:rsidR="009B1FD4">
        <w:rPr>
          <w:rFonts w:asciiTheme="majorHAnsi" w:hAnsiTheme="majorHAnsi" w:cs="Calibri Light"/>
          <w:noProof/>
        </w:rPr>
        <w:t>raportat eronat valorea grupei de conturi 31</w:t>
      </w:r>
      <w:r w:rsidR="009133B5">
        <w:rPr>
          <w:rFonts w:asciiTheme="majorHAnsi" w:hAnsiTheme="majorHAnsi" w:cs="Calibri Light"/>
          <w:noProof/>
        </w:rPr>
        <w:t xml:space="preserve">1 „Clădiri” în </w:t>
      </w:r>
      <w:r w:rsidR="009C2606">
        <w:rPr>
          <w:rFonts w:asciiTheme="majorHAnsi" w:hAnsiTheme="majorHAnsi" w:cs="Calibri Light"/>
          <w:noProof/>
        </w:rPr>
        <w:t xml:space="preserve">sumă </w:t>
      </w:r>
      <w:r w:rsidR="009133B5">
        <w:rPr>
          <w:rFonts w:asciiTheme="majorHAnsi" w:hAnsiTheme="majorHAnsi" w:cs="Calibri Light"/>
          <w:noProof/>
        </w:rPr>
        <w:t xml:space="preserve">de </w:t>
      </w:r>
      <w:r w:rsidR="00186C29">
        <w:rPr>
          <w:rFonts w:asciiTheme="majorHAnsi" w:hAnsiTheme="majorHAnsi" w:cs="Calibri Light"/>
          <w:noProof/>
        </w:rPr>
        <w:t>75</w:t>
      </w:r>
      <w:r w:rsidR="009C2606">
        <w:rPr>
          <w:rFonts w:asciiTheme="majorHAnsi" w:hAnsiTheme="majorHAnsi" w:cs="Calibri Light"/>
          <w:noProof/>
        </w:rPr>
        <w:t>.</w:t>
      </w:r>
      <w:r w:rsidR="00186C29">
        <w:rPr>
          <w:rFonts w:asciiTheme="majorHAnsi" w:hAnsiTheme="majorHAnsi" w:cs="Calibri Light"/>
          <w:noProof/>
        </w:rPr>
        <w:t>248,5</w:t>
      </w:r>
      <w:r w:rsidR="009B1FD4">
        <w:rPr>
          <w:rFonts w:asciiTheme="majorHAnsi" w:hAnsiTheme="majorHAnsi" w:cs="Calibri Light"/>
          <w:noProof/>
        </w:rPr>
        <w:t xml:space="preserve"> mii lei</w:t>
      </w:r>
      <w:r w:rsidR="009C2606">
        <w:rPr>
          <w:rFonts w:asciiTheme="majorHAnsi" w:hAnsiTheme="majorHAnsi" w:cs="Calibri Light"/>
          <w:noProof/>
        </w:rPr>
        <w:t>,</w:t>
      </w:r>
      <w:r w:rsidR="009B1FD4">
        <w:rPr>
          <w:rFonts w:asciiTheme="majorHAnsi" w:hAnsiTheme="majorHAnsi" w:cs="Calibri Light"/>
          <w:noProof/>
        </w:rPr>
        <w:t xml:space="preserve"> după cum urmează:</w:t>
      </w:r>
    </w:p>
    <w:p w14:paraId="1118B522" w14:textId="71F859F6" w:rsidR="00EB11AE" w:rsidRDefault="009B1FD4" w:rsidP="009B1FD4">
      <w:pPr>
        <w:pStyle w:val="a3"/>
        <w:numPr>
          <w:ilvl w:val="0"/>
          <w:numId w:val="35"/>
        </w:numPr>
        <w:spacing w:line="276" w:lineRule="auto"/>
        <w:jc w:val="both"/>
        <w:rPr>
          <w:rFonts w:asciiTheme="majorHAnsi" w:hAnsiTheme="majorHAnsi" w:cs="Calibri Light"/>
          <w:noProof/>
        </w:rPr>
      </w:pPr>
      <w:r>
        <w:rPr>
          <w:rFonts w:asciiTheme="majorHAnsi" w:hAnsiTheme="majorHAnsi" w:cs="Calibri Light"/>
          <w:noProof/>
        </w:rPr>
        <w:t xml:space="preserve">nu a contabilizat regulamentar </w:t>
      </w:r>
      <w:r w:rsidR="00EB11AE" w:rsidRPr="009B1FD4">
        <w:rPr>
          <w:rFonts w:asciiTheme="majorHAnsi" w:hAnsiTheme="majorHAnsi" w:cs="Calibri Light"/>
          <w:noProof/>
        </w:rPr>
        <w:t>volumele de investiții realizate la obiectul „Blocul locativ str. Alba</w:t>
      </w:r>
      <w:r w:rsidR="00AC075C">
        <w:rPr>
          <w:rFonts w:asciiTheme="majorHAnsi" w:hAnsiTheme="majorHAnsi" w:cs="Calibri Light"/>
          <w:noProof/>
        </w:rPr>
        <w:t>-</w:t>
      </w:r>
      <w:r w:rsidR="00EB11AE" w:rsidRPr="009B1FD4">
        <w:rPr>
          <w:rFonts w:asciiTheme="majorHAnsi" w:hAnsiTheme="majorHAnsi" w:cs="Calibri Light"/>
          <w:noProof/>
        </w:rPr>
        <w:t>Iulia”. Astfel</w:t>
      </w:r>
      <w:r w:rsidR="009C2606">
        <w:rPr>
          <w:rFonts w:asciiTheme="majorHAnsi" w:hAnsiTheme="majorHAnsi" w:cs="Calibri Light"/>
          <w:noProof/>
        </w:rPr>
        <w:t>,</w:t>
      </w:r>
      <w:r w:rsidR="00EB11AE" w:rsidRPr="009B1FD4">
        <w:rPr>
          <w:rFonts w:asciiTheme="majorHAnsi" w:hAnsiTheme="majorHAnsi" w:cs="Calibri Light"/>
          <w:noProof/>
        </w:rPr>
        <w:t xml:space="preserve"> soldul conturilor 311 „Clădiri” a fost subevaluat cu 67</w:t>
      </w:r>
      <w:r w:rsidR="009C2606">
        <w:rPr>
          <w:rFonts w:asciiTheme="majorHAnsi" w:hAnsiTheme="majorHAnsi" w:cs="Calibri Light"/>
          <w:noProof/>
        </w:rPr>
        <w:t>.</w:t>
      </w:r>
      <w:r w:rsidR="00EB11AE" w:rsidRPr="009B1FD4">
        <w:rPr>
          <w:rFonts w:asciiTheme="majorHAnsi" w:hAnsiTheme="majorHAnsi" w:cs="Calibri Light"/>
          <w:noProof/>
        </w:rPr>
        <w:t>730,5 mii lei, iar soldul contului 319 „Investiții capitale în curs de execuție” a fost supraevaluat cu ace</w:t>
      </w:r>
      <w:r w:rsidR="009C2606">
        <w:rPr>
          <w:rFonts w:asciiTheme="majorHAnsi" w:hAnsiTheme="majorHAnsi" w:cs="Calibri Light"/>
          <w:noProof/>
        </w:rPr>
        <w:t>e</w:t>
      </w:r>
      <w:r w:rsidR="00EB11AE" w:rsidRPr="009B1FD4">
        <w:rPr>
          <w:rFonts w:asciiTheme="majorHAnsi" w:hAnsiTheme="majorHAnsi" w:cs="Calibri Light"/>
          <w:noProof/>
        </w:rPr>
        <w:t>ași sumă, deoarece pentru acesta au fost întocmite în an</w:t>
      </w:r>
      <w:r w:rsidR="00E2326F" w:rsidRPr="009B1FD4">
        <w:rPr>
          <w:rFonts w:asciiTheme="majorHAnsi" w:hAnsiTheme="majorHAnsi" w:cs="Calibri Light"/>
          <w:noProof/>
        </w:rPr>
        <w:t>ul 2020 acte de recepție finală;</w:t>
      </w:r>
    </w:p>
    <w:p w14:paraId="0F41FE7E" w14:textId="47559A6B" w:rsidR="009B1FD4" w:rsidRPr="009D7636" w:rsidRDefault="009B1FD4" w:rsidP="009D7636">
      <w:pPr>
        <w:pStyle w:val="a3"/>
        <w:numPr>
          <w:ilvl w:val="0"/>
          <w:numId w:val="35"/>
        </w:numPr>
        <w:spacing w:line="276" w:lineRule="auto"/>
        <w:jc w:val="both"/>
        <w:rPr>
          <w:rFonts w:asciiTheme="majorHAnsi" w:hAnsiTheme="majorHAnsi" w:cs="Calibri Light"/>
          <w:noProof/>
        </w:rPr>
      </w:pPr>
      <w:r w:rsidRPr="009B1FD4">
        <w:rPr>
          <w:rFonts w:asciiTheme="majorHAnsi" w:hAnsiTheme="majorHAnsi" w:cs="Calibri Light"/>
          <w:noProof/>
        </w:rPr>
        <w:t xml:space="preserve">deținerea și raportarea valorii a 2 blocuri </w:t>
      </w:r>
      <w:r w:rsidR="009C2606">
        <w:rPr>
          <w:rFonts w:asciiTheme="majorHAnsi" w:hAnsiTheme="majorHAnsi" w:cs="Calibri Light"/>
          <w:noProof/>
        </w:rPr>
        <w:t xml:space="preserve">de </w:t>
      </w:r>
      <w:r w:rsidRPr="009B1FD4">
        <w:rPr>
          <w:rFonts w:asciiTheme="majorHAnsi" w:hAnsiTheme="majorHAnsi" w:cs="Calibri Light"/>
          <w:noProof/>
        </w:rPr>
        <w:t>loc</w:t>
      </w:r>
      <w:r w:rsidR="009C2606">
        <w:rPr>
          <w:rFonts w:asciiTheme="majorHAnsi" w:hAnsiTheme="majorHAnsi" w:cs="Calibri Light"/>
          <w:noProof/>
        </w:rPr>
        <w:t>uințe</w:t>
      </w:r>
      <w:r w:rsidRPr="009B1FD4">
        <w:rPr>
          <w:rFonts w:asciiTheme="majorHAnsi" w:hAnsiTheme="majorHAnsi" w:cs="Calibri Light"/>
          <w:noProof/>
        </w:rPr>
        <w:t xml:space="preserve"> privatizate și raportate de către 2 instituții</w:t>
      </w:r>
      <w:r w:rsidRPr="00967339">
        <w:rPr>
          <w:rFonts w:asciiTheme="majorHAnsi" w:hAnsiTheme="majorHAnsi" w:cstheme="majorHAnsi"/>
          <w:bCs/>
          <w:noProof/>
        </w:rPr>
        <w:t xml:space="preserve"> </w:t>
      </w:r>
      <w:r>
        <w:rPr>
          <w:rFonts w:asciiTheme="majorHAnsi" w:hAnsiTheme="majorHAnsi" w:cstheme="majorHAnsi"/>
          <w:bCs/>
          <w:noProof/>
        </w:rPr>
        <w:t xml:space="preserve">și </w:t>
      </w:r>
      <w:r w:rsidRPr="009B1FD4">
        <w:rPr>
          <w:rFonts w:asciiTheme="majorHAnsi" w:hAnsiTheme="majorHAnsi" w:cs="Calibri Light"/>
          <w:noProof/>
        </w:rPr>
        <w:t>neevaluar</w:t>
      </w:r>
      <w:r w:rsidR="00BE5F9C">
        <w:rPr>
          <w:rFonts w:asciiTheme="majorHAnsi" w:hAnsiTheme="majorHAnsi" w:cs="Calibri Light"/>
          <w:noProof/>
        </w:rPr>
        <w:t>ea valorii reale a 25</w:t>
      </w:r>
      <w:r>
        <w:rPr>
          <w:rFonts w:asciiTheme="majorHAnsi" w:hAnsiTheme="majorHAnsi" w:cs="Calibri Light"/>
          <w:noProof/>
        </w:rPr>
        <w:t xml:space="preserve"> </w:t>
      </w:r>
      <w:r w:rsidR="009C2606">
        <w:rPr>
          <w:rFonts w:asciiTheme="majorHAnsi" w:hAnsiTheme="majorHAnsi" w:cs="Calibri Light"/>
          <w:noProof/>
        </w:rPr>
        <w:t xml:space="preserve">de </w:t>
      </w:r>
      <w:r>
        <w:rPr>
          <w:rFonts w:asciiTheme="majorHAnsi" w:hAnsiTheme="majorHAnsi" w:cs="Calibri Light"/>
          <w:noProof/>
        </w:rPr>
        <w:t>clădiri</w:t>
      </w:r>
      <w:r w:rsidR="00BE5F9C">
        <w:rPr>
          <w:rStyle w:val="ad"/>
          <w:rFonts w:asciiTheme="majorHAnsi" w:hAnsiTheme="majorHAnsi" w:cs="Calibri Light"/>
          <w:noProof/>
        </w:rPr>
        <w:footnoteReference w:id="6"/>
      </w:r>
      <w:r>
        <w:rPr>
          <w:rFonts w:asciiTheme="majorHAnsi" w:hAnsiTheme="majorHAnsi" w:cs="Calibri Light"/>
          <w:noProof/>
        </w:rPr>
        <w:t xml:space="preserve">, </w:t>
      </w:r>
      <w:r w:rsidR="003212E0">
        <w:rPr>
          <w:rFonts w:asciiTheme="majorHAnsi" w:hAnsiTheme="majorHAnsi" w:cs="Calibri Light"/>
          <w:noProof/>
        </w:rPr>
        <w:t xml:space="preserve">care </w:t>
      </w:r>
      <w:r w:rsidRPr="009B1FD4">
        <w:rPr>
          <w:rFonts w:asciiTheme="majorHAnsi" w:hAnsiTheme="majorHAnsi" w:cs="Calibri Light"/>
          <w:noProof/>
        </w:rPr>
        <w:t>a</w:t>
      </w:r>
      <w:r>
        <w:rPr>
          <w:rFonts w:asciiTheme="majorHAnsi" w:hAnsiTheme="majorHAnsi" w:cs="Calibri Light"/>
          <w:noProof/>
        </w:rPr>
        <w:t xml:space="preserve"> fost </w:t>
      </w:r>
      <w:r w:rsidRPr="009B1FD4">
        <w:rPr>
          <w:rFonts w:asciiTheme="majorHAnsi" w:hAnsiTheme="majorHAnsi" w:cs="Calibri Light"/>
          <w:noProof/>
        </w:rPr>
        <w:t>supra</w:t>
      </w:r>
      <w:r w:rsidR="009133B5">
        <w:rPr>
          <w:rFonts w:asciiTheme="majorHAnsi" w:hAnsiTheme="majorHAnsi" w:cs="Calibri Light"/>
          <w:noProof/>
        </w:rPr>
        <w:t>evaluată cu 7</w:t>
      </w:r>
      <w:r w:rsidR="003212E0">
        <w:rPr>
          <w:rFonts w:asciiTheme="majorHAnsi" w:hAnsiTheme="majorHAnsi" w:cs="Calibri Light"/>
          <w:noProof/>
        </w:rPr>
        <w:t>.</w:t>
      </w:r>
      <w:r>
        <w:rPr>
          <w:rFonts w:asciiTheme="majorHAnsi" w:hAnsiTheme="majorHAnsi" w:cs="Calibri Light"/>
          <w:noProof/>
        </w:rPr>
        <w:t xml:space="preserve">518,0 mii lei </w:t>
      </w:r>
      <w:r w:rsidR="003212E0">
        <w:rPr>
          <w:rFonts w:asciiTheme="majorHAnsi" w:hAnsiTheme="majorHAnsi" w:cs="Calibri Light"/>
          <w:noProof/>
        </w:rPr>
        <w:t xml:space="preserve">la </w:t>
      </w:r>
      <w:r>
        <w:rPr>
          <w:rFonts w:asciiTheme="majorHAnsi" w:hAnsiTheme="majorHAnsi" w:cstheme="majorHAnsi"/>
          <w:bCs/>
          <w:noProof/>
        </w:rPr>
        <w:t>grup</w:t>
      </w:r>
      <w:r w:rsidR="003212E0">
        <w:rPr>
          <w:rFonts w:asciiTheme="majorHAnsi" w:hAnsiTheme="majorHAnsi" w:cstheme="majorHAnsi"/>
          <w:bCs/>
          <w:noProof/>
        </w:rPr>
        <w:t>a</w:t>
      </w:r>
      <w:r>
        <w:rPr>
          <w:rFonts w:asciiTheme="majorHAnsi" w:hAnsiTheme="majorHAnsi" w:cstheme="majorHAnsi"/>
          <w:bCs/>
          <w:noProof/>
        </w:rPr>
        <w:t xml:space="preserve"> de conturi 311 „Clădiri”;</w:t>
      </w:r>
    </w:p>
    <w:p w14:paraId="413BD1CF" w14:textId="7CA3E505" w:rsidR="00155145" w:rsidRPr="009D7636" w:rsidRDefault="003212E0"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F54914" w:rsidRPr="00967339">
        <w:rPr>
          <w:rFonts w:asciiTheme="majorHAnsi" w:hAnsiTheme="majorHAnsi" w:cstheme="majorHAnsi"/>
          <w:noProof/>
        </w:rPr>
        <w:t xml:space="preserve">inisterul </w:t>
      </w:r>
      <w:r w:rsidR="00F54914" w:rsidRPr="00967339">
        <w:rPr>
          <w:rFonts w:asciiTheme="majorHAnsi" w:hAnsiTheme="majorHAnsi" w:cstheme="majorHAnsi"/>
          <w:bCs/>
          <w:noProof/>
        </w:rPr>
        <w:t>a raportat eronat</w:t>
      </w:r>
      <w:r w:rsidR="00E9589C" w:rsidRPr="00967339">
        <w:rPr>
          <w:rFonts w:asciiTheme="majorHAnsi" w:hAnsiTheme="majorHAnsi" w:cstheme="majorHAnsi"/>
          <w:bCs/>
          <w:noProof/>
        </w:rPr>
        <w:t xml:space="preserve">, </w:t>
      </w:r>
      <w:r w:rsidR="00247FE7" w:rsidRPr="00967339">
        <w:rPr>
          <w:rFonts w:asciiTheme="majorHAnsi" w:hAnsiTheme="majorHAnsi" w:cstheme="majorHAnsi"/>
          <w:noProof/>
        </w:rPr>
        <w:t>diminu</w:t>
      </w:r>
      <w:r w:rsidR="00292616" w:rsidRPr="00967339">
        <w:rPr>
          <w:rFonts w:asciiTheme="majorHAnsi" w:hAnsiTheme="majorHAnsi" w:cstheme="majorHAnsi"/>
          <w:noProof/>
        </w:rPr>
        <w:t>â</w:t>
      </w:r>
      <w:r w:rsidR="00E9589C" w:rsidRPr="00967339">
        <w:rPr>
          <w:rFonts w:asciiTheme="majorHAnsi" w:hAnsiTheme="majorHAnsi" w:cstheme="majorHAnsi"/>
          <w:noProof/>
        </w:rPr>
        <w:t>nd</w:t>
      </w:r>
      <w:r w:rsidR="00247FE7" w:rsidRPr="00967339">
        <w:rPr>
          <w:rFonts w:asciiTheme="majorHAnsi" w:hAnsiTheme="majorHAnsi" w:cstheme="majorHAnsi"/>
          <w:noProof/>
        </w:rPr>
        <w:t xml:space="preserve"> cu </w:t>
      </w:r>
      <w:r w:rsidR="003617BB" w:rsidRPr="003617BB">
        <w:rPr>
          <w:rFonts w:asciiTheme="majorHAnsi" w:hAnsiTheme="majorHAnsi" w:cstheme="majorHAnsi"/>
          <w:noProof/>
        </w:rPr>
        <w:t xml:space="preserve">253,8 mii lei </w:t>
      </w:r>
      <w:r w:rsidR="00F54914" w:rsidRPr="00967339">
        <w:rPr>
          <w:rFonts w:asciiTheme="majorHAnsi" w:hAnsiTheme="majorHAnsi" w:cstheme="majorHAnsi"/>
          <w:noProof/>
        </w:rPr>
        <w:t>i</w:t>
      </w:r>
      <w:r w:rsidR="00247FE7" w:rsidRPr="00967339">
        <w:rPr>
          <w:rFonts w:asciiTheme="majorHAnsi" w:hAnsiTheme="majorHAnsi" w:cstheme="majorHAnsi"/>
          <w:noProof/>
        </w:rPr>
        <w:t>nformați</w:t>
      </w:r>
      <w:r w:rsidR="008E38A9">
        <w:rPr>
          <w:rFonts w:asciiTheme="majorHAnsi" w:hAnsiTheme="majorHAnsi" w:cstheme="majorHAnsi"/>
          <w:noProof/>
        </w:rPr>
        <w:t>a</w:t>
      </w:r>
      <w:r w:rsidR="00F54914" w:rsidRPr="00967339">
        <w:rPr>
          <w:rFonts w:asciiTheme="majorHAnsi" w:hAnsiTheme="majorHAnsi" w:cstheme="majorHAnsi"/>
          <w:noProof/>
        </w:rPr>
        <w:t xml:space="preserve"> grupei de co</w:t>
      </w:r>
      <w:r w:rsidR="00B42C14" w:rsidRPr="00967339">
        <w:rPr>
          <w:rFonts w:asciiTheme="majorHAnsi" w:hAnsiTheme="majorHAnsi" w:cstheme="majorHAnsi"/>
          <w:noProof/>
        </w:rPr>
        <w:t>nturi 319 „Investiț</w:t>
      </w:r>
      <w:r w:rsidR="00E9589C" w:rsidRPr="00967339">
        <w:rPr>
          <w:rFonts w:asciiTheme="majorHAnsi" w:hAnsiTheme="majorHAnsi" w:cstheme="majorHAnsi"/>
          <w:noProof/>
        </w:rPr>
        <w:t>ii capitale î</w:t>
      </w:r>
      <w:r w:rsidR="00F54914" w:rsidRPr="00967339">
        <w:rPr>
          <w:rFonts w:asciiTheme="majorHAnsi" w:hAnsiTheme="majorHAnsi" w:cstheme="majorHAnsi"/>
          <w:noProof/>
        </w:rPr>
        <w:t>n active în curs de execuţie</w:t>
      </w:r>
      <w:r w:rsidR="00247FE7" w:rsidRPr="00967339">
        <w:rPr>
          <w:rFonts w:asciiTheme="majorHAnsi" w:hAnsiTheme="majorHAnsi" w:cstheme="majorHAnsi"/>
          <w:noProof/>
        </w:rPr>
        <w:t>”, ca urmare a neajustării valorii</w:t>
      </w:r>
      <w:r w:rsidR="003A37A7" w:rsidRPr="00967339">
        <w:rPr>
          <w:rFonts w:asciiTheme="majorHAnsi" w:hAnsiTheme="majorHAnsi" w:cstheme="majorHAnsi"/>
          <w:noProof/>
        </w:rPr>
        <w:t xml:space="preserve"> </w:t>
      </w:r>
      <w:r w:rsidR="00F43C02">
        <w:rPr>
          <w:rFonts w:asciiTheme="majorHAnsi" w:hAnsiTheme="majorHAnsi" w:cstheme="majorHAnsi"/>
          <w:bCs/>
          <w:noProof/>
        </w:rPr>
        <w:t>potrivit</w:t>
      </w:r>
      <w:r w:rsidR="00F43C02" w:rsidRPr="00967339">
        <w:rPr>
          <w:rFonts w:asciiTheme="majorHAnsi" w:hAnsiTheme="majorHAnsi" w:cstheme="majorHAnsi"/>
          <w:bCs/>
          <w:noProof/>
        </w:rPr>
        <w:t xml:space="preserve"> Ordinul</w:t>
      </w:r>
      <w:r w:rsidR="00F43C02">
        <w:rPr>
          <w:rFonts w:asciiTheme="majorHAnsi" w:hAnsiTheme="majorHAnsi" w:cstheme="majorHAnsi"/>
          <w:bCs/>
          <w:noProof/>
        </w:rPr>
        <w:t>ui</w:t>
      </w:r>
      <w:r w:rsidR="00F43C02" w:rsidRPr="00967339">
        <w:rPr>
          <w:rFonts w:asciiTheme="majorHAnsi" w:hAnsiTheme="majorHAnsi" w:cstheme="majorHAnsi"/>
          <w:bCs/>
          <w:noProof/>
        </w:rPr>
        <w:t xml:space="preserve"> </w:t>
      </w:r>
      <w:r>
        <w:rPr>
          <w:rFonts w:asciiTheme="majorHAnsi" w:hAnsiTheme="majorHAnsi" w:cstheme="majorHAnsi"/>
          <w:bCs/>
          <w:noProof/>
        </w:rPr>
        <w:t xml:space="preserve">MF </w:t>
      </w:r>
      <w:r w:rsidR="00F43C02" w:rsidRPr="00967339">
        <w:rPr>
          <w:rFonts w:asciiTheme="majorHAnsi" w:hAnsiTheme="majorHAnsi" w:cstheme="majorHAnsi"/>
          <w:bCs/>
          <w:noProof/>
        </w:rPr>
        <w:t>nr.216/2015</w:t>
      </w:r>
      <w:r w:rsidR="00F43C02">
        <w:rPr>
          <w:rFonts w:asciiTheme="majorHAnsi" w:hAnsiTheme="majorHAnsi" w:cstheme="majorHAnsi"/>
          <w:bCs/>
          <w:noProof/>
        </w:rPr>
        <w:t xml:space="preserve"> </w:t>
      </w:r>
      <w:r w:rsidR="003A37A7" w:rsidRPr="00967339">
        <w:rPr>
          <w:rFonts w:asciiTheme="majorHAnsi" w:hAnsiTheme="majorHAnsi" w:cstheme="majorHAnsi"/>
          <w:noProof/>
        </w:rPr>
        <w:t>în evidența contabilă</w:t>
      </w:r>
      <w:r w:rsidR="00F179B7">
        <w:rPr>
          <w:rFonts w:asciiTheme="majorHAnsi" w:hAnsiTheme="majorHAnsi" w:cstheme="majorHAnsi"/>
          <w:noProof/>
        </w:rPr>
        <w:t xml:space="preserve"> în baza</w:t>
      </w:r>
      <w:r w:rsidR="003A37A7" w:rsidRPr="00967339">
        <w:rPr>
          <w:rFonts w:asciiTheme="majorHAnsi" w:hAnsiTheme="majorHAnsi" w:cstheme="majorHAnsi"/>
          <w:noProof/>
        </w:rPr>
        <w:t xml:space="preserve"> valorii </w:t>
      </w:r>
      <w:r w:rsidR="00247FE7" w:rsidRPr="00967339">
        <w:rPr>
          <w:rFonts w:asciiTheme="majorHAnsi" w:hAnsiTheme="majorHAnsi" w:cstheme="majorHAnsi"/>
          <w:noProof/>
        </w:rPr>
        <w:t>cadastrale a clădirii administrate de Centrul de Educa</w:t>
      </w:r>
      <w:r>
        <w:rPr>
          <w:rFonts w:asciiTheme="majorHAnsi" w:hAnsiTheme="majorHAnsi" w:cstheme="majorHAnsi"/>
          <w:noProof/>
        </w:rPr>
        <w:t>ț</w:t>
      </w:r>
      <w:r w:rsidR="00247FE7" w:rsidRPr="00967339">
        <w:rPr>
          <w:rFonts w:asciiTheme="majorHAnsi" w:hAnsiTheme="majorHAnsi" w:cstheme="majorHAnsi"/>
          <w:noProof/>
        </w:rPr>
        <w:t>ie Medical</w:t>
      </w:r>
      <w:r>
        <w:rPr>
          <w:rFonts w:asciiTheme="majorHAnsi" w:hAnsiTheme="majorHAnsi" w:cstheme="majorHAnsi"/>
          <w:noProof/>
        </w:rPr>
        <w:t>ă</w:t>
      </w:r>
      <w:r w:rsidR="00247FE7" w:rsidRPr="00967339">
        <w:rPr>
          <w:rFonts w:asciiTheme="majorHAnsi" w:hAnsiTheme="majorHAnsi" w:cstheme="majorHAnsi"/>
          <w:noProof/>
        </w:rPr>
        <w:t xml:space="preserve"> Continu</w:t>
      </w:r>
      <w:r>
        <w:rPr>
          <w:rFonts w:asciiTheme="majorHAnsi" w:hAnsiTheme="majorHAnsi" w:cstheme="majorHAnsi"/>
          <w:noProof/>
        </w:rPr>
        <w:t>ă</w:t>
      </w:r>
      <w:r w:rsidR="00247FE7" w:rsidRPr="00967339">
        <w:rPr>
          <w:rFonts w:asciiTheme="majorHAnsi" w:hAnsiTheme="majorHAnsi" w:cstheme="majorHAnsi"/>
          <w:noProof/>
        </w:rPr>
        <w:t xml:space="preserve"> a Personalului Medical </w:t>
      </w:r>
      <w:r>
        <w:rPr>
          <w:rFonts w:asciiTheme="majorHAnsi" w:hAnsiTheme="majorHAnsi" w:cstheme="majorHAnsi"/>
          <w:noProof/>
        </w:rPr>
        <w:t>ș</w:t>
      </w:r>
      <w:r w:rsidR="00247FE7" w:rsidRPr="00967339">
        <w:rPr>
          <w:rFonts w:asciiTheme="majorHAnsi" w:hAnsiTheme="majorHAnsi" w:cstheme="majorHAnsi"/>
          <w:noProof/>
        </w:rPr>
        <w:t>i Farmaceutic cu Studii Medii;</w:t>
      </w:r>
    </w:p>
    <w:p w14:paraId="1D983D47" w14:textId="297C6CD5" w:rsidR="0046271A" w:rsidRPr="009D7636" w:rsidRDefault="003212E0" w:rsidP="0046271A">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D03452" w:rsidRPr="00967339">
        <w:rPr>
          <w:rFonts w:asciiTheme="majorHAnsi" w:hAnsiTheme="majorHAnsi" w:cstheme="majorHAnsi"/>
          <w:noProof/>
        </w:rPr>
        <w:t xml:space="preserve">inisterul </w:t>
      </w:r>
      <w:r w:rsidR="00D03452" w:rsidRPr="00967339">
        <w:rPr>
          <w:rFonts w:asciiTheme="majorHAnsi" w:hAnsiTheme="majorHAnsi" w:cstheme="majorHAnsi"/>
          <w:bCs/>
          <w:noProof/>
        </w:rPr>
        <w:t>a raportat eronat</w:t>
      </w:r>
      <w:r w:rsidR="00D03452" w:rsidRPr="00967339">
        <w:rPr>
          <w:rFonts w:asciiTheme="majorHAnsi" w:hAnsiTheme="majorHAnsi" w:cstheme="majorHAnsi"/>
          <w:noProof/>
        </w:rPr>
        <w:t xml:space="preserve"> contul 419 „Alte creanțe ale autorităților/instituțiilor bugetare”, care a fost subevaluat cu 563,9 mii lei de </w:t>
      </w:r>
      <w:r w:rsidR="009F5745" w:rsidRPr="00967339">
        <w:rPr>
          <w:rFonts w:asciiTheme="majorHAnsi" w:hAnsiTheme="majorHAnsi" w:cstheme="majorHAnsi"/>
          <w:noProof/>
        </w:rPr>
        <w:t>către Centrul de plasament temporar pentru persoane cu dizabilități (adulte), com. Brânzeni, mun. Edineț</w:t>
      </w:r>
      <w:r w:rsidR="006B23B8" w:rsidRPr="00967339">
        <w:rPr>
          <w:rFonts w:asciiTheme="majorHAnsi" w:hAnsiTheme="majorHAnsi" w:cstheme="majorHAnsi"/>
          <w:noProof/>
        </w:rPr>
        <w:t>,</w:t>
      </w:r>
      <w:r w:rsidR="00E9293D" w:rsidRPr="00967339">
        <w:rPr>
          <w:rFonts w:asciiTheme="majorHAnsi" w:hAnsiTheme="majorHAnsi" w:cstheme="majorHAnsi"/>
          <w:noProof/>
        </w:rPr>
        <w:t xml:space="preserve"> situație determinată de ținerea evidenței veniturilor prin metoda de casă</w:t>
      </w:r>
      <w:r>
        <w:rPr>
          <w:rFonts w:asciiTheme="majorHAnsi" w:hAnsiTheme="majorHAnsi" w:cstheme="majorHAnsi"/>
          <w:noProof/>
        </w:rPr>
        <w:t>,</w:t>
      </w:r>
      <w:r w:rsidR="00E9293D" w:rsidRPr="00967339">
        <w:rPr>
          <w:rFonts w:asciiTheme="majorHAnsi" w:hAnsiTheme="majorHAnsi" w:cstheme="majorHAnsi"/>
          <w:noProof/>
        </w:rPr>
        <w:t xml:space="preserve"> și nu prin metoda de angajamente</w:t>
      </w:r>
      <w:r w:rsidR="002B7624" w:rsidRPr="00967339">
        <w:rPr>
          <w:rFonts w:asciiTheme="majorHAnsi" w:hAnsiTheme="majorHAnsi" w:cstheme="majorHAnsi"/>
          <w:noProof/>
        </w:rPr>
        <w:t>;</w:t>
      </w:r>
    </w:p>
    <w:p w14:paraId="71A4489B" w14:textId="462CDDF3" w:rsidR="00155145" w:rsidRPr="009D7636" w:rsidRDefault="003212E0"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rPr>
        <w:t>m</w:t>
      </w:r>
      <w:r w:rsidR="00E237D0">
        <w:rPr>
          <w:rFonts w:asciiTheme="majorHAnsi" w:hAnsiTheme="majorHAnsi" w:cs="Calibri Light"/>
          <w:noProof/>
        </w:rPr>
        <w:t>inisterul a subevaluat</w:t>
      </w:r>
      <w:r w:rsidR="009B1FD4" w:rsidRPr="0046271A">
        <w:rPr>
          <w:rFonts w:asciiTheme="majorHAnsi" w:hAnsiTheme="majorHAnsi" w:cs="Calibri Light"/>
          <w:noProof/>
        </w:rPr>
        <w:t xml:space="preserve"> cu </w:t>
      </w:r>
      <w:r w:rsidR="000D100D">
        <w:rPr>
          <w:rFonts w:asciiTheme="majorHAnsi" w:hAnsiTheme="majorHAnsi" w:cs="Calibri Light"/>
          <w:noProof/>
        </w:rPr>
        <w:t>696,1</w:t>
      </w:r>
      <w:r w:rsidR="00E237D0">
        <w:rPr>
          <w:rFonts w:asciiTheme="majorHAnsi" w:hAnsiTheme="majorHAnsi" w:cs="Calibri Light"/>
          <w:noProof/>
        </w:rPr>
        <w:t xml:space="preserve"> mii lei valoarea </w:t>
      </w:r>
      <w:r w:rsidR="009C3A53">
        <w:rPr>
          <w:rFonts w:asciiTheme="majorHAnsi" w:hAnsiTheme="majorHAnsi" w:cs="Calibri Light"/>
          <w:noProof/>
        </w:rPr>
        <w:t>contului</w:t>
      </w:r>
      <w:r w:rsidR="009B1FD4" w:rsidRPr="0046271A">
        <w:rPr>
          <w:rFonts w:asciiTheme="majorHAnsi" w:hAnsiTheme="majorHAnsi" w:cs="Calibri Light"/>
          <w:noProof/>
        </w:rPr>
        <w:t xml:space="preserve"> 317 „Active nemateriale” </w:t>
      </w:r>
      <w:r>
        <w:rPr>
          <w:rFonts w:asciiTheme="majorHAnsi" w:hAnsiTheme="majorHAnsi" w:cs="Calibri Light"/>
          <w:noProof/>
        </w:rPr>
        <w:t>ca</w:t>
      </w:r>
      <w:r w:rsidR="009B1FD4" w:rsidRPr="0046271A">
        <w:rPr>
          <w:rFonts w:asciiTheme="majorHAnsi" w:hAnsiTheme="majorHAnsi" w:cs="Calibri Light"/>
          <w:noProof/>
        </w:rPr>
        <w:t xml:space="preserve"> rezul</w:t>
      </w:r>
      <w:r w:rsidR="00E237D0">
        <w:rPr>
          <w:rFonts w:asciiTheme="majorHAnsi" w:hAnsiTheme="majorHAnsi" w:cs="Calibri Light"/>
          <w:noProof/>
        </w:rPr>
        <w:t>tat</w:t>
      </w:r>
      <w:r>
        <w:rPr>
          <w:rFonts w:asciiTheme="majorHAnsi" w:hAnsiTheme="majorHAnsi" w:cs="Calibri Light"/>
          <w:noProof/>
        </w:rPr>
        <w:t xml:space="preserve"> al </w:t>
      </w:r>
      <w:r w:rsidR="00E237D0">
        <w:rPr>
          <w:rFonts w:asciiTheme="majorHAnsi" w:hAnsiTheme="majorHAnsi" w:cs="Calibri Light"/>
          <w:noProof/>
        </w:rPr>
        <w:t>necasării a 63 unități de</w:t>
      </w:r>
      <w:r w:rsidR="009B1FD4" w:rsidRPr="0046271A">
        <w:rPr>
          <w:rFonts w:asciiTheme="majorHAnsi" w:hAnsiTheme="majorHAnsi" w:cs="Calibri Light"/>
          <w:noProof/>
        </w:rPr>
        <w:t xml:space="preserve"> active nemateriale în valoare de 986,8 mii lei </w:t>
      </w:r>
      <w:r w:rsidR="009B1FD4" w:rsidRPr="0046271A">
        <w:rPr>
          <w:rFonts w:asciiTheme="majorHAnsi" w:hAnsiTheme="majorHAnsi" w:cstheme="majorHAnsi"/>
          <w:lang w:val="ro-RO"/>
        </w:rPr>
        <w:t>de către 3 entități</w:t>
      </w:r>
      <w:r w:rsidR="009B1FD4" w:rsidRPr="00967339">
        <w:rPr>
          <w:rStyle w:val="ad"/>
          <w:rFonts w:asciiTheme="majorHAnsi" w:hAnsiTheme="majorHAnsi" w:cstheme="majorHAnsi"/>
          <w:lang w:val="ro-RO"/>
        </w:rPr>
        <w:footnoteReference w:id="7"/>
      </w:r>
      <w:r w:rsidR="0046271A">
        <w:rPr>
          <w:rFonts w:asciiTheme="majorHAnsi" w:hAnsiTheme="majorHAnsi" w:cstheme="majorHAnsi"/>
          <w:lang w:val="ro-RO"/>
        </w:rPr>
        <w:t xml:space="preserve"> </w:t>
      </w:r>
      <w:r w:rsidR="009B1FD4" w:rsidRPr="0046271A">
        <w:rPr>
          <w:rFonts w:asciiTheme="majorHAnsi" w:hAnsiTheme="majorHAnsi" w:cs="Calibri Light"/>
          <w:noProof/>
        </w:rPr>
        <w:t>și necapitalizării lucrărilor de elaborare și dezvoltare a două sisteme informaționale</w:t>
      </w:r>
      <w:r w:rsidR="00E237D0">
        <w:rPr>
          <w:rFonts w:asciiTheme="majorHAnsi" w:hAnsiTheme="majorHAnsi" w:cs="Calibri Light"/>
          <w:noProof/>
        </w:rPr>
        <w:t xml:space="preserve"> </w:t>
      </w:r>
      <w:r w:rsidR="009B1FD4" w:rsidRPr="0046271A">
        <w:rPr>
          <w:rFonts w:asciiTheme="majorHAnsi" w:hAnsiTheme="majorHAnsi" w:cs="Calibri Light"/>
          <w:noProof/>
        </w:rPr>
        <w:t>în valoare de 1</w:t>
      </w:r>
      <w:r>
        <w:rPr>
          <w:rFonts w:asciiTheme="majorHAnsi" w:hAnsiTheme="majorHAnsi" w:cs="Calibri Light"/>
          <w:noProof/>
        </w:rPr>
        <w:t>.</w:t>
      </w:r>
      <w:r w:rsidR="009B1FD4" w:rsidRPr="0046271A">
        <w:rPr>
          <w:rFonts w:asciiTheme="majorHAnsi" w:hAnsiTheme="majorHAnsi" w:cs="Calibri Light"/>
          <w:noProof/>
        </w:rPr>
        <w:t>682,9 mii lei</w:t>
      </w:r>
      <w:r w:rsidR="008E38A9">
        <w:rPr>
          <w:rFonts w:asciiTheme="majorHAnsi" w:hAnsiTheme="majorHAnsi" w:cstheme="majorHAnsi"/>
          <w:lang w:val="ro-RO"/>
        </w:rPr>
        <w:t xml:space="preserve"> de către o</w:t>
      </w:r>
      <w:r w:rsidR="0046271A" w:rsidRPr="0046271A">
        <w:rPr>
          <w:rFonts w:asciiTheme="majorHAnsi" w:hAnsiTheme="majorHAnsi" w:cstheme="majorHAnsi"/>
          <w:lang w:val="ro-RO"/>
        </w:rPr>
        <w:t xml:space="preserve"> entitate</w:t>
      </w:r>
      <w:r w:rsidR="0046271A" w:rsidRPr="00967339">
        <w:rPr>
          <w:rStyle w:val="ad"/>
          <w:rFonts w:asciiTheme="majorHAnsi" w:hAnsiTheme="majorHAnsi" w:cstheme="majorHAnsi"/>
          <w:lang w:val="ro-RO"/>
        </w:rPr>
        <w:footnoteReference w:id="8"/>
      </w:r>
      <w:r>
        <w:rPr>
          <w:rFonts w:asciiTheme="majorHAnsi" w:hAnsiTheme="majorHAnsi" w:cs="Calibri Light"/>
          <w:noProof/>
        </w:rPr>
        <w:t>;</w:t>
      </w:r>
    </w:p>
    <w:p w14:paraId="0ED13DF7" w14:textId="75D1197E" w:rsidR="00155145" w:rsidRPr="009D7636" w:rsidRDefault="003212E0"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6B23B8" w:rsidRPr="00967339">
        <w:rPr>
          <w:rFonts w:asciiTheme="majorHAnsi" w:hAnsiTheme="majorHAnsi" w:cstheme="majorHAnsi"/>
          <w:noProof/>
        </w:rPr>
        <w:t xml:space="preserve">inisterul </w:t>
      </w:r>
      <w:r w:rsidR="006B23B8" w:rsidRPr="00967339">
        <w:rPr>
          <w:rFonts w:asciiTheme="majorHAnsi" w:hAnsiTheme="majorHAnsi" w:cstheme="majorHAnsi"/>
          <w:bCs/>
          <w:noProof/>
        </w:rPr>
        <w:t>a raportat eronat</w:t>
      </w:r>
      <w:r w:rsidR="006B23B8" w:rsidRPr="00967339">
        <w:rPr>
          <w:rFonts w:asciiTheme="majorHAnsi" w:hAnsiTheme="majorHAnsi" w:cstheme="majorHAnsi"/>
          <w:noProof/>
        </w:rPr>
        <w:t xml:space="preserve"> contul</w:t>
      </w:r>
      <w:r w:rsidR="006B23B8" w:rsidRPr="00967339">
        <w:rPr>
          <w:rFonts w:asciiTheme="majorHAnsi" w:hAnsiTheme="majorHAnsi"/>
          <w:noProof/>
          <w:lang w:val="ro-RO"/>
        </w:rPr>
        <w:t xml:space="preserve"> 392 </w:t>
      </w:r>
      <w:r>
        <w:rPr>
          <w:rFonts w:asciiTheme="majorHAnsi" w:hAnsiTheme="majorHAnsi"/>
          <w:noProof/>
          <w:lang w:val="ro-RO"/>
        </w:rPr>
        <w:t>„</w:t>
      </w:r>
      <w:r w:rsidR="006B23B8" w:rsidRPr="00967339">
        <w:rPr>
          <w:rFonts w:asciiTheme="majorHAnsi" w:hAnsiTheme="majorHAnsi"/>
          <w:noProof/>
          <w:lang w:val="ro-RO"/>
        </w:rPr>
        <w:t>Amortizarea activelor nematriale” cu 247,8 mii lei</w:t>
      </w:r>
      <w:r w:rsidR="006B23B8" w:rsidRPr="00967339">
        <w:rPr>
          <w:rStyle w:val="ad"/>
          <w:rFonts w:asciiTheme="majorHAnsi" w:hAnsiTheme="majorHAnsi"/>
          <w:noProof/>
          <w:lang w:val="ro-RO"/>
        </w:rPr>
        <w:footnoteReference w:id="9"/>
      </w:r>
      <w:r>
        <w:rPr>
          <w:rFonts w:asciiTheme="majorHAnsi" w:hAnsiTheme="majorHAnsi"/>
          <w:noProof/>
          <w:lang w:val="ro-RO"/>
        </w:rPr>
        <w:t>, ca</w:t>
      </w:r>
      <w:r w:rsidR="006B23B8" w:rsidRPr="00967339">
        <w:rPr>
          <w:rFonts w:asciiTheme="majorHAnsi" w:hAnsiTheme="majorHAnsi"/>
          <w:noProof/>
          <w:lang w:val="ro-RO"/>
        </w:rPr>
        <w:t xml:space="preserve"> urmare </w:t>
      </w:r>
      <w:r>
        <w:rPr>
          <w:rFonts w:asciiTheme="majorHAnsi" w:hAnsiTheme="majorHAnsi"/>
          <w:noProof/>
          <w:lang w:val="ro-RO"/>
        </w:rPr>
        <w:t xml:space="preserve">a </w:t>
      </w:r>
      <w:r w:rsidR="006B23B8" w:rsidRPr="00967339">
        <w:rPr>
          <w:rFonts w:asciiTheme="majorHAnsi" w:hAnsiTheme="majorHAnsi"/>
          <w:noProof/>
          <w:lang w:val="ro-RO"/>
        </w:rPr>
        <w:t>neînregistrării și necapitalizării sumelor privind activele nemateriale achiziționate și dezvoltate de către Agenția Națională pentru Ocuparea Forței de Muncă</w:t>
      </w:r>
      <w:r w:rsidR="006B23B8" w:rsidRPr="00967339">
        <w:rPr>
          <w:rFonts w:asciiTheme="majorHAnsi" w:hAnsiTheme="majorHAnsi" w:cstheme="majorHAnsi"/>
          <w:lang w:val="ro-RO"/>
        </w:rPr>
        <w:t>;</w:t>
      </w:r>
    </w:p>
    <w:p w14:paraId="0C42F5B7" w14:textId="2BA6CE35" w:rsidR="00AE549A" w:rsidRPr="00967339" w:rsidRDefault="003212E0"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857F6F">
        <w:rPr>
          <w:rFonts w:asciiTheme="majorHAnsi" w:hAnsiTheme="majorHAnsi" w:cstheme="majorHAnsi"/>
          <w:noProof/>
        </w:rPr>
        <w:t>inisterul a raportat în situațiile financiare consolidate informațiile unei instituții din subordine (</w:t>
      </w:r>
      <w:r w:rsidR="00431A5B" w:rsidRPr="00967339">
        <w:rPr>
          <w:rFonts w:asciiTheme="majorHAnsi" w:hAnsiTheme="majorHAnsi" w:cstheme="majorHAnsi"/>
          <w:noProof/>
        </w:rPr>
        <w:t xml:space="preserve">Agenția Națională </w:t>
      </w:r>
      <w:r w:rsidR="00926043">
        <w:rPr>
          <w:rFonts w:asciiTheme="majorHAnsi" w:hAnsiTheme="majorHAnsi" w:cstheme="majorHAnsi"/>
          <w:noProof/>
        </w:rPr>
        <w:t>pentru</w:t>
      </w:r>
      <w:r>
        <w:rPr>
          <w:rFonts w:asciiTheme="majorHAnsi" w:hAnsiTheme="majorHAnsi" w:cstheme="majorHAnsi"/>
          <w:noProof/>
        </w:rPr>
        <w:t xml:space="preserve"> </w:t>
      </w:r>
      <w:r w:rsidR="00431A5B" w:rsidRPr="00967339">
        <w:rPr>
          <w:rFonts w:asciiTheme="majorHAnsi" w:hAnsiTheme="majorHAnsi" w:cstheme="majorHAnsi"/>
          <w:noProof/>
        </w:rPr>
        <w:t>Sănătate Publică</w:t>
      </w:r>
      <w:r w:rsidR="00857F6F">
        <w:rPr>
          <w:rFonts w:asciiTheme="majorHAnsi" w:hAnsiTheme="majorHAnsi" w:cstheme="majorHAnsi"/>
          <w:noProof/>
        </w:rPr>
        <w:t>)</w:t>
      </w:r>
      <w:r w:rsidR="00431A5B" w:rsidRPr="00967339">
        <w:rPr>
          <w:rFonts w:asciiTheme="majorHAnsi" w:hAnsiTheme="majorHAnsi" w:cstheme="majorHAnsi"/>
          <w:noProof/>
        </w:rPr>
        <w:t xml:space="preserve"> </w:t>
      </w:r>
      <w:r>
        <w:rPr>
          <w:rFonts w:asciiTheme="majorHAnsi" w:hAnsiTheme="majorHAnsi" w:cstheme="majorHAnsi"/>
          <w:noProof/>
        </w:rPr>
        <w:t xml:space="preserve">privind </w:t>
      </w:r>
      <w:r w:rsidR="00431A5B" w:rsidRPr="00967339">
        <w:rPr>
          <w:rFonts w:asciiTheme="majorHAnsi" w:hAnsiTheme="majorHAnsi" w:cstheme="majorHAnsi"/>
          <w:noProof/>
        </w:rPr>
        <w:t>stocuri</w:t>
      </w:r>
      <w:r>
        <w:rPr>
          <w:rFonts w:asciiTheme="majorHAnsi" w:hAnsiTheme="majorHAnsi" w:cstheme="majorHAnsi"/>
          <w:noProof/>
        </w:rPr>
        <w:t>le</w:t>
      </w:r>
      <w:r w:rsidR="00431A5B" w:rsidRPr="00967339">
        <w:rPr>
          <w:rFonts w:asciiTheme="majorHAnsi" w:hAnsiTheme="majorHAnsi" w:cstheme="majorHAnsi"/>
          <w:noProof/>
        </w:rPr>
        <w:t xml:space="preserve"> de materiale circulante cu termenul de valabilitate expirat</w:t>
      </w:r>
      <w:r>
        <w:rPr>
          <w:rFonts w:asciiTheme="majorHAnsi" w:hAnsiTheme="majorHAnsi" w:cstheme="majorHAnsi"/>
          <w:noProof/>
        </w:rPr>
        <w:t>,</w:t>
      </w:r>
      <w:r w:rsidR="00431A5B" w:rsidRPr="00967339">
        <w:rPr>
          <w:rFonts w:asciiTheme="majorHAnsi" w:hAnsiTheme="majorHAnsi" w:cstheme="majorHAnsi"/>
          <w:noProof/>
        </w:rPr>
        <w:t xml:space="preserve"> în sumă de 620,9 mii lei</w:t>
      </w:r>
      <w:r w:rsidR="00931FC0" w:rsidRPr="00967339">
        <w:rPr>
          <w:rStyle w:val="ad"/>
          <w:rFonts w:asciiTheme="majorHAnsi" w:hAnsiTheme="majorHAnsi" w:cstheme="majorHAnsi"/>
          <w:noProof/>
        </w:rPr>
        <w:footnoteReference w:id="10"/>
      </w:r>
      <w:r>
        <w:rPr>
          <w:rFonts w:asciiTheme="majorHAnsi" w:hAnsiTheme="majorHAnsi" w:cstheme="majorHAnsi"/>
          <w:noProof/>
        </w:rPr>
        <w:t>,</w:t>
      </w:r>
      <w:r w:rsidR="0050656B">
        <w:rPr>
          <w:rFonts w:asciiTheme="majorHAnsi" w:hAnsiTheme="majorHAnsi" w:cstheme="majorHAnsi"/>
          <w:noProof/>
        </w:rPr>
        <w:t xml:space="preserve"> </w:t>
      </w:r>
      <w:r w:rsidR="003858D2">
        <w:rPr>
          <w:rFonts w:asciiTheme="majorHAnsi" w:hAnsiTheme="majorHAnsi" w:cstheme="majorHAnsi"/>
          <w:bCs/>
          <w:noProof/>
        </w:rPr>
        <w:t>nerespectând prevederile</w:t>
      </w:r>
      <w:r w:rsidR="0050656B" w:rsidRPr="00967339">
        <w:rPr>
          <w:rFonts w:asciiTheme="majorHAnsi" w:hAnsiTheme="majorHAnsi" w:cstheme="majorHAnsi"/>
          <w:bCs/>
          <w:noProof/>
        </w:rPr>
        <w:t xml:space="preserve"> Ordinul</w:t>
      </w:r>
      <w:r w:rsidR="003858D2">
        <w:rPr>
          <w:rFonts w:asciiTheme="majorHAnsi" w:hAnsiTheme="majorHAnsi" w:cstheme="majorHAnsi"/>
          <w:bCs/>
          <w:noProof/>
        </w:rPr>
        <w:t>ui</w:t>
      </w:r>
      <w:r w:rsidR="0050656B" w:rsidRPr="00967339">
        <w:rPr>
          <w:rFonts w:asciiTheme="majorHAnsi" w:hAnsiTheme="majorHAnsi" w:cstheme="majorHAnsi"/>
          <w:bCs/>
          <w:noProof/>
        </w:rPr>
        <w:t xml:space="preserve"> </w:t>
      </w:r>
      <w:r>
        <w:rPr>
          <w:rFonts w:asciiTheme="majorHAnsi" w:hAnsiTheme="majorHAnsi" w:cstheme="majorHAnsi"/>
          <w:bCs/>
          <w:noProof/>
        </w:rPr>
        <w:t xml:space="preserve">MF </w:t>
      </w:r>
      <w:r w:rsidR="0050656B" w:rsidRPr="00967339">
        <w:rPr>
          <w:rFonts w:asciiTheme="majorHAnsi" w:hAnsiTheme="majorHAnsi" w:cstheme="majorHAnsi"/>
          <w:bCs/>
          <w:noProof/>
        </w:rPr>
        <w:t>nr.216/2015</w:t>
      </w:r>
      <w:r w:rsidR="00431A5B" w:rsidRPr="00967339">
        <w:rPr>
          <w:rFonts w:asciiTheme="majorHAnsi" w:hAnsiTheme="majorHAnsi" w:cstheme="majorHAnsi"/>
          <w:noProof/>
        </w:rPr>
        <w:t>. Totodată, entitatea a reflectat în evidența contabilă stocuri de materiale circulante care nu participă sau contribuie la procesul de producție și/sau de prestări servicii</w:t>
      </w:r>
      <w:r>
        <w:rPr>
          <w:rFonts w:asciiTheme="majorHAnsi" w:hAnsiTheme="majorHAnsi" w:cstheme="majorHAnsi"/>
          <w:noProof/>
        </w:rPr>
        <w:t>,</w:t>
      </w:r>
      <w:r w:rsidR="00431A5B" w:rsidRPr="00967339">
        <w:rPr>
          <w:rFonts w:asciiTheme="majorHAnsi" w:hAnsiTheme="majorHAnsi" w:cstheme="majorHAnsi"/>
          <w:noProof/>
        </w:rPr>
        <w:t xml:space="preserve"> în sumă de 233,5 mii lei</w:t>
      </w:r>
      <w:r w:rsidR="00931FC0" w:rsidRPr="00967339">
        <w:rPr>
          <w:rStyle w:val="ad"/>
          <w:rFonts w:asciiTheme="majorHAnsi" w:hAnsiTheme="majorHAnsi" w:cstheme="majorHAnsi"/>
          <w:noProof/>
        </w:rPr>
        <w:footnoteReference w:id="11"/>
      </w:r>
      <w:r w:rsidR="00431A5B" w:rsidRPr="00967339">
        <w:rPr>
          <w:rFonts w:asciiTheme="majorHAnsi" w:hAnsiTheme="majorHAnsi" w:cstheme="majorHAnsi"/>
          <w:noProof/>
        </w:rPr>
        <w:t xml:space="preserve">. </w:t>
      </w:r>
      <w:r w:rsidR="00CD0AFB" w:rsidRPr="00967339">
        <w:rPr>
          <w:rFonts w:asciiTheme="majorHAnsi" w:hAnsiTheme="majorHAnsi" w:cstheme="majorHAnsi"/>
          <w:noProof/>
        </w:rPr>
        <w:t>Aceste situații a</w:t>
      </w:r>
      <w:r w:rsidR="00BA2739" w:rsidRPr="00967339">
        <w:rPr>
          <w:rFonts w:asciiTheme="majorHAnsi" w:hAnsiTheme="majorHAnsi" w:cstheme="majorHAnsi"/>
          <w:noProof/>
        </w:rPr>
        <w:t>u</w:t>
      </w:r>
      <w:r w:rsidR="00CD0AFB" w:rsidRPr="00967339">
        <w:rPr>
          <w:rFonts w:asciiTheme="majorHAnsi" w:hAnsiTheme="majorHAnsi" w:cstheme="majorHAnsi"/>
          <w:noProof/>
        </w:rPr>
        <w:t xml:space="preserve"> determinat supraevaluarea grupul</w:t>
      </w:r>
      <w:r w:rsidR="008E38A9">
        <w:rPr>
          <w:rFonts w:asciiTheme="majorHAnsi" w:hAnsiTheme="majorHAnsi" w:cstheme="majorHAnsi"/>
          <w:noProof/>
        </w:rPr>
        <w:t>ui</w:t>
      </w:r>
      <w:r w:rsidR="00CD0AFB" w:rsidRPr="00967339">
        <w:rPr>
          <w:rFonts w:asciiTheme="majorHAnsi" w:hAnsiTheme="majorHAnsi" w:cstheme="majorHAnsi"/>
          <w:noProof/>
        </w:rPr>
        <w:t xml:space="preserve"> de conturi 334 (Medicamente și materiale san</w:t>
      </w:r>
      <w:r w:rsidR="00BA2739" w:rsidRPr="00967339">
        <w:rPr>
          <w:rFonts w:asciiTheme="majorHAnsi" w:hAnsiTheme="majorHAnsi" w:cstheme="majorHAnsi"/>
          <w:noProof/>
        </w:rPr>
        <w:t>itare) cu suma de 854,4 mii lei</w:t>
      </w:r>
      <w:r w:rsidR="00AE549A" w:rsidRPr="00967339">
        <w:rPr>
          <w:rFonts w:asciiTheme="majorHAnsi" w:hAnsiTheme="majorHAnsi" w:cstheme="majorHAnsi"/>
          <w:noProof/>
        </w:rPr>
        <w:t>.</w:t>
      </w:r>
    </w:p>
    <w:p w14:paraId="7FD91DCE" w14:textId="77777777" w:rsidR="001C5A0D" w:rsidRPr="00967339" w:rsidRDefault="001C5A0D" w:rsidP="00023A8F">
      <w:pPr>
        <w:pStyle w:val="a3"/>
        <w:spacing w:line="276" w:lineRule="auto"/>
        <w:ind w:left="709"/>
        <w:jc w:val="both"/>
        <w:rPr>
          <w:rFonts w:asciiTheme="majorHAnsi" w:hAnsiTheme="majorHAnsi" w:cstheme="majorHAnsi"/>
          <w:noProof/>
        </w:rPr>
      </w:pPr>
    </w:p>
    <w:p w14:paraId="47596E1B" w14:textId="77777777" w:rsidR="000D0477"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2B56F0" w:rsidRPr="00967339">
        <w:rPr>
          <w:rFonts w:asciiTheme="majorHAnsi" w:hAnsiTheme="majorHAnsi" w:cstheme="majorHAnsi"/>
          <w:noProof/>
          <w:lang w:eastAsia="en-US"/>
        </w:rPr>
        <w:t>Am realizat misiunea de audit în conformitate cu Standardele Internaționale ale Instituțiilor Supreme de Audit aplicate de Curtea de Conturi</w:t>
      </w:r>
      <w:r w:rsidR="002B56F0" w:rsidRPr="00967339">
        <w:rPr>
          <w:rStyle w:val="ad"/>
          <w:rFonts w:asciiTheme="majorHAnsi" w:hAnsiTheme="majorHAnsi" w:cstheme="majorHAnsi"/>
          <w:noProof/>
          <w:color w:val="000000" w:themeColor="text1"/>
        </w:rPr>
        <w:footnoteReference w:id="12"/>
      </w:r>
      <w:r w:rsidR="002B56F0" w:rsidRPr="00967339">
        <w:rPr>
          <w:rFonts w:asciiTheme="majorHAnsi" w:hAnsiTheme="majorHAnsi" w:cstheme="majorHAnsi"/>
          <w:noProof/>
          <w:color w:val="000000" w:themeColor="text1"/>
        </w:rPr>
        <w:t>.</w:t>
      </w:r>
      <w:r w:rsidR="002B56F0" w:rsidRPr="00967339">
        <w:rPr>
          <w:rFonts w:asciiTheme="majorHAnsi" w:hAnsiTheme="majorHAnsi" w:cstheme="majorHAnsi"/>
          <w:noProof/>
          <w:lang w:eastAsia="en-US"/>
        </w:rPr>
        <w:t xml:space="preserve"> Responsabilitățile noastre, potrivit standardelor respective, sunt expuse în secțiunea </w:t>
      </w:r>
      <w:r w:rsidR="002B56F0" w:rsidRPr="00967339">
        <w:rPr>
          <w:rFonts w:asciiTheme="majorHAnsi" w:hAnsiTheme="majorHAnsi" w:cstheme="majorHAnsi"/>
          <w:i/>
          <w:noProof/>
          <w:lang w:eastAsia="en-US"/>
        </w:rPr>
        <w:t>Responsabilitățile auditorului într-un audit al situațiilor financiare consolidate</w:t>
      </w:r>
      <w:r w:rsidR="002B56F0" w:rsidRPr="00967339">
        <w:rPr>
          <w:rFonts w:asciiTheme="majorHAnsi" w:hAnsiTheme="majorHAnsi" w:cstheme="majorHAnsi"/>
          <w:noProof/>
          <w:lang w:eastAsia="en-US"/>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4CE1EED4" w14:textId="77777777" w:rsidR="00AD7376" w:rsidRPr="00967339" w:rsidRDefault="00AD7376" w:rsidP="00023A8F">
      <w:pPr>
        <w:spacing w:line="276" w:lineRule="auto"/>
        <w:jc w:val="both"/>
        <w:rPr>
          <w:rFonts w:asciiTheme="majorHAnsi" w:hAnsiTheme="majorHAnsi" w:cstheme="majorHAnsi"/>
          <w:noProof/>
          <w:lang w:eastAsia="en-US"/>
        </w:rPr>
      </w:pPr>
    </w:p>
    <w:p w14:paraId="12941FDF" w14:textId="77777777" w:rsidR="00E43DCD" w:rsidRPr="00967339" w:rsidRDefault="0005659C" w:rsidP="00023A8F">
      <w:pPr>
        <w:spacing w:line="276" w:lineRule="auto"/>
        <w:ind w:firstLine="720"/>
        <w:rPr>
          <w:rFonts w:asciiTheme="majorHAnsi" w:hAnsiTheme="majorHAnsi" w:cstheme="majorHAnsi"/>
          <w:b/>
          <w:bCs/>
          <w:noProof/>
        </w:rPr>
      </w:pPr>
      <w:r w:rsidRPr="00967339">
        <w:rPr>
          <w:rFonts w:asciiTheme="majorHAnsi" w:hAnsiTheme="majorHAnsi" w:cstheme="majorHAnsi"/>
          <w:b/>
          <w:bCs/>
          <w:noProof/>
        </w:rPr>
        <w:t>I</w:t>
      </w:r>
      <w:r w:rsidR="00D15758" w:rsidRPr="00967339">
        <w:rPr>
          <w:rFonts w:asciiTheme="majorHAnsi" w:hAnsiTheme="majorHAnsi" w:cstheme="majorHAnsi"/>
          <w:b/>
          <w:bCs/>
          <w:noProof/>
        </w:rPr>
        <w:t>II</w:t>
      </w:r>
      <w:r w:rsidRPr="00967339">
        <w:rPr>
          <w:rFonts w:asciiTheme="majorHAnsi" w:hAnsiTheme="majorHAnsi" w:cstheme="majorHAnsi"/>
          <w:b/>
          <w:bCs/>
          <w:noProof/>
        </w:rPr>
        <w:t xml:space="preserve">. </w:t>
      </w:r>
      <w:r w:rsidR="00B74592" w:rsidRPr="00967339">
        <w:rPr>
          <w:rFonts w:asciiTheme="majorHAnsi" w:hAnsiTheme="majorHAnsi" w:cstheme="majorHAnsi"/>
          <w:b/>
          <w:bCs/>
          <w:noProof/>
        </w:rPr>
        <w:t>PARAGRAF DE EVIDENȚIERE</w:t>
      </w:r>
    </w:p>
    <w:p w14:paraId="57977438" w14:textId="19892AC7" w:rsidR="00782580" w:rsidRPr="00967339" w:rsidRDefault="00A62D0D" w:rsidP="00023A8F">
      <w:pPr>
        <w:pStyle w:val="a3"/>
        <w:numPr>
          <w:ilvl w:val="1"/>
          <w:numId w:val="28"/>
        </w:numPr>
        <w:spacing w:line="276" w:lineRule="auto"/>
        <w:ind w:left="0" w:firstLine="0"/>
        <w:jc w:val="both"/>
        <w:rPr>
          <w:rFonts w:asciiTheme="majorHAnsi" w:hAnsiTheme="majorHAnsi" w:cstheme="majorHAnsi"/>
          <w:noProof/>
        </w:rPr>
      </w:pPr>
      <w:r w:rsidRPr="00967339">
        <w:rPr>
          <w:rFonts w:asciiTheme="majorHAnsi" w:hAnsiTheme="majorHAnsi" w:cstheme="majorHAnsi"/>
          <w:iCs/>
          <w:noProof/>
        </w:rPr>
        <w:t>Atragem atenți</w:t>
      </w:r>
      <w:r w:rsidR="00862030">
        <w:rPr>
          <w:rFonts w:asciiTheme="majorHAnsi" w:hAnsiTheme="majorHAnsi" w:cstheme="majorHAnsi"/>
          <w:iCs/>
          <w:noProof/>
        </w:rPr>
        <w:t>a</w:t>
      </w:r>
      <w:r w:rsidRPr="00967339">
        <w:rPr>
          <w:rFonts w:asciiTheme="majorHAnsi" w:hAnsiTheme="majorHAnsi" w:cstheme="majorHAnsi"/>
          <w:iCs/>
          <w:noProof/>
        </w:rPr>
        <w:t xml:space="preserve"> asupra faptului că </w:t>
      </w:r>
      <w:r w:rsidRPr="00967339">
        <w:rPr>
          <w:rFonts w:asciiTheme="majorHAnsi" w:hAnsiTheme="majorHAnsi" w:cstheme="majorHAnsi"/>
          <w:noProof/>
        </w:rPr>
        <w:t>reorganizarea</w:t>
      </w:r>
      <w:r w:rsidRPr="00967339">
        <w:rPr>
          <w:rFonts w:asciiTheme="majorHAnsi" w:hAnsiTheme="majorHAnsi" w:cstheme="majorHAnsi"/>
          <w:iCs/>
          <w:noProof/>
        </w:rPr>
        <w:t xml:space="preserve"> unei inst</w:t>
      </w:r>
      <w:r w:rsidR="00A110B8" w:rsidRPr="00967339">
        <w:rPr>
          <w:rFonts w:asciiTheme="majorHAnsi" w:hAnsiTheme="majorHAnsi" w:cstheme="majorHAnsi"/>
          <w:iCs/>
          <w:noProof/>
        </w:rPr>
        <w:t xml:space="preserve">ituții din domeniul </w:t>
      </w:r>
      <w:r w:rsidR="00BA2739" w:rsidRPr="00967339">
        <w:rPr>
          <w:rFonts w:asciiTheme="majorHAnsi" w:hAnsiTheme="majorHAnsi" w:cstheme="majorHAnsi"/>
          <w:iCs/>
          <w:noProof/>
        </w:rPr>
        <w:t>educațional î</w:t>
      </w:r>
      <w:r w:rsidRPr="00967339">
        <w:rPr>
          <w:rFonts w:asciiTheme="majorHAnsi" w:hAnsiTheme="majorHAnsi" w:cstheme="majorHAnsi"/>
          <w:iCs/>
          <w:noProof/>
        </w:rPr>
        <w:t>n cel al sănătă</w:t>
      </w:r>
      <w:r w:rsidR="00862030">
        <w:rPr>
          <w:rFonts w:asciiTheme="majorHAnsi" w:hAnsiTheme="majorHAnsi" w:cstheme="majorHAnsi"/>
          <w:iCs/>
          <w:noProof/>
        </w:rPr>
        <w:t>ț</w:t>
      </w:r>
      <w:r w:rsidRPr="00967339">
        <w:rPr>
          <w:rFonts w:asciiTheme="majorHAnsi" w:hAnsiTheme="majorHAnsi" w:cstheme="majorHAnsi"/>
          <w:iCs/>
          <w:noProof/>
        </w:rPr>
        <w:t xml:space="preserve">ii </w:t>
      </w:r>
      <w:r w:rsidR="0072314C">
        <w:rPr>
          <w:rFonts w:asciiTheme="majorHAnsi" w:hAnsiTheme="majorHAnsi" w:cstheme="majorHAnsi"/>
          <w:iCs/>
          <w:noProof/>
        </w:rPr>
        <w:t xml:space="preserve">nu </w:t>
      </w:r>
      <w:r w:rsidR="00604787">
        <w:rPr>
          <w:rFonts w:asciiTheme="majorHAnsi" w:hAnsiTheme="majorHAnsi" w:cstheme="majorHAnsi"/>
          <w:iCs/>
          <w:noProof/>
        </w:rPr>
        <w:t>și-a atins</w:t>
      </w:r>
      <w:r w:rsidRPr="00967339">
        <w:rPr>
          <w:rFonts w:asciiTheme="majorHAnsi" w:hAnsiTheme="majorHAnsi" w:cstheme="majorHAnsi"/>
          <w:iCs/>
          <w:noProof/>
        </w:rPr>
        <w:t xml:space="preserve"> scopul </w:t>
      </w:r>
      <w:r w:rsidR="00604787">
        <w:rPr>
          <w:rFonts w:asciiTheme="majorHAnsi" w:hAnsiTheme="majorHAnsi" w:cstheme="majorHAnsi"/>
          <w:iCs/>
          <w:noProof/>
        </w:rPr>
        <w:t>scontat</w:t>
      </w:r>
      <w:r w:rsidRPr="00967339">
        <w:rPr>
          <w:rFonts w:asciiTheme="majorHAnsi" w:hAnsiTheme="majorHAnsi" w:cstheme="majorHAnsi"/>
          <w:iCs/>
          <w:noProof/>
        </w:rPr>
        <w:t xml:space="preserve">. Astfel, </w:t>
      </w:r>
      <w:r w:rsidR="00BA2739" w:rsidRPr="00967339">
        <w:rPr>
          <w:rFonts w:asciiTheme="majorHAnsi" w:hAnsiTheme="majorHAnsi" w:cstheme="majorHAnsi"/>
          <w:noProof/>
        </w:rPr>
        <w:t>Ministerul</w:t>
      </w:r>
      <w:r w:rsidR="00862030">
        <w:rPr>
          <w:rFonts w:asciiTheme="majorHAnsi" w:hAnsiTheme="majorHAnsi" w:cstheme="majorHAnsi"/>
          <w:noProof/>
        </w:rPr>
        <w:t>,</w:t>
      </w:r>
      <w:r w:rsidR="00BA2739" w:rsidRPr="00967339">
        <w:rPr>
          <w:rFonts w:asciiTheme="majorHAnsi" w:hAnsiTheme="majorHAnsi" w:cstheme="majorHAnsi"/>
          <w:noProof/>
        </w:rPr>
        <w:t xml:space="preserve"> </w:t>
      </w:r>
      <w:r w:rsidR="00EC163E" w:rsidRPr="00967339">
        <w:rPr>
          <w:rFonts w:asciiTheme="majorHAnsi" w:hAnsiTheme="majorHAnsi" w:cstheme="majorHAnsi"/>
          <w:noProof/>
        </w:rPr>
        <w:t>în lipsa abordării conforme și eficien</w:t>
      </w:r>
      <w:r w:rsidR="00862030">
        <w:rPr>
          <w:rFonts w:asciiTheme="majorHAnsi" w:hAnsiTheme="majorHAnsi" w:cstheme="majorHAnsi"/>
          <w:noProof/>
        </w:rPr>
        <w:t>t</w:t>
      </w:r>
      <w:r w:rsidR="00EC163E" w:rsidRPr="00967339">
        <w:rPr>
          <w:rFonts w:asciiTheme="majorHAnsi" w:hAnsiTheme="majorHAnsi" w:cstheme="majorHAnsi"/>
          <w:noProof/>
        </w:rPr>
        <w:t>e a gestionării patrimoniul</w:t>
      </w:r>
      <w:r w:rsidR="00604787">
        <w:rPr>
          <w:rFonts w:asciiTheme="majorHAnsi" w:hAnsiTheme="majorHAnsi" w:cstheme="majorHAnsi"/>
          <w:noProof/>
        </w:rPr>
        <w:t>ui</w:t>
      </w:r>
      <w:r w:rsidR="00EC163E" w:rsidRPr="00967339">
        <w:rPr>
          <w:rFonts w:asciiTheme="majorHAnsi" w:hAnsiTheme="majorHAnsi" w:cstheme="majorHAnsi"/>
          <w:noProof/>
        </w:rPr>
        <w:t xml:space="preserve"> public</w:t>
      </w:r>
      <w:r w:rsidR="00862030">
        <w:rPr>
          <w:rFonts w:asciiTheme="majorHAnsi" w:hAnsiTheme="majorHAnsi" w:cstheme="majorHAnsi"/>
          <w:noProof/>
        </w:rPr>
        <w:t>,</w:t>
      </w:r>
      <w:r w:rsidR="00EC163E" w:rsidRPr="00967339">
        <w:rPr>
          <w:rFonts w:asciiTheme="majorHAnsi" w:hAnsiTheme="majorHAnsi" w:cstheme="majorHAnsi"/>
          <w:noProof/>
        </w:rPr>
        <w:t xml:space="preserve"> c</w:t>
      </w:r>
      <w:r w:rsidR="00862030">
        <w:rPr>
          <w:rFonts w:asciiTheme="majorHAnsi" w:hAnsiTheme="majorHAnsi" w:cstheme="majorHAnsi"/>
          <w:noProof/>
        </w:rPr>
        <w:t>â</w:t>
      </w:r>
      <w:r w:rsidR="00EC163E" w:rsidRPr="00967339">
        <w:rPr>
          <w:rFonts w:asciiTheme="majorHAnsi" w:hAnsiTheme="majorHAnsi" w:cstheme="majorHAnsi"/>
          <w:noProof/>
        </w:rPr>
        <w:t xml:space="preserve">t și a serviciilor publice, </w:t>
      </w:r>
      <w:r w:rsidR="00BA2739" w:rsidRPr="00967339">
        <w:rPr>
          <w:rFonts w:asciiTheme="majorHAnsi" w:hAnsiTheme="majorHAnsi" w:cstheme="majorHAnsi"/>
          <w:noProof/>
        </w:rPr>
        <w:t>nu a realizat scopul propus reorganiz</w:t>
      </w:r>
      <w:r w:rsidR="00862030">
        <w:rPr>
          <w:rFonts w:asciiTheme="majorHAnsi" w:hAnsiTheme="majorHAnsi" w:cstheme="majorHAnsi"/>
          <w:noProof/>
        </w:rPr>
        <w:t>ă</w:t>
      </w:r>
      <w:r w:rsidR="00BA2739" w:rsidRPr="00967339">
        <w:rPr>
          <w:rFonts w:asciiTheme="majorHAnsi" w:hAnsiTheme="majorHAnsi" w:cstheme="majorHAnsi"/>
          <w:noProof/>
        </w:rPr>
        <w:t>rii instituției Şcoala-internat sanatorială, s.Ivancea, r-nul Orhei în Centrul de reabilitare pentru copii cu acordarea serviciilor în aceste scopuri</w:t>
      </w:r>
      <w:r w:rsidR="00936A81" w:rsidRPr="00967339">
        <w:rPr>
          <w:rStyle w:val="ad"/>
          <w:rFonts w:asciiTheme="majorHAnsi" w:hAnsiTheme="majorHAnsi" w:cstheme="majorHAnsi"/>
          <w:noProof/>
        </w:rPr>
        <w:footnoteReference w:id="13"/>
      </w:r>
      <w:r w:rsidR="00720C8E">
        <w:rPr>
          <w:rFonts w:asciiTheme="majorHAnsi" w:hAnsiTheme="majorHAnsi" w:cstheme="majorHAnsi"/>
          <w:noProof/>
        </w:rPr>
        <w:t xml:space="preserve">. Mai mult </w:t>
      </w:r>
      <w:r w:rsidR="003B2F44">
        <w:rPr>
          <w:rFonts w:asciiTheme="majorHAnsi" w:hAnsiTheme="majorHAnsi" w:cstheme="majorHAnsi"/>
          <w:noProof/>
        </w:rPr>
        <w:t xml:space="preserve">decât </w:t>
      </w:r>
      <w:r w:rsidR="00720C8E">
        <w:rPr>
          <w:rFonts w:asciiTheme="majorHAnsi" w:hAnsiTheme="majorHAnsi" w:cstheme="majorHAnsi"/>
          <w:noProof/>
        </w:rPr>
        <w:t>at</w:t>
      </w:r>
      <w:r w:rsidR="003B2F44">
        <w:rPr>
          <w:rFonts w:asciiTheme="majorHAnsi" w:hAnsiTheme="majorHAnsi" w:cstheme="majorHAnsi"/>
          <w:noProof/>
        </w:rPr>
        <w:t>â</w:t>
      </w:r>
      <w:r w:rsidR="00BA2739" w:rsidRPr="00967339">
        <w:rPr>
          <w:rFonts w:asciiTheme="majorHAnsi" w:hAnsiTheme="majorHAnsi" w:cstheme="majorHAnsi"/>
          <w:noProof/>
        </w:rPr>
        <w:t>t</w:t>
      </w:r>
      <w:r w:rsidR="00604787">
        <w:rPr>
          <w:rFonts w:asciiTheme="majorHAnsi" w:hAnsiTheme="majorHAnsi" w:cstheme="majorHAnsi"/>
          <w:noProof/>
        </w:rPr>
        <w:t>,</w:t>
      </w:r>
      <w:r w:rsidR="00BA2739" w:rsidRPr="00967339">
        <w:rPr>
          <w:rFonts w:asciiTheme="majorHAnsi" w:hAnsiTheme="majorHAnsi" w:cstheme="majorHAnsi"/>
          <w:noProof/>
        </w:rPr>
        <w:t xml:space="preserve"> pentru </w:t>
      </w:r>
      <w:r w:rsidR="00292616" w:rsidRPr="00967339">
        <w:rPr>
          <w:rFonts w:asciiTheme="majorHAnsi" w:hAnsiTheme="majorHAnsi" w:cstheme="majorHAnsi"/>
          <w:noProof/>
        </w:rPr>
        <w:t>î</w:t>
      </w:r>
      <w:r w:rsidR="00BA2739" w:rsidRPr="00967339">
        <w:rPr>
          <w:rFonts w:asciiTheme="majorHAnsi" w:hAnsiTheme="majorHAnsi" w:cstheme="majorHAnsi"/>
          <w:noProof/>
        </w:rPr>
        <w:t xml:space="preserve">ntreținerea complexului </w:t>
      </w:r>
      <w:r w:rsidR="003B2F44">
        <w:rPr>
          <w:rFonts w:asciiTheme="majorHAnsi" w:hAnsiTheme="majorHAnsi" w:cstheme="majorHAnsi"/>
          <w:noProof/>
        </w:rPr>
        <w:t>în</w:t>
      </w:r>
      <w:r w:rsidR="00BA2739" w:rsidRPr="00967339">
        <w:rPr>
          <w:rFonts w:asciiTheme="majorHAnsi" w:hAnsiTheme="majorHAnsi" w:cstheme="majorHAnsi"/>
          <w:noProof/>
        </w:rPr>
        <w:t xml:space="preserve"> perioada  2015-2021 au fost alocate și utilizate mijloace financiare publice </w:t>
      </w:r>
      <w:r w:rsidR="00936A81" w:rsidRPr="00967339">
        <w:rPr>
          <w:rFonts w:asciiTheme="majorHAnsi" w:hAnsiTheme="majorHAnsi" w:cstheme="majorHAnsi"/>
          <w:noProof/>
        </w:rPr>
        <w:t xml:space="preserve">în sumă de </w:t>
      </w:r>
      <w:r w:rsidR="00057029" w:rsidRPr="00057029">
        <w:rPr>
          <w:rFonts w:asciiTheme="majorHAnsi" w:hAnsiTheme="majorHAnsi" w:cstheme="majorHAnsi"/>
          <w:noProof/>
        </w:rPr>
        <w:t>5</w:t>
      </w:r>
      <w:r w:rsidR="003B2F44">
        <w:rPr>
          <w:rFonts w:asciiTheme="majorHAnsi" w:hAnsiTheme="majorHAnsi" w:cstheme="majorHAnsi"/>
          <w:noProof/>
        </w:rPr>
        <w:t>.</w:t>
      </w:r>
      <w:r w:rsidR="00057029" w:rsidRPr="00057029">
        <w:rPr>
          <w:rFonts w:asciiTheme="majorHAnsi" w:hAnsiTheme="majorHAnsi" w:cstheme="majorHAnsi"/>
          <w:noProof/>
        </w:rPr>
        <w:t>100,0</w:t>
      </w:r>
      <w:r w:rsidR="00936A81" w:rsidRPr="00057029">
        <w:rPr>
          <w:rFonts w:asciiTheme="majorHAnsi" w:hAnsiTheme="majorHAnsi" w:cstheme="majorHAnsi"/>
          <w:noProof/>
        </w:rPr>
        <w:t xml:space="preserve"> </w:t>
      </w:r>
      <w:r w:rsidR="00137FCE">
        <w:rPr>
          <w:rFonts w:asciiTheme="majorHAnsi" w:hAnsiTheme="majorHAnsi" w:cstheme="majorHAnsi"/>
          <w:noProof/>
        </w:rPr>
        <w:t>mii lei</w:t>
      </w:r>
      <w:r w:rsidR="00936A81" w:rsidRPr="00057029">
        <w:rPr>
          <w:rFonts w:asciiTheme="majorHAnsi" w:hAnsiTheme="majorHAnsi" w:cstheme="majorHAnsi"/>
          <w:noProof/>
        </w:rPr>
        <w:t>.</w:t>
      </w:r>
      <w:r w:rsidR="00BA2739" w:rsidRPr="00967339">
        <w:rPr>
          <w:rFonts w:asciiTheme="majorHAnsi" w:hAnsiTheme="majorHAnsi" w:cstheme="majorHAnsi"/>
          <w:noProof/>
        </w:rPr>
        <w:t xml:space="preserve"> Relevant este că e</w:t>
      </w:r>
      <w:r w:rsidRPr="00967339">
        <w:rPr>
          <w:rFonts w:asciiTheme="majorHAnsi" w:hAnsiTheme="majorHAnsi" w:cstheme="majorHAnsi"/>
          <w:noProof/>
        </w:rPr>
        <w:t xml:space="preserve">valuările de către audit a procesului de transmitere a bunurilor proprietate publică, precum și a impactului reorganizării Centrului, au identificat că pentru perioada </w:t>
      </w:r>
      <w:r w:rsidR="003B2F44">
        <w:rPr>
          <w:rFonts w:asciiTheme="majorHAnsi" w:hAnsiTheme="majorHAnsi" w:cstheme="majorHAnsi"/>
          <w:noProof/>
        </w:rPr>
        <w:t>menționată</w:t>
      </w:r>
      <w:r w:rsidR="00BA2739" w:rsidRPr="00967339">
        <w:rPr>
          <w:rFonts w:asciiTheme="majorHAnsi" w:hAnsiTheme="majorHAnsi" w:cstheme="majorHAnsi"/>
          <w:noProof/>
        </w:rPr>
        <w:t>, complexul avâ</w:t>
      </w:r>
      <w:r w:rsidRPr="00967339">
        <w:rPr>
          <w:rFonts w:asciiTheme="majorHAnsi" w:hAnsiTheme="majorHAnsi" w:cstheme="majorHAnsi"/>
          <w:noProof/>
        </w:rPr>
        <w:t xml:space="preserve">nd o capacitate de 300 </w:t>
      </w:r>
      <w:r w:rsidR="003B2F44">
        <w:rPr>
          <w:rFonts w:asciiTheme="majorHAnsi" w:hAnsiTheme="majorHAnsi" w:cstheme="majorHAnsi"/>
          <w:noProof/>
        </w:rPr>
        <w:t xml:space="preserve">de </w:t>
      </w:r>
      <w:r w:rsidRPr="00967339">
        <w:rPr>
          <w:rFonts w:asciiTheme="majorHAnsi" w:hAnsiTheme="majorHAnsi" w:cstheme="majorHAnsi"/>
          <w:noProof/>
        </w:rPr>
        <w:t>paturi</w:t>
      </w:r>
      <w:r w:rsidR="00BB3D45">
        <w:rPr>
          <w:rFonts w:asciiTheme="majorHAnsi" w:hAnsiTheme="majorHAnsi" w:cstheme="majorHAnsi"/>
          <w:noProof/>
        </w:rPr>
        <w:t>,</w:t>
      </w:r>
      <w:r w:rsidRPr="00967339">
        <w:rPr>
          <w:rFonts w:asciiTheme="majorHAnsi" w:hAnsiTheme="majorHAnsi" w:cstheme="majorHAnsi"/>
          <w:noProof/>
        </w:rPr>
        <w:t xml:space="preserve"> </w:t>
      </w:r>
      <w:r w:rsidR="00BA2739" w:rsidRPr="00967339">
        <w:rPr>
          <w:rFonts w:asciiTheme="majorHAnsi" w:hAnsiTheme="majorHAnsi" w:cstheme="majorHAnsi"/>
          <w:noProof/>
        </w:rPr>
        <w:t xml:space="preserve">nu a prestat </w:t>
      </w:r>
      <w:r w:rsidR="00BB3D45">
        <w:rPr>
          <w:rFonts w:asciiTheme="majorHAnsi" w:hAnsiTheme="majorHAnsi" w:cstheme="majorHAnsi"/>
          <w:noProof/>
        </w:rPr>
        <w:t>servicii</w:t>
      </w:r>
      <w:r w:rsidR="00BA2739" w:rsidRPr="00967339">
        <w:rPr>
          <w:rFonts w:asciiTheme="majorHAnsi" w:hAnsiTheme="majorHAnsi" w:cstheme="majorHAnsi"/>
          <w:noProof/>
        </w:rPr>
        <w:t xml:space="preserve">. </w:t>
      </w:r>
      <w:r w:rsidRPr="00967339">
        <w:rPr>
          <w:rFonts w:asciiTheme="majorHAnsi" w:hAnsiTheme="majorHAnsi" w:cstheme="majorHAnsi"/>
          <w:noProof/>
        </w:rPr>
        <w:t xml:space="preserve"> </w:t>
      </w:r>
    </w:p>
    <w:p w14:paraId="685269C0" w14:textId="77777777" w:rsidR="00782580" w:rsidRPr="00967339" w:rsidRDefault="00782580" w:rsidP="00023A8F">
      <w:pPr>
        <w:pStyle w:val="a3"/>
        <w:spacing w:line="276" w:lineRule="auto"/>
        <w:ind w:left="0"/>
        <w:jc w:val="both"/>
        <w:rPr>
          <w:rFonts w:asciiTheme="majorHAnsi" w:hAnsiTheme="majorHAnsi" w:cstheme="majorHAnsi"/>
          <w:noProof/>
        </w:rPr>
      </w:pPr>
    </w:p>
    <w:p w14:paraId="3CAFC9AF" w14:textId="5085793B" w:rsidR="005C7A40" w:rsidRPr="00967339" w:rsidRDefault="00B547CA" w:rsidP="00023A8F">
      <w:pPr>
        <w:pStyle w:val="a3"/>
        <w:numPr>
          <w:ilvl w:val="1"/>
          <w:numId w:val="28"/>
        </w:numPr>
        <w:spacing w:line="276" w:lineRule="auto"/>
        <w:ind w:left="0" w:firstLine="0"/>
        <w:jc w:val="both"/>
        <w:rPr>
          <w:rFonts w:asciiTheme="majorHAnsi" w:hAnsiTheme="majorHAnsi" w:cstheme="majorHAnsi"/>
          <w:noProof/>
        </w:rPr>
      </w:pPr>
      <w:r w:rsidRPr="00967339">
        <w:rPr>
          <w:rFonts w:asciiTheme="majorHAnsi" w:hAnsiTheme="majorHAnsi" w:cstheme="majorHAnsi"/>
          <w:noProof/>
        </w:rPr>
        <w:t xml:space="preserve">Atragem atenția asupra faptului că </w:t>
      </w:r>
      <w:r w:rsidR="005C7A40" w:rsidRPr="00967339">
        <w:rPr>
          <w:rFonts w:asciiTheme="majorHAnsi" w:hAnsiTheme="majorHAnsi" w:cstheme="majorHAnsi"/>
          <w:noProof/>
        </w:rPr>
        <w:t>Ministerul Sănățătii</w:t>
      </w:r>
      <w:r w:rsidR="001677A4" w:rsidRPr="00967339">
        <w:rPr>
          <w:rFonts w:asciiTheme="majorHAnsi" w:hAnsiTheme="majorHAnsi" w:cstheme="majorHAnsi"/>
          <w:noProof/>
        </w:rPr>
        <w:t xml:space="preserve">, Muncii și Protecției Sociale </w:t>
      </w:r>
      <w:r w:rsidR="005C7A40" w:rsidRPr="00967339">
        <w:rPr>
          <w:rFonts w:asciiTheme="majorHAnsi" w:hAnsiTheme="majorHAnsi" w:cstheme="majorHAnsi"/>
          <w:noProof/>
        </w:rPr>
        <w:t xml:space="preserve"> </w:t>
      </w:r>
      <w:r w:rsidRPr="00967339">
        <w:rPr>
          <w:rFonts w:asciiTheme="majorHAnsi" w:hAnsiTheme="majorHAnsi" w:cstheme="majorHAnsi"/>
          <w:noProof/>
        </w:rPr>
        <w:t xml:space="preserve">nu a întreprins măsuri pentru realizarea prevederilor </w:t>
      </w:r>
      <w:r w:rsidR="00B272D6">
        <w:rPr>
          <w:rFonts w:asciiTheme="majorHAnsi" w:hAnsiTheme="majorHAnsi" w:cstheme="majorHAnsi"/>
          <w:noProof/>
        </w:rPr>
        <w:t xml:space="preserve">din </w:t>
      </w:r>
      <w:r w:rsidR="00B272D6" w:rsidRPr="00DF4ED4">
        <w:rPr>
          <w:rFonts w:asciiTheme="majorHAnsi" w:hAnsiTheme="majorHAnsi" w:cs="Calibri Light"/>
          <w:noProof/>
          <w:lang w:eastAsia="en-US"/>
        </w:rPr>
        <w:t>H</w:t>
      </w:r>
      <w:r w:rsidR="00B272D6">
        <w:rPr>
          <w:rFonts w:asciiTheme="majorHAnsi" w:hAnsiTheme="majorHAnsi" w:cs="Calibri Light"/>
          <w:noProof/>
          <w:lang w:eastAsia="en-US"/>
        </w:rPr>
        <w:t xml:space="preserve">otărârea </w:t>
      </w:r>
      <w:r w:rsidR="00B272D6" w:rsidRPr="00DF4ED4">
        <w:rPr>
          <w:rFonts w:asciiTheme="majorHAnsi" w:hAnsiTheme="majorHAnsi" w:cs="Calibri Light"/>
          <w:noProof/>
          <w:lang w:eastAsia="en-US"/>
        </w:rPr>
        <w:t>G</w:t>
      </w:r>
      <w:r w:rsidR="00B272D6">
        <w:rPr>
          <w:rFonts w:asciiTheme="majorHAnsi" w:hAnsiTheme="majorHAnsi" w:cs="Calibri Light"/>
          <w:noProof/>
          <w:lang w:eastAsia="en-US"/>
        </w:rPr>
        <w:t>uvernului</w:t>
      </w:r>
      <w:r w:rsidRPr="00967339">
        <w:rPr>
          <w:rFonts w:asciiTheme="majorHAnsi" w:hAnsiTheme="majorHAnsi" w:cstheme="majorHAnsi"/>
          <w:noProof/>
        </w:rPr>
        <w:t xml:space="preserve"> nr. </w:t>
      </w:r>
      <w:r w:rsidR="005C7A40" w:rsidRPr="00967339">
        <w:rPr>
          <w:rFonts w:asciiTheme="majorHAnsi" w:hAnsiTheme="majorHAnsi" w:cstheme="majorHAnsi"/>
          <w:noProof/>
        </w:rPr>
        <w:t>789</w:t>
      </w:r>
      <w:r w:rsidRPr="00967339">
        <w:rPr>
          <w:rFonts w:asciiTheme="majorHAnsi" w:hAnsiTheme="majorHAnsi" w:cstheme="majorHAnsi"/>
          <w:noProof/>
        </w:rPr>
        <w:t>/201</w:t>
      </w:r>
      <w:r w:rsidR="005C7A40" w:rsidRPr="00967339">
        <w:rPr>
          <w:rFonts w:asciiTheme="majorHAnsi" w:hAnsiTheme="majorHAnsi" w:cstheme="majorHAnsi"/>
          <w:noProof/>
        </w:rPr>
        <w:t>4</w:t>
      </w:r>
      <w:r w:rsidR="005C7A40" w:rsidRPr="00967339">
        <w:rPr>
          <w:rStyle w:val="ad"/>
          <w:rFonts w:asciiTheme="majorHAnsi" w:hAnsiTheme="majorHAnsi" w:cstheme="majorHAnsi"/>
          <w:noProof/>
        </w:rPr>
        <w:footnoteReference w:id="14"/>
      </w:r>
      <w:r w:rsidRPr="00967339">
        <w:rPr>
          <w:rFonts w:asciiTheme="majorHAnsi" w:hAnsiTheme="majorHAnsi" w:cstheme="majorHAnsi"/>
          <w:noProof/>
        </w:rPr>
        <w:t xml:space="preserve"> privitor la </w:t>
      </w:r>
      <w:r w:rsidR="005C7A40" w:rsidRPr="00967339">
        <w:rPr>
          <w:rFonts w:asciiTheme="majorHAnsi" w:hAnsiTheme="majorHAnsi" w:cstheme="majorHAnsi"/>
          <w:noProof/>
        </w:rPr>
        <w:t>dezvoltarea infrastructurii Centrului Național de Medicină Sportivă „Atletmed”</w:t>
      </w:r>
      <w:r w:rsidR="00DC4AF3" w:rsidRPr="00967339">
        <w:rPr>
          <w:rFonts w:asciiTheme="majorHAnsi" w:hAnsiTheme="majorHAnsi" w:cstheme="majorHAnsi"/>
          <w:noProof/>
        </w:rPr>
        <w:t>, av</w:t>
      </w:r>
      <w:r w:rsidR="003B2F44">
        <w:rPr>
          <w:rFonts w:asciiTheme="majorHAnsi" w:hAnsiTheme="majorHAnsi" w:cstheme="majorHAnsi"/>
          <w:noProof/>
        </w:rPr>
        <w:t>â</w:t>
      </w:r>
      <w:r w:rsidR="001B61C9" w:rsidRPr="00967339">
        <w:rPr>
          <w:rFonts w:asciiTheme="majorHAnsi" w:hAnsiTheme="majorHAnsi" w:cstheme="majorHAnsi"/>
          <w:noProof/>
        </w:rPr>
        <w:t>nd drept scop proiectarea și construcția unui bloc cu 9 etaje, dintre care etajele 1 și 2 cu suprafața de 1200 m</w:t>
      </w:r>
      <w:r w:rsidR="001B61C9" w:rsidRPr="00967339">
        <w:rPr>
          <w:rFonts w:asciiTheme="majorHAnsi" w:hAnsiTheme="majorHAnsi" w:cstheme="majorHAnsi"/>
          <w:noProof/>
          <w:vertAlign w:val="superscript"/>
        </w:rPr>
        <w:t>2</w:t>
      </w:r>
      <w:r w:rsidR="001B61C9" w:rsidRPr="00967339">
        <w:rPr>
          <w:rFonts w:asciiTheme="majorHAnsi" w:hAnsiTheme="majorHAnsi" w:cstheme="majorHAnsi"/>
          <w:noProof/>
        </w:rPr>
        <w:t>, cu destinație administrativă, pentru amplasarea CNMS „Atletmed”, iar etajele 3-9 cu destinație locativă, precum și amenajarea unei parcări auto</w:t>
      </w:r>
      <w:r w:rsidR="005C7A40" w:rsidRPr="00967339">
        <w:rPr>
          <w:rFonts w:asciiTheme="majorHAnsi" w:hAnsiTheme="majorHAnsi" w:cstheme="majorHAnsi"/>
          <w:noProof/>
        </w:rPr>
        <w:t>.</w:t>
      </w:r>
      <w:r w:rsidR="00600FCD" w:rsidRPr="00967339">
        <w:rPr>
          <w:rFonts w:asciiTheme="majorHAnsi" w:hAnsiTheme="majorHAnsi" w:cstheme="majorHAnsi"/>
          <w:noProof/>
        </w:rPr>
        <w:t xml:space="preserve"> </w:t>
      </w:r>
    </w:p>
    <w:p w14:paraId="3ED91DBC" w14:textId="3604F1C3" w:rsidR="000F5ED5" w:rsidRPr="00967339" w:rsidRDefault="002F6136" w:rsidP="00023A8F">
      <w:pPr>
        <w:spacing w:line="276" w:lineRule="auto"/>
        <w:jc w:val="both"/>
        <w:outlineLvl w:val="0"/>
        <w:rPr>
          <w:rFonts w:asciiTheme="majorHAnsi" w:hAnsiTheme="majorHAnsi" w:cstheme="majorHAnsi"/>
          <w:i/>
          <w:noProof/>
        </w:rPr>
      </w:pPr>
      <w:r w:rsidRPr="00967339">
        <w:rPr>
          <w:rFonts w:asciiTheme="majorHAnsi" w:hAnsiTheme="majorHAnsi" w:cstheme="majorHAnsi"/>
          <w:noProof/>
        </w:rPr>
        <w:tab/>
        <w:t xml:space="preserve"> La</w:t>
      </w:r>
      <w:r w:rsidR="000F5ED5" w:rsidRPr="00967339">
        <w:rPr>
          <w:rFonts w:asciiTheme="majorHAnsi" w:hAnsiTheme="majorHAnsi" w:cstheme="majorHAnsi"/>
          <w:noProof/>
        </w:rPr>
        <w:t xml:space="preserve"> solicitarea </w:t>
      </w:r>
      <w:r w:rsidR="003B2F44">
        <w:rPr>
          <w:rFonts w:asciiTheme="majorHAnsi" w:hAnsiTheme="majorHAnsi" w:cstheme="majorHAnsi"/>
          <w:noProof/>
        </w:rPr>
        <w:t xml:space="preserve">informațiilor de către </w:t>
      </w:r>
      <w:r w:rsidR="000F5ED5" w:rsidRPr="00967339">
        <w:rPr>
          <w:rFonts w:asciiTheme="majorHAnsi" w:hAnsiTheme="majorHAnsi" w:cstheme="majorHAnsi"/>
          <w:noProof/>
        </w:rPr>
        <w:t>audit privind derularea contractului</w:t>
      </w:r>
      <w:r w:rsidR="001B61C9" w:rsidRPr="00967339">
        <w:rPr>
          <w:rFonts w:asciiTheme="majorHAnsi" w:hAnsiTheme="majorHAnsi" w:cstheme="majorHAnsi"/>
          <w:noProof/>
        </w:rPr>
        <w:t xml:space="preserve"> încheiat la 08 decembrie 2014</w:t>
      </w:r>
      <w:r w:rsidR="000F5ED5" w:rsidRPr="00967339">
        <w:rPr>
          <w:rFonts w:asciiTheme="majorHAnsi" w:hAnsiTheme="majorHAnsi" w:cstheme="majorHAnsi"/>
          <w:noProof/>
        </w:rPr>
        <w:t>,</w:t>
      </w:r>
      <w:r w:rsidRPr="00967339">
        <w:rPr>
          <w:rFonts w:asciiTheme="majorHAnsi" w:hAnsiTheme="majorHAnsi" w:cstheme="majorHAnsi"/>
          <w:noProof/>
        </w:rPr>
        <w:t xml:space="preserve"> </w:t>
      </w:r>
      <w:r w:rsidR="000F5ED5" w:rsidRPr="00967339">
        <w:rPr>
          <w:rFonts w:asciiTheme="majorHAnsi" w:hAnsiTheme="majorHAnsi" w:cstheme="majorHAnsi"/>
          <w:noProof/>
        </w:rPr>
        <w:t xml:space="preserve">CNMS „Atletmed” </w:t>
      </w:r>
      <w:r w:rsidRPr="00967339">
        <w:rPr>
          <w:rFonts w:asciiTheme="majorHAnsi" w:hAnsiTheme="majorHAnsi" w:cstheme="majorHAnsi"/>
          <w:noProof/>
        </w:rPr>
        <w:t xml:space="preserve">a prezentat </w:t>
      </w:r>
      <w:r w:rsidR="000F5ED5" w:rsidRPr="00967339">
        <w:rPr>
          <w:rFonts w:asciiTheme="majorHAnsi" w:hAnsiTheme="majorHAnsi" w:cstheme="majorHAnsi"/>
          <w:noProof/>
        </w:rPr>
        <w:t>informații priv</w:t>
      </w:r>
      <w:r w:rsidR="00200CF9" w:rsidRPr="00967339">
        <w:rPr>
          <w:rFonts w:asciiTheme="majorHAnsi" w:hAnsiTheme="majorHAnsi" w:cstheme="majorHAnsi"/>
          <w:noProof/>
        </w:rPr>
        <w:t>ind litigiile existente la momen</w:t>
      </w:r>
      <w:r w:rsidR="000F5ED5" w:rsidRPr="00967339">
        <w:rPr>
          <w:rFonts w:asciiTheme="majorHAnsi" w:hAnsiTheme="majorHAnsi" w:cstheme="majorHAnsi"/>
          <w:noProof/>
        </w:rPr>
        <w:t xml:space="preserve">t cu </w:t>
      </w:r>
      <w:r w:rsidR="001B61C9" w:rsidRPr="00967339">
        <w:rPr>
          <w:rFonts w:asciiTheme="majorHAnsi" w:hAnsiTheme="majorHAnsi" w:cstheme="majorHAnsi"/>
          <w:noProof/>
        </w:rPr>
        <w:t>operatorul economic</w:t>
      </w:r>
      <w:r w:rsidR="000F5ED5" w:rsidRPr="00967339">
        <w:rPr>
          <w:rFonts w:asciiTheme="majorHAnsi" w:hAnsiTheme="majorHAnsi" w:cstheme="majorHAnsi"/>
          <w:noProof/>
        </w:rPr>
        <w:t xml:space="preserve">. </w:t>
      </w:r>
      <w:r w:rsidR="001B61C9" w:rsidRPr="00967339">
        <w:rPr>
          <w:rFonts w:asciiTheme="majorHAnsi" w:hAnsiTheme="majorHAnsi" w:cstheme="majorHAnsi"/>
          <w:noProof/>
        </w:rPr>
        <w:t>E</w:t>
      </w:r>
      <w:r w:rsidR="00292616" w:rsidRPr="00967339">
        <w:rPr>
          <w:rFonts w:asciiTheme="majorHAnsi" w:hAnsiTheme="majorHAnsi" w:cstheme="majorHAnsi"/>
          <w:noProof/>
        </w:rPr>
        <w:t>chipa de audit a stabilit că p</w:t>
      </w:r>
      <w:r w:rsidR="003B2F44">
        <w:rPr>
          <w:rFonts w:asciiTheme="majorHAnsi" w:hAnsiTheme="majorHAnsi" w:cstheme="majorHAnsi"/>
          <w:noProof/>
        </w:rPr>
        <w:t>â</w:t>
      </w:r>
      <w:r w:rsidR="00292616" w:rsidRPr="00967339">
        <w:rPr>
          <w:rFonts w:asciiTheme="majorHAnsi" w:hAnsiTheme="majorHAnsi" w:cstheme="majorHAnsi"/>
          <w:noProof/>
        </w:rPr>
        <w:t>nă</w:t>
      </w:r>
      <w:r w:rsidR="000F5ED5" w:rsidRPr="00967339">
        <w:rPr>
          <w:rFonts w:asciiTheme="majorHAnsi" w:hAnsiTheme="majorHAnsi" w:cstheme="majorHAnsi"/>
          <w:noProof/>
        </w:rPr>
        <w:t xml:space="preserve"> la moment (01.07.2022) au fost efectuate doar lucrări de demolare a construcțiilor existente pe teritoriul destinat construcției blocului cu 9 etaje. De menționat faptul că contractul de societate civilă nr. 1/12/14</w:t>
      </w:r>
      <w:r w:rsidR="008E38A9">
        <w:rPr>
          <w:rFonts w:asciiTheme="majorHAnsi" w:hAnsiTheme="majorHAnsi" w:cstheme="majorHAnsi"/>
          <w:noProof/>
        </w:rPr>
        <w:t xml:space="preserve"> indica</w:t>
      </w:r>
      <w:r w:rsidR="00AB4C48" w:rsidRPr="00967339">
        <w:rPr>
          <w:rFonts w:asciiTheme="majorHAnsi" w:hAnsiTheme="majorHAnsi" w:cstheme="majorHAnsi"/>
          <w:noProof/>
        </w:rPr>
        <w:t xml:space="preserve"> (pct.6.1.) că</w:t>
      </w:r>
      <w:r w:rsidR="000F5ED5" w:rsidRPr="00967339">
        <w:rPr>
          <w:rFonts w:asciiTheme="majorHAnsi" w:hAnsiTheme="majorHAnsi" w:cstheme="majorHAnsi"/>
          <w:noProof/>
        </w:rPr>
        <w:t xml:space="preserve"> termenul general de executare a lucrărilor de demolare, proiectare și construcție este </w:t>
      </w:r>
      <w:r w:rsidR="003B2F44">
        <w:rPr>
          <w:rFonts w:asciiTheme="majorHAnsi" w:hAnsiTheme="majorHAnsi" w:cstheme="majorHAnsi"/>
          <w:noProof/>
        </w:rPr>
        <w:t xml:space="preserve">de </w:t>
      </w:r>
      <w:r w:rsidR="000F5ED5" w:rsidRPr="00967339">
        <w:rPr>
          <w:rFonts w:asciiTheme="majorHAnsi" w:hAnsiTheme="majorHAnsi" w:cstheme="majorHAnsi"/>
          <w:noProof/>
        </w:rPr>
        <w:t>24 luni</w:t>
      </w:r>
      <w:r w:rsidR="00687E23" w:rsidRPr="00967339">
        <w:rPr>
          <w:rFonts w:asciiTheme="majorHAnsi" w:hAnsiTheme="majorHAnsi" w:cstheme="majorHAnsi"/>
          <w:noProof/>
        </w:rPr>
        <w:t xml:space="preserve"> (08.12.2016)</w:t>
      </w:r>
      <w:r w:rsidR="000F5ED5" w:rsidRPr="00967339">
        <w:rPr>
          <w:rFonts w:asciiTheme="majorHAnsi" w:hAnsiTheme="majorHAnsi" w:cstheme="majorHAnsi"/>
          <w:noProof/>
        </w:rPr>
        <w:t>.</w:t>
      </w:r>
    </w:p>
    <w:p w14:paraId="2A568300" w14:textId="725C18F2" w:rsidR="00782580" w:rsidRPr="00967339" w:rsidRDefault="00687E23" w:rsidP="00023A8F">
      <w:pPr>
        <w:tabs>
          <w:tab w:val="left" w:pos="810"/>
          <w:tab w:val="left" w:pos="1701"/>
        </w:tabs>
        <w:spacing w:line="276" w:lineRule="auto"/>
        <w:jc w:val="both"/>
        <w:rPr>
          <w:rFonts w:asciiTheme="majorHAnsi" w:hAnsiTheme="majorHAnsi" w:cstheme="majorHAnsi"/>
          <w:noProof/>
        </w:rPr>
      </w:pPr>
      <w:r w:rsidRPr="00967339">
        <w:rPr>
          <w:rFonts w:asciiTheme="majorHAnsi" w:hAnsiTheme="majorHAnsi" w:cstheme="majorHAnsi"/>
          <w:noProof/>
        </w:rPr>
        <w:tab/>
      </w:r>
      <w:r w:rsidR="00670684" w:rsidRPr="003D676B">
        <w:rPr>
          <w:rFonts w:asciiTheme="majorHAnsi" w:hAnsiTheme="majorHAnsi" w:cstheme="majorHAnsi"/>
          <w:noProof/>
        </w:rPr>
        <w:t>Astfel</w:t>
      </w:r>
      <w:r w:rsidR="00573E63" w:rsidRPr="003D676B">
        <w:rPr>
          <w:rFonts w:asciiTheme="majorHAnsi" w:hAnsiTheme="majorHAnsi" w:cstheme="majorHAnsi"/>
          <w:noProof/>
        </w:rPr>
        <w:t>, acest proiect investițional nu și-a atins scopul propus, ceea ce denotă că pe parcurul anilor 2014-2021</w:t>
      </w:r>
      <w:r w:rsidR="008E38A9" w:rsidRPr="003D676B">
        <w:rPr>
          <w:rFonts w:asciiTheme="majorHAnsi" w:hAnsiTheme="majorHAnsi" w:cstheme="majorHAnsi"/>
          <w:noProof/>
        </w:rPr>
        <w:t xml:space="preserve"> conducerea</w:t>
      </w:r>
      <w:r w:rsidR="00573E63" w:rsidRPr="003D676B">
        <w:rPr>
          <w:rFonts w:asciiTheme="majorHAnsi" w:hAnsiTheme="majorHAnsi" w:cstheme="majorHAnsi"/>
          <w:noProof/>
        </w:rPr>
        <w:t xml:space="preserve"> ministerului</w:t>
      </w:r>
      <w:r w:rsidR="008E38A9" w:rsidRPr="003D676B">
        <w:rPr>
          <w:rFonts w:asciiTheme="majorHAnsi" w:hAnsiTheme="majorHAnsi" w:cstheme="majorHAnsi"/>
          <w:noProof/>
        </w:rPr>
        <w:t>,</w:t>
      </w:r>
      <w:r w:rsidR="00573E63" w:rsidRPr="003D676B">
        <w:rPr>
          <w:rFonts w:asciiTheme="majorHAnsi" w:hAnsiTheme="majorHAnsi" w:cstheme="majorHAnsi"/>
          <w:noProof/>
        </w:rPr>
        <w:t xml:space="preserve"> fiind responsabil</w:t>
      </w:r>
      <w:r w:rsidR="008E38A9" w:rsidRPr="003D676B">
        <w:rPr>
          <w:rFonts w:asciiTheme="majorHAnsi" w:hAnsiTheme="majorHAnsi" w:cstheme="majorHAnsi"/>
          <w:noProof/>
        </w:rPr>
        <w:t>ă</w:t>
      </w:r>
      <w:r w:rsidR="00573E63" w:rsidRPr="003D676B">
        <w:rPr>
          <w:rFonts w:asciiTheme="majorHAnsi" w:hAnsiTheme="majorHAnsi" w:cstheme="majorHAnsi"/>
          <w:noProof/>
        </w:rPr>
        <w:t xml:space="preserve"> de monitorizarea etapelor de implementare </w:t>
      </w:r>
      <w:r w:rsidR="003B2F44">
        <w:rPr>
          <w:rFonts w:asciiTheme="majorHAnsi" w:hAnsiTheme="majorHAnsi" w:cstheme="majorHAnsi"/>
          <w:noProof/>
        </w:rPr>
        <w:t xml:space="preserve">a </w:t>
      </w:r>
      <w:r w:rsidR="00573E63" w:rsidRPr="003D676B">
        <w:rPr>
          <w:rFonts w:asciiTheme="majorHAnsi" w:hAnsiTheme="majorHAnsi" w:cstheme="majorHAnsi"/>
          <w:noProof/>
        </w:rPr>
        <w:t>acestui proiect, nu a întreprins suficiente măsuri în vederea</w:t>
      </w:r>
      <w:r w:rsidR="008E38A9" w:rsidRPr="003D676B">
        <w:rPr>
          <w:rFonts w:asciiTheme="majorHAnsi" w:hAnsiTheme="majorHAnsi" w:cstheme="majorHAnsi"/>
          <w:noProof/>
        </w:rPr>
        <w:t xml:space="preserve"> analizei evoluției proiectului și</w:t>
      </w:r>
      <w:r w:rsidR="00573E63" w:rsidRPr="003D676B">
        <w:rPr>
          <w:rFonts w:asciiTheme="majorHAnsi" w:hAnsiTheme="majorHAnsi" w:cstheme="majorHAnsi"/>
          <w:noProof/>
        </w:rPr>
        <w:t xml:space="preserve"> perfect</w:t>
      </w:r>
      <w:r w:rsidR="003B2F44">
        <w:rPr>
          <w:rFonts w:asciiTheme="majorHAnsi" w:hAnsiTheme="majorHAnsi" w:cstheme="majorHAnsi"/>
          <w:noProof/>
        </w:rPr>
        <w:t>ării</w:t>
      </w:r>
      <w:r w:rsidR="00573E63" w:rsidRPr="003D676B">
        <w:rPr>
          <w:rFonts w:asciiTheme="majorHAnsi" w:hAnsiTheme="majorHAnsi" w:cstheme="majorHAnsi"/>
          <w:noProof/>
        </w:rPr>
        <w:t xml:space="preserve"> regulamentar</w:t>
      </w:r>
      <w:r w:rsidR="003B2F44">
        <w:rPr>
          <w:rFonts w:asciiTheme="majorHAnsi" w:hAnsiTheme="majorHAnsi" w:cstheme="majorHAnsi"/>
          <w:noProof/>
        </w:rPr>
        <w:t>e</w:t>
      </w:r>
      <w:r w:rsidR="00573E63" w:rsidRPr="003D676B">
        <w:rPr>
          <w:rFonts w:asciiTheme="majorHAnsi" w:hAnsiTheme="majorHAnsi" w:cstheme="majorHAnsi"/>
          <w:noProof/>
        </w:rPr>
        <w:t xml:space="preserve"> a tuturor documentelor aferente</w:t>
      </w:r>
      <w:r w:rsidR="00856BCB" w:rsidRPr="003D676B">
        <w:rPr>
          <w:rStyle w:val="ad"/>
          <w:rFonts w:asciiTheme="majorHAnsi" w:hAnsiTheme="majorHAnsi" w:cstheme="majorHAnsi"/>
          <w:noProof/>
        </w:rPr>
        <w:footnoteReference w:id="15"/>
      </w:r>
      <w:r w:rsidR="00670684" w:rsidRPr="003D676B">
        <w:rPr>
          <w:rFonts w:asciiTheme="majorHAnsi" w:hAnsiTheme="majorHAnsi" w:cstheme="majorHAnsi"/>
          <w:noProof/>
        </w:rPr>
        <w:t>.</w:t>
      </w:r>
      <w:r w:rsidR="00856BCB" w:rsidRPr="003D676B">
        <w:rPr>
          <w:rFonts w:asciiTheme="majorHAnsi" w:hAnsiTheme="majorHAnsi" w:cstheme="majorHAnsi"/>
          <w:noProof/>
        </w:rPr>
        <w:t xml:space="preserve"> </w:t>
      </w:r>
      <w:r w:rsidR="00670684" w:rsidRPr="003D676B">
        <w:rPr>
          <w:rFonts w:asciiTheme="majorHAnsi" w:hAnsiTheme="majorHAnsi" w:cstheme="majorHAnsi"/>
          <w:noProof/>
        </w:rPr>
        <w:t>Aceste condiții</w:t>
      </w:r>
      <w:r w:rsidR="00670684" w:rsidRPr="00670684">
        <w:rPr>
          <w:rFonts w:asciiTheme="majorHAnsi" w:hAnsiTheme="majorHAnsi" w:cstheme="majorHAnsi"/>
          <w:noProof/>
        </w:rPr>
        <w:t xml:space="preserve"> au determinat</w:t>
      </w:r>
      <w:r w:rsidR="00856BCB" w:rsidRPr="00670684">
        <w:rPr>
          <w:rFonts w:asciiTheme="majorHAnsi" w:hAnsiTheme="majorHAnsi" w:cstheme="majorHAnsi"/>
          <w:noProof/>
        </w:rPr>
        <w:t xml:space="preserve"> pierderea cladirilor existente</w:t>
      </w:r>
      <w:r w:rsidR="005C2BA9" w:rsidRPr="00670684">
        <w:rPr>
          <w:rFonts w:asciiTheme="majorHAnsi" w:hAnsiTheme="majorHAnsi" w:cstheme="majorHAnsi"/>
          <w:noProof/>
        </w:rPr>
        <w:t xml:space="preserve"> la acel moment</w:t>
      </w:r>
      <w:r w:rsidR="00856BCB" w:rsidRPr="00670684">
        <w:rPr>
          <w:rFonts w:asciiTheme="majorHAnsi" w:hAnsiTheme="majorHAnsi" w:cstheme="majorHAnsi"/>
          <w:noProof/>
        </w:rPr>
        <w:t xml:space="preserve"> prin demolare</w:t>
      </w:r>
      <w:r w:rsidR="003B2F44">
        <w:rPr>
          <w:rFonts w:asciiTheme="majorHAnsi" w:hAnsiTheme="majorHAnsi" w:cstheme="majorHAnsi"/>
          <w:noProof/>
        </w:rPr>
        <w:t>,</w:t>
      </w:r>
      <w:r w:rsidR="000A6D46" w:rsidRPr="00670684">
        <w:rPr>
          <w:rFonts w:asciiTheme="majorHAnsi" w:hAnsiTheme="majorHAnsi" w:cstheme="majorHAnsi"/>
          <w:noProof/>
        </w:rPr>
        <w:t xml:space="preserve"> în </w:t>
      </w:r>
      <w:r w:rsidR="00670684" w:rsidRPr="00670684">
        <w:rPr>
          <w:rFonts w:asciiTheme="majorHAnsi" w:hAnsiTheme="majorHAnsi" w:cstheme="majorHAnsi"/>
          <w:noProof/>
        </w:rPr>
        <w:t>valoare</w:t>
      </w:r>
      <w:r w:rsidR="000A6D46" w:rsidRPr="00670684">
        <w:rPr>
          <w:rFonts w:asciiTheme="majorHAnsi" w:hAnsiTheme="majorHAnsi" w:cstheme="majorHAnsi"/>
          <w:noProof/>
        </w:rPr>
        <w:t xml:space="preserve"> de 554,0 mii lei</w:t>
      </w:r>
      <w:r w:rsidR="00856BCB" w:rsidRPr="00670684">
        <w:rPr>
          <w:rFonts w:asciiTheme="majorHAnsi" w:hAnsiTheme="majorHAnsi" w:cstheme="majorHAnsi"/>
          <w:noProof/>
        </w:rPr>
        <w:t>, precum și</w:t>
      </w:r>
      <w:r w:rsidR="006D0143" w:rsidRPr="00670684">
        <w:rPr>
          <w:rFonts w:asciiTheme="majorHAnsi" w:hAnsiTheme="majorHAnsi" w:cstheme="majorHAnsi"/>
          <w:noProof/>
        </w:rPr>
        <w:t xml:space="preserve"> se</w:t>
      </w:r>
      <w:r w:rsidR="00856BCB" w:rsidRPr="00670684">
        <w:rPr>
          <w:rFonts w:asciiTheme="majorHAnsi" w:hAnsiTheme="majorHAnsi" w:cstheme="majorHAnsi"/>
          <w:noProof/>
        </w:rPr>
        <w:t xml:space="preserve"> determină riscul pierderii terenului</w:t>
      </w:r>
      <w:r w:rsidR="006D0143" w:rsidRPr="00670684">
        <w:rPr>
          <w:rFonts w:asciiTheme="majorHAnsi" w:hAnsiTheme="majorHAnsi" w:cstheme="majorHAnsi"/>
          <w:noProof/>
        </w:rPr>
        <w:t xml:space="preserve"> (0.26 ha)</w:t>
      </w:r>
      <w:r w:rsidR="00856BCB" w:rsidRPr="00670684">
        <w:rPr>
          <w:rFonts w:asciiTheme="majorHAnsi" w:hAnsiTheme="majorHAnsi" w:cstheme="majorHAnsi"/>
          <w:noProof/>
        </w:rPr>
        <w:t xml:space="preserve"> transmis </w:t>
      </w:r>
      <w:r w:rsidR="005C2BA9" w:rsidRPr="00670684">
        <w:rPr>
          <w:rFonts w:asciiTheme="majorHAnsi" w:hAnsiTheme="majorHAnsi" w:cstheme="majorHAnsi"/>
          <w:noProof/>
        </w:rPr>
        <w:t>din domeniul public în domeniul privat</w:t>
      </w:r>
      <w:r w:rsidR="00AC3F20" w:rsidRPr="00670684">
        <w:rPr>
          <w:rFonts w:asciiTheme="majorHAnsi" w:hAnsiTheme="majorHAnsi" w:cstheme="majorHAnsi"/>
          <w:noProof/>
        </w:rPr>
        <w:t>, î</w:t>
      </w:r>
      <w:r w:rsidR="004B2341" w:rsidRPr="00670684">
        <w:rPr>
          <w:rFonts w:asciiTheme="majorHAnsi" w:hAnsiTheme="majorHAnsi" w:cstheme="majorHAnsi"/>
          <w:noProof/>
        </w:rPr>
        <w:t xml:space="preserve">n timp </w:t>
      </w:r>
      <w:r w:rsidR="00AC3F20" w:rsidRPr="00670684">
        <w:rPr>
          <w:rFonts w:asciiTheme="majorHAnsi" w:hAnsiTheme="majorHAnsi" w:cstheme="majorHAnsi"/>
          <w:noProof/>
        </w:rPr>
        <w:t xml:space="preserve">ce </w:t>
      </w:r>
      <w:r w:rsidR="004B2341" w:rsidRPr="00670684">
        <w:rPr>
          <w:rFonts w:asciiTheme="majorHAnsi" w:hAnsiTheme="majorHAnsi" w:cstheme="majorHAnsi"/>
          <w:noProof/>
        </w:rPr>
        <w:t>scopul propriu</w:t>
      </w:r>
      <w:r w:rsidR="003B2F44">
        <w:rPr>
          <w:rFonts w:asciiTheme="majorHAnsi" w:hAnsiTheme="majorHAnsi" w:cstheme="majorHAnsi"/>
          <w:noProof/>
        </w:rPr>
        <w:t>-</w:t>
      </w:r>
      <w:r w:rsidR="004B2341" w:rsidRPr="00670684">
        <w:rPr>
          <w:rFonts w:asciiTheme="majorHAnsi" w:hAnsiTheme="majorHAnsi" w:cstheme="majorHAnsi"/>
          <w:noProof/>
        </w:rPr>
        <w:t>zis nu este atins.</w:t>
      </w:r>
    </w:p>
    <w:p w14:paraId="53EC5856" w14:textId="77777777" w:rsidR="00782580" w:rsidRPr="00967339" w:rsidRDefault="00782580" w:rsidP="00023A8F">
      <w:pPr>
        <w:tabs>
          <w:tab w:val="left" w:pos="810"/>
          <w:tab w:val="left" w:pos="1701"/>
        </w:tabs>
        <w:spacing w:line="276" w:lineRule="auto"/>
        <w:jc w:val="both"/>
        <w:rPr>
          <w:rFonts w:asciiTheme="majorHAnsi" w:hAnsiTheme="majorHAnsi" w:cstheme="majorHAnsi"/>
          <w:noProof/>
        </w:rPr>
      </w:pPr>
    </w:p>
    <w:p w14:paraId="2D05C411" w14:textId="263A4058" w:rsidR="0033346D" w:rsidRPr="00967339" w:rsidRDefault="002B2B10" w:rsidP="00023A8F">
      <w:pPr>
        <w:pStyle w:val="a3"/>
        <w:numPr>
          <w:ilvl w:val="1"/>
          <w:numId w:val="28"/>
        </w:numPr>
        <w:tabs>
          <w:tab w:val="left" w:pos="810"/>
          <w:tab w:val="left" w:pos="1701"/>
        </w:tabs>
        <w:spacing w:line="276" w:lineRule="auto"/>
        <w:ind w:left="0" w:firstLine="0"/>
        <w:jc w:val="both"/>
        <w:rPr>
          <w:rFonts w:asciiTheme="majorHAnsi" w:hAnsiTheme="majorHAnsi" w:cstheme="majorHAnsi"/>
          <w:noProof/>
        </w:rPr>
      </w:pPr>
      <w:r w:rsidRPr="00967339">
        <w:rPr>
          <w:rFonts w:asciiTheme="majorHAnsi" w:hAnsiTheme="majorHAnsi" w:cstheme="majorHAnsi"/>
          <w:noProof/>
        </w:rPr>
        <w:t>Atragem atenția asupra faptului că</w:t>
      </w:r>
      <w:r w:rsidR="00292616" w:rsidRPr="00967339">
        <w:rPr>
          <w:rFonts w:asciiTheme="majorHAnsi" w:hAnsiTheme="majorHAnsi" w:cstheme="majorHAnsi"/>
          <w:noProof/>
        </w:rPr>
        <w:t xml:space="preserve"> pâ</w:t>
      </w:r>
      <w:r w:rsidR="00E566FA" w:rsidRPr="00967339">
        <w:rPr>
          <w:rFonts w:asciiTheme="majorHAnsi" w:hAnsiTheme="majorHAnsi" w:cstheme="majorHAnsi"/>
          <w:noProof/>
        </w:rPr>
        <w:t>nă în prezent A</w:t>
      </w:r>
      <w:r w:rsidR="00836281" w:rsidRPr="00967339">
        <w:rPr>
          <w:rFonts w:asciiTheme="majorHAnsi" w:hAnsiTheme="majorHAnsi" w:cstheme="majorHAnsi"/>
          <w:noProof/>
        </w:rPr>
        <w:t xml:space="preserve">genția </w:t>
      </w:r>
      <w:r w:rsidR="00E566FA" w:rsidRPr="00967339">
        <w:rPr>
          <w:rFonts w:asciiTheme="majorHAnsi" w:hAnsiTheme="majorHAnsi" w:cstheme="majorHAnsi"/>
          <w:noProof/>
        </w:rPr>
        <w:t>P</w:t>
      </w:r>
      <w:r w:rsidR="00836281" w:rsidRPr="00967339">
        <w:rPr>
          <w:rFonts w:asciiTheme="majorHAnsi" w:hAnsiTheme="majorHAnsi" w:cstheme="majorHAnsi"/>
          <w:noProof/>
        </w:rPr>
        <w:t>rotriet</w:t>
      </w:r>
      <w:r w:rsidR="003B2F44">
        <w:rPr>
          <w:rFonts w:asciiTheme="majorHAnsi" w:hAnsiTheme="majorHAnsi" w:cstheme="majorHAnsi"/>
          <w:noProof/>
        </w:rPr>
        <w:t>ății</w:t>
      </w:r>
      <w:r w:rsidR="00836281" w:rsidRPr="00967339">
        <w:rPr>
          <w:rFonts w:asciiTheme="majorHAnsi" w:hAnsiTheme="majorHAnsi" w:cstheme="majorHAnsi"/>
          <w:noProof/>
        </w:rPr>
        <w:t xml:space="preserve"> </w:t>
      </w:r>
      <w:r w:rsidR="00E566FA" w:rsidRPr="00967339">
        <w:rPr>
          <w:rFonts w:asciiTheme="majorHAnsi" w:hAnsiTheme="majorHAnsi" w:cstheme="majorHAnsi"/>
          <w:noProof/>
        </w:rPr>
        <w:t>P</w:t>
      </w:r>
      <w:r w:rsidR="00836281" w:rsidRPr="00967339">
        <w:rPr>
          <w:rFonts w:asciiTheme="majorHAnsi" w:hAnsiTheme="majorHAnsi" w:cstheme="majorHAnsi"/>
          <w:noProof/>
        </w:rPr>
        <w:t>ublic</w:t>
      </w:r>
      <w:r w:rsidR="003B2F44">
        <w:rPr>
          <w:rFonts w:asciiTheme="majorHAnsi" w:hAnsiTheme="majorHAnsi" w:cstheme="majorHAnsi"/>
          <w:noProof/>
        </w:rPr>
        <w:t>e</w:t>
      </w:r>
      <w:r w:rsidR="00E566FA" w:rsidRPr="00967339">
        <w:rPr>
          <w:rFonts w:asciiTheme="majorHAnsi" w:hAnsiTheme="majorHAnsi" w:cstheme="majorHAnsi"/>
          <w:noProof/>
        </w:rPr>
        <w:t xml:space="preserve"> nu a întreprins măsuri pentru realizarea prevederilor </w:t>
      </w:r>
      <w:r w:rsidR="0043544E" w:rsidRPr="00967339">
        <w:rPr>
          <w:rFonts w:asciiTheme="majorHAnsi" w:hAnsiTheme="majorHAnsi" w:cstheme="majorHAnsi"/>
          <w:noProof/>
        </w:rPr>
        <w:t>Hotărârii Guvernului nr.161 din 07.03.2019</w:t>
      </w:r>
      <w:r w:rsidR="0043544E" w:rsidRPr="00967339">
        <w:rPr>
          <w:rStyle w:val="ad"/>
          <w:rFonts w:asciiTheme="majorHAnsi" w:hAnsiTheme="majorHAnsi" w:cstheme="majorHAnsi"/>
          <w:noProof/>
        </w:rPr>
        <w:footnoteReference w:id="16"/>
      </w:r>
      <w:r w:rsidR="0043544E" w:rsidRPr="00967339">
        <w:rPr>
          <w:rFonts w:asciiTheme="majorHAnsi" w:hAnsiTheme="majorHAnsi" w:cstheme="majorHAnsi"/>
          <w:noProof/>
        </w:rPr>
        <w:t>,</w:t>
      </w:r>
      <w:r w:rsidR="00292616" w:rsidRPr="00967339">
        <w:rPr>
          <w:rFonts w:asciiTheme="majorHAnsi" w:hAnsiTheme="majorHAnsi" w:cstheme="majorHAnsi"/>
          <w:noProof/>
        </w:rPr>
        <w:t xml:space="preserve"> care stabileș</w:t>
      </w:r>
      <w:r w:rsidR="00FE7B5B" w:rsidRPr="00967339">
        <w:rPr>
          <w:rFonts w:asciiTheme="majorHAnsi" w:hAnsiTheme="majorHAnsi" w:cstheme="majorHAnsi"/>
          <w:noProof/>
        </w:rPr>
        <w:t xml:space="preserve">te că </w:t>
      </w:r>
      <w:r w:rsidR="0033346D" w:rsidRPr="00967339">
        <w:rPr>
          <w:rFonts w:asciiTheme="majorHAnsi" w:hAnsiTheme="majorHAnsi" w:cstheme="majorHAnsi"/>
          <w:noProof/>
        </w:rPr>
        <w:t>toate terenurile proprietate public</w:t>
      </w:r>
      <w:r w:rsidR="003B2F44">
        <w:rPr>
          <w:rFonts w:asciiTheme="majorHAnsi" w:hAnsiTheme="majorHAnsi" w:cstheme="majorHAnsi"/>
          <w:noProof/>
        </w:rPr>
        <w:t>ă</w:t>
      </w:r>
      <w:r w:rsidR="0033346D" w:rsidRPr="00967339">
        <w:rPr>
          <w:rFonts w:asciiTheme="majorHAnsi" w:hAnsiTheme="majorHAnsi" w:cstheme="majorHAnsi"/>
          <w:noProof/>
        </w:rPr>
        <w:t xml:space="preserve"> a statului sunt administrate de APP. </w:t>
      </w:r>
      <w:r w:rsidR="00E67E43">
        <w:rPr>
          <w:rFonts w:asciiTheme="majorHAnsi" w:hAnsiTheme="majorHAnsi" w:cstheme="majorHAnsi"/>
          <w:noProof/>
        </w:rPr>
        <w:t xml:space="preserve"> </w:t>
      </w:r>
      <w:r w:rsidR="0033346D" w:rsidRPr="00967339">
        <w:rPr>
          <w:rFonts w:asciiTheme="majorHAnsi" w:hAnsiTheme="majorHAnsi" w:cstheme="majorHAnsi"/>
          <w:noProof/>
        </w:rPr>
        <w:t xml:space="preserve">Astfel, Ministerul Sănătății, Muncii </w:t>
      </w:r>
      <w:r w:rsidR="003B2F44">
        <w:rPr>
          <w:rFonts w:asciiTheme="majorHAnsi" w:hAnsiTheme="majorHAnsi" w:cstheme="majorHAnsi"/>
          <w:noProof/>
        </w:rPr>
        <w:t>ș</w:t>
      </w:r>
      <w:r w:rsidR="0033346D" w:rsidRPr="00967339">
        <w:rPr>
          <w:rFonts w:asciiTheme="majorHAnsi" w:hAnsiTheme="majorHAnsi" w:cstheme="majorHAnsi"/>
          <w:noProof/>
        </w:rPr>
        <w:t>i Protecției Sociale</w:t>
      </w:r>
      <w:r w:rsidR="00FE7B5B" w:rsidRPr="00967339">
        <w:rPr>
          <w:rFonts w:asciiTheme="majorHAnsi" w:hAnsiTheme="majorHAnsi" w:cstheme="majorHAnsi"/>
          <w:noProof/>
        </w:rPr>
        <w:t>,</w:t>
      </w:r>
      <w:r w:rsidR="0033346D" w:rsidRPr="00967339">
        <w:rPr>
          <w:rFonts w:asciiTheme="majorHAnsi" w:hAnsiTheme="majorHAnsi" w:cstheme="majorHAnsi"/>
          <w:noProof/>
        </w:rPr>
        <w:t xml:space="preserve"> </w:t>
      </w:r>
      <w:r w:rsidR="00670684">
        <w:rPr>
          <w:rFonts w:asciiTheme="majorHAnsi" w:hAnsiTheme="majorHAnsi" w:cstheme="majorHAnsi"/>
          <w:noProof/>
        </w:rPr>
        <w:t>în</w:t>
      </w:r>
      <w:r w:rsidR="003B2F44">
        <w:rPr>
          <w:rFonts w:asciiTheme="majorHAnsi" w:hAnsiTheme="majorHAnsi" w:cstheme="majorHAnsi"/>
          <w:noProof/>
        </w:rPr>
        <w:t xml:space="preserve"> vederea</w:t>
      </w:r>
      <w:r w:rsidR="0033346D" w:rsidRPr="00967339">
        <w:rPr>
          <w:rFonts w:asciiTheme="majorHAnsi" w:hAnsiTheme="majorHAnsi" w:cstheme="majorHAnsi"/>
          <w:noProof/>
        </w:rPr>
        <w:t xml:space="preserve"> asigur</w:t>
      </w:r>
      <w:r w:rsidR="003B2F44">
        <w:rPr>
          <w:rFonts w:asciiTheme="majorHAnsi" w:hAnsiTheme="majorHAnsi" w:cstheme="majorHAnsi"/>
          <w:noProof/>
        </w:rPr>
        <w:t>ării</w:t>
      </w:r>
      <w:r w:rsidR="0033346D" w:rsidRPr="00967339">
        <w:rPr>
          <w:rFonts w:asciiTheme="majorHAnsi" w:hAnsiTheme="majorHAnsi" w:cstheme="majorHAnsi"/>
          <w:noProof/>
        </w:rPr>
        <w:t xml:space="preserve"> bunei desfășurări a procedurii de transmitere a bunurilor imobile, prin excluderea </w:t>
      </w:r>
      <w:r w:rsidR="003B2F44">
        <w:rPr>
          <w:rFonts w:asciiTheme="majorHAnsi" w:hAnsiTheme="majorHAnsi" w:cstheme="majorHAnsi"/>
          <w:noProof/>
        </w:rPr>
        <w:t>din</w:t>
      </w:r>
      <w:r w:rsidR="0033346D" w:rsidRPr="00967339">
        <w:rPr>
          <w:rFonts w:asciiTheme="majorHAnsi" w:hAnsiTheme="majorHAnsi" w:cstheme="majorHAnsi"/>
          <w:noProof/>
        </w:rPr>
        <w:t xml:space="preserve"> evidența contabilă a terenurilor proprietate publică a st</w:t>
      </w:r>
      <w:r w:rsidR="00836281" w:rsidRPr="00967339">
        <w:rPr>
          <w:rFonts w:asciiTheme="majorHAnsi" w:hAnsiTheme="majorHAnsi" w:cstheme="majorHAnsi"/>
          <w:noProof/>
        </w:rPr>
        <w:t xml:space="preserve">atului din administrarea MSMPS </w:t>
      </w:r>
      <w:r w:rsidR="003B2F44">
        <w:rPr>
          <w:rFonts w:asciiTheme="majorHAnsi" w:hAnsiTheme="majorHAnsi" w:cstheme="majorHAnsi"/>
          <w:noProof/>
        </w:rPr>
        <w:t xml:space="preserve">și transmiterea </w:t>
      </w:r>
      <w:r w:rsidR="00836281" w:rsidRPr="00967339">
        <w:rPr>
          <w:rFonts w:asciiTheme="majorHAnsi" w:hAnsiTheme="majorHAnsi" w:cstheme="majorHAnsi"/>
          <w:noProof/>
        </w:rPr>
        <w:t>î</w:t>
      </w:r>
      <w:r w:rsidR="0033346D" w:rsidRPr="00967339">
        <w:rPr>
          <w:rFonts w:asciiTheme="majorHAnsi" w:hAnsiTheme="majorHAnsi" w:cstheme="majorHAnsi"/>
          <w:noProof/>
        </w:rPr>
        <w:t>n</w:t>
      </w:r>
      <w:r w:rsidR="00FE7B5B" w:rsidRPr="00967339">
        <w:rPr>
          <w:rFonts w:asciiTheme="majorHAnsi" w:hAnsiTheme="majorHAnsi" w:cstheme="majorHAnsi"/>
          <w:noProof/>
        </w:rPr>
        <w:t xml:space="preserve"> administrarea  APP, a i</w:t>
      </w:r>
      <w:r w:rsidR="00836281" w:rsidRPr="00967339">
        <w:rPr>
          <w:rFonts w:asciiTheme="majorHAnsi" w:hAnsiTheme="majorHAnsi" w:cstheme="majorHAnsi"/>
          <w:noProof/>
        </w:rPr>
        <w:t>nițiat acest proces, care este î</w:t>
      </w:r>
      <w:r w:rsidR="00FE7B5B" w:rsidRPr="00967339">
        <w:rPr>
          <w:rFonts w:asciiTheme="majorHAnsi" w:hAnsiTheme="majorHAnsi" w:cstheme="majorHAnsi"/>
          <w:noProof/>
        </w:rPr>
        <w:t>n derulare.</w:t>
      </w:r>
    </w:p>
    <w:p w14:paraId="513F9E6F" w14:textId="0608E48D" w:rsidR="0033346D" w:rsidRPr="00967339" w:rsidRDefault="00DC40C2" w:rsidP="00023A8F">
      <w:pPr>
        <w:spacing w:line="276" w:lineRule="auto"/>
        <w:ind w:firstLine="360"/>
        <w:jc w:val="both"/>
        <w:rPr>
          <w:rFonts w:asciiTheme="majorHAnsi" w:hAnsiTheme="majorHAnsi" w:cstheme="majorHAnsi"/>
          <w:noProof/>
        </w:rPr>
      </w:pPr>
      <w:r w:rsidRPr="00967339">
        <w:rPr>
          <w:rFonts w:asciiTheme="majorHAnsi" w:hAnsiTheme="majorHAnsi" w:cstheme="majorHAnsi"/>
          <w:noProof/>
        </w:rPr>
        <w:tab/>
      </w:r>
      <w:r w:rsidR="0033346D" w:rsidRPr="00967339">
        <w:rPr>
          <w:rFonts w:asciiTheme="majorHAnsi" w:hAnsiTheme="majorHAnsi" w:cstheme="majorHAnsi"/>
          <w:noProof/>
        </w:rPr>
        <w:t xml:space="preserve">La 30.12.2020, Ministerul Sănătății, Muncii </w:t>
      </w:r>
      <w:r w:rsidR="008950D9">
        <w:rPr>
          <w:rFonts w:asciiTheme="majorHAnsi" w:hAnsiTheme="majorHAnsi" w:cstheme="majorHAnsi"/>
          <w:noProof/>
        </w:rPr>
        <w:t>ș</w:t>
      </w:r>
      <w:r w:rsidR="0033346D" w:rsidRPr="00967339">
        <w:rPr>
          <w:rFonts w:asciiTheme="majorHAnsi" w:hAnsiTheme="majorHAnsi" w:cstheme="majorHAnsi"/>
          <w:noProof/>
        </w:rPr>
        <w:t>i Protecției Sociale</w:t>
      </w:r>
      <w:r w:rsidR="008950D9">
        <w:rPr>
          <w:rFonts w:asciiTheme="majorHAnsi" w:hAnsiTheme="majorHAnsi" w:cstheme="majorHAnsi"/>
          <w:noProof/>
        </w:rPr>
        <w:t>,</w:t>
      </w:r>
      <w:r w:rsidR="0033346D" w:rsidRPr="00967339">
        <w:rPr>
          <w:rFonts w:asciiTheme="majorHAnsi" w:hAnsiTheme="majorHAnsi" w:cstheme="majorHAnsi"/>
          <w:noProof/>
        </w:rPr>
        <w:t xml:space="preserve"> prin scrisoarea nr.21/7419 </w:t>
      </w:r>
      <w:r w:rsidR="00836281" w:rsidRPr="00967339">
        <w:rPr>
          <w:rFonts w:asciiTheme="majorHAnsi" w:hAnsiTheme="majorHAnsi" w:cstheme="majorHAnsi"/>
          <w:noProof/>
        </w:rPr>
        <w:t xml:space="preserve">a </w:t>
      </w:r>
      <w:r w:rsidR="008950D9">
        <w:rPr>
          <w:rFonts w:asciiTheme="majorHAnsi" w:hAnsiTheme="majorHAnsi" w:cstheme="majorHAnsi"/>
          <w:noProof/>
        </w:rPr>
        <w:t>expediat</w:t>
      </w:r>
      <w:r w:rsidR="0033346D" w:rsidRPr="00967339">
        <w:rPr>
          <w:rFonts w:asciiTheme="majorHAnsi" w:hAnsiTheme="majorHAnsi" w:cstheme="majorHAnsi"/>
          <w:noProof/>
        </w:rPr>
        <w:t xml:space="preserve"> APP actele de transmitere </w:t>
      </w:r>
      <w:r w:rsidR="00836281" w:rsidRPr="00967339">
        <w:rPr>
          <w:rFonts w:asciiTheme="majorHAnsi" w:hAnsiTheme="majorHAnsi" w:cstheme="majorHAnsi"/>
          <w:noProof/>
        </w:rPr>
        <w:t xml:space="preserve">a terenurilor a 54 </w:t>
      </w:r>
      <w:r w:rsidR="008950D9">
        <w:rPr>
          <w:rFonts w:asciiTheme="majorHAnsi" w:hAnsiTheme="majorHAnsi" w:cstheme="majorHAnsi"/>
          <w:noProof/>
        </w:rPr>
        <w:t xml:space="preserve">de </w:t>
      </w:r>
      <w:r w:rsidR="00836281" w:rsidRPr="00967339">
        <w:rPr>
          <w:rFonts w:asciiTheme="majorHAnsi" w:hAnsiTheme="majorHAnsi" w:cstheme="majorHAnsi"/>
          <w:noProof/>
        </w:rPr>
        <w:t>instituții, î</w:t>
      </w:r>
      <w:r w:rsidR="0033346D" w:rsidRPr="00967339">
        <w:rPr>
          <w:rFonts w:asciiTheme="majorHAnsi" w:hAnsiTheme="majorHAnsi" w:cstheme="majorHAnsi"/>
          <w:noProof/>
        </w:rPr>
        <w:t>n 4 exemplare, semnate și autentificate cu ștampila instituțiilor. De menționat că predarea fizică a actelor de predare</w:t>
      </w:r>
      <w:r w:rsidR="00FE7B5B" w:rsidRPr="00967339">
        <w:rPr>
          <w:rFonts w:asciiTheme="majorHAnsi" w:hAnsiTheme="majorHAnsi" w:cstheme="majorHAnsi"/>
          <w:noProof/>
        </w:rPr>
        <w:t>-</w:t>
      </w:r>
      <w:r w:rsidR="0033346D" w:rsidRPr="00967339">
        <w:rPr>
          <w:rFonts w:asciiTheme="majorHAnsi" w:hAnsiTheme="majorHAnsi" w:cstheme="majorHAnsi"/>
          <w:noProof/>
        </w:rPr>
        <w:t xml:space="preserve">primire a  fost efectuata la 19.01.2021. </w:t>
      </w:r>
    </w:p>
    <w:p w14:paraId="7CAFD58F" w14:textId="65E914E0" w:rsidR="00DA1F79" w:rsidRPr="00967339" w:rsidRDefault="00DC40C2" w:rsidP="00670684">
      <w:pPr>
        <w:spacing w:line="276" w:lineRule="auto"/>
        <w:ind w:firstLine="360"/>
        <w:jc w:val="both"/>
        <w:rPr>
          <w:rFonts w:asciiTheme="majorHAnsi" w:hAnsiTheme="majorHAnsi" w:cstheme="majorHAnsi"/>
          <w:noProof/>
        </w:rPr>
      </w:pPr>
      <w:r w:rsidRPr="00967339">
        <w:rPr>
          <w:rFonts w:asciiTheme="majorHAnsi" w:hAnsiTheme="majorHAnsi" w:cstheme="majorHAnsi"/>
          <w:noProof/>
        </w:rPr>
        <w:tab/>
      </w:r>
      <w:r w:rsidR="0033346D" w:rsidRPr="00967339">
        <w:rPr>
          <w:rFonts w:asciiTheme="majorHAnsi" w:hAnsiTheme="majorHAnsi" w:cstheme="majorHAnsi"/>
          <w:noProof/>
        </w:rPr>
        <w:t xml:space="preserve">La </w:t>
      </w:r>
      <w:r w:rsidR="00774745" w:rsidRPr="00967339">
        <w:rPr>
          <w:rFonts w:asciiTheme="majorHAnsi" w:hAnsiTheme="majorHAnsi" w:cstheme="majorHAnsi"/>
          <w:noProof/>
        </w:rPr>
        <w:t xml:space="preserve">10.08.2021, </w:t>
      </w:r>
      <w:r w:rsidR="00836281" w:rsidRPr="00967339">
        <w:rPr>
          <w:rFonts w:asciiTheme="majorHAnsi" w:hAnsiTheme="majorHAnsi" w:cstheme="majorHAnsi"/>
          <w:noProof/>
        </w:rPr>
        <w:t>APP</w:t>
      </w:r>
      <w:r w:rsidR="00774745" w:rsidRPr="00967339">
        <w:rPr>
          <w:rFonts w:asciiTheme="majorHAnsi" w:hAnsiTheme="majorHAnsi" w:cstheme="majorHAnsi"/>
          <w:noProof/>
        </w:rPr>
        <w:t xml:space="preserve"> a sesizat MSMPS privind neconcordanța actelor transmise cu cele aprobate prin Hotăr</w:t>
      </w:r>
      <w:r w:rsidR="008950D9">
        <w:rPr>
          <w:rFonts w:asciiTheme="majorHAnsi" w:hAnsiTheme="majorHAnsi" w:cstheme="majorHAnsi"/>
          <w:noProof/>
        </w:rPr>
        <w:t>â</w:t>
      </w:r>
      <w:r w:rsidR="00774745" w:rsidRPr="00967339">
        <w:rPr>
          <w:rFonts w:asciiTheme="majorHAnsi" w:hAnsiTheme="majorHAnsi" w:cstheme="majorHAnsi"/>
          <w:noProof/>
        </w:rPr>
        <w:t xml:space="preserve">rea Guvernului </w:t>
      </w:r>
      <w:r w:rsidR="008950D9">
        <w:rPr>
          <w:rFonts w:asciiTheme="majorHAnsi" w:hAnsiTheme="majorHAnsi" w:cstheme="majorHAnsi"/>
          <w:noProof/>
        </w:rPr>
        <w:t>nr.</w:t>
      </w:r>
      <w:r w:rsidR="00774745" w:rsidRPr="00967339">
        <w:rPr>
          <w:rFonts w:asciiTheme="majorHAnsi" w:hAnsiTheme="majorHAnsi" w:cstheme="majorHAnsi"/>
          <w:noProof/>
        </w:rPr>
        <w:t>901/2015.</w:t>
      </w:r>
      <w:r w:rsidR="00C84BF8" w:rsidRPr="00967339">
        <w:rPr>
          <w:rFonts w:asciiTheme="majorHAnsi" w:hAnsiTheme="majorHAnsi" w:cstheme="majorHAnsi"/>
          <w:noProof/>
        </w:rPr>
        <w:t xml:space="preserve"> </w:t>
      </w:r>
      <w:r w:rsidR="00FE7B5B" w:rsidRPr="00967339">
        <w:rPr>
          <w:rFonts w:asciiTheme="majorHAnsi" w:hAnsiTheme="majorHAnsi" w:cstheme="majorHAnsi"/>
          <w:noProof/>
        </w:rPr>
        <w:t>De menționat că până la 31.12.2021</w:t>
      </w:r>
      <w:r w:rsidR="00774745" w:rsidRPr="00967339">
        <w:rPr>
          <w:rFonts w:asciiTheme="majorHAnsi" w:hAnsiTheme="majorHAnsi" w:cstheme="majorHAnsi"/>
          <w:noProof/>
        </w:rPr>
        <w:t>, terenurile</w:t>
      </w:r>
      <w:r w:rsidR="00FE7B5B" w:rsidRPr="00967339">
        <w:rPr>
          <w:rFonts w:asciiTheme="majorHAnsi" w:hAnsiTheme="majorHAnsi" w:cstheme="majorHAnsi"/>
          <w:noProof/>
        </w:rPr>
        <w:t xml:space="preserve"> nu au fost trans</w:t>
      </w:r>
      <w:r w:rsidR="00836281" w:rsidRPr="00967339">
        <w:rPr>
          <w:rFonts w:asciiTheme="majorHAnsi" w:hAnsiTheme="majorHAnsi" w:cstheme="majorHAnsi"/>
          <w:noProof/>
        </w:rPr>
        <w:t>mise APP, iar Ministerul Sanătăți</w:t>
      </w:r>
      <w:r w:rsidR="00292616" w:rsidRPr="00967339">
        <w:rPr>
          <w:rFonts w:asciiTheme="majorHAnsi" w:hAnsiTheme="majorHAnsi" w:cstheme="majorHAnsi"/>
          <w:noProof/>
        </w:rPr>
        <w:t>i și Ministerul Muncii și Protectiei Sociale urmează să inițieze și să</w:t>
      </w:r>
      <w:r w:rsidR="00FE7B5B" w:rsidRPr="00967339">
        <w:rPr>
          <w:rFonts w:asciiTheme="majorHAnsi" w:hAnsiTheme="majorHAnsi" w:cstheme="majorHAnsi"/>
          <w:noProof/>
        </w:rPr>
        <w:t xml:space="preserve"> realizeze procedura de transmitere.</w:t>
      </w:r>
      <w:r w:rsidRPr="00967339">
        <w:rPr>
          <w:rFonts w:asciiTheme="majorHAnsi" w:hAnsiTheme="majorHAnsi" w:cstheme="majorHAnsi"/>
          <w:noProof/>
        </w:rPr>
        <w:tab/>
      </w:r>
    </w:p>
    <w:p w14:paraId="00A0D9A5" w14:textId="54BD62C4" w:rsidR="00A57782" w:rsidRPr="00967339" w:rsidRDefault="0057697E" w:rsidP="00023A8F">
      <w:pPr>
        <w:spacing w:line="276" w:lineRule="auto"/>
        <w:ind w:firstLine="709"/>
        <w:jc w:val="both"/>
        <w:rPr>
          <w:rFonts w:asciiTheme="majorHAnsi" w:hAnsiTheme="majorHAnsi" w:cstheme="majorHAnsi"/>
          <w:noProof/>
        </w:rPr>
      </w:pPr>
      <w:r w:rsidRPr="00967339">
        <w:rPr>
          <w:rFonts w:asciiTheme="majorHAnsi" w:hAnsiTheme="majorHAnsi" w:cstheme="majorHAnsi"/>
          <w:noProof/>
        </w:rPr>
        <w:t xml:space="preserve">Totodată, se atestă situații când </w:t>
      </w:r>
      <w:r w:rsidR="00FD4186" w:rsidRPr="00967339">
        <w:rPr>
          <w:rFonts w:asciiTheme="majorHAnsi" w:hAnsiTheme="majorHAnsi" w:cstheme="majorHAnsi"/>
          <w:noProof/>
        </w:rPr>
        <w:t xml:space="preserve">terenurile </w:t>
      </w:r>
      <w:r w:rsidR="00670684">
        <w:rPr>
          <w:rFonts w:asciiTheme="majorHAnsi" w:hAnsiTheme="majorHAnsi" w:cstheme="majorHAnsi"/>
          <w:noProof/>
        </w:rPr>
        <w:t>menționate î</w:t>
      </w:r>
      <w:r w:rsidR="00FD4186" w:rsidRPr="00967339">
        <w:rPr>
          <w:rFonts w:asciiTheme="majorHAnsi" w:hAnsiTheme="majorHAnsi" w:cstheme="majorHAnsi"/>
          <w:noProof/>
        </w:rPr>
        <w:t>n actele de trasmitere elaborate și remise de către minister</w:t>
      </w:r>
      <w:r w:rsidR="008950D9">
        <w:rPr>
          <w:rFonts w:asciiTheme="majorHAnsi" w:hAnsiTheme="majorHAnsi" w:cstheme="majorHAnsi"/>
          <w:noProof/>
        </w:rPr>
        <w:t>,</w:t>
      </w:r>
      <w:r w:rsidR="00FD4186" w:rsidRPr="00967339">
        <w:rPr>
          <w:rFonts w:asciiTheme="majorHAnsi" w:hAnsiTheme="majorHAnsi" w:cstheme="majorHAnsi"/>
          <w:noProof/>
        </w:rPr>
        <w:t xml:space="preserve"> </w:t>
      </w:r>
      <w:r w:rsidR="005541A7" w:rsidRPr="00967339">
        <w:rPr>
          <w:rFonts w:asciiTheme="majorHAnsi" w:hAnsiTheme="majorHAnsi" w:cstheme="majorHAnsi"/>
          <w:noProof/>
        </w:rPr>
        <w:t>a</w:t>
      </w:r>
      <w:r w:rsidR="008950D9">
        <w:rPr>
          <w:rFonts w:asciiTheme="majorHAnsi" w:hAnsiTheme="majorHAnsi" w:cstheme="majorHAnsi"/>
          <w:noProof/>
        </w:rPr>
        <w:t>ferente</w:t>
      </w:r>
      <w:r w:rsidR="005541A7" w:rsidRPr="00967339">
        <w:rPr>
          <w:rFonts w:asciiTheme="majorHAnsi" w:hAnsiTheme="majorHAnsi" w:cstheme="majorHAnsi"/>
          <w:noProof/>
        </w:rPr>
        <w:t xml:space="preserve"> </w:t>
      </w:r>
      <w:r w:rsidR="00FD4186" w:rsidRPr="00967339">
        <w:rPr>
          <w:rFonts w:asciiTheme="majorHAnsi" w:hAnsiTheme="majorHAnsi" w:cstheme="majorHAnsi"/>
          <w:noProof/>
        </w:rPr>
        <w:t>Universității de Stat de Medicină şi Farmacie „Nicolae Testemiţanu”</w:t>
      </w:r>
      <w:r w:rsidR="00C65B8F">
        <w:rPr>
          <w:rFonts w:asciiTheme="majorHAnsi" w:hAnsiTheme="majorHAnsi" w:cstheme="majorHAnsi"/>
          <w:noProof/>
        </w:rPr>
        <w:t xml:space="preserve"> și terenul</w:t>
      </w:r>
      <w:r w:rsidR="008950D9">
        <w:rPr>
          <w:rFonts w:asciiTheme="majorHAnsi" w:hAnsiTheme="majorHAnsi" w:cstheme="majorHAnsi"/>
          <w:noProof/>
        </w:rPr>
        <w:t>ui din</w:t>
      </w:r>
      <w:r w:rsidR="00C65B8F">
        <w:rPr>
          <w:rFonts w:asciiTheme="majorHAnsi" w:hAnsiTheme="majorHAnsi" w:cstheme="majorHAnsi"/>
          <w:noProof/>
        </w:rPr>
        <w:t xml:space="preserve"> str.Vasile Ale</w:t>
      </w:r>
      <w:r w:rsidR="008950D9">
        <w:rPr>
          <w:rFonts w:asciiTheme="majorHAnsi" w:hAnsiTheme="majorHAnsi" w:cstheme="majorHAnsi"/>
          <w:noProof/>
        </w:rPr>
        <w:t>cs</w:t>
      </w:r>
      <w:r w:rsidR="00C65B8F">
        <w:rPr>
          <w:rFonts w:asciiTheme="majorHAnsi" w:hAnsiTheme="majorHAnsi" w:cstheme="majorHAnsi"/>
          <w:noProof/>
        </w:rPr>
        <w:t>andri nr.80</w:t>
      </w:r>
      <w:r w:rsidR="00662533" w:rsidRPr="00967339">
        <w:rPr>
          <w:rFonts w:asciiTheme="majorHAnsi" w:hAnsiTheme="majorHAnsi" w:cstheme="majorHAnsi"/>
          <w:noProof/>
        </w:rPr>
        <w:t>, în care Ministerul are calitatea de fondator</w:t>
      </w:r>
      <w:r w:rsidR="00662533" w:rsidRPr="00967339">
        <w:rPr>
          <w:rStyle w:val="ad"/>
          <w:rFonts w:asciiTheme="majorHAnsi" w:hAnsiTheme="majorHAnsi" w:cstheme="majorHAnsi"/>
          <w:noProof/>
        </w:rPr>
        <w:footnoteReference w:id="17"/>
      </w:r>
      <w:r w:rsidR="00662533" w:rsidRPr="00967339">
        <w:rPr>
          <w:rFonts w:asciiTheme="majorHAnsi" w:hAnsiTheme="majorHAnsi" w:cstheme="majorHAnsi"/>
          <w:noProof/>
        </w:rPr>
        <w:t xml:space="preserve">, </w:t>
      </w:r>
      <w:r w:rsidR="008950D9">
        <w:rPr>
          <w:rFonts w:asciiTheme="majorHAnsi" w:hAnsiTheme="majorHAnsi" w:cstheme="majorHAnsi"/>
          <w:noProof/>
        </w:rPr>
        <w:t xml:space="preserve">și </w:t>
      </w:r>
      <w:r w:rsidR="00670684">
        <w:rPr>
          <w:rFonts w:asciiTheme="majorHAnsi" w:hAnsiTheme="majorHAnsi" w:cstheme="majorHAnsi"/>
          <w:noProof/>
        </w:rPr>
        <w:t xml:space="preserve">care </w:t>
      </w:r>
      <w:r w:rsidR="00662533" w:rsidRPr="00967339">
        <w:rPr>
          <w:rFonts w:asciiTheme="majorHAnsi" w:hAnsiTheme="majorHAnsi" w:cstheme="majorHAnsi"/>
          <w:noProof/>
        </w:rPr>
        <w:t>nu</w:t>
      </w:r>
      <w:r w:rsidRPr="00967339">
        <w:rPr>
          <w:rFonts w:asciiTheme="majorHAnsi" w:hAnsiTheme="majorHAnsi" w:cstheme="majorHAnsi"/>
          <w:noProof/>
        </w:rPr>
        <w:t xml:space="preserve"> au </w:t>
      </w:r>
      <w:r w:rsidR="00670684">
        <w:rPr>
          <w:rFonts w:asciiTheme="majorHAnsi" w:hAnsiTheme="majorHAnsi" w:cstheme="majorHAnsi"/>
          <w:noProof/>
        </w:rPr>
        <w:t xml:space="preserve">fost acceptate </w:t>
      </w:r>
      <w:r w:rsidR="003E59D5" w:rsidRPr="00967339">
        <w:rPr>
          <w:rFonts w:asciiTheme="majorHAnsi" w:hAnsiTheme="majorHAnsi" w:cstheme="majorHAnsi"/>
          <w:noProof/>
        </w:rPr>
        <w:t xml:space="preserve">și nu au </w:t>
      </w:r>
      <w:r w:rsidR="00670684">
        <w:rPr>
          <w:rFonts w:asciiTheme="majorHAnsi" w:hAnsiTheme="majorHAnsi" w:cstheme="majorHAnsi"/>
          <w:noProof/>
        </w:rPr>
        <w:t xml:space="preserve">fost </w:t>
      </w:r>
      <w:r w:rsidR="003E59D5" w:rsidRPr="00967339">
        <w:rPr>
          <w:rFonts w:asciiTheme="majorHAnsi" w:hAnsiTheme="majorHAnsi" w:cstheme="majorHAnsi"/>
          <w:noProof/>
        </w:rPr>
        <w:t>semnat</w:t>
      </w:r>
      <w:r w:rsidR="00670684">
        <w:rPr>
          <w:rFonts w:asciiTheme="majorHAnsi" w:hAnsiTheme="majorHAnsi" w:cstheme="majorHAnsi"/>
          <w:noProof/>
        </w:rPr>
        <w:t>e de către</w:t>
      </w:r>
      <w:r w:rsidRPr="00967339">
        <w:rPr>
          <w:rFonts w:asciiTheme="majorHAnsi" w:hAnsiTheme="majorHAnsi" w:cstheme="majorHAnsi"/>
          <w:noProof/>
        </w:rPr>
        <w:t xml:space="preserve"> </w:t>
      </w:r>
      <w:r w:rsidR="00670684" w:rsidRPr="00967339">
        <w:rPr>
          <w:rFonts w:asciiTheme="majorHAnsi" w:hAnsiTheme="majorHAnsi" w:cstheme="majorHAnsi"/>
          <w:noProof/>
        </w:rPr>
        <w:t>APP,</w:t>
      </w:r>
      <w:r w:rsidR="00670684">
        <w:rPr>
          <w:rFonts w:asciiTheme="majorHAnsi" w:hAnsiTheme="majorHAnsi" w:cstheme="majorHAnsi"/>
          <w:noProof/>
        </w:rPr>
        <w:t xml:space="preserve"> </w:t>
      </w:r>
      <w:r w:rsidR="00292616" w:rsidRPr="00967339">
        <w:rPr>
          <w:rFonts w:asciiTheme="majorHAnsi" w:hAnsiTheme="majorHAnsi" w:cstheme="majorHAnsi"/>
          <w:noProof/>
        </w:rPr>
        <w:t>conform cerințelor Hotărâ</w:t>
      </w:r>
      <w:r w:rsidR="00662533" w:rsidRPr="00967339">
        <w:rPr>
          <w:rFonts w:asciiTheme="majorHAnsi" w:hAnsiTheme="majorHAnsi" w:cstheme="majorHAnsi"/>
          <w:noProof/>
        </w:rPr>
        <w:t xml:space="preserve">rii Guvernului </w:t>
      </w:r>
      <w:r w:rsidR="008950D9">
        <w:rPr>
          <w:rFonts w:asciiTheme="majorHAnsi" w:hAnsiTheme="majorHAnsi" w:cstheme="majorHAnsi"/>
          <w:noProof/>
        </w:rPr>
        <w:t>specificate supra</w:t>
      </w:r>
      <w:r w:rsidR="00825D91" w:rsidRPr="00967339">
        <w:rPr>
          <w:rFonts w:asciiTheme="majorHAnsi" w:hAnsiTheme="majorHAnsi" w:cstheme="majorHAnsi"/>
          <w:noProof/>
        </w:rPr>
        <w:t>,</w:t>
      </w:r>
      <w:r w:rsidR="00662533" w:rsidRPr="00967339">
        <w:rPr>
          <w:rFonts w:asciiTheme="majorHAnsi" w:hAnsiTheme="majorHAnsi" w:cstheme="majorHAnsi"/>
          <w:noProof/>
        </w:rPr>
        <w:t xml:space="preserve"> a</w:t>
      </w:r>
      <w:r w:rsidR="008950D9">
        <w:rPr>
          <w:rFonts w:asciiTheme="majorHAnsi" w:hAnsiTheme="majorHAnsi" w:cstheme="majorHAnsi"/>
          <w:noProof/>
        </w:rPr>
        <w:t>u</w:t>
      </w:r>
      <w:r w:rsidR="00662533" w:rsidRPr="00967339">
        <w:rPr>
          <w:rFonts w:asciiTheme="majorHAnsi" w:hAnsiTheme="majorHAnsi" w:cstheme="majorHAnsi"/>
          <w:noProof/>
        </w:rPr>
        <w:t xml:space="preserve"> </w:t>
      </w:r>
      <w:r w:rsidR="008950D9">
        <w:rPr>
          <w:rFonts w:asciiTheme="majorHAnsi" w:hAnsiTheme="majorHAnsi" w:cstheme="majorHAnsi"/>
          <w:noProof/>
        </w:rPr>
        <w:t xml:space="preserve">fost </w:t>
      </w:r>
      <w:r w:rsidR="00662533" w:rsidRPr="00967339">
        <w:rPr>
          <w:rFonts w:asciiTheme="majorHAnsi" w:hAnsiTheme="majorHAnsi" w:cstheme="majorHAnsi"/>
          <w:noProof/>
        </w:rPr>
        <w:t>recunoscut</w:t>
      </w:r>
      <w:r w:rsidR="008950D9">
        <w:rPr>
          <w:rFonts w:asciiTheme="majorHAnsi" w:hAnsiTheme="majorHAnsi" w:cstheme="majorHAnsi"/>
          <w:noProof/>
        </w:rPr>
        <w:t>e</w:t>
      </w:r>
      <w:r w:rsidR="00662533" w:rsidRPr="00967339">
        <w:rPr>
          <w:rFonts w:asciiTheme="majorHAnsi" w:hAnsiTheme="majorHAnsi" w:cstheme="majorHAnsi"/>
          <w:noProof/>
        </w:rPr>
        <w:t xml:space="preserve"> </w:t>
      </w:r>
      <w:r w:rsidR="008950D9">
        <w:rPr>
          <w:rFonts w:asciiTheme="majorHAnsi" w:hAnsiTheme="majorHAnsi" w:cstheme="majorHAnsi"/>
          <w:noProof/>
        </w:rPr>
        <w:t xml:space="preserve">de APP </w:t>
      </w:r>
      <w:r w:rsidR="00662533" w:rsidRPr="00967339">
        <w:rPr>
          <w:rFonts w:asciiTheme="majorHAnsi" w:hAnsiTheme="majorHAnsi" w:cstheme="majorHAnsi"/>
          <w:noProof/>
        </w:rPr>
        <w:t xml:space="preserve">și </w:t>
      </w:r>
      <w:r w:rsidR="00670684">
        <w:rPr>
          <w:rFonts w:asciiTheme="majorHAnsi" w:hAnsiTheme="majorHAnsi" w:cstheme="majorHAnsi"/>
          <w:noProof/>
        </w:rPr>
        <w:t>a</w:t>
      </w:r>
      <w:r w:rsidR="008950D9">
        <w:rPr>
          <w:rFonts w:asciiTheme="majorHAnsi" w:hAnsiTheme="majorHAnsi" w:cstheme="majorHAnsi"/>
          <w:noProof/>
        </w:rPr>
        <w:t>u fost</w:t>
      </w:r>
      <w:r w:rsidR="00670684">
        <w:rPr>
          <w:rFonts w:asciiTheme="majorHAnsi" w:hAnsiTheme="majorHAnsi" w:cstheme="majorHAnsi"/>
          <w:noProof/>
        </w:rPr>
        <w:t xml:space="preserve"> </w:t>
      </w:r>
      <w:r w:rsidR="00662533" w:rsidRPr="00967339">
        <w:rPr>
          <w:rFonts w:asciiTheme="majorHAnsi" w:hAnsiTheme="majorHAnsi" w:cstheme="majorHAnsi"/>
          <w:noProof/>
        </w:rPr>
        <w:t>efectuat</w:t>
      </w:r>
      <w:r w:rsidR="008950D9">
        <w:rPr>
          <w:rFonts w:asciiTheme="majorHAnsi" w:hAnsiTheme="majorHAnsi" w:cstheme="majorHAnsi"/>
          <w:noProof/>
        </w:rPr>
        <w:t>e</w:t>
      </w:r>
      <w:r w:rsidR="00662533" w:rsidRPr="00967339">
        <w:rPr>
          <w:rFonts w:asciiTheme="majorHAnsi" w:hAnsiTheme="majorHAnsi" w:cstheme="majorHAnsi"/>
          <w:noProof/>
        </w:rPr>
        <w:t xml:space="preserve"> </w:t>
      </w:r>
      <w:r w:rsidR="003E59D5" w:rsidRPr="00967339">
        <w:rPr>
          <w:rFonts w:asciiTheme="majorHAnsi" w:hAnsiTheme="majorHAnsi" w:cstheme="majorHAnsi"/>
          <w:noProof/>
        </w:rPr>
        <w:t>înscrisuri î</w:t>
      </w:r>
      <w:r w:rsidR="00A57782" w:rsidRPr="00967339">
        <w:rPr>
          <w:rFonts w:asciiTheme="majorHAnsi" w:hAnsiTheme="majorHAnsi" w:cstheme="majorHAnsi"/>
          <w:noProof/>
        </w:rPr>
        <w:t>n Registrul bunurilor imobile doar pentru aceste terenuri</w:t>
      </w:r>
      <w:r w:rsidR="003E59D5" w:rsidRPr="00967339">
        <w:rPr>
          <w:rFonts w:asciiTheme="majorHAnsi" w:hAnsiTheme="majorHAnsi" w:cstheme="majorHAnsi"/>
          <w:noProof/>
        </w:rPr>
        <w:t xml:space="preserve"> cu suprafața de </w:t>
      </w:r>
      <w:r w:rsidR="00C65B8F">
        <w:rPr>
          <w:rFonts w:asciiTheme="majorHAnsi" w:hAnsiTheme="majorHAnsi" w:cstheme="majorHAnsi"/>
          <w:noProof/>
        </w:rPr>
        <w:t>8,03</w:t>
      </w:r>
      <w:r w:rsidR="009B3B5B" w:rsidRPr="00967339">
        <w:rPr>
          <w:rFonts w:asciiTheme="majorHAnsi" w:hAnsiTheme="majorHAnsi" w:cstheme="majorHAnsi"/>
          <w:noProof/>
        </w:rPr>
        <w:t xml:space="preserve"> </w:t>
      </w:r>
      <w:r w:rsidR="003E59D5" w:rsidRPr="00967339">
        <w:rPr>
          <w:rFonts w:asciiTheme="majorHAnsi" w:hAnsiTheme="majorHAnsi" w:cstheme="majorHAnsi"/>
          <w:noProof/>
        </w:rPr>
        <w:t>ha</w:t>
      </w:r>
      <w:r w:rsidR="00A57782" w:rsidRPr="00967339">
        <w:rPr>
          <w:rFonts w:asciiTheme="majorHAnsi" w:hAnsiTheme="majorHAnsi" w:cstheme="majorHAnsi"/>
          <w:noProof/>
        </w:rPr>
        <w:t>.</w:t>
      </w:r>
      <w:r w:rsidR="00C65B8F">
        <w:rPr>
          <w:rFonts w:asciiTheme="majorHAnsi" w:hAnsiTheme="majorHAnsi" w:cstheme="majorHAnsi"/>
          <w:noProof/>
        </w:rPr>
        <w:t xml:space="preserve"> În acest sens, la 18.05.2022 APP a solicitat de la APC remiterea listelor </w:t>
      </w:r>
      <w:r w:rsidR="008950D9">
        <w:rPr>
          <w:rFonts w:asciiTheme="majorHAnsi" w:hAnsiTheme="majorHAnsi" w:cstheme="majorHAnsi"/>
          <w:noProof/>
        </w:rPr>
        <w:t xml:space="preserve">cu terenurile </w:t>
      </w:r>
      <w:r w:rsidR="00C65B8F">
        <w:rPr>
          <w:rFonts w:asciiTheme="majorHAnsi" w:hAnsiTheme="majorHAnsi" w:cstheme="majorHAnsi"/>
          <w:noProof/>
        </w:rPr>
        <w:t>proprietate publică deținute în gestiune de către acestea.</w:t>
      </w:r>
    </w:p>
    <w:p w14:paraId="35CA4ACF" w14:textId="55B1F32F" w:rsidR="00F7066E" w:rsidRPr="00DA3F7F" w:rsidRDefault="00347CF9" w:rsidP="00023A8F">
      <w:pPr>
        <w:pStyle w:val="af2"/>
        <w:tabs>
          <w:tab w:val="left" w:pos="0"/>
        </w:tabs>
        <w:spacing w:line="276" w:lineRule="auto"/>
        <w:jc w:val="both"/>
        <w:rPr>
          <w:rFonts w:asciiTheme="majorHAnsi" w:hAnsiTheme="majorHAnsi" w:cstheme="majorHAnsi"/>
          <w:noProof/>
          <w:sz w:val="24"/>
          <w:szCs w:val="24"/>
          <w:highlight w:val="yellow"/>
        </w:rPr>
      </w:pPr>
      <w:r w:rsidRPr="00967339">
        <w:rPr>
          <w:rFonts w:asciiTheme="majorHAnsi" w:hAnsiTheme="majorHAnsi" w:cstheme="majorHAnsi"/>
          <w:noProof/>
          <w:sz w:val="24"/>
          <w:szCs w:val="24"/>
        </w:rPr>
        <w:tab/>
      </w:r>
      <w:r w:rsidR="003E59D5" w:rsidRPr="00CD752D">
        <w:rPr>
          <w:rFonts w:asciiTheme="majorHAnsi" w:hAnsiTheme="majorHAnsi" w:cstheme="majorHAnsi"/>
          <w:noProof/>
          <w:sz w:val="24"/>
          <w:szCs w:val="24"/>
        </w:rPr>
        <w:t>Cele relatate denotă că</w:t>
      </w:r>
      <w:r w:rsidRPr="00CD752D">
        <w:rPr>
          <w:rFonts w:asciiTheme="majorHAnsi" w:hAnsiTheme="majorHAnsi" w:cstheme="majorHAnsi"/>
          <w:noProof/>
          <w:sz w:val="24"/>
          <w:szCs w:val="24"/>
        </w:rPr>
        <w:t xml:space="preserve"> </w:t>
      </w:r>
      <w:r w:rsidR="00545BDF" w:rsidRPr="00CD752D">
        <w:rPr>
          <w:rFonts w:asciiTheme="majorHAnsi" w:hAnsiTheme="majorHAnsi" w:cstheme="majorHAnsi"/>
          <w:noProof/>
          <w:sz w:val="24"/>
          <w:szCs w:val="24"/>
        </w:rPr>
        <w:t>activitatea desfășurată</w:t>
      </w:r>
      <w:r w:rsidRPr="00CD752D">
        <w:rPr>
          <w:rFonts w:asciiTheme="majorHAnsi" w:hAnsiTheme="majorHAnsi" w:cstheme="majorHAnsi"/>
          <w:noProof/>
          <w:sz w:val="24"/>
          <w:szCs w:val="24"/>
        </w:rPr>
        <w:t xml:space="preserve"> </w:t>
      </w:r>
      <w:r w:rsidR="00545BDF" w:rsidRPr="00CD752D">
        <w:rPr>
          <w:rFonts w:asciiTheme="majorHAnsi" w:hAnsiTheme="majorHAnsi" w:cstheme="majorHAnsi"/>
          <w:noProof/>
          <w:sz w:val="24"/>
          <w:szCs w:val="24"/>
        </w:rPr>
        <w:t xml:space="preserve">de APP </w:t>
      </w:r>
      <w:r w:rsidR="00DA3F7F" w:rsidRPr="00CD752D">
        <w:rPr>
          <w:rFonts w:asciiTheme="majorHAnsi" w:hAnsiTheme="majorHAnsi" w:cstheme="majorHAnsi"/>
          <w:noProof/>
          <w:sz w:val="24"/>
          <w:szCs w:val="24"/>
        </w:rPr>
        <w:t xml:space="preserve">nu a asigurat </w:t>
      </w:r>
      <w:r w:rsidR="00670684">
        <w:rPr>
          <w:rFonts w:asciiTheme="majorHAnsi" w:hAnsiTheme="majorHAnsi" w:cstheme="majorHAnsi"/>
          <w:noProof/>
          <w:sz w:val="24"/>
          <w:szCs w:val="24"/>
        </w:rPr>
        <w:t>primirea</w:t>
      </w:r>
      <w:r w:rsidR="00DA3F7F" w:rsidRPr="00CD752D">
        <w:rPr>
          <w:rFonts w:asciiTheme="majorHAnsi" w:hAnsiTheme="majorHAnsi" w:cstheme="majorHAnsi"/>
          <w:noProof/>
          <w:sz w:val="24"/>
          <w:szCs w:val="24"/>
        </w:rPr>
        <w:t xml:space="preserve"> din administrarea MSMPS în administrarea APP a terenurilor proprietate publică a statului</w:t>
      </w:r>
      <w:r w:rsidR="00DA3F7F" w:rsidRPr="00CD752D">
        <w:rPr>
          <w:rStyle w:val="ad"/>
          <w:rFonts w:asciiTheme="majorHAnsi" w:hAnsiTheme="majorHAnsi" w:cstheme="majorHAnsi"/>
          <w:noProof/>
          <w:sz w:val="24"/>
          <w:szCs w:val="24"/>
        </w:rPr>
        <w:footnoteReference w:id="18"/>
      </w:r>
      <w:r w:rsidR="00DA3F7F" w:rsidRPr="00CD752D">
        <w:rPr>
          <w:rFonts w:asciiTheme="majorHAnsi" w:hAnsiTheme="majorHAnsi" w:cstheme="majorHAnsi"/>
          <w:noProof/>
          <w:sz w:val="24"/>
          <w:szCs w:val="24"/>
        </w:rPr>
        <w:t xml:space="preserve">. </w:t>
      </w:r>
      <w:r w:rsidRPr="00CD752D">
        <w:rPr>
          <w:rFonts w:asciiTheme="majorHAnsi" w:hAnsiTheme="majorHAnsi" w:cstheme="majorHAnsi"/>
          <w:noProof/>
          <w:sz w:val="24"/>
          <w:szCs w:val="24"/>
        </w:rPr>
        <w:t xml:space="preserve">În aceste condiții, </w:t>
      </w:r>
      <w:r w:rsidR="008F09B0" w:rsidRPr="00CD752D">
        <w:rPr>
          <w:rFonts w:asciiTheme="majorHAnsi" w:hAnsiTheme="majorHAnsi" w:cstheme="majorHAnsi"/>
          <w:noProof/>
          <w:sz w:val="24"/>
          <w:szCs w:val="24"/>
        </w:rPr>
        <w:t xml:space="preserve">se conturează riscul </w:t>
      </w:r>
      <w:r w:rsidR="00001FD9">
        <w:rPr>
          <w:rFonts w:asciiTheme="majorHAnsi" w:hAnsiTheme="majorHAnsi" w:cstheme="majorHAnsi"/>
          <w:noProof/>
          <w:sz w:val="24"/>
          <w:szCs w:val="24"/>
        </w:rPr>
        <w:t>că</w:t>
      </w:r>
      <w:r w:rsidRPr="00CD752D">
        <w:rPr>
          <w:rFonts w:asciiTheme="majorHAnsi" w:hAnsiTheme="majorHAnsi" w:cstheme="majorHAnsi"/>
          <w:noProof/>
          <w:sz w:val="24"/>
          <w:szCs w:val="24"/>
        </w:rPr>
        <w:t xml:space="preserve"> terenurile al căror administrator, conform Anexelor la </w:t>
      </w:r>
      <w:r w:rsidR="00B272D6" w:rsidRPr="00C855EB">
        <w:rPr>
          <w:rFonts w:asciiTheme="majorHAnsi" w:hAnsiTheme="majorHAnsi" w:cs="Calibri Light"/>
          <w:noProof/>
          <w:sz w:val="24"/>
          <w:szCs w:val="24"/>
          <w:lang w:eastAsia="en-US"/>
        </w:rPr>
        <w:t>Hotărârea Guvernului</w:t>
      </w:r>
      <w:r w:rsidRPr="00B272D6">
        <w:rPr>
          <w:rFonts w:asciiTheme="majorHAnsi" w:hAnsiTheme="majorHAnsi" w:cstheme="majorHAnsi"/>
          <w:noProof/>
          <w:sz w:val="24"/>
          <w:szCs w:val="24"/>
        </w:rPr>
        <w:t xml:space="preserve"> nr.161/2019</w:t>
      </w:r>
      <w:r w:rsidR="008950D9" w:rsidRPr="00B272D6">
        <w:rPr>
          <w:rFonts w:asciiTheme="majorHAnsi" w:hAnsiTheme="majorHAnsi" w:cstheme="majorHAnsi"/>
          <w:noProof/>
          <w:sz w:val="24"/>
          <w:szCs w:val="24"/>
        </w:rPr>
        <w:t>,</w:t>
      </w:r>
      <w:r w:rsidRPr="00B272D6">
        <w:rPr>
          <w:rFonts w:asciiTheme="majorHAnsi" w:hAnsiTheme="majorHAnsi" w:cstheme="majorHAnsi"/>
          <w:noProof/>
          <w:sz w:val="24"/>
          <w:szCs w:val="24"/>
        </w:rPr>
        <w:t xml:space="preserve"> este APP</w:t>
      </w:r>
      <w:r w:rsidR="00C65B8F" w:rsidRPr="00B272D6">
        <w:rPr>
          <w:rFonts w:asciiTheme="majorHAnsi" w:hAnsiTheme="majorHAnsi" w:cstheme="majorHAnsi"/>
          <w:noProof/>
          <w:sz w:val="24"/>
          <w:szCs w:val="24"/>
        </w:rPr>
        <w:t>,</w:t>
      </w:r>
      <w:r w:rsidRPr="00B272D6">
        <w:rPr>
          <w:rFonts w:asciiTheme="majorHAnsi" w:hAnsiTheme="majorHAnsi" w:cstheme="majorHAnsi"/>
          <w:noProof/>
          <w:sz w:val="24"/>
          <w:szCs w:val="24"/>
        </w:rPr>
        <w:t xml:space="preserve"> vor fi excluse de către APC din evidența contabilă</w:t>
      </w:r>
      <w:r w:rsidRPr="00CD752D">
        <w:rPr>
          <w:rFonts w:asciiTheme="majorHAnsi" w:hAnsiTheme="majorHAnsi" w:cstheme="majorHAnsi"/>
          <w:noProof/>
          <w:sz w:val="24"/>
          <w:szCs w:val="24"/>
        </w:rPr>
        <w:t xml:space="preserve"> în mod unilateral, nefiind contabilizate de APP.</w:t>
      </w:r>
    </w:p>
    <w:p w14:paraId="2CA4C610" w14:textId="77777777" w:rsidR="00BE376D" w:rsidRPr="00967339" w:rsidRDefault="00F7066E" w:rsidP="00023A8F">
      <w:pPr>
        <w:pStyle w:val="af2"/>
        <w:tabs>
          <w:tab w:val="left" w:pos="0"/>
        </w:tabs>
        <w:spacing w:line="276" w:lineRule="auto"/>
        <w:jc w:val="both"/>
        <w:rPr>
          <w:rFonts w:asciiTheme="majorHAnsi" w:hAnsiTheme="majorHAnsi" w:cstheme="majorHAnsi"/>
          <w:noProof/>
          <w:sz w:val="24"/>
          <w:szCs w:val="24"/>
        </w:rPr>
      </w:pPr>
      <w:r w:rsidRPr="00967339">
        <w:rPr>
          <w:rFonts w:asciiTheme="majorHAnsi" w:hAnsiTheme="majorHAnsi" w:cstheme="majorHAnsi"/>
          <w:noProof/>
          <w:sz w:val="24"/>
          <w:szCs w:val="24"/>
        </w:rPr>
        <w:tab/>
      </w:r>
    </w:p>
    <w:p w14:paraId="484F111B" w14:textId="340706DE" w:rsidR="00FF3C7F" w:rsidRPr="00115E11" w:rsidRDefault="00EC047F" w:rsidP="00023A8F">
      <w:pPr>
        <w:pStyle w:val="a3"/>
        <w:numPr>
          <w:ilvl w:val="1"/>
          <w:numId w:val="28"/>
        </w:numPr>
        <w:spacing w:line="276" w:lineRule="auto"/>
        <w:ind w:left="0" w:firstLine="0"/>
        <w:jc w:val="both"/>
        <w:rPr>
          <w:rFonts w:asciiTheme="majorHAnsi" w:hAnsiTheme="majorHAnsi" w:cstheme="majorHAnsi"/>
          <w:noProof/>
        </w:rPr>
      </w:pPr>
      <w:r w:rsidRPr="00115E11">
        <w:rPr>
          <w:rFonts w:asciiTheme="majorHAnsi" w:hAnsiTheme="majorHAnsi" w:cstheme="majorHAnsi"/>
          <w:bCs/>
          <w:noProof/>
        </w:rPr>
        <w:t xml:space="preserve">Fostul </w:t>
      </w:r>
      <w:r w:rsidR="000020B2" w:rsidRPr="00115E11">
        <w:rPr>
          <w:rFonts w:asciiTheme="majorHAnsi" w:hAnsiTheme="majorHAnsi" w:cstheme="majorHAnsi"/>
          <w:bCs/>
          <w:noProof/>
        </w:rPr>
        <w:t>M</w:t>
      </w:r>
      <w:r w:rsidRPr="00115E11">
        <w:rPr>
          <w:rFonts w:asciiTheme="majorHAnsi" w:hAnsiTheme="majorHAnsi" w:cstheme="majorHAnsi"/>
          <w:bCs/>
          <w:noProof/>
        </w:rPr>
        <w:t>inister al</w:t>
      </w:r>
      <w:r w:rsidR="000020B2" w:rsidRPr="00115E11">
        <w:rPr>
          <w:rFonts w:asciiTheme="majorHAnsi" w:hAnsiTheme="majorHAnsi" w:cstheme="majorHAnsi"/>
          <w:bCs/>
          <w:noProof/>
        </w:rPr>
        <w:t xml:space="preserve"> Muncii și Protecției Sociale a încheiat </w:t>
      </w:r>
      <w:r w:rsidR="008950D9">
        <w:rPr>
          <w:rFonts w:asciiTheme="majorHAnsi" w:hAnsiTheme="majorHAnsi" w:cstheme="majorHAnsi"/>
          <w:bCs/>
          <w:noProof/>
        </w:rPr>
        <w:t>C</w:t>
      </w:r>
      <w:r w:rsidR="000020B2" w:rsidRPr="00115E11">
        <w:rPr>
          <w:rFonts w:asciiTheme="majorHAnsi" w:hAnsiTheme="majorHAnsi" w:cstheme="majorHAnsi"/>
          <w:bCs/>
          <w:noProof/>
        </w:rPr>
        <w:t xml:space="preserve">ontract de antrepriză nr.09/11-15 din 16.09.2011. Obiect al acestui contract </w:t>
      </w:r>
      <w:r w:rsidR="008950D9">
        <w:rPr>
          <w:rFonts w:asciiTheme="majorHAnsi" w:hAnsiTheme="majorHAnsi" w:cstheme="majorHAnsi"/>
          <w:bCs/>
          <w:noProof/>
        </w:rPr>
        <w:t>sunt</w:t>
      </w:r>
      <w:r w:rsidR="000020B2" w:rsidRPr="00115E11">
        <w:rPr>
          <w:rFonts w:asciiTheme="majorHAnsi" w:hAnsiTheme="majorHAnsi" w:cstheme="majorHAnsi"/>
          <w:bCs/>
          <w:noProof/>
        </w:rPr>
        <w:t xml:space="preserve"> lucrări</w:t>
      </w:r>
      <w:r w:rsidR="008950D9">
        <w:rPr>
          <w:rFonts w:asciiTheme="majorHAnsi" w:hAnsiTheme="majorHAnsi" w:cstheme="majorHAnsi"/>
          <w:bCs/>
          <w:noProof/>
        </w:rPr>
        <w:t>le</w:t>
      </w:r>
      <w:r w:rsidR="000020B2" w:rsidRPr="00115E11">
        <w:rPr>
          <w:rFonts w:asciiTheme="majorHAnsi" w:hAnsiTheme="majorHAnsi" w:cstheme="majorHAnsi"/>
          <w:bCs/>
          <w:noProof/>
        </w:rPr>
        <w:t xml:space="preserve"> de construcție a </w:t>
      </w:r>
      <w:r w:rsidR="008950D9">
        <w:rPr>
          <w:rFonts w:asciiTheme="majorHAnsi" w:hAnsiTheme="majorHAnsi" w:cstheme="majorHAnsi"/>
          <w:bCs/>
          <w:noProof/>
        </w:rPr>
        <w:t>b</w:t>
      </w:r>
      <w:r w:rsidR="000020B2" w:rsidRPr="00115E11">
        <w:rPr>
          <w:rFonts w:asciiTheme="majorHAnsi" w:hAnsiTheme="majorHAnsi" w:cstheme="majorHAnsi"/>
          <w:bCs/>
          <w:noProof/>
        </w:rPr>
        <w:t xml:space="preserve">locului </w:t>
      </w:r>
      <w:r w:rsidR="008950D9">
        <w:rPr>
          <w:rFonts w:asciiTheme="majorHAnsi" w:hAnsiTheme="majorHAnsi" w:cstheme="majorHAnsi"/>
          <w:bCs/>
          <w:noProof/>
        </w:rPr>
        <w:t>de locuințe</w:t>
      </w:r>
      <w:r w:rsidR="000020B2" w:rsidRPr="00115E11">
        <w:rPr>
          <w:rFonts w:asciiTheme="majorHAnsi" w:hAnsiTheme="majorHAnsi" w:cstheme="majorHAnsi"/>
          <w:bCs/>
          <w:noProof/>
        </w:rPr>
        <w:t xml:space="preserve"> cu 80 de apartamente pentru participanții la lichidarea consecințelor avariei de la </w:t>
      </w:r>
      <w:r w:rsidR="008950D9">
        <w:rPr>
          <w:rFonts w:asciiTheme="majorHAnsi" w:hAnsiTheme="majorHAnsi" w:cstheme="majorHAnsi"/>
          <w:bCs/>
          <w:noProof/>
        </w:rPr>
        <w:t xml:space="preserve">C.A.E. </w:t>
      </w:r>
      <w:r w:rsidR="000020B2" w:rsidRPr="00115E11">
        <w:rPr>
          <w:rFonts w:asciiTheme="majorHAnsi" w:hAnsiTheme="majorHAnsi" w:cstheme="majorHAnsi"/>
          <w:bCs/>
          <w:noProof/>
        </w:rPr>
        <w:t>Cernob</w:t>
      </w:r>
      <w:r w:rsidR="008950D9">
        <w:rPr>
          <w:rFonts w:asciiTheme="majorHAnsi" w:hAnsiTheme="majorHAnsi" w:cstheme="majorHAnsi"/>
          <w:bCs/>
          <w:noProof/>
        </w:rPr>
        <w:t>â</w:t>
      </w:r>
      <w:r w:rsidR="000020B2" w:rsidRPr="00115E11">
        <w:rPr>
          <w:rFonts w:asciiTheme="majorHAnsi" w:hAnsiTheme="majorHAnsi" w:cstheme="majorHAnsi"/>
          <w:bCs/>
          <w:noProof/>
        </w:rPr>
        <w:t xml:space="preserve">l, durata lucrărilor fiind stabilită </w:t>
      </w:r>
      <w:r w:rsidR="008950D9">
        <w:rPr>
          <w:rFonts w:asciiTheme="majorHAnsi" w:hAnsiTheme="majorHAnsi" w:cstheme="majorHAnsi"/>
          <w:bCs/>
          <w:noProof/>
        </w:rPr>
        <w:t xml:space="preserve">de </w:t>
      </w:r>
      <w:r w:rsidR="000020B2" w:rsidRPr="00115E11">
        <w:rPr>
          <w:rFonts w:asciiTheme="majorHAnsi" w:hAnsiTheme="majorHAnsi" w:cstheme="majorHAnsi"/>
          <w:bCs/>
          <w:noProof/>
        </w:rPr>
        <w:t>24 de luni. Valoarea</w:t>
      </w:r>
      <w:r w:rsidR="00CF187C" w:rsidRPr="00115E11">
        <w:rPr>
          <w:rFonts w:asciiTheme="majorHAnsi" w:hAnsiTheme="majorHAnsi" w:cstheme="majorHAnsi"/>
          <w:bCs/>
          <w:noProof/>
        </w:rPr>
        <w:t xml:space="preserve"> investițiilor publice stabilite în</w:t>
      </w:r>
      <w:r w:rsidR="000020B2" w:rsidRPr="00115E11">
        <w:rPr>
          <w:rFonts w:asciiTheme="majorHAnsi" w:hAnsiTheme="majorHAnsi" w:cstheme="majorHAnsi"/>
          <w:bCs/>
          <w:noProof/>
        </w:rPr>
        <w:t xml:space="preserve"> contract </w:t>
      </w:r>
      <w:r w:rsidRPr="00115E11">
        <w:rPr>
          <w:rFonts w:asciiTheme="majorHAnsi" w:hAnsiTheme="majorHAnsi" w:cstheme="majorHAnsi"/>
          <w:bCs/>
          <w:noProof/>
        </w:rPr>
        <w:t>a fost</w:t>
      </w:r>
      <w:r w:rsidR="000020B2" w:rsidRPr="00115E11">
        <w:rPr>
          <w:rFonts w:asciiTheme="majorHAnsi" w:hAnsiTheme="majorHAnsi" w:cstheme="majorHAnsi"/>
          <w:bCs/>
          <w:noProof/>
        </w:rPr>
        <w:t xml:space="preserve"> de 39</w:t>
      </w:r>
      <w:r w:rsidR="008950D9">
        <w:rPr>
          <w:rFonts w:asciiTheme="majorHAnsi" w:hAnsiTheme="majorHAnsi" w:cstheme="majorHAnsi"/>
          <w:bCs/>
          <w:noProof/>
        </w:rPr>
        <w:t>.</w:t>
      </w:r>
      <w:r w:rsidR="000020B2" w:rsidRPr="00115E11">
        <w:rPr>
          <w:rFonts w:asciiTheme="majorHAnsi" w:hAnsiTheme="majorHAnsi" w:cstheme="majorHAnsi"/>
          <w:bCs/>
          <w:noProof/>
        </w:rPr>
        <w:t>394,3 mii lei la momentul semnării, dar ulterior derulării contractului</w:t>
      </w:r>
      <w:r w:rsidR="008950D9">
        <w:rPr>
          <w:rFonts w:asciiTheme="majorHAnsi" w:hAnsiTheme="majorHAnsi" w:cstheme="majorHAnsi"/>
          <w:bCs/>
          <w:noProof/>
        </w:rPr>
        <w:t>,</w:t>
      </w:r>
      <w:r w:rsidR="000020B2" w:rsidRPr="00115E11">
        <w:rPr>
          <w:rFonts w:asciiTheme="majorHAnsi" w:hAnsiTheme="majorHAnsi" w:cstheme="majorHAnsi"/>
          <w:bCs/>
          <w:noProof/>
        </w:rPr>
        <w:t xml:space="preserve"> printr-un acord adițional semnat la data de 24.06.2013, valoarea a fost majorată p</w:t>
      </w:r>
      <w:r w:rsidR="008950D9">
        <w:rPr>
          <w:rFonts w:asciiTheme="majorHAnsi" w:hAnsiTheme="majorHAnsi" w:cstheme="majorHAnsi"/>
          <w:bCs/>
          <w:noProof/>
        </w:rPr>
        <w:t>â</w:t>
      </w:r>
      <w:r w:rsidR="000020B2" w:rsidRPr="00115E11">
        <w:rPr>
          <w:rFonts w:asciiTheme="majorHAnsi" w:hAnsiTheme="majorHAnsi" w:cstheme="majorHAnsi"/>
          <w:bCs/>
          <w:noProof/>
        </w:rPr>
        <w:t>nă la 50</w:t>
      </w:r>
      <w:r w:rsidR="008950D9">
        <w:rPr>
          <w:rFonts w:asciiTheme="majorHAnsi" w:hAnsiTheme="majorHAnsi" w:cstheme="majorHAnsi"/>
          <w:bCs/>
          <w:noProof/>
        </w:rPr>
        <w:t>.</w:t>
      </w:r>
      <w:r w:rsidR="000020B2" w:rsidRPr="00115E11">
        <w:rPr>
          <w:rFonts w:asciiTheme="majorHAnsi" w:hAnsiTheme="majorHAnsi" w:cstheme="majorHAnsi"/>
          <w:bCs/>
          <w:noProof/>
        </w:rPr>
        <w:t>956,0 mii lei.</w:t>
      </w:r>
      <w:r w:rsidR="00001FD9">
        <w:rPr>
          <w:rFonts w:asciiTheme="majorHAnsi" w:hAnsiTheme="majorHAnsi" w:cstheme="majorHAnsi"/>
          <w:bCs/>
          <w:noProof/>
        </w:rPr>
        <w:t xml:space="preserve"> Potrivit</w:t>
      </w:r>
      <w:r w:rsidR="000020B2" w:rsidRPr="00115E11">
        <w:rPr>
          <w:rFonts w:asciiTheme="majorHAnsi" w:hAnsiTheme="majorHAnsi" w:cstheme="majorHAnsi"/>
          <w:bCs/>
          <w:noProof/>
        </w:rPr>
        <w:t xml:space="preserve"> </w:t>
      </w:r>
      <w:r w:rsidR="00001FD9">
        <w:rPr>
          <w:rFonts w:asciiTheme="majorHAnsi" w:hAnsiTheme="majorHAnsi" w:cstheme="majorHAnsi"/>
          <w:bCs/>
          <w:noProof/>
        </w:rPr>
        <w:t>condițiilor</w:t>
      </w:r>
      <w:r w:rsidR="00CC3B92" w:rsidRPr="00115E11">
        <w:rPr>
          <w:rFonts w:asciiTheme="majorHAnsi" w:hAnsiTheme="majorHAnsi" w:cstheme="majorHAnsi"/>
          <w:bCs/>
          <w:noProof/>
        </w:rPr>
        <w:t xml:space="preserve"> contractuale</w:t>
      </w:r>
      <w:r w:rsidR="00001FD9">
        <w:rPr>
          <w:rFonts w:asciiTheme="majorHAnsi" w:hAnsiTheme="majorHAnsi" w:cstheme="majorHAnsi"/>
          <w:bCs/>
          <w:noProof/>
        </w:rPr>
        <w:t>,</w:t>
      </w:r>
      <w:r w:rsidR="00CC3B92" w:rsidRPr="00115E11">
        <w:rPr>
          <w:rFonts w:asciiTheme="majorHAnsi" w:hAnsiTheme="majorHAnsi" w:cstheme="majorHAnsi"/>
          <w:bCs/>
          <w:noProof/>
        </w:rPr>
        <w:t xml:space="preserve"> perioada de garanție </w:t>
      </w:r>
      <w:r w:rsidRPr="00115E11">
        <w:rPr>
          <w:rFonts w:asciiTheme="majorHAnsi" w:hAnsiTheme="majorHAnsi" w:cstheme="majorHAnsi"/>
          <w:bCs/>
          <w:noProof/>
        </w:rPr>
        <w:t>începe</w:t>
      </w:r>
      <w:r w:rsidR="00CC3B92" w:rsidRPr="00115E11">
        <w:rPr>
          <w:rFonts w:asciiTheme="majorHAnsi" w:hAnsiTheme="majorHAnsi" w:cstheme="majorHAnsi"/>
          <w:bCs/>
          <w:noProof/>
        </w:rPr>
        <w:t xml:space="preserve"> de la data recepției finale și dur</w:t>
      </w:r>
      <w:r w:rsidR="008950D9">
        <w:rPr>
          <w:rFonts w:asciiTheme="majorHAnsi" w:hAnsiTheme="majorHAnsi" w:cstheme="majorHAnsi"/>
          <w:bCs/>
          <w:noProof/>
        </w:rPr>
        <w:t>e</w:t>
      </w:r>
      <w:r w:rsidR="00CC3B92" w:rsidRPr="00115E11">
        <w:rPr>
          <w:rFonts w:asciiTheme="majorHAnsi" w:hAnsiTheme="majorHAnsi" w:cstheme="majorHAnsi"/>
          <w:bCs/>
          <w:noProof/>
        </w:rPr>
        <w:t>a</w:t>
      </w:r>
      <w:r w:rsidR="008950D9">
        <w:rPr>
          <w:rFonts w:asciiTheme="majorHAnsi" w:hAnsiTheme="majorHAnsi" w:cstheme="majorHAnsi"/>
          <w:bCs/>
          <w:noProof/>
        </w:rPr>
        <w:t>ză</w:t>
      </w:r>
      <w:r w:rsidR="00CC3B92" w:rsidRPr="00115E11">
        <w:rPr>
          <w:rFonts w:asciiTheme="majorHAnsi" w:hAnsiTheme="majorHAnsi" w:cstheme="majorHAnsi"/>
          <w:bCs/>
          <w:noProof/>
        </w:rPr>
        <w:t>5 ani</w:t>
      </w:r>
      <w:r w:rsidRPr="00115E11">
        <w:rPr>
          <w:rFonts w:asciiTheme="majorHAnsi" w:hAnsiTheme="majorHAnsi" w:cstheme="majorHAnsi"/>
          <w:bCs/>
          <w:noProof/>
        </w:rPr>
        <w:t xml:space="preserve"> de la terminarea lucrărilor</w:t>
      </w:r>
      <w:r w:rsidR="0045163C">
        <w:rPr>
          <w:rFonts w:asciiTheme="majorHAnsi" w:hAnsiTheme="majorHAnsi" w:cstheme="majorHAnsi"/>
          <w:bCs/>
          <w:noProof/>
        </w:rPr>
        <w:t>. Conform ace</w:t>
      </w:r>
      <w:r w:rsidRPr="00115E11">
        <w:rPr>
          <w:rFonts w:asciiTheme="majorHAnsi" w:hAnsiTheme="majorHAnsi" w:cstheme="majorHAnsi"/>
          <w:bCs/>
          <w:noProof/>
        </w:rPr>
        <w:t>lorași</w:t>
      </w:r>
      <w:r w:rsidR="00CC3B92" w:rsidRPr="00115E11">
        <w:rPr>
          <w:rFonts w:asciiTheme="majorHAnsi" w:hAnsiTheme="majorHAnsi" w:cstheme="majorHAnsi"/>
          <w:bCs/>
          <w:noProof/>
        </w:rPr>
        <w:t xml:space="preserve"> condiții</w:t>
      </w:r>
      <w:r w:rsidR="008950D9">
        <w:rPr>
          <w:rFonts w:asciiTheme="majorHAnsi" w:hAnsiTheme="majorHAnsi" w:cstheme="majorHAnsi"/>
          <w:bCs/>
          <w:noProof/>
        </w:rPr>
        <w:t>,</w:t>
      </w:r>
      <w:r w:rsidR="00CC3B92" w:rsidRPr="00115E11">
        <w:rPr>
          <w:rFonts w:asciiTheme="majorHAnsi" w:hAnsiTheme="majorHAnsi" w:cstheme="majorHAnsi"/>
          <w:bCs/>
          <w:noProof/>
        </w:rPr>
        <w:t xml:space="preserve"> antreprenorul general are obligația ca în perioada de garanție să înlăture toate defecțiunile, pe cheltuiala proprie, în ur</w:t>
      </w:r>
      <w:r w:rsidR="00403605" w:rsidRPr="00115E11">
        <w:rPr>
          <w:rFonts w:asciiTheme="majorHAnsi" w:hAnsiTheme="majorHAnsi" w:cstheme="majorHAnsi"/>
          <w:bCs/>
          <w:noProof/>
        </w:rPr>
        <w:t>ma unei noti</w:t>
      </w:r>
      <w:r w:rsidR="00CC3B92" w:rsidRPr="00115E11">
        <w:rPr>
          <w:rFonts w:asciiTheme="majorHAnsi" w:hAnsiTheme="majorHAnsi" w:cstheme="majorHAnsi"/>
          <w:bCs/>
          <w:noProof/>
        </w:rPr>
        <w:t>f</w:t>
      </w:r>
      <w:r w:rsidR="00403605" w:rsidRPr="00115E11">
        <w:rPr>
          <w:rFonts w:asciiTheme="majorHAnsi" w:hAnsiTheme="majorHAnsi" w:cstheme="majorHAnsi"/>
          <w:bCs/>
          <w:noProof/>
        </w:rPr>
        <w:t>i</w:t>
      </w:r>
      <w:r w:rsidR="00CC3B92" w:rsidRPr="00115E11">
        <w:rPr>
          <w:rFonts w:asciiTheme="majorHAnsi" w:hAnsiTheme="majorHAnsi" w:cstheme="majorHAnsi"/>
          <w:bCs/>
          <w:noProof/>
        </w:rPr>
        <w:t>cări transmise de Beneficiar.</w:t>
      </w:r>
      <w:r w:rsidR="0010759A" w:rsidRPr="00115E11">
        <w:rPr>
          <w:rFonts w:asciiTheme="majorHAnsi" w:hAnsiTheme="majorHAnsi" w:cstheme="majorHAnsi"/>
          <w:bCs/>
          <w:noProof/>
        </w:rPr>
        <w:t xml:space="preserve"> </w:t>
      </w:r>
      <w:r w:rsidR="00397C7A" w:rsidRPr="00115E11">
        <w:rPr>
          <w:rFonts w:asciiTheme="majorHAnsi" w:hAnsiTheme="majorHAnsi" w:cstheme="majorHAnsi"/>
          <w:noProof/>
        </w:rPr>
        <w:t>Se denotă</w:t>
      </w:r>
      <w:r w:rsidR="0010759A" w:rsidRPr="00115E11">
        <w:rPr>
          <w:rFonts w:asciiTheme="majorHAnsi" w:hAnsiTheme="majorHAnsi" w:cstheme="majorHAnsi"/>
          <w:noProof/>
        </w:rPr>
        <w:t xml:space="preserve"> că recepția finală, </w:t>
      </w:r>
      <w:r w:rsidR="008950D9">
        <w:rPr>
          <w:rFonts w:asciiTheme="majorHAnsi" w:hAnsiTheme="majorHAnsi" w:cstheme="majorHAnsi"/>
          <w:noProof/>
        </w:rPr>
        <w:t>este</w:t>
      </w:r>
      <w:r w:rsidR="00F60973" w:rsidRPr="00115E11">
        <w:rPr>
          <w:rFonts w:asciiTheme="majorHAnsi" w:hAnsiTheme="majorHAnsi" w:cstheme="majorHAnsi"/>
          <w:noProof/>
        </w:rPr>
        <w:t xml:space="preserve"> o </w:t>
      </w:r>
      <w:r w:rsidR="0010759A" w:rsidRPr="00115E11">
        <w:rPr>
          <w:rFonts w:asciiTheme="majorHAnsi" w:hAnsiTheme="majorHAnsi" w:cstheme="majorHAnsi"/>
          <w:bCs/>
          <w:noProof/>
        </w:rPr>
        <w:t>procedură</w:t>
      </w:r>
      <w:r w:rsidR="0010759A" w:rsidRPr="00115E11">
        <w:rPr>
          <w:rFonts w:asciiTheme="majorHAnsi" w:hAnsiTheme="majorHAnsi" w:cstheme="majorHAnsi"/>
          <w:noProof/>
        </w:rPr>
        <w:t xml:space="preserve"> </w:t>
      </w:r>
      <w:r w:rsidR="00F60973" w:rsidRPr="00115E11">
        <w:rPr>
          <w:rFonts w:asciiTheme="majorHAnsi" w:hAnsiTheme="majorHAnsi" w:cstheme="majorHAnsi"/>
          <w:noProof/>
        </w:rPr>
        <w:t>care se co</w:t>
      </w:r>
      <w:r w:rsidR="0010759A" w:rsidRPr="00115E11">
        <w:rPr>
          <w:rFonts w:asciiTheme="majorHAnsi" w:hAnsiTheme="majorHAnsi" w:cstheme="majorHAnsi"/>
          <w:noProof/>
        </w:rPr>
        <w:t>nvocată de investitor (Ministerul Sănătății</w:t>
      </w:r>
      <w:r w:rsidR="008950D9">
        <w:rPr>
          <w:rFonts w:asciiTheme="majorHAnsi" w:hAnsiTheme="majorHAnsi" w:cstheme="majorHAnsi"/>
          <w:noProof/>
        </w:rPr>
        <w:t>,</w:t>
      </w:r>
      <w:r w:rsidR="0010759A" w:rsidRPr="00115E11">
        <w:rPr>
          <w:rFonts w:asciiTheme="majorHAnsi" w:hAnsiTheme="majorHAnsi" w:cstheme="majorHAnsi"/>
          <w:noProof/>
        </w:rPr>
        <w:t xml:space="preserve"> Muncii și Protecției Sociale) în cel mult 15 zile după expirarea perioadei de garanţie, prevăzută în contract</w:t>
      </w:r>
      <w:r w:rsidR="0010759A" w:rsidRPr="00967339">
        <w:rPr>
          <w:rStyle w:val="ad"/>
          <w:rFonts w:asciiTheme="majorHAnsi" w:hAnsiTheme="majorHAnsi" w:cstheme="majorHAnsi"/>
          <w:noProof/>
        </w:rPr>
        <w:footnoteReference w:id="19"/>
      </w:r>
      <w:r w:rsidR="0010759A" w:rsidRPr="00115E11">
        <w:rPr>
          <w:rFonts w:asciiTheme="majorHAnsi" w:hAnsiTheme="majorHAnsi" w:cstheme="majorHAnsi"/>
          <w:noProof/>
        </w:rPr>
        <w:t xml:space="preserve">. </w:t>
      </w:r>
      <w:r w:rsidR="00F13A39">
        <w:rPr>
          <w:rFonts w:asciiTheme="majorHAnsi" w:hAnsiTheme="majorHAnsi" w:cstheme="majorHAnsi"/>
          <w:noProof/>
        </w:rPr>
        <w:t>Astfel,</w:t>
      </w:r>
      <w:r w:rsidR="00F13A39" w:rsidRPr="00115E11">
        <w:rPr>
          <w:rFonts w:asciiTheme="majorHAnsi" w:hAnsiTheme="majorHAnsi" w:cstheme="majorHAnsi"/>
          <w:noProof/>
        </w:rPr>
        <w:t xml:space="preserve"> </w:t>
      </w:r>
      <w:r w:rsidR="00397C7A" w:rsidRPr="00115E11">
        <w:rPr>
          <w:rFonts w:asciiTheme="majorHAnsi" w:hAnsiTheme="majorHAnsi" w:cstheme="majorHAnsi"/>
          <w:noProof/>
        </w:rPr>
        <w:t xml:space="preserve">acest proces </w:t>
      </w:r>
      <w:r w:rsidR="0010759A" w:rsidRPr="00115E11">
        <w:rPr>
          <w:rFonts w:asciiTheme="majorHAnsi" w:hAnsiTheme="majorHAnsi" w:cstheme="majorHAnsi"/>
          <w:noProof/>
        </w:rPr>
        <w:t>urma a f</w:t>
      </w:r>
      <w:r w:rsidR="00397C7A" w:rsidRPr="00115E11">
        <w:rPr>
          <w:rFonts w:asciiTheme="majorHAnsi" w:hAnsiTheme="majorHAnsi" w:cstheme="majorHAnsi"/>
          <w:noProof/>
        </w:rPr>
        <w:t>i realizat</w:t>
      </w:r>
      <w:r w:rsidR="0010759A" w:rsidRPr="00115E11">
        <w:rPr>
          <w:rFonts w:asciiTheme="majorHAnsi" w:hAnsiTheme="majorHAnsi" w:cstheme="majorHAnsi"/>
          <w:noProof/>
        </w:rPr>
        <w:t xml:space="preserve"> în termen de 5 ani din momentul recepție</w:t>
      </w:r>
      <w:r w:rsidR="00A4574B" w:rsidRPr="00115E11">
        <w:rPr>
          <w:rFonts w:asciiTheme="majorHAnsi" w:hAnsiTheme="majorHAnsi" w:cstheme="majorHAnsi"/>
          <w:noProof/>
        </w:rPr>
        <w:t>i</w:t>
      </w:r>
      <w:r w:rsidR="0010759A" w:rsidRPr="00115E11">
        <w:rPr>
          <w:rFonts w:asciiTheme="majorHAnsi" w:hAnsiTheme="majorHAnsi" w:cstheme="majorHAnsi"/>
          <w:noProof/>
        </w:rPr>
        <w:t xml:space="preserve"> </w:t>
      </w:r>
      <w:r w:rsidR="00F13A39">
        <w:rPr>
          <w:rFonts w:asciiTheme="majorHAnsi" w:hAnsiTheme="majorHAnsi" w:cstheme="majorHAnsi"/>
          <w:noProof/>
        </w:rPr>
        <w:t xml:space="preserve">finale </w:t>
      </w:r>
      <w:r w:rsidR="0010759A" w:rsidRPr="00115E11">
        <w:rPr>
          <w:rFonts w:asciiTheme="majorHAnsi" w:hAnsiTheme="majorHAnsi" w:cstheme="majorHAnsi"/>
          <w:noProof/>
        </w:rPr>
        <w:t>a lucrărilor</w:t>
      </w:r>
      <w:r w:rsidR="00A4574B" w:rsidRPr="00115E11">
        <w:rPr>
          <w:rFonts w:asciiTheme="majorHAnsi" w:hAnsiTheme="majorHAnsi" w:cstheme="majorHAnsi"/>
          <w:noProof/>
        </w:rPr>
        <w:t xml:space="preserve"> (07.02.2019)</w:t>
      </w:r>
      <w:r w:rsidR="0010759A" w:rsidRPr="00115E11">
        <w:rPr>
          <w:rFonts w:asciiTheme="majorHAnsi" w:hAnsiTheme="majorHAnsi" w:cstheme="majorHAnsi"/>
          <w:noProof/>
        </w:rPr>
        <w:t xml:space="preserve">. </w:t>
      </w:r>
    </w:p>
    <w:p w14:paraId="1C50029E" w14:textId="7F09823E" w:rsidR="000020B2" w:rsidRPr="00967339" w:rsidRDefault="00FF3C7F" w:rsidP="00023A8F">
      <w:pPr>
        <w:spacing w:line="276" w:lineRule="auto"/>
        <w:jc w:val="both"/>
        <w:rPr>
          <w:rFonts w:asciiTheme="majorHAnsi" w:hAnsiTheme="majorHAnsi" w:cstheme="majorHAnsi"/>
          <w:noProof/>
        </w:rPr>
      </w:pPr>
      <w:r w:rsidRPr="00967339">
        <w:rPr>
          <w:rFonts w:asciiTheme="majorHAnsi" w:hAnsiTheme="majorHAnsi" w:cstheme="majorHAnsi"/>
          <w:noProof/>
        </w:rPr>
        <w:tab/>
      </w:r>
      <w:r w:rsidR="0010759A" w:rsidRPr="00967339">
        <w:rPr>
          <w:rFonts w:asciiTheme="majorHAnsi" w:hAnsiTheme="majorHAnsi" w:cstheme="majorHAnsi"/>
          <w:noProof/>
        </w:rPr>
        <w:t>Se denotă că</w:t>
      </w:r>
      <w:r w:rsidR="00E523AA">
        <w:rPr>
          <w:rFonts w:asciiTheme="majorHAnsi" w:hAnsiTheme="majorHAnsi" w:cstheme="majorHAnsi"/>
          <w:noProof/>
        </w:rPr>
        <w:t>,</w:t>
      </w:r>
      <w:r w:rsidR="0010759A" w:rsidRPr="00967339">
        <w:rPr>
          <w:rFonts w:asciiTheme="majorHAnsi" w:hAnsiTheme="majorHAnsi" w:cstheme="majorHAnsi"/>
          <w:noProof/>
        </w:rPr>
        <w:t xml:space="preserve"> contrar normelor legale</w:t>
      </w:r>
      <w:r w:rsidR="0010759A" w:rsidRPr="00967339">
        <w:rPr>
          <w:rStyle w:val="ad"/>
          <w:rFonts w:asciiTheme="majorHAnsi" w:hAnsiTheme="majorHAnsi" w:cstheme="majorHAnsi"/>
          <w:noProof/>
        </w:rPr>
        <w:footnoteReference w:id="20"/>
      </w:r>
      <w:r w:rsidR="0010759A" w:rsidRPr="00967339">
        <w:rPr>
          <w:rFonts w:asciiTheme="majorHAnsi" w:hAnsiTheme="majorHAnsi" w:cstheme="majorHAnsi"/>
          <w:noProof/>
        </w:rPr>
        <w:t xml:space="preserve">, </w:t>
      </w:r>
      <w:r w:rsidR="00E523AA">
        <w:rPr>
          <w:rFonts w:asciiTheme="majorHAnsi" w:hAnsiTheme="majorHAnsi" w:cstheme="majorHAnsi"/>
          <w:noProof/>
        </w:rPr>
        <w:t>ș</w:t>
      </w:r>
      <w:r w:rsidRPr="00967339">
        <w:rPr>
          <w:rFonts w:asciiTheme="majorHAnsi" w:hAnsiTheme="majorHAnsi" w:cstheme="majorHAnsi"/>
          <w:noProof/>
        </w:rPr>
        <w:t>edința de recepție</w:t>
      </w:r>
      <w:r w:rsidR="0010759A" w:rsidRPr="00967339">
        <w:rPr>
          <w:rFonts w:asciiTheme="majorHAnsi" w:hAnsiTheme="majorHAnsi" w:cstheme="majorHAnsi"/>
          <w:noProof/>
        </w:rPr>
        <w:t xml:space="preserve"> finală a blocul</w:t>
      </w:r>
      <w:r w:rsidR="00E523AA">
        <w:rPr>
          <w:rFonts w:asciiTheme="majorHAnsi" w:hAnsiTheme="majorHAnsi" w:cstheme="majorHAnsi"/>
          <w:noProof/>
        </w:rPr>
        <w:t>ului</w:t>
      </w:r>
      <w:r w:rsidR="0010759A" w:rsidRPr="00967339">
        <w:rPr>
          <w:rFonts w:asciiTheme="majorHAnsi" w:hAnsiTheme="majorHAnsi" w:cstheme="majorHAnsi"/>
          <w:noProof/>
        </w:rPr>
        <w:t xml:space="preserve"> </w:t>
      </w:r>
      <w:r w:rsidR="0010759A" w:rsidRPr="00967339">
        <w:rPr>
          <w:rFonts w:asciiTheme="majorHAnsi" w:hAnsiTheme="majorHAnsi" w:cstheme="majorHAnsi"/>
          <w:bCs/>
          <w:noProof/>
          <w:color w:val="000000" w:themeColor="text1"/>
        </w:rPr>
        <w:t>din strada Alba</w:t>
      </w:r>
      <w:r w:rsidR="00AC075C">
        <w:rPr>
          <w:rFonts w:asciiTheme="majorHAnsi" w:hAnsiTheme="majorHAnsi" w:cstheme="majorHAnsi"/>
          <w:bCs/>
          <w:noProof/>
          <w:color w:val="000000" w:themeColor="text1"/>
        </w:rPr>
        <w:t>-</w:t>
      </w:r>
      <w:r w:rsidR="0010759A" w:rsidRPr="00967339">
        <w:rPr>
          <w:rFonts w:asciiTheme="majorHAnsi" w:hAnsiTheme="majorHAnsi" w:cstheme="majorHAnsi"/>
          <w:bCs/>
          <w:noProof/>
          <w:color w:val="000000" w:themeColor="text1"/>
        </w:rPr>
        <w:t xml:space="preserve">Iulia nr. 91/3 </w:t>
      </w:r>
      <w:r w:rsidR="0010759A" w:rsidRPr="00967339">
        <w:rPr>
          <w:rFonts w:asciiTheme="majorHAnsi" w:hAnsiTheme="majorHAnsi" w:cstheme="majorHAnsi"/>
          <w:noProof/>
        </w:rPr>
        <w:t xml:space="preserve">a fost convocată și </w:t>
      </w:r>
      <w:r w:rsidR="00E523AA">
        <w:rPr>
          <w:rFonts w:asciiTheme="majorHAnsi" w:hAnsiTheme="majorHAnsi" w:cstheme="majorHAnsi"/>
          <w:noProof/>
        </w:rPr>
        <w:t>desfășurată</w:t>
      </w:r>
      <w:r w:rsidR="00E523AA" w:rsidRPr="00967339">
        <w:rPr>
          <w:rFonts w:asciiTheme="majorHAnsi" w:hAnsiTheme="majorHAnsi" w:cstheme="majorHAnsi"/>
          <w:noProof/>
        </w:rPr>
        <w:t xml:space="preserve"> </w:t>
      </w:r>
      <w:r w:rsidR="0010759A" w:rsidRPr="00967339">
        <w:rPr>
          <w:rFonts w:asciiTheme="majorHAnsi" w:hAnsiTheme="majorHAnsi" w:cstheme="majorHAnsi"/>
          <w:noProof/>
        </w:rPr>
        <w:t>după 16 luni (23.07.2020)</w:t>
      </w:r>
      <w:r w:rsidR="00543BBB">
        <w:rPr>
          <w:rFonts w:asciiTheme="majorHAnsi" w:hAnsiTheme="majorHAnsi" w:cstheme="majorHAnsi"/>
          <w:noProof/>
        </w:rPr>
        <w:t xml:space="preserve"> d</w:t>
      </w:r>
      <w:r w:rsidR="00001FD9">
        <w:rPr>
          <w:rFonts w:asciiTheme="majorHAnsi" w:hAnsiTheme="majorHAnsi" w:cstheme="majorHAnsi"/>
          <w:noProof/>
        </w:rPr>
        <w:t>e la</w:t>
      </w:r>
      <w:r w:rsidR="00543BBB">
        <w:rPr>
          <w:rFonts w:asciiTheme="majorHAnsi" w:hAnsiTheme="majorHAnsi" w:cstheme="majorHAnsi"/>
          <w:noProof/>
        </w:rPr>
        <w:t xml:space="preserve"> terminarea lucrărilor,</w:t>
      </w:r>
      <w:r w:rsidR="0010759A" w:rsidRPr="00967339">
        <w:rPr>
          <w:rFonts w:asciiTheme="majorHAnsi" w:hAnsiTheme="majorHAnsi" w:cstheme="majorHAnsi"/>
          <w:noProof/>
        </w:rPr>
        <w:t xml:space="preserve"> sau cu 44 de luni (03.02.2024) aticipat prevederilor contractuale asumate de ambele părți. Astfel, Comisia de recepție finală, </w:t>
      </w:r>
      <w:r w:rsidR="00E523AA">
        <w:rPr>
          <w:rFonts w:asciiTheme="majorHAnsi" w:hAnsiTheme="majorHAnsi" w:cstheme="majorHAnsi"/>
          <w:noProof/>
        </w:rPr>
        <w:t>ignorând</w:t>
      </w:r>
      <w:r w:rsidR="0010759A" w:rsidRPr="00967339">
        <w:rPr>
          <w:rFonts w:asciiTheme="majorHAnsi" w:hAnsiTheme="majorHAnsi" w:cstheme="majorHAnsi"/>
          <w:noProof/>
        </w:rPr>
        <w:t xml:space="preserve"> normel</w:t>
      </w:r>
      <w:r w:rsidR="00E523AA">
        <w:rPr>
          <w:rFonts w:asciiTheme="majorHAnsi" w:hAnsiTheme="majorHAnsi" w:cstheme="majorHAnsi"/>
          <w:noProof/>
        </w:rPr>
        <w:t>e</w:t>
      </w:r>
      <w:r w:rsidR="0010759A" w:rsidRPr="00967339">
        <w:rPr>
          <w:rFonts w:asciiTheme="majorHAnsi" w:hAnsiTheme="majorHAnsi" w:cstheme="majorHAnsi"/>
          <w:noProof/>
        </w:rPr>
        <w:t xml:space="preserve"> în construcții, </w:t>
      </w:r>
      <w:r w:rsidR="00001FD9">
        <w:rPr>
          <w:rFonts w:asciiTheme="majorHAnsi" w:hAnsiTheme="majorHAnsi" w:cstheme="majorHAnsi"/>
          <w:noProof/>
        </w:rPr>
        <w:t xml:space="preserve">a devenit </w:t>
      </w:r>
      <w:r w:rsidR="0010759A" w:rsidRPr="00967339">
        <w:rPr>
          <w:rFonts w:asciiTheme="majorHAnsi" w:hAnsiTheme="majorHAnsi" w:cstheme="majorHAnsi"/>
          <w:noProof/>
        </w:rPr>
        <w:t>în</w:t>
      </w:r>
      <w:r w:rsidR="001B19D2" w:rsidRPr="00967339">
        <w:rPr>
          <w:rFonts w:asciiTheme="majorHAnsi" w:hAnsiTheme="majorHAnsi" w:cstheme="majorHAnsi"/>
          <w:noProof/>
        </w:rPr>
        <w:t xml:space="preserve"> </w:t>
      </w:r>
      <w:r w:rsidR="00001FD9">
        <w:rPr>
          <w:rFonts w:asciiTheme="majorHAnsi" w:hAnsiTheme="majorHAnsi" w:cstheme="majorHAnsi"/>
          <w:noProof/>
        </w:rPr>
        <w:t>im</w:t>
      </w:r>
      <w:r w:rsidR="001B19D2" w:rsidRPr="00967339">
        <w:rPr>
          <w:rFonts w:asciiTheme="majorHAnsi" w:hAnsiTheme="majorHAnsi" w:cstheme="majorHAnsi"/>
          <w:noProof/>
        </w:rPr>
        <w:t>posibilitate</w:t>
      </w:r>
      <w:r w:rsidR="0010759A" w:rsidRPr="00967339">
        <w:rPr>
          <w:rFonts w:asciiTheme="majorHAnsi" w:hAnsiTheme="majorHAnsi" w:cstheme="majorHAnsi"/>
          <w:noProof/>
        </w:rPr>
        <w:t xml:space="preserve"> de a se asigura de lipsa viciilor pe parcursul exploatării construcției în toată perioada de garanție de 5 ani</w:t>
      </w:r>
      <w:r w:rsidR="00E96835" w:rsidRPr="00967339">
        <w:rPr>
          <w:rFonts w:asciiTheme="majorHAnsi" w:hAnsiTheme="majorHAnsi" w:cstheme="majorHAnsi"/>
          <w:noProof/>
        </w:rPr>
        <w:t>,</w:t>
      </w:r>
      <w:r w:rsidR="0010759A" w:rsidRPr="00967339">
        <w:rPr>
          <w:rFonts w:asciiTheme="majorHAnsi" w:hAnsiTheme="majorHAnsi" w:cstheme="majorHAnsi"/>
          <w:noProof/>
        </w:rPr>
        <w:t xml:space="preserve"> circumstanțe determinate de managementul defectuos al ministerului. În acest context, se menționează că antreprenorul este obligat să remedieze deficiențele apărute pe parcursul a 5 ani, conform cadrului </w:t>
      </w:r>
      <w:r w:rsidR="00001FD9">
        <w:rPr>
          <w:rFonts w:asciiTheme="majorHAnsi" w:hAnsiTheme="majorHAnsi" w:cstheme="majorHAnsi"/>
          <w:noProof/>
        </w:rPr>
        <w:t>normativ</w:t>
      </w:r>
      <w:r w:rsidR="0010759A" w:rsidRPr="00967339">
        <w:rPr>
          <w:rFonts w:asciiTheme="majorHAnsi" w:hAnsiTheme="majorHAnsi" w:cstheme="majorHAnsi"/>
          <w:noProof/>
        </w:rPr>
        <w:t xml:space="preserve"> aplicabil.</w:t>
      </w:r>
    </w:p>
    <w:p w14:paraId="448117A7" w14:textId="0FD10FC0" w:rsidR="00403605" w:rsidRPr="00967339" w:rsidRDefault="00403605" w:rsidP="00023A8F">
      <w:pPr>
        <w:spacing w:line="276" w:lineRule="auto"/>
        <w:jc w:val="both"/>
        <w:rPr>
          <w:rFonts w:asciiTheme="majorHAnsi" w:hAnsiTheme="majorHAnsi" w:cstheme="majorHAnsi"/>
          <w:bCs/>
          <w:noProof/>
        </w:rPr>
      </w:pPr>
      <w:r w:rsidRPr="00967339">
        <w:rPr>
          <w:rFonts w:asciiTheme="majorHAnsi" w:hAnsiTheme="majorHAnsi" w:cstheme="majorHAnsi"/>
          <w:bCs/>
          <w:noProof/>
        </w:rPr>
        <w:tab/>
        <w:t xml:space="preserve">În urma vizualizării fizice de către echipa de audit a blocului </w:t>
      </w:r>
      <w:r w:rsidR="00AC075C">
        <w:rPr>
          <w:rFonts w:asciiTheme="majorHAnsi" w:hAnsiTheme="majorHAnsi" w:cstheme="majorHAnsi"/>
          <w:bCs/>
          <w:noProof/>
        </w:rPr>
        <w:t>din</w:t>
      </w:r>
      <w:r w:rsidRPr="00967339">
        <w:rPr>
          <w:rFonts w:asciiTheme="majorHAnsi" w:hAnsiTheme="majorHAnsi" w:cstheme="majorHAnsi"/>
          <w:bCs/>
          <w:noProof/>
        </w:rPr>
        <w:t xml:space="preserve"> str. Alba</w:t>
      </w:r>
      <w:r w:rsidR="00AC075C">
        <w:rPr>
          <w:rFonts w:asciiTheme="majorHAnsi" w:hAnsiTheme="majorHAnsi" w:cstheme="majorHAnsi"/>
          <w:bCs/>
          <w:noProof/>
        </w:rPr>
        <w:t>-</w:t>
      </w:r>
      <w:r w:rsidRPr="00967339">
        <w:rPr>
          <w:rFonts w:asciiTheme="majorHAnsi" w:hAnsiTheme="majorHAnsi" w:cstheme="majorHAnsi"/>
          <w:bCs/>
          <w:noProof/>
        </w:rPr>
        <w:t>Iulia nr. 91/3, s-a</w:t>
      </w:r>
      <w:r w:rsidR="00E8305C">
        <w:rPr>
          <w:rFonts w:asciiTheme="majorHAnsi" w:hAnsiTheme="majorHAnsi" w:cstheme="majorHAnsi"/>
          <w:bCs/>
          <w:noProof/>
        </w:rPr>
        <w:t>u</w:t>
      </w:r>
      <w:r w:rsidRPr="00967339">
        <w:rPr>
          <w:rFonts w:asciiTheme="majorHAnsi" w:hAnsiTheme="majorHAnsi" w:cstheme="majorHAnsi"/>
          <w:bCs/>
          <w:noProof/>
        </w:rPr>
        <w:t xml:space="preserve"> idendificat scurgeri de apă de la etajul tehnic</w:t>
      </w:r>
      <w:r w:rsidR="00AC075C">
        <w:rPr>
          <w:rFonts w:asciiTheme="majorHAnsi" w:hAnsiTheme="majorHAnsi" w:cstheme="majorHAnsi"/>
          <w:bCs/>
          <w:noProof/>
        </w:rPr>
        <w:t>,</w:t>
      </w:r>
      <w:r w:rsidR="00BD4C32" w:rsidRPr="00967339">
        <w:rPr>
          <w:rFonts w:asciiTheme="majorHAnsi" w:hAnsiTheme="majorHAnsi" w:cstheme="majorHAnsi"/>
          <w:bCs/>
          <w:noProof/>
        </w:rPr>
        <w:t xml:space="preserve"> fiind </w:t>
      </w:r>
      <w:r w:rsidR="00AC075C">
        <w:rPr>
          <w:rFonts w:asciiTheme="majorHAnsi" w:hAnsiTheme="majorHAnsi" w:cstheme="majorHAnsi"/>
          <w:bCs/>
          <w:noProof/>
        </w:rPr>
        <w:t>deteriorată</w:t>
      </w:r>
      <w:r w:rsidR="00AC075C" w:rsidRPr="00967339">
        <w:rPr>
          <w:rFonts w:asciiTheme="majorHAnsi" w:hAnsiTheme="majorHAnsi" w:cstheme="majorHAnsi"/>
          <w:bCs/>
          <w:noProof/>
        </w:rPr>
        <w:t xml:space="preserve"> </w:t>
      </w:r>
      <w:r w:rsidRPr="00967339">
        <w:rPr>
          <w:rFonts w:asciiTheme="majorHAnsi" w:hAnsiTheme="majorHAnsi" w:cstheme="majorHAnsi"/>
          <w:bCs/>
          <w:noProof/>
        </w:rPr>
        <w:t>tencuiala de pe tavan și pereți</w:t>
      </w:r>
      <w:r w:rsidR="00AC075C">
        <w:rPr>
          <w:rFonts w:asciiTheme="majorHAnsi" w:hAnsiTheme="majorHAnsi" w:cstheme="majorHAnsi"/>
          <w:bCs/>
          <w:noProof/>
        </w:rPr>
        <w:t>,</w:t>
      </w:r>
      <w:r w:rsidRPr="00967339">
        <w:rPr>
          <w:rFonts w:asciiTheme="majorHAnsi" w:hAnsiTheme="majorHAnsi" w:cstheme="majorHAnsi"/>
          <w:bCs/>
          <w:noProof/>
        </w:rPr>
        <w:t xml:space="preserve"> </w:t>
      </w:r>
      <w:r w:rsidR="00AC075C">
        <w:rPr>
          <w:rFonts w:asciiTheme="majorHAnsi" w:hAnsiTheme="majorHAnsi" w:cstheme="majorHAnsi"/>
          <w:bCs/>
          <w:noProof/>
        </w:rPr>
        <w:t>inclusiv</w:t>
      </w:r>
      <w:r w:rsidRPr="00967339">
        <w:rPr>
          <w:rFonts w:asciiTheme="majorHAnsi" w:hAnsiTheme="majorHAnsi" w:cstheme="majorHAnsi"/>
          <w:bCs/>
          <w:noProof/>
        </w:rPr>
        <w:t xml:space="preserve"> podeaua </w:t>
      </w:r>
      <w:r w:rsidR="00E8305C">
        <w:rPr>
          <w:rFonts w:asciiTheme="majorHAnsi" w:hAnsiTheme="majorHAnsi" w:cstheme="majorHAnsi"/>
          <w:bCs/>
          <w:noProof/>
        </w:rPr>
        <w:t>de la</w:t>
      </w:r>
      <w:r w:rsidR="00BD4C32" w:rsidRPr="00967339">
        <w:rPr>
          <w:rFonts w:asciiTheme="majorHAnsi" w:hAnsiTheme="majorHAnsi" w:cstheme="majorHAnsi"/>
          <w:bCs/>
          <w:noProof/>
        </w:rPr>
        <w:t xml:space="preserve"> etajul 10 și cel tehnic </w:t>
      </w:r>
      <w:r w:rsidR="00AC075C">
        <w:rPr>
          <w:rFonts w:asciiTheme="majorHAnsi" w:hAnsiTheme="majorHAnsi" w:cstheme="majorHAnsi"/>
          <w:bCs/>
          <w:noProof/>
        </w:rPr>
        <w:t>(</w:t>
      </w:r>
      <w:r w:rsidR="00BD4C32" w:rsidRPr="00967339">
        <w:rPr>
          <w:rFonts w:asciiTheme="majorHAnsi" w:hAnsiTheme="majorHAnsi" w:cstheme="majorHAnsi"/>
          <w:bCs/>
          <w:noProof/>
        </w:rPr>
        <w:t>11</w:t>
      </w:r>
      <w:r w:rsidR="00AC075C">
        <w:rPr>
          <w:rFonts w:asciiTheme="majorHAnsi" w:hAnsiTheme="majorHAnsi" w:cstheme="majorHAnsi"/>
          <w:bCs/>
          <w:noProof/>
        </w:rPr>
        <w:t>)</w:t>
      </w:r>
      <w:r w:rsidRPr="00967339">
        <w:rPr>
          <w:rFonts w:asciiTheme="majorHAnsi" w:hAnsiTheme="majorHAnsi" w:cstheme="majorHAnsi"/>
          <w:bCs/>
          <w:noProof/>
        </w:rPr>
        <w:t xml:space="preserve">  și</w:t>
      </w:r>
      <w:r w:rsidR="00BD4C32" w:rsidRPr="00967339">
        <w:rPr>
          <w:rFonts w:asciiTheme="majorHAnsi" w:hAnsiTheme="majorHAnsi" w:cstheme="majorHAnsi"/>
          <w:bCs/>
          <w:noProof/>
        </w:rPr>
        <w:t>,</w:t>
      </w:r>
      <w:r w:rsidRPr="00967339">
        <w:rPr>
          <w:rFonts w:asciiTheme="majorHAnsi" w:hAnsiTheme="majorHAnsi" w:cstheme="majorHAnsi"/>
          <w:bCs/>
          <w:noProof/>
        </w:rPr>
        <w:t xml:space="preserve"> respectiv</w:t>
      </w:r>
      <w:r w:rsidR="00BD4C32" w:rsidRPr="00967339">
        <w:rPr>
          <w:rFonts w:asciiTheme="majorHAnsi" w:hAnsiTheme="majorHAnsi" w:cstheme="majorHAnsi"/>
          <w:bCs/>
          <w:noProof/>
        </w:rPr>
        <w:t>, a</w:t>
      </w:r>
      <w:r w:rsidR="00AC075C">
        <w:rPr>
          <w:rFonts w:asciiTheme="majorHAnsi" w:hAnsiTheme="majorHAnsi" w:cstheme="majorHAnsi"/>
          <w:bCs/>
          <w:noProof/>
        </w:rPr>
        <w:t>u</w:t>
      </w:r>
      <w:r w:rsidR="00BD4C32" w:rsidRPr="00967339">
        <w:rPr>
          <w:rFonts w:asciiTheme="majorHAnsi" w:hAnsiTheme="majorHAnsi" w:cstheme="majorHAnsi"/>
          <w:bCs/>
          <w:noProof/>
        </w:rPr>
        <w:t xml:space="preserve"> fost afectat</w:t>
      </w:r>
      <w:r w:rsidR="00AC075C">
        <w:rPr>
          <w:rFonts w:asciiTheme="majorHAnsi" w:hAnsiTheme="majorHAnsi" w:cstheme="majorHAnsi"/>
          <w:bCs/>
          <w:noProof/>
        </w:rPr>
        <w:t>e</w:t>
      </w:r>
      <w:r w:rsidRPr="00967339">
        <w:rPr>
          <w:rFonts w:asciiTheme="majorHAnsi" w:hAnsiTheme="majorHAnsi" w:cstheme="majorHAnsi"/>
          <w:bCs/>
          <w:noProof/>
        </w:rPr>
        <w:t xml:space="preserve"> sistem</w:t>
      </w:r>
      <w:r w:rsidR="00AC075C">
        <w:rPr>
          <w:rFonts w:asciiTheme="majorHAnsi" w:hAnsiTheme="majorHAnsi" w:cstheme="majorHAnsi"/>
          <w:bCs/>
          <w:noProof/>
        </w:rPr>
        <w:t>ele</w:t>
      </w:r>
      <w:r w:rsidRPr="00967339">
        <w:rPr>
          <w:rFonts w:asciiTheme="majorHAnsi" w:hAnsiTheme="majorHAnsi" w:cstheme="majorHAnsi"/>
          <w:bCs/>
          <w:noProof/>
        </w:rPr>
        <w:t xml:space="preserve"> de ventilare, canalizare și cel electric.</w:t>
      </w:r>
    </w:p>
    <w:p w14:paraId="27753A9C" w14:textId="012A82DB" w:rsidR="009F04A8" w:rsidRPr="00967339" w:rsidRDefault="009F04A8" w:rsidP="00023A8F">
      <w:pPr>
        <w:spacing w:line="276" w:lineRule="auto"/>
        <w:jc w:val="both"/>
        <w:rPr>
          <w:rFonts w:asciiTheme="majorHAnsi" w:hAnsiTheme="majorHAnsi" w:cstheme="majorHAnsi"/>
          <w:bCs/>
          <w:noProof/>
          <w:color w:val="000000" w:themeColor="text1"/>
        </w:rPr>
      </w:pPr>
      <w:r w:rsidRPr="00967339">
        <w:rPr>
          <w:rFonts w:asciiTheme="majorHAnsi" w:hAnsiTheme="majorHAnsi" w:cstheme="majorHAnsi"/>
          <w:bCs/>
          <w:noProof/>
          <w:color w:val="000000" w:themeColor="text1"/>
        </w:rPr>
        <w:tab/>
        <w:t xml:space="preserve">Astfel, </w:t>
      </w:r>
      <w:r w:rsidR="004F40FE" w:rsidRPr="00967339">
        <w:rPr>
          <w:rFonts w:asciiTheme="majorHAnsi" w:hAnsiTheme="majorHAnsi" w:cstheme="majorHAnsi"/>
          <w:bCs/>
          <w:noProof/>
          <w:color w:val="000000" w:themeColor="text1"/>
        </w:rPr>
        <w:t xml:space="preserve">ca urmare a examinării de către audit a procesului-verbal de recepție finală nr.1 din 23.07.2020, auditul a constatat că la punctul 3 comisia </w:t>
      </w:r>
      <w:r w:rsidR="007D21A1" w:rsidRPr="00967339">
        <w:rPr>
          <w:rFonts w:asciiTheme="majorHAnsi" w:hAnsiTheme="majorHAnsi" w:cstheme="majorHAnsi"/>
          <w:bCs/>
          <w:noProof/>
          <w:color w:val="000000" w:themeColor="text1"/>
        </w:rPr>
        <w:t>de recepție finală</w:t>
      </w:r>
      <w:r w:rsidR="004F40FE" w:rsidRPr="00967339">
        <w:rPr>
          <w:rFonts w:asciiTheme="majorHAnsi" w:hAnsiTheme="majorHAnsi" w:cstheme="majorHAnsi"/>
          <w:bCs/>
          <w:noProof/>
          <w:color w:val="000000" w:themeColor="text1"/>
        </w:rPr>
        <w:t xml:space="preserve"> nu a </w:t>
      </w:r>
      <w:r w:rsidR="00AC075C">
        <w:rPr>
          <w:rFonts w:asciiTheme="majorHAnsi" w:hAnsiTheme="majorHAnsi" w:cstheme="majorHAnsi"/>
          <w:bCs/>
          <w:noProof/>
          <w:color w:val="000000" w:themeColor="text1"/>
        </w:rPr>
        <w:t xml:space="preserve">consemnat </w:t>
      </w:r>
      <w:r w:rsidR="004F40FE" w:rsidRPr="00967339">
        <w:rPr>
          <w:rFonts w:asciiTheme="majorHAnsi" w:hAnsiTheme="majorHAnsi" w:cstheme="majorHAnsi"/>
          <w:bCs/>
          <w:noProof/>
          <w:color w:val="000000" w:themeColor="text1"/>
        </w:rPr>
        <w:t xml:space="preserve">degradarea construcției </w:t>
      </w:r>
      <w:r w:rsidR="00E8305C">
        <w:rPr>
          <w:rFonts w:asciiTheme="majorHAnsi" w:hAnsiTheme="majorHAnsi" w:cstheme="majorHAnsi"/>
          <w:bCs/>
          <w:noProof/>
          <w:color w:val="000000" w:themeColor="text1"/>
        </w:rPr>
        <w:t>și a</w:t>
      </w:r>
      <w:r w:rsidR="007D21A1" w:rsidRPr="00967339">
        <w:rPr>
          <w:rFonts w:asciiTheme="majorHAnsi" w:hAnsiTheme="majorHAnsi" w:cstheme="majorHAnsi"/>
          <w:bCs/>
          <w:noProof/>
          <w:color w:val="000000" w:themeColor="text1"/>
        </w:rPr>
        <w:t xml:space="preserve"> recomandat recepția finală a blocului </w:t>
      </w:r>
      <w:r w:rsidR="00AC075C">
        <w:rPr>
          <w:rFonts w:asciiTheme="majorHAnsi" w:hAnsiTheme="majorHAnsi" w:cstheme="majorHAnsi"/>
          <w:bCs/>
          <w:noProof/>
          <w:color w:val="000000" w:themeColor="text1"/>
        </w:rPr>
        <w:t xml:space="preserve">de </w:t>
      </w:r>
      <w:r w:rsidR="007D21A1" w:rsidRPr="00967339">
        <w:rPr>
          <w:rFonts w:asciiTheme="majorHAnsi" w:hAnsiTheme="majorHAnsi" w:cstheme="majorHAnsi"/>
          <w:bCs/>
          <w:noProof/>
          <w:color w:val="000000" w:themeColor="text1"/>
        </w:rPr>
        <w:t>loc</w:t>
      </w:r>
      <w:r w:rsidR="00AC075C">
        <w:rPr>
          <w:rFonts w:asciiTheme="majorHAnsi" w:hAnsiTheme="majorHAnsi" w:cstheme="majorHAnsi"/>
          <w:bCs/>
          <w:noProof/>
          <w:color w:val="000000" w:themeColor="text1"/>
        </w:rPr>
        <w:t>uințe</w:t>
      </w:r>
      <w:r w:rsidR="007D21A1" w:rsidRPr="00967339">
        <w:rPr>
          <w:rFonts w:asciiTheme="majorHAnsi" w:hAnsiTheme="majorHAnsi" w:cstheme="majorHAnsi"/>
          <w:bCs/>
          <w:noProof/>
          <w:color w:val="000000" w:themeColor="text1"/>
        </w:rPr>
        <w:t>.</w:t>
      </w:r>
    </w:p>
    <w:p w14:paraId="57563D73" w14:textId="6696EE5E" w:rsidR="00875490" w:rsidRPr="00967339" w:rsidRDefault="00E63CCE" w:rsidP="00023A8F">
      <w:pPr>
        <w:spacing w:line="276" w:lineRule="auto"/>
        <w:jc w:val="both"/>
        <w:rPr>
          <w:rFonts w:asciiTheme="majorHAnsi" w:hAnsiTheme="majorHAnsi" w:cstheme="majorHAnsi"/>
          <w:noProof/>
        </w:rPr>
      </w:pPr>
      <w:r w:rsidRPr="00967339">
        <w:rPr>
          <w:rFonts w:asciiTheme="majorHAnsi" w:hAnsiTheme="majorHAnsi" w:cstheme="majorHAnsi"/>
          <w:noProof/>
        </w:rPr>
        <w:tab/>
      </w:r>
      <w:r w:rsidR="00EA0C6D" w:rsidRPr="00967339">
        <w:rPr>
          <w:rFonts w:asciiTheme="majorHAnsi" w:hAnsiTheme="majorHAnsi" w:cstheme="majorHAnsi"/>
          <w:noProof/>
        </w:rPr>
        <w:t>În acest sens</w:t>
      </w:r>
      <w:r w:rsidR="00AC075C">
        <w:rPr>
          <w:rFonts w:asciiTheme="majorHAnsi" w:hAnsiTheme="majorHAnsi" w:cstheme="majorHAnsi"/>
          <w:noProof/>
        </w:rPr>
        <w:t>,</w:t>
      </w:r>
      <w:r w:rsidR="00345AB3">
        <w:rPr>
          <w:rFonts w:asciiTheme="majorHAnsi" w:hAnsiTheme="majorHAnsi" w:cstheme="majorHAnsi"/>
          <w:noProof/>
        </w:rPr>
        <w:t xml:space="preserve"> la data de 05.07.2022</w:t>
      </w:r>
      <w:r w:rsidR="00EA0C6D" w:rsidRPr="00967339">
        <w:rPr>
          <w:rFonts w:asciiTheme="majorHAnsi" w:hAnsiTheme="majorHAnsi" w:cstheme="majorHAnsi"/>
          <w:noProof/>
        </w:rPr>
        <w:t xml:space="preserve">, auditul a </w:t>
      </w:r>
      <w:r w:rsidR="00365697">
        <w:rPr>
          <w:rFonts w:asciiTheme="majorHAnsi" w:hAnsiTheme="majorHAnsi" w:cstheme="majorHAnsi"/>
          <w:noProof/>
        </w:rPr>
        <w:t>recomandat</w:t>
      </w:r>
      <w:r w:rsidR="00365697" w:rsidRPr="00967339">
        <w:rPr>
          <w:rFonts w:asciiTheme="majorHAnsi" w:hAnsiTheme="majorHAnsi" w:cstheme="majorHAnsi"/>
          <w:noProof/>
        </w:rPr>
        <w:t xml:space="preserve"> </w:t>
      </w:r>
      <w:r w:rsidR="009F04A8" w:rsidRPr="00967339">
        <w:rPr>
          <w:rFonts w:asciiTheme="majorHAnsi" w:hAnsiTheme="majorHAnsi" w:cstheme="majorHAnsi"/>
          <w:noProof/>
        </w:rPr>
        <w:t>Ministerului convocarea antreprenorul</w:t>
      </w:r>
      <w:r w:rsidR="00AC075C">
        <w:rPr>
          <w:rFonts w:asciiTheme="majorHAnsi" w:hAnsiTheme="majorHAnsi" w:cstheme="majorHAnsi"/>
          <w:noProof/>
        </w:rPr>
        <w:t>ui</w:t>
      </w:r>
      <w:r w:rsidR="009F04A8" w:rsidRPr="00967339">
        <w:rPr>
          <w:rFonts w:asciiTheme="majorHAnsi" w:hAnsiTheme="majorHAnsi" w:cstheme="majorHAnsi"/>
          <w:noProof/>
        </w:rPr>
        <w:t xml:space="preserve"> și remid</w:t>
      </w:r>
      <w:r w:rsidR="00AC075C">
        <w:rPr>
          <w:rFonts w:asciiTheme="majorHAnsi" w:hAnsiTheme="majorHAnsi" w:cstheme="majorHAnsi"/>
          <w:noProof/>
        </w:rPr>
        <w:t>i</w:t>
      </w:r>
      <w:r w:rsidR="009F04A8" w:rsidRPr="00967339">
        <w:rPr>
          <w:rFonts w:asciiTheme="majorHAnsi" w:hAnsiTheme="majorHAnsi" w:cstheme="majorHAnsi"/>
          <w:noProof/>
        </w:rPr>
        <w:t>erea situației date.</w:t>
      </w:r>
      <w:r w:rsidR="007D21A1" w:rsidRPr="00967339">
        <w:rPr>
          <w:rFonts w:asciiTheme="majorHAnsi" w:hAnsiTheme="majorHAnsi" w:cstheme="majorHAnsi"/>
          <w:noProof/>
        </w:rPr>
        <w:t xml:space="preserve"> </w:t>
      </w:r>
    </w:p>
    <w:p w14:paraId="22804942" w14:textId="1720718A" w:rsidR="009F04A8" w:rsidRPr="00967339" w:rsidRDefault="00875490" w:rsidP="00023A8F">
      <w:pPr>
        <w:spacing w:line="276" w:lineRule="auto"/>
        <w:jc w:val="both"/>
        <w:rPr>
          <w:rFonts w:asciiTheme="majorHAnsi" w:hAnsiTheme="majorHAnsi" w:cstheme="majorHAnsi"/>
          <w:noProof/>
        </w:rPr>
      </w:pPr>
      <w:r w:rsidRPr="00967339">
        <w:rPr>
          <w:rFonts w:asciiTheme="majorHAnsi" w:hAnsiTheme="majorHAnsi" w:cstheme="majorHAnsi"/>
          <w:noProof/>
        </w:rPr>
        <w:tab/>
      </w:r>
      <w:r w:rsidR="007D21A1" w:rsidRPr="00967339">
        <w:rPr>
          <w:rFonts w:asciiTheme="majorHAnsi" w:hAnsiTheme="majorHAnsi" w:cstheme="majorHAnsi"/>
          <w:noProof/>
        </w:rPr>
        <w:t xml:space="preserve">De menționat că, pentru investițiile la imobilul dat persistă riscul că o parte din lucrarile efectuate vor necesita reevaluări și </w:t>
      </w:r>
      <w:r w:rsidR="00AC075C">
        <w:rPr>
          <w:rFonts w:asciiTheme="majorHAnsi" w:hAnsiTheme="majorHAnsi" w:cstheme="majorHAnsi"/>
          <w:noProof/>
        </w:rPr>
        <w:t>re</w:t>
      </w:r>
      <w:r w:rsidR="007D21A1" w:rsidRPr="00967339">
        <w:rPr>
          <w:rFonts w:asciiTheme="majorHAnsi" w:hAnsiTheme="majorHAnsi" w:cstheme="majorHAnsi"/>
          <w:noProof/>
        </w:rPr>
        <w:t xml:space="preserve">alocări de mijloace financiare </w:t>
      </w:r>
      <w:r w:rsidRPr="00967339">
        <w:rPr>
          <w:rFonts w:asciiTheme="majorHAnsi" w:hAnsiTheme="majorHAnsi" w:cstheme="majorHAnsi"/>
          <w:noProof/>
        </w:rPr>
        <w:t xml:space="preserve">publice suplimentare la cele </w:t>
      </w:r>
      <w:r w:rsidR="00005EC5">
        <w:rPr>
          <w:rFonts w:asciiTheme="majorHAnsi" w:hAnsiTheme="majorHAnsi" w:cs="Calibri Light"/>
          <w:noProof/>
        </w:rPr>
        <w:t>67</w:t>
      </w:r>
      <w:r w:rsidR="00AC075C">
        <w:rPr>
          <w:rFonts w:asciiTheme="majorHAnsi" w:hAnsiTheme="majorHAnsi" w:cs="Calibri Light"/>
          <w:noProof/>
        </w:rPr>
        <w:t>.</w:t>
      </w:r>
      <w:r w:rsidR="00005EC5">
        <w:rPr>
          <w:rFonts w:asciiTheme="majorHAnsi" w:hAnsiTheme="majorHAnsi" w:cs="Calibri Light"/>
          <w:noProof/>
        </w:rPr>
        <w:t>730,5</w:t>
      </w:r>
      <w:r w:rsidRPr="0033197E">
        <w:rPr>
          <w:rFonts w:asciiTheme="majorHAnsi" w:hAnsiTheme="majorHAnsi" w:cstheme="majorHAnsi"/>
          <w:bCs/>
          <w:noProof/>
        </w:rPr>
        <w:t xml:space="preserve"> mii lei</w:t>
      </w:r>
      <w:r w:rsidRPr="00967339">
        <w:rPr>
          <w:rFonts w:asciiTheme="majorHAnsi" w:hAnsiTheme="majorHAnsi" w:cstheme="majorHAnsi"/>
          <w:bCs/>
          <w:noProof/>
        </w:rPr>
        <w:t>,</w:t>
      </w:r>
      <w:r w:rsidRPr="00967339">
        <w:rPr>
          <w:rFonts w:asciiTheme="majorHAnsi" w:hAnsiTheme="majorHAnsi" w:cstheme="majorHAnsi"/>
          <w:noProof/>
        </w:rPr>
        <w:t xml:space="preserve"> </w:t>
      </w:r>
      <w:r w:rsidR="007D21A1" w:rsidRPr="00967339">
        <w:rPr>
          <w:rFonts w:asciiTheme="majorHAnsi" w:hAnsiTheme="majorHAnsi" w:cstheme="majorHAnsi"/>
          <w:noProof/>
        </w:rPr>
        <w:t>în</w:t>
      </w:r>
      <w:r w:rsidR="00AC075C">
        <w:rPr>
          <w:rFonts w:asciiTheme="majorHAnsi" w:hAnsiTheme="majorHAnsi" w:cstheme="majorHAnsi"/>
          <w:noProof/>
        </w:rPr>
        <w:t xml:space="preserve"> scopul</w:t>
      </w:r>
      <w:r w:rsidR="007D21A1" w:rsidRPr="00967339">
        <w:rPr>
          <w:rFonts w:asciiTheme="majorHAnsi" w:hAnsiTheme="majorHAnsi" w:cstheme="majorHAnsi"/>
          <w:noProof/>
        </w:rPr>
        <w:t xml:space="preserve"> repar</w:t>
      </w:r>
      <w:r w:rsidR="00AC075C">
        <w:rPr>
          <w:rFonts w:asciiTheme="majorHAnsi" w:hAnsiTheme="majorHAnsi" w:cstheme="majorHAnsi"/>
          <w:noProof/>
        </w:rPr>
        <w:t>ării</w:t>
      </w:r>
      <w:r w:rsidR="007D21A1" w:rsidRPr="00967339">
        <w:rPr>
          <w:rFonts w:asciiTheme="majorHAnsi" w:hAnsiTheme="majorHAnsi" w:cstheme="majorHAnsi"/>
          <w:noProof/>
        </w:rPr>
        <w:t xml:space="preserve"> imobilului degradat</w:t>
      </w:r>
      <w:r w:rsidR="00E8305C">
        <w:rPr>
          <w:rFonts w:asciiTheme="majorHAnsi" w:hAnsiTheme="majorHAnsi" w:cstheme="majorHAnsi"/>
          <w:noProof/>
        </w:rPr>
        <w:t>,</w:t>
      </w:r>
      <w:r w:rsidRPr="00967339">
        <w:rPr>
          <w:rFonts w:asciiTheme="majorHAnsi" w:hAnsiTheme="majorHAnsi" w:cstheme="majorHAnsi"/>
          <w:noProof/>
        </w:rPr>
        <w:t xml:space="preserve"> </w:t>
      </w:r>
      <w:r w:rsidR="00E8305C">
        <w:rPr>
          <w:rFonts w:asciiTheme="majorHAnsi" w:hAnsiTheme="majorHAnsi" w:cstheme="majorHAnsi"/>
          <w:noProof/>
        </w:rPr>
        <w:t>anterior</w:t>
      </w:r>
      <w:r w:rsidR="00CF187C" w:rsidRPr="00967339">
        <w:rPr>
          <w:rFonts w:asciiTheme="majorHAnsi" w:hAnsiTheme="majorHAnsi" w:cstheme="majorHAnsi"/>
          <w:noProof/>
        </w:rPr>
        <w:t xml:space="preserve"> utilizării</w:t>
      </w:r>
      <w:r w:rsidR="007D21A1" w:rsidRPr="00967339">
        <w:rPr>
          <w:rFonts w:asciiTheme="majorHAnsi" w:hAnsiTheme="majorHAnsi" w:cstheme="majorHAnsi"/>
          <w:noProof/>
        </w:rPr>
        <w:t xml:space="preserve">. </w:t>
      </w:r>
      <w:r w:rsidR="00AC075C">
        <w:rPr>
          <w:rFonts w:asciiTheme="majorHAnsi" w:hAnsiTheme="majorHAnsi" w:cstheme="majorHAnsi"/>
          <w:noProof/>
        </w:rPr>
        <w:t>Așadar</w:t>
      </w:r>
      <w:r w:rsidR="007D21A1" w:rsidRPr="00967339">
        <w:rPr>
          <w:rFonts w:asciiTheme="majorHAnsi" w:hAnsiTheme="majorHAnsi" w:cstheme="majorHAnsi"/>
          <w:noProof/>
        </w:rPr>
        <w:t>, misiunea de audit nu poate să confirme sau să infirme valoarea și nivelul de executare a investițiilor care necesită alocate pentru repararea prejudiciului existent la obiectul respectiv.</w:t>
      </w:r>
    </w:p>
    <w:p w14:paraId="2E8732B5" w14:textId="0BB135E8" w:rsidR="0026123B" w:rsidRPr="00967339" w:rsidRDefault="00875490" w:rsidP="00023A8F">
      <w:pPr>
        <w:spacing w:line="276" w:lineRule="auto"/>
        <w:jc w:val="both"/>
        <w:rPr>
          <w:rFonts w:asciiTheme="majorHAnsi" w:hAnsiTheme="majorHAnsi" w:cstheme="majorHAnsi"/>
          <w:noProof/>
        </w:rPr>
      </w:pPr>
      <w:r w:rsidRPr="00967339">
        <w:rPr>
          <w:rFonts w:asciiTheme="majorHAnsi" w:hAnsiTheme="majorHAnsi" w:cstheme="majorHAnsi"/>
          <w:noProof/>
        </w:rPr>
        <w:tab/>
        <w:t>Această situație denotă că proiect</w:t>
      </w:r>
      <w:r w:rsidR="00AC075C">
        <w:rPr>
          <w:rFonts w:asciiTheme="majorHAnsi" w:hAnsiTheme="majorHAnsi" w:cstheme="majorHAnsi"/>
          <w:noProof/>
        </w:rPr>
        <w:t>ul</w:t>
      </w:r>
      <w:r w:rsidRPr="00967339">
        <w:rPr>
          <w:rFonts w:asciiTheme="majorHAnsi" w:hAnsiTheme="majorHAnsi" w:cstheme="majorHAnsi"/>
          <w:noProof/>
        </w:rPr>
        <w:t xml:space="preserve"> investițional la moment (01.07.2022) nu și-a atins scopul propus și cele 80 de apartamente care urmau a fi repartizate și transmise participanților la </w:t>
      </w:r>
      <w:r w:rsidRPr="005B72B2">
        <w:rPr>
          <w:rFonts w:asciiTheme="majorHAnsi" w:hAnsiTheme="majorHAnsi" w:cstheme="majorHAnsi"/>
          <w:noProof/>
        </w:rPr>
        <w:t>lichidarea consecințelor avariei de la C.A.E. Cernob</w:t>
      </w:r>
      <w:r w:rsidR="00AC075C">
        <w:rPr>
          <w:rFonts w:asciiTheme="majorHAnsi" w:hAnsiTheme="majorHAnsi" w:cstheme="majorHAnsi"/>
          <w:noProof/>
        </w:rPr>
        <w:t>â</w:t>
      </w:r>
      <w:r w:rsidRPr="005B72B2">
        <w:rPr>
          <w:rFonts w:asciiTheme="majorHAnsi" w:hAnsiTheme="majorHAnsi" w:cstheme="majorHAnsi"/>
          <w:noProof/>
        </w:rPr>
        <w:t>l se alfă în posesia statului și degradează</w:t>
      </w:r>
      <w:r w:rsidR="00CF187C" w:rsidRPr="005B72B2">
        <w:rPr>
          <w:rFonts w:asciiTheme="majorHAnsi" w:hAnsiTheme="majorHAnsi" w:cstheme="majorHAnsi"/>
          <w:noProof/>
        </w:rPr>
        <w:t>,</w:t>
      </w:r>
      <w:r w:rsidRPr="005B72B2">
        <w:rPr>
          <w:rFonts w:asciiTheme="majorHAnsi" w:hAnsiTheme="majorHAnsi" w:cstheme="majorHAnsi"/>
          <w:noProof/>
        </w:rPr>
        <w:t xml:space="preserve"> ceea ce denotă </w:t>
      </w:r>
      <w:r w:rsidR="0046271A" w:rsidRPr="005B72B2">
        <w:rPr>
          <w:rFonts w:asciiTheme="majorHAnsi" w:hAnsiTheme="majorHAnsi" w:cstheme="majorHAnsi"/>
          <w:noProof/>
        </w:rPr>
        <w:t>că</w:t>
      </w:r>
      <w:r w:rsidRPr="005B72B2">
        <w:rPr>
          <w:rFonts w:asciiTheme="majorHAnsi" w:hAnsiTheme="majorHAnsi" w:cstheme="majorHAnsi"/>
          <w:noProof/>
        </w:rPr>
        <w:t xml:space="preserve"> </w:t>
      </w:r>
      <w:r w:rsidR="005B72B2" w:rsidRPr="005B72B2">
        <w:rPr>
          <w:rFonts w:asciiTheme="majorHAnsi" w:hAnsiTheme="majorHAnsi" w:cstheme="majorHAnsi"/>
          <w:noProof/>
        </w:rPr>
        <w:t>autoritățile implicate în acest proces nu au asigurat</w:t>
      </w:r>
      <w:r w:rsidR="005B72B2">
        <w:rPr>
          <w:rFonts w:asciiTheme="majorHAnsi" w:hAnsiTheme="majorHAnsi" w:cstheme="majorHAnsi"/>
          <w:noProof/>
        </w:rPr>
        <w:t xml:space="preserve"> monitorizarea, controlul și executarea acestui contract, ceea ce</w:t>
      </w:r>
      <w:r w:rsidR="0046271A">
        <w:rPr>
          <w:rFonts w:asciiTheme="majorHAnsi" w:hAnsiTheme="majorHAnsi" w:cstheme="majorHAnsi"/>
          <w:noProof/>
        </w:rPr>
        <w:t xml:space="preserve"> </w:t>
      </w:r>
      <w:r w:rsidR="005B72B2">
        <w:rPr>
          <w:rFonts w:asciiTheme="majorHAnsi" w:hAnsiTheme="majorHAnsi" w:cstheme="majorHAnsi"/>
          <w:noProof/>
        </w:rPr>
        <w:t xml:space="preserve">a determinat </w:t>
      </w:r>
      <w:r w:rsidRPr="00967339">
        <w:rPr>
          <w:rFonts w:asciiTheme="majorHAnsi" w:hAnsiTheme="majorHAnsi" w:cstheme="majorHAnsi"/>
          <w:noProof/>
        </w:rPr>
        <w:t xml:space="preserve">irosirea mijloacelor publice suplimentare </w:t>
      </w:r>
      <w:r w:rsidR="00E8305C">
        <w:rPr>
          <w:rFonts w:asciiTheme="majorHAnsi" w:hAnsiTheme="majorHAnsi" w:cstheme="majorHAnsi"/>
          <w:noProof/>
        </w:rPr>
        <w:t>pentru</w:t>
      </w:r>
      <w:r w:rsidRPr="00967339">
        <w:rPr>
          <w:rFonts w:asciiTheme="majorHAnsi" w:hAnsiTheme="majorHAnsi" w:cstheme="majorHAnsi"/>
          <w:noProof/>
        </w:rPr>
        <w:t xml:space="preserve"> </w:t>
      </w:r>
      <w:r w:rsidR="00F46401" w:rsidRPr="00967339">
        <w:rPr>
          <w:rFonts w:asciiTheme="majorHAnsi" w:hAnsiTheme="majorHAnsi" w:cstheme="majorHAnsi"/>
          <w:noProof/>
        </w:rPr>
        <w:t xml:space="preserve">reparație și </w:t>
      </w:r>
      <w:r w:rsidR="0042626D">
        <w:rPr>
          <w:rFonts w:asciiTheme="majorHAnsi" w:hAnsiTheme="majorHAnsi" w:cstheme="majorHAnsi"/>
          <w:noProof/>
        </w:rPr>
        <w:t>la moment suportă cheltuieli de pază în sumă de 184,5 mii lei</w:t>
      </w:r>
      <w:r w:rsidR="00C262F0">
        <w:rPr>
          <w:rFonts w:asciiTheme="majorHAnsi" w:hAnsiTheme="majorHAnsi" w:cstheme="majorHAnsi"/>
          <w:noProof/>
        </w:rPr>
        <w:t xml:space="preserve"> în anul 2021 și conturează riscuri de suportare </w:t>
      </w:r>
      <w:r w:rsidR="00442979">
        <w:rPr>
          <w:rFonts w:asciiTheme="majorHAnsi" w:hAnsiTheme="majorHAnsi" w:cstheme="majorHAnsi"/>
          <w:noProof/>
        </w:rPr>
        <w:t>în continuare a</w:t>
      </w:r>
      <w:r w:rsidR="00C262F0">
        <w:rPr>
          <w:rFonts w:asciiTheme="majorHAnsi" w:hAnsiTheme="majorHAnsi" w:cstheme="majorHAnsi"/>
          <w:noProof/>
        </w:rPr>
        <w:t xml:space="preserve"> cheltuieli</w:t>
      </w:r>
      <w:r w:rsidR="00442979">
        <w:rPr>
          <w:rFonts w:asciiTheme="majorHAnsi" w:hAnsiTheme="majorHAnsi" w:cstheme="majorHAnsi"/>
          <w:noProof/>
        </w:rPr>
        <w:t>lor</w:t>
      </w:r>
      <w:r w:rsidR="00C262F0">
        <w:rPr>
          <w:rFonts w:asciiTheme="majorHAnsi" w:hAnsiTheme="majorHAnsi" w:cstheme="majorHAnsi"/>
          <w:noProof/>
        </w:rPr>
        <w:t xml:space="preserve"> suplimentare</w:t>
      </w:r>
      <w:r w:rsidR="00F46401" w:rsidRPr="00967339">
        <w:rPr>
          <w:rFonts w:asciiTheme="majorHAnsi" w:hAnsiTheme="majorHAnsi" w:cstheme="majorHAnsi"/>
          <w:noProof/>
        </w:rPr>
        <w:t>.</w:t>
      </w:r>
      <w:r w:rsidRPr="00967339">
        <w:rPr>
          <w:rFonts w:asciiTheme="majorHAnsi" w:hAnsiTheme="majorHAnsi" w:cstheme="majorHAnsi"/>
          <w:noProof/>
        </w:rPr>
        <w:t xml:space="preserve"> </w:t>
      </w:r>
    </w:p>
    <w:p w14:paraId="13B11968" w14:textId="77777777" w:rsidR="00A773D3" w:rsidRPr="00967339" w:rsidRDefault="00A773D3" w:rsidP="00023A8F">
      <w:pPr>
        <w:spacing w:line="276" w:lineRule="auto"/>
        <w:jc w:val="both"/>
        <w:rPr>
          <w:rFonts w:asciiTheme="majorHAnsi" w:hAnsiTheme="majorHAnsi" w:cstheme="majorHAnsi"/>
          <w:noProof/>
        </w:rPr>
      </w:pPr>
    </w:p>
    <w:p w14:paraId="0C28617B" w14:textId="583481EF" w:rsidR="0026123B" w:rsidRPr="00967339" w:rsidRDefault="00F4228E" w:rsidP="00023A8F">
      <w:pPr>
        <w:pStyle w:val="a3"/>
        <w:numPr>
          <w:ilvl w:val="1"/>
          <w:numId w:val="28"/>
        </w:numPr>
        <w:spacing w:line="276" w:lineRule="auto"/>
        <w:ind w:left="0" w:firstLine="0"/>
        <w:jc w:val="both"/>
        <w:rPr>
          <w:rFonts w:asciiTheme="majorHAnsi" w:hAnsiTheme="majorHAnsi" w:cstheme="majorHAnsi"/>
          <w:noProof/>
        </w:rPr>
      </w:pPr>
      <w:r>
        <w:rPr>
          <w:rFonts w:asciiTheme="majorHAnsi" w:hAnsiTheme="majorHAnsi" w:cstheme="majorHAnsi"/>
          <w:noProof/>
        </w:rPr>
        <w:t>D</w:t>
      </w:r>
      <w:r w:rsidR="00E8305C">
        <w:rPr>
          <w:rFonts w:asciiTheme="majorHAnsi" w:hAnsiTheme="majorHAnsi" w:cstheme="majorHAnsi"/>
          <w:noProof/>
        </w:rPr>
        <w:t>e</w:t>
      </w:r>
      <w:r w:rsidR="00915F8A" w:rsidRPr="00967339">
        <w:rPr>
          <w:rFonts w:asciiTheme="majorHAnsi" w:hAnsiTheme="majorHAnsi" w:cstheme="majorHAnsi"/>
          <w:noProof/>
        </w:rPr>
        <w:t xml:space="preserve">și </w:t>
      </w:r>
      <w:r>
        <w:rPr>
          <w:rFonts w:asciiTheme="majorHAnsi" w:hAnsiTheme="majorHAnsi" w:cstheme="majorHAnsi"/>
          <w:noProof/>
        </w:rPr>
        <w:t>m</w:t>
      </w:r>
      <w:r w:rsidRPr="00967339">
        <w:rPr>
          <w:rFonts w:asciiTheme="majorHAnsi" w:hAnsiTheme="majorHAnsi" w:cstheme="majorHAnsi"/>
          <w:noProof/>
        </w:rPr>
        <w:t xml:space="preserve">inisterul </w:t>
      </w:r>
      <w:r w:rsidR="00915F8A" w:rsidRPr="00967339">
        <w:rPr>
          <w:rFonts w:asciiTheme="majorHAnsi" w:hAnsiTheme="majorHAnsi" w:cstheme="majorHAnsi"/>
          <w:noProof/>
        </w:rPr>
        <w:t>a dispus măsuri de evaluare a investițiilor capitale efectuate</w:t>
      </w:r>
      <w:r w:rsidR="00A773D3" w:rsidRPr="00967339">
        <w:rPr>
          <w:rFonts w:asciiTheme="majorHAnsi" w:hAnsiTheme="majorHAnsi" w:cstheme="majorHAnsi"/>
          <w:noProof/>
        </w:rPr>
        <w:t xml:space="preserve"> </w:t>
      </w:r>
      <w:r>
        <w:rPr>
          <w:rFonts w:asciiTheme="majorHAnsi" w:hAnsiTheme="majorHAnsi" w:cstheme="majorHAnsi"/>
          <w:noProof/>
        </w:rPr>
        <w:t xml:space="preserve">și valorificate </w:t>
      </w:r>
      <w:r w:rsidR="00A773D3" w:rsidRPr="00967339">
        <w:rPr>
          <w:rFonts w:asciiTheme="majorHAnsi" w:hAnsiTheme="majorHAnsi" w:cstheme="majorHAnsi"/>
          <w:noProof/>
        </w:rPr>
        <w:t xml:space="preserve">în sumă </w:t>
      </w:r>
      <w:r w:rsidR="00A773D3" w:rsidRPr="00C055BB">
        <w:rPr>
          <w:rFonts w:asciiTheme="majorHAnsi" w:hAnsiTheme="majorHAnsi" w:cstheme="majorHAnsi"/>
          <w:noProof/>
        </w:rPr>
        <w:t xml:space="preserve">de </w:t>
      </w:r>
      <w:r w:rsidR="006D5FFE">
        <w:rPr>
          <w:rFonts w:asciiTheme="majorHAnsi" w:hAnsiTheme="majorHAnsi" w:cstheme="majorHAnsi"/>
          <w:noProof/>
        </w:rPr>
        <w:t>81</w:t>
      </w:r>
      <w:r w:rsidR="004232EA">
        <w:rPr>
          <w:rFonts w:asciiTheme="majorHAnsi" w:hAnsiTheme="majorHAnsi" w:cstheme="majorHAnsi"/>
          <w:noProof/>
        </w:rPr>
        <w:t>.</w:t>
      </w:r>
      <w:r w:rsidR="00C055BB" w:rsidRPr="00C055BB">
        <w:rPr>
          <w:rFonts w:asciiTheme="majorHAnsi" w:hAnsiTheme="majorHAnsi" w:cstheme="majorHAnsi"/>
          <w:noProof/>
        </w:rPr>
        <w:t xml:space="preserve">150,6 mii </w:t>
      </w:r>
      <w:r w:rsidR="00A773D3" w:rsidRPr="00C055BB">
        <w:rPr>
          <w:rFonts w:asciiTheme="majorHAnsi" w:hAnsiTheme="majorHAnsi" w:cstheme="majorHAnsi"/>
          <w:noProof/>
        </w:rPr>
        <w:t>lei pentru</w:t>
      </w:r>
      <w:r w:rsidR="00A773D3" w:rsidRPr="00967339">
        <w:rPr>
          <w:rFonts w:asciiTheme="majorHAnsi" w:hAnsiTheme="majorHAnsi" w:cstheme="majorHAnsi"/>
          <w:noProof/>
        </w:rPr>
        <w:t xml:space="preserve"> construcția unui bloc al Spitalului de Ftiziopneumologie din sat</w:t>
      </w:r>
      <w:r w:rsidR="00915F8A" w:rsidRPr="00967339">
        <w:rPr>
          <w:rFonts w:asciiTheme="majorHAnsi" w:hAnsiTheme="majorHAnsi" w:cstheme="majorHAnsi"/>
          <w:noProof/>
        </w:rPr>
        <w:t xml:space="preserve">ul Vorniceni, raionul Strășeni, </w:t>
      </w:r>
      <w:r>
        <w:rPr>
          <w:rFonts w:asciiTheme="majorHAnsi" w:hAnsiTheme="majorHAnsi" w:cstheme="majorHAnsi"/>
          <w:noProof/>
        </w:rPr>
        <w:t xml:space="preserve">până în prezent (01.07.2022) </w:t>
      </w:r>
      <w:r w:rsidR="00915F8A" w:rsidRPr="00967339">
        <w:rPr>
          <w:rFonts w:asciiTheme="majorHAnsi" w:hAnsiTheme="majorHAnsi" w:cstheme="majorHAnsi"/>
          <w:noProof/>
        </w:rPr>
        <w:t>imobilul nu este funcți</w:t>
      </w:r>
      <w:r w:rsidR="00D21262">
        <w:rPr>
          <w:rFonts w:asciiTheme="majorHAnsi" w:hAnsiTheme="majorHAnsi" w:cstheme="majorHAnsi"/>
          <w:noProof/>
        </w:rPr>
        <w:t>onal. Totodată, evaluările teh</w:t>
      </w:r>
      <w:r w:rsidR="00915F8A" w:rsidRPr="00967339">
        <w:rPr>
          <w:rFonts w:asciiTheme="majorHAnsi" w:hAnsiTheme="majorHAnsi" w:cstheme="majorHAnsi"/>
          <w:noProof/>
        </w:rPr>
        <w:t>nice</w:t>
      </w:r>
      <w:r w:rsidR="00D2230D">
        <w:rPr>
          <w:rStyle w:val="ad"/>
          <w:rFonts w:asciiTheme="majorHAnsi" w:hAnsiTheme="majorHAnsi" w:cstheme="majorHAnsi"/>
          <w:noProof/>
        </w:rPr>
        <w:footnoteReference w:id="21"/>
      </w:r>
      <w:r w:rsidR="00915F8A" w:rsidRPr="00967339">
        <w:rPr>
          <w:rFonts w:asciiTheme="majorHAnsi" w:hAnsiTheme="majorHAnsi" w:cstheme="majorHAnsi"/>
          <w:noProof/>
        </w:rPr>
        <w:t xml:space="preserve"> realizat</w:t>
      </w:r>
      <w:r w:rsidR="005E0907">
        <w:rPr>
          <w:rFonts w:asciiTheme="majorHAnsi" w:hAnsiTheme="majorHAnsi" w:cstheme="majorHAnsi"/>
          <w:noProof/>
        </w:rPr>
        <w:t>e pe parcursul anului 2021 au c</w:t>
      </w:r>
      <w:r w:rsidR="00915F8A" w:rsidRPr="00967339">
        <w:rPr>
          <w:rFonts w:asciiTheme="majorHAnsi" w:hAnsiTheme="majorHAnsi" w:cstheme="majorHAnsi"/>
          <w:noProof/>
        </w:rPr>
        <w:t xml:space="preserve">oncluzionat că </w:t>
      </w:r>
      <w:r w:rsidR="004232EA">
        <w:rPr>
          <w:rFonts w:asciiTheme="majorHAnsi" w:hAnsiTheme="majorHAnsi" w:cstheme="majorHAnsi"/>
          <w:noProof/>
        </w:rPr>
        <w:t>„</w:t>
      </w:r>
      <w:r w:rsidR="00915F8A" w:rsidRPr="00967339">
        <w:rPr>
          <w:rFonts w:asciiTheme="majorHAnsi" w:hAnsiTheme="majorHAnsi" w:cstheme="majorHAnsi"/>
          <w:i/>
          <w:noProof/>
        </w:rPr>
        <w:t>Structura de rezistenț</w:t>
      </w:r>
      <w:r w:rsidR="004232EA">
        <w:rPr>
          <w:rFonts w:asciiTheme="majorHAnsi" w:hAnsiTheme="majorHAnsi" w:cstheme="majorHAnsi"/>
          <w:i/>
          <w:noProof/>
        </w:rPr>
        <w:t>ă</w:t>
      </w:r>
      <w:r w:rsidR="00915F8A" w:rsidRPr="00967339">
        <w:rPr>
          <w:rFonts w:asciiTheme="majorHAnsi" w:hAnsiTheme="majorHAnsi" w:cstheme="majorHAnsi"/>
          <w:i/>
          <w:noProof/>
        </w:rPr>
        <w:t xml:space="preserve"> a clădirii nu corespunde cerințelor actuale ale normativelor în vigoare</w:t>
      </w:r>
      <w:r w:rsidR="00915F8A" w:rsidRPr="00967339">
        <w:rPr>
          <w:rFonts w:asciiTheme="majorHAnsi" w:hAnsiTheme="majorHAnsi" w:cstheme="majorHAnsi"/>
          <w:noProof/>
        </w:rPr>
        <w:t>”</w:t>
      </w:r>
      <w:r w:rsidR="004232EA">
        <w:rPr>
          <w:rFonts w:asciiTheme="majorHAnsi" w:hAnsiTheme="majorHAnsi" w:cstheme="majorHAnsi"/>
          <w:noProof/>
        </w:rPr>
        <w:t>,</w:t>
      </w:r>
      <w:r w:rsidR="00915F8A" w:rsidRPr="00967339">
        <w:rPr>
          <w:rFonts w:asciiTheme="majorHAnsi" w:hAnsiTheme="majorHAnsi" w:cstheme="majorHAnsi"/>
          <w:noProof/>
        </w:rPr>
        <w:t xml:space="preserve"> dar nu au fost stipulate măsuri concrete de consolidare a construcției. Această situație denotă că proiect</w:t>
      </w:r>
      <w:r w:rsidR="004232EA">
        <w:rPr>
          <w:rFonts w:asciiTheme="majorHAnsi" w:hAnsiTheme="majorHAnsi" w:cstheme="majorHAnsi"/>
          <w:noProof/>
        </w:rPr>
        <w:t>ul</w:t>
      </w:r>
      <w:r w:rsidR="00915F8A" w:rsidRPr="00967339">
        <w:rPr>
          <w:rFonts w:asciiTheme="majorHAnsi" w:hAnsiTheme="majorHAnsi" w:cstheme="majorHAnsi"/>
          <w:noProof/>
        </w:rPr>
        <w:t xml:space="preserve"> investițional nu și-a atins scopul propus, ceea ce </w:t>
      </w:r>
      <w:r w:rsidR="00E8305C">
        <w:rPr>
          <w:rFonts w:asciiTheme="majorHAnsi" w:hAnsiTheme="majorHAnsi" w:cstheme="majorHAnsi"/>
          <w:noProof/>
        </w:rPr>
        <w:t>atestă</w:t>
      </w:r>
      <w:r w:rsidR="00915F8A" w:rsidRPr="00967339">
        <w:rPr>
          <w:rFonts w:asciiTheme="majorHAnsi" w:hAnsiTheme="majorHAnsi" w:cstheme="majorHAnsi"/>
          <w:noProof/>
        </w:rPr>
        <w:t xml:space="preserve"> că pe parcurul anilor 2015-2021 inacțiunile conducerii ministerului au determinat risipa </w:t>
      </w:r>
      <w:r w:rsidR="006B29ED" w:rsidRPr="00967339">
        <w:rPr>
          <w:rFonts w:asciiTheme="majorHAnsi" w:hAnsiTheme="majorHAnsi" w:cstheme="majorHAnsi"/>
          <w:noProof/>
        </w:rPr>
        <w:t>mijloacelor financiare publice (</w:t>
      </w:r>
      <w:r w:rsidR="006D5FFE">
        <w:rPr>
          <w:rFonts w:asciiTheme="majorHAnsi" w:hAnsiTheme="majorHAnsi" w:cstheme="majorHAnsi"/>
          <w:noProof/>
        </w:rPr>
        <w:t>81</w:t>
      </w:r>
      <w:r w:rsidR="004232EA">
        <w:rPr>
          <w:rFonts w:asciiTheme="majorHAnsi" w:hAnsiTheme="majorHAnsi" w:cstheme="majorHAnsi"/>
          <w:noProof/>
        </w:rPr>
        <w:t>.</w:t>
      </w:r>
      <w:r w:rsidR="00C055BB" w:rsidRPr="00C055BB">
        <w:rPr>
          <w:rFonts w:asciiTheme="majorHAnsi" w:hAnsiTheme="majorHAnsi" w:cstheme="majorHAnsi"/>
          <w:noProof/>
        </w:rPr>
        <w:t>150,6 mii lei</w:t>
      </w:r>
      <w:r w:rsidR="00C055BB">
        <w:rPr>
          <w:rFonts w:asciiTheme="majorHAnsi" w:hAnsiTheme="majorHAnsi" w:cstheme="majorHAnsi"/>
          <w:noProof/>
        </w:rPr>
        <w:t>)</w:t>
      </w:r>
      <w:r w:rsidR="006B29ED" w:rsidRPr="00967339">
        <w:rPr>
          <w:rFonts w:asciiTheme="majorHAnsi" w:hAnsiTheme="majorHAnsi" w:cstheme="majorHAnsi"/>
          <w:noProof/>
        </w:rPr>
        <w:t xml:space="preserve"> alocate pentru ace</w:t>
      </w:r>
      <w:r w:rsidR="004232EA">
        <w:rPr>
          <w:rFonts w:asciiTheme="majorHAnsi" w:hAnsiTheme="majorHAnsi" w:cstheme="majorHAnsi"/>
          <w:noProof/>
        </w:rPr>
        <w:t>a</w:t>
      </w:r>
      <w:r w:rsidR="006B29ED" w:rsidRPr="00967339">
        <w:rPr>
          <w:rFonts w:asciiTheme="majorHAnsi" w:hAnsiTheme="majorHAnsi" w:cstheme="majorHAnsi"/>
          <w:noProof/>
        </w:rPr>
        <w:t>stă construcție.</w:t>
      </w:r>
    </w:p>
    <w:p w14:paraId="04307617" w14:textId="77777777" w:rsidR="00A075FD" w:rsidRPr="00967339" w:rsidRDefault="00A075FD" w:rsidP="00023A8F">
      <w:pPr>
        <w:pStyle w:val="a3"/>
        <w:spacing w:line="276" w:lineRule="auto"/>
        <w:ind w:left="0"/>
        <w:jc w:val="both"/>
        <w:rPr>
          <w:rFonts w:asciiTheme="majorHAnsi" w:hAnsiTheme="majorHAnsi" w:cstheme="majorHAnsi"/>
          <w:noProof/>
        </w:rPr>
      </w:pPr>
    </w:p>
    <w:p w14:paraId="522F11FE" w14:textId="0DE810E8" w:rsidR="00D511C7" w:rsidRPr="00967339" w:rsidRDefault="008912FC" w:rsidP="00023A8F">
      <w:pPr>
        <w:pStyle w:val="a3"/>
        <w:numPr>
          <w:ilvl w:val="1"/>
          <w:numId w:val="28"/>
        </w:numPr>
        <w:spacing w:line="276" w:lineRule="auto"/>
        <w:ind w:left="0" w:firstLine="0"/>
        <w:jc w:val="both"/>
        <w:rPr>
          <w:rFonts w:asciiTheme="majorHAnsi" w:hAnsiTheme="majorHAnsi" w:cstheme="majorHAnsi"/>
          <w:noProof/>
        </w:rPr>
      </w:pPr>
      <w:r w:rsidRPr="008912FC">
        <w:rPr>
          <w:rFonts w:asciiTheme="majorHAnsi" w:hAnsiTheme="majorHAnsi" w:cstheme="majorHAnsi"/>
          <w:noProof/>
        </w:rPr>
        <w:t>A</w:t>
      </w:r>
      <w:r w:rsidR="00D511C7" w:rsidRPr="008912FC">
        <w:rPr>
          <w:rFonts w:asciiTheme="majorHAnsi" w:hAnsiTheme="majorHAnsi" w:cstheme="majorHAnsi"/>
          <w:noProof/>
        </w:rPr>
        <w:t xml:space="preserve">tragem atenția că </w:t>
      </w:r>
      <w:r w:rsidR="003F2D5C" w:rsidRPr="008912FC">
        <w:rPr>
          <w:rFonts w:asciiTheme="majorHAnsi" w:hAnsiTheme="majorHAnsi" w:cstheme="majorHAnsi"/>
          <w:noProof/>
        </w:rPr>
        <w:t xml:space="preserve">în lipsa conlucrării autorităților publice </w:t>
      </w:r>
      <w:r w:rsidRPr="008912FC">
        <w:rPr>
          <w:rFonts w:asciiTheme="majorHAnsi" w:hAnsiTheme="majorHAnsi" w:cstheme="majorHAnsi"/>
          <w:noProof/>
        </w:rPr>
        <w:t>la capitolul gestion</w:t>
      </w:r>
      <w:r w:rsidR="00F4228E">
        <w:rPr>
          <w:rFonts w:asciiTheme="majorHAnsi" w:hAnsiTheme="majorHAnsi" w:cstheme="majorHAnsi"/>
          <w:noProof/>
        </w:rPr>
        <w:t>area</w:t>
      </w:r>
      <w:r w:rsidRPr="008912FC">
        <w:rPr>
          <w:rFonts w:asciiTheme="majorHAnsi" w:hAnsiTheme="majorHAnsi" w:cstheme="majorHAnsi"/>
          <w:noProof/>
        </w:rPr>
        <w:t xml:space="preserve"> patrimoniului public</w:t>
      </w:r>
      <w:r w:rsidR="005B49E7">
        <w:rPr>
          <w:rFonts w:asciiTheme="majorHAnsi" w:hAnsiTheme="majorHAnsi" w:cstheme="majorHAnsi"/>
          <w:noProof/>
        </w:rPr>
        <w:t>,</w:t>
      </w:r>
      <w:r w:rsidRPr="008912FC">
        <w:rPr>
          <w:rFonts w:asciiTheme="majorHAnsi" w:hAnsiTheme="majorHAnsi" w:cstheme="majorHAnsi"/>
          <w:noProof/>
        </w:rPr>
        <w:t xml:space="preserve"> se determină riscul</w:t>
      </w:r>
      <w:r>
        <w:rPr>
          <w:rFonts w:asciiTheme="majorHAnsi" w:hAnsiTheme="majorHAnsi" w:cstheme="majorHAnsi"/>
          <w:noProof/>
        </w:rPr>
        <w:t xml:space="preserve"> de</w:t>
      </w:r>
      <w:r w:rsidRPr="00967339">
        <w:rPr>
          <w:rFonts w:asciiTheme="majorHAnsi" w:hAnsiTheme="majorHAnsi" w:cstheme="majorHAnsi"/>
          <w:noProof/>
        </w:rPr>
        <w:t xml:space="preserve"> pierdere at</w:t>
      </w:r>
      <w:r w:rsidR="00F4228E">
        <w:rPr>
          <w:rFonts w:asciiTheme="majorHAnsi" w:hAnsiTheme="majorHAnsi" w:cstheme="majorHAnsi"/>
          <w:noProof/>
        </w:rPr>
        <w:t>â</w:t>
      </w:r>
      <w:r w:rsidRPr="00967339">
        <w:rPr>
          <w:rFonts w:asciiTheme="majorHAnsi" w:hAnsiTheme="majorHAnsi" w:cstheme="majorHAnsi"/>
          <w:noProof/>
        </w:rPr>
        <w:t>t a</w:t>
      </w:r>
      <w:r>
        <w:rPr>
          <w:rFonts w:asciiTheme="majorHAnsi" w:hAnsiTheme="majorHAnsi" w:cstheme="majorHAnsi"/>
          <w:noProof/>
        </w:rPr>
        <w:t xml:space="preserve"> unei</w:t>
      </w:r>
      <w:r w:rsidRPr="00967339">
        <w:rPr>
          <w:rFonts w:asciiTheme="majorHAnsi" w:hAnsiTheme="majorHAnsi" w:cstheme="majorHAnsi"/>
          <w:noProof/>
        </w:rPr>
        <w:t xml:space="preserve"> clădiri monument istoric</w:t>
      </w:r>
      <w:r w:rsidR="00F4228E">
        <w:rPr>
          <w:rFonts w:asciiTheme="majorHAnsi" w:hAnsiTheme="majorHAnsi" w:cstheme="majorHAnsi"/>
          <w:noProof/>
        </w:rPr>
        <w:t>,</w:t>
      </w:r>
      <w:r w:rsidRPr="00967339">
        <w:rPr>
          <w:rFonts w:asciiTheme="majorHAnsi" w:hAnsiTheme="majorHAnsi" w:cstheme="majorHAnsi"/>
          <w:noProof/>
        </w:rPr>
        <w:t xml:space="preserve"> </w:t>
      </w:r>
      <w:r>
        <w:rPr>
          <w:rFonts w:asciiTheme="majorHAnsi" w:hAnsiTheme="majorHAnsi" w:cstheme="majorHAnsi"/>
          <w:noProof/>
        </w:rPr>
        <w:t>c</w:t>
      </w:r>
      <w:r w:rsidR="00F4228E">
        <w:rPr>
          <w:rFonts w:asciiTheme="majorHAnsi" w:hAnsiTheme="majorHAnsi" w:cstheme="majorHAnsi"/>
          <w:noProof/>
        </w:rPr>
        <w:t>â</w:t>
      </w:r>
      <w:r>
        <w:rPr>
          <w:rFonts w:asciiTheme="majorHAnsi" w:hAnsiTheme="majorHAnsi" w:cstheme="majorHAnsi"/>
          <w:noProof/>
        </w:rPr>
        <w:t>t</w:t>
      </w:r>
      <w:r w:rsidRPr="00967339">
        <w:rPr>
          <w:rFonts w:asciiTheme="majorHAnsi" w:hAnsiTheme="majorHAnsi" w:cstheme="majorHAnsi"/>
          <w:noProof/>
        </w:rPr>
        <w:t xml:space="preserve"> și a </w:t>
      </w:r>
      <w:r w:rsidRPr="005174A7">
        <w:rPr>
          <w:rFonts w:asciiTheme="majorHAnsi" w:hAnsiTheme="majorHAnsi" w:cstheme="majorHAnsi"/>
          <w:noProof/>
        </w:rPr>
        <w:t>terenului care se află în zonă centrală a mun.Chișinău,</w:t>
      </w:r>
      <w:r>
        <w:rPr>
          <w:rFonts w:asciiTheme="majorHAnsi" w:hAnsiTheme="majorHAnsi" w:cstheme="majorHAnsi"/>
          <w:noProof/>
        </w:rPr>
        <w:t xml:space="preserve"> favorabil din punct de vedere economic</w:t>
      </w:r>
      <w:r w:rsidR="003F2D5C" w:rsidRPr="008912FC">
        <w:rPr>
          <w:rFonts w:asciiTheme="majorHAnsi" w:hAnsiTheme="majorHAnsi" w:cstheme="majorHAnsi"/>
          <w:noProof/>
        </w:rPr>
        <w:t>.</w:t>
      </w:r>
      <w:r w:rsidR="003F2D5C">
        <w:rPr>
          <w:rFonts w:asciiTheme="majorHAnsi" w:hAnsiTheme="majorHAnsi" w:cstheme="majorHAnsi"/>
          <w:noProof/>
        </w:rPr>
        <w:t xml:space="preserve"> </w:t>
      </w:r>
      <w:r w:rsidR="00D511C7" w:rsidRPr="00967339">
        <w:rPr>
          <w:rFonts w:asciiTheme="majorHAnsi" w:hAnsiTheme="majorHAnsi" w:cstheme="majorHAnsi"/>
          <w:noProof/>
        </w:rPr>
        <w:t>Ministerul Sănătății</w:t>
      </w:r>
      <w:r w:rsidR="00F4228E">
        <w:rPr>
          <w:rFonts w:asciiTheme="majorHAnsi" w:hAnsiTheme="majorHAnsi" w:cstheme="majorHAnsi"/>
          <w:noProof/>
        </w:rPr>
        <w:t>,</w:t>
      </w:r>
      <w:r w:rsidR="00D511C7" w:rsidRPr="00967339">
        <w:rPr>
          <w:rFonts w:asciiTheme="majorHAnsi" w:hAnsiTheme="majorHAnsi" w:cstheme="majorHAnsi"/>
          <w:noProof/>
        </w:rPr>
        <w:t xml:space="preserve"> Muncii și Protecției Sociale </w:t>
      </w:r>
      <w:r w:rsidR="00D511C7" w:rsidRPr="00C855EB">
        <w:rPr>
          <w:rFonts w:asciiTheme="majorHAnsi" w:hAnsiTheme="majorHAnsi" w:cstheme="majorHAnsi"/>
          <w:noProof/>
        </w:rPr>
        <w:t>dispune de patrimoniu, clădirea amplasată în</w:t>
      </w:r>
      <w:r w:rsidR="00D511C7" w:rsidRPr="00967339">
        <w:rPr>
          <w:rFonts w:asciiTheme="majorHAnsi" w:hAnsiTheme="majorHAnsi" w:cstheme="majorHAnsi"/>
          <w:noProof/>
        </w:rPr>
        <w:t xml:space="preserve"> mun.Chişinău, str.Vasile Alecsandri nr.80 A, care este atribuit monumentelor istorice de categorie locală</w:t>
      </w:r>
      <w:r w:rsidR="00D511C7" w:rsidRPr="00553251">
        <w:rPr>
          <w:rStyle w:val="ad"/>
          <w:rFonts w:asciiTheme="majorHAnsi" w:hAnsiTheme="majorHAnsi" w:cstheme="majorHAnsi"/>
          <w:noProof/>
        </w:rPr>
        <w:footnoteReference w:id="22"/>
      </w:r>
      <w:r w:rsidR="00D511C7" w:rsidRPr="00553251">
        <w:rPr>
          <w:rFonts w:asciiTheme="majorHAnsi" w:hAnsiTheme="majorHAnsi" w:cstheme="majorHAnsi"/>
          <w:noProof/>
        </w:rPr>
        <w:t>.</w:t>
      </w:r>
      <w:r w:rsidR="00D511C7" w:rsidRPr="00967339">
        <w:rPr>
          <w:rFonts w:asciiTheme="majorHAnsi" w:hAnsiTheme="majorHAnsi" w:cstheme="majorHAnsi"/>
          <w:noProof/>
        </w:rPr>
        <w:t xml:space="preserve"> De menționat că</w:t>
      </w:r>
      <w:r w:rsidR="00B272D6">
        <w:rPr>
          <w:rFonts w:asciiTheme="majorHAnsi" w:hAnsiTheme="majorHAnsi" w:cstheme="majorHAnsi"/>
          <w:noProof/>
        </w:rPr>
        <w:t>,</w:t>
      </w:r>
      <w:r w:rsidR="00D511C7" w:rsidRPr="00967339">
        <w:rPr>
          <w:rFonts w:asciiTheme="majorHAnsi" w:hAnsiTheme="majorHAnsi" w:cstheme="majorHAnsi"/>
          <w:noProof/>
        </w:rPr>
        <w:t xml:space="preserve"> în scopul executării prevederilor </w:t>
      </w:r>
      <w:r w:rsidR="00B272D6">
        <w:rPr>
          <w:rFonts w:asciiTheme="majorHAnsi" w:hAnsiTheme="majorHAnsi" w:cstheme="majorHAnsi"/>
          <w:noProof/>
        </w:rPr>
        <w:t xml:space="preserve">din </w:t>
      </w:r>
      <w:r w:rsidR="00B272D6" w:rsidRPr="00DF4ED4">
        <w:rPr>
          <w:rFonts w:asciiTheme="majorHAnsi" w:hAnsiTheme="majorHAnsi" w:cs="Calibri Light"/>
          <w:noProof/>
          <w:lang w:eastAsia="en-US"/>
        </w:rPr>
        <w:t>H</w:t>
      </w:r>
      <w:r w:rsidR="00B272D6">
        <w:rPr>
          <w:rFonts w:asciiTheme="majorHAnsi" w:hAnsiTheme="majorHAnsi" w:cs="Calibri Light"/>
          <w:noProof/>
          <w:lang w:eastAsia="en-US"/>
        </w:rPr>
        <w:t xml:space="preserve">otărârea </w:t>
      </w:r>
      <w:r w:rsidR="00B272D6" w:rsidRPr="00DF4ED4">
        <w:rPr>
          <w:rFonts w:asciiTheme="majorHAnsi" w:hAnsiTheme="majorHAnsi" w:cs="Calibri Light"/>
          <w:noProof/>
          <w:lang w:eastAsia="en-US"/>
        </w:rPr>
        <w:t>G</w:t>
      </w:r>
      <w:r w:rsidR="00B272D6">
        <w:rPr>
          <w:rFonts w:asciiTheme="majorHAnsi" w:hAnsiTheme="majorHAnsi" w:cs="Calibri Light"/>
          <w:noProof/>
          <w:lang w:eastAsia="en-US"/>
        </w:rPr>
        <w:t>uvernului</w:t>
      </w:r>
      <w:r w:rsidR="00D511C7" w:rsidRPr="00967339">
        <w:rPr>
          <w:rFonts w:asciiTheme="majorHAnsi" w:hAnsiTheme="majorHAnsi" w:cstheme="majorHAnsi"/>
          <w:noProof/>
        </w:rPr>
        <w:t xml:space="preserve"> nr.402/2015</w:t>
      </w:r>
      <w:r w:rsidR="00D511C7" w:rsidRPr="00967339">
        <w:rPr>
          <w:rStyle w:val="ad"/>
          <w:rFonts w:asciiTheme="majorHAnsi" w:hAnsiTheme="majorHAnsi" w:cstheme="majorHAnsi"/>
          <w:noProof/>
        </w:rPr>
        <w:footnoteReference w:id="23"/>
      </w:r>
      <w:r w:rsidR="00B272D6">
        <w:rPr>
          <w:rFonts w:asciiTheme="majorHAnsi" w:hAnsiTheme="majorHAnsi" w:cstheme="majorHAnsi"/>
          <w:noProof/>
        </w:rPr>
        <w:t>,</w:t>
      </w:r>
      <w:r w:rsidR="00D511C7" w:rsidRPr="00967339">
        <w:rPr>
          <w:rFonts w:asciiTheme="majorHAnsi" w:hAnsiTheme="majorHAnsi" w:cstheme="majorHAnsi"/>
          <w:noProof/>
        </w:rPr>
        <w:t xml:space="preserve"> complexul dat a fost transmis din gestiunea Direcţiei generale pentru administrarea clădirilor Guvernului RM</w:t>
      </w:r>
      <w:r w:rsidR="00FF319D" w:rsidRPr="00967339">
        <w:rPr>
          <w:rFonts w:asciiTheme="majorHAnsi" w:hAnsiTheme="majorHAnsi" w:cstheme="majorHAnsi"/>
          <w:noProof/>
        </w:rPr>
        <w:t xml:space="preserve"> în gestiunea fostului Minister </w:t>
      </w:r>
      <w:r w:rsidR="00D511C7" w:rsidRPr="00967339">
        <w:rPr>
          <w:rFonts w:asciiTheme="majorHAnsi" w:hAnsiTheme="majorHAnsi" w:cstheme="majorHAnsi"/>
          <w:noProof/>
        </w:rPr>
        <w:t>al Muncii, Protecţiei Sociale şi Familiei</w:t>
      </w:r>
      <w:r w:rsidR="00B272D6">
        <w:rPr>
          <w:rFonts w:asciiTheme="majorHAnsi" w:hAnsiTheme="majorHAnsi" w:cstheme="majorHAnsi"/>
          <w:noProof/>
        </w:rPr>
        <w:t>,</w:t>
      </w:r>
      <w:r w:rsidR="00D511C7" w:rsidRPr="00967339">
        <w:rPr>
          <w:rFonts w:asciiTheme="majorHAnsi" w:hAnsiTheme="majorHAnsi" w:cstheme="majorHAnsi"/>
          <w:noProof/>
        </w:rPr>
        <w:t xml:space="preserve"> în scopul amplasării Centrului de Asistenţă pentru Copiii Victime şi Martori ai Infracţiunilor.</w:t>
      </w:r>
    </w:p>
    <w:p w14:paraId="72D21B9B" w14:textId="610BFC7E" w:rsidR="00D511C7" w:rsidRPr="00967339" w:rsidRDefault="00D511C7" w:rsidP="00C855EB">
      <w:pPr>
        <w:spacing w:line="276" w:lineRule="auto"/>
        <w:ind w:firstLine="567"/>
        <w:jc w:val="both"/>
        <w:rPr>
          <w:rFonts w:asciiTheme="majorHAnsi" w:hAnsiTheme="majorHAnsi" w:cstheme="majorHAnsi"/>
          <w:noProof/>
        </w:rPr>
      </w:pPr>
      <w:r w:rsidRPr="00967339">
        <w:rPr>
          <w:rFonts w:asciiTheme="majorHAnsi" w:hAnsiTheme="majorHAnsi" w:cstheme="majorHAnsi"/>
          <w:noProof/>
        </w:rPr>
        <w:t xml:space="preserve">Așadar, în prezent se atestă </w:t>
      </w:r>
      <w:r w:rsidR="00E8305C">
        <w:rPr>
          <w:rFonts w:asciiTheme="majorHAnsi" w:hAnsiTheme="majorHAnsi" w:cstheme="majorHAnsi"/>
          <w:noProof/>
        </w:rPr>
        <w:t xml:space="preserve">că </w:t>
      </w:r>
      <w:r w:rsidRPr="00967339">
        <w:rPr>
          <w:rFonts w:asciiTheme="majorHAnsi" w:hAnsiTheme="majorHAnsi" w:cstheme="majorHAnsi"/>
          <w:noProof/>
        </w:rPr>
        <w:t>complexul nu este folosit conform destinație</w:t>
      </w:r>
      <w:r w:rsidR="00FF319D" w:rsidRPr="00967339">
        <w:rPr>
          <w:rFonts w:asciiTheme="majorHAnsi" w:hAnsiTheme="majorHAnsi" w:cstheme="majorHAnsi"/>
          <w:noProof/>
        </w:rPr>
        <w:t>i și indic</w:t>
      </w:r>
      <w:r w:rsidR="00B272D6">
        <w:rPr>
          <w:rFonts w:asciiTheme="majorHAnsi" w:hAnsiTheme="majorHAnsi" w:cstheme="majorHAnsi"/>
          <w:noProof/>
        </w:rPr>
        <w:t>ă</w:t>
      </w:r>
      <w:r w:rsidR="00FF319D" w:rsidRPr="00967339">
        <w:rPr>
          <w:rFonts w:asciiTheme="majorHAnsi" w:hAnsiTheme="majorHAnsi" w:cstheme="majorHAnsi"/>
          <w:noProof/>
        </w:rPr>
        <w:t xml:space="preserve"> un grad î</w:t>
      </w:r>
      <w:r w:rsidRPr="00967339">
        <w:rPr>
          <w:rFonts w:asciiTheme="majorHAnsi" w:hAnsiTheme="majorHAnsi" w:cstheme="majorHAnsi"/>
          <w:noProof/>
        </w:rPr>
        <w:t>nalt de uzură.</w:t>
      </w:r>
    </w:p>
    <w:p w14:paraId="0179FD74" w14:textId="40DFE61A" w:rsidR="00D511C7" w:rsidRPr="00967339" w:rsidRDefault="00D511C7" w:rsidP="00023A8F">
      <w:pPr>
        <w:spacing w:line="276" w:lineRule="auto"/>
        <w:ind w:firstLine="567"/>
        <w:jc w:val="both"/>
        <w:rPr>
          <w:rFonts w:asciiTheme="majorHAnsi" w:eastAsiaTheme="minorEastAsia" w:hAnsiTheme="majorHAnsi" w:cstheme="majorHAnsi"/>
          <w:noProof/>
        </w:rPr>
      </w:pPr>
      <w:r w:rsidRPr="00967339">
        <w:rPr>
          <w:rFonts w:asciiTheme="majorHAnsi" w:eastAsia="Calibri" w:hAnsiTheme="majorHAnsi" w:cstheme="majorHAnsi"/>
          <w:noProof/>
        </w:rPr>
        <w:t xml:space="preserve">La subiectul expus, exemplificăm </w:t>
      </w:r>
      <w:r w:rsidR="00B272D6">
        <w:rPr>
          <w:rFonts w:asciiTheme="majorHAnsi" w:eastAsia="Calibri" w:hAnsiTheme="majorHAnsi" w:cstheme="majorHAnsi"/>
          <w:noProof/>
        </w:rPr>
        <w:t xml:space="preserve">și </w:t>
      </w:r>
      <w:r w:rsidRPr="00967339">
        <w:rPr>
          <w:rFonts w:asciiTheme="majorHAnsi" w:eastAsia="Calibri" w:hAnsiTheme="majorHAnsi" w:cstheme="majorHAnsi"/>
          <w:noProof/>
        </w:rPr>
        <w:t>situația constatată de audit la fața locului,</w:t>
      </w:r>
      <w:r w:rsidRPr="00967339">
        <w:rPr>
          <w:rFonts w:asciiTheme="majorHAnsi" w:hAnsiTheme="majorHAnsi" w:cstheme="majorHAnsi"/>
          <w:noProof/>
        </w:rPr>
        <w:t xml:space="preserve"> și anume </w:t>
      </w:r>
      <w:r w:rsidR="00B272D6">
        <w:rPr>
          <w:rFonts w:asciiTheme="majorHAnsi" w:hAnsiTheme="majorHAnsi" w:cstheme="majorHAnsi"/>
          <w:noProof/>
        </w:rPr>
        <w:t>ocuparea abuzivă a</w:t>
      </w:r>
      <w:r w:rsidR="00B272D6" w:rsidRPr="00967339">
        <w:rPr>
          <w:rFonts w:asciiTheme="majorHAnsi" w:hAnsiTheme="majorHAnsi" w:cstheme="majorHAnsi"/>
          <w:noProof/>
        </w:rPr>
        <w:t xml:space="preserve"> </w:t>
      </w:r>
      <w:r w:rsidRPr="00967339">
        <w:rPr>
          <w:rFonts w:asciiTheme="majorHAnsi" w:hAnsiTheme="majorHAnsi" w:cstheme="majorHAnsi"/>
          <w:noProof/>
        </w:rPr>
        <w:t>spațiului aferen</w:t>
      </w:r>
      <w:r w:rsidR="00C45D43" w:rsidRPr="00967339">
        <w:rPr>
          <w:rFonts w:asciiTheme="majorHAnsi" w:hAnsiTheme="majorHAnsi" w:cstheme="majorHAnsi"/>
          <w:noProof/>
        </w:rPr>
        <w:t>t complexului locativ</w:t>
      </w:r>
      <w:r w:rsidRPr="00967339">
        <w:rPr>
          <w:rFonts w:asciiTheme="majorHAnsi" w:hAnsiTheme="majorHAnsi" w:cstheme="majorHAnsi"/>
          <w:noProof/>
        </w:rPr>
        <w:t xml:space="preserve">, </w:t>
      </w:r>
      <w:r w:rsidR="00B272D6">
        <w:rPr>
          <w:rFonts w:asciiTheme="majorHAnsi" w:hAnsiTheme="majorHAnsi" w:cstheme="majorHAnsi"/>
          <w:noProof/>
        </w:rPr>
        <w:t>cu</w:t>
      </w:r>
      <w:r w:rsidRPr="00967339">
        <w:rPr>
          <w:rFonts w:asciiTheme="majorHAnsi" w:hAnsiTheme="majorHAnsi" w:cstheme="majorHAnsi"/>
          <w:noProof/>
        </w:rPr>
        <w:t xml:space="preserve"> o </w:t>
      </w:r>
      <w:r w:rsidR="00FF319D" w:rsidRPr="00967339">
        <w:rPr>
          <w:rFonts w:asciiTheme="majorHAnsi" w:eastAsiaTheme="minorEastAsia" w:hAnsiTheme="majorHAnsi" w:cstheme="majorHAnsi"/>
          <w:noProof/>
        </w:rPr>
        <w:t>suprafaț</w:t>
      </w:r>
      <w:r w:rsidR="00B272D6">
        <w:rPr>
          <w:rFonts w:asciiTheme="majorHAnsi" w:eastAsiaTheme="minorEastAsia" w:hAnsiTheme="majorHAnsi" w:cstheme="majorHAnsi"/>
          <w:noProof/>
        </w:rPr>
        <w:t>ă</w:t>
      </w:r>
      <w:r w:rsidR="00FF319D" w:rsidRPr="00967339">
        <w:rPr>
          <w:rFonts w:asciiTheme="majorHAnsi" w:eastAsiaTheme="minorEastAsia" w:hAnsiTheme="majorHAnsi" w:cstheme="majorHAnsi"/>
          <w:noProof/>
        </w:rPr>
        <w:t xml:space="preserve"> de 0,017</w:t>
      </w:r>
      <w:r w:rsidR="00C45D43" w:rsidRPr="00967339">
        <w:rPr>
          <w:rFonts w:asciiTheme="majorHAnsi" w:eastAsiaTheme="minorEastAsia" w:hAnsiTheme="majorHAnsi" w:cstheme="majorHAnsi"/>
          <w:noProof/>
        </w:rPr>
        <w:t xml:space="preserve"> ha, </w:t>
      </w:r>
      <w:r w:rsidR="00B272D6">
        <w:rPr>
          <w:rFonts w:asciiTheme="majorHAnsi" w:eastAsiaTheme="minorEastAsia" w:hAnsiTheme="majorHAnsi" w:cstheme="majorHAnsi"/>
          <w:noProof/>
        </w:rPr>
        <w:t>care, de fapt, este</w:t>
      </w:r>
      <w:r w:rsidR="00C45D43" w:rsidRPr="00967339">
        <w:rPr>
          <w:rFonts w:asciiTheme="majorHAnsi" w:eastAsiaTheme="minorEastAsia" w:hAnsiTheme="majorHAnsi" w:cstheme="majorHAnsi"/>
          <w:noProof/>
        </w:rPr>
        <w:t xml:space="preserve"> gestionată</w:t>
      </w:r>
      <w:r w:rsidRPr="00967339">
        <w:rPr>
          <w:rFonts w:asciiTheme="majorHAnsi" w:eastAsiaTheme="minorEastAsia" w:hAnsiTheme="majorHAnsi" w:cstheme="majorHAnsi"/>
          <w:noProof/>
        </w:rPr>
        <w:t xml:space="preserve"> de  Minister.</w:t>
      </w:r>
    </w:p>
    <w:p w14:paraId="3FFCED3C" w14:textId="0BCAD89A" w:rsidR="00D511C7" w:rsidRPr="00967339" w:rsidRDefault="00D511C7" w:rsidP="00023A8F">
      <w:pPr>
        <w:pStyle w:val="a3"/>
        <w:tabs>
          <w:tab w:val="left" w:pos="426"/>
        </w:tabs>
        <w:spacing w:line="276" w:lineRule="auto"/>
        <w:ind w:left="90" w:firstLine="562"/>
        <w:jc w:val="both"/>
        <w:rPr>
          <w:rFonts w:asciiTheme="majorHAnsi" w:eastAsia="Calibri" w:hAnsiTheme="majorHAnsi" w:cstheme="majorHAnsi"/>
          <w:bCs/>
          <w:noProof/>
        </w:rPr>
      </w:pPr>
      <w:r w:rsidRPr="00967339">
        <w:rPr>
          <w:rFonts w:asciiTheme="majorHAnsi" w:eastAsia="Calibri" w:hAnsiTheme="majorHAnsi" w:cstheme="majorHAnsi"/>
          <w:bCs/>
          <w:noProof/>
        </w:rPr>
        <w:t xml:space="preserve">Prin urmare, situațiile </w:t>
      </w:r>
      <w:r w:rsidR="00990889">
        <w:rPr>
          <w:rFonts w:asciiTheme="majorHAnsi" w:eastAsia="Calibri" w:hAnsiTheme="majorHAnsi" w:cstheme="majorHAnsi"/>
          <w:bCs/>
          <w:noProof/>
        </w:rPr>
        <w:t>descrise</w:t>
      </w:r>
      <w:r w:rsidR="00990889" w:rsidRPr="00967339">
        <w:rPr>
          <w:rFonts w:asciiTheme="majorHAnsi" w:eastAsia="Calibri" w:hAnsiTheme="majorHAnsi" w:cstheme="majorHAnsi"/>
          <w:bCs/>
          <w:noProof/>
        </w:rPr>
        <w:t xml:space="preserve"> </w:t>
      </w:r>
      <w:r w:rsidR="003172A8">
        <w:rPr>
          <w:rFonts w:asciiTheme="majorHAnsi" w:eastAsia="Calibri" w:hAnsiTheme="majorHAnsi" w:cstheme="majorHAnsi"/>
          <w:bCs/>
          <w:noProof/>
        </w:rPr>
        <w:t>denotă că</w:t>
      </w:r>
      <w:r w:rsidRPr="00967339">
        <w:rPr>
          <w:rFonts w:asciiTheme="majorHAnsi" w:eastAsia="Calibri" w:hAnsiTheme="majorHAnsi" w:cstheme="majorHAnsi"/>
          <w:bCs/>
          <w:noProof/>
        </w:rPr>
        <w:t xml:space="preserve"> Ministerul </w:t>
      </w:r>
      <w:r w:rsidR="003172A8">
        <w:rPr>
          <w:rFonts w:asciiTheme="majorHAnsi" w:eastAsia="Calibri" w:hAnsiTheme="majorHAnsi" w:cstheme="majorHAnsi"/>
          <w:bCs/>
          <w:noProof/>
        </w:rPr>
        <w:t xml:space="preserve">nu a dispus </w:t>
      </w:r>
      <w:r w:rsidR="004D3F07">
        <w:rPr>
          <w:rFonts w:asciiTheme="majorHAnsi" w:eastAsia="Calibri" w:hAnsiTheme="majorHAnsi" w:cstheme="majorHAnsi"/>
          <w:bCs/>
          <w:noProof/>
        </w:rPr>
        <w:t>acțiuni</w:t>
      </w:r>
      <w:r w:rsidR="003172A8">
        <w:rPr>
          <w:rFonts w:asciiTheme="majorHAnsi" w:eastAsia="Calibri" w:hAnsiTheme="majorHAnsi" w:cstheme="majorHAnsi"/>
          <w:bCs/>
          <w:noProof/>
        </w:rPr>
        <w:t xml:space="preserve"> legale de </w:t>
      </w:r>
      <w:r w:rsidRPr="00967339">
        <w:rPr>
          <w:rFonts w:asciiTheme="majorHAnsi" w:eastAsia="Calibri" w:hAnsiTheme="majorHAnsi" w:cstheme="majorHAnsi"/>
          <w:bCs/>
          <w:noProof/>
        </w:rPr>
        <w:t xml:space="preserve"> constrângere față de</w:t>
      </w:r>
      <w:r w:rsidR="0032436A">
        <w:rPr>
          <w:rFonts w:asciiTheme="majorHAnsi" w:eastAsia="Calibri" w:hAnsiTheme="majorHAnsi" w:cstheme="majorHAnsi"/>
          <w:bCs/>
          <w:noProof/>
        </w:rPr>
        <w:t xml:space="preserve"> persoane</w:t>
      </w:r>
      <w:r w:rsidR="00990889">
        <w:rPr>
          <w:rFonts w:asciiTheme="majorHAnsi" w:eastAsia="Calibri" w:hAnsiTheme="majorHAnsi" w:cstheme="majorHAnsi"/>
          <w:bCs/>
          <w:noProof/>
        </w:rPr>
        <w:t>le</w:t>
      </w:r>
      <w:r w:rsidR="0099344C" w:rsidRPr="00967339">
        <w:rPr>
          <w:rFonts w:asciiTheme="majorHAnsi" w:eastAsia="Calibri" w:hAnsiTheme="majorHAnsi" w:cstheme="majorHAnsi"/>
          <w:bCs/>
          <w:noProof/>
        </w:rPr>
        <w:t xml:space="preserve"> </w:t>
      </w:r>
      <w:r w:rsidR="0032436A">
        <w:rPr>
          <w:rFonts w:asciiTheme="majorHAnsi" w:eastAsia="Calibri" w:hAnsiTheme="majorHAnsi" w:cstheme="majorHAnsi"/>
          <w:bCs/>
          <w:noProof/>
        </w:rPr>
        <w:t>în</w:t>
      </w:r>
      <w:r w:rsidR="0099344C" w:rsidRPr="00967339">
        <w:rPr>
          <w:rFonts w:asciiTheme="majorHAnsi" w:eastAsia="Calibri" w:hAnsiTheme="majorHAnsi" w:cstheme="majorHAnsi"/>
          <w:bCs/>
          <w:noProof/>
        </w:rPr>
        <w:t>vecin</w:t>
      </w:r>
      <w:r w:rsidR="0032436A">
        <w:rPr>
          <w:rFonts w:asciiTheme="majorHAnsi" w:eastAsia="Calibri" w:hAnsiTheme="majorHAnsi" w:cstheme="majorHAnsi"/>
          <w:bCs/>
          <w:noProof/>
        </w:rPr>
        <w:t>ate</w:t>
      </w:r>
      <w:r w:rsidR="0099344C" w:rsidRPr="00967339">
        <w:rPr>
          <w:rFonts w:asciiTheme="majorHAnsi" w:eastAsia="Calibri" w:hAnsiTheme="majorHAnsi" w:cstheme="majorHAnsi"/>
          <w:bCs/>
          <w:noProof/>
        </w:rPr>
        <w:t xml:space="preserve">, </w:t>
      </w:r>
      <w:r w:rsidR="0032436A">
        <w:rPr>
          <w:rFonts w:asciiTheme="majorHAnsi" w:eastAsia="Calibri" w:hAnsiTheme="majorHAnsi" w:cstheme="majorHAnsi"/>
          <w:bCs/>
          <w:noProof/>
        </w:rPr>
        <w:t>care au ed</w:t>
      </w:r>
      <w:r w:rsidR="00990889">
        <w:rPr>
          <w:rFonts w:asciiTheme="majorHAnsi" w:eastAsia="Calibri" w:hAnsiTheme="majorHAnsi" w:cstheme="majorHAnsi"/>
          <w:bCs/>
          <w:noProof/>
        </w:rPr>
        <w:t>i</w:t>
      </w:r>
      <w:r w:rsidR="0032436A">
        <w:rPr>
          <w:rFonts w:asciiTheme="majorHAnsi" w:eastAsia="Calibri" w:hAnsiTheme="majorHAnsi" w:cstheme="majorHAnsi"/>
          <w:bCs/>
          <w:noProof/>
        </w:rPr>
        <w:t xml:space="preserve">ficat construcții </w:t>
      </w:r>
      <w:r w:rsidR="0099344C" w:rsidRPr="00967339">
        <w:rPr>
          <w:rFonts w:asciiTheme="majorHAnsi" w:eastAsia="Calibri" w:hAnsiTheme="majorHAnsi" w:cstheme="majorHAnsi"/>
          <w:bCs/>
          <w:noProof/>
        </w:rPr>
        <w:t>î</w:t>
      </w:r>
      <w:r w:rsidRPr="00967339">
        <w:rPr>
          <w:rFonts w:asciiTheme="majorHAnsi" w:eastAsia="Calibri" w:hAnsiTheme="majorHAnsi" w:cstheme="majorHAnsi"/>
          <w:bCs/>
          <w:noProof/>
        </w:rPr>
        <w:t>n li</w:t>
      </w:r>
      <w:r w:rsidR="0099344C" w:rsidRPr="00967339">
        <w:rPr>
          <w:rFonts w:asciiTheme="majorHAnsi" w:eastAsia="Calibri" w:hAnsiTheme="majorHAnsi" w:cstheme="majorHAnsi"/>
          <w:bCs/>
          <w:noProof/>
        </w:rPr>
        <w:t>psa oficializări</w:t>
      </w:r>
      <w:r w:rsidR="00990889">
        <w:rPr>
          <w:rFonts w:asciiTheme="majorHAnsi" w:eastAsia="Calibri" w:hAnsiTheme="majorHAnsi" w:cstheme="majorHAnsi"/>
          <w:bCs/>
          <w:noProof/>
        </w:rPr>
        <w:t>i</w:t>
      </w:r>
      <w:r w:rsidR="0099344C" w:rsidRPr="00967339">
        <w:rPr>
          <w:rFonts w:asciiTheme="majorHAnsi" w:eastAsia="Calibri" w:hAnsiTheme="majorHAnsi" w:cstheme="majorHAnsi"/>
          <w:bCs/>
          <w:noProof/>
        </w:rPr>
        <w:t xml:space="preserve"> permisiunilor î</w:t>
      </w:r>
      <w:r w:rsidRPr="00967339">
        <w:rPr>
          <w:rFonts w:asciiTheme="majorHAnsi" w:eastAsia="Calibri" w:hAnsiTheme="majorHAnsi" w:cstheme="majorHAnsi"/>
          <w:bCs/>
          <w:noProof/>
        </w:rPr>
        <w:t>n acest sens</w:t>
      </w:r>
      <w:r w:rsidR="00990889">
        <w:rPr>
          <w:rFonts w:asciiTheme="majorHAnsi" w:eastAsia="Calibri" w:hAnsiTheme="majorHAnsi" w:cstheme="majorHAnsi"/>
          <w:bCs/>
          <w:noProof/>
        </w:rPr>
        <w:t xml:space="preserve"> și</w:t>
      </w:r>
      <w:r w:rsidRPr="00967339">
        <w:rPr>
          <w:rFonts w:asciiTheme="majorHAnsi" w:eastAsia="Calibri" w:hAnsiTheme="majorHAnsi" w:cstheme="majorHAnsi"/>
          <w:bCs/>
          <w:noProof/>
        </w:rPr>
        <w:t xml:space="preserve"> de sine stătător se extind pe terenul comp</w:t>
      </w:r>
      <w:r w:rsidR="0099344C" w:rsidRPr="00967339">
        <w:rPr>
          <w:rFonts w:asciiTheme="majorHAnsi" w:eastAsia="Calibri" w:hAnsiTheme="majorHAnsi" w:cstheme="majorHAnsi"/>
          <w:bCs/>
          <w:noProof/>
        </w:rPr>
        <w:t>lexului. În consecință, va fi di</w:t>
      </w:r>
      <w:r w:rsidRPr="00967339">
        <w:rPr>
          <w:rFonts w:asciiTheme="majorHAnsi" w:eastAsia="Calibri" w:hAnsiTheme="majorHAnsi" w:cstheme="majorHAnsi"/>
          <w:bCs/>
          <w:noProof/>
        </w:rPr>
        <w:t>ficil</w:t>
      </w:r>
      <w:r w:rsidR="00990889">
        <w:rPr>
          <w:rFonts w:asciiTheme="majorHAnsi" w:eastAsia="Calibri" w:hAnsiTheme="majorHAnsi" w:cstheme="majorHAnsi"/>
          <w:bCs/>
          <w:noProof/>
        </w:rPr>
        <w:t>ă</w:t>
      </w:r>
      <w:r w:rsidRPr="00967339">
        <w:rPr>
          <w:rFonts w:asciiTheme="majorHAnsi" w:eastAsia="Calibri" w:hAnsiTheme="majorHAnsi" w:cstheme="majorHAnsi"/>
          <w:bCs/>
          <w:noProof/>
        </w:rPr>
        <w:t xml:space="preserve"> </w:t>
      </w:r>
      <w:r w:rsidR="005D10B1">
        <w:rPr>
          <w:rFonts w:asciiTheme="majorHAnsi" w:eastAsia="Calibri" w:hAnsiTheme="majorHAnsi" w:cstheme="majorHAnsi"/>
          <w:bCs/>
          <w:noProof/>
        </w:rPr>
        <w:t>recupera</w:t>
      </w:r>
      <w:r w:rsidR="0032436A">
        <w:rPr>
          <w:rFonts w:asciiTheme="majorHAnsi" w:eastAsia="Calibri" w:hAnsiTheme="majorHAnsi" w:cstheme="majorHAnsi"/>
          <w:bCs/>
          <w:noProof/>
        </w:rPr>
        <w:t>rea de către proprietar a</w:t>
      </w:r>
      <w:r w:rsidR="005D10B1">
        <w:rPr>
          <w:rFonts w:asciiTheme="majorHAnsi" w:eastAsia="Calibri" w:hAnsiTheme="majorHAnsi" w:cstheme="majorHAnsi"/>
          <w:bCs/>
          <w:noProof/>
        </w:rPr>
        <w:t xml:space="preserve"> terenul</w:t>
      </w:r>
      <w:r w:rsidR="0032436A">
        <w:rPr>
          <w:rFonts w:asciiTheme="majorHAnsi" w:eastAsia="Calibri" w:hAnsiTheme="majorHAnsi" w:cstheme="majorHAnsi"/>
          <w:bCs/>
          <w:noProof/>
        </w:rPr>
        <w:t>ui proprietate publică,</w:t>
      </w:r>
      <w:r w:rsidR="005D10B1">
        <w:rPr>
          <w:rFonts w:asciiTheme="majorHAnsi" w:eastAsia="Calibri" w:hAnsiTheme="majorHAnsi" w:cstheme="majorHAnsi"/>
          <w:bCs/>
          <w:noProof/>
        </w:rPr>
        <w:t xml:space="preserve"> pe care sunt</w:t>
      </w:r>
      <w:r w:rsidR="0032436A">
        <w:rPr>
          <w:rFonts w:asciiTheme="majorHAnsi" w:eastAsia="Calibri" w:hAnsiTheme="majorHAnsi" w:cstheme="majorHAnsi"/>
          <w:bCs/>
          <w:noProof/>
        </w:rPr>
        <w:t xml:space="preserve"> amplasate</w:t>
      </w:r>
      <w:r w:rsidR="0099344C" w:rsidRPr="00967339">
        <w:rPr>
          <w:rFonts w:asciiTheme="majorHAnsi" w:eastAsia="Calibri" w:hAnsiTheme="majorHAnsi" w:cstheme="majorHAnsi"/>
          <w:bCs/>
          <w:noProof/>
        </w:rPr>
        <w:t xml:space="preserve"> construcțiile </w:t>
      </w:r>
      <w:r w:rsidR="0032436A">
        <w:rPr>
          <w:rFonts w:asciiTheme="majorHAnsi" w:eastAsia="Calibri" w:hAnsiTheme="majorHAnsi" w:cstheme="majorHAnsi"/>
          <w:bCs/>
          <w:noProof/>
        </w:rPr>
        <w:t>idificate de terțe persoane,</w:t>
      </w:r>
      <w:r w:rsidR="0099344C" w:rsidRPr="00967339">
        <w:rPr>
          <w:rFonts w:asciiTheme="majorHAnsi" w:eastAsia="Calibri" w:hAnsiTheme="majorHAnsi" w:cstheme="majorHAnsi"/>
          <w:bCs/>
          <w:noProof/>
        </w:rPr>
        <w:t xml:space="preserve"> </w:t>
      </w:r>
      <w:r w:rsidR="0032436A">
        <w:rPr>
          <w:rFonts w:asciiTheme="majorHAnsi" w:eastAsia="Calibri" w:hAnsiTheme="majorHAnsi" w:cstheme="majorHAnsi"/>
          <w:bCs/>
          <w:noProof/>
        </w:rPr>
        <w:t xml:space="preserve">iar </w:t>
      </w:r>
      <w:r w:rsidR="0099344C" w:rsidRPr="00967339">
        <w:rPr>
          <w:rFonts w:asciiTheme="majorHAnsi" w:eastAsia="Calibri" w:hAnsiTheme="majorHAnsi" w:cstheme="majorHAnsi"/>
          <w:bCs/>
          <w:noProof/>
        </w:rPr>
        <w:t xml:space="preserve">în cazul </w:t>
      </w:r>
      <w:r w:rsidR="00990889">
        <w:rPr>
          <w:rFonts w:asciiTheme="majorHAnsi" w:eastAsia="Calibri" w:hAnsiTheme="majorHAnsi" w:cstheme="majorHAnsi"/>
          <w:bCs/>
          <w:noProof/>
        </w:rPr>
        <w:t>în care</w:t>
      </w:r>
      <w:r w:rsidR="00990889" w:rsidRPr="00967339">
        <w:rPr>
          <w:rFonts w:asciiTheme="majorHAnsi" w:eastAsia="Calibri" w:hAnsiTheme="majorHAnsi" w:cstheme="majorHAnsi"/>
          <w:bCs/>
          <w:noProof/>
        </w:rPr>
        <w:t xml:space="preserve"> </w:t>
      </w:r>
      <w:r w:rsidRPr="00967339">
        <w:rPr>
          <w:rFonts w:asciiTheme="majorHAnsi" w:eastAsia="Calibri" w:hAnsiTheme="majorHAnsi" w:cstheme="majorHAnsi"/>
          <w:bCs/>
          <w:noProof/>
        </w:rPr>
        <w:t>noii proprietari vor solicita drepturi</w:t>
      </w:r>
      <w:r w:rsidR="00990889">
        <w:rPr>
          <w:rFonts w:asciiTheme="majorHAnsi" w:eastAsia="Calibri" w:hAnsiTheme="majorHAnsi" w:cstheme="majorHAnsi"/>
          <w:bCs/>
          <w:noProof/>
        </w:rPr>
        <w:t>le</w:t>
      </w:r>
      <w:r w:rsidRPr="00967339">
        <w:rPr>
          <w:rFonts w:asciiTheme="majorHAnsi" w:eastAsia="Calibri" w:hAnsiTheme="majorHAnsi" w:cstheme="majorHAnsi"/>
          <w:bCs/>
          <w:noProof/>
        </w:rPr>
        <w:t xml:space="preserve"> de servitute sau un alt drept real limitat, pentru a permite folosirea corespunzătoare a</w:t>
      </w:r>
      <w:r w:rsidR="0032436A">
        <w:rPr>
          <w:rFonts w:asciiTheme="majorHAnsi" w:eastAsia="Calibri" w:hAnsiTheme="majorHAnsi" w:cstheme="majorHAnsi"/>
          <w:bCs/>
          <w:noProof/>
        </w:rPr>
        <w:t xml:space="preserve"> acestora, nu va fi posibil</w:t>
      </w:r>
      <w:r w:rsidRPr="00967339">
        <w:rPr>
          <w:rFonts w:asciiTheme="majorHAnsi" w:eastAsia="Calibri" w:hAnsiTheme="majorHAnsi" w:cstheme="majorHAnsi"/>
          <w:bCs/>
          <w:noProof/>
        </w:rPr>
        <w:t xml:space="preserve">. </w:t>
      </w:r>
    </w:p>
    <w:p w14:paraId="6525E313" w14:textId="6C355819" w:rsidR="00D511C7" w:rsidRPr="00967339" w:rsidRDefault="00D511C7" w:rsidP="00023A8F">
      <w:pPr>
        <w:pStyle w:val="ae"/>
        <w:spacing w:line="276" w:lineRule="auto"/>
        <w:rPr>
          <w:rFonts w:asciiTheme="majorHAnsi" w:hAnsiTheme="majorHAnsi" w:cstheme="majorHAnsi"/>
          <w:noProof/>
        </w:rPr>
      </w:pPr>
      <w:r w:rsidRPr="00967339">
        <w:rPr>
          <w:rFonts w:asciiTheme="majorHAnsi" w:hAnsiTheme="majorHAnsi" w:cstheme="majorHAnsi"/>
          <w:noProof/>
        </w:rPr>
        <w:tab/>
        <w:t xml:space="preserve"> Pornid de la istoricul clădirii de pe str.</w:t>
      </w:r>
      <w:r w:rsidR="00F37BC9">
        <w:rPr>
          <w:rFonts w:asciiTheme="majorHAnsi" w:hAnsiTheme="majorHAnsi" w:cstheme="majorHAnsi"/>
          <w:noProof/>
        </w:rPr>
        <w:t xml:space="preserve"> </w:t>
      </w:r>
      <w:r w:rsidRPr="00967339">
        <w:rPr>
          <w:rFonts w:asciiTheme="majorHAnsi" w:hAnsiTheme="majorHAnsi" w:cstheme="majorHAnsi"/>
          <w:noProof/>
        </w:rPr>
        <w:t>Vasile Alecsandri nr.80 A, auditul a stabilit inițier</w:t>
      </w:r>
      <w:r w:rsidR="00F37BC9">
        <w:rPr>
          <w:rFonts w:asciiTheme="majorHAnsi" w:hAnsiTheme="majorHAnsi" w:cstheme="majorHAnsi"/>
          <w:noProof/>
        </w:rPr>
        <w:t>e</w:t>
      </w:r>
      <w:r w:rsidRPr="00967339">
        <w:rPr>
          <w:rFonts w:asciiTheme="majorHAnsi" w:hAnsiTheme="majorHAnsi" w:cstheme="majorHAnsi"/>
          <w:noProof/>
        </w:rPr>
        <w:t>a unei acțiuni de către fostul Minister al Sănătății</w:t>
      </w:r>
      <w:r w:rsidR="00F37BC9">
        <w:rPr>
          <w:rFonts w:asciiTheme="majorHAnsi" w:hAnsiTheme="majorHAnsi" w:cstheme="majorHAnsi"/>
          <w:noProof/>
        </w:rPr>
        <w:t>,</w:t>
      </w:r>
      <w:r w:rsidRPr="00967339">
        <w:rPr>
          <w:rFonts w:asciiTheme="majorHAnsi" w:hAnsiTheme="majorHAnsi" w:cstheme="majorHAnsi"/>
          <w:noProof/>
        </w:rPr>
        <w:t xml:space="preserve"> Muncii și Protecției Sociale, prin solicitarea Agenției Servicii Publice</w:t>
      </w:r>
      <w:r w:rsidR="00F37BC9">
        <w:rPr>
          <w:rFonts w:asciiTheme="majorHAnsi" w:hAnsiTheme="majorHAnsi" w:cstheme="majorHAnsi"/>
          <w:noProof/>
        </w:rPr>
        <w:t xml:space="preserve"> față de</w:t>
      </w:r>
      <w:r w:rsidRPr="00967339">
        <w:rPr>
          <w:rFonts w:asciiTheme="majorHAnsi" w:hAnsiTheme="majorHAnsi" w:cstheme="majorHAnsi"/>
          <w:noProof/>
        </w:rPr>
        <w:t xml:space="preserve"> Direcți</w:t>
      </w:r>
      <w:r w:rsidR="00F37BC9">
        <w:rPr>
          <w:rFonts w:asciiTheme="majorHAnsi" w:hAnsiTheme="majorHAnsi" w:cstheme="majorHAnsi"/>
          <w:noProof/>
        </w:rPr>
        <w:t>a</w:t>
      </w:r>
      <w:r w:rsidRPr="00967339">
        <w:rPr>
          <w:rFonts w:asciiTheme="majorHAnsi" w:hAnsiTheme="majorHAnsi" w:cstheme="majorHAnsi"/>
          <w:noProof/>
        </w:rPr>
        <w:t xml:space="preserve"> Generală arhitectură</w:t>
      </w:r>
      <w:r w:rsidR="00F37BC9">
        <w:rPr>
          <w:rFonts w:asciiTheme="majorHAnsi" w:hAnsiTheme="majorHAnsi" w:cstheme="majorHAnsi"/>
          <w:noProof/>
        </w:rPr>
        <w:t>,</w:t>
      </w:r>
      <w:r w:rsidRPr="00967339">
        <w:rPr>
          <w:rFonts w:asciiTheme="majorHAnsi" w:hAnsiTheme="majorHAnsi" w:cstheme="majorHAnsi"/>
          <w:noProof/>
        </w:rPr>
        <w:t xml:space="preserve"> urbanism și relații funciare a Primăriei mun.Chișinău </w:t>
      </w:r>
      <w:r w:rsidR="0099344C" w:rsidRPr="00967339">
        <w:rPr>
          <w:rFonts w:asciiTheme="majorHAnsi" w:hAnsiTheme="majorHAnsi" w:cstheme="majorHAnsi"/>
          <w:noProof/>
        </w:rPr>
        <w:t xml:space="preserve">de </w:t>
      </w:r>
      <w:r w:rsidRPr="00967339">
        <w:rPr>
          <w:rFonts w:asciiTheme="majorHAnsi" w:hAnsiTheme="majorHAnsi" w:cstheme="majorHAnsi"/>
          <w:noProof/>
        </w:rPr>
        <w:t>clarificare</w:t>
      </w:r>
      <w:r w:rsidR="0099344C" w:rsidRPr="00967339">
        <w:rPr>
          <w:rFonts w:asciiTheme="majorHAnsi" w:hAnsiTheme="majorHAnsi" w:cstheme="majorHAnsi"/>
          <w:noProof/>
        </w:rPr>
        <w:t xml:space="preserve"> </w:t>
      </w:r>
      <w:r w:rsidRPr="00967339">
        <w:rPr>
          <w:rFonts w:asciiTheme="majorHAnsi" w:hAnsiTheme="majorHAnsi" w:cstheme="majorHAnsi"/>
          <w:noProof/>
        </w:rPr>
        <w:t xml:space="preserve">a </w:t>
      </w:r>
      <w:r w:rsidRPr="00967339">
        <w:rPr>
          <w:rFonts w:asciiTheme="majorHAnsi" w:hAnsiTheme="majorHAnsi" w:cstheme="majorHAnsi"/>
          <w:i/>
          <w:noProof/>
        </w:rPr>
        <w:t xml:space="preserve">lucrărilor </w:t>
      </w:r>
      <w:r w:rsidR="0099344C" w:rsidRPr="00967339">
        <w:rPr>
          <w:rFonts w:asciiTheme="majorHAnsi" w:hAnsiTheme="majorHAnsi" w:cstheme="majorHAnsi"/>
          <w:i/>
          <w:noProof/>
        </w:rPr>
        <w:t>de construcție, care se extind ș</w:t>
      </w:r>
      <w:r w:rsidR="00D349CA">
        <w:rPr>
          <w:rFonts w:asciiTheme="majorHAnsi" w:hAnsiTheme="majorHAnsi" w:cstheme="majorHAnsi"/>
          <w:i/>
          <w:noProof/>
        </w:rPr>
        <w:t xml:space="preserve">i pe terenul complexului. </w:t>
      </w:r>
      <w:r w:rsidR="00D349CA">
        <w:rPr>
          <w:rFonts w:asciiTheme="majorHAnsi" w:hAnsiTheme="majorHAnsi" w:cstheme="majorHAnsi"/>
          <w:noProof/>
        </w:rPr>
        <w:t>Astfel, s-</w:t>
      </w:r>
      <w:r w:rsidRPr="00967339">
        <w:rPr>
          <w:rFonts w:asciiTheme="majorHAnsi" w:hAnsiTheme="majorHAnsi" w:cstheme="majorHAnsi"/>
          <w:noProof/>
        </w:rPr>
        <w:t>a stabilit înregistrarea dreptului de proprietat</w:t>
      </w:r>
      <w:r w:rsidR="0099344C" w:rsidRPr="00967339">
        <w:rPr>
          <w:rFonts w:asciiTheme="majorHAnsi" w:hAnsiTheme="majorHAnsi" w:cstheme="majorHAnsi"/>
          <w:noProof/>
        </w:rPr>
        <w:t>e publică asupra terenului dat î</w:t>
      </w:r>
      <w:r w:rsidRPr="00967339">
        <w:rPr>
          <w:rFonts w:asciiTheme="majorHAnsi" w:hAnsiTheme="majorHAnsi" w:cstheme="majorHAnsi"/>
          <w:noProof/>
        </w:rPr>
        <w:t>n R</w:t>
      </w:r>
      <w:r w:rsidR="0099344C" w:rsidRPr="00967339">
        <w:rPr>
          <w:rFonts w:asciiTheme="majorHAnsi" w:hAnsiTheme="majorHAnsi" w:cstheme="majorHAnsi"/>
          <w:noProof/>
        </w:rPr>
        <w:t xml:space="preserve">egistrul </w:t>
      </w:r>
      <w:r w:rsidR="00F37BC9">
        <w:rPr>
          <w:rFonts w:asciiTheme="majorHAnsi" w:hAnsiTheme="majorHAnsi" w:cstheme="majorHAnsi"/>
          <w:noProof/>
        </w:rPr>
        <w:t>b</w:t>
      </w:r>
      <w:r w:rsidR="0099344C" w:rsidRPr="00967339">
        <w:rPr>
          <w:rFonts w:asciiTheme="majorHAnsi" w:hAnsiTheme="majorHAnsi" w:cstheme="majorHAnsi"/>
          <w:noProof/>
        </w:rPr>
        <w:t xml:space="preserve">unurilor </w:t>
      </w:r>
      <w:r w:rsidR="00F37BC9">
        <w:rPr>
          <w:rFonts w:asciiTheme="majorHAnsi" w:hAnsiTheme="majorHAnsi" w:cstheme="majorHAnsi"/>
          <w:noProof/>
        </w:rPr>
        <w:t>i</w:t>
      </w:r>
      <w:r w:rsidR="0099344C" w:rsidRPr="00967339">
        <w:rPr>
          <w:rFonts w:asciiTheme="majorHAnsi" w:hAnsiTheme="majorHAnsi" w:cstheme="majorHAnsi"/>
          <w:noProof/>
        </w:rPr>
        <w:t>mobile</w:t>
      </w:r>
      <w:r w:rsidR="00F37BC9">
        <w:rPr>
          <w:rFonts w:asciiTheme="majorHAnsi" w:hAnsiTheme="majorHAnsi" w:cstheme="majorHAnsi"/>
          <w:noProof/>
        </w:rPr>
        <w:t>,</w:t>
      </w:r>
      <w:r w:rsidR="0099344C" w:rsidRPr="00967339">
        <w:rPr>
          <w:rFonts w:asciiTheme="majorHAnsi" w:hAnsiTheme="majorHAnsi" w:cstheme="majorHAnsi"/>
          <w:noProof/>
        </w:rPr>
        <w:t xml:space="preserve"> î</w:t>
      </w:r>
      <w:r w:rsidRPr="00967339">
        <w:rPr>
          <w:rFonts w:asciiTheme="majorHAnsi" w:hAnsiTheme="majorHAnsi" w:cstheme="majorHAnsi"/>
          <w:noProof/>
        </w:rPr>
        <w:t>n temeiul art</w:t>
      </w:r>
      <w:r w:rsidR="00F37BC9">
        <w:rPr>
          <w:rFonts w:asciiTheme="majorHAnsi" w:hAnsiTheme="majorHAnsi" w:cstheme="majorHAnsi"/>
          <w:noProof/>
        </w:rPr>
        <w:t>.</w:t>
      </w:r>
      <w:r w:rsidRPr="00967339">
        <w:rPr>
          <w:rFonts w:asciiTheme="majorHAnsi" w:hAnsiTheme="majorHAnsi" w:cstheme="majorHAnsi"/>
          <w:noProof/>
        </w:rPr>
        <w:t xml:space="preserve"> 57 alin</w:t>
      </w:r>
      <w:r w:rsidR="00F37BC9">
        <w:rPr>
          <w:rFonts w:asciiTheme="majorHAnsi" w:hAnsiTheme="majorHAnsi" w:cstheme="majorHAnsi"/>
          <w:noProof/>
        </w:rPr>
        <w:t>.</w:t>
      </w:r>
      <w:r w:rsidRPr="00967339">
        <w:rPr>
          <w:rFonts w:asciiTheme="majorHAnsi" w:hAnsiTheme="majorHAnsi" w:cstheme="majorHAnsi"/>
          <w:noProof/>
        </w:rPr>
        <w:t xml:space="preserve"> (1) </w:t>
      </w:r>
      <w:r w:rsidR="0099344C" w:rsidRPr="00967339">
        <w:rPr>
          <w:rFonts w:asciiTheme="majorHAnsi" w:hAnsiTheme="majorHAnsi" w:cstheme="majorHAnsi"/>
          <w:noProof/>
        </w:rPr>
        <w:t xml:space="preserve">al Legii </w:t>
      </w:r>
      <w:r w:rsidR="00F37BC9">
        <w:rPr>
          <w:rFonts w:asciiTheme="majorHAnsi" w:hAnsiTheme="majorHAnsi" w:cstheme="majorHAnsi"/>
          <w:noProof/>
        </w:rPr>
        <w:t>nr.</w:t>
      </w:r>
      <w:r w:rsidR="0099344C" w:rsidRPr="00967339">
        <w:rPr>
          <w:rFonts w:asciiTheme="majorHAnsi" w:hAnsiTheme="majorHAnsi" w:cstheme="majorHAnsi"/>
          <w:noProof/>
        </w:rPr>
        <w:t>1543/1998 î</w:t>
      </w:r>
      <w:r w:rsidRPr="00967339">
        <w:rPr>
          <w:rFonts w:asciiTheme="majorHAnsi" w:hAnsiTheme="majorHAnsi" w:cstheme="majorHAnsi"/>
          <w:noProof/>
        </w:rPr>
        <w:t xml:space="preserve">n hotare generale, ceea ce </w:t>
      </w:r>
      <w:r w:rsidR="00D349CA">
        <w:rPr>
          <w:rFonts w:asciiTheme="majorHAnsi" w:hAnsiTheme="majorHAnsi" w:cstheme="majorHAnsi"/>
          <w:noProof/>
        </w:rPr>
        <w:t>denotă</w:t>
      </w:r>
      <w:r w:rsidRPr="00967339">
        <w:rPr>
          <w:rFonts w:asciiTheme="majorHAnsi" w:hAnsiTheme="majorHAnsi" w:cstheme="majorHAnsi"/>
          <w:noProof/>
        </w:rPr>
        <w:t xml:space="preserve"> lipsa </w:t>
      </w:r>
      <w:r w:rsidR="0099344C" w:rsidRPr="00967339">
        <w:rPr>
          <w:rFonts w:asciiTheme="majorHAnsi" w:hAnsiTheme="majorHAnsi" w:cstheme="majorHAnsi"/>
          <w:noProof/>
        </w:rPr>
        <w:t>actului de stabilire/constatare</w:t>
      </w:r>
      <w:r w:rsidRPr="00967339">
        <w:rPr>
          <w:rFonts w:asciiTheme="majorHAnsi" w:hAnsiTheme="majorHAnsi" w:cstheme="majorHAnsi"/>
          <w:noProof/>
        </w:rPr>
        <w:t xml:space="preserve"> a hotar</w:t>
      </w:r>
      <w:r w:rsidR="00F37BC9">
        <w:rPr>
          <w:rFonts w:asciiTheme="majorHAnsi" w:hAnsiTheme="majorHAnsi" w:cstheme="majorHAnsi"/>
          <w:noProof/>
        </w:rPr>
        <w:t>elor</w:t>
      </w:r>
      <w:r w:rsidRPr="00967339">
        <w:rPr>
          <w:rFonts w:asciiTheme="majorHAnsi" w:hAnsiTheme="majorHAnsi" w:cstheme="majorHAnsi"/>
          <w:noProof/>
        </w:rPr>
        <w:t xml:space="preserve"> terenului.</w:t>
      </w:r>
    </w:p>
    <w:p w14:paraId="798531C1" w14:textId="2555DF27" w:rsidR="004E4852" w:rsidRDefault="00D511C7" w:rsidP="00023A8F">
      <w:pPr>
        <w:spacing w:line="276" w:lineRule="auto"/>
        <w:jc w:val="both"/>
        <w:rPr>
          <w:rFonts w:asciiTheme="majorHAnsi" w:hAnsiTheme="majorHAnsi" w:cstheme="majorHAnsi"/>
          <w:noProof/>
        </w:rPr>
      </w:pPr>
      <w:r w:rsidRPr="00967339">
        <w:rPr>
          <w:rFonts w:asciiTheme="majorHAnsi" w:hAnsiTheme="majorHAnsi" w:cstheme="majorHAnsi"/>
          <w:noProof/>
        </w:rPr>
        <w:tab/>
        <w:t>În</w:t>
      </w:r>
      <w:r w:rsidR="00F37BC9">
        <w:rPr>
          <w:rFonts w:asciiTheme="majorHAnsi" w:hAnsiTheme="majorHAnsi" w:cstheme="majorHAnsi"/>
          <w:noProof/>
        </w:rPr>
        <w:t xml:space="preserve"> scopul</w:t>
      </w:r>
      <w:r w:rsidRPr="00967339">
        <w:rPr>
          <w:rFonts w:asciiTheme="majorHAnsi" w:hAnsiTheme="majorHAnsi" w:cstheme="majorHAnsi"/>
          <w:noProof/>
        </w:rPr>
        <w:t xml:space="preserve"> soluțion</w:t>
      </w:r>
      <w:r w:rsidR="00F37BC9">
        <w:rPr>
          <w:rFonts w:asciiTheme="majorHAnsi" w:hAnsiTheme="majorHAnsi" w:cstheme="majorHAnsi"/>
          <w:noProof/>
        </w:rPr>
        <w:t>ării</w:t>
      </w:r>
      <w:r w:rsidRPr="00967339">
        <w:rPr>
          <w:rFonts w:asciiTheme="majorHAnsi" w:hAnsiTheme="majorHAnsi" w:cstheme="majorHAnsi"/>
          <w:noProof/>
        </w:rPr>
        <w:t xml:space="preserve"> problemei</w:t>
      </w:r>
      <w:r w:rsidR="00B42136">
        <w:rPr>
          <w:rFonts w:asciiTheme="majorHAnsi" w:hAnsiTheme="majorHAnsi" w:cstheme="majorHAnsi"/>
          <w:noProof/>
        </w:rPr>
        <w:t>, Ministerul nu</w:t>
      </w:r>
      <w:r w:rsidR="00D349CA">
        <w:rPr>
          <w:rFonts w:asciiTheme="majorHAnsi" w:hAnsiTheme="majorHAnsi" w:cstheme="majorHAnsi"/>
          <w:noProof/>
        </w:rPr>
        <w:t xml:space="preserve"> a întreprins</w:t>
      </w:r>
      <w:r w:rsidR="003A06E0" w:rsidRPr="00967339">
        <w:rPr>
          <w:rFonts w:asciiTheme="majorHAnsi" w:hAnsiTheme="majorHAnsi" w:cstheme="majorHAnsi"/>
          <w:noProof/>
        </w:rPr>
        <w:t xml:space="preserve"> </w:t>
      </w:r>
      <w:r w:rsidR="00E600BC" w:rsidRPr="00967339">
        <w:rPr>
          <w:rFonts w:asciiTheme="majorHAnsi" w:hAnsiTheme="majorHAnsi" w:cstheme="majorHAnsi"/>
          <w:noProof/>
        </w:rPr>
        <w:t xml:space="preserve">acțiuni de conservare sau restabilire </w:t>
      </w:r>
      <w:r w:rsidR="003A06E0" w:rsidRPr="00967339">
        <w:rPr>
          <w:rFonts w:asciiTheme="majorHAnsi" w:hAnsiTheme="majorHAnsi" w:cstheme="majorHAnsi"/>
          <w:noProof/>
        </w:rPr>
        <w:t>a clădirii, care este î</w:t>
      </w:r>
      <w:r w:rsidRPr="00967339">
        <w:rPr>
          <w:rFonts w:asciiTheme="majorHAnsi" w:hAnsiTheme="majorHAnsi" w:cstheme="majorHAnsi"/>
          <w:noProof/>
        </w:rPr>
        <w:t>n</w:t>
      </w:r>
      <w:r w:rsidR="003A06E0" w:rsidRPr="00967339">
        <w:rPr>
          <w:rFonts w:asciiTheme="majorHAnsi" w:hAnsiTheme="majorHAnsi" w:cstheme="majorHAnsi"/>
          <w:noProof/>
        </w:rPr>
        <w:t xml:space="preserve"> stare avariată</w:t>
      </w:r>
      <w:r w:rsidR="00E600BC" w:rsidRPr="00967339">
        <w:rPr>
          <w:rFonts w:asciiTheme="majorHAnsi" w:hAnsiTheme="majorHAnsi" w:cstheme="majorHAnsi"/>
          <w:noProof/>
        </w:rPr>
        <w:t xml:space="preserve">. În condițiile </w:t>
      </w:r>
      <w:r w:rsidR="00D349CA">
        <w:rPr>
          <w:rFonts w:asciiTheme="majorHAnsi" w:hAnsiTheme="majorHAnsi" w:cstheme="majorHAnsi"/>
          <w:noProof/>
        </w:rPr>
        <w:t xml:space="preserve">menționate, </w:t>
      </w:r>
      <w:r w:rsidR="00E600BC" w:rsidRPr="00967339">
        <w:rPr>
          <w:rFonts w:asciiTheme="majorHAnsi" w:hAnsiTheme="majorHAnsi" w:cstheme="majorHAnsi"/>
          <w:noProof/>
        </w:rPr>
        <w:t xml:space="preserve">terenul este </w:t>
      </w:r>
      <w:r w:rsidR="00F37BC9">
        <w:rPr>
          <w:rFonts w:asciiTheme="majorHAnsi" w:hAnsiTheme="majorHAnsi" w:cstheme="majorHAnsi"/>
          <w:noProof/>
        </w:rPr>
        <w:t xml:space="preserve">înregistrat </w:t>
      </w:r>
      <w:r w:rsidR="00E600BC" w:rsidRPr="00967339">
        <w:rPr>
          <w:rFonts w:asciiTheme="majorHAnsi" w:hAnsiTheme="majorHAnsi" w:cstheme="majorHAnsi"/>
          <w:noProof/>
        </w:rPr>
        <w:t>în evidența contabilă a minister</w:t>
      </w:r>
      <w:r w:rsidR="00F37BC9">
        <w:rPr>
          <w:rFonts w:asciiTheme="majorHAnsi" w:hAnsiTheme="majorHAnsi" w:cstheme="majorHAnsi"/>
          <w:noProof/>
        </w:rPr>
        <w:t>ului</w:t>
      </w:r>
      <w:r w:rsidR="00E600BC" w:rsidRPr="00967339">
        <w:rPr>
          <w:rFonts w:asciiTheme="majorHAnsi" w:hAnsiTheme="majorHAnsi" w:cstheme="majorHAnsi"/>
          <w:noProof/>
        </w:rPr>
        <w:t>, dar potrivit datelor cadastrale este administrat de APP, în același timp clădirea fiin</w:t>
      </w:r>
      <w:r w:rsidR="008912FC">
        <w:rPr>
          <w:rFonts w:asciiTheme="majorHAnsi" w:hAnsiTheme="majorHAnsi" w:cstheme="majorHAnsi"/>
          <w:noProof/>
        </w:rPr>
        <w:t>d în administrarea ministerului.</w:t>
      </w:r>
      <w:r w:rsidR="00E600BC" w:rsidRPr="00967339">
        <w:rPr>
          <w:rFonts w:asciiTheme="majorHAnsi" w:hAnsiTheme="majorHAnsi" w:cstheme="majorHAnsi"/>
          <w:noProof/>
        </w:rPr>
        <w:t xml:space="preserve"> </w:t>
      </w:r>
    </w:p>
    <w:p w14:paraId="04174332" w14:textId="4AA75E2A" w:rsidR="00082EE9" w:rsidRPr="00967339" w:rsidRDefault="00082EE9" w:rsidP="00023A8F">
      <w:pPr>
        <w:tabs>
          <w:tab w:val="left" w:pos="851"/>
        </w:tabs>
        <w:spacing w:line="276" w:lineRule="auto"/>
        <w:jc w:val="both"/>
        <w:rPr>
          <w:rFonts w:asciiTheme="majorHAnsi" w:hAnsiTheme="majorHAnsi" w:cstheme="majorHAnsi"/>
          <w:noProof/>
        </w:rPr>
      </w:pPr>
    </w:p>
    <w:p w14:paraId="0B7974B6" w14:textId="77777777" w:rsidR="009212D0" w:rsidRPr="00967339" w:rsidRDefault="00B3128F"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r>
      <w:r w:rsidR="00B17A61" w:rsidRPr="00967339">
        <w:rPr>
          <w:rFonts w:asciiTheme="majorHAnsi" w:hAnsiTheme="majorHAnsi" w:cstheme="majorHAnsi"/>
          <w:b/>
          <w:noProof/>
          <w:color w:val="000000" w:themeColor="text1"/>
        </w:rPr>
        <w:t>IV.</w:t>
      </w:r>
      <w:r w:rsidRPr="00967339">
        <w:rPr>
          <w:rFonts w:asciiTheme="majorHAnsi" w:hAnsiTheme="majorHAnsi" w:cstheme="majorHAnsi"/>
          <w:b/>
          <w:noProof/>
          <w:color w:val="000000" w:themeColor="text1"/>
        </w:rPr>
        <w:t xml:space="preserve"> </w:t>
      </w:r>
      <w:r w:rsidR="00B17A61" w:rsidRPr="00967339">
        <w:rPr>
          <w:rFonts w:asciiTheme="majorHAnsi" w:hAnsiTheme="majorHAnsi" w:cstheme="majorHAnsi"/>
          <w:b/>
          <w:noProof/>
          <w:color w:val="000000" w:themeColor="text1"/>
        </w:rPr>
        <w:t>ASPECTE</w:t>
      </w:r>
      <w:r w:rsidR="007D1592" w:rsidRPr="00967339">
        <w:rPr>
          <w:rFonts w:asciiTheme="majorHAnsi" w:hAnsiTheme="majorHAnsi" w:cstheme="majorHAnsi"/>
          <w:b/>
          <w:noProof/>
          <w:color w:val="000000" w:themeColor="text1"/>
        </w:rPr>
        <w:t>-</w:t>
      </w:r>
      <w:r w:rsidR="00B17A61" w:rsidRPr="00967339">
        <w:rPr>
          <w:rFonts w:asciiTheme="majorHAnsi" w:hAnsiTheme="majorHAnsi" w:cstheme="majorHAnsi"/>
          <w:b/>
          <w:noProof/>
          <w:color w:val="000000" w:themeColor="text1"/>
        </w:rPr>
        <w:t>CHEIE</w:t>
      </w:r>
      <w:r w:rsidR="007D1592" w:rsidRPr="00967339">
        <w:rPr>
          <w:rFonts w:asciiTheme="majorHAnsi" w:hAnsiTheme="majorHAnsi" w:cstheme="majorHAnsi"/>
          <w:b/>
          <w:noProof/>
          <w:color w:val="000000" w:themeColor="text1"/>
        </w:rPr>
        <w:t xml:space="preserve"> DE AUDIT</w:t>
      </w:r>
    </w:p>
    <w:p w14:paraId="4D7F2FA6" w14:textId="77777777" w:rsidR="009212D0" w:rsidRPr="00967339" w:rsidRDefault="009212D0" w:rsidP="00C855EB">
      <w:pPr>
        <w:spacing w:line="276" w:lineRule="auto"/>
        <w:ind w:firstLine="720"/>
        <w:jc w:val="both"/>
        <w:rPr>
          <w:rFonts w:asciiTheme="majorHAnsi" w:hAnsiTheme="majorHAnsi" w:cstheme="majorHAnsi"/>
          <w:noProof/>
        </w:rPr>
      </w:pPr>
      <w:r w:rsidRPr="00967339">
        <w:rPr>
          <w:rFonts w:asciiTheme="majorHAnsi" w:eastAsia="Calibri" w:hAnsiTheme="majorHAnsi" w:cstheme="majorHAnsi"/>
          <w:noProof/>
        </w:rPr>
        <w:t xml:space="preserve">Aspectele-cheie de audit sunt acele aspecte care, în baza raționamentului nostru profesional, au avut cea mai mare importanță pentru auditul rapoartelor financiare consolidate ale </w:t>
      </w:r>
      <w:r w:rsidRPr="00967339">
        <w:rPr>
          <w:rFonts w:asciiTheme="majorHAnsi" w:hAnsiTheme="majorHAnsi" w:cstheme="majorHAnsi"/>
          <w:noProof/>
        </w:rPr>
        <w:t>Ministerului Sănătății</w:t>
      </w:r>
      <w:r w:rsidR="007D1592" w:rsidRPr="00967339">
        <w:rPr>
          <w:rFonts w:asciiTheme="majorHAnsi" w:hAnsiTheme="majorHAnsi" w:cstheme="majorHAnsi"/>
          <w:noProof/>
        </w:rPr>
        <w:t>,</w:t>
      </w:r>
      <w:r w:rsidRPr="00967339">
        <w:rPr>
          <w:rFonts w:asciiTheme="majorHAnsi" w:hAnsiTheme="majorHAnsi" w:cstheme="majorHAnsi"/>
          <w:noProof/>
        </w:rPr>
        <w:t xml:space="preserve"> Muncii și Protecției Sociale pentru exercițiul înche</w:t>
      </w:r>
      <w:r w:rsidR="00824E02" w:rsidRPr="00967339">
        <w:rPr>
          <w:rFonts w:asciiTheme="majorHAnsi" w:hAnsiTheme="majorHAnsi" w:cstheme="majorHAnsi"/>
          <w:noProof/>
        </w:rPr>
        <w:t>iat la 31 decembrie 202</w:t>
      </w:r>
      <w:r w:rsidR="00A62D0D" w:rsidRPr="00967339">
        <w:rPr>
          <w:rFonts w:asciiTheme="majorHAnsi" w:hAnsiTheme="majorHAnsi" w:cstheme="majorHAnsi"/>
          <w:noProof/>
        </w:rPr>
        <w:t>1</w:t>
      </w:r>
      <w:r w:rsidRPr="00967339">
        <w:rPr>
          <w:rFonts w:asciiTheme="majorHAnsi" w:eastAsia="Calibri" w:hAnsiTheme="majorHAnsi" w:cstheme="majorHAnsi"/>
          <w:noProof/>
        </w:rPr>
        <w:t xml:space="preserve">. </w:t>
      </w:r>
      <w:r w:rsidRPr="00967339">
        <w:rPr>
          <w:rFonts w:asciiTheme="majorHAnsi" w:hAnsiTheme="majorHAnsi" w:cstheme="majorHAnsi"/>
          <w:noProof/>
        </w:rPr>
        <w:t xml:space="preserve">Cu excepția aspectului descris în secțiunea </w:t>
      </w:r>
      <w:r w:rsidRPr="00967339">
        <w:rPr>
          <w:rFonts w:asciiTheme="majorHAnsi" w:hAnsiTheme="majorHAnsi" w:cstheme="majorHAnsi"/>
          <w:i/>
          <w:noProof/>
        </w:rPr>
        <w:t>Baza pentru opinia cu rezerve</w:t>
      </w:r>
      <w:r w:rsidRPr="00967339">
        <w:rPr>
          <w:rFonts w:asciiTheme="majorHAnsi" w:hAnsiTheme="majorHAnsi" w:cstheme="majorHAnsi"/>
          <w:noProof/>
        </w:rPr>
        <w:t>, am stabilit că nu există alte aspecte de audit ce trebuie comunicate în Raportul nostru.</w:t>
      </w:r>
    </w:p>
    <w:p w14:paraId="2353E2BA" w14:textId="77777777" w:rsidR="009E4FF7" w:rsidRPr="00967339" w:rsidRDefault="009E4FF7" w:rsidP="00023A8F">
      <w:pPr>
        <w:tabs>
          <w:tab w:val="left" w:pos="851"/>
        </w:tabs>
        <w:spacing w:line="276" w:lineRule="auto"/>
        <w:rPr>
          <w:rFonts w:asciiTheme="majorHAnsi" w:hAnsiTheme="majorHAnsi" w:cstheme="majorHAnsi"/>
          <w:b/>
          <w:noProof/>
          <w:color w:val="000000" w:themeColor="text1"/>
        </w:rPr>
      </w:pPr>
    </w:p>
    <w:p w14:paraId="642DB0DE" w14:textId="77777777" w:rsidR="009E4FF7" w:rsidRPr="00372905" w:rsidRDefault="009E4FF7"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r>
      <w:r w:rsidRPr="00372905">
        <w:rPr>
          <w:rFonts w:asciiTheme="majorHAnsi" w:hAnsiTheme="majorHAnsi" w:cstheme="majorHAnsi"/>
          <w:b/>
          <w:noProof/>
          <w:color w:val="000000" w:themeColor="text1"/>
        </w:rPr>
        <w:t>V. ALTE INFORMAȚII</w:t>
      </w:r>
    </w:p>
    <w:p w14:paraId="47E7106F" w14:textId="7D53DE64" w:rsidR="009B2440" w:rsidRPr="00372905" w:rsidRDefault="00635C4B" w:rsidP="00023A8F">
      <w:pPr>
        <w:tabs>
          <w:tab w:val="left" w:pos="851"/>
        </w:tabs>
        <w:spacing w:line="276" w:lineRule="auto"/>
        <w:jc w:val="both"/>
        <w:rPr>
          <w:rFonts w:asciiTheme="majorHAnsi" w:hAnsiTheme="majorHAnsi" w:cstheme="majorHAnsi"/>
          <w:b/>
          <w:noProof/>
          <w:color w:val="000000" w:themeColor="text1"/>
        </w:rPr>
      </w:pPr>
      <w:r>
        <w:rPr>
          <w:rFonts w:asciiTheme="majorHAnsi" w:hAnsiTheme="majorHAnsi" w:cstheme="majorHAnsi"/>
          <w:b/>
          <w:noProof/>
          <w:color w:val="000000" w:themeColor="text1"/>
        </w:rPr>
        <w:tab/>
      </w:r>
      <w:r w:rsidR="009B2440" w:rsidRPr="00372905">
        <w:rPr>
          <w:rFonts w:asciiTheme="majorHAnsi" w:hAnsiTheme="majorHAnsi" w:cstheme="majorHAnsi"/>
          <w:b/>
          <w:noProof/>
          <w:color w:val="000000" w:themeColor="text1"/>
        </w:rPr>
        <w:t xml:space="preserve">Din cauza nerespectării sau interpretării incorecte a prevederilor regulamentare </w:t>
      </w:r>
      <w:r w:rsidR="00702381" w:rsidRPr="00372905">
        <w:rPr>
          <w:rFonts w:asciiTheme="majorHAnsi" w:hAnsiTheme="majorHAnsi" w:cstheme="majorHAnsi"/>
          <w:b/>
          <w:noProof/>
          <w:color w:val="000000" w:themeColor="text1"/>
        </w:rPr>
        <w:t xml:space="preserve">de raportare </w:t>
      </w:r>
      <w:r w:rsidR="009B2440" w:rsidRPr="00372905">
        <w:rPr>
          <w:rFonts w:asciiTheme="majorHAnsi" w:hAnsiTheme="majorHAnsi" w:cstheme="majorHAnsi"/>
          <w:b/>
          <w:noProof/>
          <w:color w:val="000000" w:themeColor="text1"/>
        </w:rPr>
        <w:t>financiară apli</w:t>
      </w:r>
      <w:r w:rsidR="00986324" w:rsidRPr="00372905">
        <w:rPr>
          <w:rFonts w:asciiTheme="majorHAnsi" w:hAnsiTheme="majorHAnsi" w:cstheme="majorHAnsi"/>
          <w:b/>
          <w:noProof/>
          <w:color w:val="000000" w:themeColor="text1"/>
        </w:rPr>
        <w:t>ca</w:t>
      </w:r>
      <w:r w:rsidR="00702381" w:rsidRPr="00372905">
        <w:rPr>
          <w:rFonts w:asciiTheme="majorHAnsi" w:hAnsiTheme="majorHAnsi" w:cstheme="majorHAnsi"/>
          <w:b/>
          <w:noProof/>
          <w:color w:val="000000" w:themeColor="text1"/>
        </w:rPr>
        <w:t>bile</w:t>
      </w:r>
      <w:r w:rsidR="009B2440" w:rsidRPr="00372905">
        <w:rPr>
          <w:rFonts w:asciiTheme="majorHAnsi" w:hAnsiTheme="majorHAnsi" w:cstheme="majorHAnsi"/>
          <w:b/>
          <w:noProof/>
          <w:color w:val="000000" w:themeColor="text1"/>
        </w:rPr>
        <w:t xml:space="preserve">, </w:t>
      </w:r>
      <w:r w:rsidR="00C530C3" w:rsidRPr="00372905">
        <w:rPr>
          <w:rFonts w:asciiTheme="majorHAnsi" w:hAnsiTheme="majorHAnsi" w:cstheme="majorHAnsi"/>
          <w:b/>
          <w:noProof/>
          <w:color w:val="000000" w:themeColor="text1"/>
        </w:rPr>
        <w:t xml:space="preserve">precum și </w:t>
      </w:r>
      <w:r>
        <w:rPr>
          <w:rFonts w:asciiTheme="majorHAnsi" w:hAnsiTheme="majorHAnsi" w:cstheme="majorHAnsi"/>
          <w:b/>
          <w:noProof/>
          <w:color w:val="000000" w:themeColor="text1"/>
        </w:rPr>
        <w:t xml:space="preserve">a </w:t>
      </w:r>
      <w:r w:rsidR="00C530C3" w:rsidRPr="00372905">
        <w:rPr>
          <w:rFonts w:asciiTheme="majorHAnsi" w:hAnsiTheme="majorHAnsi" w:cstheme="majorHAnsi"/>
          <w:b/>
          <w:noProof/>
          <w:color w:val="000000" w:themeColor="text1"/>
        </w:rPr>
        <w:t>controlul</w:t>
      </w:r>
      <w:r>
        <w:rPr>
          <w:rFonts w:asciiTheme="majorHAnsi" w:hAnsiTheme="majorHAnsi" w:cstheme="majorHAnsi"/>
          <w:b/>
          <w:noProof/>
          <w:color w:val="000000" w:themeColor="text1"/>
        </w:rPr>
        <w:t>ui</w:t>
      </w:r>
      <w:r w:rsidR="00C530C3" w:rsidRPr="00372905">
        <w:rPr>
          <w:rFonts w:asciiTheme="majorHAnsi" w:hAnsiTheme="majorHAnsi" w:cstheme="majorHAnsi"/>
          <w:b/>
          <w:noProof/>
          <w:color w:val="000000" w:themeColor="text1"/>
        </w:rPr>
        <w:t xml:space="preserve"> insuficient din partea managementului și serviciului financiar a</w:t>
      </w:r>
      <w:r w:rsidR="00CA6F64" w:rsidRPr="00372905">
        <w:rPr>
          <w:rFonts w:asciiTheme="majorHAnsi" w:hAnsiTheme="majorHAnsi" w:cstheme="majorHAnsi"/>
          <w:b/>
          <w:noProof/>
          <w:color w:val="000000" w:themeColor="text1"/>
        </w:rPr>
        <w:t>l</w:t>
      </w:r>
      <w:r w:rsidR="00C530C3" w:rsidRPr="00372905">
        <w:rPr>
          <w:rFonts w:asciiTheme="majorHAnsi" w:hAnsiTheme="majorHAnsi" w:cstheme="majorHAnsi"/>
          <w:b/>
          <w:noProof/>
          <w:color w:val="000000" w:themeColor="text1"/>
        </w:rPr>
        <w:t xml:space="preserve"> instituțiilor publice, </w:t>
      </w:r>
      <w:r w:rsidR="009B2440" w:rsidRPr="00372905">
        <w:rPr>
          <w:rFonts w:asciiTheme="majorHAnsi" w:hAnsiTheme="majorHAnsi" w:cstheme="majorHAnsi"/>
          <w:b/>
          <w:noProof/>
          <w:color w:val="000000" w:themeColor="text1"/>
        </w:rPr>
        <w:t>au fost admise unele situații ce afectează calitatea și veridicitatea datelor raportate</w:t>
      </w:r>
      <w:r w:rsidR="00CA6F64" w:rsidRPr="00372905">
        <w:rPr>
          <w:rFonts w:asciiTheme="majorHAnsi" w:hAnsiTheme="majorHAnsi" w:cstheme="majorHAnsi"/>
          <w:b/>
          <w:noProof/>
          <w:color w:val="000000" w:themeColor="text1"/>
        </w:rPr>
        <w:t>,</w:t>
      </w:r>
      <w:r w:rsidR="00C530C3" w:rsidRPr="00372905">
        <w:rPr>
          <w:rFonts w:asciiTheme="majorHAnsi" w:hAnsiTheme="majorHAnsi" w:cstheme="majorHAnsi"/>
          <w:b/>
          <w:noProof/>
          <w:color w:val="000000" w:themeColor="text1"/>
        </w:rPr>
        <w:t xml:space="preserve"> cum ar fi:</w:t>
      </w:r>
    </w:p>
    <w:p w14:paraId="7EC976C4" w14:textId="53350EF9" w:rsidR="00B372B9" w:rsidRPr="00372905" w:rsidRDefault="00B14A1E" w:rsidP="00057029">
      <w:pPr>
        <w:pStyle w:val="af2"/>
        <w:numPr>
          <w:ilvl w:val="1"/>
          <w:numId w:val="9"/>
        </w:numPr>
        <w:tabs>
          <w:tab w:val="left" w:pos="0"/>
        </w:tabs>
        <w:spacing w:line="276" w:lineRule="auto"/>
        <w:ind w:left="0" w:firstLine="0"/>
        <w:jc w:val="both"/>
        <w:rPr>
          <w:rFonts w:asciiTheme="majorHAnsi" w:hAnsiTheme="majorHAnsi"/>
          <w:noProof/>
          <w:sz w:val="24"/>
          <w:szCs w:val="24"/>
        </w:rPr>
      </w:pPr>
      <w:r w:rsidRPr="00C45FAA">
        <w:rPr>
          <w:rFonts w:asciiTheme="majorHAnsi" w:hAnsiTheme="majorHAnsi"/>
          <w:noProof/>
          <w:sz w:val="24"/>
          <w:szCs w:val="24"/>
        </w:rPr>
        <w:t>O instituție</w:t>
      </w:r>
      <w:r w:rsidRPr="00C45FAA">
        <w:rPr>
          <w:rStyle w:val="ad"/>
          <w:rFonts w:asciiTheme="majorHAnsi" w:hAnsiTheme="majorHAnsi"/>
          <w:noProof/>
          <w:sz w:val="24"/>
          <w:szCs w:val="24"/>
        </w:rPr>
        <w:footnoteReference w:id="24"/>
      </w:r>
      <w:r w:rsidRPr="00C45FAA">
        <w:rPr>
          <w:rFonts w:asciiTheme="majorHAnsi" w:hAnsiTheme="majorHAnsi"/>
          <w:noProof/>
          <w:sz w:val="24"/>
          <w:szCs w:val="24"/>
        </w:rPr>
        <w:t xml:space="preserve"> din subordinea Ministerului</w:t>
      </w:r>
      <w:r w:rsidRPr="00C45FAA">
        <w:rPr>
          <w:rFonts w:asciiTheme="majorHAnsi" w:hAnsiTheme="majorHAnsi"/>
          <w:b/>
          <w:noProof/>
          <w:sz w:val="24"/>
          <w:szCs w:val="24"/>
        </w:rPr>
        <w:t xml:space="preserve"> </w:t>
      </w:r>
      <w:r w:rsidR="00B372B9" w:rsidRPr="00372905">
        <w:rPr>
          <w:rFonts w:asciiTheme="majorHAnsi" w:hAnsiTheme="majorHAnsi"/>
          <w:noProof/>
          <w:sz w:val="24"/>
          <w:szCs w:val="24"/>
        </w:rPr>
        <w:t>a raportat la contul 419 „Alte creanțe ale autorităților/instituțiilor bugetare” o creanță arierată aferentă locațiunii bunurilor patrimoniului public, în sumă de 271,5 mii lei, iar procesele ineficiente de control intern nu au asigurat încasarea veniturilor începând cu anul 2019;</w:t>
      </w:r>
    </w:p>
    <w:p w14:paraId="454CC374" w14:textId="59A7477C" w:rsidR="002B554F" w:rsidRPr="002B554F" w:rsidRDefault="003A0551" w:rsidP="00BE3D18">
      <w:pPr>
        <w:pStyle w:val="af2"/>
        <w:numPr>
          <w:ilvl w:val="1"/>
          <w:numId w:val="9"/>
        </w:numPr>
        <w:tabs>
          <w:tab w:val="left" w:pos="0"/>
        </w:tabs>
        <w:spacing w:line="276" w:lineRule="auto"/>
        <w:ind w:left="0" w:firstLine="0"/>
        <w:jc w:val="both"/>
        <w:rPr>
          <w:rFonts w:asciiTheme="majorHAnsi" w:hAnsiTheme="majorHAnsi"/>
          <w:noProof/>
          <w:sz w:val="24"/>
          <w:szCs w:val="24"/>
        </w:rPr>
      </w:pPr>
      <w:r w:rsidRPr="00967339">
        <w:rPr>
          <w:rFonts w:asciiTheme="majorHAnsi" w:hAnsiTheme="majorHAnsi"/>
          <w:b/>
          <w:noProof/>
          <w:sz w:val="24"/>
          <w:szCs w:val="24"/>
        </w:rPr>
        <w:t>Ministerul Sănătății</w:t>
      </w:r>
      <w:r w:rsidR="00635C4B">
        <w:rPr>
          <w:rFonts w:asciiTheme="majorHAnsi" w:hAnsiTheme="majorHAnsi"/>
          <w:b/>
          <w:noProof/>
          <w:sz w:val="24"/>
          <w:szCs w:val="24"/>
        </w:rPr>
        <w:t>,</w:t>
      </w:r>
      <w:r w:rsidRPr="00967339">
        <w:rPr>
          <w:rFonts w:asciiTheme="majorHAnsi" w:hAnsiTheme="majorHAnsi"/>
          <w:b/>
          <w:noProof/>
          <w:sz w:val="24"/>
          <w:szCs w:val="24"/>
        </w:rPr>
        <w:t xml:space="preserve"> Muncii și Protecției Sociale</w:t>
      </w:r>
      <w:r w:rsidRPr="00967339">
        <w:rPr>
          <w:rFonts w:asciiTheme="majorHAnsi" w:hAnsiTheme="majorHAnsi"/>
          <w:noProof/>
          <w:sz w:val="24"/>
          <w:szCs w:val="24"/>
        </w:rPr>
        <w:t xml:space="preserve"> </w:t>
      </w:r>
      <w:r w:rsidR="008069E5" w:rsidRPr="00967339">
        <w:rPr>
          <w:rFonts w:asciiTheme="majorHAnsi" w:hAnsiTheme="majorHAnsi"/>
          <w:noProof/>
          <w:sz w:val="24"/>
          <w:szCs w:val="24"/>
        </w:rPr>
        <w:t>are înregistrat la contul 519 „Alte datorii ale autorităților/instituțiilor bugetare”</w:t>
      </w:r>
      <w:r w:rsidRPr="00967339">
        <w:rPr>
          <w:rFonts w:asciiTheme="majorHAnsi" w:hAnsiTheme="majorHAnsi"/>
          <w:noProof/>
          <w:sz w:val="24"/>
          <w:szCs w:val="24"/>
        </w:rPr>
        <w:t xml:space="preserve"> </w:t>
      </w:r>
      <w:r w:rsidR="008069E5" w:rsidRPr="00967339">
        <w:rPr>
          <w:rFonts w:asciiTheme="majorHAnsi" w:hAnsiTheme="majorHAnsi"/>
          <w:noProof/>
          <w:sz w:val="24"/>
          <w:szCs w:val="24"/>
        </w:rPr>
        <w:t>datoria cu termen expirat (arierată) în sumă de 9</w:t>
      </w:r>
      <w:r w:rsidR="00862816">
        <w:rPr>
          <w:rFonts w:asciiTheme="majorHAnsi" w:hAnsiTheme="majorHAnsi"/>
          <w:noProof/>
          <w:sz w:val="24"/>
          <w:szCs w:val="24"/>
        </w:rPr>
        <w:t>.</w:t>
      </w:r>
      <w:r w:rsidR="008069E5" w:rsidRPr="00967339">
        <w:rPr>
          <w:rFonts w:asciiTheme="majorHAnsi" w:hAnsiTheme="majorHAnsi"/>
          <w:noProof/>
          <w:sz w:val="24"/>
          <w:szCs w:val="24"/>
        </w:rPr>
        <w:t xml:space="preserve">004,2 mii lei față de </w:t>
      </w:r>
      <w:r w:rsidRPr="00967339">
        <w:rPr>
          <w:rFonts w:asciiTheme="majorHAnsi" w:hAnsiTheme="majorHAnsi"/>
          <w:noProof/>
          <w:sz w:val="24"/>
          <w:szCs w:val="24"/>
        </w:rPr>
        <w:t>un agent economic</w:t>
      </w:r>
      <w:r w:rsidR="008069E5" w:rsidRPr="00967339">
        <w:rPr>
          <w:rFonts w:asciiTheme="majorHAnsi" w:hAnsiTheme="majorHAnsi"/>
          <w:noProof/>
          <w:sz w:val="24"/>
          <w:szCs w:val="24"/>
        </w:rPr>
        <w:t>,</w:t>
      </w:r>
      <w:r w:rsidRPr="00967339">
        <w:rPr>
          <w:rFonts w:asciiTheme="majorHAnsi" w:hAnsiTheme="majorHAnsi"/>
          <w:noProof/>
          <w:sz w:val="24"/>
          <w:szCs w:val="24"/>
        </w:rPr>
        <w:t xml:space="preserve"> formată în baza Contractului de achiziționare nr.14 din 07.11.2014 privind achiziționarea de dispozitive pentru radiografie</w:t>
      </w:r>
      <w:r w:rsidR="00E96700" w:rsidRPr="00967339">
        <w:rPr>
          <w:rFonts w:asciiTheme="majorHAnsi" w:hAnsiTheme="majorHAnsi"/>
          <w:noProof/>
          <w:sz w:val="24"/>
          <w:szCs w:val="24"/>
        </w:rPr>
        <w:t>, pentru</w:t>
      </w:r>
      <w:r w:rsidRPr="00967339">
        <w:rPr>
          <w:rFonts w:asciiTheme="majorHAnsi" w:hAnsiTheme="majorHAnsi"/>
          <w:noProof/>
          <w:sz w:val="24"/>
          <w:szCs w:val="24"/>
        </w:rPr>
        <w:t xml:space="preserve"> </w:t>
      </w:r>
      <w:r w:rsidR="008069E5" w:rsidRPr="00967339">
        <w:rPr>
          <w:rFonts w:asciiTheme="majorHAnsi" w:hAnsiTheme="majorHAnsi"/>
          <w:noProof/>
          <w:sz w:val="24"/>
          <w:szCs w:val="24"/>
        </w:rPr>
        <w:t>care a achitat 42</w:t>
      </w:r>
      <w:r w:rsidR="00862816">
        <w:rPr>
          <w:rFonts w:asciiTheme="majorHAnsi" w:hAnsiTheme="majorHAnsi"/>
          <w:noProof/>
          <w:sz w:val="24"/>
          <w:szCs w:val="24"/>
        </w:rPr>
        <w:t>.</w:t>
      </w:r>
      <w:r w:rsidR="008069E5" w:rsidRPr="00967339">
        <w:rPr>
          <w:rFonts w:asciiTheme="majorHAnsi" w:hAnsiTheme="majorHAnsi"/>
          <w:noProof/>
          <w:sz w:val="24"/>
          <w:szCs w:val="24"/>
        </w:rPr>
        <w:t>324,0 mii lei.</w:t>
      </w:r>
      <w:r w:rsidRPr="00967339">
        <w:rPr>
          <w:rFonts w:asciiTheme="majorHAnsi" w:hAnsiTheme="majorHAnsi"/>
          <w:noProof/>
          <w:sz w:val="24"/>
          <w:szCs w:val="24"/>
        </w:rPr>
        <w:t xml:space="preserve"> </w:t>
      </w:r>
      <w:r w:rsidR="008069E5" w:rsidRPr="00967339">
        <w:rPr>
          <w:rFonts w:asciiTheme="majorHAnsi" w:hAnsiTheme="majorHAnsi"/>
          <w:noProof/>
          <w:sz w:val="24"/>
          <w:szCs w:val="24"/>
        </w:rPr>
        <w:t>Deși Hotărârea Judecătoriei din 27.07.2021 dispu</w:t>
      </w:r>
      <w:r w:rsidR="00862816">
        <w:rPr>
          <w:rFonts w:asciiTheme="majorHAnsi" w:hAnsiTheme="majorHAnsi"/>
          <w:noProof/>
          <w:sz w:val="24"/>
          <w:szCs w:val="24"/>
        </w:rPr>
        <w:t>ne</w:t>
      </w:r>
      <w:r w:rsidR="008069E5" w:rsidRPr="00967339">
        <w:rPr>
          <w:rFonts w:asciiTheme="majorHAnsi" w:hAnsiTheme="majorHAnsi"/>
          <w:noProof/>
          <w:sz w:val="24"/>
          <w:szCs w:val="24"/>
        </w:rPr>
        <w:t xml:space="preserve"> achitarea datoriei în sumă de 9</w:t>
      </w:r>
      <w:r w:rsidR="00862816">
        <w:rPr>
          <w:rFonts w:asciiTheme="majorHAnsi" w:hAnsiTheme="majorHAnsi"/>
          <w:noProof/>
          <w:sz w:val="24"/>
          <w:szCs w:val="24"/>
        </w:rPr>
        <w:t>.</w:t>
      </w:r>
      <w:r w:rsidR="008069E5" w:rsidRPr="00967339">
        <w:rPr>
          <w:rFonts w:asciiTheme="majorHAnsi" w:hAnsiTheme="majorHAnsi"/>
          <w:noProof/>
          <w:sz w:val="24"/>
          <w:szCs w:val="24"/>
        </w:rPr>
        <w:t>004,2 mii lei și a taxei de stat în sumă de 50,0 mii lei, acestea nu au fost achitate</w:t>
      </w:r>
      <w:r w:rsidR="00862816">
        <w:rPr>
          <w:rFonts w:asciiTheme="majorHAnsi" w:hAnsiTheme="majorHAnsi"/>
          <w:noProof/>
          <w:sz w:val="24"/>
          <w:szCs w:val="24"/>
        </w:rPr>
        <w:t xml:space="preserve"> ministerului</w:t>
      </w:r>
      <w:r w:rsidR="008069E5" w:rsidRPr="00967339">
        <w:rPr>
          <w:rFonts w:asciiTheme="majorHAnsi" w:hAnsiTheme="majorHAnsi"/>
          <w:noProof/>
          <w:sz w:val="24"/>
          <w:szCs w:val="24"/>
        </w:rPr>
        <w:t xml:space="preserve">. </w:t>
      </w:r>
      <w:r w:rsidR="008069E5" w:rsidRPr="00C45FAA">
        <w:rPr>
          <w:rFonts w:asciiTheme="majorHAnsi" w:hAnsiTheme="majorHAnsi"/>
          <w:noProof/>
          <w:sz w:val="24"/>
          <w:szCs w:val="24"/>
        </w:rPr>
        <w:t xml:space="preserve">Aceste condiții determină riscul de apariție a unui </w:t>
      </w:r>
      <w:r w:rsidR="00862816">
        <w:rPr>
          <w:rFonts w:asciiTheme="majorHAnsi" w:hAnsiTheme="majorHAnsi"/>
          <w:noProof/>
          <w:sz w:val="24"/>
          <w:szCs w:val="24"/>
        </w:rPr>
        <w:t xml:space="preserve">nou </w:t>
      </w:r>
      <w:r w:rsidR="008069E5" w:rsidRPr="00C45FAA">
        <w:rPr>
          <w:rFonts w:asciiTheme="majorHAnsi" w:hAnsiTheme="majorHAnsi"/>
          <w:noProof/>
          <w:sz w:val="24"/>
          <w:szCs w:val="24"/>
        </w:rPr>
        <w:t xml:space="preserve">litigiu </w:t>
      </w:r>
      <w:r w:rsidR="001E3630" w:rsidRPr="00C45FAA">
        <w:rPr>
          <w:rFonts w:asciiTheme="majorHAnsi" w:hAnsiTheme="majorHAnsi"/>
          <w:noProof/>
          <w:sz w:val="24"/>
          <w:szCs w:val="24"/>
        </w:rPr>
        <w:t xml:space="preserve">cu </w:t>
      </w:r>
      <w:r w:rsidR="00747849">
        <w:rPr>
          <w:rFonts w:asciiTheme="majorHAnsi" w:hAnsiTheme="majorHAnsi"/>
          <w:noProof/>
          <w:sz w:val="24"/>
          <w:szCs w:val="24"/>
        </w:rPr>
        <w:t>suportarea</w:t>
      </w:r>
      <w:r w:rsidR="00747849" w:rsidRPr="00C45FAA">
        <w:rPr>
          <w:rFonts w:asciiTheme="majorHAnsi" w:hAnsiTheme="majorHAnsi"/>
          <w:noProof/>
          <w:sz w:val="24"/>
          <w:szCs w:val="24"/>
        </w:rPr>
        <w:t xml:space="preserve"> </w:t>
      </w:r>
      <w:r w:rsidR="00BE3D18" w:rsidRPr="00C45FAA">
        <w:rPr>
          <w:rFonts w:asciiTheme="majorHAnsi" w:hAnsiTheme="majorHAnsi"/>
          <w:noProof/>
          <w:sz w:val="24"/>
          <w:szCs w:val="24"/>
        </w:rPr>
        <w:t>cheltuielilor suplimentare.</w:t>
      </w:r>
      <w:r w:rsidR="007E74A0" w:rsidRPr="00C45FAA">
        <w:rPr>
          <w:rFonts w:asciiTheme="majorHAnsi" w:hAnsiTheme="majorHAnsi"/>
          <w:noProof/>
          <w:sz w:val="24"/>
          <w:szCs w:val="24"/>
        </w:rPr>
        <w:t xml:space="preserve"> </w:t>
      </w:r>
      <w:r w:rsidR="00BE3D18" w:rsidRPr="00C45FAA">
        <w:rPr>
          <w:rFonts w:asciiTheme="majorHAnsi" w:hAnsiTheme="majorHAnsi"/>
          <w:noProof/>
          <w:sz w:val="24"/>
          <w:szCs w:val="24"/>
        </w:rPr>
        <w:t xml:space="preserve">Entitatea a motivat prin </w:t>
      </w:r>
      <w:r w:rsidR="002B554F" w:rsidRPr="00C45FAA">
        <w:rPr>
          <w:rFonts w:asciiTheme="majorHAnsi" w:hAnsiTheme="majorHAnsi"/>
          <w:noProof/>
          <w:sz w:val="24"/>
          <w:szCs w:val="24"/>
        </w:rPr>
        <w:t>con</w:t>
      </w:r>
      <w:r w:rsidR="00747849">
        <w:rPr>
          <w:rFonts w:asciiTheme="majorHAnsi" w:hAnsiTheme="majorHAnsi"/>
          <w:noProof/>
          <w:sz w:val="24"/>
          <w:szCs w:val="24"/>
        </w:rPr>
        <w:t>t</w:t>
      </w:r>
      <w:r w:rsidR="002B554F" w:rsidRPr="00C45FAA">
        <w:rPr>
          <w:rFonts w:asciiTheme="majorHAnsi" w:hAnsiTheme="majorHAnsi"/>
          <w:noProof/>
          <w:sz w:val="24"/>
          <w:szCs w:val="24"/>
        </w:rPr>
        <w:t>estarea hotărârii și, respectiv, lipsa unei decizii irevocabile</w:t>
      </w:r>
      <w:r w:rsidR="00926043">
        <w:rPr>
          <w:rFonts w:asciiTheme="majorHAnsi" w:hAnsiTheme="majorHAnsi"/>
          <w:noProof/>
          <w:sz w:val="24"/>
          <w:szCs w:val="24"/>
        </w:rPr>
        <w:t>;</w:t>
      </w:r>
      <w:r w:rsidR="002B554F" w:rsidRPr="00C45FAA">
        <w:rPr>
          <w:rFonts w:asciiTheme="majorHAnsi" w:hAnsiTheme="majorHAnsi"/>
          <w:noProof/>
          <w:sz w:val="24"/>
          <w:szCs w:val="24"/>
        </w:rPr>
        <w:t xml:space="preserve"> </w:t>
      </w:r>
    </w:p>
    <w:p w14:paraId="3D414D58" w14:textId="5B819C41" w:rsidR="00023A8F" w:rsidRPr="0047097C" w:rsidRDefault="00023A8F" w:rsidP="00023A8F">
      <w:pPr>
        <w:pStyle w:val="a3"/>
        <w:numPr>
          <w:ilvl w:val="1"/>
          <w:numId w:val="9"/>
        </w:numPr>
        <w:tabs>
          <w:tab w:val="left" w:pos="0"/>
        </w:tabs>
        <w:spacing w:before="100" w:beforeAutospacing="1" w:line="276" w:lineRule="auto"/>
        <w:ind w:left="0" w:firstLine="0"/>
        <w:jc w:val="both"/>
        <w:rPr>
          <w:rFonts w:asciiTheme="majorHAnsi" w:hAnsiTheme="majorHAnsi" w:cstheme="majorHAnsi"/>
          <w:lang w:val="ro-RO"/>
        </w:rPr>
      </w:pPr>
      <w:r w:rsidRPr="007C1653">
        <w:rPr>
          <w:rFonts w:asciiTheme="majorHAnsi" w:hAnsiTheme="majorHAnsi"/>
          <w:b/>
          <w:noProof/>
        </w:rPr>
        <w:t>Ag</w:t>
      </w:r>
      <w:r w:rsidR="00AE790C" w:rsidRPr="007C1653">
        <w:rPr>
          <w:rFonts w:asciiTheme="majorHAnsi" w:hAnsiTheme="majorHAnsi"/>
          <w:b/>
          <w:noProof/>
        </w:rPr>
        <w:t>enți</w:t>
      </w:r>
      <w:r w:rsidR="00AE790C" w:rsidRPr="0047097C">
        <w:rPr>
          <w:rFonts w:asciiTheme="majorHAnsi" w:hAnsiTheme="majorHAnsi"/>
          <w:b/>
          <w:noProof/>
        </w:rPr>
        <w:t xml:space="preserve">a Națională </w:t>
      </w:r>
      <w:r w:rsidR="00926043">
        <w:rPr>
          <w:rFonts w:asciiTheme="majorHAnsi" w:hAnsiTheme="majorHAnsi"/>
          <w:b/>
          <w:noProof/>
        </w:rPr>
        <w:t xml:space="preserve">pentru </w:t>
      </w:r>
      <w:r w:rsidR="00AE790C" w:rsidRPr="0047097C">
        <w:rPr>
          <w:rFonts w:asciiTheme="majorHAnsi" w:hAnsiTheme="majorHAnsi"/>
          <w:b/>
          <w:noProof/>
        </w:rPr>
        <w:t>Sănătate Publică</w:t>
      </w:r>
      <w:r w:rsidR="00747849">
        <w:rPr>
          <w:rFonts w:asciiTheme="majorHAnsi" w:hAnsiTheme="majorHAnsi"/>
          <w:b/>
          <w:noProof/>
        </w:rPr>
        <w:t>,</w:t>
      </w:r>
      <w:r w:rsidR="00AE790C" w:rsidRPr="0047097C">
        <w:rPr>
          <w:rFonts w:asciiTheme="majorHAnsi" w:hAnsiTheme="majorHAnsi"/>
          <w:b/>
          <w:noProof/>
        </w:rPr>
        <w:t xml:space="preserve"> </w:t>
      </w:r>
      <w:r w:rsidR="0047097C" w:rsidRPr="0047097C">
        <w:rPr>
          <w:rFonts w:asciiTheme="majorHAnsi" w:hAnsiTheme="majorHAnsi" w:cstheme="majorHAnsi"/>
          <w:lang w:val="ro-RO"/>
        </w:rPr>
        <w:t>contrar prevederil</w:t>
      </w:r>
      <w:r w:rsidR="00747849">
        <w:rPr>
          <w:rFonts w:asciiTheme="majorHAnsi" w:hAnsiTheme="majorHAnsi" w:cstheme="majorHAnsi"/>
          <w:lang w:val="ro-RO"/>
        </w:rPr>
        <w:t>or</w:t>
      </w:r>
      <w:r w:rsidR="0047097C" w:rsidRPr="0047097C">
        <w:rPr>
          <w:rFonts w:asciiTheme="majorHAnsi" w:hAnsiTheme="majorHAnsi" w:cstheme="majorHAnsi"/>
          <w:lang w:val="ro-RO"/>
        </w:rPr>
        <w:t xml:space="preserve"> </w:t>
      </w:r>
      <w:r w:rsidR="00747849">
        <w:rPr>
          <w:rFonts w:asciiTheme="majorHAnsi" w:hAnsiTheme="majorHAnsi" w:cstheme="majorHAnsi"/>
          <w:lang w:val="ro-RO"/>
        </w:rPr>
        <w:t>C</w:t>
      </w:r>
      <w:r w:rsidR="0047097C" w:rsidRPr="0047097C">
        <w:rPr>
          <w:rFonts w:asciiTheme="majorHAnsi" w:hAnsiTheme="majorHAnsi" w:cstheme="majorHAnsi"/>
          <w:lang w:val="ro-RO"/>
        </w:rPr>
        <w:t>ircularei MF nr.12/4-4-70 din 30.09.2021 „Cu privire la reorganizarea administrației publice”</w:t>
      </w:r>
      <w:r w:rsidR="00581487">
        <w:rPr>
          <w:rFonts w:asciiTheme="majorHAnsi" w:hAnsiTheme="majorHAnsi" w:cstheme="majorHAnsi"/>
          <w:lang w:val="ro-RO"/>
        </w:rPr>
        <w:t>, nu a</w:t>
      </w:r>
      <w:r w:rsidR="0047097C" w:rsidRPr="0047097C">
        <w:rPr>
          <w:rFonts w:asciiTheme="majorHAnsi" w:hAnsiTheme="majorHAnsi" w:cstheme="majorHAnsi"/>
          <w:lang w:val="ro-RO"/>
        </w:rPr>
        <w:t xml:space="preserve"> raporta</w:t>
      </w:r>
      <w:r w:rsidR="00581487">
        <w:rPr>
          <w:rFonts w:asciiTheme="majorHAnsi" w:hAnsiTheme="majorHAnsi" w:cstheme="majorHAnsi"/>
          <w:lang w:val="ro-RO"/>
        </w:rPr>
        <w:t>t</w:t>
      </w:r>
      <w:r w:rsidR="0047097C" w:rsidRPr="0047097C">
        <w:rPr>
          <w:rFonts w:asciiTheme="majorHAnsi" w:hAnsiTheme="majorHAnsi" w:cstheme="majorHAnsi"/>
          <w:lang w:val="ro-RO"/>
        </w:rPr>
        <w:t xml:space="preserve"> datorii la contul 518 „Alte datorii interne ale bugetului” </w:t>
      </w:r>
      <w:r w:rsidR="00581487">
        <w:rPr>
          <w:rFonts w:asciiTheme="majorHAnsi" w:hAnsiTheme="majorHAnsi" w:cstheme="majorHAnsi"/>
          <w:lang w:val="ro-RO"/>
        </w:rPr>
        <w:t xml:space="preserve">în sumă </w:t>
      </w:r>
      <w:r w:rsidR="00747849">
        <w:rPr>
          <w:rFonts w:asciiTheme="majorHAnsi" w:hAnsiTheme="majorHAnsi" w:cstheme="majorHAnsi"/>
          <w:lang w:val="ro-RO"/>
        </w:rPr>
        <w:t>de</w:t>
      </w:r>
      <w:r w:rsidR="0047097C" w:rsidRPr="0047097C">
        <w:rPr>
          <w:rFonts w:asciiTheme="majorHAnsi" w:hAnsiTheme="majorHAnsi" w:cstheme="majorHAnsi"/>
          <w:lang w:val="ro-RO"/>
        </w:rPr>
        <w:t xml:space="preserve"> 98,2 mii lei, ceea ce denotă că nu au fost contabilizate și închise prin intermediul contului (723) </w:t>
      </w:r>
      <w:r w:rsidR="004337D8">
        <w:rPr>
          <w:rFonts w:asciiTheme="majorHAnsi" w:hAnsiTheme="majorHAnsi" w:cstheme="majorHAnsi"/>
          <w:lang w:val="ro-RO"/>
        </w:rPr>
        <w:t>„</w:t>
      </w:r>
      <w:r w:rsidR="0047097C" w:rsidRPr="0047097C">
        <w:rPr>
          <w:rFonts w:asciiTheme="majorHAnsi" w:hAnsiTheme="majorHAnsi" w:cstheme="majorHAnsi"/>
          <w:lang w:val="ro-RO"/>
        </w:rPr>
        <w:t xml:space="preserve">Corectarea rezultatelor anilor precedenți ale instituțiilor bugetare”. </w:t>
      </w:r>
      <w:r w:rsidR="00303561" w:rsidRPr="0047097C">
        <w:rPr>
          <w:rFonts w:asciiTheme="majorHAnsi" w:hAnsiTheme="majorHAnsi" w:cstheme="majorHAnsi"/>
          <w:lang w:val="ro-RO"/>
        </w:rPr>
        <w:t>De as</w:t>
      </w:r>
      <w:r w:rsidR="00303561">
        <w:rPr>
          <w:rFonts w:asciiTheme="majorHAnsi" w:hAnsiTheme="majorHAnsi" w:cstheme="majorHAnsi"/>
          <w:lang w:val="ro-RO"/>
        </w:rPr>
        <w:t>emenea</w:t>
      </w:r>
      <w:r w:rsidR="004337D8">
        <w:rPr>
          <w:rFonts w:asciiTheme="majorHAnsi" w:hAnsiTheme="majorHAnsi" w:cstheme="majorHAnsi"/>
          <w:lang w:val="ro-RO"/>
        </w:rPr>
        <w:t>,</w:t>
      </w:r>
      <w:r w:rsidR="0047097C">
        <w:rPr>
          <w:rFonts w:asciiTheme="majorHAnsi" w:hAnsiTheme="majorHAnsi" w:cstheme="majorHAnsi"/>
          <w:lang w:val="ro-RO"/>
        </w:rPr>
        <w:t xml:space="preserve"> a</w:t>
      </w:r>
      <w:r w:rsidR="00AE790C" w:rsidRPr="0047097C">
        <w:rPr>
          <w:rFonts w:asciiTheme="majorHAnsi" w:hAnsiTheme="majorHAnsi"/>
          <w:noProof/>
        </w:rPr>
        <w:t xml:space="preserve"> admis </w:t>
      </w:r>
      <w:r w:rsidR="00AE790C" w:rsidRPr="0047097C">
        <w:rPr>
          <w:rFonts w:asciiTheme="majorHAnsi" w:hAnsiTheme="majorHAnsi" w:cstheme="majorHAnsi"/>
          <w:noProof/>
          <w:lang w:val="ro-RO"/>
        </w:rPr>
        <w:t xml:space="preserve">necorespunderea datelor din Cartea </w:t>
      </w:r>
      <w:r w:rsidR="004337D8">
        <w:rPr>
          <w:rFonts w:asciiTheme="majorHAnsi" w:hAnsiTheme="majorHAnsi" w:cstheme="majorHAnsi"/>
          <w:noProof/>
          <w:lang w:val="ro-RO"/>
        </w:rPr>
        <w:t>m</w:t>
      </w:r>
      <w:r w:rsidR="00AE790C" w:rsidRPr="0047097C">
        <w:rPr>
          <w:rFonts w:asciiTheme="majorHAnsi" w:hAnsiTheme="majorHAnsi" w:cstheme="majorHAnsi"/>
          <w:noProof/>
          <w:lang w:val="ro-RO"/>
        </w:rPr>
        <w:t xml:space="preserve">are cu indicatorii </w:t>
      </w:r>
      <w:r w:rsidR="004337D8">
        <w:rPr>
          <w:rFonts w:asciiTheme="majorHAnsi" w:hAnsiTheme="majorHAnsi" w:cstheme="majorHAnsi"/>
          <w:noProof/>
          <w:lang w:val="ro-RO"/>
        </w:rPr>
        <w:t>g</w:t>
      </w:r>
      <w:r w:rsidR="00AE790C" w:rsidRPr="0047097C">
        <w:rPr>
          <w:rFonts w:asciiTheme="majorHAnsi" w:hAnsiTheme="majorHAnsi" w:cstheme="majorHAnsi"/>
          <w:noProof/>
          <w:lang w:val="ro-RO"/>
        </w:rPr>
        <w:t>rupei de conturi 439 „Alte valori și mijloace bănești</w:t>
      </w:r>
      <w:r w:rsidR="004337D8">
        <w:rPr>
          <w:rFonts w:asciiTheme="majorHAnsi" w:hAnsiTheme="majorHAnsi" w:cstheme="majorHAnsi"/>
          <w:noProof/>
          <w:lang w:val="ro-RO"/>
        </w:rPr>
        <w:t>”</w:t>
      </w:r>
      <w:r w:rsidR="00AE790C" w:rsidRPr="0047097C">
        <w:rPr>
          <w:rFonts w:asciiTheme="majorHAnsi" w:hAnsiTheme="majorHAnsi" w:cstheme="majorHAnsi"/>
          <w:noProof/>
          <w:lang w:val="ro-RO"/>
        </w:rPr>
        <w:t xml:space="preserve"> cu valoarea de </w:t>
      </w:r>
      <w:r w:rsidR="00AE790C" w:rsidRPr="0047097C">
        <w:rPr>
          <w:rFonts w:asciiTheme="majorHAnsi" w:hAnsiTheme="majorHAnsi" w:cstheme="majorHAnsi"/>
          <w:noProof/>
        </w:rPr>
        <w:t xml:space="preserve">80,65 mii lei. </w:t>
      </w:r>
      <w:r w:rsidR="00303561" w:rsidRPr="0047097C">
        <w:rPr>
          <w:rFonts w:asciiTheme="majorHAnsi" w:hAnsiTheme="majorHAnsi" w:cstheme="majorHAnsi"/>
          <w:lang w:val="ro-RO"/>
        </w:rPr>
        <w:t>Nereflectarea</w:t>
      </w:r>
      <w:r w:rsidR="00AE790C" w:rsidRPr="0047097C">
        <w:rPr>
          <w:rFonts w:asciiTheme="majorHAnsi" w:hAnsiTheme="majorHAnsi" w:cstheme="majorHAnsi"/>
          <w:lang w:val="ro-RO"/>
        </w:rPr>
        <w:t xml:space="preserve"> în evidența contabilă a operațiunii de trecere prin intermediul contului 723</w:t>
      </w:r>
      <w:r w:rsidR="00AE790C" w:rsidRPr="0047097C">
        <w:rPr>
          <w:rFonts w:asciiTheme="majorHAnsi" w:hAnsiTheme="majorHAnsi"/>
        </w:rPr>
        <w:t xml:space="preserve"> </w:t>
      </w:r>
      <w:r w:rsidR="004337D8">
        <w:rPr>
          <w:rFonts w:asciiTheme="majorHAnsi" w:hAnsiTheme="majorHAnsi"/>
        </w:rPr>
        <w:t>„</w:t>
      </w:r>
      <w:r w:rsidR="00AE790C" w:rsidRPr="0047097C">
        <w:rPr>
          <w:rFonts w:asciiTheme="majorHAnsi" w:hAnsiTheme="majorHAnsi" w:cstheme="majorHAnsi"/>
          <w:lang w:val="ro-RO"/>
        </w:rPr>
        <w:t xml:space="preserve">Corectarea rezultatelor anilor precedenți ale instituțiilor bugetare” a valorii contului 439 </w:t>
      </w:r>
      <w:r w:rsidR="00AE790C" w:rsidRPr="0047097C">
        <w:rPr>
          <w:rFonts w:asciiTheme="majorHAnsi" w:hAnsiTheme="majorHAnsi" w:cstheme="majorHAnsi"/>
          <w:noProof/>
          <w:lang w:val="ro-RO"/>
        </w:rPr>
        <w:t>„Alte valori și mijloace bănești”</w:t>
      </w:r>
      <w:r w:rsidR="004337D8">
        <w:rPr>
          <w:rFonts w:asciiTheme="majorHAnsi" w:hAnsiTheme="majorHAnsi" w:cstheme="majorHAnsi"/>
          <w:noProof/>
          <w:lang w:val="ro-RO"/>
        </w:rPr>
        <w:t>,</w:t>
      </w:r>
      <w:r w:rsidR="00AE790C" w:rsidRPr="0047097C">
        <w:rPr>
          <w:rFonts w:asciiTheme="majorHAnsi" w:hAnsiTheme="majorHAnsi" w:cstheme="majorHAnsi"/>
          <w:lang w:val="ro-RO"/>
        </w:rPr>
        <w:t xml:space="preserve"> a condiționat subevaluarea contului cu 80,65 mii lei</w:t>
      </w:r>
      <w:r w:rsidR="008863A3">
        <w:rPr>
          <w:rFonts w:asciiTheme="majorHAnsi" w:hAnsiTheme="majorHAnsi" w:cstheme="majorHAnsi"/>
          <w:lang w:val="ro-RO"/>
        </w:rPr>
        <w:t>;</w:t>
      </w:r>
    </w:p>
    <w:p w14:paraId="03A01AED" w14:textId="0ACE984D" w:rsidR="001C454A" w:rsidRPr="0047097C" w:rsidRDefault="001C454A" w:rsidP="0047097C">
      <w:pPr>
        <w:pStyle w:val="a3"/>
        <w:numPr>
          <w:ilvl w:val="1"/>
          <w:numId w:val="9"/>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47097C">
        <w:rPr>
          <w:rFonts w:asciiTheme="majorHAnsi" w:hAnsiTheme="majorHAnsi"/>
          <w:noProof/>
        </w:rPr>
        <w:t>Alte 2 instituții</w:t>
      </w:r>
      <w:r w:rsidRPr="0076100A">
        <w:rPr>
          <w:rStyle w:val="ad"/>
          <w:rFonts w:asciiTheme="majorHAnsi" w:hAnsiTheme="majorHAnsi"/>
          <w:noProof/>
        </w:rPr>
        <w:footnoteReference w:id="25"/>
      </w:r>
      <w:r w:rsidRPr="0047097C">
        <w:rPr>
          <w:rFonts w:asciiTheme="majorHAnsi" w:hAnsiTheme="majorHAnsi"/>
          <w:noProof/>
        </w:rPr>
        <w:t xml:space="preserve"> din subordinea ministerului, contrar prevederilor </w:t>
      </w:r>
      <w:r w:rsidR="004337D8">
        <w:rPr>
          <w:rFonts w:asciiTheme="majorHAnsi" w:hAnsiTheme="majorHAnsi"/>
          <w:noProof/>
        </w:rPr>
        <w:t>O</w:t>
      </w:r>
      <w:r w:rsidRPr="0047097C">
        <w:rPr>
          <w:rFonts w:asciiTheme="majorHAnsi" w:hAnsiTheme="majorHAnsi"/>
          <w:noProof/>
        </w:rPr>
        <w:t>rdinul</w:t>
      </w:r>
      <w:r w:rsidR="004337D8">
        <w:rPr>
          <w:rFonts w:asciiTheme="majorHAnsi" w:hAnsiTheme="majorHAnsi"/>
          <w:noProof/>
        </w:rPr>
        <w:t>ui MF nr.</w:t>
      </w:r>
      <w:r w:rsidRPr="0047097C">
        <w:rPr>
          <w:rFonts w:asciiTheme="majorHAnsi" w:hAnsiTheme="majorHAnsi"/>
          <w:noProof/>
        </w:rPr>
        <w:t xml:space="preserve"> 216/2015</w:t>
      </w:r>
      <w:r w:rsidR="004337D8">
        <w:rPr>
          <w:rFonts w:asciiTheme="majorHAnsi" w:hAnsiTheme="majorHAnsi"/>
          <w:noProof/>
        </w:rPr>
        <w:t>,</w:t>
      </w:r>
      <w:r w:rsidRPr="0047097C">
        <w:rPr>
          <w:rFonts w:asciiTheme="majorHAnsi" w:hAnsiTheme="majorHAnsi"/>
          <w:noProof/>
        </w:rPr>
        <w:t xml:space="preserve"> au </w:t>
      </w:r>
      <w:r w:rsidR="006F56D1">
        <w:rPr>
          <w:rFonts w:asciiTheme="majorHAnsi" w:hAnsiTheme="majorHAnsi"/>
          <w:noProof/>
        </w:rPr>
        <w:t>acceptat</w:t>
      </w:r>
      <w:r w:rsidRPr="0047097C">
        <w:rPr>
          <w:rFonts w:asciiTheme="majorHAnsi" w:hAnsiTheme="majorHAnsi"/>
          <w:noProof/>
        </w:rPr>
        <w:t xml:space="preserve"> și au înregistrat eronat în evidența contabilă mijloace primite de la agenți economici la subcontul 149200 </w:t>
      </w:r>
      <w:r w:rsidR="004337D8">
        <w:rPr>
          <w:rFonts w:asciiTheme="majorHAnsi" w:hAnsiTheme="majorHAnsi"/>
          <w:noProof/>
        </w:rPr>
        <w:t>„</w:t>
      </w:r>
      <w:r w:rsidRPr="0047097C">
        <w:rPr>
          <w:rFonts w:asciiTheme="majorHAnsi" w:hAnsiTheme="majorHAnsi"/>
          <w:noProof/>
        </w:rPr>
        <w:t>Venituri de la active intrate cu titlu gratuit din cadrul sistemului bugetar</w:t>
      </w:r>
      <w:r w:rsidR="004337D8">
        <w:rPr>
          <w:rFonts w:asciiTheme="majorHAnsi" w:hAnsiTheme="majorHAnsi"/>
          <w:noProof/>
        </w:rPr>
        <w:t>”</w:t>
      </w:r>
      <w:r w:rsidRPr="0047097C">
        <w:rPr>
          <w:rFonts w:asciiTheme="majorHAnsi" w:hAnsiTheme="majorHAnsi"/>
          <w:noProof/>
        </w:rPr>
        <w:t xml:space="preserve">. De menționat că veniturile obținute din donațiile voluntare și ajutoare umanitare din afara sistemului bugetar urmau a fi reflectate la subcontul 144114 „Donații voluntare pentru cheltuieli curente din surse interne pentru autoritățile/instituțiile bugetare”. Astfel, instituțiile au supraevaluat grupa de conturi 149 </w:t>
      </w:r>
      <w:r w:rsidR="00926043">
        <w:rPr>
          <w:rFonts w:asciiTheme="majorHAnsi" w:hAnsiTheme="majorHAnsi"/>
          <w:noProof/>
        </w:rPr>
        <w:t>„</w:t>
      </w:r>
      <w:r w:rsidRPr="0047097C">
        <w:rPr>
          <w:rFonts w:asciiTheme="majorHAnsi" w:hAnsiTheme="majorHAnsi"/>
          <w:noProof/>
        </w:rPr>
        <w:t>Alte venituri și finanțări” și</w:t>
      </w:r>
      <w:r w:rsidR="00926043">
        <w:rPr>
          <w:rFonts w:asciiTheme="majorHAnsi" w:hAnsiTheme="majorHAnsi"/>
          <w:noProof/>
        </w:rPr>
        <w:t>,</w:t>
      </w:r>
      <w:r w:rsidRPr="0047097C">
        <w:rPr>
          <w:rFonts w:asciiTheme="majorHAnsi" w:hAnsiTheme="majorHAnsi"/>
          <w:noProof/>
        </w:rPr>
        <w:t xml:space="preserve"> respectiv</w:t>
      </w:r>
      <w:r w:rsidR="00926043">
        <w:rPr>
          <w:rFonts w:asciiTheme="majorHAnsi" w:hAnsiTheme="majorHAnsi"/>
          <w:noProof/>
        </w:rPr>
        <w:t>,</w:t>
      </w:r>
      <w:r w:rsidRPr="0047097C">
        <w:rPr>
          <w:rFonts w:asciiTheme="majorHAnsi" w:hAnsiTheme="majorHAnsi"/>
          <w:noProof/>
        </w:rPr>
        <w:t xml:space="preserve"> a</w:t>
      </w:r>
      <w:r w:rsidR="008863A3">
        <w:rPr>
          <w:rFonts w:asciiTheme="majorHAnsi" w:hAnsiTheme="majorHAnsi"/>
          <w:noProof/>
        </w:rPr>
        <w:t>u</w:t>
      </w:r>
      <w:r w:rsidRPr="0047097C">
        <w:rPr>
          <w:rFonts w:asciiTheme="majorHAnsi" w:hAnsiTheme="majorHAnsi"/>
          <w:noProof/>
        </w:rPr>
        <w:t xml:space="preserve"> subevaluat grupa de conturi 144 </w:t>
      </w:r>
      <w:r w:rsidR="00926043">
        <w:rPr>
          <w:rFonts w:asciiTheme="majorHAnsi" w:hAnsiTheme="majorHAnsi"/>
          <w:noProof/>
        </w:rPr>
        <w:t>„</w:t>
      </w:r>
      <w:r w:rsidRPr="0047097C">
        <w:rPr>
          <w:rFonts w:asciiTheme="majorHAnsi" w:hAnsiTheme="majorHAnsi"/>
          <w:noProof/>
        </w:rPr>
        <w:t>Donații voluntare” cu suma de 3</w:t>
      </w:r>
      <w:r w:rsidR="00926043">
        <w:rPr>
          <w:rFonts w:asciiTheme="majorHAnsi" w:hAnsiTheme="majorHAnsi"/>
          <w:noProof/>
        </w:rPr>
        <w:t>.</w:t>
      </w:r>
      <w:r w:rsidRPr="0047097C">
        <w:rPr>
          <w:rFonts w:asciiTheme="majorHAnsi" w:hAnsiTheme="majorHAnsi"/>
          <w:noProof/>
        </w:rPr>
        <w:t>186,0 mii lei</w:t>
      </w:r>
      <w:r w:rsidRPr="0076100A">
        <w:rPr>
          <w:rStyle w:val="ad"/>
          <w:rFonts w:asciiTheme="majorHAnsi" w:hAnsiTheme="majorHAnsi"/>
          <w:noProof/>
        </w:rPr>
        <w:footnoteReference w:id="26"/>
      </w:r>
      <w:r w:rsidRPr="0047097C">
        <w:rPr>
          <w:rFonts w:asciiTheme="majorHAnsi" w:hAnsiTheme="majorHAnsi"/>
          <w:noProof/>
        </w:rPr>
        <w:t>;</w:t>
      </w:r>
    </w:p>
    <w:p w14:paraId="1F372BE0" w14:textId="287375E4" w:rsidR="001C454A" w:rsidRPr="00C53585" w:rsidRDefault="001C454A" w:rsidP="0047097C">
      <w:pPr>
        <w:pStyle w:val="a3"/>
        <w:numPr>
          <w:ilvl w:val="1"/>
          <w:numId w:val="9"/>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Pr>
          <w:rFonts w:asciiTheme="majorHAnsi" w:hAnsiTheme="majorHAnsi"/>
          <w:noProof/>
        </w:rPr>
        <w:t xml:space="preserve">Ministerul a acordat subsidii </w:t>
      </w:r>
      <w:r w:rsidRPr="00967339">
        <w:rPr>
          <w:rFonts w:asciiTheme="majorHAnsi" w:hAnsiTheme="majorHAnsi"/>
          <w:noProof/>
        </w:rPr>
        <w:t>unei instituții (CNAMUP)</w:t>
      </w:r>
      <w:r>
        <w:rPr>
          <w:rFonts w:asciiTheme="majorHAnsi" w:hAnsiTheme="majorHAnsi"/>
          <w:noProof/>
        </w:rPr>
        <w:t xml:space="preserve"> în</w:t>
      </w:r>
      <w:r w:rsidRPr="00967339">
        <w:rPr>
          <w:rFonts w:asciiTheme="majorHAnsi" w:hAnsiTheme="majorHAnsi"/>
          <w:noProof/>
        </w:rPr>
        <w:t xml:space="preserve"> valoare de 12</w:t>
      </w:r>
      <w:r w:rsidR="008863A3">
        <w:rPr>
          <w:rFonts w:asciiTheme="majorHAnsi" w:hAnsiTheme="majorHAnsi"/>
          <w:noProof/>
        </w:rPr>
        <w:t>.</w:t>
      </w:r>
      <w:r w:rsidRPr="00967339">
        <w:rPr>
          <w:rFonts w:asciiTheme="majorHAnsi" w:hAnsiTheme="majorHAnsi"/>
          <w:noProof/>
        </w:rPr>
        <w:t>604,0 mii lei pentru fortificarea bazei tehnico-material</w:t>
      </w:r>
      <w:r w:rsidR="006F56D1">
        <w:rPr>
          <w:rFonts w:asciiTheme="majorHAnsi" w:hAnsiTheme="majorHAnsi"/>
          <w:noProof/>
        </w:rPr>
        <w:t>e</w:t>
      </w:r>
      <w:r w:rsidRPr="00967339">
        <w:rPr>
          <w:rFonts w:asciiTheme="majorHAnsi" w:hAnsiTheme="majorHAnsi"/>
          <w:noProof/>
        </w:rPr>
        <w:t xml:space="preserve"> (reparații capitale, construcții, lucră</w:t>
      </w:r>
      <w:r>
        <w:rPr>
          <w:rFonts w:asciiTheme="majorHAnsi" w:hAnsiTheme="majorHAnsi"/>
          <w:noProof/>
        </w:rPr>
        <w:t>ri de conectare la rețele etc.).</w:t>
      </w:r>
      <w:r>
        <w:rPr>
          <w:rFonts w:asciiTheme="majorHAnsi" w:hAnsiTheme="majorHAnsi" w:cstheme="majorHAnsi"/>
          <w:lang w:val="ro-RO"/>
        </w:rPr>
        <w:t xml:space="preserve"> </w:t>
      </w:r>
      <w:r w:rsidRPr="00C23DD3">
        <w:rPr>
          <w:rFonts w:asciiTheme="majorHAnsi" w:hAnsiTheme="majorHAnsi"/>
          <w:noProof/>
        </w:rPr>
        <w:t xml:space="preserve">Instituția a reflectat aceste mijloace financiare publice la contul 316 </w:t>
      </w:r>
      <w:r w:rsidR="008863A3">
        <w:rPr>
          <w:rFonts w:asciiTheme="majorHAnsi" w:hAnsiTheme="majorHAnsi"/>
          <w:noProof/>
        </w:rPr>
        <w:t>„</w:t>
      </w:r>
      <w:r w:rsidRPr="00C23DD3">
        <w:rPr>
          <w:rFonts w:asciiTheme="majorHAnsi" w:hAnsiTheme="majorHAnsi"/>
          <w:noProof/>
        </w:rPr>
        <w:t>Patrimoniu primit de la stat cu drept de proprietate</w:t>
      </w:r>
      <w:r w:rsidRPr="00CC2D8F">
        <w:rPr>
          <w:rFonts w:asciiTheme="majorHAnsi" w:hAnsiTheme="majorHAnsi"/>
          <w:noProof/>
          <w:lang w:val="fr-FR"/>
        </w:rPr>
        <w:t>”, iar Fondatorul</w:t>
      </w:r>
      <w:r w:rsidR="008863A3">
        <w:rPr>
          <w:rFonts w:asciiTheme="majorHAnsi" w:hAnsiTheme="majorHAnsi"/>
          <w:noProof/>
          <w:lang w:val="fr-FR"/>
        </w:rPr>
        <w:t>,</w:t>
      </w:r>
      <w:r w:rsidRPr="00CC2D8F">
        <w:rPr>
          <w:rFonts w:asciiTheme="majorHAnsi" w:hAnsiTheme="majorHAnsi"/>
          <w:noProof/>
          <w:lang w:val="fr-FR"/>
        </w:rPr>
        <w:t xml:space="preserve"> la solicitarea entității</w:t>
      </w:r>
      <w:r w:rsidRPr="007D3B5B">
        <w:rPr>
          <w:rStyle w:val="ad"/>
          <w:rFonts w:asciiTheme="majorHAnsi" w:hAnsiTheme="majorHAnsi"/>
          <w:noProof/>
          <w:lang w:val="en-US"/>
        </w:rPr>
        <w:footnoteReference w:id="27"/>
      </w:r>
      <w:r w:rsidR="008863A3">
        <w:rPr>
          <w:rFonts w:asciiTheme="majorHAnsi" w:hAnsiTheme="majorHAnsi"/>
          <w:noProof/>
          <w:lang w:val="fr-FR"/>
        </w:rPr>
        <w:t>,</w:t>
      </w:r>
      <w:r w:rsidRPr="00CC2D8F">
        <w:rPr>
          <w:rFonts w:asciiTheme="majorHAnsi" w:hAnsiTheme="majorHAnsi"/>
          <w:noProof/>
          <w:lang w:val="fr-FR"/>
        </w:rPr>
        <w:t xml:space="preserve"> nu a majorat capitalul social </w:t>
      </w:r>
      <w:r w:rsidR="008863A3">
        <w:rPr>
          <w:rFonts w:asciiTheme="majorHAnsi" w:hAnsiTheme="majorHAnsi"/>
          <w:noProof/>
          <w:lang w:val="fr-FR"/>
        </w:rPr>
        <w:t xml:space="preserve">ca </w:t>
      </w:r>
      <w:r w:rsidRPr="00CC2D8F">
        <w:rPr>
          <w:rFonts w:asciiTheme="majorHAnsi" w:hAnsiTheme="majorHAnsi"/>
          <w:noProof/>
          <w:lang w:val="fr-FR"/>
        </w:rPr>
        <w:t>urmare a acordării mijloacelor financiare în aceste scopuri</w:t>
      </w:r>
      <w:r>
        <w:rPr>
          <w:rFonts w:asciiTheme="majorHAnsi" w:hAnsiTheme="majorHAnsi"/>
          <w:noProof/>
        </w:rPr>
        <w:t>.</w:t>
      </w:r>
    </w:p>
    <w:p w14:paraId="10358679" w14:textId="35F7539C" w:rsidR="00281C38" w:rsidRPr="00967339" w:rsidRDefault="00281C38" w:rsidP="00023A8F">
      <w:pPr>
        <w:tabs>
          <w:tab w:val="left" w:pos="851"/>
        </w:tabs>
        <w:spacing w:line="276" w:lineRule="auto"/>
        <w:jc w:val="both"/>
        <w:rPr>
          <w:rFonts w:asciiTheme="majorHAnsi" w:hAnsiTheme="majorHAnsi" w:cstheme="majorHAnsi"/>
          <w:noProof/>
        </w:rPr>
      </w:pPr>
    </w:p>
    <w:p w14:paraId="707480A8" w14:textId="77777777" w:rsidR="00E95CF7" w:rsidRPr="00967339" w:rsidRDefault="00A653B8" w:rsidP="00023A8F">
      <w:pPr>
        <w:spacing w:line="276" w:lineRule="auto"/>
        <w:ind w:firstLine="720"/>
        <w:rPr>
          <w:rFonts w:asciiTheme="majorHAnsi" w:hAnsiTheme="majorHAnsi" w:cstheme="majorHAnsi"/>
          <w:b/>
          <w:noProof/>
        </w:rPr>
      </w:pPr>
      <w:r w:rsidRPr="00967339">
        <w:rPr>
          <w:rFonts w:asciiTheme="majorHAnsi" w:hAnsiTheme="majorHAnsi" w:cstheme="majorHAnsi"/>
          <w:b/>
          <w:noProof/>
        </w:rPr>
        <w:t>V</w:t>
      </w:r>
      <w:r w:rsidR="009E4FF7" w:rsidRPr="00967339">
        <w:rPr>
          <w:rFonts w:asciiTheme="majorHAnsi" w:hAnsiTheme="majorHAnsi" w:cstheme="majorHAnsi"/>
          <w:b/>
          <w:noProof/>
        </w:rPr>
        <w:t>I</w:t>
      </w:r>
      <w:r w:rsidR="0078053C" w:rsidRPr="00967339">
        <w:rPr>
          <w:rFonts w:asciiTheme="majorHAnsi" w:hAnsiTheme="majorHAnsi" w:cstheme="majorHAnsi"/>
          <w:b/>
          <w:noProof/>
        </w:rPr>
        <w:t xml:space="preserve">. </w:t>
      </w:r>
      <w:r w:rsidR="00DB3F13" w:rsidRPr="00967339">
        <w:rPr>
          <w:rFonts w:asciiTheme="majorHAnsi" w:hAnsiTheme="majorHAnsi" w:cstheme="majorHAnsi"/>
          <w:b/>
          <w:noProof/>
        </w:rPr>
        <w:t>BUNA GUVERNANȚĂ</w:t>
      </w:r>
    </w:p>
    <w:p w14:paraId="70FC6425" w14:textId="39CAEEBE" w:rsidR="00DC075A" w:rsidRPr="00830479" w:rsidRDefault="009C6C1E" w:rsidP="00DC075A">
      <w:pPr>
        <w:pStyle w:val="a3"/>
        <w:numPr>
          <w:ilvl w:val="1"/>
          <w:numId w:val="18"/>
        </w:numPr>
        <w:tabs>
          <w:tab w:val="left" w:pos="0"/>
        </w:tabs>
        <w:spacing w:line="276" w:lineRule="auto"/>
        <w:ind w:left="0" w:firstLine="0"/>
        <w:jc w:val="both"/>
        <w:rPr>
          <w:rFonts w:asciiTheme="majorHAnsi" w:hAnsiTheme="majorHAnsi" w:cstheme="majorHAnsi"/>
          <w:lang w:val="ro-RO" w:eastAsia="en-US"/>
        </w:rPr>
      </w:pPr>
      <w:r w:rsidRPr="00967339">
        <w:rPr>
          <w:rFonts w:asciiTheme="majorHAnsi" w:hAnsiTheme="majorHAnsi" w:cstheme="majorHAnsi"/>
          <w:lang w:val="ro-RO"/>
        </w:rPr>
        <w:t xml:space="preserve">Controlul intern managerial în cadrul ministerului nu asigură </w:t>
      </w:r>
      <w:r w:rsidR="00C15913">
        <w:rPr>
          <w:rFonts w:asciiTheme="majorHAnsi" w:hAnsiTheme="majorHAnsi" w:cstheme="majorHAnsi"/>
          <w:lang w:val="ro-RO"/>
        </w:rPr>
        <w:t xml:space="preserve">pe deplin </w:t>
      </w:r>
      <w:r w:rsidRPr="00967339">
        <w:rPr>
          <w:rFonts w:asciiTheme="majorHAnsi" w:hAnsiTheme="majorHAnsi" w:cstheme="majorHAnsi"/>
          <w:lang w:val="ro-RO"/>
        </w:rPr>
        <w:t xml:space="preserve">identificarea și gestionarea eficientă a riscurilor aferente procesului financiar-contabil, inclusiv a celor legate de  întocmirea situațiilor financiare consolidate. </w:t>
      </w:r>
      <w:r w:rsidR="00011C40">
        <w:rPr>
          <w:rFonts w:asciiTheme="majorHAnsi" w:hAnsiTheme="majorHAnsi" w:cstheme="majorHAnsi"/>
          <w:lang w:val="ro-RO"/>
        </w:rPr>
        <w:t>Din totalul sistemului minister</w:t>
      </w:r>
      <w:r w:rsidR="008863A3">
        <w:rPr>
          <w:rFonts w:asciiTheme="majorHAnsi" w:hAnsiTheme="majorHAnsi" w:cstheme="majorHAnsi"/>
          <w:lang w:val="ro-RO"/>
        </w:rPr>
        <w:t>ial</w:t>
      </w:r>
      <w:r w:rsidRPr="00C855EB">
        <w:rPr>
          <w:rFonts w:asciiTheme="majorHAnsi" w:hAnsiTheme="majorHAnsi" w:cstheme="majorHAnsi"/>
          <w:lang w:val="ro-RO"/>
        </w:rPr>
        <w:t xml:space="preserve">,  </w:t>
      </w:r>
      <w:r w:rsidR="004F2AC5" w:rsidRPr="00C855EB">
        <w:rPr>
          <w:rFonts w:asciiTheme="majorHAnsi" w:hAnsiTheme="majorHAnsi"/>
          <w:lang w:val="ro-RO"/>
        </w:rPr>
        <w:t>din</w:t>
      </w:r>
      <w:r w:rsidR="00F45E33" w:rsidRPr="00C855EB">
        <w:rPr>
          <w:rFonts w:asciiTheme="majorHAnsi" w:hAnsiTheme="majorHAnsi" w:cstheme="majorHAnsi"/>
          <w:lang w:val="ro-RO"/>
        </w:rPr>
        <w:t xml:space="preserve"> 48</w:t>
      </w:r>
      <w:r w:rsidRPr="00C855EB">
        <w:rPr>
          <w:rFonts w:asciiTheme="majorHAnsi" w:hAnsiTheme="majorHAnsi" w:cstheme="majorHAnsi"/>
          <w:lang w:val="ro-RO"/>
        </w:rPr>
        <w:t xml:space="preserve"> entități</w:t>
      </w:r>
      <w:r w:rsidR="004F3CE5" w:rsidRPr="00C855EB">
        <w:rPr>
          <w:rFonts w:asciiTheme="majorHAnsi" w:hAnsiTheme="majorHAnsi" w:cstheme="majorHAnsi"/>
          <w:lang w:val="ro-RO"/>
        </w:rPr>
        <w:t>,</w:t>
      </w:r>
      <w:r w:rsidRPr="00C855EB">
        <w:rPr>
          <w:rFonts w:asciiTheme="majorHAnsi" w:hAnsiTheme="majorHAnsi" w:cstheme="majorHAnsi"/>
          <w:lang w:val="ro-RO"/>
        </w:rPr>
        <w:t xml:space="preserve"> </w:t>
      </w:r>
      <w:r w:rsidR="00C855EB" w:rsidRPr="00C855EB">
        <w:rPr>
          <w:rFonts w:asciiTheme="majorHAnsi" w:hAnsiTheme="majorHAnsi" w:cstheme="majorHAnsi"/>
          <w:lang w:val="ro-RO"/>
        </w:rPr>
        <w:t>toate</w:t>
      </w:r>
      <w:r w:rsidR="00C855EB">
        <w:rPr>
          <w:rFonts w:asciiTheme="majorHAnsi" w:hAnsiTheme="majorHAnsi" w:cstheme="majorHAnsi"/>
          <w:lang w:val="ro-RO"/>
        </w:rPr>
        <w:t xml:space="preserve"> </w:t>
      </w:r>
      <w:r w:rsidR="00F45E33">
        <w:rPr>
          <w:rFonts w:asciiTheme="majorHAnsi" w:hAnsiTheme="majorHAnsi" w:cstheme="majorHAnsi"/>
          <w:lang w:val="ro-RO"/>
        </w:rPr>
        <w:t>48</w:t>
      </w:r>
      <w:r w:rsidR="004F3CE5" w:rsidRPr="00967339">
        <w:rPr>
          <w:rFonts w:asciiTheme="majorHAnsi" w:hAnsiTheme="majorHAnsi" w:cstheme="majorHAnsi"/>
          <w:lang w:val="ro-RO"/>
        </w:rPr>
        <w:t xml:space="preserve"> </w:t>
      </w:r>
      <w:r w:rsidR="008863A3">
        <w:rPr>
          <w:rFonts w:asciiTheme="majorHAnsi" w:hAnsiTheme="majorHAnsi" w:cstheme="majorHAnsi"/>
          <w:lang w:val="ro-RO"/>
        </w:rPr>
        <w:t xml:space="preserve">de </w:t>
      </w:r>
      <w:r w:rsidR="004F3CE5" w:rsidRPr="00967339">
        <w:rPr>
          <w:rFonts w:asciiTheme="majorHAnsi" w:hAnsiTheme="majorHAnsi" w:cstheme="majorHAnsi"/>
          <w:lang w:val="ro-RO"/>
        </w:rPr>
        <w:t xml:space="preserve">entități </w:t>
      </w:r>
      <w:r w:rsidRPr="00967339">
        <w:rPr>
          <w:rFonts w:asciiTheme="majorHAnsi" w:hAnsiTheme="majorHAnsi" w:cstheme="majorHAnsi"/>
          <w:lang w:val="ro-RO"/>
        </w:rPr>
        <w:t xml:space="preserve">au întocmit Declarația de răspundere managerială pentru anul 2021. Neconformitățile constatate </w:t>
      </w:r>
      <w:r w:rsidR="004E2C1D">
        <w:rPr>
          <w:rFonts w:asciiTheme="majorHAnsi" w:hAnsiTheme="majorHAnsi" w:cstheme="majorHAnsi"/>
        </w:rPr>
        <w:t xml:space="preserve">în cadrul misiunii de audit </w:t>
      </w:r>
      <w:r w:rsidRPr="00967339">
        <w:rPr>
          <w:rFonts w:asciiTheme="majorHAnsi" w:hAnsiTheme="majorHAnsi" w:cstheme="majorHAnsi"/>
          <w:lang w:val="ro-RO"/>
        </w:rPr>
        <w:t>denotă lipsa sau insuficiența controlului intern în cadrul acestora. Astfel</w:t>
      </w:r>
      <w:r w:rsidR="008863A3">
        <w:rPr>
          <w:rFonts w:asciiTheme="majorHAnsi" w:hAnsiTheme="majorHAnsi" w:cstheme="majorHAnsi"/>
          <w:lang w:val="ro-RO"/>
        </w:rPr>
        <w:t>,</w:t>
      </w:r>
      <w:r w:rsidRPr="00967339">
        <w:rPr>
          <w:rFonts w:asciiTheme="majorHAnsi" w:hAnsiTheme="majorHAnsi" w:cstheme="majorHAnsi"/>
          <w:lang w:val="ro-RO"/>
        </w:rPr>
        <w:t xml:space="preserve"> nu este pe deplin asigurată </w:t>
      </w:r>
      <w:r w:rsidRPr="00967339">
        <w:rPr>
          <w:rFonts w:asciiTheme="majorHAnsi" w:hAnsiTheme="majorHAnsi"/>
          <w:lang w:val="ro-RO"/>
        </w:rPr>
        <w:t xml:space="preserve">funcționalitatea controalelor-cheie, precum și identificarea și gestionarea riscurilor aferente procesului financiar-contabil, </w:t>
      </w:r>
      <w:r w:rsidRPr="00967339">
        <w:rPr>
          <w:rFonts w:asciiTheme="majorHAnsi" w:hAnsiTheme="majorHAnsi" w:cstheme="majorHAnsi"/>
          <w:lang w:val="ro-RO"/>
        </w:rPr>
        <w:t xml:space="preserve">inclusiv a celor legate de întocmirea situațiilor financiare consolidate. Lacunele identificate în cadrul sistemului de control intern managerial au </w:t>
      </w:r>
      <w:r w:rsidRPr="00967339">
        <w:rPr>
          <w:rFonts w:asciiTheme="majorHAnsi" w:hAnsiTheme="majorHAnsi" w:cstheme="majorHAnsi"/>
          <w:bCs/>
          <w:iCs/>
          <w:lang w:val="ro-RO"/>
        </w:rPr>
        <w:t>influențat veridicitatea și plenitudinea informațiilor reflectate în rap</w:t>
      </w:r>
      <w:r w:rsidR="00434810" w:rsidRPr="00967339">
        <w:rPr>
          <w:rFonts w:asciiTheme="majorHAnsi" w:hAnsiTheme="majorHAnsi" w:cstheme="majorHAnsi"/>
          <w:bCs/>
          <w:iCs/>
          <w:lang w:val="ro-RO"/>
        </w:rPr>
        <w:t>oartele financiare consolidate</w:t>
      </w:r>
      <w:r w:rsidR="008863A3">
        <w:rPr>
          <w:rFonts w:asciiTheme="majorHAnsi" w:hAnsiTheme="majorHAnsi" w:cstheme="majorHAnsi"/>
          <w:bCs/>
          <w:iCs/>
          <w:lang w:val="ro-RO"/>
        </w:rPr>
        <w:t>.</w:t>
      </w:r>
    </w:p>
    <w:p w14:paraId="2AA100C7" w14:textId="49F9ED84" w:rsidR="00830479" w:rsidRPr="004A02E1" w:rsidRDefault="008863A3" w:rsidP="004A02E1">
      <w:pPr>
        <w:pStyle w:val="a3"/>
        <w:tabs>
          <w:tab w:val="left" w:pos="0"/>
        </w:tabs>
        <w:spacing w:line="276" w:lineRule="auto"/>
        <w:ind w:left="0"/>
        <w:jc w:val="both"/>
        <w:rPr>
          <w:rFonts w:asciiTheme="majorHAnsi" w:hAnsiTheme="majorHAnsi" w:cstheme="majorHAnsi"/>
          <w:bCs/>
          <w:iCs/>
          <w:lang w:val="ro-RO"/>
        </w:rPr>
      </w:pPr>
      <w:r>
        <w:rPr>
          <w:rFonts w:asciiTheme="majorHAnsi" w:hAnsiTheme="majorHAnsi" w:cstheme="majorHAnsi"/>
          <w:bCs/>
          <w:iCs/>
          <w:lang w:val="ro-RO"/>
        </w:rPr>
        <w:tab/>
      </w:r>
      <w:r w:rsidR="00830479">
        <w:rPr>
          <w:rFonts w:asciiTheme="majorHAnsi" w:hAnsiTheme="majorHAnsi" w:cstheme="majorHAnsi"/>
          <w:bCs/>
          <w:iCs/>
          <w:lang w:val="ro-RO"/>
        </w:rPr>
        <w:t>În perioada auditată</w:t>
      </w:r>
      <w:r>
        <w:rPr>
          <w:rFonts w:asciiTheme="majorHAnsi" w:hAnsiTheme="majorHAnsi" w:cstheme="majorHAnsi"/>
          <w:bCs/>
          <w:iCs/>
          <w:lang w:val="ro-RO"/>
        </w:rPr>
        <w:t>,</w:t>
      </w:r>
      <w:r w:rsidR="00830479">
        <w:rPr>
          <w:rFonts w:asciiTheme="majorHAnsi" w:hAnsiTheme="majorHAnsi" w:cstheme="majorHAnsi"/>
          <w:bCs/>
          <w:iCs/>
          <w:lang w:val="ro-RO"/>
        </w:rPr>
        <w:t xml:space="preserve"> activitatea</w:t>
      </w:r>
      <w:r w:rsidR="00830479" w:rsidRPr="00830479">
        <w:rPr>
          <w:rFonts w:asciiTheme="majorHAnsi" w:hAnsiTheme="majorHAnsi" w:cstheme="majorHAnsi"/>
          <w:bCs/>
          <w:iCs/>
          <w:lang w:val="ro-RO"/>
        </w:rPr>
        <w:t xml:space="preserve"> MSMPS </w:t>
      </w:r>
      <w:r w:rsidR="00830479">
        <w:rPr>
          <w:rFonts w:asciiTheme="majorHAnsi" w:hAnsiTheme="majorHAnsi" w:cstheme="majorHAnsi"/>
          <w:bCs/>
          <w:iCs/>
          <w:lang w:val="ro-RO"/>
        </w:rPr>
        <w:t>a fost</w:t>
      </w:r>
      <w:r w:rsidR="00830479" w:rsidRPr="00830479">
        <w:rPr>
          <w:rFonts w:asciiTheme="majorHAnsi" w:hAnsiTheme="majorHAnsi" w:cstheme="majorHAnsi"/>
          <w:bCs/>
          <w:iCs/>
          <w:lang w:val="ro-RO"/>
        </w:rPr>
        <w:t xml:space="preserve"> însoțită de lipsa cadrelor și </w:t>
      </w:r>
      <w:r>
        <w:rPr>
          <w:rFonts w:asciiTheme="majorHAnsi" w:hAnsiTheme="majorHAnsi" w:cstheme="majorHAnsi"/>
          <w:bCs/>
          <w:iCs/>
          <w:lang w:val="ro-RO"/>
        </w:rPr>
        <w:t xml:space="preserve">de </w:t>
      </w:r>
      <w:r w:rsidR="00830479" w:rsidRPr="00830479">
        <w:rPr>
          <w:rFonts w:asciiTheme="majorHAnsi" w:hAnsiTheme="majorHAnsi" w:cstheme="majorHAnsi"/>
          <w:bCs/>
          <w:iCs/>
          <w:lang w:val="ro-RO"/>
        </w:rPr>
        <w:t xml:space="preserve">o fluctuație mare de angajați, în timp ce politicile </w:t>
      </w:r>
      <w:r w:rsidR="00830479">
        <w:rPr>
          <w:rFonts w:asciiTheme="majorHAnsi" w:hAnsiTheme="majorHAnsi" w:cstheme="majorHAnsi"/>
          <w:bCs/>
          <w:iCs/>
          <w:lang w:val="ro-RO"/>
        </w:rPr>
        <w:t>au stabilit</w:t>
      </w:r>
      <w:r w:rsidR="00830479" w:rsidRPr="00830479">
        <w:rPr>
          <w:rFonts w:asciiTheme="majorHAnsi" w:hAnsiTheme="majorHAnsi" w:cstheme="majorHAnsi"/>
          <w:bCs/>
          <w:iCs/>
          <w:lang w:val="ro-RO"/>
        </w:rPr>
        <w:t xml:space="preserve"> realizarea unor noi procese </w:t>
      </w:r>
      <w:r w:rsidR="006F56D1">
        <w:rPr>
          <w:rFonts w:asciiTheme="majorHAnsi" w:hAnsiTheme="majorHAnsi" w:cstheme="majorHAnsi"/>
          <w:bCs/>
          <w:iCs/>
          <w:lang w:val="ro-RO"/>
        </w:rPr>
        <w:t>și</w:t>
      </w:r>
      <w:r w:rsidR="00830479" w:rsidRPr="00830479">
        <w:rPr>
          <w:rFonts w:asciiTheme="majorHAnsi" w:hAnsiTheme="majorHAnsi" w:cstheme="majorHAnsi"/>
          <w:bCs/>
          <w:iCs/>
          <w:lang w:val="ro-RO"/>
        </w:rPr>
        <w:t xml:space="preserve"> </w:t>
      </w:r>
      <w:r w:rsidR="00830479">
        <w:rPr>
          <w:rFonts w:asciiTheme="majorHAnsi" w:hAnsiTheme="majorHAnsi" w:cstheme="majorHAnsi"/>
          <w:bCs/>
          <w:iCs/>
          <w:lang w:val="ro-RO"/>
        </w:rPr>
        <w:t>politici în domeniu, ce</w:t>
      </w:r>
      <w:r w:rsidR="00830479" w:rsidRPr="00830479">
        <w:rPr>
          <w:rFonts w:asciiTheme="majorHAnsi" w:hAnsiTheme="majorHAnsi" w:cstheme="majorHAnsi"/>
          <w:bCs/>
          <w:iCs/>
          <w:lang w:val="ro-RO"/>
        </w:rPr>
        <w:t xml:space="preserve">ea ce </w:t>
      </w:r>
      <w:r w:rsidR="00830479">
        <w:rPr>
          <w:rFonts w:asciiTheme="majorHAnsi" w:hAnsiTheme="majorHAnsi" w:cstheme="majorHAnsi"/>
          <w:bCs/>
          <w:iCs/>
          <w:lang w:val="ro-RO"/>
        </w:rPr>
        <w:t xml:space="preserve">a condiționat </w:t>
      </w:r>
      <w:r w:rsidR="00643878">
        <w:rPr>
          <w:rFonts w:asciiTheme="majorHAnsi" w:hAnsiTheme="majorHAnsi" w:cstheme="majorHAnsi"/>
          <w:bCs/>
          <w:iCs/>
          <w:lang w:val="ro-RO"/>
        </w:rPr>
        <w:t>riscuri</w:t>
      </w:r>
      <w:r w:rsidR="006F56D1">
        <w:rPr>
          <w:rFonts w:asciiTheme="majorHAnsi" w:hAnsiTheme="majorHAnsi" w:cstheme="majorHAnsi"/>
          <w:bCs/>
          <w:iCs/>
          <w:lang w:val="ro-RO"/>
        </w:rPr>
        <w:t xml:space="preserve"> la</w:t>
      </w:r>
      <w:r w:rsidR="00643878">
        <w:rPr>
          <w:rFonts w:asciiTheme="majorHAnsi" w:hAnsiTheme="majorHAnsi" w:cstheme="majorHAnsi"/>
          <w:bCs/>
          <w:iCs/>
          <w:lang w:val="ro-RO"/>
        </w:rPr>
        <w:t xml:space="preserve"> </w:t>
      </w:r>
      <w:r w:rsidR="000C15BE">
        <w:rPr>
          <w:rFonts w:asciiTheme="majorHAnsi" w:hAnsiTheme="majorHAnsi" w:cstheme="majorHAnsi"/>
          <w:bCs/>
          <w:iCs/>
          <w:lang w:val="ro-RO"/>
        </w:rPr>
        <w:t xml:space="preserve">realizarea funcțiilor de bază ce țin de </w:t>
      </w:r>
      <w:r w:rsidR="00830479">
        <w:rPr>
          <w:rFonts w:asciiTheme="majorHAnsi" w:hAnsiTheme="majorHAnsi" w:cstheme="majorHAnsi"/>
          <w:bCs/>
          <w:iCs/>
          <w:lang w:val="ro-RO"/>
        </w:rPr>
        <w:t>analiza, evaluarea și monitorizarea realizării acestora. Astfel, l</w:t>
      </w:r>
      <w:r w:rsidR="00830479" w:rsidRPr="00830479">
        <w:rPr>
          <w:rFonts w:asciiTheme="majorHAnsi" w:hAnsiTheme="majorHAnsi" w:cstheme="majorHAnsi"/>
          <w:bCs/>
          <w:iCs/>
          <w:lang w:val="ro-RO"/>
        </w:rPr>
        <w:t xml:space="preserve">a 1 ianuarie 2021 numărul total al salariaților pe instituție, conform statelor de personal aprobate, a constituit 105 unități, </w:t>
      </w:r>
      <w:r>
        <w:rPr>
          <w:rFonts w:asciiTheme="majorHAnsi" w:hAnsiTheme="majorHAnsi" w:cstheme="majorHAnsi"/>
          <w:bCs/>
          <w:iCs/>
          <w:lang w:val="ro-RO"/>
        </w:rPr>
        <w:t>însă</w:t>
      </w:r>
      <w:r w:rsidRPr="00830479">
        <w:rPr>
          <w:rFonts w:asciiTheme="majorHAnsi" w:hAnsiTheme="majorHAnsi" w:cstheme="majorHAnsi"/>
          <w:bCs/>
          <w:iCs/>
          <w:lang w:val="ro-RO"/>
        </w:rPr>
        <w:t xml:space="preserve"> </w:t>
      </w:r>
      <w:r w:rsidR="00830479" w:rsidRPr="00830479">
        <w:rPr>
          <w:rFonts w:asciiTheme="majorHAnsi" w:hAnsiTheme="majorHAnsi" w:cstheme="majorHAnsi"/>
          <w:bCs/>
          <w:iCs/>
          <w:lang w:val="ro-RO"/>
        </w:rPr>
        <w:t>efectiv erau angajați 82 de salariați, ceea ce constituie o rată a angajării de 78,10%. Cheltuielile efective pentru retr</w:t>
      </w:r>
      <w:r w:rsidR="00830479">
        <w:rPr>
          <w:rFonts w:asciiTheme="majorHAnsi" w:hAnsiTheme="majorHAnsi" w:cstheme="majorHAnsi"/>
          <w:bCs/>
          <w:iCs/>
          <w:lang w:val="ro-RO"/>
        </w:rPr>
        <w:t>ibuirea muncii au constituit 18</w:t>
      </w:r>
      <w:r>
        <w:rPr>
          <w:rFonts w:asciiTheme="majorHAnsi" w:hAnsiTheme="majorHAnsi" w:cstheme="majorHAnsi"/>
          <w:bCs/>
          <w:iCs/>
          <w:lang w:val="ro-RO"/>
        </w:rPr>
        <w:t>.</w:t>
      </w:r>
      <w:r w:rsidR="00830479">
        <w:rPr>
          <w:rFonts w:asciiTheme="majorHAnsi" w:hAnsiTheme="majorHAnsi" w:cstheme="majorHAnsi"/>
          <w:bCs/>
          <w:iCs/>
          <w:lang w:val="ro-RO"/>
        </w:rPr>
        <w:t>636,80 mii</w:t>
      </w:r>
      <w:r w:rsidR="00830479" w:rsidRPr="00830479">
        <w:rPr>
          <w:rFonts w:asciiTheme="majorHAnsi" w:hAnsiTheme="majorHAnsi" w:cstheme="majorHAnsi"/>
          <w:bCs/>
          <w:iCs/>
          <w:lang w:val="ro-RO"/>
        </w:rPr>
        <w:t xml:space="preserve"> lei.</w:t>
      </w:r>
      <w:r w:rsidR="00830479">
        <w:rPr>
          <w:rFonts w:asciiTheme="majorHAnsi" w:hAnsiTheme="majorHAnsi" w:cstheme="majorHAnsi"/>
          <w:bCs/>
          <w:iCs/>
          <w:lang w:val="ro-RO"/>
        </w:rPr>
        <w:t xml:space="preserve"> De asemenea,</w:t>
      </w:r>
      <w:r w:rsidR="00830479" w:rsidRPr="00830479">
        <w:rPr>
          <w:rStyle w:val="afa"/>
          <w:rFonts w:asciiTheme="majorHAnsi" w:hAnsiTheme="majorHAnsi" w:cstheme="majorHAnsi"/>
          <w:b w:val="0"/>
          <w:color w:val="000000"/>
          <w:lang w:val="ro-RO"/>
        </w:rPr>
        <w:t xml:space="preserve"> li</w:t>
      </w:r>
      <w:r w:rsidR="00830479" w:rsidRPr="00830479">
        <w:rPr>
          <w:rFonts w:asciiTheme="majorHAnsi" w:hAnsiTheme="majorHAnsi" w:cstheme="majorHAnsi"/>
          <w:color w:val="000000"/>
          <w:lang w:val="ro-RO"/>
        </w:rPr>
        <w:t>psa</w:t>
      </w:r>
      <w:r w:rsidR="00830479" w:rsidRPr="00830479">
        <w:rPr>
          <w:rFonts w:asciiTheme="majorHAnsi" w:hAnsiTheme="majorHAnsi" w:cstheme="majorHAnsi"/>
          <w:color w:val="000000"/>
        </w:rPr>
        <w:t xml:space="preserve"> specialiștilor</w:t>
      </w:r>
      <w:r w:rsidR="00830479" w:rsidRPr="00E82CC1">
        <w:rPr>
          <w:rFonts w:asciiTheme="majorHAnsi" w:hAnsiTheme="majorHAnsi" w:cstheme="majorHAnsi"/>
          <w:color w:val="000000"/>
        </w:rPr>
        <w:t xml:space="preserve"> în domeniu </w:t>
      </w:r>
      <w:r w:rsidR="00830479">
        <w:rPr>
          <w:rFonts w:asciiTheme="majorHAnsi" w:hAnsiTheme="majorHAnsi" w:cstheme="majorHAnsi"/>
          <w:color w:val="000000"/>
        </w:rPr>
        <w:t xml:space="preserve">poate </w:t>
      </w:r>
      <w:r w:rsidR="00830479" w:rsidRPr="00E82CC1">
        <w:rPr>
          <w:rFonts w:asciiTheme="majorHAnsi" w:hAnsiTheme="majorHAnsi" w:cstheme="majorHAnsi"/>
          <w:color w:val="000000"/>
        </w:rPr>
        <w:t>genera imposibilitatea asigurării continuității transmiterii experienței instituționale către următoarea generație de specialiști. Menționăm că</w:t>
      </w:r>
      <w:r>
        <w:rPr>
          <w:rFonts w:asciiTheme="majorHAnsi" w:hAnsiTheme="majorHAnsi" w:cstheme="majorHAnsi"/>
          <w:color w:val="000000"/>
        </w:rPr>
        <w:t>,</w:t>
      </w:r>
      <w:r w:rsidR="00830479">
        <w:rPr>
          <w:rFonts w:asciiTheme="majorHAnsi" w:hAnsiTheme="majorHAnsi" w:cstheme="majorHAnsi"/>
          <w:color w:val="000000"/>
        </w:rPr>
        <w:t xml:space="preserve"> la 31.08.2021, în cadrul MSMPS</w:t>
      </w:r>
      <w:r>
        <w:rPr>
          <w:rFonts w:asciiTheme="majorHAnsi" w:hAnsiTheme="majorHAnsi" w:cstheme="majorHAnsi"/>
          <w:color w:val="000000"/>
        </w:rPr>
        <w:t xml:space="preserve"> se înregistra</w:t>
      </w:r>
      <w:r w:rsidR="00830479" w:rsidRPr="00E82CC1">
        <w:rPr>
          <w:rFonts w:asciiTheme="majorHAnsi" w:hAnsiTheme="majorHAnsi" w:cstheme="majorHAnsi"/>
          <w:color w:val="000000"/>
        </w:rPr>
        <w:t xml:space="preserve"> un deficit de c</w:t>
      </w:r>
      <w:r w:rsidR="00830479">
        <w:rPr>
          <w:rFonts w:asciiTheme="majorHAnsi" w:hAnsiTheme="majorHAnsi" w:cstheme="majorHAnsi"/>
          <w:color w:val="000000"/>
        </w:rPr>
        <w:t>adre de 21,9</w:t>
      </w:r>
      <w:r w:rsidR="00830479" w:rsidRPr="00E82CC1">
        <w:rPr>
          <w:rFonts w:asciiTheme="majorHAnsi" w:hAnsiTheme="majorHAnsi" w:cstheme="majorHAnsi"/>
          <w:color w:val="000000"/>
        </w:rPr>
        <w:t>%, iar rata fluctuației personalului pe parcu</w:t>
      </w:r>
      <w:r w:rsidR="00830479">
        <w:rPr>
          <w:rFonts w:asciiTheme="majorHAnsi" w:hAnsiTheme="majorHAnsi" w:cstheme="majorHAnsi"/>
          <w:color w:val="000000"/>
        </w:rPr>
        <w:t xml:space="preserve">rsul anului </w:t>
      </w:r>
      <w:r>
        <w:rPr>
          <w:rFonts w:asciiTheme="majorHAnsi" w:hAnsiTheme="majorHAnsi" w:cstheme="majorHAnsi"/>
          <w:color w:val="000000"/>
        </w:rPr>
        <w:t xml:space="preserve">de raportare </w:t>
      </w:r>
      <w:r w:rsidR="00830479">
        <w:rPr>
          <w:rFonts w:asciiTheme="majorHAnsi" w:hAnsiTheme="majorHAnsi" w:cstheme="majorHAnsi"/>
          <w:color w:val="000000"/>
        </w:rPr>
        <w:t>a fost de 9,25%</w:t>
      </w:r>
      <w:r>
        <w:rPr>
          <w:rFonts w:asciiTheme="majorHAnsi" w:hAnsiTheme="majorHAnsi" w:cstheme="majorHAnsi"/>
          <w:color w:val="000000"/>
        </w:rPr>
        <w:t>.</w:t>
      </w:r>
    </w:p>
    <w:p w14:paraId="1D9ACD24" w14:textId="4D2A0C3A" w:rsidR="00DC075A" w:rsidRPr="003F2D5C" w:rsidRDefault="00DC075A" w:rsidP="00DC075A">
      <w:pPr>
        <w:pStyle w:val="a3"/>
        <w:numPr>
          <w:ilvl w:val="1"/>
          <w:numId w:val="18"/>
        </w:numPr>
        <w:tabs>
          <w:tab w:val="left" w:pos="0"/>
        </w:tabs>
        <w:spacing w:line="276" w:lineRule="auto"/>
        <w:ind w:left="0" w:firstLine="0"/>
        <w:jc w:val="both"/>
        <w:rPr>
          <w:rFonts w:asciiTheme="majorHAnsi" w:hAnsiTheme="majorHAnsi" w:cstheme="majorHAnsi"/>
          <w:lang w:val="ro-RO" w:eastAsia="en-US"/>
        </w:rPr>
      </w:pPr>
      <w:r w:rsidRPr="00C46540">
        <w:rPr>
          <w:rFonts w:asciiTheme="majorHAnsi" w:hAnsiTheme="majorHAnsi" w:cstheme="majorHAnsi"/>
          <w:color w:val="000000"/>
        </w:rPr>
        <w:t xml:space="preserve">În vederea remedierii erorilor constatate în misiunea de audit precedentă, Curtea de Conturi, prin Hotărârea </w:t>
      </w:r>
      <w:r w:rsidR="008863A3">
        <w:rPr>
          <w:rFonts w:asciiTheme="majorHAnsi" w:hAnsiTheme="majorHAnsi" w:cstheme="majorHAnsi"/>
          <w:color w:val="000000"/>
        </w:rPr>
        <w:t>nr.</w:t>
      </w:r>
      <w:r w:rsidRPr="00C46540">
        <w:rPr>
          <w:rFonts w:asciiTheme="majorHAnsi" w:hAnsiTheme="majorHAnsi" w:cstheme="majorHAnsi"/>
          <w:color w:val="000000"/>
        </w:rPr>
        <w:t>27 din 22.06.2021 „Cu privire la Raportul auditului rapoartelor financiare consolidate ale Ministerului Sănătății, Muncii și Protecției Sociale încheiate la 31 decembrie 202</w:t>
      </w:r>
      <w:r w:rsidR="008863A3">
        <w:rPr>
          <w:rFonts w:asciiTheme="majorHAnsi" w:hAnsiTheme="majorHAnsi" w:cstheme="majorHAnsi"/>
          <w:color w:val="000000"/>
        </w:rPr>
        <w:t>0</w:t>
      </w:r>
      <w:r w:rsidRPr="00C46540">
        <w:rPr>
          <w:rFonts w:asciiTheme="majorHAnsi" w:hAnsiTheme="majorHAnsi" w:cstheme="majorHAnsi"/>
          <w:color w:val="000000"/>
        </w:rPr>
        <w:t>”, a înaintat Ministerului 10 recomandări</w:t>
      </w:r>
      <w:r w:rsidR="008863A3">
        <w:rPr>
          <w:rFonts w:asciiTheme="majorHAnsi" w:hAnsiTheme="majorHAnsi" w:cstheme="majorHAnsi"/>
          <w:color w:val="000000"/>
        </w:rPr>
        <w:t>,</w:t>
      </w:r>
      <w:r w:rsidRPr="00C46540">
        <w:rPr>
          <w:rFonts w:asciiTheme="majorHAnsi" w:hAnsiTheme="majorHAnsi" w:cstheme="majorHAnsi"/>
          <w:color w:val="000000"/>
        </w:rPr>
        <w:t xml:space="preserve"> care au fost implementate la nivel de 90%. Astfel, 6 recomandări au fost implementate, 3 parțial implementate, 1 neimplementată, iar o recomandare</w:t>
      </w:r>
      <w:r w:rsidR="008863A3">
        <w:rPr>
          <w:rFonts w:asciiTheme="majorHAnsi" w:hAnsiTheme="majorHAnsi" w:cstheme="majorHAnsi"/>
          <w:color w:val="000000"/>
        </w:rPr>
        <w:t>,</w:t>
      </w:r>
      <w:r w:rsidRPr="00C46540">
        <w:rPr>
          <w:rFonts w:asciiTheme="majorHAnsi" w:hAnsiTheme="majorHAnsi" w:cstheme="majorHAnsi"/>
          <w:color w:val="000000"/>
        </w:rPr>
        <w:t xml:space="preserve"> reiterată din hotărârea anterioară</w:t>
      </w:r>
      <w:r w:rsidR="008863A3">
        <w:rPr>
          <w:rFonts w:asciiTheme="majorHAnsi" w:hAnsiTheme="majorHAnsi" w:cstheme="majorHAnsi"/>
          <w:color w:val="000000"/>
        </w:rPr>
        <w:t>,</w:t>
      </w:r>
      <w:r w:rsidRPr="00C46540">
        <w:rPr>
          <w:rFonts w:asciiTheme="majorHAnsi" w:hAnsiTheme="majorHAnsi" w:cstheme="majorHAnsi"/>
          <w:color w:val="000000"/>
        </w:rPr>
        <w:t xml:space="preserve"> nu a fost </w:t>
      </w:r>
      <w:r w:rsidR="00085417" w:rsidRPr="00C46540">
        <w:rPr>
          <w:rFonts w:asciiTheme="majorHAnsi" w:hAnsiTheme="majorHAnsi" w:cstheme="majorHAnsi"/>
          <w:color w:val="000000"/>
        </w:rPr>
        <w:t>impl</w:t>
      </w:r>
      <w:r w:rsidR="00085417">
        <w:rPr>
          <w:rFonts w:asciiTheme="majorHAnsi" w:hAnsiTheme="majorHAnsi" w:cstheme="majorHAnsi"/>
          <w:color w:val="000000"/>
        </w:rPr>
        <w:t>e</w:t>
      </w:r>
      <w:r w:rsidR="00085417" w:rsidRPr="00C46540">
        <w:rPr>
          <w:rFonts w:asciiTheme="majorHAnsi" w:hAnsiTheme="majorHAnsi" w:cstheme="majorHAnsi"/>
          <w:color w:val="000000"/>
        </w:rPr>
        <w:t>mentată</w:t>
      </w:r>
      <w:r w:rsidRPr="00C46540">
        <w:rPr>
          <w:rFonts w:asciiTheme="majorHAnsi" w:hAnsiTheme="majorHAnsi" w:cstheme="majorHAnsi"/>
          <w:color w:val="000000"/>
        </w:rPr>
        <w:t>. Impactul pozitiv rezultat din implementarea recomandărilor de către Minister și unele instituții din subordine a determinat îmbunătățirea proceselor manageriale aferente veridicității datelor înregistrate și raportate privind bunurile patrimoniale. ​</w:t>
      </w:r>
    </w:p>
    <w:p w14:paraId="565B304A" w14:textId="37638AAA" w:rsidR="003F2D5C" w:rsidRPr="004F641F" w:rsidRDefault="00A83E94" w:rsidP="003F2D5C">
      <w:pPr>
        <w:pStyle w:val="a3"/>
        <w:numPr>
          <w:ilvl w:val="1"/>
          <w:numId w:val="18"/>
        </w:numPr>
        <w:spacing w:line="276" w:lineRule="auto"/>
        <w:ind w:left="0" w:firstLine="0"/>
        <w:jc w:val="both"/>
        <w:rPr>
          <w:rFonts w:asciiTheme="majorHAnsi" w:hAnsiTheme="majorHAnsi" w:cstheme="majorHAnsi"/>
          <w:noProof/>
        </w:rPr>
      </w:pPr>
      <w:r w:rsidRPr="00A83E94">
        <w:rPr>
          <w:rFonts w:asciiTheme="majorHAnsi" w:hAnsiTheme="majorHAnsi"/>
          <w:noProof/>
        </w:rPr>
        <w:t>O instituție din subordinea ministerului</w:t>
      </w:r>
      <w:r w:rsidRPr="00666DA9">
        <w:rPr>
          <w:rStyle w:val="ad"/>
          <w:rFonts w:asciiTheme="majorHAnsi" w:hAnsiTheme="majorHAnsi" w:cstheme="majorHAnsi"/>
          <w:noProof/>
        </w:rPr>
        <w:footnoteReference w:id="28"/>
      </w:r>
      <w:r w:rsidR="003F2D5C" w:rsidRPr="00666DA9">
        <w:rPr>
          <w:rFonts w:asciiTheme="majorHAnsi" w:hAnsiTheme="majorHAnsi" w:cstheme="majorHAnsi"/>
          <w:noProof/>
        </w:rPr>
        <w:t>,</w:t>
      </w:r>
      <w:r w:rsidR="003F2D5C" w:rsidRPr="004E4852">
        <w:rPr>
          <w:rFonts w:asciiTheme="majorHAnsi" w:hAnsiTheme="majorHAnsi"/>
          <w:noProof/>
        </w:rPr>
        <w:t xml:space="preserve"> </w:t>
      </w:r>
      <w:r w:rsidR="003F2D5C">
        <w:rPr>
          <w:rFonts w:asciiTheme="majorHAnsi" w:hAnsiTheme="majorHAnsi"/>
          <w:noProof/>
        </w:rPr>
        <w:t>în lipsa</w:t>
      </w:r>
      <w:r w:rsidR="003F2D5C" w:rsidRPr="004E4852">
        <w:rPr>
          <w:rFonts w:asciiTheme="majorHAnsi" w:hAnsiTheme="majorHAnsi"/>
          <w:noProof/>
        </w:rPr>
        <w:t xml:space="preserve"> unei planificări</w:t>
      </w:r>
      <w:r w:rsidR="008863A3">
        <w:rPr>
          <w:rFonts w:asciiTheme="majorHAnsi" w:hAnsiTheme="majorHAnsi"/>
          <w:noProof/>
        </w:rPr>
        <w:t>i</w:t>
      </w:r>
      <w:r w:rsidR="003F2D5C" w:rsidRPr="004E4852">
        <w:rPr>
          <w:rFonts w:asciiTheme="majorHAnsi" w:hAnsiTheme="majorHAnsi"/>
          <w:noProof/>
        </w:rPr>
        <w:t xml:space="preserve"> justificate a necesităților</w:t>
      </w:r>
      <w:r w:rsidR="003F2D5C" w:rsidRPr="00686C9D">
        <w:rPr>
          <w:rStyle w:val="ad"/>
          <w:rFonts w:asciiTheme="majorHAnsi" w:hAnsiTheme="majorHAnsi"/>
          <w:noProof/>
        </w:rPr>
        <w:footnoteReference w:id="29"/>
      </w:r>
      <w:r w:rsidR="008863A3">
        <w:rPr>
          <w:rFonts w:asciiTheme="majorHAnsi" w:hAnsiTheme="majorHAnsi"/>
          <w:noProof/>
        </w:rPr>
        <w:t>,</w:t>
      </w:r>
      <w:r w:rsidR="003F2D5C" w:rsidRPr="004E4852">
        <w:rPr>
          <w:rFonts w:asciiTheme="majorHAnsi" w:hAnsiTheme="majorHAnsi"/>
          <w:noProof/>
        </w:rPr>
        <w:t xml:space="preserve"> a procurat și menține </w:t>
      </w:r>
      <w:r w:rsidR="003F2D5C" w:rsidRPr="004E4852">
        <w:rPr>
          <w:rFonts w:asciiTheme="majorHAnsi" w:hAnsiTheme="majorHAnsi"/>
        </w:rPr>
        <w:t>valoarea</w:t>
      </w:r>
      <w:r w:rsidR="003F2D5C" w:rsidRPr="004E4852">
        <w:rPr>
          <w:rFonts w:asciiTheme="majorHAnsi" w:hAnsiTheme="majorHAnsi"/>
          <w:noProof/>
        </w:rPr>
        <w:t xml:space="preserve"> a 2 mijloace fixe</w:t>
      </w:r>
      <w:r w:rsidR="008863A3">
        <w:rPr>
          <w:rFonts w:asciiTheme="majorHAnsi" w:hAnsiTheme="majorHAnsi"/>
          <w:noProof/>
        </w:rPr>
        <w:t>:</w:t>
      </w:r>
      <w:r w:rsidR="003F2D5C" w:rsidRPr="004E4852">
        <w:rPr>
          <w:rFonts w:asciiTheme="majorHAnsi" w:hAnsiTheme="majorHAnsi"/>
          <w:noProof/>
        </w:rPr>
        <w:t xml:space="preserve"> </w:t>
      </w:r>
      <w:r w:rsidR="003F2D5C" w:rsidRPr="004E4852">
        <w:rPr>
          <w:rFonts w:asciiTheme="majorHAnsi" w:hAnsiTheme="majorHAnsi"/>
          <w:i/>
          <w:noProof/>
        </w:rPr>
        <w:t>Secvențiator acizi nucleici</w:t>
      </w:r>
      <w:r w:rsidR="003F2D5C">
        <w:rPr>
          <w:rFonts w:asciiTheme="majorHAnsi" w:hAnsiTheme="majorHAnsi"/>
          <w:noProof/>
        </w:rPr>
        <w:t>, achiziționat î</w:t>
      </w:r>
      <w:r w:rsidR="003F2D5C" w:rsidRPr="004E4852">
        <w:rPr>
          <w:rFonts w:asciiTheme="majorHAnsi" w:hAnsiTheme="majorHAnsi"/>
          <w:noProof/>
        </w:rPr>
        <w:t xml:space="preserve">n cadrul Licitației </w:t>
      </w:r>
      <w:r w:rsidR="00080227">
        <w:rPr>
          <w:rFonts w:asciiTheme="majorHAnsi" w:hAnsiTheme="majorHAnsi"/>
          <w:noProof/>
        </w:rPr>
        <w:t>p</w:t>
      </w:r>
      <w:r w:rsidR="003F2D5C" w:rsidRPr="004E4852">
        <w:rPr>
          <w:rFonts w:asciiTheme="majorHAnsi" w:hAnsiTheme="majorHAnsi"/>
          <w:noProof/>
        </w:rPr>
        <w:t xml:space="preserve">ublice </w:t>
      </w:r>
      <w:r w:rsidR="008863A3">
        <w:rPr>
          <w:rFonts w:asciiTheme="majorHAnsi" w:hAnsiTheme="majorHAnsi"/>
          <w:noProof/>
        </w:rPr>
        <w:t>nr.</w:t>
      </w:r>
      <w:r w:rsidR="003F2D5C" w:rsidRPr="004E4852">
        <w:rPr>
          <w:rFonts w:asciiTheme="majorHAnsi" w:hAnsiTheme="majorHAnsi"/>
          <w:noProof/>
        </w:rPr>
        <w:t>1692/13/2013</w:t>
      </w:r>
      <w:r w:rsidR="008863A3">
        <w:rPr>
          <w:rFonts w:asciiTheme="majorHAnsi" w:hAnsiTheme="majorHAnsi"/>
          <w:noProof/>
        </w:rPr>
        <w:t>,</w:t>
      </w:r>
      <w:r w:rsidR="003F2D5C" w:rsidRPr="004E4852">
        <w:rPr>
          <w:rFonts w:asciiTheme="majorHAnsi" w:hAnsiTheme="majorHAnsi"/>
          <w:noProof/>
        </w:rPr>
        <w:t xml:space="preserve"> în valoare de 6</w:t>
      </w:r>
      <w:r w:rsidR="008863A3">
        <w:rPr>
          <w:rFonts w:asciiTheme="majorHAnsi" w:hAnsiTheme="majorHAnsi"/>
          <w:noProof/>
        </w:rPr>
        <w:t>.</w:t>
      </w:r>
      <w:r w:rsidR="003F2D5C" w:rsidRPr="004E4852">
        <w:rPr>
          <w:rFonts w:asciiTheme="majorHAnsi" w:hAnsiTheme="majorHAnsi"/>
          <w:noProof/>
        </w:rPr>
        <w:t>453,0 mii lei</w:t>
      </w:r>
      <w:r w:rsidR="008863A3">
        <w:rPr>
          <w:rFonts w:asciiTheme="majorHAnsi" w:hAnsiTheme="majorHAnsi"/>
          <w:noProof/>
        </w:rPr>
        <w:t>,</w:t>
      </w:r>
      <w:r w:rsidR="003F2D5C" w:rsidRPr="004E4852">
        <w:rPr>
          <w:rFonts w:asciiTheme="majorHAnsi" w:hAnsiTheme="majorHAnsi"/>
          <w:i/>
          <w:noProof/>
        </w:rPr>
        <w:t xml:space="preserve"> </w:t>
      </w:r>
      <w:r w:rsidR="003F2D5C" w:rsidRPr="004E4852">
        <w:rPr>
          <w:rFonts w:asciiTheme="majorHAnsi" w:hAnsiTheme="majorHAnsi"/>
          <w:noProof/>
        </w:rPr>
        <w:t>și</w:t>
      </w:r>
      <w:r w:rsidR="003F2D5C" w:rsidRPr="004E4852">
        <w:rPr>
          <w:rFonts w:asciiTheme="majorHAnsi" w:hAnsiTheme="majorHAnsi"/>
          <w:i/>
          <w:noProof/>
        </w:rPr>
        <w:t xml:space="preserve"> Sistemul  de developare </w:t>
      </w:r>
      <w:r w:rsidR="003F2D5C" w:rsidRPr="004E4852">
        <w:rPr>
          <w:rFonts w:asciiTheme="majorHAnsi" w:hAnsiTheme="majorHAnsi"/>
          <w:noProof/>
        </w:rPr>
        <w:t>cumpărat din contul donatorului PNUD/2013</w:t>
      </w:r>
      <w:r w:rsidR="008863A3">
        <w:rPr>
          <w:rFonts w:asciiTheme="majorHAnsi" w:hAnsiTheme="majorHAnsi"/>
          <w:noProof/>
        </w:rPr>
        <w:t>,</w:t>
      </w:r>
      <w:r w:rsidR="003F2D5C" w:rsidRPr="004E4852">
        <w:rPr>
          <w:rFonts w:asciiTheme="majorHAnsi" w:hAnsiTheme="majorHAnsi"/>
          <w:noProof/>
        </w:rPr>
        <w:t xml:space="preserve"> în valoare de </w:t>
      </w:r>
      <w:r w:rsidR="003F2D5C" w:rsidRPr="00E00284">
        <w:rPr>
          <w:rFonts w:asciiTheme="majorHAnsi" w:hAnsiTheme="majorHAnsi" w:cstheme="majorHAnsi"/>
          <w:noProof/>
        </w:rPr>
        <w:t>103,6 mii lei</w:t>
      </w:r>
      <w:r w:rsidR="003F2D5C" w:rsidRPr="004E4852">
        <w:rPr>
          <w:rFonts w:asciiTheme="majorHAnsi" w:hAnsiTheme="majorHAnsi"/>
          <w:noProof/>
        </w:rPr>
        <w:t>. De menționat ca aceste bunuri se află în depozitul instituției și nu au fost utilizate în activitate de la data intrării în depozit p</w:t>
      </w:r>
      <w:r w:rsidR="00080227">
        <w:rPr>
          <w:rFonts w:asciiTheme="majorHAnsi" w:hAnsiTheme="majorHAnsi"/>
          <w:noProof/>
        </w:rPr>
        <w:t>â</w:t>
      </w:r>
      <w:r w:rsidR="003F2D5C" w:rsidRPr="004E4852">
        <w:rPr>
          <w:rFonts w:asciiTheme="majorHAnsi" w:hAnsiTheme="majorHAnsi"/>
          <w:noProof/>
        </w:rPr>
        <w:t xml:space="preserve">nă în prezent (01.07.2022). Mai mult </w:t>
      </w:r>
      <w:r w:rsidR="00080227">
        <w:rPr>
          <w:rFonts w:asciiTheme="majorHAnsi" w:hAnsiTheme="majorHAnsi"/>
          <w:noProof/>
        </w:rPr>
        <w:t>decât</w:t>
      </w:r>
      <w:r w:rsidR="00080227" w:rsidRPr="004E4852">
        <w:rPr>
          <w:rFonts w:asciiTheme="majorHAnsi" w:hAnsiTheme="majorHAnsi"/>
          <w:noProof/>
        </w:rPr>
        <w:t xml:space="preserve"> </w:t>
      </w:r>
      <w:r w:rsidR="003F2D5C" w:rsidRPr="004E4852">
        <w:rPr>
          <w:rFonts w:asciiTheme="majorHAnsi" w:hAnsiTheme="majorHAnsi"/>
          <w:noProof/>
        </w:rPr>
        <w:t>at</w:t>
      </w:r>
      <w:r w:rsidR="00080227">
        <w:rPr>
          <w:rFonts w:asciiTheme="majorHAnsi" w:hAnsiTheme="majorHAnsi"/>
          <w:noProof/>
        </w:rPr>
        <w:t>â</w:t>
      </w:r>
      <w:r w:rsidR="003F2D5C" w:rsidRPr="004E4852">
        <w:rPr>
          <w:rFonts w:asciiTheme="majorHAnsi" w:hAnsiTheme="majorHAnsi"/>
          <w:noProof/>
        </w:rPr>
        <w:t>t, mijlocul fix</w:t>
      </w:r>
      <w:r w:rsidR="003F2D5C" w:rsidRPr="004E4852">
        <w:rPr>
          <w:rFonts w:asciiTheme="majorHAnsi" w:hAnsiTheme="majorHAnsi"/>
          <w:i/>
          <w:noProof/>
        </w:rPr>
        <w:t xml:space="preserve"> Secvențiator acizi nucleici</w:t>
      </w:r>
      <w:r w:rsidR="003F2D5C" w:rsidRPr="004E4852">
        <w:rPr>
          <w:rFonts w:asciiTheme="majorHAnsi" w:hAnsiTheme="majorHAnsi"/>
          <w:noProof/>
        </w:rPr>
        <w:t xml:space="preserve"> este considerat subiect al </w:t>
      </w:r>
      <w:r w:rsidR="00080227">
        <w:rPr>
          <w:rFonts w:asciiTheme="majorHAnsi" w:hAnsiTheme="majorHAnsi"/>
          <w:noProof/>
        </w:rPr>
        <w:t xml:space="preserve">unei </w:t>
      </w:r>
      <w:r w:rsidR="003F2D5C" w:rsidRPr="004E4852">
        <w:rPr>
          <w:rFonts w:asciiTheme="majorHAnsi" w:hAnsiTheme="majorHAnsi"/>
          <w:noProof/>
        </w:rPr>
        <w:t xml:space="preserve">cauze penale, stabilite de Centrul Național Anticorupție. Aceste circumstanțe au condiționat irosirea mijloacelor publice în sumă de </w:t>
      </w:r>
      <w:r w:rsidR="003F2D5C">
        <w:rPr>
          <w:rFonts w:asciiTheme="majorHAnsi" w:hAnsiTheme="majorHAnsi"/>
          <w:noProof/>
        </w:rPr>
        <w:t>6</w:t>
      </w:r>
      <w:r w:rsidR="00080227">
        <w:rPr>
          <w:rFonts w:asciiTheme="majorHAnsi" w:hAnsiTheme="majorHAnsi"/>
          <w:noProof/>
        </w:rPr>
        <w:t>.</w:t>
      </w:r>
      <w:r w:rsidR="003F2D5C">
        <w:rPr>
          <w:rFonts w:asciiTheme="majorHAnsi" w:hAnsiTheme="majorHAnsi"/>
          <w:noProof/>
        </w:rPr>
        <w:t>556,6</w:t>
      </w:r>
      <w:r w:rsidR="00183F94">
        <w:rPr>
          <w:rFonts w:asciiTheme="majorHAnsi" w:hAnsiTheme="majorHAnsi"/>
          <w:noProof/>
        </w:rPr>
        <w:t xml:space="preserve"> mii </w:t>
      </w:r>
      <w:r w:rsidR="003F2D5C" w:rsidRPr="0033197E">
        <w:rPr>
          <w:rFonts w:asciiTheme="majorHAnsi" w:hAnsiTheme="majorHAnsi"/>
          <w:noProof/>
        </w:rPr>
        <w:t xml:space="preserve">lei </w:t>
      </w:r>
      <w:r w:rsidR="003F2D5C" w:rsidRPr="004E4852">
        <w:rPr>
          <w:rFonts w:asciiTheme="majorHAnsi" w:hAnsiTheme="majorHAnsi"/>
          <w:noProof/>
        </w:rPr>
        <w:t xml:space="preserve">și determină uzarea morală a mijloacelor fixe. </w:t>
      </w:r>
    </w:p>
    <w:p w14:paraId="75ADEED4" w14:textId="5E38CD6A" w:rsidR="003F2D5C" w:rsidRPr="003F2D5C" w:rsidRDefault="003F2D5C" w:rsidP="003F2D5C">
      <w:pPr>
        <w:pStyle w:val="a3"/>
        <w:spacing w:line="276" w:lineRule="auto"/>
        <w:ind w:left="0"/>
        <w:jc w:val="both"/>
        <w:rPr>
          <w:rFonts w:asciiTheme="majorHAnsi" w:hAnsiTheme="majorHAnsi" w:cstheme="majorHAnsi"/>
          <w:noProof/>
        </w:rPr>
      </w:pPr>
      <w:r w:rsidRPr="004F641F">
        <w:rPr>
          <w:rFonts w:asciiTheme="majorHAnsi" w:hAnsiTheme="majorHAnsi"/>
          <w:b/>
          <w:i/>
          <w:noProof/>
        </w:rPr>
        <w:t>Notă:</w:t>
      </w:r>
      <w:r>
        <w:rPr>
          <w:rFonts w:asciiTheme="majorHAnsi" w:hAnsiTheme="majorHAnsi"/>
          <w:noProof/>
        </w:rPr>
        <w:t xml:space="preserve"> </w:t>
      </w:r>
      <w:r w:rsidRPr="004E4852">
        <w:rPr>
          <w:rFonts w:asciiTheme="majorHAnsi" w:hAnsiTheme="majorHAnsi"/>
          <w:noProof/>
        </w:rPr>
        <w:t>Actuala conducere a instituției a solicitat permisiunea ministerului de scoatere din evidență și transmiterea acestor bunuri unor instituții de profil</w:t>
      </w:r>
      <w:r w:rsidR="00080227">
        <w:rPr>
          <w:rFonts w:asciiTheme="majorHAnsi" w:hAnsiTheme="majorHAnsi"/>
          <w:noProof/>
        </w:rPr>
        <w:t>.</w:t>
      </w:r>
    </w:p>
    <w:p w14:paraId="24470424" w14:textId="31D49518" w:rsidR="00C24CBA" w:rsidRPr="00C24CBA" w:rsidRDefault="00A83E94" w:rsidP="00023A8F">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A83E94">
        <w:rPr>
          <w:rFonts w:asciiTheme="majorHAnsi" w:hAnsiTheme="majorHAnsi"/>
          <w:noProof/>
        </w:rPr>
        <w:t>O altă instituție din subordinea ministerului</w:t>
      </w:r>
      <w:r w:rsidRPr="00A83E94">
        <w:rPr>
          <w:rStyle w:val="ad"/>
          <w:rFonts w:asciiTheme="majorHAnsi" w:hAnsiTheme="majorHAnsi"/>
          <w:noProof/>
        </w:rPr>
        <w:footnoteReference w:id="30"/>
      </w:r>
      <w:r w:rsidR="00C41F50" w:rsidRPr="00A83E94">
        <w:rPr>
          <w:rFonts w:asciiTheme="majorHAnsi" w:hAnsiTheme="majorHAnsi"/>
          <w:noProof/>
          <w:shd w:val="clear" w:color="auto" w:fill="FFFFFF" w:themeFill="background1"/>
          <w:lang w:val="ro-RO"/>
        </w:rPr>
        <w:t>,</w:t>
      </w:r>
      <w:r w:rsidRPr="00A83E94">
        <w:rPr>
          <w:rFonts w:asciiTheme="majorHAnsi" w:hAnsiTheme="majorHAnsi"/>
          <w:noProof/>
          <w:shd w:val="clear" w:color="auto" w:fill="FFFFFF" w:themeFill="background1"/>
          <w:lang w:val="ro-RO"/>
        </w:rPr>
        <w:t xml:space="preserve"> </w:t>
      </w:r>
      <w:r>
        <w:rPr>
          <w:rFonts w:asciiTheme="majorHAnsi" w:hAnsiTheme="majorHAnsi"/>
          <w:noProof/>
          <w:shd w:val="clear" w:color="auto" w:fill="FFFFFF" w:themeFill="background1"/>
          <w:lang w:val="ro-RO"/>
        </w:rPr>
        <w:t xml:space="preserve">nu a </w:t>
      </w:r>
      <w:r w:rsidR="00C24CBA">
        <w:rPr>
          <w:rFonts w:asciiTheme="majorHAnsi" w:hAnsiTheme="majorHAnsi"/>
          <w:noProof/>
          <w:shd w:val="clear" w:color="auto" w:fill="FFFFFF" w:themeFill="background1"/>
          <w:lang w:val="ro-RO"/>
        </w:rPr>
        <w:t>asigurat</w:t>
      </w:r>
      <w:r w:rsidR="00080227">
        <w:rPr>
          <w:rFonts w:asciiTheme="majorHAnsi" w:hAnsiTheme="majorHAnsi"/>
          <w:noProof/>
          <w:shd w:val="clear" w:color="auto" w:fill="FFFFFF" w:themeFill="background1"/>
          <w:lang w:val="ro-RO"/>
        </w:rPr>
        <w:t>,</w:t>
      </w:r>
      <w:r w:rsidR="00C24CBA">
        <w:rPr>
          <w:rFonts w:asciiTheme="majorHAnsi" w:hAnsiTheme="majorHAnsi"/>
          <w:noProof/>
          <w:shd w:val="clear" w:color="auto" w:fill="FFFFFF" w:themeFill="background1"/>
          <w:lang w:val="ro-RO"/>
        </w:rPr>
        <w:t xml:space="preserve"> în unele cazuri</w:t>
      </w:r>
      <w:r w:rsidR="00080227">
        <w:rPr>
          <w:rFonts w:asciiTheme="majorHAnsi" w:hAnsiTheme="majorHAnsi"/>
          <w:noProof/>
          <w:shd w:val="clear" w:color="auto" w:fill="FFFFFF" w:themeFill="background1"/>
          <w:lang w:val="ro-RO"/>
        </w:rPr>
        <w:t>,</w:t>
      </w:r>
      <w:r w:rsidR="00C24CBA">
        <w:rPr>
          <w:rFonts w:asciiTheme="majorHAnsi" w:hAnsiTheme="majorHAnsi"/>
          <w:noProof/>
          <w:shd w:val="clear" w:color="auto" w:fill="FFFFFF" w:themeFill="background1"/>
          <w:lang w:val="ro-RO"/>
        </w:rPr>
        <w:t xml:space="preserve"> regularitatea tranzacțiilor</w:t>
      </w:r>
      <w:r w:rsidR="00CA1A42">
        <w:rPr>
          <w:rFonts w:asciiTheme="majorHAnsi" w:hAnsiTheme="majorHAnsi"/>
          <w:noProof/>
          <w:shd w:val="clear" w:color="auto" w:fill="FFFFFF" w:themeFill="background1"/>
          <w:lang w:val="ro-RO"/>
        </w:rPr>
        <w:t>, precum și</w:t>
      </w:r>
      <w:r w:rsidR="00C24CBA">
        <w:rPr>
          <w:rFonts w:asciiTheme="majorHAnsi" w:hAnsiTheme="majorHAnsi"/>
          <w:noProof/>
          <w:shd w:val="clear" w:color="auto" w:fill="FFFFFF" w:themeFill="background1"/>
          <w:lang w:val="ro-RO"/>
        </w:rPr>
        <w:t xml:space="preserve"> ținerea evidenței contabile veridice. Astfel, </w:t>
      </w:r>
    </w:p>
    <w:p w14:paraId="54E64CFE" w14:textId="2C43A9FC" w:rsidR="00C24CBA" w:rsidRDefault="00CA1A42" w:rsidP="00C24CBA">
      <w:pPr>
        <w:pStyle w:val="a3"/>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Pr>
          <w:rFonts w:asciiTheme="majorHAnsi" w:hAnsiTheme="majorHAnsi"/>
          <w:noProof/>
          <w:shd w:val="clear" w:color="auto" w:fill="FFFFFF" w:themeFill="background1"/>
          <w:lang w:val="ro-RO"/>
        </w:rPr>
        <w:t xml:space="preserve">nu a </w:t>
      </w:r>
      <w:r w:rsidR="00A83E94">
        <w:rPr>
          <w:rFonts w:asciiTheme="majorHAnsi" w:hAnsiTheme="majorHAnsi"/>
          <w:noProof/>
          <w:shd w:val="clear" w:color="auto" w:fill="FFFFFF" w:themeFill="background1"/>
          <w:lang w:val="ro-RO"/>
        </w:rPr>
        <w:t>aplicat</w:t>
      </w:r>
      <w:r w:rsidR="00A83E94" w:rsidRPr="00A83E94">
        <w:rPr>
          <w:rFonts w:asciiTheme="majorHAnsi" w:hAnsiTheme="majorHAnsi"/>
          <w:noProof/>
          <w:shd w:val="clear" w:color="auto" w:fill="FFFFFF" w:themeFill="background1"/>
          <w:lang w:val="ro-RO"/>
        </w:rPr>
        <w:t xml:space="preserve"> penalitate</w:t>
      </w:r>
      <w:r w:rsidR="00A83E94">
        <w:rPr>
          <w:rFonts w:asciiTheme="majorHAnsi" w:hAnsiTheme="majorHAnsi"/>
          <w:noProof/>
          <w:shd w:val="clear" w:color="auto" w:fill="FFFFFF" w:themeFill="background1"/>
          <w:lang w:val="ro-RO"/>
        </w:rPr>
        <w:t>a</w:t>
      </w:r>
      <w:r w:rsidR="00A83E94" w:rsidRPr="00A83E94">
        <w:rPr>
          <w:rFonts w:asciiTheme="majorHAnsi" w:hAnsiTheme="majorHAnsi"/>
          <w:noProof/>
          <w:shd w:val="clear" w:color="auto" w:fill="FFFFFF" w:themeFill="background1"/>
          <w:lang w:val="ro-RO"/>
        </w:rPr>
        <w:t xml:space="preserve"> </w:t>
      </w:r>
      <w:r w:rsidR="006D74A6" w:rsidRPr="00A83E94">
        <w:rPr>
          <w:rFonts w:asciiTheme="majorHAnsi" w:hAnsiTheme="majorHAnsi"/>
          <w:noProof/>
          <w:shd w:val="clear" w:color="auto" w:fill="FFFFFF" w:themeFill="background1"/>
          <w:lang w:val="ro-RO"/>
        </w:rPr>
        <w:t xml:space="preserve">conform prevederilor contractului de locațiune nr.12 din 02 ianuarie 2021 </w:t>
      </w:r>
      <w:r w:rsidR="00A83E94">
        <w:rPr>
          <w:rFonts w:asciiTheme="majorHAnsi" w:hAnsiTheme="majorHAnsi"/>
          <w:noProof/>
          <w:shd w:val="clear" w:color="auto" w:fill="FFFFFF" w:themeFill="background1"/>
          <w:lang w:val="ro-RO"/>
        </w:rPr>
        <w:t>(pct</w:t>
      </w:r>
      <w:r w:rsidR="006D74A6" w:rsidRPr="00A83E94">
        <w:rPr>
          <w:rFonts w:asciiTheme="majorHAnsi" w:hAnsiTheme="majorHAnsi"/>
          <w:noProof/>
          <w:shd w:val="clear" w:color="auto" w:fill="FFFFFF" w:themeFill="background1"/>
          <w:lang w:val="ro-RO"/>
        </w:rPr>
        <w:t xml:space="preserve"> 3.4</w:t>
      </w:r>
      <w:r w:rsidR="00A83E94">
        <w:rPr>
          <w:rFonts w:asciiTheme="majorHAnsi" w:hAnsiTheme="majorHAnsi"/>
          <w:noProof/>
          <w:shd w:val="clear" w:color="auto" w:fill="FFFFFF" w:themeFill="background1"/>
          <w:lang w:val="ro-RO"/>
        </w:rPr>
        <w:t>)</w:t>
      </w:r>
      <w:r w:rsidR="00DC37AB">
        <w:rPr>
          <w:rFonts w:asciiTheme="majorHAnsi" w:hAnsiTheme="majorHAnsi"/>
          <w:noProof/>
          <w:shd w:val="clear" w:color="auto" w:fill="FFFFFF" w:themeFill="background1"/>
          <w:lang w:val="ro-RO"/>
        </w:rPr>
        <w:t>,</w:t>
      </w:r>
      <w:r w:rsidR="006D74A6" w:rsidRPr="00A83E94">
        <w:rPr>
          <w:rFonts w:asciiTheme="majorHAnsi" w:hAnsiTheme="majorHAnsi"/>
          <w:noProof/>
          <w:shd w:val="clear" w:color="auto" w:fill="FFFFFF" w:themeFill="background1"/>
          <w:lang w:val="ro-RO"/>
        </w:rPr>
        <w:t xml:space="preserve"> din suma plății neachitate </w:t>
      </w:r>
      <w:r w:rsidR="00DC37AB">
        <w:rPr>
          <w:rFonts w:asciiTheme="majorHAnsi" w:hAnsiTheme="majorHAnsi"/>
          <w:noProof/>
          <w:shd w:val="clear" w:color="auto" w:fill="FFFFFF" w:themeFill="background1"/>
          <w:lang w:val="ro-RO"/>
        </w:rPr>
        <w:t xml:space="preserve">pentru fiecare zi de întârziere. </w:t>
      </w:r>
      <w:r w:rsidR="00080227">
        <w:rPr>
          <w:rFonts w:asciiTheme="majorHAnsi" w:hAnsiTheme="majorHAnsi"/>
          <w:noProof/>
          <w:shd w:val="clear" w:color="auto" w:fill="FFFFFF" w:themeFill="background1"/>
          <w:lang w:val="ro-RO"/>
        </w:rPr>
        <w:t>Ca u</w:t>
      </w:r>
      <w:r w:rsidR="006D74A6" w:rsidRPr="00A83E94">
        <w:rPr>
          <w:rFonts w:asciiTheme="majorHAnsi" w:hAnsiTheme="majorHAnsi"/>
          <w:noProof/>
          <w:shd w:val="clear" w:color="auto" w:fill="FFFFFF" w:themeFill="background1"/>
          <w:lang w:val="ro-RO"/>
        </w:rPr>
        <w:t xml:space="preserve">rmare a </w:t>
      </w:r>
      <w:r w:rsidR="00DC37AB">
        <w:rPr>
          <w:rFonts w:asciiTheme="majorHAnsi" w:hAnsiTheme="majorHAnsi"/>
          <w:noProof/>
          <w:shd w:val="clear" w:color="auto" w:fill="FFFFFF" w:themeFill="background1"/>
          <w:lang w:val="ro-RO"/>
        </w:rPr>
        <w:t>analizei</w:t>
      </w:r>
      <w:r w:rsidR="006D74A6" w:rsidRPr="00A83E94">
        <w:rPr>
          <w:rFonts w:asciiTheme="majorHAnsi" w:hAnsiTheme="majorHAnsi"/>
          <w:noProof/>
          <w:shd w:val="clear" w:color="auto" w:fill="FFFFFF" w:themeFill="background1"/>
          <w:lang w:val="ro-RO"/>
        </w:rPr>
        <w:t xml:space="preserve"> contract</w:t>
      </w:r>
      <w:r w:rsidR="00DC37AB">
        <w:rPr>
          <w:rFonts w:asciiTheme="majorHAnsi" w:hAnsiTheme="majorHAnsi"/>
          <w:noProof/>
          <w:shd w:val="clear" w:color="auto" w:fill="FFFFFF" w:themeFill="background1"/>
          <w:lang w:val="ro-RO"/>
        </w:rPr>
        <w:t>e</w:t>
      </w:r>
      <w:r w:rsidR="006D74A6" w:rsidRPr="00A83E94">
        <w:rPr>
          <w:rFonts w:asciiTheme="majorHAnsi" w:hAnsiTheme="majorHAnsi"/>
          <w:noProof/>
          <w:shd w:val="clear" w:color="auto" w:fill="FFFFFF" w:themeFill="background1"/>
          <w:lang w:val="ro-RO"/>
        </w:rPr>
        <w:t>lor</w:t>
      </w:r>
      <w:r w:rsidR="00080227">
        <w:rPr>
          <w:rFonts w:asciiTheme="majorHAnsi" w:hAnsiTheme="majorHAnsi"/>
          <w:noProof/>
          <w:shd w:val="clear" w:color="auto" w:fill="FFFFFF" w:themeFill="background1"/>
          <w:lang w:val="ro-RO"/>
        </w:rPr>
        <w:t>,</w:t>
      </w:r>
      <w:r w:rsidR="006D74A6" w:rsidRPr="00A83E94">
        <w:rPr>
          <w:rFonts w:asciiTheme="majorHAnsi" w:hAnsiTheme="majorHAnsi"/>
          <w:noProof/>
          <w:shd w:val="clear" w:color="auto" w:fill="FFFFFF" w:themeFill="background1"/>
          <w:lang w:val="ro-RO"/>
        </w:rPr>
        <w:t xml:space="preserve"> </w:t>
      </w:r>
      <w:r w:rsidR="00C41F50" w:rsidRPr="00A83E94">
        <w:rPr>
          <w:rFonts w:asciiTheme="majorHAnsi" w:hAnsiTheme="majorHAnsi"/>
          <w:noProof/>
          <w:shd w:val="clear" w:color="auto" w:fill="FFFFFF" w:themeFill="background1"/>
          <w:lang w:val="ro-RO"/>
        </w:rPr>
        <w:t xml:space="preserve">s-a constatat </w:t>
      </w:r>
      <w:r w:rsidR="006F56D1">
        <w:rPr>
          <w:rFonts w:asciiTheme="majorHAnsi" w:hAnsiTheme="majorHAnsi"/>
          <w:noProof/>
          <w:shd w:val="clear" w:color="auto" w:fill="FFFFFF" w:themeFill="background1"/>
          <w:lang w:val="ro-RO"/>
        </w:rPr>
        <w:t>ne</w:t>
      </w:r>
      <w:r w:rsidR="00C41F50" w:rsidRPr="00A83E94">
        <w:rPr>
          <w:rFonts w:asciiTheme="majorHAnsi" w:hAnsiTheme="majorHAnsi"/>
          <w:noProof/>
          <w:shd w:val="clear" w:color="auto" w:fill="FFFFFF" w:themeFill="background1"/>
          <w:lang w:val="ro-RO"/>
        </w:rPr>
        <w:t>calcul</w:t>
      </w:r>
      <w:r w:rsidR="006F56D1">
        <w:rPr>
          <w:rFonts w:asciiTheme="majorHAnsi" w:hAnsiTheme="majorHAnsi"/>
          <w:noProof/>
          <w:shd w:val="clear" w:color="auto" w:fill="FFFFFF" w:themeFill="background1"/>
          <w:lang w:val="ro-RO"/>
        </w:rPr>
        <w:t>area</w:t>
      </w:r>
      <w:r w:rsidR="00C41F50" w:rsidRPr="00A83E94">
        <w:rPr>
          <w:rFonts w:asciiTheme="majorHAnsi" w:hAnsiTheme="majorHAnsi"/>
          <w:noProof/>
          <w:shd w:val="clear" w:color="auto" w:fill="FFFFFF" w:themeFill="background1"/>
          <w:lang w:val="ro-RO"/>
        </w:rPr>
        <w:t xml:space="preserve"> penalității în mărime de 0,1% pentru datoria arierată în raport cu ANSP, iar suma penalității pentru 169 </w:t>
      </w:r>
      <w:r w:rsidR="00080227">
        <w:rPr>
          <w:rFonts w:asciiTheme="majorHAnsi" w:hAnsiTheme="majorHAnsi"/>
          <w:noProof/>
          <w:shd w:val="clear" w:color="auto" w:fill="FFFFFF" w:themeFill="background1"/>
          <w:lang w:val="ro-RO"/>
        </w:rPr>
        <w:t xml:space="preserve">de </w:t>
      </w:r>
      <w:r w:rsidR="00C41F50" w:rsidRPr="00A83E94">
        <w:rPr>
          <w:rFonts w:asciiTheme="majorHAnsi" w:hAnsiTheme="majorHAnsi"/>
          <w:noProof/>
          <w:shd w:val="clear" w:color="auto" w:fill="FFFFFF" w:themeFill="background1"/>
          <w:lang w:val="ro-RO"/>
        </w:rPr>
        <w:t>zile depășite constituie valoarea de 13,</w:t>
      </w:r>
      <w:r w:rsidR="00C41F50" w:rsidRPr="00A83E94">
        <w:rPr>
          <w:rFonts w:asciiTheme="majorHAnsi" w:hAnsiTheme="majorHAnsi"/>
          <w:noProof/>
          <w:lang w:val="ro-RO"/>
        </w:rPr>
        <w:t>5 mii lei</w:t>
      </w:r>
      <w:r w:rsidR="00080227">
        <w:rPr>
          <w:rFonts w:asciiTheme="majorHAnsi" w:hAnsiTheme="majorHAnsi"/>
          <w:noProof/>
          <w:lang w:val="ro-RO"/>
        </w:rPr>
        <w:t>;</w:t>
      </w:r>
    </w:p>
    <w:p w14:paraId="08DB2B79" w14:textId="1E4EC7EC" w:rsidR="00C24CBA" w:rsidRPr="00C855EB" w:rsidRDefault="004D2BCE" w:rsidP="00C24CBA">
      <w:pPr>
        <w:pStyle w:val="a3"/>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C855EB">
        <w:rPr>
          <w:rFonts w:asciiTheme="majorHAnsi" w:hAnsiTheme="majorHAnsi" w:cstheme="majorHAnsi"/>
          <w:lang w:val="ro-RO"/>
        </w:rPr>
        <w:t xml:space="preserve">a prezentat neveridic în Cartea mare și </w:t>
      </w:r>
      <w:r w:rsidR="00080227" w:rsidRPr="00C855EB">
        <w:rPr>
          <w:rFonts w:asciiTheme="majorHAnsi" w:hAnsiTheme="majorHAnsi" w:cstheme="majorHAnsi"/>
          <w:lang w:val="ro-RO"/>
        </w:rPr>
        <w:t xml:space="preserve">în </w:t>
      </w:r>
      <w:r w:rsidRPr="00C855EB">
        <w:rPr>
          <w:rFonts w:asciiTheme="majorHAnsi" w:hAnsiTheme="majorHAnsi" w:cstheme="majorHAnsi"/>
          <w:lang w:val="ro-RO"/>
        </w:rPr>
        <w:t>raportul privind veniturile şi cheltuielile (Form</w:t>
      </w:r>
      <w:r w:rsidR="00080227" w:rsidRPr="00C855EB">
        <w:rPr>
          <w:rFonts w:asciiTheme="majorHAnsi" w:hAnsiTheme="majorHAnsi" w:cstheme="majorHAnsi"/>
          <w:lang w:val="ro-RO"/>
        </w:rPr>
        <w:t>ularul</w:t>
      </w:r>
      <w:r w:rsidRPr="00C855EB">
        <w:rPr>
          <w:rFonts w:asciiTheme="majorHAnsi" w:hAnsiTheme="majorHAnsi" w:cstheme="majorHAnsi"/>
          <w:lang w:val="ro-RO"/>
        </w:rPr>
        <w:t xml:space="preserve"> FD-047)</w:t>
      </w:r>
      <w:r w:rsidR="00080227" w:rsidRPr="00C855EB">
        <w:rPr>
          <w:rFonts w:asciiTheme="majorHAnsi" w:hAnsiTheme="majorHAnsi" w:cstheme="majorHAnsi"/>
          <w:lang w:val="ro-RO"/>
        </w:rPr>
        <w:t>,</w:t>
      </w:r>
      <w:r w:rsidRPr="00C855EB">
        <w:rPr>
          <w:rFonts w:asciiTheme="majorHAnsi" w:hAnsiTheme="majorHAnsi" w:cstheme="majorHAnsi"/>
          <w:lang w:val="ro-RO"/>
        </w:rPr>
        <w:t xml:space="preserve"> întocmit la situația din 31.08.2021, cheltuielile suportate privind remunerarea muncii. Astfel</w:t>
      </w:r>
      <w:r w:rsidR="00080227" w:rsidRPr="00C855EB">
        <w:rPr>
          <w:rFonts w:asciiTheme="majorHAnsi" w:hAnsiTheme="majorHAnsi" w:cstheme="majorHAnsi"/>
          <w:lang w:val="ro-RO"/>
        </w:rPr>
        <w:t>,</w:t>
      </w:r>
      <w:r w:rsidRPr="00C855EB">
        <w:rPr>
          <w:rFonts w:asciiTheme="majorHAnsi" w:hAnsiTheme="majorHAnsi" w:cstheme="majorHAnsi"/>
          <w:lang w:val="ro-RO"/>
        </w:rPr>
        <w:t xml:space="preserve"> din motivațiile instituției auditate se relevă că Form</w:t>
      </w:r>
      <w:r w:rsidR="00080227" w:rsidRPr="00C855EB">
        <w:rPr>
          <w:rFonts w:asciiTheme="majorHAnsi" w:hAnsiTheme="majorHAnsi" w:cstheme="majorHAnsi"/>
          <w:lang w:val="ro-RO"/>
        </w:rPr>
        <w:t>ularul</w:t>
      </w:r>
      <w:r w:rsidRPr="00C855EB">
        <w:rPr>
          <w:rFonts w:asciiTheme="majorHAnsi" w:hAnsiTheme="majorHAnsi" w:cstheme="majorHAnsi"/>
          <w:lang w:val="ro-RO"/>
        </w:rPr>
        <w:t xml:space="preserve"> FD 047, 044 calculul efectiv a cheltuielilor de personal coincide cu datele din </w:t>
      </w:r>
      <w:r w:rsidR="00080227" w:rsidRPr="00C855EB">
        <w:rPr>
          <w:rFonts w:asciiTheme="majorHAnsi" w:hAnsiTheme="majorHAnsi" w:cstheme="majorHAnsi"/>
          <w:lang w:val="ro-RO"/>
        </w:rPr>
        <w:t>C</w:t>
      </w:r>
      <w:r w:rsidRPr="00C855EB">
        <w:rPr>
          <w:rFonts w:asciiTheme="majorHAnsi" w:hAnsiTheme="majorHAnsi" w:cstheme="majorHAnsi"/>
          <w:lang w:val="ro-RO"/>
        </w:rPr>
        <w:t>artea mare anuală, dar sunt eronate fa</w:t>
      </w:r>
      <w:r w:rsidR="00080227" w:rsidRPr="00C855EB">
        <w:rPr>
          <w:rFonts w:asciiTheme="majorHAnsi" w:hAnsiTheme="majorHAnsi" w:cstheme="majorHAnsi"/>
          <w:lang w:val="ro-RO"/>
        </w:rPr>
        <w:t>ț</w:t>
      </w:r>
      <w:r w:rsidRPr="00C855EB">
        <w:rPr>
          <w:rFonts w:asciiTheme="majorHAnsi" w:hAnsiTheme="majorHAnsi" w:cstheme="majorHAnsi"/>
          <w:lang w:val="ro-RO"/>
        </w:rPr>
        <w:t xml:space="preserve">ă de </w:t>
      </w:r>
      <w:r w:rsidR="00080227" w:rsidRPr="00C855EB">
        <w:rPr>
          <w:rFonts w:asciiTheme="majorHAnsi" w:hAnsiTheme="majorHAnsi" w:cstheme="majorHAnsi"/>
          <w:lang w:val="ro-RO"/>
        </w:rPr>
        <w:t>C</w:t>
      </w:r>
      <w:r w:rsidRPr="00C855EB">
        <w:rPr>
          <w:rFonts w:asciiTheme="majorHAnsi" w:hAnsiTheme="majorHAnsi" w:cstheme="majorHAnsi"/>
          <w:lang w:val="ro-RO"/>
        </w:rPr>
        <w:t>artea mare pe luni separat</w:t>
      </w:r>
      <w:r w:rsidR="00080227" w:rsidRPr="00C855EB">
        <w:rPr>
          <w:rFonts w:asciiTheme="majorHAnsi" w:hAnsiTheme="majorHAnsi" w:cstheme="majorHAnsi"/>
          <w:lang w:val="ro-RO"/>
        </w:rPr>
        <w:t>e</w:t>
      </w:r>
      <w:r w:rsidRPr="00C855EB">
        <w:rPr>
          <w:rFonts w:asciiTheme="majorHAnsi" w:hAnsiTheme="majorHAnsi" w:cstheme="majorHAnsi"/>
          <w:lang w:val="ro-RO"/>
        </w:rPr>
        <w:t>. La totalizarea calculelor a fost depistat</w:t>
      </w:r>
      <w:r w:rsidR="006F56D1" w:rsidRPr="00C855EB">
        <w:rPr>
          <w:rFonts w:asciiTheme="majorHAnsi" w:hAnsiTheme="majorHAnsi" w:cstheme="majorHAnsi"/>
          <w:lang w:val="ro-RO"/>
        </w:rPr>
        <w:t>ă</w:t>
      </w:r>
      <w:r w:rsidRPr="00C855EB">
        <w:rPr>
          <w:rFonts w:asciiTheme="majorHAnsi" w:hAnsiTheme="majorHAnsi" w:cstheme="majorHAnsi"/>
          <w:lang w:val="ro-RO"/>
        </w:rPr>
        <w:t xml:space="preserve"> </w:t>
      </w:r>
      <w:r w:rsidR="00080227" w:rsidRPr="00C855EB">
        <w:rPr>
          <w:rFonts w:asciiTheme="majorHAnsi" w:hAnsiTheme="majorHAnsi" w:cstheme="majorHAnsi"/>
          <w:lang w:val="ro-RO"/>
        </w:rPr>
        <w:t xml:space="preserve">o </w:t>
      </w:r>
      <w:r w:rsidRPr="00C855EB">
        <w:rPr>
          <w:rFonts w:asciiTheme="majorHAnsi" w:hAnsiTheme="majorHAnsi" w:cstheme="majorHAnsi"/>
          <w:lang w:val="ro-RO"/>
        </w:rPr>
        <w:t>eroare în sumă de 608,0 mii lei, care constituie datoria pe contribuții de asigurări sociale de stat, codul ECO 212100, 6%, eronat a fost micșorat</w:t>
      </w:r>
      <w:r w:rsidR="006F56D1" w:rsidRPr="00C855EB">
        <w:rPr>
          <w:rFonts w:asciiTheme="majorHAnsi" w:hAnsiTheme="majorHAnsi" w:cstheme="majorHAnsi"/>
          <w:lang w:val="ro-RO"/>
        </w:rPr>
        <w:t>ă</w:t>
      </w:r>
      <w:r w:rsidRPr="00C855EB">
        <w:rPr>
          <w:rFonts w:asciiTheme="majorHAnsi" w:hAnsiTheme="majorHAnsi" w:cstheme="majorHAnsi"/>
          <w:lang w:val="ro-RO"/>
        </w:rPr>
        <w:t xml:space="preserve"> suma cheltuielilor efectiv</w:t>
      </w:r>
      <w:r w:rsidR="006F56D1" w:rsidRPr="00C855EB">
        <w:rPr>
          <w:rFonts w:asciiTheme="majorHAnsi" w:hAnsiTheme="majorHAnsi" w:cstheme="majorHAnsi"/>
          <w:lang w:val="ro-RO"/>
        </w:rPr>
        <w:t>ă</w:t>
      </w:r>
      <w:r w:rsidR="001C641A" w:rsidRPr="00C855EB">
        <w:rPr>
          <w:rFonts w:asciiTheme="majorHAnsi" w:hAnsiTheme="majorHAnsi" w:cstheme="majorHAnsi"/>
          <w:lang w:val="ro-RO"/>
        </w:rPr>
        <w:t xml:space="preserve"> codul</w:t>
      </w:r>
      <w:r w:rsidR="006F56D1" w:rsidRPr="00C855EB">
        <w:rPr>
          <w:rFonts w:asciiTheme="majorHAnsi" w:hAnsiTheme="majorHAnsi" w:cstheme="majorHAnsi"/>
          <w:lang w:val="ro-RO"/>
        </w:rPr>
        <w:t>ui</w:t>
      </w:r>
      <w:r w:rsidR="001C641A" w:rsidRPr="00C855EB">
        <w:rPr>
          <w:rFonts w:asciiTheme="majorHAnsi" w:hAnsiTheme="majorHAnsi" w:cstheme="majorHAnsi"/>
          <w:lang w:val="ro-RO"/>
        </w:rPr>
        <w:t xml:space="preserve"> ECO 211110 cu suma dată;</w:t>
      </w:r>
    </w:p>
    <w:p w14:paraId="4B4A1FBD" w14:textId="477C144A" w:rsidR="001C641A" w:rsidRPr="00080227" w:rsidRDefault="00CA1A42" w:rsidP="00080227">
      <w:pPr>
        <w:pStyle w:val="a3"/>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080227">
        <w:rPr>
          <w:rFonts w:asciiTheme="majorHAnsi" w:hAnsiTheme="majorHAnsi" w:cstheme="majorHAnsi"/>
          <w:lang w:val="ro-RO"/>
        </w:rPr>
        <w:t>a admis</w:t>
      </w:r>
      <w:r w:rsidR="001C641A" w:rsidRPr="00080227">
        <w:rPr>
          <w:rFonts w:asciiTheme="majorHAnsi" w:hAnsiTheme="majorHAnsi" w:cstheme="majorHAnsi"/>
          <w:lang w:val="ro-RO"/>
        </w:rPr>
        <w:t xml:space="preserve"> o deviere </w:t>
      </w:r>
      <w:r w:rsidR="00080227" w:rsidRPr="00080227">
        <w:rPr>
          <w:rFonts w:asciiTheme="majorHAnsi" w:hAnsiTheme="majorHAnsi" w:cstheme="majorHAnsi"/>
          <w:lang w:val="ro-RO"/>
        </w:rPr>
        <w:t>î</w:t>
      </w:r>
      <w:r w:rsidR="001C641A" w:rsidRPr="00080227">
        <w:rPr>
          <w:rFonts w:asciiTheme="majorHAnsi" w:hAnsiTheme="majorHAnsi" w:cstheme="majorHAnsi"/>
          <w:lang w:val="ro-RO"/>
        </w:rPr>
        <w:t xml:space="preserve">ntre registrul </w:t>
      </w:r>
      <w:r w:rsidR="00080227" w:rsidRPr="00080227">
        <w:rPr>
          <w:rFonts w:asciiTheme="majorHAnsi" w:hAnsiTheme="majorHAnsi" w:cstheme="majorHAnsi"/>
          <w:lang w:val="ro-RO"/>
        </w:rPr>
        <w:t>„</w:t>
      </w:r>
      <w:r w:rsidR="001C641A" w:rsidRPr="007D68C6">
        <w:rPr>
          <w:rFonts w:asciiTheme="majorHAnsi" w:hAnsiTheme="majorHAnsi" w:cstheme="majorHAnsi"/>
          <w:lang w:val="ro-RO"/>
        </w:rPr>
        <w:t xml:space="preserve">Cartea </w:t>
      </w:r>
      <w:r w:rsidR="00080227" w:rsidRPr="007D68C6">
        <w:rPr>
          <w:rFonts w:asciiTheme="majorHAnsi" w:hAnsiTheme="majorHAnsi" w:cstheme="majorHAnsi"/>
          <w:lang w:val="ro-RO"/>
        </w:rPr>
        <w:t>m</w:t>
      </w:r>
      <w:r w:rsidR="001C641A" w:rsidRPr="007D68C6">
        <w:rPr>
          <w:rFonts w:asciiTheme="majorHAnsi" w:hAnsiTheme="majorHAnsi" w:cstheme="majorHAnsi"/>
          <w:lang w:val="ro-RO"/>
        </w:rPr>
        <w:t>are</w:t>
      </w:r>
      <w:r w:rsidR="00080227" w:rsidRPr="007D68C6">
        <w:rPr>
          <w:rFonts w:asciiTheme="majorHAnsi" w:hAnsiTheme="majorHAnsi" w:cstheme="majorHAnsi"/>
          <w:lang w:val="ro-RO"/>
        </w:rPr>
        <w:t>,</w:t>
      </w:r>
      <w:r w:rsidR="001C641A" w:rsidRPr="007D68C6">
        <w:rPr>
          <w:rFonts w:asciiTheme="majorHAnsi" w:hAnsiTheme="majorHAnsi" w:cstheme="majorHAnsi"/>
          <w:lang w:val="ro-RO"/>
        </w:rPr>
        <w:t xml:space="preserve"> form</w:t>
      </w:r>
      <w:r w:rsidR="00080227" w:rsidRPr="007D68C6">
        <w:rPr>
          <w:rFonts w:asciiTheme="majorHAnsi" w:hAnsiTheme="majorHAnsi" w:cstheme="majorHAnsi"/>
          <w:lang w:val="ro-RO"/>
        </w:rPr>
        <w:t>ul</w:t>
      </w:r>
      <w:r w:rsidR="001C641A" w:rsidRPr="007D68C6">
        <w:rPr>
          <w:rFonts w:asciiTheme="majorHAnsi" w:hAnsiTheme="majorHAnsi" w:cstheme="majorHAnsi"/>
          <w:lang w:val="ro-RO"/>
        </w:rPr>
        <w:t>a</w:t>
      </w:r>
      <w:r w:rsidR="00080227" w:rsidRPr="007D68C6">
        <w:rPr>
          <w:rFonts w:asciiTheme="majorHAnsi" w:hAnsiTheme="majorHAnsi" w:cstheme="majorHAnsi"/>
          <w:lang w:val="ro-RO"/>
        </w:rPr>
        <w:t>rul</w:t>
      </w:r>
      <w:r w:rsidR="001C641A" w:rsidRPr="007D68C6">
        <w:rPr>
          <w:rFonts w:asciiTheme="majorHAnsi" w:hAnsiTheme="majorHAnsi" w:cstheme="majorHAnsi"/>
          <w:lang w:val="ro-RO"/>
        </w:rPr>
        <w:t xml:space="preserve"> CM-18” și Rapo</w:t>
      </w:r>
      <w:r w:rsidR="00080227" w:rsidRPr="007D68C6">
        <w:rPr>
          <w:rFonts w:asciiTheme="majorHAnsi" w:hAnsiTheme="majorHAnsi" w:cstheme="majorHAnsi"/>
          <w:lang w:val="ro-RO"/>
        </w:rPr>
        <w:t>a</w:t>
      </w:r>
      <w:r w:rsidR="001C641A" w:rsidRPr="007D68C6">
        <w:rPr>
          <w:rFonts w:asciiTheme="majorHAnsi" w:hAnsiTheme="majorHAnsi" w:cstheme="majorHAnsi"/>
          <w:lang w:val="ro-RO"/>
        </w:rPr>
        <w:t>rt</w:t>
      </w:r>
      <w:r w:rsidR="00080227" w:rsidRPr="007D68C6">
        <w:rPr>
          <w:rFonts w:asciiTheme="majorHAnsi" w:hAnsiTheme="majorHAnsi" w:cstheme="majorHAnsi"/>
          <w:lang w:val="ro-RO"/>
        </w:rPr>
        <w:t>ele</w:t>
      </w:r>
      <w:r w:rsidR="001C641A" w:rsidRPr="007D68C6">
        <w:rPr>
          <w:rFonts w:asciiTheme="majorHAnsi" w:hAnsiTheme="majorHAnsi" w:cstheme="majorHAnsi"/>
          <w:lang w:val="ro-RO"/>
        </w:rPr>
        <w:t xml:space="preserve"> financiar</w:t>
      </w:r>
      <w:r w:rsidR="00080227" w:rsidRPr="0048672B">
        <w:rPr>
          <w:rFonts w:asciiTheme="majorHAnsi" w:hAnsiTheme="majorHAnsi" w:cstheme="majorHAnsi"/>
          <w:lang w:val="ro-RO"/>
        </w:rPr>
        <w:t>e</w:t>
      </w:r>
      <w:r w:rsidR="001C641A" w:rsidRPr="0048672B">
        <w:rPr>
          <w:rFonts w:asciiTheme="majorHAnsi" w:hAnsiTheme="majorHAnsi" w:cstheme="majorHAnsi"/>
          <w:lang w:val="ro-RO"/>
        </w:rPr>
        <w:t xml:space="preserve"> </w:t>
      </w:r>
      <w:r w:rsidR="00080227" w:rsidRPr="0048672B">
        <w:rPr>
          <w:rFonts w:asciiTheme="majorHAnsi" w:hAnsiTheme="majorHAnsi" w:cstheme="majorHAnsi"/>
          <w:lang w:val="ro-RO"/>
        </w:rPr>
        <w:t>„</w:t>
      </w:r>
      <w:r w:rsidR="001C641A" w:rsidRPr="0048672B">
        <w:rPr>
          <w:rFonts w:asciiTheme="majorHAnsi" w:hAnsiTheme="majorHAnsi" w:cstheme="majorHAnsi"/>
          <w:lang w:val="ro-RO"/>
        </w:rPr>
        <w:t>FD-044” și</w:t>
      </w:r>
      <w:r w:rsidR="002B5733" w:rsidRPr="0048672B">
        <w:rPr>
          <w:rFonts w:asciiTheme="majorHAnsi" w:hAnsiTheme="majorHAnsi" w:cstheme="majorHAnsi"/>
          <w:lang w:val="ro-RO"/>
        </w:rPr>
        <w:t xml:space="preserve"> </w:t>
      </w:r>
      <w:r w:rsidR="00080227" w:rsidRPr="0048672B">
        <w:rPr>
          <w:rFonts w:asciiTheme="majorHAnsi" w:hAnsiTheme="majorHAnsi" w:cstheme="majorHAnsi"/>
          <w:lang w:val="ro-RO"/>
        </w:rPr>
        <w:t>„</w:t>
      </w:r>
      <w:r w:rsidR="002B5733" w:rsidRPr="0048672B">
        <w:rPr>
          <w:rFonts w:asciiTheme="majorHAnsi" w:hAnsiTheme="majorHAnsi" w:cstheme="majorHAnsi"/>
          <w:lang w:val="ro-RO"/>
        </w:rPr>
        <w:t>FD-042”</w:t>
      </w:r>
      <w:r w:rsidR="00080227" w:rsidRPr="0048672B">
        <w:rPr>
          <w:rFonts w:asciiTheme="majorHAnsi" w:hAnsiTheme="majorHAnsi" w:cstheme="majorHAnsi"/>
          <w:lang w:val="ro-RO"/>
        </w:rPr>
        <w:t xml:space="preserve"> la</w:t>
      </w:r>
      <w:r w:rsidR="002B5733" w:rsidRPr="0048672B">
        <w:rPr>
          <w:rFonts w:asciiTheme="majorHAnsi" w:hAnsiTheme="majorHAnsi" w:cstheme="majorHAnsi"/>
          <w:lang w:val="ro-RO"/>
        </w:rPr>
        <w:t xml:space="preserve"> conturile 142 </w:t>
      </w:r>
      <w:r w:rsidR="00080227" w:rsidRPr="0048672B">
        <w:rPr>
          <w:rFonts w:asciiTheme="majorHAnsi" w:hAnsiTheme="majorHAnsi" w:cstheme="majorHAnsi"/>
          <w:lang w:val="ro-RO"/>
        </w:rPr>
        <w:t>„</w:t>
      </w:r>
      <w:r w:rsidR="001C641A" w:rsidRPr="0048672B">
        <w:rPr>
          <w:rFonts w:asciiTheme="majorHAnsi" w:hAnsiTheme="majorHAnsi" w:cstheme="majorHAnsi"/>
          <w:lang w:val="ro-RO"/>
        </w:rPr>
        <w:t xml:space="preserve">Venituri din </w:t>
      </w:r>
      <w:r w:rsidR="004B5A7C" w:rsidRPr="0048672B">
        <w:rPr>
          <w:rFonts w:asciiTheme="majorHAnsi" w:hAnsiTheme="majorHAnsi" w:cstheme="majorHAnsi"/>
          <w:lang w:val="ro-RO"/>
        </w:rPr>
        <w:t>vânzarea</w:t>
      </w:r>
      <w:r w:rsidR="001C641A" w:rsidRPr="0048672B">
        <w:rPr>
          <w:rFonts w:asciiTheme="majorHAnsi" w:hAnsiTheme="majorHAnsi" w:cstheme="majorHAnsi"/>
          <w:lang w:val="ro-RO"/>
        </w:rPr>
        <w:t xml:space="preserve"> mărfurilor şi serviciilor” </w:t>
      </w:r>
      <w:r w:rsidR="001C641A" w:rsidRPr="00080227">
        <w:rPr>
          <w:rFonts w:asciiTheme="majorHAnsi" w:hAnsiTheme="majorHAnsi" w:cstheme="majorHAnsi"/>
          <w:lang w:val="ro-RO"/>
        </w:rPr>
        <w:t xml:space="preserve">și 149 </w:t>
      </w:r>
      <w:r w:rsidR="00080227" w:rsidRPr="00080227">
        <w:rPr>
          <w:rFonts w:asciiTheme="majorHAnsi" w:hAnsiTheme="majorHAnsi" w:cstheme="majorHAnsi"/>
          <w:lang w:val="ro-RO"/>
        </w:rPr>
        <w:t>„</w:t>
      </w:r>
      <w:r w:rsidR="001C641A" w:rsidRPr="00080227">
        <w:rPr>
          <w:rFonts w:asciiTheme="majorHAnsi" w:hAnsiTheme="majorHAnsi" w:cstheme="majorHAnsi"/>
          <w:lang w:val="ro-RO"/>
        </w:rPr>
        <w:t xml:space="preserve">Alte venituri şi </w:t>
      </w:r>
      <w:r w:rsidR="004B5A7C" w:rsidRPr="00080227">
        <w:rPr>
          <w:rFonts w:asciiTheme="majorHAnsi" w:hAnsiTheme="majorHAnsi" w:cstheme="majorHAnsi"/>
          <w:lang w:val="ro-RO"/>
        </w:rPr>
        <w:t>finanțări</w:t>
      </w:r>
      <w:r w:rsidR="00B0148C" w:rsidRPr="00080227">
        <w:rPr>
          <w:rFonts w:asciiTheme="majorHAnsi" w:hAnsiTheme="majorHAnsi" w:cstheme="majorHAnsi"/>
          <w:lang w:val="ro-RO"/>
        </w:rPr>
        <w:t>” în sumă de 559,9 mii</w:t>
      </w:r>
      <w:r w:rsidR="001C641A" w:rsidRPr="00080227">
        <w:rPr>
          <w:rFonts w:asciiTheme="majorHAnsi" w:hAnsiTheme="majorHAnsi" w:cstheme="majorHAnsi"/>
          <w:lang w:val="ro-RO"/>
        </w:rPr>
        <w:t xml:space="preserve"> lei. În acest context</w:t>
      </w:r>
      <w:r w:rsidR="00080227" w:rsidRPr="00080227">
        <w:rPr>
          <w:rFonts w:asciiTheme="majorHAnsi" w:hAnsiTheme="majorHAnsi" w:cstheme="majorHAnsi"/>
          <w:lang w:val="ro-RO"/>
        </w:rPr>
        <w:t>,</w:t>
      </w:r>
      <w:r w:rsidR="001C641A" w:rsidRPr="00080227">
        <w:rPr>
          <w:rFonts w:asciiTheme="majorHAnsi" w:hAnsiTheme="majorHAnsi" w:cstheme="majorHAnsi"/>
          <w:lang w:val="ro-RO"/>
        </w:rPr>
        <w:t xml:space="preserve"> contul 142 a fost supraevaluat, iar contul 149 </w:t>
      </w:r>
      <w:r w:rsidR="00080227" w:rsidRPr="00080227">
        <w:rPr>
          <w:rFonts w:asciiTheme="majorHAnsi" w:hAnsiTheme="majorHAnsi" w:cstheme="majorHAnsi"/>
          <w:lang w:val="ro-RO"/>
        </w:rPr>
        <w:t xml:space="preserve">– </w:t>
      </w:r>
      <w:r w:rsidR="001C641A" w:rsidRPr="00080227">
        <w:rPr>
          <w:rFonts w:asciiTheme="majorHAnsi" w:hAnsiTheme="majorHAnsi" w:cstheme="majorHAnsi"/>
          <w:lang w:val="ro-RO"/>
        </w:rPr>
        <w:t>subevaluat cu suma de  559,9 mii lei</w:t>
      </w:r>
      <w:r w:rsidR="00080227">
        <w:rPr>
          <w:rFonts w:asciiTheme="majorHAnsi" w:hAnsiTheme="majorHAnsi" w:cstheme="majorHAnsi"/>
          <w:lang w:val="ro-RO"/>
        </w:rPr>
        <w:t>.</w:t>
      </w:r>
    </w:p>
    <w:p w14:paraId="75B07B43" w14:textId="45B00E5B" w:rsidR="001C641A" w:rsidRPr="00C45FAA" w:rsidRDefault="000D100D" w:rsidP="00C53585">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A83E94">
        <w:rPr>
          <w:rFonts w:asciiTheme="majorHAnsi" w:hAnsiTheme="majorHAnsi"/>
          <w:noProof/>
        </w:rPr>
        <w:t>O instituție din subordinea ministerului</w:t>
      </w:r>
      <w:r w:rsidRPr="00A83E94">
        <w:rPr>
          <w:rStyle w:val="ad"/>
          <w:rFonts w:asciiTheme="majorHAnsi" w:hAnsiTheme="majorHAnsi"/>
          <w:noProof/>
        </w:rPr>
        <w:footnoteReference w:id="31"/>
      </w:r>
      <w:r w:rsidR="001C641A" w:rsidRPr="000D100D">
        <w:rPr>
          <w:rFonts w:asciiTheme="majorHAnsi" w:hAnsiTheme="majorHAnsi" w:cstheme="majorHAnsi"/>
          <w:lang w:val="ro-RO"/>
        </w:rPr>
        <w:t xml:space="preserve"> a admis necorespunderea datelor din Cartea </w:t>
      </w:r>
      <w:r w:rsidR="007D68C6">
        <w:rPr>
          <w:rFonts w:asciiTheme="majorHAnsi" w:hAnsiTheme="majorHAnsi" w:cstheme="majorHAnsi"/>
          <w:lang w:val="ro-RO"/>
        </w:rPr>
        <w:t>m</w:t>
      </w:r>
      <w:r w:rsidR="001C641A" w:rsidRPr="000D100D">
        <w:rPr>
          <w:rFonts w:asciiTheme="majorHAnsi" w:hAnsiTheme="majorHAnsi" w:cstheme="majorHAnsi"/>
          <w:lang w:val="ro-RO"/>
        </w:rPr>
        <w:t xml:space="preserve">are (CM 18) cu informațiile din Bilanțul </w:t>
      </w:r>
      <w:r w:rsidR="007D68C6">
        <w:rPr>
          <w:rFonts w:asciiTheme="majorHAnsi" w:hAnsiTheme="majorHAnsi" w:cstheme="majorHAnsi"/>
          <w:lang w:val="ro-RO"/>
        </w:rPr>
        <w:t>c</w:t>
      </w:r>
      <w:r w:rsidR="001C641A" w:rsidRPr="000D100D">
        <w:rPr>
          <w:rFonts w:asciiTheme="majorHAnsi" w:hAnsiTheme="majorHAnsi" w:cstheme="majorHAnsi"/>
          <w:lang w:val="ro-RO"/>
        </w:rPr>
        <w:t>ontabil (Form</w:t>
      </w:r>
      <w:r w:rsidR="007D68C6">
        <w:rPr>
          <w:rFonts w:asciiTheme="majorHAnsi" w:hAnsiTheme="majorHAnsi" w:cstheme="majorHAnsi"/>
          <w:lang w:val="ro-RO"/>
        </w:rPr>
        <w:t>ularul</w:t>
      </w:r>
      <w:r w:rsidR="001C641A" w:rsidRPr="000D100D">
        <w:rPr>
          <w:rFonts w:asciiTheme="majorHAnsi" w:hAnsiTheme="majorHAnsi" w:cstheme="majorHAnsi"/>
          <w:lang w:val="ro-RO"/>
        </w:rPr>
        <w:t xml:space="preserve"> FD-041) </w:t>
      </w:r>
      <w:r w:rsidR="00F06EF5">
        <w:rPr>
          <w:rFonts w:asciiTheme="majorHAnsi" w:hAnsiTheme="majorHAnsi" w:cstheme="majorHAnsi"/>
          <w:lang w:val="ro-RO"/>
        </w:rPr>
        <w:t xml:space="preserve">și </w:t>
      </w:r>
      <w:r w:rsidR="001C641A" w:rsidRPr="000D100D">
        <w:rPr>
          <w:rFonts w:asciiTheme="majorHAnsi" w:hAnsiTheme="majorHAnsi" w:cstheme="majorHAnsi"/>
          <w:lang w:val="ro-RO"/>
        </w:rPr>
        <w:t>cu indicatorii Grupei de conturi 431 „Con</w:t>
      </w:r>
      <w:r w:rsidR="004B5A7C">
        <w:rPr>
          <w:rFonts w:asciiTheme="majorHAnsi" w:hAnsiTheme="majorHAnsi" w:cstheme="majorHAnsi"/>
          <w:lang w:val="ro-RO"/>
        </w:rPr>
        <w:t>turi curente în sistemul trezore</w:t>
      </w:r>
      <w:r w:rsidR="004B5A7C" w:rsidRPr="000D100D">
        <w:rPr>
          <w:rFonts w:asciiTheme="majorHAnsi" w:hAnsiTheme="majorHAnsi" w:cstheme="majorHAnsi"/>
          <w:lang w:val="ro-RO"/>
        </w:rPr>
        <w:t>ria</w:t>
      </w:r>
      <w:r w:rsidR="00F06EF5">
        <w:rPr>
          <w:rFonts w:asciiTheme="majorHAnsi" w:hAnsiTheme="majorHAnsi" w:cstheme="majorHAnsi"/>
          <w:lang w:val="ro-RO"/>
        </w:rPr>
        <w:t>l</w:t>
      </w:r>
      <w:r w:rsidR="001C641A" w:rsidRPr="000D100D">
        <w:rPr>
          <w:rFonts w:asciiTheme="majorHAnsi" w:hAnsiTheme="majorHAnsi" w:cstheme="majorHAnsi"/>
          <w:lang w:val="ro-RO"/>
        </w:rPr>
        <w:t>”</w:t>
      </w:r>
      <w:r w:rsidR="007D68C6">
        <w:rPr>
          <w:rFonts w:asciiTheme="majorHAnsi" w:hAnsiTheme="majorHAnsi" w:cstheme="majorHAnsi"/>
          <w:lang w:val="ro-RO"/>
        </w:rPr>
        <w:t>,</w:t>
      </w:r>
      <w:r w:rsidR="001C641A" w:rsidRPr="000D100D">
        <w:rPr>
          <w:rFonts w:asciiTheme="majorHAnsi" w:hAnsiTheme="majorHAnsi" w:cstheme="majorHAnsi"/>
          <w:lang w:val="ro-RO"/>
        </w:rPr>
        <w:t xml:space="preserve"> cu 546,0 mii lei. Această situație  a fost cauzată de </w:t>
      </w:r>
      <w:r w:rsidR="001C641A" w:rsidRPr="00C45FAA">
        <w:rPr>
          <w:rFonts w:asciiTheme="majorHAnsi" w:hAnsiTheme="majorHAnsi" w:cstheme="majorHAnsi"/>
          <w:lang w:val="ro-RO"/>
        </w:rPr>
        <w:t xml:space="preserve">procesul de reorganizare a ministerului. </w:t>
      </w:r>
    </w:p>
    <w:p w14:paraId="58558EF7" w14:textId="6871E967" w:rsidR="004127B1" w:rsidRPr="00C45FAA" w:rsidRDefault="004127B1" w:rsidP="008950D9">
      <w:pPr>
        <w:pStyle w:val="a3"/>
        <w:numPr>
          <w:ilvl w:val="1"/>
          <w:numId w:val="18"/>
        </w:numPr>
        <w:shd w:val="clear" w:color="auto" w:fill="FFFFFF" w:themeFill="background1"/>
        <w:tabs>
          <w:tab w:val="left" w:pos="0"/>
        </w:tabs>
        <w:spacing w:line="276" w:lineRule="auto"/>
        <w:ind w:left="0" w:firstLine="567"/>
        <w:jc w:val="both"/>
        <w:rPr>
          <w:rFonts w:asciiTheme="majorHAnsi" w:hAnsiTheme="majorHAnsi" w:cstheme="majorHAnsi"/>
          <w:lang w:val="ro-RO"/>
        </w:rPr>
      </w:pPr>
      <w:r w:rsidRPr="00C45FAA">
        <w:rPr>
          <w:rFonts w:asciiTheme="majorHAnsi" w:hAnsiTheme="majorHAnsi" w:cstheme="majorHAnsi"/>
          <w:lang w:val="ro-RO"/>
        </w:rPr>
        <w:t>O instituție</w:t>
      </w:r>
      <w:r w:rsidR="00537101" w:rsidRPr="00C45FAA">
        <w:rPr>
          <w:rFonts w:asciiTheme="majorHAnsi" w:hAnsiTheme="majorHAnsi" w:cstheme="majorHAnsi"/>
          <w:lang w:val="ro-RO"/>
        </w:rPr>
        <w:t xml:space="preserve"> din subordinea ministerului</w:t>
      </w:r>
      <w:r w:rsidR="00537101" w:rsidRPr="00C45FAA">
        <w:rPr>
          <w:rStyle w:val="ad"/>
          <w:rFonts w:asciiTheme="majorHAnsi" w:hAnsiTheme="majorHAnsi" w:cstheme="majorHAnsi"/>
          <w:lang w:val="ro-RO"/>
        </w:rPr>
        <w:footnoteReference w:id="32"/>
      </w:r>
      <w:r w:rsidR="00537101" w:rsidRPr="00C45FAA">
        <w:rPr>
          <w:rFonts w:asciiTheme="majorHAnsi" w:hAnsiTheme="majorHAnsi" w:cstheme="majorHAnsi"/>
          <w:lang w:val="ro-RO"/>
        </w:rPr>
        <w:t xml:space="preserve"> a admis </w:t>
      </w:r>
      <w:r w:rsidRPr="00C45FAA">
        <w:rPr>
          <w:rFonts w:asciiTheme="majorHAnsi" w:hAnsiTheme="majorHAnsi" w:cstheme="majorHAnsi"/>
          <w:lang w:val="ro-RO"/>
        </w:rPr>
        <w:t>vulnerabilități aferent</w:t>
      </w:r>
      <w:r w:rsidR="0048672B">
        <w:rPr>
          <w:rFonts w:asciiTheme="majorHAnsi" w:hAnsiTheme="majorHAnsi" w:cstheme="majorHAnsi"/>
          <w:lang w:val="ro-RO"/>
        </w:rPr>
        <w:t>e</w:t>
      </w:r>
      <w:r w:rsidRPr="00C45FAA">
        <w:rPr>
          <w:rFonts w:asciiTheme="majorHAnsi" w:hAnsiTheme="majorHAnsi" w:cstheme="majorHAnsi"/>
          <w:lang w:val="ro-RO"/>
        </w:rPr>
        <w:t xml:space="preserve"> randamentul</w:t>
      </w:r>
      <w:r w:rsidR="0048672B">
        <w:rPr>
          <w:rFonts w:asciiTheme="majorHAnsi" w:hAnsiTheme="majorHAnsi" w:cstheme="majorHAnsi"/>
          <w:lang w:val="ro-RO"/>
        </w:rPr>
        <w:t xml:space="preserve">ui </w:t>
      </w:r>
      <w:r w:rsidRPr="00C45FAA">
        <w:rPr>
          <w:rFonts w:asciiTheme="majorHAnsi" w:hAnsiTheme="majorHAnsi" w:cstheme="majorHAnsi"/>
          <w:lang w:val="ro-RO"/>
        </w:rPr>
        <w:t xml:space="preserve">sarcinilor efectuate, în condițiile </w:t>
      </w:r>
      <w:r w:rsidR="00F06EF5">
        <w:rPr>
          <w:rFonts w:asciiTheme="majorHAnsi" w:hAnsiTheme="majorHAnsi" w:cstheme="majorHAnsi"/>
          <w:lang w:val="ro-RO"/>
        </w:rPr>
        <w:t xml:space="preserve">în </w:t>
      </w:r>
      <w:r w:rsidRPr="00C45FAA">
        <w:rPr>
          <w:rFonts w:asciiTheme="majorHAnsi" w:hAnsiTheme="majorHAnsi" w:cstheme="majorHAnsi"/>
          <w:lang w:val="ro-RO"/>
        </w:rPr>
        <w:t>care 32</w:t>
      </w:r>
      <w:r w:rsidR="00F06EF5">
        <w:rPr>
          <w:rFonts w:asciiTheme="majorHAnsi" w:hAnsiTheme="majorHAnsi" w:cstheme="majorHAnsi"/>
          <w:lang w:val="ro-RO"/>
        </w:rPr>
        <w:t xml:space="preserve"> de</w:t>
      </w:r>
      <w:r w:rsidRPr="00C45FAA">
        <w:rPr>
          <w:rFonts w:asciiTheme="majorHAnsi" w:hAnsiTheme="majorHAnsi" w:cstheme="majorHAnsi"/>
          <w:lang w:val="ro-RO"/>
        </w:rPr>
        <w:t xml:space="preserve"> persoane își execută atribuțiile funcției de bază, cumulează o funcție (</w:t>
      </w:r>
      <w:r w:rsidR="006A0589" w:rsidRPr="00C45FAA">
        <w:rPr>
          <w:rFonts w:asciiTheme="majorHAnsi" w:hAnsiTheme="majorHAnsi" w:cstheme="majorHAnsi"/>
          <w:lang w:val="ro-RO"/>
        </w:rPr>
        <w:t>733,2</w:t>
      </w:r>
      <w:r w:rsidRPr="00C45FAA">
        <w:rPr>
          <w:rFonts w:asciiTheme="majorHAnsi" w:hAnsiTheme="majorHAnsi" w:cstheme="majorHAnsi"/>
          <w:lang w:val="ro-RO"/>
        </w:rPr>
        <w:t xml:space="preserve"> mii lei) și mai îndeplinesc și </w:t>
      </w:r>
      <w:r w:rsidR="00F06EF5">
        <w:rPr>
          <w:rFonts w:asciiTheme="majorHAnsi" w:hAnsiTheme="majorHAnsi" w:cstheme="majorHAnsi"/>
          <w:lang w:val="ro-RO"/>
        </w:rPr>
        <w:t xml:space="preserve">o </w:t>
      </w:r>
      <w:r w:rsidRPr="00C45FAA">
        <w:rPr>
          <w:rFonts w:asciiTheme="majorHAnsi" w:hAnsiTheme="majorHAnsi" w:cstheme="majorHAnsi"/>
          <w:lang w:val="ro-RO"/>
        </w:rPr>
        <w:t>funcți</w:t>
      </w:r>
      <w:r w:rsidR="00F06EF5">
        <w:rPr>
          <w:rFonts w:asciiTheme="majorHAnsi" w:hAnsiTheme="majorHAnsi" w:cstheme="majorHAnsi"/>
          <w:lang w:val="ro-RO"/>
        </w:rPr>
        <w:t>e de</w:t>
      </w:r>
      <w:r w:rsidRPr="00C45FAA">
        <w:rPr>
          <w:rFonts w:asciiTheme="majorHAnsi" w:hAnsiTheme="majorHAnsi" w:cstheme="majorHAnsi"/>
          <w:lang w:val="ro-RO"/>
        </w:rPr>
        <w:t xml:space="preserve"> 0,5 prin cumul (</w:t>
      </w:r>
      <w:r w:rsidR="006A0589" w:rsidRPr="00C45FAA">
        <w:rPr>
          <w:rFonts w:asciiTheme="majorHAnsi" w:hAnsiTheme="majorHAnsi" w:cstheme="majorHAnsi"/>
          <w:lang w:val="ro-RO"/>
        </w:rPr>
        <w:t>666,1</w:t>
      </w:r>
      <w:r w:rsidRPr="00C45FAA">
        <w:rPr>
          <w:rFonts w:asciiTheme="majorHAnsi" w:hAnsiTheme="majorHAnsi" w:cstheme="majorHAnsi"/>
          <w:lang w:val="ro-RO"/>
        </w:rPr>
        <w:t xml:space="preserve"> mii lei). Prin urmare</w:t>
      </w:r>
      <w:r w:rsidR="00F06EF5">
        <w:rPr>
          <w:rFonts w:asciiTheme="majorHAnsi" w:hAnsiTheme="majorHAnsi" w:cstheme="majorHAnsi"/>
          <w:lang w:val="ro-RO"/>
        </w:rPr>
        <w:t>,</w:t>
      </w:r>
      <w:r w:rsidRPr="00C45FAA">
        <w:rPr>
          <w:rFonts w:asciiTheme="majorHAnsi" w:hAnsiTheme="majorHAnsi" w:cstheme="majorHAnsi"/>
          <w:lang w:val="ro-RO"/>
        </w:rPr>
        <w:t xml:space="preserve"> efectuarea muncii suplimentare de către un angajat (funcția de bază, cumul și cumulare) concomitent pe parcursul anului 2021, determină diminuarea randamentului activităților acestora, </w:t>
      </w:r>
      <w:r w:rsidR="00F06EF5">
        <w:rPr>
          <w:rFonts w:asciiTheme="majorHAnsi" w:hAnsiTheme="majorHAnsi" w:cstheme="majorHAnsi"/>
          <w:lang w:val="ro-RO"/>
        </w:rPr>
        <w:t>inclusiv</w:t>
      </w:r>
      <w:r w:rsidRPr="00C45FAA">
        <w:rPr>
          <w:rFonts w:asciiTheme="majorHAnsi" w:hAnsiTheme="majorHAnsi" w:cstheme="majorHAnsi"/>
          <w:lang w:val="ro-RO"/>
        </w:rPr>
        <w:t xml:space="preserve"> plusaloarea. </w:t>
      </w:r>
    </w:p>
    <w:p w14:paraId="69787213" w14:textId="12ADBA2C" w:rsidR="004127B1" w:rsidRPr="00C45FAA" w:rsidRDefault="004127B1" w:rsidP="004127B1">
      <w:pPr>
        <w:pStyle w:val="a3"/>
        <w:shd w:val="clear" w:color="auto" w:fill="FFFFFF" w:themeFill="background1"/>
        <w:tabs>
          <w:tab w:val="left" w:pos="0"/>
        </w:tabs>
        <w:spacing w:line="276" w:lineRule="auto"/>
        <w:ind w:left="0"/>
        <w:jc w:val="both"/>
        <w:rPr>
          <w:rFonts w:asciiTheme="majorHAnsi" w:hAnsiTheme="majorHAnsi" w:cstheme="majorHAnsi"/>
          <w:lang w:val="ro-RO"/>
        </w:rPr>
      </w:pPr>
      <w:r w:rsidRPr="00C45FAA">
        <w:rPr>
          <w:rFonts w:asciiTheme="majorHAnsi" w:hAnsiTheme="majorHAnsi" w:cstheme="majorHAnsi"/>
          <w:lang w:val="ro-RO"/>
        </w:rPr>
        <w:t>Astfel, lipsa/insuficiența procedurilor de verificare a modului de calculare a salariilor angajaților, precum și nesegregarea sarcinilor în procesarea unei tranzacții condiționează materializarea riscului de admitere a erorilor și determinarea incorectă a cheltuielilor privind retribuțiile.</w:t>
      </w:r>
    </w:p>
    <w:p w14:paraId="515C8948" w14:textId="51CA8188" w:rsidR="00434810" w:rsidRPr="00C53585" w:rsidRDefault="00DE25F4" w:rsidP="00023A8F">
      <w:pPr>
        <w:pStyle w:val="a3"/>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DE25F4">
        <w:rPr>
          <w:rFonts w:asciiTheme="majorHAnsi" w:hAnsiTheme="majorHAnsi"/>
          <w:noProof/>
        </w:rPr>
        <w:t>O instituție din subordinea ministerului</w:t>
      </w:r>
      <w:r w:rsidRPr="00DE25F4">
        <w:rPr>
          <w:rStyle w:val="ad"/>
          <w:rFonts w:asciiTheme="majorHAnsi" w:hAnsiTheme="majorHAnsi"/>
          <w:noProof/>
        </w:rPr>
        <w:footnoteReference w:id="33"/>
      </w:r>
      <w:r w:rsidR="00F06EF5">
        <w:rPr>
          <w:rFonts w:asciiTheme="majorHAnsi" w:hAnsiTheme="majorHAnsi"/>
          <w:noProof/>
        </w:rPr>
        <w:t>,</w:t>
      </w:r>
      <w:r w:rsidR="0020442E" w:rsidRPr="00967339">
        <w:rPr>
          <w:rFonts w:asciiTheme="majorHAnsi" w:hAnsiTheme="majorHAnsi"/>
          <w:noProof/>
        </w:rPr>
        <w:t xml:space="preserve"> </w:t>
      </w:r>
      <w:r w:rsidR="00FF7A27">
        <w:rPr>
          <w:rFonts w:asciiTheme="majorHAnsi" w:hAnsiTheme="majorHAnsi"/>
          <w:noProof/>
        </w:rPr>
        <w:t xml:space="preserve">contrar prevederilor </w:t>
      </w:r>
      <w:r w:rsidR="00F06EF5">
        <w:rPr>
          <w:rFonts w:asciiTheme="majorHAnsi" w:hAnsiTheme="majorHAnsi"/>
          <w:noProof/>
        </w:rPr>
        <w:t>O</w:t>
      </w:r>
      <w:r w:rsidR="00FF7A27">
        <w:rPr>
          <w:rFonts w:asciiTheme="majorHAnsi" w:hAnsiTheme="majorHAnsi"/>
          <w:noProof/>
        </w:rPr>
        <w:t>rdinul</w:t>
      </w:r>
      <w:r w:rsidR="00F06EF5">
        <w:rPr>
          <w:rFonts w:asciiTheme="majorHAnsi" w:hAnsiTheme="majorHAnsi"/>
          <w:noProof/>
        </w:rPr>
        <w:t>ui MF nr.</w:t>
      </w:r>
      <w:r w:rsidR="00FF7A27">
        <w:rPr>
          <w:rFonts w:asciiTheme="majorHAnsi" w:hAnsiTheme="majorHAnsi"/>
          <w:noProof/>
        </w:rPr>
        <w:t xml:space="preserve"> 216/2015, </w:t>
      </w:r>
      <w:r w:rsidR="00605141">
        <w:rPr>
          <w:rFonts w:asciiTheme="majorHAnsi" w:hAnsiTheme="majorHAnsi"/>
          <w:noProof/>
        </w:rPr>
        <w:t>nu a reflectat î</w:t>
      </w:r>
      <w:r w:rsidR="0020442E" w:rsidRPr="00967339">
        <w:rPr>
          <w:rFonts w:asciiTheme="majorHAnsi" w:hAnsiTheme="majorHAnsi"/>
          <w:noProof/>
        </w:rPr>
        <w:t xml:space="preserve">n </w:t>
      </w:r>
      <w:r w:rsidR="004A3065">
        <w:rPr>
          <w:rFonts w:asciiTheme="majorHAnsi" w:hAnsiTheme="majorHAnsi"/>
          <w:noProof/>
        </w:rPr>
        <w:t>evidenț</w:t>
      </w:r>
      <w:r w:rsidR="00F06EF5">
        <w:rPr>
          <w:rFonts w:asciiTheme="majorHAnsi" w:hAnsiTheme="majorHAnsi"/>
          <w:noProof/>
        </w:rPr>
        <w:t>a</w:t>
      </w:r>
      <w:r w:rsidR="0020442E" w:rsidRPr="00967339">
        <w:rPr>
          <w:rFonts w:asciiTheme="majorHAnsi" w:hAnsiTheme="majorHAnsi"/>
          <w:noProof/>
        </w:rPr>
        <w:t xml:space="preserve"> </w:t>
      </w:r>
      <w:r w:rsidR="00F06EF5">
        <w:rPr>
          <w:rFonts w:asciiTheme="majorHAnsi" w:hAnsiTheme="majorHAnsi"/>
          <w:noProof/>
        </w:rPr>
        <w:t>„</w:t>
      </w:r>
      <w:r w:rsidR="0020442E" w:rsidRPr="00967339">
        <w:rPr>
          <w:rFonts w:asciiTheme="majorHAnsi" w:hAnsiTheme="majorHAnsi"/>
          <w:noProof/>
        </w:rPr>
        <w:t>NC-2” operațiunea contabilă de depunere a numerarului din caserie pe contul trezorerial pe parcursul întregii perioade de gestiune.</w:t>
      </w:r>
      <w:r w:rsidR="001843FD" w:rsidRPr="00967339">
        <w:rPr>
          <w:rFonts w:asciiTheme="majorHAnsi" w:hAnsiTheme="majorHAnsi"/>
          <w:noProof/>
        </w:rPr>
        <w:t xml:space="preserve"> În</w:t>
      </w:r>
      <w:r w:rsidR="0020442E" w:rsidRPr="00967339">
        <w:rPr>
          <w:rFonts w:asciiTheme="majorHAnsi" w:hAnsiTheme="majorHAnsi"/>
          <w:noProof/>
        </w:rPr>
        <w:t xml:space="preserve"> consecință </w:t>
      </w:r>
      <w:r w:rsidR="00070F2E">
        <w:rPr>
          <w:rFonts w:asciiTheme="majorHAnsi" w:hAnsiTheme="majorHAnsi"/>
          <w:noProof/>
        </w:rPr>
        <w:t>a fost</w:t>
      </w:r>
      <w:r w:rsidR="0020442E" w:rsidRPr="00967339">
        <w:rPr>
          <w:rFonts w:asciiTheme="majorHAnsi" w:hAnsiTheme="majorHAnsi"/>
          <w:noProof/>
        </w:rPr>
        <w:t xml:space="preserve"> diminu</w:t>
      </w:r>
      <w:r w:rsidR="00070F2E">
        <w:rPr>
          <w:rFonts w:asciiTheme="majorHAnsi" w:hAnsiTheme="majorHAnsi"/>
          <w:noProof/>
        </w:rPr>
        <w:t>at</w:t>
      </w:r>
      <w:r w:rsidR="0020442E" w:rsidRPr="00967339">
        <w:rPr>
          <w:rFonts w:asciiTheme="majorHAnsi" w:hAnsiTheme="majorHAnsi"/>
          <w:noProof/>
        </w:rPr>
        <w:t xml:space="preserve"> rulajul debitor al </w:t>
      </w:r>
      <w:r w:rsidR="00F06EF5">
        <w:rPr>
          <w:rFonts w:asciiTheme="majorHAnsi" w:hAnsiTheme="majorHAnsi"/>
          <w:noProof/>
        </w:rPr>
        <w:t>„</w:t>
      </w:r>
      <w:r w:rsidR="0020442E" w:rsidRPr="00967339">
        <w:rPr>
          <w:rFonts w:asciiTheme="majorHAnsi" w:hAnsiTheme="majorHAnsi"/>
          <w:noProof/>
        </w:rPr>
        <w:t>Contul</w:t>
      </w:r>
      <w:r w:rsidR="00F06EF5">
        <w:rPr>
          <w:rFonts w:asciiTheme="majorHAnsi" w:hAnsiTheme="majorHAnsi"/>
          <w:noProof/>
        </w:rPr>
        <w:t>ui</w:t>
      </w:r>
      <w:r w:rsidR="0020442E" w:rsidRPr="00967339">
        <w:rPr>
          <w:rFonts w:asciiTheme="majorHAnsi" w:hAnsiTheme="majorHAnsi"/>
          <w:noProof/>
        </w:rPr>
        <w:t xml:space="preserve"> trezorerial în monedă națion</w:t>
      </w:r>
      <w:r w:rsidR="00184195">
        <w:rPr>
          <w:rFonts w:asciiTheme="majorHAnsi" w:hAnsiTheme="majorHAnsi"/>
          <w:noProof/>
        </w:rPr>
        <w:t xml:space="preserve">ală” </w:t>
      </w:r>
      <w:r w:rsidR="00F06EF5" w:rsidRPr="00967339">
        <w:rPr>
          <w:rFonts w:asciiTheme="majorHAnsi" w:hAnsiTheme="majorHAnsi"/>
          <w:noProof/>
        </w:rPr>
        <w:t>(431100)</w:t>
      </w:r>
      <w:r w:rsidR="00F06EF5">
        <w:rPr>
          <w:rFonts w:asciiTheme="majorHAnsi" w:hAnsiTheme="majorHAnsi"/>
          <w:noProof/>
        </w:rPr>
        <w:t xml:space="preserve"> </w:t>
      </w:r>
      <w:r w:rsidR="00184195">
        <w:rPr>
          <w:rFonts w:asciiTheme="majorHAnsi" w:hAnsiTheme="majorHAnsi"/>
          <w:noProof/>
        </w:rPr>
        <w:t>cu valoarea de 1.035,4 mii</w:t>
      </w:r>
      <w:r w:rsidR="0020442E" w:rsidRPr="00967339">
        <w:rPr>
          <w:rFonts w:asciiTheme="majorHAnsi" w:hAnsiTheme="majorHAnsi"/>
          <w:noProof/>
        </w:rPr>
        <w:t xml:space="preserve"> lei. Totodată</w:t>
      </w:r>
      <w:r w:rsidR="00F06EF5">
        <w:rPr>
          <w:rFonts w:asciiTheme="majorHAnsi" w:hAnsiTheme="majorHAnsi"/>
          <w:noProof/>
        </w:rPr>
        <w:t>,</w:t>
      </w:r>
      <w:r w:rsidR="0020442E" w:rsidRPr="00967339">
        <w:rPr>
          <w:rFonts w:asciiTheme="majorHAnsi" w:hAnsiTheme="majorHAnsi"/>
          <w:noProof/>
        </w:rPr>
        <w:t xml:space="preserve"> în registrul totalizator </w:t>
      </w:r>
      <w:r w:rsidR="00F06EF5">
        <w:rPr>
          <w:rFonts w:asciiTheme="majorHAnsi" w:hAnsiTheme="majorHAnsi"/>
          <w:noProof/>
        </w:rPr>
        <w:t>„</w:t>
      </w:r>
      <w:r w:rsidR="0020442E" w:rsidRPr="00967339">
        <w:rPr>
          <w:rFonts w:asciiTheme="majorHAnsi" w:hAnsiTheme="majorHAnsi"/>
          <w:noProof/>
        </w:rPr>
        <w:t xml:space="preserve">Cartea </w:t>
      </w:r>
      <w:r w:rsidR="00F06EF5">
        <w:rPr>
          <w:rFonts w:asciiTheme="majorHAnsi" w:hAnsiTheme="majorHAnsi"/>
          <w:noProof/>
        </w:rPr>
        <w:t>m</w:t>
      </w:r>
      <w:r w:rsidR="0020442E" w:rsidRPr="00967339">
        <w:rPr>
          <w:rFonts w:asciiTheme="majorHAnsi" w:hAnsiTheme="majorHAnsi"/>
          <w:noProof/>
        </w:rPr>
        <w:t xml:space="preserve">are” nu se reflectă NC- nr.7 </w:t>
      </w:r>
      <w:r w:rsidR="00F06EF5">
        <w:rPr>
          <w:rFonts w:asciiTheme="majorHAnsi" w:hAnsiTheme="majorHAnsi"/>
          <w:noProof/>
        </w:rPr>
        <w:t>„B</w:t>
      </w:r>
      <w:r w:rsidR="0020442E" w:rsidRPr="00967339">
        <w:rPr>
          <w:rFonts w:asciiTheme="majorHAnsi" w:hAnsiTheme="majorHAnsi"/>
          <w:noProof/>
        </w:rPr>
        <w:t>orderou</w:t>
      </w:r>
      <w:r w:rsidR="00F06EF5">
        <w:rPr>
          <w:rFonts w:asciiTheme="majorHAnsi" w:hAnsiTheme="majorHAnsi"/>
          <w:noProof/>
        </w:rPr>
        <w:t>l</w:t>
      </w:r>
      <w:r w:rsidR="0020442E" w:rsidRPr="00967339">
        <w:rPr>
          <w:rFonts w:asciiTheme="majorHAnsi" w:hAnsiTheme="majorHAnsi"/>
          <w:noProof/>
        </w:rPr>
        <w:t xml:space="preserve"> cumulativ privind creanțele cu clienții”</w:t>
      </w:r>
      <w:r w:rsidR="00F06EF5">
        <w:rPr>
          <w:rFonts w:asciiTheme="majorHAnsi" w:hAnsiTheme="majorHAnsi"/>
          <w:noProof/>
        </w:rPr>
        <w:t>,</w:t>
      </w:r>
      <w:r w:rsidR="0020442E" w:rsidRPr="00967339">
        <w:rPr>
          <w:rFonts w:asciiTheme="majorHAnsi" w:hAnsiTheme="majorHAnsi"/>
          <w:noProof/>
        </w:rPr>
        <w:t xml:space="preserve"> datele aferente contului 419 </w:t>
      </w:r>
      <w:r w:rsidR="00F06EF5">
        <w:rPr>
          <w:rFonts w:asciiTheme="majorHAnsi" w:hAnsiTheme="majorHAnsi"/>
          <w:noProof/>
        </w:rPr>
        <w:t>fiind</w:t>
      </w:r>
      <w:r w:rsidR="0020442E" w:rsidRPr="00967339">
        <w:rPr>
          <w:rFonts w:asciiTheme="majorHAnsi" w:hAnsiTheme="majorHAnsi"/>
          <w:noProof/>
        </w:rPr>
        <w:t xml:space="preserve"> cumulate în </w:t>
      </w:r>
      <w:r w:rsidR="00F06EF5">
        <w:rPr>
          <w:rFonts w:asciiTheme="majorHAnsi" w:hAnsiTheme="majorHAnsi"/>
          <w:noProof/>
        </w:rPr>
        <w:t>C</w:t>
      </w:r>
      <w:r w:rsidR="0020442E" w:rsidRPr="00967339">
        <w:rPr>
          <w:rFonts w:asciiTheme="majorHAnsi" w:hAnsiTheme="majorHAnsi"/>
          <w:noProof/>
        </w:rPr>
        <w:t>artea mare din NC-nr.1; NC-nr.2 și NC-nr.3. În acest context</w:t>
      </w:r>
      <w:r w:rsidR="00F06EF5">
        <w:rPr>
          <w:rFonts w:asciiTheme="majorHAnsi" w:hAnsiTheme="majorHAnsi"/>
          <w:noProof/>
        </w:rPr>
        <w:t>,</w:t>
      </w:r>
      <w:r w:rsidR="0020442E" w:rsidRPr="00967339">
        <w:rPr>
          <w:rFonts w:asciiTheme="majorHAnsi" w:hAnsiTheme="majorHAnsi"/>
          <w:noProof/>
        </w:rPr>
        <w:t xml:space="preserve"> NC nr.7 în Cartea </w:t>
      </w:r>
      <w:r w:rsidR="00F06EF5">
        <w:rPr>
          <w:rFonts w:asciiTheme="majorHAnsi" w:hAnsiTheme="majorHAnsi"/>
          <w:noProof/>
        </w:rPr>
        <w:t>m</w:t>
      </w:r>
      <w:r w:rsidR="0020442E" w:rsidRPr="00967339">
        <w:rPr>
          <w:rFonts w:asciiTheme="majorHAnsi" w:hAnsiTheme="majorHAnsi"/>
          <w:noProof/>
        </w:rPr>
        <w:t xml:space="preserve">are  este subevaluată cu suma de 266,2 mii lei. </w:t>
      </w:r>
      <w:r w:rsidR="00DA7E2D" w:rsidRPr="00967339">
        <w:rPr>
          <w:rFonts w:asciiTheme="majorHAnsi" w:hAnsiTheme="majorHAnsi"/>
          <w:noProof/>
        </w:rPr>
        <w:t>Această situație</w:t>
      </w:r>
      <w:r w:rsidR="0020442E" w:rsidRPr="00967339">
        <w:rPr>
          <w:rFonts w:asciiTheme="majorHAnsi" w:hAnsiTheme="majorHAnsi"/>
          <w:noProof/>
        </w:rPr>
        <w:t xml:space="preserve"> denotă că softul necesită ajustări pentru adaptare</w:t>
      </w:r>
      <w:r w:rsidR="001C5A0D" w:rsidRPr="00967339">
        <w:rPr>
          <w:rFonts w:asciiTheme="majorHAnsi" w:hAnsiTheme="majorHAnsi"/>
          <w:noProof/>
        </w:rPr>
        <w:t>a la normele cadrului regulator</w:t>
      </w:r>
      <w:r w:rsidR="00F06EF5">
        <w:rPr>
          <w:rFonts w:asciiTheme="majorHAnsi" w:hAnsiTheme="majorHAnsi"/>
          <w:noProof/>
        </w:rPr>
        <w:t>.</w:t>
      </w:r>
    </w:p>
    <w:p w14:paraId="14D2AD40" w14:textId="65848529" w:rsidR="00C81650" w:rsidRPr="00C81650" w:rsidRDefault="009E566C" w:rsidP="001C454A">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Pr>
          <w:rFonts w:asciiTheme="majorHAnsi" w:hAnsiTheme="majorHAnsi"/>
          <w:noProof/>
        </w:rPr>
        <w:t xml:space="preserve">Deși raportarea la 31.12.2021 a ministerului a fost corectă, </w:t>
      </w:r>
      <w:r w:rsidRPr="00967339">
        <w:rPr>
          <w:rFonts w:asciiTheme="majorHAnsi" w:hAnsiTheme="majorHAnsi"/>
          <w:noProof/>
        </w:rPr>
        <w:t>se atestă faptul că</w:t>
      </w:r>
      <w:r w:rsidR="00F06EF5">
        <w:rPr>
          <w:rFonts w:asciiTheme="majorHAnsi" w:hAnsiTheme="majorHAnsi"/>
          <w:noProof/>
        </w:rPr>
        <w:t>,</w:t>
      </w:r>
      <w:r w:rsidRPr="00967339">
        <w:rPr>
          <w:rFonts w:asciiTheme="majorHAnsi" w:hAnsiTheme="majorHAnsi"/>
          <w:noProof/>
        </w:rPr>
        <w:t xml:space="preserve"> din 25 de entități auditate</w:t>
      </w:r>
      <w:r w:rsidR="00F06EF5">
        <w:rPr>
          <w:rFonts w:asciiTheme="majorHAnsi" w:hAnsiTheme="majorHAnsi"/>
          <w:noProof/>
        </w:rPr>
        <w:t>,</w:t>
      </w:r>
      <w:r w:rsidRPr="00967339">
        <w:rPr>
          <w:rFonts w:asciiTheme="majorHAnsi" w:hAnsiTheme="majorHAnsi"/>
          <w:noProof/>
        </w:rPr>
        <w:t xml:space="preserve"> 12 nu s-au conformat Circularei Ministerului Finanțelor și nu au efectuat trecerea </w:t>
      </w:r>
      <w:r w:rsidR="00F06EF5">
        <w:rPr>
          <w:rFonts w:asciiTheme="majorHAnsi" w:hAnsiTheme="majorHAnsi"/>
          <w:noProof/>
        </w:rPr>
        <w:t xml:space="preserve">în variantă </w:t>
      </w:r>
      <w:r w:rsidRPr="00967339">
        <w:rPr>
          <w:rFonts w:asciiTheme="majorHAnsi" w:hAnsiTheme="majorHAnsi"/>
          <w:noProof/>
        </w:rPr>
        <w:t>electronică a activelor și pasivelor în valoare de 596</w:t>
      </w:r>
      <w:r w:rsidR="00F06EF5">
        <w:rPr>
          <w:rFonts w:asciiTheme="majorHAnsi" w:hAnsiTheme="majorHAnsi"/>
          <w:noProof/>
        </w:rPr>
        <w:t>.</w:t>
      </w:r>
      <w:r w:rsidRPr="00967339">
        <w:rPr>
          <w:rFonts w:asciiTheme="majorHAnsi" w:hAnsiTheme="majorHAnsi"/>
          <w:noProof/>
        </w:rPr>
        <w:t>040,4 mii lei</w:t>
      </w:r>
      <w:r w:rsidRPr="00967339">
        <w:rPr>
          <w:rStyle w:val="ad"/>
          <w:rFonts w:asciiTheme="majorHAnsi" w:hAnsiTheme="majorHAnsi"/>
          <w:noProof/>
        </w:rPr>
        <w:footnoteReference w:id="34"/>
      </w:r>
      <w:r>
        <w:rPr>
          <w:rFonts w:asciiTheme="majorHAnsi" w:hAnsiTheme="majorHAnsi"/>
          <w:noProof/>
        </w:rPr>
        <w:t>.</w:t>
      </w:r>
      <w:r w:rsidR="00C81650">
        <w:rPr>
          <w:rFonts w:asciiTheme="majorHAnsi" w:hAnsiTheme="majorHAnsi"/>
          <w:noProof/>
        </w:rPr>
        <w:t xml:space="preserve"> </w:t>
      </w:r>
    </w:p>
    <w:p w14:paraId="74809B5D" w14:textId="3BF19DED" w:rsidR="00434810" w:rsidRPr="001C454A" w:rsidRDefault="00053772" w:rsidP="001C454A">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1C454A">
        <w:rPr>
          <w:rFonts w:asciiTheme="majorHAnsi" w:hAnsiTheme="majorHAnsi"/>
          <w:noProof/>
        </w:rPr>
        <w:t>Două</w:t>
      </w:r>
      <w:r w:rsidR="00BE1D39" w:rsidRPr="001C454A">
        <w:rPr>
          <w:rFonts w:asciiTheme="majorHAnsi" w:hAnsiTheme="majorHAnsi"/>
          <w:noProof/>
        </w:rPr>
        <w:t xml:space="preserve"> instituții</w:t>
      </w:r>
      <w:r w:rsidR="00BE1D39" w:rsidRPr="00967339">
        <w:rPr>
          <w:rStyle w:val="ad"/>
          <w:rFonts w:asciiTheme="majorHAnsi" w:hAnsiTheme="majorHAnsi"/>
          <w:noProof/>
        </w:rPr>
        <w:footnoteReference w:id="35"/>
      </w:r>
      <w:r w:rsidR="005E1C1E" w:rsidRPr="001C454A">
        <w:rPr>
          <w:rFonts w:asciiTheme="majorHAnsi" w:hAnsiTheme="majorHAnsi"/>
          <w:noProof/>
          <w:lang w:val="ro-RO"/>
        </w:rPr>
        <w:t xml:space="preserve"> </w:t>
      </w:r>
      <w:r w:rsidR="002637AC" w:rsidRPr="001C454A">
        <w:rPr>
          <w:rFonts w:asciiTheme="majorHAnsi" w:hAnsiTheme="majorHAnsi"/>
          <w:noProof/>
        </w:rPr>
        <w:t xml:space="preserve">din subordinea ministerului, </w:t>
      </w:r>
      <w:r w:rsidR="00B21926" w:rsidRPr="001C454A">
        <w:rPr>
          <w:rFonts w:asciiTheme="majorHAnsi" w:hAnsiTheme="majorHAnsi"/>
          <w:noProof/>
        </w:rPr>
        <w:t>prin nerespectarea</w:t>
      </w:r>
      <w:r w:rsidR="00183454" w:rsidRPr="001C454A">
        <w:rPr>
          <w:rFonts w:asciiTheme="majorHAnsi" w:hAnsiTheme="majorHAnsi"/>
          <w:noProof/>
        </w:rPr>
        <w:t xml:space="preserve"> prevederilor </w:t>
      </w:r>
      <w:r w:rsidR="00F06EF5">
        <w:rPr>
          <w:rFonts w:asciiTheme="majorHAnsi" w:hAnsiTheme="majorHAnsi"/>
          <w:noProof/>
        </w:rPr>
        <w:t>O</w:t>
      </w:r>
      <w:r w:rsidR="00183454" w:rsidRPr="001C454A">
        <w:rPr>
          <w:rFonts w:asciiTheme="majorHAnsi" w:hAnsiTheme="majorHAnsi"/>
          <w:noProof/>
        </w:rPr>
        <w:t>rdinul</w:t>
      </w:r>
      <w:r w:rsidR="00F06EF5">
        <w:rPr>
          <w:rFonts w:asciiTheme="majorHAnsi" w:hAnsiTheme="majorHAnsi"/>
          <w:noProof/>
        </w:rPr>
        <w:t>ui MF nr.</w:t>
      </w:r>
      <w:r w:rsidR="00183454" w:rsidRPr="001C454A">
        <w:rPr>
          <w:rFonts w:asciiTheme="majorHAnsi" w:hAnsiTheme="majorHAnsi"/>
          <w:noProof/>
        </w:rPr>
        <w:t xml:space="preserve"> 216/2015</w:t>
      </w:r>
      <w:r w:rsidR="00F06EF5">
        <w:rPr>
          <w:rFonts w:asciiTheme="majorHAnsi" w:hAnsiTheme="majorHAnsi"/>
          <w:noProof/>
        </w:rPr>
        <w:t>,</w:t>
      </w:r>
      <w:r w:rsidR="00183454" w:rsidRPr="001C454A">
        <w:rPr>
          <w:rFonts w:asciiTheme="majorHAnsi" w:hAnsiTheme="majorHAnsi"/>
          <w:noProof/>
          <w:lang w:val="ro-RO"/>
        </w:rPr>
        <w:t xml:space="preserve"> </w:t>
      </w:r>
      <w:r w:rsidR="000F126E" w:rsidRPr="001C454A">
        <w:rPr>
          <w:rFonts w:asciiTheme="majorHAnsi" w:hAnsiTheme="majorHAnsi"/>
          <w:noProof/>
          <w:lang w:val="ro-RO"/>
        </w:rPr>
        <w:t xml:space="preserve">au înregistrat </w:t>
      </w:r>
      <w:r w:rsidR="00F06EF5">
        <w:rPr>
          <w:rFonts w:asciiTheme="majorHAnsi" w:hAnsiTheme="majorHAnsi"/>
          <w:noProof/>
          <w:lang w:val="ro-RO"/>
        </w:rPr>
        <w:t xml:space="preserve">cumulativ </w:t>
      </w:r>
      <w:r w:rsidR="000F126E" w:rsidRPr="001C454A">
        <w:rPr>
          <w:rFonts w:asciiTheme="majorHAnsi" w:hAnsiTheme="majorHAnsi"/>
          <w:noProof/>
          <w:lang w:val="ro-RO"/>
        </w:rPr>
        <w:t>în evidența contabilă doar în expresie valorică</w:t>
      </w:r>
      <w:r w:rsidR="001A7B04">
        <w:rPr>
          <w:rFonts w:asciiTheme="majorHAnsi" w:hAnsiTheme="majorHAnsi"/>
          <w:noProof/>
          <w:lang w:val="ro-RO"/>
        </w:rPr>
        <w:t xml:space="preserve"> </w:t>
      </w:r>
      <w:r w:rsidR="001A7B04" w:rsidRPr="001C454A">
        <w:rPr>
          <w:rFonts w:asciiTheme="majorHAnsi" w:hAnsiTheme="majorHAnsi"/>
          <w:noProof/>
          <w:lang w:val="ro-RO"/>
        </w:rPr>
        <w:t>toate medicamentele</w:t>
      </w:r>
      <w:r w:rsidR="005E1C1E" w:rsidRPr="001C454A">
        <w:rPr>
          <w:rFonts w:asciiTheme="majorHAnsi" w:hAnsiTheme="majorHAnsi"/>
          <w:noProof/>
          <w:lang w:val="ro-RO"/>
        </w:rPr>
        <w:t xml:space="preserve">, nefiind prezentate separat </w:t>
      </w:r>
      <w:r w:rsidR="001A7B04">
        <w:rPr>
          <w:rFonts w:asciiTheme="majorHAnsi" w:hAnsiTheme="majorHAnsi"/>
          <w:noProof/>
          <w:lang w:val="ro-RO"/>
        </w:rPr>
        <w:t xml:space="preserve">datele </w:t>
      </w:r>
      <w:r w:rsidR="005E1C1E" w:rsidRPr="001C454A">
        <w:rPr>
          <w:rFonts w:asciiTheme="majorHAnsi" w:hAnsiTheme="majorHAnsi"/>
          <w:noProof/>
          <w:lang w:val="ro-RO"/>
        </w:rPr>
        <w:t>pentru fiecare medicament/produs farmaceutic în expresie cantitativă și valorică, astfel nefiind respectate normele metodologice privind evidența contabilă</w:t>
      </w:r>
      <w:r w:rsidR="001A7B04">
        <w:rPr>
          <w:rFonts w:asciiTheme="majorHAnsi" w:hAnsiTheme="majorHAnsi"/>
          <w:noProof/>
          <w:lang w:val="ro-RO"/>
        </w:rPr>
        <w:t>,</w:t>
      </w:r>
      <w:r w:rsidR="005E1C1E" w:rsidRPr="001C454A">
        <w:rPr>
          <w:rFonts w:asciiTheme="majorHAnsi" w:hAnsiTheme="majorHAnsi"/>
          <w:noProof/>
          <w:lang w:val="ro-RO"/>
        </w:rPr>
        <w:t xml:space="preserve"> cu suma</w:t>
      </w:r>
      <w:r w:rsidR="001A7B04">
        <w:rPr>
          <w:rFonts w:asciiTheme="majorHAnsi" w:hAnsiTheme="majorHAnsi"/>
          <w:noProof/>
          <w:lang w:val="ro-RO"/>
        </w:rPr>
        <w:t xml:space="preserve"> de</w:t>
      </w:r>
      <w:r w:rsidR="005E1C1E" w:rsidRPr="001C454A">
        <w:rPr>
          <w:rFonts w:asciiTheme="majorHAnsi" w:hAnsiTheme="majorHAnsi"/>
          <w:noProof/>
          <w:lang w:val="ro-RO"/>
        </w:rPr>
        <w:t xml:space="preserve"> </w:t>
      </w:r>
      <w:r w:rsidR="000F126E" w:rsidRPr="00DF66F6">
        <w:rPr>
          <w:rFonts w:asciiTheme="majorHAnsi" w:hAnsiTheme="majorHAnsi"/>
          <w:noProof/>
          <w:lang w:val="ro-RO"/>
        </w:rPr>
        <w:t>173,8</w:t>
      </w:r>
      <w:r w:rsidR="005E1C1E" w:rsidRPr="00DF66F6">
        <w:rPr>
          <w:rFonts w:asciiTheme="majorHAnsi" w:hAnsiTheme="majorHAnsi"/>
          <w:noProof/>
          <w:lang w:val="ro-RO"/>
        </w:rPr>
        <w:t xml:space="preserve"> mii lei</w:t>
      </w:r>
      <w:r w:rsidR="001A7B04">
        <w:rPr>
          <w:rFonts w:asciiTheme="majorHAnsi" w:hAnsiTheme="majorHAnsi"/>
          <w:noProof/>
          <w:lang w:val="ro-RO"/>
        </w:rPr>
        <w:t>.</w:t>
      </w:r>
    </w:p>
    <w:p w14:paraId="1ADA997B" w14:textId="3CFE70BC" w:rsidR="002F4C79" w:rsidRPr="00C53585" w:rsidRDefault="002F7E19" w:rsidP="002F4C79">
      <w:pPr>
        <w:pStyle w:val="a3"/>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7C522B">
        <w:rPr>
          <w:rFonts w:asciiTheme="majorHAnsi" w:hAnsiTheme="majorHAnsi" w:cstheme="majorHAnsi"/>
        </w:rPr>
        <w:t>O instituție din subordinea ministerului</w:t>
      </w:r>
      <w:r w:rsidR="00DE25F4">
        <w:rPr>
          <w:rStyle w:val="ad"/>
          <w:rFonts w:asciiTheme="majorHAnsi" w:hAnsiTheme="majorHAnsi" w:cstheme="majorHAnsi"/>
        </w:rPr>
        <w:footnoteReference w:id="36"/>
      </w:r>
      <w:r w:rsidRPr="007C522B">
        <w:rPr>
          <w:rFonts w:asciiTheme="majorHAnsi" w:hAnsiTheme="majorHAnsi" w:cstheme="majorHAnsi"/>
        </w:rPr>
        <w:t>,</w:t>
      </w:r>
      <w:r w:rsidR="00D770DA" w:rsidRPr="007C522B">
        <w:rPr>
          <w:rFonts w:asciiTheme="majorHAnsi" w:hAnsiTheme="majorHAnsi" w:cstheme="majorHAnsi"/>
        </w:rPr>
        <w:t xml:space="preserve"> </w:t>
      </w:r>
      <w:r w:rsidRPr="007C522B">
        <w:rPr>
          <w:rFonts w:asciiTheme="majorHAnsi" w:hAnsiTheme="majorHAnsi" w:cstheme="majorHAnsi"/>
        </w:rPr>
        <w:t xml:space="preserve">pentru acordarea </w:t>
      </w:r>
      <w:r w:rsidR="004B5A7C" w:rsidRPr="007C522B">
        <w:rPr>
          <w:rFonts w:asciiTheme="majorHAnsi" w:hAnsiTheme="majorHAnsi" w:cstheme="majorHAnsi"/>
        </w:rPr>
        <w:t>serviciilor</w:t>
      </w:r>
      <w:r w:rsidRPr="007C522B">
        <w:rPr>
          <w:rFonts w:asciiTheme="majorHAnsi" w:hAnsiTheme="majorHAnsi" w:cstheme="majorHAnsi"/>
        </w:rPr>
        <w:t xml:space="preserve"> sociale </w:t>
      </w:r>
      <w:r w:rsidR="007031DA" w:rsidRPr="007C522B">
        <w:rPr>
          <w:rFonts w:asciiTheme="majorHAnsi" w:hAnsiTheme="majorHAnsi" w:cstheme="majorHAnsi"/>
        </w:rPr>
        <w:t>dispune de</w:t>
      </w:r>
      <w:r w:rsidRPr="007C522B">
        <w:rPr>
          <w:rFonts w:asciiTheme="majorHAnsi" w:hAnsiTheme="majorHAnsi" w:cstheme="majorHAnsi"/>
        </w:rPr>
        <w:t xml:space="preserve"> capacitatea de</w:t>
      </w:r>
      <w:r w:rsidR="007031DA" w:rsidRPr="007C522B">
        <w:rPr>
          <w:rFonts w:asciiTheme="majorHAnsi" w:hAnsiTheme="majorHAnsi" w:cstheme="majorHAnsi"/>
        </w:rPr>
        <w:t xml:space="preserve"> 250 </w:t>
      </w:r>
      <w:r w:rsidR="001A7B04">
        <w:rPr>
          <w:rFonts w:asciiTheme="majorHAnsi" w:hAnsiTheme="majorHAnsi" w:cstheme="majorHAnsi"/>
        </w:rPr>
        <w:t xml:space="preserve">de </w:t>
      </w:r>
      <w:r w:rsidR="007031DA" w:rsidRPr="007C522B">
        <w:rPr>
          <w:rFonts w:asciiTheme="majorHAnsi" w:hAnsiTheme="majorHAnsi" w:cstheme="majorHAnsi"/>
        </w:rPr>
        <w:t>patur</w:t>
      </w:r>
      <w:r w:rsidRPr="007C522B">
        <w:rPr>
          <w:rFonts w:asciiTheme="majorHAnsi" w:hAnsiTheme="majorHAnsi" w:cstheme="majorHAnsi"/>
        </w:rPr>
        <w:t>i. De menționat că</w:t>
      </w:r>
      <w:r w:rsidR="001A7B04">
        <w:rPr>
          <w:rFonts w:asciiTheme="majorHAnsi" w:hAnsiTheme="majorHAnsi" w:cstheme="majorHAnsi"/>
        </w:rPr>
        <w:t>,</w:t>
      </w:r>
      <w:r w:rsidRPr="007C522B">
        <w:rPr>
          <w:rFonts w:asciiTheme="majorHAnsi" w:hAnsiTheme="majorHAnsi" w:cstheme="majorHAnsi"/>
        </w:rPr>
        <w:t xml:space="preserve"> în</w:t>
      </w:r>
      <w:r w:rsidR="00D770DA" w:rsidRPr="007C522B">
        <w:rPr>
          <w:rFonts w:asciiTheme="majorHAnsi" w:hAnsiTheme="majorHAnsi" w:cstheme="majorHAnsi"/>
        </w:rPr>
        <w:t xml:space="preserve"> anul 2021</w:t>
      </w:r>
      <w:r w:rsidR="001A7B04">
        <w:rPr>
          <w:rFonts w:asciiTheme="majorHAnsi" w:hAnsiTheme="majorHAnsi" w:cstheme="majorHAnsi"/>
        </w:rPr>
        <w:t>,</w:t>
      </w:r>
      <w:r w:rsidR="00D770DA" w:rsidRPr="007C522B">
        <w:rPr>
          <w:rFonts w:asciiTheme="majorHAnsi" w:hAnsiTheme="majorHAnsi" w:cstheme="majorHAnsi"/>
        </w:rPr>
        <w:t xml:space="preserve"> au fost plasa</w:t>
      </w:r>
      <w:r w:rsidR="001A7B04">
        <w:rPr>
          <w:rFonts w:asciiTheme="majorHAnsi" w:hAnsiTheme="majorHAnsi" w:cstheme="majorHAnsi"/>
        </w:rPr>
        <w:t>te</w:t>
      </w:r>
      <w:r w:rsidR="00D770DA" w:rsidRPr="007C522B">
        <w:rPr>
          <w:rFonts w:asciiTheme="majorHAnsi" w:hAnsiTheme="majorHAnsi" w:cstheme="majorHAnsi"/>
        </w:rPr>
        <w:t xml:space="preserve"> </w:t>
      </w:r>
      <w:r w:rsidR="001A7B04">
        <w:rPr>
          <w:rFonts w:asciiTheme="majorHAnsi" w:hAnsiTheme="majorHAnsi" w:cstheme="majorHAnsi"/>
        </w:rPr>
        <w:t xml:space="preserve">în medie lunar </w:t>
      </w:r>
      <w:r w:rsidR="00D770DA" w:rsidRPr="007C522B">
        <w:rPr>
          <w:rFonts w:asciiTheme="majorHAnsi" w:hAnsiTheme="majorHAnsi" w:cstheme="majorHAnsi"/>
        </w:rPr>
        <w:t xml:space="preserve">cca 100 </w:t>
      </w:r>
      <w:r w:rsidR="001A7B04">
        <w:rPr>
          <w:rFonts w:asciiTheme="majorHAnsi" w:hAnsiTheme="majorHAnsi" w:cstheme="majorHAnsi"/>
        </w:rPr>
        <w:t xml:space="preserve">de </w:t>
      </w:r>
      <w:r w:rsidR="00D770DA" w:rsidRPr="007C522B">
        <w:rPr>
          <w:rFonts w:asciiTheme="majorHAnsi" w:hAnsiTheme="majorHAnsi" w:cstheme="majorHAnsi"/>
        </w:rPr>
        <w:t>persoane</w:t>
      </w:r>
      <w:r w:rsidRPr="007C522B">
        <w:rPr>
          <w:rFonts w:asciiTheme="majorHAnsi" w:hAnsiTheme="majorHAnsi" w:cstheme="majorHAnsi"/>
        </w:rPr>
        <w:t>, ceea ce constituie 40</w:t>
      </w:r>
      <w:r w:rsidR="00D770DA" w:rsidRPr="007C522B">
        <w:rPr>
          <w:rFonts w:asciiTheme="majorHAnsi" w:hAnsiTheme="majorHAnsi" w:cstheme="majorHAnsi"/>
        </w:rPr>
        <w:t xml:space="preserve">% din capacitatea </w:t>
      </w:r>
      <w:r w:rsidR="00F30AA9" w:rsidRPr="007C522B">
        <w:rPr>
          <w:rFonts w:asciiTheme="majorHAnsi" w:hAnsiTheme="majorHAnsi" w:cstheme="majorHAnsi"/>
        </w:rPr>
        <w:t>acestuia</w:t>
      </w:r>
      <w:r w:rsidR="00D770DA" w:rsidRPr="007C522B">
        <w:rPr>
          <w:rFonts w:asciiTheme="majorHAnsi" w:hAnsiTheme="majorHAnsi" w:cstheme="majorHAnsi"/>
        </w:rPr>
        <w:t>. Prin urmare randamentul angajaților</w:t>
      </w:r>
      <w:r w:rsidRPr="007C522B">
        <w:rPr>
          <w:rFonts w:asciiTheme="majorHAnsi" w:hAnsiTheme="majorHAnsi" w:cstheme="majorHAnsi"/>
        </w:rPr>
        <w:t>, care este în număr de 131 de persoane,</w:t>
      </w:r>
      <w:r w:rsidR="00D770DA" w:rsidRPr="007C522B">
        <w:rPr>
          <w:rFonts w:asciiTheme="majorHAnsi" w:hAnsiTheme="majorHAnsi" w:cstheme="majorHAnsi"/>
        </w:rPr>
        <w:t xml:space="preserve"> nu este folosit la maxim, </w:t>
      </w:r>
      <w:r w:rsidR="001A7B04">
        <w:rPr>
          <w:rFonts w:asciiTheme="majorHAnsi" w:hAnsiTheme="majorHAnsi" w:cstheme="majorHAnsi"/>
        </w:rPr>
        <w:t xml:space="preserve">însă </w:t>
      </w:r>
      <w:r w:rsidR="00D770DA" w:rsidRPr="007C522B">
        <w:rPr>
          <w:rFonts w:asciiTheme="majorHAnsi" w:hAnsiTheme="majorHAnsi" w:cstheme="majorHAnsi"/>
        </w:rPr>
        <w:t xml:space="preserve"> performanța </w:t>
      </w:r>
      <w:r w:rsidRPr="007C522B">
        <w:rPr>
          <w:rFonts w:asciiTheme="majorHAnsi" w:hAnsiTheme="majorHAnsi" w:cstheme="majorHAnsi"/>
        </w:rPr>
        <w:t>lor</w:t>
      </w:r>
      <w:r w:rsidR="00D770DA" w:rsidRPr="007C522B">
        <w:rPr>
          <w:rFonts w:asciiTheme="majorHAnsi" w:hAnsiTheme="majorHAnsi" w:cstheme="majorHAnsi"/>
        </w:rPr>
        <w:t xml:space="preserve"> este evaluată la cote maxime, fiind achitate sporuri și suplimente</w:t>
      </w:r>
      <w:r w:rsidR="001C6D12" w:rsidRPr="007C522B">
        <w:rPr>
          <w:rFonts w:asciiTheme="majorHAnsi" w:hAnsiTheme="majorHAnsi" w:cstheme="majorHAnsi"/>
        </w:rPr>
        <w:t xml:space="preserve"> la</w:t>
      </w:r>
      <w:r w:rsidR="00C45D43" w:rsidRPr="007C522B">
        <w:rPr>
          <w:rFonts w:asciiTheme="majorHAnsi" w:hAnsiTheme="majorHAnsi" w:cstheme="majorHAnsi"/>
        </w:rPr>
        <w:t xml:space="preserve"> salariu în </w:t>
      </w:r>
      <w:r w:rsidRPr="007C522B">
        <w:rPr>
          <w:rFonts w:asciiTheme="majorHAnsi" w:hAnsiTheme="majorHAnsi" w:cstheme="majorHAnsi"/>
        </w:rPr>
        <w:t>sumă</w:t>
      </w:r>
      <w:r w:rsidR="00C45D43" w:rsidRPr="007C522B">
        <w:rPr>
          <w:rFonts w:asciiTheme="majorHAnsi" w:hAnsiTheme="majorHAnsi" w:cstheme="majorHAnsi"/>
        </w:rPr>
        <w:t xml:space="preserve"> de 1</w:t>
      </w:r>
      <w:r w:rsidR="001A7B04">
        <w:rPr>
          <w:rFonts w:asciiTheme="majorHAnsi" w:hAnsiTheme="majorHAnsi" w:cstheme="majorHAnsi"/>
        </w:rPr>
        <w:t>.</w:t>
      </w:r>
      <w:r w:rsidR="00C45D43" w:rsidRPr="007C522B">
        <w:rPr>
          <w:rFonts w:asciiTheme="majorHAnsi" w:hAnsiTheme="majorHAnsi" w:cstheme="majorHAnsi"/>
        </w:rPr>
        <w:t>516</w:t>
      </w:r>
      <w:r w:rsidR="001C6D12" w:rsidRPr="007C522B">
        <w:rPr>
          <w:rFonts w:asciiTheme="majorHAnsi" w:hAnsiTheme="majorHAnsi" w:cstheme="majorHAnsi"/>
        </w:rPr>
        <w:t>,</w:t>
      </w:r>
      <w:r w:rsidR="00C45D43" w:rsidRPr="007C522B">
        <w:rPr>
          <w:rFonts w:asciiTheme="majorHAnsi" w:hAnsiTheme="majorHAnsi" w:cstheme="majorHAnsi"/>
        </w:rPr>
        <w:t>1</w:t>
      </w:r>
      <w:r w:rsidR="001C6D12" w:rsidRPr="007C522B">
        <w:rPr>
          <w:rFonts w:asciiTheme="majorHAnsi" w:hAnsiTheme="majorHAnsi" w:cstheme="majorHAnsi"/>
        </w:rPr>
        <w:t xml:space="preserve"> mii</w:t>
      </w:r>
      <w:r w:rsidR="00D770DA" w:rsidRPr="007C522B">
        <w:rPr>
          <w:rFonts w:asciiTheme="majorHAnsi" w:hAnsiTheme="majorHAnsi" w:cstheme="majorHAnsi"/>
        </w:rPr>
        <w:t xml:space="preserve"> lei.</w:t>
      </w:r>
      <w:r w:rsidR="009C6C1E" w:rsidRPr="007C522B">
        <w:rPr>
          <w:rFonts w:asciiTheme="majorHAnsi" w:hAnsiTheme="majorHAnsi" w:cstheme="majorHAnsi"/>
        </w:rPr>
        <w:t xml:space="preserve"> </w:t>
      </w:r>
      <w:r w:rsidR="00D770DA" w:rsidRPr="007C522B">
        <w:rPr>
          <w:rFonts w:asciiTheme="majorHAnsi" w:hAnsiTheme="majorHAnsi" w:cstheme="majorHAnsi"/>
        </w:rPr>
        <w:t>Astfel</w:t>
      </w:r>
      <w:r w:rsidRPr="007C522B">
        <w:rPr>
          <w:rFonts w:asciiTheme="majorHAnsi" w:hAnsiTheme="majorHAnsi" w:cstheme="majorHAnsi"/>
        </w:rPr>
        <w:t>,</w:t>
      </w:r>
      <w:r w:rsidR="00D770DA" w:rsidRPr="007C522B">
        <w:rPr>
          <w:rFonts w:asciiTheme="majorHAnsi" w:hAnsiTheme="majorHAnsi" w:cstheme="majorHAnsi"/>
        </w:rPr>
        <w:t xml:space="preserve"> lipsa/insuficiența procedurilor de </w:t>
      </w:r>
      <w:r w:rsidR="007A1CED" w:rsidRPr="007C522B">
        <w:rPr>
          <w:rFonts w:asciiTheme="majorHAnsi" w:hAnsiTheme="majorHAnsi" w:cstheme="majorHAnsi"/>
        </w:rPr>
        <w:t>evaluare</w:t>
      </w:r>
      <w:r w:rsidR="00D770DA" w:rsidRPr="007C522B">
        <w:rPr>
          <w:rFonts w:asciiTheme="majorHAnsi" w:hAnsiTheme="majorHAnsi" w:cstheme="majorHAnsi"/>
        </w:rPr>
        <w:t xml:space="preserve"> a activităților </w:t>
      </w:r>
      <w:r w:rsidR="007A1CED" w:rsidRPr="007C522B">
        <w:rPr>
          <w:rFonts w:asciiTheme="majorHAnsi" w:hAnsiTheme="majorHAnsi" w:cstheme="majorHAnsi"/>
        </w:rPr>
        <w:t xml:space="preserve">și </w:t>
      </w:r>
      <w:r w:rsidR="001A7B04">
        <w:rPr>
          <w:rFonts w:asciiTheme="majorHAnsi" w:hAnsiTheme="majorHAnsi" w:cstheme="majorHAnsi"/>
        </w:rPr>
        <w:t>sarcinii</w:t>
      </w:r>
      <w:r w:rsidR="001A7B04" w:rsidRPr="007C522B">
        <w:rPr>
          <w:rFonts w:asciiTheme="majorHAnsi" w:hAnsiTheme="majorHAnsi" w:cstheme="majorHAnsi"/>
        </w:rPr>
        <w:t xml:space="preserve"> </w:t>
      </w:r>
      <w:r w:rsidR="007A1CED" w:rsidRPr="007C522B">
        <w:rPr>
          <w:rFonts w:asciiTheme="majorHAnsi" w:hAnsiTheme="majorHAnsi" w:cstheme="majorHAnsi"/>
        </w:rPr>
        <w:t xml:space="preserve">acestora, </w:t>
      </w:r>
      <w:r w:rsidR="001D03EA" w:rsidRPr="007C522B">
        <w:rPr>
          <w:rFonts w:asciiTheme="majorHAnsi" w:hAnsiTheme="majorHAnsi" w:cstheme="majorHAnsi"/>
        </w:rPr>
        <w:t>comparativ</w:t>
      </w:r>
      <w:r w:rsidR="00D770DA" w:rsidRPr="007C522B">
        <w:rPr>
          <w:rFonts w:asciiTheme="majorHAnsi" w:hAnsiTheme="majorHAnsi" w:cstheme="majorHAnsi"/>
        </w:rPr>
        <w:t xml:space="preserve"> cu modul de calculare a salariilor</w:t>
      </w:r>
      <w:r w:rsidR="002F4C79">
        <w:rPr>
          <w:rFonts w:asciiTheme="majorHAnsi" w:hAnsiTheme="majorHAnsi" w:cstheme="majorHAnsi"/>
        </w:rPr>
        <w:t>,</w:t>
      </w:r>
      <w:r w:rsidR="00E163C4" w:rsidRPr="007C522B">
        <w:rPr>
          <w:rFonts w:asciiTheme="majorHAnsi" w:hAnsiTheme="majorHAnsi" w:cstheme="majorHAnsi"/>
        </w:rPr>
        <w:t xml:space="preserve"> </w:t>
      </w:r>
      <w:r w:rsidR="004B5A7C" w:rsidRPr="007C522B">
        <w:rPr>
          <w:rFonts w:asciiTheme="majorHAnsi" w:hAnsiTheme="majorHAnsi" w:cstheme="majorHAnsi"/>
        </w:rPr>
        <w:t>ținând</w:t>
      </w:r>
      <w:r w:rsidR="00E163C4" w:rsidRPr="007C522B">
        <w:rPr>
          <w:rFonts w:asciiTheme="majorHAnsi" w:hAnsiTheme="majorHAnsi" w:cstheme="majorHAnsi"/>
        </w:rPr>
        <w:t xml:space="preserve"> cont de </w:t>
      </w:r>
      <w:r w:rsidR="004B5A7C" w:rsidRPr="007C522B">
        <w:rPr>
          <w:rFonts w:asciiTheme="majorHAnsi" w:hAnsiTheme="majorHAnsi" w:cstheme="majorHAnsi"/>
        </w:rPr>
        <w:t>număr</w:t>
      </w:r>
      <w:r w:rsidR="00E163C4" w:rsidRPr="007C522B">
        <w:rPr>
          <w:rFonts w:asciiTheme="majorHAnsi" w:hAnsiTheme="majorHAnsi" w:cstheme="majorHAnsi"/>
        </w:rPr>
        <w:t xml:space="preserve"> mic de beneficiari</w:t>
      </w:r>
      <w:r w:rsidR="002F4C79">
        <w:rPr>
          <w:rFonts w:asciiTheme="majorHAnsi" w:hAnsiTheme="majorHAnsi" w:cstheme="majorHAnsi"/>
        </w:rPr>
        <w:t>, î</w:t>
      </w:r>
      <w:r w:rsidR="00E163C4" w:rsidRPr="007C522B">
        <w:rPr>
          <w:rFonts w:asciiTheme="majorHAnsi" w:hAnsiTheme="majorHAnsi" w:cstheme="majorHAnsi"/>
        </w:rPr>
        <w:t>n opinia auditului</w:t>
      </w:r>
      <w:r w:rsidR="002F4C79">
        <w:rPr>
          <w:rFonts w:asciiTheme="majorHAnsi" w:hAnsiTheme="majorHAnsi" w:cstheme="majorHAnsi"/>
        </w:rPr>
        <w:t>,</w:t>
      </w:r>
      <w:r w:rsidR="00E163C4" w:rsidRPr="007C522B">
        <w:rPr>
          <w:rFonts w:asciiTheme="majorHAnsi" w:hAnsiTheme="majorHAnsi" w:cstheme="majorHAnsi"/>
        </w:rPr>
        <w:t xml:space="preserve"> nu justifică pe deplin cheltuielile privind sporurile salariale</w:t>
      </w:r>
      <w:r w:rsidR="001A7B04">
        <w:rPr>
          <w:rFonts w:asciiTheme="majorHAnsi" w:hAnsiTheme="majorHAnsi" w:cstheme="majorHAnsi"/>
        </w:rPr>
        <w:t>.</w:t>
      </w:r>
    </w:p>
    <w:p w14:paraId="4F3ED607" w14:textId="24CB1020" w:rsidR="001C641A" w:rsidRPr="001C641A" w:rsidRDefault="00850841" w:rsidP="001C641A">
      <w:pPr>
        <w:pStyle w:val="a3"/>
        <w:numPr>
          <w:ilvl w:val="1"/>
          <w:numId w:val="18"/>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sidRPr="00850841">
        <w:rPr>
          <w:rFonts w:asciiTheme="majorHAnsi" w:hAnsiTheme="majorHAnsi" w:cstheme="majorHAnsi"/>
          <w:color w:val="000000" w:themeColor="text1"/>
        </w:rPr>
        <w:t>Neasigurare</w:t>
      </w:r>
      <w:r w:rsidR="006F56D1">
        <w:rPr>
          <w:rFonts w:asciiTheme="majorHAnsi" w:hAnsiTheme="majorHAnsi" w:cstheme="majorHAnsi"/>
          <w:color w:val="000000" w:themeColor="text1"/>
        </w:rPr>
        <w:t>a</w:t>
      </w:r>
      <w:r w:rsidRPr="00850841">
        <w:rPr>
          <w:rFonts w:asciiTheme="majorHAnsi" w:hAnsiTheme="majorHAnsi" w:cstheme="majorHAnsi"/>
          <w:color w:val="000000" w:themeColor="text1"/>
        </w:rPr>
        <w:t xml:space="preserve"> de către conducerea </w:t>
      </w:r>
      <w:r w:rsidR="00E46041">
        <w:rPr>
          <w:rFonts w:asciiTheme="majorHAnsi" w:hAnsiTheme="majorHAnsi" w:cstheme="majorHAnsi"/>
          <w:color w:val="000000" w:themeColor="text1"/>
        </w:rPr>
        <w:t>unei instituții din subordinea ministerului</w:t>
      </w:r>
      <w:r w:rsidR="00E46041">
        <w:rPr>
          <w:rStyle w:val="ad"/>
          <w:rFonts w:asciiTheme="majorHAnsi" w:hAnsiTheme="majorHAnsi" w:cstheme="majorHAnsi"/>
          <w:color w:val="000000" w:themeColor="text1"/>
        </w:rPr>
        <w:footnoteReference w:id="37"/>
      </w:r>
      <w:r w:rsidR="00E46041">
        <w:rPr>
          <w:rFonts w:asciiTheme="majorHAnsi" w:hAnsiTheme="majorHAnsi" w:cstheme="majorHAnsi"/>
          <w:color w:val="000000" w:themeColor="text1"/>
        </w:rPr>
        <w:t xml:space="preserve"> </w:t>
      </w:r>
      <w:r w:rsidRPr="00850841">
        <w:rPr>
          <w:rFonts w:asciiTheme="majorHAnsi" w:hAnsiTheme="majorHAnsi" w:cstheme="majorHAnsi"/>
          <w:color w:val="000000" w:themeColor="text1"/>
        </w:rPr>
        <w:t>a proceselor de reorganizare</w:t>
      </w:r>
      <w:r w:rsidR="001C641A" w:rsidRPr="00CC2D8F">
        <w:rPr>
          <w:rFonts w:asciiTheme="majorHAnsi" w:hAnsiTheme="majorHAnsi"/>
          <w:i/>
          <w:color w:val="000000"/>
          <w:lang w:val="ro-RO"/>
        </w:rPr>
        <w:t xml:space="preserve"> </w:t>
      </w:r>
      <w:r w:rsidRPr="00CC2D8F">
        <w:rPr>
          <w:rFonts w:asciiTheme="majorHAnsi" w:hAnsiTheme="majorHAnsi"/>
          <w:color w:val="000000"/>
          <w:lang w:val="ro-RO"/>
        </w:rPr>
        <w:t xml:space="preserve">prin </w:t>
      </w:r>
      <w:r w:rsidR="006F56D1">
        <w:rPr>
          <w:rFonts w:asciiTheme="majorHAnsi" w:hAnsiTheme="majorHAnsi" w:cstheme="majorHAnsi"/>
          <w:lang w:val="ro-RO"/>
        </w:rPr>
        <w:t>neaplicarea</w:t>
      </w:r>
      <w:r w:rsidRPr="001C641A">
        <w:rPr>
          <w:rFonts w:asciiTheme="majorHAnsi" w:hAnsiTheme="majorHAnsi" w:cstheme="majorHAnsi"/>
          <w:lang w:val="ro-RO"/>
        </w:rPr>
        <w:t xml:space="preserve"> normelor </w:t>
      </w:r>
      <w:r w:rsidR="006F56D1" w:rsidRPr="001C641A">
        <w:rPr>
          <w:rFonts w:asciiTheme="majorHAnsi" w:hAnsiTheme="majorHAnsi" w:cstheme="majorHAnsi"/>
          <w:lang w:val="ro-RO"/>
        </w:rPr>
        <w:t>circularei MF</w:t>
      </w:r>
      <w:r w:rsidR="006F56D1" w:rsidRPr="00967339">
        <w:rPr>
          <w:rStyle w:val="ad"/>
          <w:rFonts w:asciiTheme="majorHAnsi" w:hAnsiTheme="majorHAnsi" w:cstheme="majorHAnsi"/>
          <w:lang w:val="ro-RO"/>
        </w:rPr>
        <w:footnoteReference w:id="38"/>
      </w:r>
      <w:r>
        <w:rPr>
          <w:rFonts w:asciiTheme="majorHAnsi" w:hAnsiTheme="majorHAnsi" w:cstheme="majorHAnsi"/>
          <w:lang w:val="ro-RO"/>
        </w:rPr>
        <w:t xml:space="preserve">, a determinat </w:t>
      </w:r>
      <w:r w:rsidR="004B5A7C">
        <w:rPr>
          <w:rFonts w:asciiTheme="majorHAnsi" w:hAnsiTheme="majorHAnsi" w:cstheme="majorHAnsi"/>
          <w:lang w:val="ro-RO"/>
        </w:rPr>
        <w:t>nereflectarea</w:t>
      </w:r>
      <w:r w:rsidR="001C641A" w:rsidRPr="001C641A">
        <w:rPr>
          <w:rFonts w:asciiTheme="majorHAnsi" w:hAnsiTheme="majorHAnsi" w:cstheme="majorHAnsi"/>
          <w:lang w:val="ro-RO"/>
        </w:rPr>
        <w:t xml:space="preserve"> la închiderea conturilor prin intermediul contului 723 </w:t>
      </w:r>
      <w:r w:rsidR="001A7B04">
        <w:rPr>
          <w:rFonts w:asciiTheme="majorHAnsi" w:hAnsiTheme="majorHAnsi" w:cstheme="majorHAnsi"/>
          <w:lang w:val="ro-RO"/>
        </w:rPr>
        <w:t>„</w:t>
      </w:r>
      <w:r w:rsidR="001C641A" w:rsidRPr="001C641A">
        <w:rPr>
          <w:rFonts w:asciiTheme="majorHAnsi" w:hAnsiTheme="majorHAnsi" w:cstheme="majorHAnsi"/>
          <w:lang w:val="ro-RO"/>
        </w:rPr>
        <w:t xml:space="preserve">Corectarea rezultatelor anilor precedenți ale instituțiilor bugetare” </w:t>
      </w:r>
      <w:r w:rsidR="001A7B04">
        <w:rPr>
          <w:rFonts w:asciiTheme="majorHAnsi" w:hAnsiTheme="majorHAnsi" w:cstheme="majorHAnsi"/>
          <w:lang w:val="ro-RO"/>
        </w:rPr>
        <w:t xml:space="preserve">a </w:t>
      </w:r>
      <w:r w:rsidR="001C641A" w:rsidRPr="001C641A">
        <w:rPr>
          <w:rFonts w:asciiTheme="majorHAnsi" w:hAnsiTheme="majorHAnsi" w:cstheme="majorHAnsi"/>
          <w:lang w:val="ro-RO"/>
        </w:rPr>
        <w:t>operațiun</w:t>
      </w:r>
      <w:r w:rsidR="001A7B04">
        <w:rPr>
          <w:rFonts w:asciiTheme="majorHAnsi" w:hAnsiTheme="majorHAnsi" w:cstheme="majorHAnsi"/>
          <w:lang w:val="ro-RO"/>
        </w:rPr>
        <w:t>ii</w:t>
      </w:r>
      <w:r w:rsidR="001C641A" w:rsidRPr="001C641A">
        <w:rPr>
          <w:rFonts w:asciiTheme="majorHAnsi" w:hAnsiTheme="majorHAnsi" w:cstheme="majorHAnsi"/>
          <w:lang w:val="ro-RO"/>
        </w:rPr>
        <w:t xml:space="preserve"> de închidere a soldului la sfârșitul perioadei de gestiune, în mărime de 67,11 mii lei, doar în form</w:t>
      </w:r>
      <w:r w:rsidR="001A7B04">
        <w:rPr>
          <w:rFonts w:asciiTheme="majorHAnsi" w:hAnsiTheme="majorHAnsi" w:cstheme="majorHAnsi"/>
          <w:lang w:val="ro-RO"/>
        </w:rPr>
        <w:t>ularul</w:t>
      </w:r>
      <w:r w:rsidR="001C641A" w:rsidRPr="001C641A">
        <w:rPr>
          <w:rFonts w:asciiTheme="majorHAnsi" w:hAnsiTheme="majorHAnsi" w:cstheme="majorHAnsi"/>
          <w:lang w:val="ro-RO"/>
        </w:rPr>
        <w:t xml:space="preserve"> </w:t>
      </w:r>
      <w:r w:rsidR="001A7B04">
        <w:rPr>
          <w:rFonts w:asciiTheme="majorHAnsi" w:hAnsiTheme="majorHAnsi" w:cstheme="majorHAnsi"/>
          <w:lang w:val="ro-RO"/>
        </w:rPr>
        <w:t>„</w:t>
      </w:r>
      <w:r w:rsidR="001C641A" w:rsidRPr="001C641A">
        <w:rPr>
          <w:rFonts w:asciiTheme="majorHAnsi" w:hAnsiTheme="majorHAnsi" w:cstheme="majorHAnsi"/>
          <w:lang w:val="ro-RO"/>
        </w:rPr>
        <w:t>CM-18” efectu</w:t>
      </w:r>
      <w:r w:rsidR="001A7B04">
        <w:rPr>
          <w:rFonts w:asciiTheme="majorHAnsi" w:hAnsiTheme="majorHAnsi" w:cstheme="majorHAnsi"/>
          <w:lang w:val="ro-RO"/>
        </w:rPr>
        <w:t>ându-se</w:t>
      </w:r>
      <w:r w:rsidR="001C641A" w:rsidRPr="001C641A">
        <w:rPr>
          <w:rFonts w:asciiTheme="majorHAnsi" w:hAnsiTheme="majorHAnsi" w:cstheme="majorHAnsi"/>
          <w:lang w:val="ro-RO"/>
        </w:rPr>
        <w:t xml:space="preserve"> corectarea</w:t>
      </w:r>
      <w:r w:rsidR="001A7B04">
        <w:rPr>
          <w:rFonts w:asciiTheme="majorHAnsi" w:hAnsiTheme="majorHAnsi" w:cstheme="majorHAnsi"/>
          <w:lang w:val="ro-RO"/>
        </w:rPr>
        <w:t xml:space="preserve"> manuală a</w:t>
      </w:r>
      <w:r w:rsidR="001C641A" w:rsidRPr="001C641A">
        <w:rPr>
          <w:rFonts w:asciiTheme="majorHAnsi" w:hAnsiTheme="majorHAnsi" w:cstheme="majorHAnsi"/>
          <w:lang w:val="ro-RO"/>
        </w:rPr>
        <w:t xml:space="preserve"> soldului. În acest context</w:t>
      </w:r>
      <w:r w:rsidR="001A7B04">
        <w:rPr>
          <w:rFonts w:asciiTheme="majorHAnsi" w:hAnsiTheme="majorHAnsi" w:cstheme="majorHAnsi"/>
          <w:lang w:val="ro-RO"/>
        </w:rPr>
        <w:t>,</w:t>
      </w:r>
      <w:r w:rsidR="001C641A" w:rsidRPr="001C641A">
        <w:rPr>
          <w:rFonts w:asciiTheme="majorHAnsi" w:hAnsiTheme="majorHAnsi" w:cstheme="majorHAnsi"/>
          <w:lang w:val="ro-RO"/>
        </w:rPr>
        <w:t xml:space="preserve"> valoarea contului 431 </w:t>
      </w:r>
      <w:r w:rsidR="001C641A" w:rsidRPr="001C641A">
        <w:rPr>
          <w:rFonts w:asciiTheme="majorHAnsi" w:hAnsiTheme="majorHAnsi" w:cstheme="majorHAnsi"/>
          <w:noProof/>
          <w:lang w:val="ro-RO"/>
        </w:rPr>
        <w:t>„Conturi curente în sistemul trezorerial”</w:t>
      </w:r>
      <w:r w:rsidR="001C641A" w:rsidRPr="001C641A">
        <w:rPr>
          <w:rFonts w:asciiTheme="majorHAnsi" w:hAnsiTheme="majorHAnsi" w:cstheme="majorHAnsi"/>
          <w:lang w:val="ro-RO"/>
        </w:rPr>
        <w:t xml:space="preserve"> a fost subevaluată cu acest sold. </w:t>
      </w:r>
    </w:p>
    <w:p w14:paraId="38A5BC49" w14:textId="0803CCE7" w:rsidR="001C641A" w:rsidRPr="00967339" w:rsidRDefault="001C641A" w:rsidP="001C641A">
      <w:pPr>
        <w:pStyle w:val="a3"/>
        <w:spacing w:line="276" w:lineRule="auto"/>
        <w:ind w:left="0"/>
        <w:jc w:val="both"/>
        <w:rPr>
          <w:rFonts w:asciiTheme="majorHAnsi" w:hAnsiTheme="majorHAnsi" w:cstheme="majorHAnsi"/>
          <w:lang w:val="ro-RO"/>
        </w:rPr>
      </w:pPr>
      <w:r w:rsidRPr="00967339">
        <w:rPr>
          <w:rFonts w:asciiTheme="majorHAnsi" w:hAnsiTheme="majorHAnsi" w:cstheme="majorHAnsi"/>
        </w:rPr>
        <w:tab/>
        <w:t>Un impact direct asupra calității evidenței contabile și a raportării financiare ce limitează auditul în expunerea asupra datelor înregistrate în 6 conturi contabile, care sun</w:t>
      </w:r>
      <w:r w:rsidR="003763B3">
        <w:rPr>
          <w:rFonts w:asciiTheme="majorHAnsi" w:hAnsiTheme="majorHAnsi" w:cstheme="majorHAnsi"/>
        </w:rPr>
        <w:t>t cu devieri și posibile erori</w:t>
      </w:r>
      <w:r w:rsidR="008531E7">
        <w:rPr>
          <w:rFonts w:asciiTheme="majorHAnsi" w:hAnsiTheme="majorHAnsi" w:cstheme="majorHAnsi"/>
        </w:rPr>
        <w:t>,</w:t>
      </w:r>
      <w:r w:rsidR="003763B3">
        <w:rPr>
          <w:rFonts w:asciiTheme="majorHAnsi" w:hAnsiTheme="majorHAnsi" w:cstheme="majorHAnsi"/>
        </w:rPr>
        <w:t xml:space="preserve"> </w:t>
      </w:r>
      <w:r w:rsidRPr="00967339">
        <w:rPr>
          <w:rFonts w:asciiTheme="majorHAnsi" w:hAnsiTheme="majorHAnsi" w:cstheme="majorHAnsi"/>
        </w:rPr>
        <w:t>inclusiv</w:t>
      </w:r>
      <w:r w:rsidRPr="00967339">
        <w:rPr>
          <w:rFonts w:asciiTheme="majorHAnsi" w:hAnsiTheme="majorHAnsi" w:cstheme="majorHAnsi"/>
          <w:lang w:val="ro-RO"/>
        </w:rPr>
        <w:t xml:space="preserve"> contul 142 </w:t>
      </w:r>
      <w:r w:rsidR="001A7B04">
        <w:rPr>
          <w:rFonts w:asciiTheme="majorHAnsi" w:hAnsiTheme="majorHAnsi" w:cstheme="majorHAnsi"/>
          <w:lang w:val="ro-RO"/>
        </w:rPr>
        <w:t>„V</w:t>
      </w:r>
      <w:r w:rsidR="004B5A7C" w:rsidRPr="00967339">
        <w:rPr>
          <w:rFonts w:asciiTheme="majorHAnsi" w:hAnsiTheme="majorHAnsi" w:cstheme="majorHAnsi"/>
          <w:lang w:val="ro-RO"/>
        </w:rPr>
        <w:t>enituri</w:t>
      </w:r>
      <w:r w:rsidRPr="00967339">
        <w:rPr>
          <w:rFonts w:asciiTheme="majorHAnsi" w:hAnsiTheme="majorHAnsi" w:cstheme="majorHAnsi"/>
          <w:lang w:val="ro-RO"/>
        </w:rPr>
        <w:t xml:space="preserve"> din </w:t>
      </w:r>
      <w:r w:rsidR="004B5A7C" w:rsidRPr="00967339">
        <w:rPr>
          <w:rFonts w:asciiTheme="majorHAnsi" w:hAnsiTheme="majorHAnsi" w:cstheme="majorHAnsi"/>
          <w:lang w:val="ro-RO"/>
        </w:rPr>
        <w:t>vânzarea</w:t>
      </w:r>
      <w:r w:rsidRPr="00967339">
        <w:rPr>
          <w:rFonts w:asciiTheme="majorHAnsi" w:hAnsiTheme="majorHAnsi" w:cstheme="majorHAnsi"/>
          <w:lang w:val="ro-RO"/>
        </w:rPr>
        <w:t xml:space="preserve"> mărfurilor </w:t>
      </w:r>
      <w:r w:rsidR="00374A53" w:rsidRPr="00967339">
        <w:rPr>
          <w:rFonts w:asciiTheme="majorHAnsi" w:hAnsiTheme="majorHAnsi" w:cstheme="majorHAnsi"/>
          <w:lang w:val="ro-RO"/>
        </w:rPr>
        <w:t>și</w:t>
      </w:r>
      <w:r w:rsidRPr="00967339">
        <w:rPr>
          <w:rFonts w:asciiTheme="majorHAnsi" w:hAnsiTheme="majorHAnsi" w:cstheme="majorHAnsi"/>
          <w:lang w:val="ro-RO"/>
        </w:rPr>
        <w:t xml:space="preserve"> </w:t>
      </w:r>
      <w:r w:rsidR="00374A53">
        <w:rPr>
          <w:rFonts w:asciiTheme="majorHAnsi" w:hAnsiTheme="majorHAnsi" w:cstheme="majorHAnsi"/>
          <w:lang w:val="ro-RO"/>
        </w:rPr>
        <w:t>serviciilor</w:t>
      </w:r>
      <w:r w:rsidRPr="00967339">
        <w:rPr>
          <w:rFonts w:asciiTheme="majorHAnsi" w:hAnsiTheme="majorHAnsi" w:cstheme="majorHAnsi"/>
          <w:lang w:val="ro-RO"/>
        </w:rPr>
        <w:t>”</w:t>
      </w:r>
      <w:r w:rsidR="001A7B04">
        <w:rPr>
          <w:rFonts w:asciiTheme="majorHAnsi" w:hAnsiTheme="majorHAnsi" w:cstheme="majorHAnsi"/>
          <w:lang w:val="ro-RO"/>
        </w:rPr>
        <w:t>, a fost</w:t>
      </w:r>
      <w:r w:rsidRPr="00967339">
        <w:rPr>
          <w:rFonts w:asciiTheme="majorHAnsi" w:hAnsiTheme="majorHAnsi" w:cstheme="majorHAnsi"/>
          <w:lang w:val="ro-RO"/>
        </w:rPr>
        <w:t xml:space="preserve"> subevaluat </w:t>
      </w:r>
      <w:r w:rsidR="006C037D">
        <w:rPr>
          <w:rFonts w:asciiTheme="majorHAnsi" w:hAnsiTheme="majorHAnsi" w:cstheme="majorHAnsi"/>
          <w:lang w:val="ro-RO"/>
        </w:rPr>
        <w:t>cu 563,91 mii lei la 31.08.2021.</w:t>
      </w:r>
    </w:p>
    <w:p w14:paraId="08C961EB" w14:textId="77777777" w:rsidR="00D15758" w:rsidRPr="00967339" w:rsidRDefault="00D15758" w:rsidP="00023A8F">
      <w:pPr>
        <w:pStyle w:val="1"/>
        <w:numPr>
          <w:ilvl w:val="0"/>
          <w:numId w:val="0"/>
        </w:numPr>
        <w:ind w:firstLine="720"/>
        <w:jc w:val="left"/>
        <w:rPr>
          <w:noProof/>
          <w:color w:val="000000" w:themeColor="text1"/>
          <w:sz w:val="24"/>
          <w:szCs w:val="24"/>
        </w:rPr>
      </w:pPr>
      <w:r w:rsidRPr="00967339">
        <w:rPr>
          <w:noProof/>
          <w:sz w:val="24"/>
          <w:szCs w:val="24"/>
        </w:rPr>
        <w:t>VI.</w:t>
      </w:r>
      <w:bookmarkStart w:id="5" w:name="_Toc530570482"/>
      <w:r w:rsidRPr="00967339">
        <w:rPr>
          <w:noProof/>
          <w:color w:val="000000" w:themeColor="text1"/>
          <w:sz w:val="24"/>
          <w:szCs w:val="24"/>
        </w:rPr>
        <w:t xml:space="preserve"> RESPONSABILITĂȚILE CONDUCERII PENTRU RAPOARTELE FINANCIARE</w:t>
      </w:r>
      <w:bookmarkEnd w:id="5"/>
    </w:p>
    <w:p w14:paraId="30BE2F91" w14:textId="7D0F7F29" w:rsidR="00EA7CD4" w:rsidRPr="00967339" w:rsidRDefault="00930EBE" w:rsidP="00023A8F">
      <w:pPr>
        <w:spacing w:line="276" w:lineRule="auto"/>
        <w:jc w:val="both"/>
        <w:rPr>
          <w:rFonts w:asciiTheme="majorHAnsi" w:hAnsiTheme="majorHAnsi" w:cstheme="majorHAnsi"/>
          <w:bCs/>
          <w:noProof/>
        </w:rPr>
      </w:pPr>
      <w:r w:rsidRPr="00967339">
        <w:rPr>
          <w:rFonts w:asciiTheme="majorHAnsi" w:hAnsiTheme="majorHAnsi" w:cstheme="majorHAnsi"/>
          <w:bCs/>
          <w:noProof/>
        </w:rPr>
        <w:tab/>
      </w:r>
      <w:r w:rsidR="00EA7CD4" w:rsidRPr="00967339">
        <w:rPr>
          <w:rFonts w:asciiTheme="majorHAnsi" w:hAnsiTheme="majorHAnsi" w:cstheme="majorHAnsi"/>
          <w:bCs/>
          <w:noProof/>
        </w:rPr>
        <w:t>Ministrul</w:t>
      </w:r>
      <w:r w:rsidR="0094197C" w:rsidRPr="00967339">
        <w:rPr>
          <w:rFonts w:asciiTheme="majorHAnsi" w:hAnsiTheme="majorHAnsi" w:cstheme="majorHAnsi"/>
          <w:noProof/>
        </w:rPr>
        <w:t xml:space="preserve"> </w:t>
      </w:r>
      <w:r w:rsidR="00EA7CD4" w:rsidRPr="00967339">
        <w:rPr>
          <w:rFonts w:asciiTheme="majorHAnsi" w:hAnsiTheme="majorHAnsi" w:cstheme="majorHAnsi"/>
          <w:bCs/>
          <w:noProof/>
        </w:rPr>
        <w:t>Sănătății</w:t>
      </w:r>
      <w:r w:rsidR="009F04A8" w:rsidRPr="00967339">
        <w:rPr>
          <w:rFonts w:asciiTheme="majorHAnsi" w:hAnsiTheme="majorHAnsi" w:cstheme="majorHAnsi"/>
          <w:bCs/>
          <w:noProof/>
        </w:rPr>
        <w:t>, Muncii și Protecției Sociale</w:t>
      </w:r>
      <w:r w:rsidR="001A7B04">
        <w:rPr>
          <w:rFonts w:asciiTheme="majorHAnsi" w:hAnsiTheme="majorHAnsi" w:cstheme="majorHAnsi"/>
          <w:bCs/>
          <w:noProof/>
        </w:rPr>
        <w:t>,</w:t>
      </w:r>
      <w:r w:rsidR="00A62D0D" w:rsidRPr="00967339">
        <w:rPr>
          <w:rFonts w:asciiTheme="majorHAnsi" w:hAnsiTheme="majorHAnsi" w:cstheme="majorHAnsi"/>
          <w:bCs/>
          <w:noProof/>
        </w:rPr>
        <w:t xml:space="preserve"> </w:t>
      </w:r>
      <w:r w:rsidR="00EA7CD4" w:rsidRPr="00967339">
        <w:rPr>
          <w:rFonts w:asciiTheme="majorHAnsi" w:hAnsiTheme="majorHAnsi" w:cstheme="majorHAnsi"/>
          <w:noProof/>
        </w:rPr>
        <w:t>în calitate de conducător al organului central de specialitate al administrației publice, este responsabil de întocmirea și semnarea rapoartelor financiare consolidate</w:t>
      </w:r>
      <w:r w:rsidR="00EA7CD4" w:rsidRPr="00967339" w:rsidDel="00BD5FC1">
        <w:rPr>
          <w:rFonts w:asciiTheme="majorHAnsi" w:hAnsiTheme="majorHAnsi" w:cstheme="majorHAnsi"/>
          <w:noProof/>
        </w:rPr>
        <w:t xml:space="preserve"> </w:t>
      </w:r>
      <w:r w:rsidR="00EA7CD4" w:rsidRPr="00967339">
        <w:rPr>
          <w:rFonts w:asciiTheme="majorHAnsi" w:hAnsiTheme="majorHAnsi" w:cstheme="majorHAnsi"/>
          <w:noProof/>
        </w:rPr>
        <w:t>în conformitate cu cadrul de raportare financiară aplicabil, precum și de organizarea sistemului de control intern</w:t>
      </w:r>
      <w:r w:rsidR="00F56C33" w:rsidRPr="00967339">
        <w:rPr>
          <w:rFonts w:asciiTheme="majorHAnsi" w:hAnsiTheme="majorHAnsi" w:cstheme="majorHAnsi"/>
          <w:noProof/>
        </w:rPr>
        <w:t>,</w:t>
      </w:r>
      <w:r w:rsidR="00EA7CD4" w:rsidRPr="00967339">
        <w:rPr>
          <w:rFonts w:asciiTheme="majorHAnsi" w:hAnsiTheme="majorHAnsi" w:cstheme="majorHAnsi"/>
          <w:noProof/>
        </w:rPr>
        <w:t xml:space="preserve">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r w:rsidR="0094197C" w:rsidRPr="00967339">
        <w:rPr>
          <w:rFonts w:asciiTheme="majorHAnsi" w:hAnsiTheme="majorHAnsi" w:cstheme="majorHAnsi"/>
          <w:noProof/>
        </w:rPr>
        <w:t xml:space="preserve"> </w:t>
      </w:r>
    </w:p>
    <w:p w14:paraId="0B339430" w14:textId="77777777" w:rsidR="00D15758" w:rsidRPr="00967339" w:rsidRDefault="00D15758" w:rsidP="00023A8F">
      <w:pPr>
        <w:pStyle w:val="1"/>
        <w:numPr>
          <w:ilvl w:val="0"/>
          <w:numId w:val="0"/>
        </w:numPr>
        <w:ind w:left="284"/>
        <w:rPr>
          <w:b w:val="0"/>
          <w:noProof/>
          <w:color w:val="000000" w:themeColor="text1"/>
          <w:sz w:val="24"/>
          <w:szCs w:val="24"/>
        </w:rPr>
      </w:pPr>
      <w:r w:rsidRPr="00967339">
        <w:rPr>
          <w:noProof/>
          <w:sz w:val="24"/>
          <w:szCs w:val="24"/>
        </w:rPr>
        <w:t>VII.</w:t>
      </w:r>
      <w:bookmarkStart w:id="6" w:name="_Toc530570483"/>
      <w:r w:rsidRPr="00967339">
        <w:rPr>
          <w:noProof/>
          <w:color w:val="000000" w:themeColor="text1"/>
          <w:sz w:val="24"/>
          <w:szCs w:val="24"/>
        </w:rPr>
        <w:t xml:space="preserve"> RESPONSABILITĂȚILE AUDITORULUI ÎNTR-UN AUDIT AL RAPOARTELOR FINANCIARE</w:t>
      </w:r>
      <w:bookmarkEnd w:id="6"/>
    </w:p>
    <w:p w14:paraId="54C8A5FD" w14:textId="77777777"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Responsabilitatea noastră este de a planifica și </w:t>
      </w:r>
      <w:r w:rsidR="0047535A" w:rsidRPr="00967339">
        <w:rPr>
          <w:rFonts w:asciiTheme="majorHAnsi" w:hAnsiTheme="majorHAnsi" w:cstheme="majorHAnsi"/>
          <w:noProof/>
        </w:rPr>
        <w:t xml:space="preserve">a </w:t>
      </w:r>
      <w:r w:rsidR="00EA7CD4" w:rsidRPr="00967339">
        <w:rPr>
          <w:rFonts w:asciiTheme="majorHAnsi" w:hAnsiTheme="majorHAnsi" w:cstheme="majorHAnsi"/>
          <w:noProof/>
        </w:rPr>
        <w:t>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3094CFBA" w14:textId="77777777"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Asigurarea rezonabilă este un nivel ridicat de asigurare, dar nu este o garanție că un audit efectuat în conformitate cu Standardele Internationale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p>
    <w:p w14:paraId="57F1CCDD" w14:textId="77777777" w:rsidR="00EA7CD4"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O descriere suplimentară a responsabilităților auditorului într-un audit al rapoartelor financiare este plasată pe site-ul Curții de Conturi, la adresa: </w:t>
      </w:r>
      <w:r w:rsidR="00EA7CD4" w:rsidRPr="00967339">
        <w:rPr>
          <w:rFonts w:asciiTheme="majorHAnsi" w:hAnsiTheme="majorHAnsi" w:cstheme="majorHAnsi"/>
          <w:noProof/>
          <w:color w:val="2E74B5" w:themeColor="accent1" w:themeShade="BF"/>
          <w:u w:val="single"/>
        </w:rPr>
        <w:t>http://www.ccrm.md/activitatea-curtii-de-conturi-1-25</w:t>
      </w:r>
      <w:r w:rsidR="00EA7CD4" w:rsidRPr="00967339">
        <w:rPr>
          <w:rFonts w:asciiTheme="majorHAnsi" w:hAnsiTheme="majorHAnsi" w:cstheme="majorHAnsi"/>
          <w:noProof/>
        </w:rPr>
        <w:t xml:space="preserve">. Această descriere face parte din </w:t>
      </w:r>
      <w:r w:rsidR="0047535A" w:rsidRPr="00967339">
        <w:rPr>
          <w:rFonts w:asciiTheme="majorHAnsi" w:hAnsiTheme="majorHAnsi" w:cstheme="majorHAnsi"/>
          <w:noProof/>
        </w:rPr>
        <w:t>R</w:t>
      </w:r>
      <w:r w:rsidR="006C5C45">
        <w:rPr>
          <w:rFonts w:asciiTheme="majorHAnsi" w:hAnsiTheme="majorHAnsi" w:cstheme="majorHAnsi"/>
          <w:noProof/>
        </w:rPr>
        <w:t>aportul nostru de audit.</w:t>
      </w:r>
    </w:p>
    <w:p w14:paraId="724D2043" w14:textId="77777777" w:rsidR="00F7654E" w:rsidRDefault="00F7654E" w:rsidP="00023A8F">
      <w:pPr>
        <w:tabs>
          <w:tab w:val="left" w:pos="720"/>
        </w:tabs>
        <w:spacing w:line="276" w:lineRule="auto"/>
        <w:contextualSpacing/>
        <w:jc w:val="both"/>
        <w:rPr>
          <w:rFonts w:asciiTheme="majorHAnsi" w:hAnsiTheme="majorHAnsi" w:cstheme="majorHAnsi"/>
          <w:noProof/>
        </w:rPr>
      </w:pPr>
    </w:p>
    <w:p w14:paraId="13DB8C59" w14:textId="77777777" w:rsidR="00F7654E" w:rsidRPr="00967339" w:rsidRDefault="00F7654E" w:rsidP="00023A8F">
      <w:pPr>
        <w:tabs>
          <w:tab w:val="left" w:pos="720"/>
        </w:tabs>
        <w:spacing w:line="276" w:lineRule="auto"/>
        <w:contextualSpacing/>
        <w:jc w:val="both"/>
        <w:rPr>
          <w:rFonts w:asciiTheme="majorHAnsi" w:hAnsiTheme="majorHAnsi" w:cstheme="majorHAnsi"/>
          <w:noProof/>
        </w:rPr>
      </w:pPr>
    </w:p>
    <w:p w14:paraId="68A3FC49" w14:textId="77777777" w:rsidR="00D15758" w:rsidRPr="00967339" w:rsidRDefault="00784D1E" w:rsidP="00023A8F">
      <w:pPr>
        <w:tabs>
          <w:tab w:val="left" w:pos="720"/>
        </w:tabs>
        <w:spacing w:line="276" w:lineRule="auto"/>
        <w:contextualSpacing/>
        <w:jc w:val="both"/>
        <w:rPr>
          <w:rFonts w:asciiTheme="majorHAnsi" w:hAnsiTheme="majorHAnsi" w:cstheme="majorHAnsi"/>
          <w:b/>
          <w:bCs/>
          <w:i/>
          <w:iCs/>
          <w:noProof/>
        </w:rPr>
      </w:pPr>
      <w:r w:rsidRPr="00967339">
        <w:rPr>
          <w:rFonts w:asciiTheme="majorHAnsi" w:hAnsiTheme="majorHAnsi" w:cstheme="majorHAnsi"/>
          <w:b/>
          <w:bCs/>
          <w:i/>
          <w:iCs/>
          <w:noProof/>
        </w:rPr>
        <w:t>Responsabil de întocmirea Raportului de audit:</w:t>
      </w:r>
    </w:p>
    <w:p w14:paraId="76126112" w14:textId="77777777" w:rsidR="00D15758" w:rsidRPr="00967339" w:rsidRDefault="00D15758" w:rsidP="00023A8F">
      <w:pPr>
        <w:tabs>
          <w:tab w:val="left" w:pos="1080"/>
        </w:tabs>
        <w:spacing w:line="276" w:lineRule="auto"/>
        <w:contextualSpacing/>
        <w:jc w:val="both"/>
        <w:rPr>
          <w:rFonts w:asciiTheme="majorHAnsi" w:hAnsiTheme="majorHAnsi" w:cstheme="majorHAnsi"/>
          <w:bCs/>
          <w:iCs/>
          <w:noProof/>
        </w:rPr>
      </w:pPr>
      <w:r w:rsidRPr="00967339">
        <w:rPr>
          <w:rFonts w:asciiTheme="majorHAnsi" w:hAnsiTheme="majorHAnsi" w:cstheme="majorHAnsi"/>
          <w:bCs/>
          <w:iCs/>
          <w:noProof/>
        </w:rPr>
        <w:t xml:space="preserve">Șeful echipei de audit, </w:t>
      </w:r>
    </w:p>
    <w:p w14:paraId="3A22E69A" w14:textId="3CCAF3DC" w:rsidR="00D15758" w:rsidRPr="00967339" w:rsidRDefault="00074C3C"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Șef</w:t>
      </w:r>
      <w:r w:rsidR="004A1430">
        <w:rPr>
          <w:rFonts w:asciiTheme="majorHAnsi" w:hAnsiTheme="majorHAnsi" w:cstheme="majorHAnsi"/>
          <w:noProof/>
        </w:rPr>
        <w:t>ul</w:t>
      </w:r>
      <w:r w:rsidRPr="00967339">
        <w:rPr>
          <w:rFonts w:asciiTheme="majorHAnsi" w:hAnsiTheme="majorHAnsi" w:cstheme="majorHAnsi"/>
          <w:noProof/>
        </w:rPr>
        <w:t xml:space="preserve"> </w:t>
      </w:r>
      <w:r w:rsidR="004A1430">
        <w:rPr>
          <w:rFonts w:asciiTheme="majorHAnsi" w:hAnsiTheme="majorHAnsi" w:cstheme="majorHAnsi"/>
          <w:noProof/>
        </w:rPr>
        <w:t>D</w:t>
      </w:r>
      <w:r w:rsidRPr="00967339">
        <w:rPr>
          <w:rFonts w:asciiTheme="majorHAnsi" w:hAnsiTheme="majorHAnsi" w:cstheme="majorHAnsi"/>
          <w:noProof/>
        </w:rPr>
        <w:t>irecției de audit II</w:t>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FC552A" w:rsidRPr="00967339">
        <w:rPr>
          <w:rFonts w:asciiTheme="majorHAnsi" w:hAnsiTheme="majorHAnsi" w:cstheme="majorHAnsi"/>
          <w:noProof/>
        </w:rPr>
        <w:t xml:space="preserve">               </w:t>
      </w:r>
      <w:r w:rsidR="00D15758" w:rsidRPr="00967339">
        <w:rPr>
          <w:rFonts w:asciiTheme="majorHAnsi" w:hAnsiTheme="majorHAnsi" w:cstheme="majorHAnsi"/>
          <w:noProof/>
        </w:rPr>
        <w:t xml:space="preserve"> </w:t>
      </w:r>
      <w:r w:rsidRPr="00967339">
        <w:rPr>
          <w:rFonts w:asciiTheme="majorHAnsi" w:hAnsiTheme="majorHAnsi" w:cstheme="majorHAnsi"/>
          <w:noProof/>
        </w:rPr>
        <w:t>Ion Vintilă</w:t>
      </w:r>
    </w:p>
    <w:p w14:paraId="67F56D8C" w14:textId="77777777" w:rsidR="00784D1E" w:rsidRPr="00967339" w:rsidRDefault="00784D1E" w:rsidP="00023A8F">
      <w:pPr>
        <w:tabs>
          <w:tab w:val="left" w:pos="1080"/>
        </w:tabs>
        <w:spacing w:line="276" w:lineRule="auto"/>
        <w:contextualSpacing/>
        <w:jc w:val="both"/>
        <w:rPr>
          <w:rFonts w:asciiTheme="majorHAnsi" w:hAnsiTheme="majorHAnsi" w:cstheme="majorHAnsi"/>
          <w:noProof/>
        </w:rPr>
      </w:pPr>
    </w:p>
    <w:p w14:paraId="4D787843" w14:textId="77777777" w:rsidR="00FC552A" w:rsidRPr="00967339" w:rsidRDefault="00784D1E" w:rsidP="00023A8F">
      <w:pPr>
        <w:tabs>
          <w:tab w:val="left" w:pos="1080"/>
        </w:tabs>
        <w:spacing w:line="276" w:lineRule="auto"/>
        <w:contextualSpacing/>
        <w:jc w:val="both"/>
        <w:rPr>
          <w:rFonts w:asciiTheme="majorHAnsi" w:hAnsiTheme="majorHAnsi" w:cstheme="majorHAnsi"/>
          <w:b/>
          <w:noProof/>
        </w:rPr>
      </w:pPr>
      <w:r w:rsidRPr="00967339">
        <w:rPr>
          <w:rFonts w:asciiTheme="majorHAnsi" w:hAnsiTheme="majorHAnsi" w:cstheme="majorHAnsi"/>
          <w:b/>
          <w:noProof/>
        </w:rPr>
        <w:t>Membrii echipei de audit:</w:t>
      </w:r>
    </w:p>
    <w:p w14:paraId="21AA8B77" w14:textId="77777777" w:rsidR="00F7654E" w:rsidRDefault="00F7654E" w:rsidP="00023A8F">
      <w:pPr>
        <w:spacing w:line="276" w:lineRule="auto"/>
        <w:rPr>
          <w:rFonts w:asciiTheme="majorHAnsi" w:hAnsiTheme="majorHAnsi" w:cstheme="majorHAnsi"/>
          <w:bCs/>
          <w:iCs/>
          <w:noProof/>
        </w:rPr>
      </w:pPr>
    </w:p>
    <w:p w14:paraId="26B52801" w14:textId="77777777" w:rsidR="00FC552A" w:rsidRPr="00967339" w:rsidRDefault="00FC552A"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auditor public principal</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Vitalie Cornovanu</w:t>
      </w:r>
    </w:p>
    <w:p w14:paraId="0ECC64B1" w14:textId="77777777" w:rsidR="00F7654E" w:rsidRDefault="00F7654E" w:rsidP="00023A8F">
      <w:pPr>
        <w:spacing w:line="276" w:lineRule="auto"/>
        <w:rPr>
          <w:rFonts w:asciiTheme="majorHAnsi" w:hAnsiTheme="majorHAnsi" w:cstheme="majorHAnsi"/>
          <w:bCs/>
          <w:iCs/>
          <w:noProof/>
        </w:rPr>
      </w:pPr>
    </w:p>
    <w:p w14:paraId="523F81DD" w14:textId="77777777" w:rsidR="00FC552A" w:rsidRPr="00967339" w:rsidRDefault="00FC552A"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princip</w:t>
      </w:r>
      <w:r w:rsidR="00DB4A7D">
        <w:rPr>
          <w:rFonts w:asciiTheme="majorHAnsi" w:hAnsiTheme="majorHAnsi" w:cstheme="majorHAnsi"/>
          <w:bCs/>
          <w:iCs/>
          <w:noProof/>
        </w:rPr>
        <w:t>ală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Anastasia Danilcova</w:t>
      </w:r>
    </w:p>
    <w:p w14:paraId="6965D187" w14:textId="77777777" w:rsidR="00F7654E" w:rsidRDefault="00F7654E" w:rsidP="00023A8F">
      <w:pPr>
        <w:spacing w:line="276" w:lineRule="auto"/>
        <w:rPr>
          <w:rFonts w:asciiTheme="majorHAnsi" w:hAnsiTheme="majorHAnsi" w:cstheme="majorHAnsi"/>
          <w:bCs/>
          <w:iCs/>
          <w:noProof/>
        </w:rPr>
      </w:pPr>
    </w:p>
    <w:p w14:paraId="02240482" w14:textId="77777777"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auditor public principal</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Gheorghe Lapteanu</w:t>
      </w:r>
    </w:p>
    <w:p w14:paraId="3ACDA83F" w14:textId="77777777" w:rsidR="00F7654E" w:rsidRDefault="00F7654E" w:rsidP="00023A8F">
      <w:pPr>
        <w:spacing w:line="276" w:lineRule="auto"/>
        <w:rPr>
          <w:rFonts w:asciiTheme="majorHAnsi" w:hAnsiTheme="majorHAnsi" w:cstheme="majorHAnsi"/>
          <w:bCs/>
          <w:iCs/>
          <w:noProof/>
        </w:rPr>
      </w:pPr>
    </w:p>
    <w:p w14:paraId="7EBC5B7E" w14:textId="77777777"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s</w:t>
      </w:r>
      <w:r w:rsidR="00DB4A7D">
        <w:rPr>
          <w:rFonts w:asciiTheme="majorHAnsi" w:hAnsiTheme="majorHAnsi" w:cstheme="majorHAnsi"/>
          <w:bCs/>
          <w:iCs/>
          <w:noProof/>
        </w:rPr>
        <w:t>uperioară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Diana Radilov</w:t>
      </w:r>
    </w:p>
    <w:p w14:paraId="1B0EE31E" w14:textId="77777777" w:rsidR="00F7654E" w:rsidRDefault="00F7654E" w:rsidP="00023A8F">
      <w:pPr>
        <w:spacing w:line="276" w:lineRule="auto"/>
        <w:rPr>
          <w:rFonts w:asciiTheme="majorHAnsi" w:hAnsiTheme="majorHAnsi" w:cstheme="majorHAnsi"/>
          <w:bCs/>
          <w:iCs/>
          <w:noProof/>
        </w:rPr>
      </w:pPr>
    </w:p>
    <w:p w14:paraId="252BB092" w14:textId="77777777"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w:t>
      </w:r>
      <w:r w:rsidR="00DB4A7D">
        <w:rPr>
          <w:rFonts w:asciiTheme="majorHAnsi" w:hAnsiTheme="majorHAnsi" w:cstheme="majorHAnsi"/>
          <w:bCs/>
          <w:iCs/>
          <w:noProof/>
        </w:rPr>
        <w:t xml:space="preserve"> publică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Aliona Manole</w:t>
      </w:r>
    </w:p>
    <w:p w14:paraId="18218D22" w14:textId="77777777" w:rsidR="00F7654E" w:rsidRDefault="00F7654E" w:rsidP="00023A8F">
      <w:pPr>
        <w:spacing w:line="276" w:lineRule="auto"/>
        <w:rPr>
          <w:rFonts w:asciiTheme="majorHAnsi" w:hAnsiTheme="majorHAnsi" w:cstheme="majorHAnsi"/>
          <w:bCs/>
          <w:iCs/>
          <w:noProof/>
        </w:rPr>
      </w:pPr>
    </w:p>
    <w:p w14:paraId="5A301EC0" w14:textId="77777777"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Ludmila Turea-Potîngă</w:t>
      </w:r>
      <w:r w:rsidRPr="00967339">
        <w:rPr>
          <w:rFonts w:asciiTheme="majorHAnsi" w:hAnsiTheme="majorHAnsi" w:cstheme="majorHAnsi"/>
          <w:bCs/>
          <w:iCs/>
          <w:noProof/>
        </w:rPr>
        <w:tab/>
      </w:r>
    </w:p>
    <w:p w14:paraId="03189DF2" w14:textId="77777777" w:rsidR="002A0D93" w:rsidRPr="00967339" w:rsidRDefault="002A0D93" w:rsidP="00023A8F">
      <w:pPr>
        <w:spacing w:line="276" w:lineRule="auto"/>
        <w:rPr>
          <w:rFonts w:asciiTheme="majorHAnsi" w:hAnsiTheme="majorHAnsi" w:cstheme="majorHAnsi"/>
          <w:b/>
          <w:bCs/>
          <w:i/>
          <w:iCs/>
          <w:noProof/>
        </w:rPr>
      </w:pPr>
    </w:p>
    <w:p w14:paraId="626FF97F" w14:textId="77777777" w:rsidR="00A62D0D" w:rsidRPr="00967339" w:rsidRDefault="00A62D0D" w:rsidP="00023A8F">
      <w:pPr>
        <w:spacing w:line="276" w:lineRule="auto"/>
        <w:rPr>
          <w:rFonts w:asciiTheme="majorHAnsi" w:hAnsiTheme="majorHAnsi" w:cstheme="majorHAnsi"/>
          <w:b/>
          <w:bCs/>
          <w:i/>
          <w:iCs/>
          <w:noProof/>
        </w:rPr>
      </w:pPr>
    </w:p>
    <w:p w14:paraId="7CC359E6" w14:textId="1A93FE25" w:rsidR="00D15758" w:rsidRPr="00967339" w:rsidRDefault="00D15758" w:rsidP="00023A8F">
      <w:pPr>
        <w:spacing w:line="276" w:lineRule="auto"/>
        <w:rPr>
          <w:rFonts w:asciiTheme="majorHAnsi" w:hAnsiTheme="majorHAnsi" w:cstheme="majorHAnsi"/>
          <w:b/>
          <w:bCs/>
          <w:i/>
          <w:iCs/>
          <w:noProof/>
        </w:rPr>
      </w:pPr>
      <w:r w:rsidRPr="00967339">
        <w:rPr>
          <w:rFonts w:asciiTheme="majorHAnsi" w:hAnsiTheme="majorHAnsi" w:cstheme="majorHAnsi"/>
          <w:b/>
          <w:bCs/>
          <w:i/>
          <w:iCs/>
          <w:noProof/>
        </w:rPr>
        <w:t>Responsabil</w:t>
      </w:r>
      <w:r w:rsidR="004A1430">
        <w:rPr>
          <w:rFonts w:asciiTheme="majorHAnsi" w:hAnsiTheme="majorHAnsi" w:cstheme="majorHAnsi"/>
          <w:b/>
          <w:bCs/>
          <w:i/>
          <w:iCs/>
          <w:noProof/>
        </w:rPr>
        <w:t>ă</w:t>
      </w:r>
      <w:r w:rsidRPr="00967339">
        <w:rPr>
          <w:rFonts w:asciiTheme="majorHAnsi" w:hAnsiTheme="majorHAnsi" w:cstheme="majorHAnsi"/>
          <w:b/>
          <w:bCs/>
          <w:i/>
          <w:iCs/>
          <w:noProof/>
        </w:rPr>
        <w:t xml:space="preserve"> de </w:t>
      </w:r>
      <w:r w:rsidR="00784D1E" w:rsidRPr="00967339">
        <w:rPr>
          <w:rFonts w:asciiTheme="majorHAnsi" w:hAnsiTheme="majorHAnsi" w:cstheme="majorHAnsi"/>
          <w:b/>
          <w:bCs/>
          <w:i/>
          <w:iCs/>
          <w:noProof/>
        </w:rPr>
        <w:t>audit</w:t>
      </w:r>
      <w:r w:rsidRPr="00967339">
        <w:rPr>
          <w:rFonts w:asciiTheme="majorHAnsi" w:hAnsiTheme="majorHAnsi" w:cstheme="majorHAnsi"/>
          <w:b/>
          <w:bCs/>
          <w:i/>
          <w:iCs/>
          <w:noProof/>
        </w:rPr>
        <w:t xml:space="preserve">: </w:t>
      </w:r>
    </w:p>
    <w:p w14:paraId="6D5CB873" w14:textId="6468B7DA" w:rsidR="00D15758" w:rsidRPr="00967339" w:rsidRDefault="00D15758"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Șef</w:t>
      </w:r>
      <w:r w:rsidR="004A1430">
        <w:rPr>
          <w:rFonts w:asciiTheme="majorHAnsi" w:hAnsiTheme="majorHAnsi" w:cstheme="majorHAnsi"/>
          <w:noProof/>
        </w:rPr>
        <w:t>a</w:t>
      </w:r>
      <w:r w:rsidRPr="00967339">
        <w:rPr>
          <w:rFonts w:asciiTheme="majorHAnsi" w:hAnsiTheme="majorHAnsi" w:cstheme="majorHAnsi"/>
          <w:noProof/>
        </w:rPr>
        <w:t xml:space="preserve"> Direcției generale </w:t>
      </w:r>
      <w:r w:rsidR="0047535A" w:rsidRPr="00967339">
        <w:rPr>
          <w:rFonts w:asciiTheme="majorHAnsi" w:hAnsiTheme="majorHAnsi" w:cstheme="majorHAnsi"/>
          <w:noProof/>
        </w:rPr>
        <w:t xml:space="preserve">de audit </w:t>
      </w:r>
      <w:r w:rsidRPr="00967339">
        <w:rPr>
          <w:rFonts w:asciiTheme="majorHAnsi" w:hAnsiTheme="majorHAnsi" w:cstheme="majorHAnsi"/>
          <w:noProof/>
        </w:rPr>
        <w:t>II</w:t>
      </w:r>
      <w:r w:rsidR="0094197C" w:rsidRPr="00967339">
        <w:rPr>
          <w:rFonts w:asciiTheme="majorHAnsi" w:hAnsiTheme="majorHAnsi" w:cstheme="majorHAnsi"/>
          <w:noProof/>
        </w:rPr>
        <w:t xml:space="preserve">                                               </w:t>
      </w:r>
      <w:r w:rsidR="002C0F64" w:rsidRPr="00967339">
        <w:rPr>
          <w:rFonts w:asciiTheme="majorHAnsi" w:hAnsiTheme="majorHAnsi" w:cstheme="majorHAnsi"/>
          <w:noProof/>
        </w:rPr>
        <w:t xml:space="preserve"> </w:t>
      </w:r>
      <w:r w:rsidR="0047535A" w:rsidRPr="00967339">
        <w:rPr>
          <w:rFonts w:asciiTheme="majorHAnsi" w:hAnsiTheme="majorHAnsi" w:cstheme="majorHAnsi"/>
          <w:noProof/>
        </w:rPr>
        <w:t xml:space="preserve">               </w:t>
      </w:r>
      <w:r w:rsidR="002C0F64" w:rsidRPr="00967339">
        <w:rPr>
          <w:rFonts w:asciiTheme="majorHAnsi" w:hAnsiTheme="majorHAnsi" w:cstheme="majorHAnsi"/>
          <w:noProof/>
        </w:rPr>
        <w:t>Sofia Ciuval</w:t>
      </w:r>
      <w:r w:rsidRPr="00967339">
        <w:rPr>
          <w:rFonts w:asciiTheme="majorHAnsi" w:hAnsiTheme="majorHAnsi" w:cstheme="majorHAnsi"/>
          <w:noProof/>
        </w:rPr>
        <w:t>schi</w:t>
      </w:r>
      <w:r w:rsidR="0094197C" w:rsidRPr="00967339">
        <w:rPr>
          <w:rFonts w:asciiTheme="majorHAnsi" w:hAnsiTheme="majorHAnsi" w:cstheme="majorHAnsi"/>
          <w:noProof/>
        </w:rPr>
        <w:t xml:space="preserve">   </w:t>
      </w:r>
    </w:p>
    <w:p w14:paraId="191D0333" w14:textId="77777777" w:rsidR="008635B2" w:rsidRDefault="008635B2" w:rsidP="00023A8F">
      <w:pPr>
        <w:tabs>
          <w:tab w:val="left" w:pos="1080"/>
        </w:tabs>
        <w:spacing w:line="276" w:lineRule="auto"/>
        <w:contextualSpacing/>
        <w:jc w:val="both"/>
        <w:rPr>
          <w:rFonts w:asciiTheme="majorHAnsi" w:hAnsiTheme="majorHAnsi" w:cstheme="majorHAnsi"/>
          <w:noProof/>
        </w:rPr>
      </w:pPr>
    </w:p>
    <w:p w14:paraId="091072E7" w14:textId="77777777" w:rsidR="00F7654E" w:rsidRDefault="00F7654E" w:rsidP="00023A8F">
      <w:pPr>
        <w:tabs>
          <w:tab w:val="left" w:pos="1080"/>
        </w:tabs>
        <w:spacing w:line="276" w:lineRule="auto"/>
        <w:contextualSpacing/>
        <w:jc w:val="both"/>
        <w:rPr>
          <w:rFonts w:asciiTheme="majorHAnsi" w:hAnsiTheme="majorHAnsi" w:cstheme="majorHAnsi"/>
          <w:noProof/>
        </w:rPr>
      </w:pPr>
    </w:p>
    <w:p w14:paraId="5714C44F" w14:textId="77777777" w:rsidR="00F7654E" w:rsidRDefault="00F7654E" w:rsidP="00023A8F">
      <w:pPr>
        <w:tabs>
          <w:tab w:val="left" w:pos="1080"/>
        </w:tabs>
        <w:spacing w:line="276" w:lineRule="auto"/>
        <w:contextualSpacing/>
        <w:jc w:val="both"/>
        <w:rPr>
          <w:rFonts w:asciiTheme="majorHAnsi" w:hAnsiTheme="majorHAnsi" w:cstheme="majorHAnsi"/>
          <w:noProof/>
        </w:rPr>
      </w:pPr>
    </w:p>
    <w:p w14:paraId="52BBF3F9" w14:textId="77777777" w:rsidR="00F7654E" w:rsidRDefault="00F7654E" w:rsidP="00023A8F">
      <w:pPr>
        <w:tabs>
          <w:tab w:val="left" w:pos="1080"/>
        </w:tabs>
        <w:spacing w:line="276" w:lineRule="auto"/>
        <w:contextualSpacing/>
        <w:jc w:val="both"/>
        <w:rPr>
          <w:rFonts w:asciiTheme="majorHAnsi" w:hAnsiTheme="majorHAnsi" w:cstheme="majorHAnsi"/>
          <w:noProof/>
        </w:rPr>
      </w:pPr>
    </w:p>
    <w:p w14:paraId="04CDED53" w14:textId="2667742C" w:rsidR="00F7654E" w:rsidRDefault="00F7654E" w:rsidP="00023A8F">
      <w:pPr>
        <w:tabs>
          <w:tab w:val="left" w:pos="1080"/>
        </w:tabs>
        <w:spacing w:line="276" w:lineRule="auto"/>
        <w:contextualSpacing/>
        <w:jc w:val="both"/>
        <w:rPr>
          <w:rFonts w:asciiTheme="majorHAnsi" w:hAnsiTheme="majorHAnsi" w:cstheme="majorHAnsi"/>
          <w:noProof/>
        </w:rPr>
      </w:pPr>
    </w:p>
    <w:p w14:paraId="6B16494A" w14:textId="77777777" w:rsidR="00F7654E" w:rsidRDefault="00F7654E" w:rsidP="00023A8F">
      <w:pPr>
        <w:tabs>
          <w:tab w:val="left" w:pos="1080"/>
        </w:tabs>
        <w:spacing w:line="276" w:lineRule="auto"/>
        <w:contextualSpacing/>
        <w:jc w:val="both"/>
        <w:rPr>
          <w:rFonts w:asciiTheme="majorHAnsi" w:hAnsiTheme="majorHAnsi" w:cstheme="majorHAnsi"/>
          <w:noProof/>
        </w:rPr>
      </w:pPr>
    </w:p>
    <w:p w14:paraId="02A7EBE3" w14:textId="77777777" w:rsidR="00F7654E" w:rsidRDefault="00F7654E" w:rsidP="00023A8F">
      <w:pPr>
        <w:tabs>
          <w:tab w:val="left" w:pos="1080"/>
        </w:tabs>
        <w:spacing w:line="276" w:lineRule="auto"/>
        <w:contextualSpacing/>
        <w:jc w:val="both"/>
        <w:rPr>
          <w:rFonts w:asciiTheme="majorHAnsi" w:hAnsiTheme="majorHAnsi" w:cstheme="majorHAnsi"/>
          <w:noProof/>
        </w:rPr>
      </w:pPr>
    </w:p>
    <w:p w14:paraId="46CBDFFC" w14:textId="77777777" w:rsidR="00F7654E" w:rsidRDefault="00F7654E" w:rsidP="00023A8F">
      <w:pPr>
        <w:tabs>
          <w:tab w:val="left" w:pos="1080"/>
        </w:tabs>
        <w:spacing w:line="276" w:lineRule="auto"/>
        <w:contextualSpacing/>
        <w:jc w:val="both"/>
        <w:rPr>
          <w:rFonts w:asciiTheme="majorHAnsi" w:hAnsiTheme="majorHAnsi" w:cstheme="majorHAnsi"/>
          <w:noProof/>
        </w:rPr>
      </w:pPr>
    </w:p>
    <w:sectPr w:rsidR="00F7654E" w:rsidSect="00080E44">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266B" w14:textId="77777777" w:rsidR="00DF4216" w:rsidRDefault="00DF4216" w:rsidP="00723DA7">
      <w:r>
        <w:separator/>
      </w:r>
    </w:p>
  </w:endnote>
  <w:endnote w:type="continuationSeparator" w:id="0">
    <w:p w14:paraId="0D2BD72A" w14:textId="77777777" w:rsidR="00DF4216" w:rsidRDefault="00DF4216" w:rsidP="00723DA7">
      <w:r>
        <w:continuationSeparator/>
      </w:r>
    </w:p>
  </w:endnote>
  <w:endnote w:type="continuationNotice" w:id="1">
    <w:p w14:paraId="6459AB65" w14:textId="77777777" w:rsidR="00DF4216" w:rsidRDefault="00DF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218579"/>
      <w:docPartObj>
        <w:docPartGallery w:val="Page Numbers (Bottom of Page)"/>
        <w:docPartUnique/>
      </w:docPartObj>
    </w:sdtPr>
    <w:sdtEndPr>
      <w:rPr>
        <w:noProof/>
      </w:rPr>
    </w:sdtEndPr>
    <w:sdtContent>
      <w:p w14:paraId="012E38A0" w14:textId="592B9228" w:rsidR="00080E44" w:rsidRDefault="00080E44">
        <w:pPr>
          <w:pStyle w:val="a9"/>
          <w:jc w:val="right"/>
        </w:pPr>
        <w:r>
          <w:fldChar w:fldCharType="begin"/>
        </w:r>
        <w:r>
          <w:instrText xml:space="preserve"> PAGE   \* MERGEFORMAT </w:instrText>
        </w:r>
        <w:r>
          <w:fldChar w:fldCharType="separate"/>
        </w:r>
        <w:r w:rsidR="00655418">
          <w:rPr>
            <w:noProof/>
          </w:rPr>
          <w:t>1</w:t>
        </w:r>
        <w:r>
          <w:rPr>
            <w:noProof/>
          </w:rPr>
          <w:fldChar w:fldCharType="end"/>
        </w:r>
      </w:p>
    </w:sdtContent>
  </w:sdt>
  <w:p w14:paraId="4119E953" w14:textId="77777777" w:rsidR="007D68C6" w:rsidRDefault="007D68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2D6B" w14:textId="77777777" w:rsidR="00DF4216" w:rsidRDefault="00DF4216" w:rsidP="00723DA7">
      <w:r>
        <w:separator/>
      </w:r>
    </w:p>
  </w:footnote>
  <w:footnote w:type="continuationSeparator" w:id="0">
    <w:p w14:paraId="3BC6A4AE" w14:textId="77777777" w:rsidR="00DF4216" w:rsidRDefault="00DF4216" w:rsidP="00723DA7">
      <w:r>
        <w:continuationSeparator/>
      </w:r>
    </w:p>
  </w:footnote>
  <w:footnote w:type="continuationNotice" w:id="1">
    <w:p w14:paraId="314922F3" w14:textId="77777777" w:rsidR="00DF4216" w:rsidRDefault="00DF4216"/>
  </w:footnote>
  <w:footnote w:id="2">
    <w:p w14:paraId="050A6354" w14:textId="26BDCC73" w:rsidR="007D68C6" w:rsidRPr="00667DAA" w:rsidRDefault="007D68C6" w:rsidP="00667DAA">
      <w:pPr>
        <w:pStyle w:val="ab"/>
        <w:jc w:val="both"/>
        <w:rPr>
          <w:rFonts w:asciiTheme="majorHAnsi" w:hAnsiTheme="majorHAnsi" w:cstheme="majorHAnsi"/>
          <w:sz w:val="16"/>
          <w:szCs w:val="16"/>
          <w:lang w:val="ro-MD"/>
        </w:rPr>
      </w:pPr>
      <w:r w:rsidRPr="00667DAA">
        <w:rPr>
          <w:rStyle w:val="ad"/>
          <w:rFonts w:asciiTheme="majorHAnsi" w:hAnsiTheme="majorHAnsi" w:cstheme="majorHAnsi"/>
          <w:sz w:val="16"/>
          <w:szCs w:val="16"/>
          <w:lang w:val="ro-MD"/>
        </w:rPr>
        <w:footnoteRef/>
      </w:r>
      <w:r w:rsidRPr="00667DAA">
        <w:rPr>
          <w:rFonts w:asciiTheme="majorHAnsi" w:hAnsiTheme="majorHAnsi" w:cstheme="majorHAnsi"/>
          <w:sz w:val="16"/>
          <w:szCs w:val="16"/>
          <w:lang w:val="ro-MD"/>
        </w:rPr>
        <w:t xml:space="preserve"> Politica de contabilitate, Legea contabilității nr.113-XVI din 27.04.2007; Ordinul ministrului Finanțelor nr.216 din 28.12.2015 „Cu privire la aprobarea Planului de conturi contabile în sistemul bugetar şi a Normelor metodologice privind evidența contabilă şi raportarea financiară în sistemul bugetar”.</w:t>
      </w:r>
    </w:p>
  </w:footnote>
  <w:footnote w:id="3">
    <w:p w14:paraId="1DB9B9C5" w14:textId="50EA31F4" w:rsidR="007D68C6" w:rsidRPr="00667DAA" w:rsidRDefault="007D68C6" w:rsidP="00667DAA">
      <w:pPr>
        <w:pStyle w:val="ab"/>
        <w:jc w:val="both"/>
        <w:rPr>
          <w:rFonts w:asciiTheme="majorHAnsi" w:hAnsiTheme="majorHAnsi" w:cstheme="majorHAnsi"/>
          <w:sz w:val="16"/>
          <w:szCs w:val="16"/>
          <w:lang w:val="ro-MD"/>
        </w:rPr>
      </w:pPr>
      <w:r w:rsidRPr="00667DAA">
        <w:rPr>
          <w:rStyle w:val="ad"/>
          <w:rFonts w:asciiTheme="majorHAnsi" w:hAnsiTheme="majorHAnsi" w:cstheme="majorHAnsi"/>
          <w:sz w:val="16"/>
          <w:szCs w:val="16"/>
          <w:lang w:val="ro-MD"/>
        </w:rPr>
        <w:footnoteRef/>
      </w:r>
      <w:r>
        <w:rPr>
          <w:rFonts w:asciiTheme="majorHAnsi" w:hAnsiTheme="majorHAnsi" w:cstheme="majorHAnsi"/>
          <w:noProof/>
          <w:sz w:val="16"/>
          <w:szCs w:val="16"/>
          <w:lang w:val="ro-MD"/>
        </w:rPr>
        <w:t xml:space="preserve"> </w:t>
      </w:r>
      <w:r w:rsidRPr="00667DAA">
        <w:rPr>
          <w:rFonts w:asciiTheme="majorHAnsi" w:hAnsiTheme="majorHAnsi" w:cstheme="majorHAnsi"/>
          <w:noProof/>
          <w:sz w:val="16"/>
          <w:szCs w:val="16"/>
          <w:lang w:val="ro-MD"/>
        </w:rPr>
        <w:t>Hotărârea Guvernului nr.117 din 12.08.2021 „</w:t>
      </w:r>
      <w:r>
        <w:rPr>
          <w:rFonts w:asciiTheme="majorHAnsi" w:hAnsiTheme="majorHAnsi" w:cstheme="majorHAnsi"/>
          <w:noProof/>
          <w:sz w:val="16"/>
          <w:szCs w:val="16"/>
          <w:lang w:val="ro-MD"/>
        </w:rPr>
        <w:t>C</w:t>
      </w:r>
      <w:r w:rsidRPr="00667DAA">
        <w:rPr>
          <w:rFonts w:asciiTheme="majorHAnsi" w:hAnsiTheme="majorHAnsi" w:cstheme="majorHAnsi"/>
          <w:noProof/>
          <w:sz w:val="16"/>
          <w:szCs w:val="16"/>
          <w:lang w:val="ro-MD"/>
        </w:rPr>
        <w:t>u privire la restructurarea administrației publice centrale de specialitate”</w:t>
      </w:r>
      <w:r>
        <w:rPr>
          <w:rFonts w:asciiTheme="majorHAnsi" w:hAnsiTheme="majorHAnsi" w:cstheme="majorHAnsi"/>
          <w:noProof/>
          <w:sz w:val="16"/>
          <w:szCs w:val="16"/>
          <w:lang w:val="ro-MD"/>
        </w:rPr>
        <w:t>.</w:t>
      </w:r>
    </w:p>
  </w:footnote>
  <w:footnote w:id="4">
    <w:p w14:paraId="741BEC9F" w14:textId="2F4986F9" w:rsidR="007D68C6" w:rsidRPr="00667DAA" w:rsidRDefault="007D68C6" w:rsidP="00C855EB">
      <w:pPr>
        <w:pStyle w:val="ab"/>
        <w:jc w:val="both"/>
        <w:rPr>
          <w:rFonts w:asciiTheme="majorHAnsi" w:hAnsiTheme="majorHAnsi" w:cstheme="majorHAnsi"/>
          <w:sz w:val="16"/>
          <w:szCs w:val="16"/>
          <w:lang w:val="ro-MD"/>
        </w:rPr>
      </w:pPr>
      <w:r w:rsidRPr="00667DAA">
        <w:rPr>
          <w:rStyle w:val="ad"/>
          <w:rFonts w:asciiTheme="majorHAnsi" w:hAnsiTheme="majorHAnsi" w:cstheme="majorHAnsi"/>
          <w:sz w:val="16"/>
          <w:szCs w:val="16"/>
        </w:rPr>
        <w:footnoteRef/>
      </w:r>
      <w:r w:rsidRPr="00667DAA">
        <w:rPr>
          <w:rFonts w:asciiTheme="majorHAnsi" w:hAnsiTheme="majorHAnsi" w:cstheme="majorHAnsi"/>
          <w:sz w:val="16"/>
          <w:szCs w:val="16"/>
        </w:rPr>
        <w:t xml:space="preserve"> ANSP CSP Chi</w:t>
      </w:r>
      <w:r>
        <w:rPr>
          <w:rFonts w:asciiTheme="majorHAnsi" w:hAnsiTheme="majorHAnsi" w:cstheme="majorHAnsi"/>
          <w:sz w:val="16"/>
          <w:szCs w:val="16"/>
          <w:lang w:val="ro-MD"/>
        </w:rPr>
        <w:t>ș</w:t>
      </w:r>
      <w:r w:rsidRPr="00667DAA">
        <w:rPr>
          <w:rFonts w:asciiTheme="majorHAnsi" w:hAnsiTheme="majorHAnsi" w:cstheme="majorHAnsi"/>
          <w:sz w:val="16"/>
          <w:szCs w:val="16"/>
        </w:rPr>
        <w:t>inău (4 terenuri cu suprafa</w:t>
      </w:r>
      <w:r>
        <w:rPr>
          <w:rFonts w:asciiTheme="majorHAnsi" w:hAnsiTheme="majorHAnsi" w:cstheme="majorHAnsi"/>
          <w:sz w:val="16"/>
          <w:szCs w:val="16"/>
          <w:lang w:val="ro-MD"/>
        </w:rPr>
        <w:t>ț</w:t>
      </w:r>
      <w:r w:rsidRPr="00667DAA">
        <w:rPr>
          <w:rFonts w:asciiTheme="majorHAnsi" w:hAnsiTheme="majorHAnsi" w:cstheme="majorHAnsi"/>
          <w:sz w:val="16"/>
          <w:szCs w:val="16"/>
        </w:rPr>
        <w:t xml:space="preserve">ta de 1,0873 ha, </w:t>
      </w:r>
      <w:r>
        <w:rPr>
          <w:rFonts w:asciiTheme="majorHAnsi" w:hAnsiTheme="majorHAnsi" w:cstheme="majorHAnsi"/>
          <w:sz w:val="16"/>
          <w:szCs w:val="16"/>
          <w:lang w:val="ro-MD"/>
        </w:rPr>
        <w:t>î</w:t>
      </w:r>
      <w:r w:rsidRPr="00667DAA">
        <w:rPr>
          <w:rFonts w:asciiTheme="majorHAnsi" w:hAnsiTheme="majorHAnsi" w:cstheme="majorHAnsi"/>
          <w:sz w:val="16"/>
          <w:szCs w:val="16"/>
        </w:rPr>
        <w:t>n valoare de 22.289,4 mii lei); ANSP CSP Cahul (2 terenuri cu suprafa</w:t>
      </w:r>
      <w:r>
        <w:rPr>
          <w:rFonts w:asciiTheme="majorHAnsi" w:hAnsiTheme="majorHAnsi" w:cstheme="majorHAnsi"/>
          <w:sz w:val="16"/>
          <w:szCs w:val="16"/>
          <w:lang w:val="ro-MD"/>
        </w:rPr>
        <w:t>ț</w:t>
      </w:r>
      <w:r w:rsidRPr="00667DAA">
        <w:rPr>
          <w:rFonts w:asciiTheme="majorHAnsi" w:hAnsiTheme="majorHAnsi" w:cstheme="majorHAnsi"/>
          <w:sz w:val="16"/>
          <w:szCs w:val="16"/>
        </w:rPr>
        <w:t xml:space="preserve">a de 0,3612 ha, </w:t>
      </w:r>
      <w:r>
        <w:rPr>
          <w:rFonts w:asciiTheme="majorHAnsi" w:hAnsiTheme="majorHAnsi" w:cstheme="majorHAnsi"/>
          <w:sz w:val="16"/>
          <w:szCs w:val="16"/>
          <w:lang w:val="ro-MD"/>
        </w:rPr>
        <w:t>î</w:t>
      </w:r>
      <w:r w:rsidRPr="00667DAA">
        <w:rPr>
          <w:rFonts w:asciiTheme="majorHAnsi" w:hAnsiTheme="majorHAnsi" w:cstheme="majorHAnsi"/>
          <w:sz w:val="16"/>
          <w:szCs w:val="16"/>
        </w:rPr>
        <w:t>n valoare de 328,7 mii lei); CEMCPMFSM  Chișinău (2 terenuri cu suprafa</w:t>
      </w:r>
      <w:r>
        <w:rPr>
          <w:rFonts w:asciiTheme="majorHAnsi" w:hAnsiTheme="majorHAnsi" w:cstheme="majorHAnsi"/>
          <w:sz w:val="16"/>
          <w:szCs w:val="16"/>
          <w:lang w:val="ro-MD"/>
        </w:rPr>
        <w:t>ț</w:t>
      </w:r>
      <w:r w:rsidRPr="00667DAA">
        <w:rPr>
          <w:rFonts w:asciiTheme="majorHAnsi" w:hAnsiTheme="majorHAnsi" w:cstheme="majorHAnsi"/>
          <w:sz w:val="16"/>
          <w:szCs w:val="16"/>
        </w:rPr>
        <w:t xml:space="preserve">a de 0,1699 ha, </w:t>
      </w:r>
      <w:r>
        <w:rPr>
          <w:rFonts w:asciiTheme="majorHAnsi" w:hAnsiTheme="majorHAnsi" w:cstheme="majorHAnsi"/>
          <w:sz w:val="16"/>
          <w:szCs w:val="16"/>
          <w:lang w:val="ro-MD"/>
        </w:rPr>
        <w:t>î</w:t>
      </w:r>
      <w:r w:rsidRPr="00667DAA">
        <w:rPr>
          <w:rFonts w:asciiTheme="majorHAnsi" w:hAnsiTheme="majorHAnsi" w:cstheme="majorHAnsi"/>
          <w:sz w:val="16"/>
          <w:szCs w:val="16"/>
        </w:rPr>
        <w:t>n valoare de 330,1 mii lei)</w:t>
      </w:r>
      <w:r>
        <w:rPr>
          <w:rFonts w:asciiTheme="majorHAnsi" w:hAnsiTheme="majorHAnsi" w:cstheme="majorHAnsi"/>
          <w:sz w:val="16"/>
          <w:szCs w:val="16"/>
          <w:lang w:val="ro-MD"/>
        </w:rPr>
        <w:t>.</w:t>
      </w:r>
    </w:p>
  </w:footnote>
  <w:footnote w:id="5">
    <w:p w14:paraId="10C45702" w14:textId="1051CB07" w:rsidR="007D68C6" w:rsidRPr="00C855EB" w:rsidRDefault="007D68C6" w:rsidP="00667DAA">
      <w:pPr>
        <w:pStyle w:val="ab"/>
        <w:jc w:val="both"/>
        <w:rPr>
          <w:rFonts w:asciiTheme="majorHAnsi" w:hAnsiTheme="majorHAnsi"/>
          <w:sz w:val="16"/>
          <w:szCs w:val="16"/>
          <w:lang w:val="ro-MD"/>
        </w:rPr>
      </w:pPr>
      <w:r w:rsidRPr="00C855EB">
        <w:rPr>
          <w:rStyle w:val="ad"/>
          <w:rFonts w:asciiTheme="majorHAnsi" w:hAnsiTheme="majorHAnsi" w:cs="Calibri Light"/>
          <w:sz w:val="16"/>
          <w:szCs w:val="16"/>
          <w:lang w:val="ro-MD"/>
        </w:rPr>
        <w:footnoteRef/>
      </w:r>
      <w:r w:rsidRPr="00C855EB">
        <w:rPr>
          <w:rFonts w:asciiTheme="majorHAnsi" w:hAnsiTheme="majorHAnsi" w:cs="Calibri Light"/>
          <w:sz w:val="16"/>
          <w:szCs w:val="16"/>
          <w:lang w:val="ro-MD"/>
        </w:rPr>
        <w:t xml:space="preserve"> IMSP Spitalul de </w:t>
      </w:r>
      <w:r>
        <w:rPr>
          <w:rFonts w:asciiTheme="majorHAnsi" w:hAnsiTheme="majorHAnsi" w:cs="Calibri Light"/>
          <w:sz w:val="16"/>
          <w:szCs w:val="16"/>
          <w:lang w:val="ro-MD"/>
        </w:rPr>
        <w:t>P</w:t>
      </w:r>
      <w:r w:rsidRPr="00C855EB">
        <w:rPr>
          <w:rFonts w:asciiTheme="majorHAnsi" w:hAnsiTheme="majorHAnsi" w:cs="Calibri Light"/>
          <w:sz w:val="16"/>
          <w:szCs w:val="16"/>
          <w:lang w:val="ro-MD"/>
        </w:rPr>
        <w:t>sihiatrie B</w:t>
      </w:r>
      <w:r>
        <w:rPr>
          <w:rFonts w:asciiTheme="majorHAnsi" w:hAnsiTheme="majorHAnsi" w:cs="Calibri Light"/>
          <w:sz w:val="16"/>
          <w:szCs w:val="16"/>
          <w:lang w:val="ro-MD"/>
        </w:rPr>
        <w:t>ă</w:t>
      </w:r>
      <w:r w:rsidRPr="00C855EB">
        <w:rPr>
          <w:rFonts w:asciiTheme="majorHAnsi" w:hAnsiTheme="majorHAnsi" w:cs="Calibri Light"/>
          <w:sz w:val="16"/>
          <w:szCs w:val="16"/>
          <w:lang w:val="ro-MD"/>
        </w:rPr>
        <w:t>l</w:t>
      </w:r>
      <w:r>
        <w:rPr>
          <w:rFonts w:asciiTheme="majorHAnsi" w:hAnsiTheme="majorHAnsi" w:cs="Calibri Light"/>
          <w:sz w:val="16"/>
          <w:szCs w:val="16"/>
          <w:lang w:val="ro-MD"/>
        </w:rPr>
        <w:t>ț</w:t>
      </w:r>
      <w:r w:rsidRPr="00C855EB">
        <w:rPr>
          <w:rFonts w:asciiTheme="majorHAnsi" w:hAnsiTheme="majorHAnsi" w:cs="Calibri Light"/>
          <w:sz w:val="16"/>
          <w:szCs w:val="16"/>
          <w:lang w:val="ro-MD"/>
        </w:rPr>
        <w:t>i</w:t>
      </w:r>
      <w:r>
        <w:rPr>
          <w:rFonts w:asciiTheme="majorHAnsi" w:hAnsiTheme="majorHAnsi" w:cs="Calibri Light"/>
          <w:sz w:val="16"/>
          <w:szCs w:val="16"/>
          <w:lang w:val="ro-MD"/>
        </w:rPr>
        <w:t xml:space="preserve"> </w:t>
      </w:r>
      <w:r w:rsidRPr="00C855EB">
        <w:rPr>
          <w:rFonts w:asciiTheme="majorHAnsi" w:hAnsiTheme="majorHAnsi" w:cs="Calibri Light"/>
          <w:sz w:val="16"/>
          <w:szCs w:val="16"/>
          <w:lang w:val="ro-MD"/>
        </w:rPr>
        <w:t xml:space="preserve">- 1.900,2 mii lei; IMSP Spitalul de Psihiatrie </w:t>
      </w:r>
      <w:r>
        <w:rPr>
          <w:rFonts w:asciiTheme="majorHAnsi" w:hAnsiTheme="majorHAnsi" w:cs="Calibri Light"/>
          <w:sz w:val="16"/>
          <w:szCs w:val="16"/>
          <w:lang w:val="ro-MD"/>
        </w:rPr>
        <w:t xml:space="preserve">– </w:t>
      </w:r>
      <w:r w:rsidRPr="00C855EB">
        <w:rPr>
          <w:rFonts w:asciiTheme="majorHAnsi" w:hAnsiTheme="majorHAnsi" w:cs="Calibri Light"/>
          <w:sz w:val="16"/>
          <w:szCs w:val="16"/>
          <w:lang w:val="ro-MD"/>
        </w:rPr>
        <w:t xml:space="preserve">2.310,0 mii lei, IMSP </w:t>
      </w:r>
      <w:r>
        <w:rPr>
          <w:rFonts w:asciiTheme="majorHAnsi" w:hAnsiTheme="majorHAnsi" w:cs="Calibri Light"/>
          <w:sz w:val="16"/>
          <w:szCs w:val="16"/>
          <w:lang w:val="ro-MD"/>
        </w:rPr>
        <w:t>Spitalul de Ftiziopneumologie „</w:t>
      </w:r>
      <w:r w:rsidRPr="00C855EB">
        <w:rPr>
          <w:rFonts w:asciiTheme="majorHAnsi" w:hAnsiTheme="majorHAnsi" w:cs="Calibri Light"/>
          <w:sz w:val="16"/>
          <w:szCs w:val="16"/>
          <w:lang w:val="ro-MD"/>
        </w:rPr>
        <w:t>Chiril Draganiuc</w:t>
      </w:r>
      <w:r>
        <w:rPr>
          <w:rFonts w:asciiTheme="majorHAnsi" w:hAnsiTheme="majorHAnsi" w:cs="Calibri Light"/>
          <w:sz w:val="16"/>
          <w:szCs w:val="16"/>
          <w:lang w:val="ro-MD"/>
        </w:rPr>
        <w:t>”</w:t>
      </w:r>
      <w:r w:rsidRPr="00C855EB">
        <w:rPr>
          <w:rFonts w:asciiTheme="majorHAnsi" w:hAnsiTheme="majorHAnsi" w:cs="Calibri Light"/>
          <w:sz w:val="16"/>
          <w:szCs w:val="16"/>
          <w:lang w:val="ro-MD"/>
        </w:rPr>
        <w:t xml:space="preserve"> </w:t>
      </w:r>
      <w:r>
        <w:rPr>
          <w:rFonts w:asciiTheme="majorHAnsi" w:hAnsiTheme="majorHAnsi" w:cs="Calibri Light"/>
          <w:sz w:val="16"/>
          <w:szCs w:val="16"/>
          <w:lang w:val="ro-MD"/>
        </w:rPr>
        <w:t xml:space="preserve">– </w:t>
      </w:r>
      <w:r w:rsidRPr="00C855EB">
        <w:rPr>
          <w:rFonts w:asciiTheme="majorHAnsi" w:hAnsiTheme="majorHAnsi" w:cs="Calibri Light"/>
          <w:sz w:val="16"/>
          <w:szCs w:val="16"/>
          <w:lang w:val="ro-MD"/>
        </w:rPr>
        <w:t>8.456,5 mii.lei</w:t>
      </w:r>
      <w:r>
        <w:rPr>
          <w:rFonts w:asciiTheme="majorHAnsi" w:hAnsiTheme="majorHAnsi" w:cs="Calibri Light"/>
          <w:sz w:val="16"/>
          <w:szCs w:val="16"/>
          <w:lang w:val="ro-MD"/>
        </w:rPr>
        <w:t>.</w:t>
      </w:r>
    </w:p>
  </w:footnote>
  <w:footnote w:id="6">
    <w:p w14:paraId="1B685741" w14:textId="05B8C46F" w:rsidR="007D68C6" w:rsidRPr="00C855EB" w:rsidRDefault="007D68C6" w:rsidP="00C855EB">
      <w:pPr>
        <w:pStyle w:val="ab"/>
        <w:jc w:val="both"/>
        <w:rPr>
          <w:rFonts w:asciiTheme="majorHAnsi" w:hAnsiTheme="majorHAnsi"/>
          <w:sz w:val="16"/>
          <w:szCs w:val="16"/>
          <w:lang w:val="ro-MD"/>
        </w:rPr>
      </w:pPr>
      <w:r w:rsidRPr="00C855EB">
        <w:rPr>
          <w:rStyle w:val="ad"/>
          <w:rFonts w:asciiTheme="majorHAnsi" w:hAnsiTheme="majorHAnsi"/>
          <w:sz w:val="16"/>
          <w:szCs w:val="16"/>
        </w:rPr>
        <w:footnoteRef/>
      </w:r>
      <w:r w:rsidRPr="00C855EB">
        <w:rPr>
          <w:rFonts w:asciiTheme="majorHAnsi" w:hAnsiTheme="majorHAnsi"/>
          <w:sz w:val="16"/>
          <w:szCs w:val="16"/>
        </w:rPr>
        <w:t xml:space="preserve"> </w:t>
      </w:r>
      <w:r w:rsidRPr="003212E0">
        <w:rPr>
          <w:rFonts w:asciiTheme="majorHAnsi" w:hAnsiTheme="majorHAnsi" w:cstheme="majorHAnsi"/>
          <w:bCs/>
          <w:iCs/>
          <w:color w:val="000000"/>
          <w:sz w:val="16"/>
          <w:szCs w:val="16"/>
          <w:shd w:val="clear" w:color="auto" w:fill="FFFFFF"/>
        </w:rPr>
        <w:t>Chi</w:t>
      </w:r>
      <w:r>
        <w:rPr>
          <w:rFonts w:asciiTheme="majorHAnsi" w:hAnsiTheme="majorHAnsi" w:cstheme="majorHAnsi"/>
          <w:bCs/>
          <w:iCs/>
          <w:color w:val="000000"/>
          <w:sz w:val="16"/>
          <w:szCs w:val="16"/>
          <w:shd w:val="clear" w:color="auto" w:fill="FFFFFF"/>
          <w:lang w:val="ro-MD"/>
        </w:rPr>
        <w:t>ș</w:t>
      </w:r>
      <w:r w:rsidRPr="003212E0">
        <w:rPr>
          <w:rFonts w:asciiTheme="majorHAnsi" w:hAnsiTheme="majorHAnsi" w:cstheme="majorHAnsi"/>
          <w:bCs/>
          <w:iCs/>
          <w:color w:val="000000"/>
          <w:sz w:val="16"/>
          <w:szCs w:val="16"/>
          <w:shd w:val="clear" w:color="auto" w:fill="FFFFFF"/>
        </w:rPr>
        <w:t>in</w:t>
      </w:r>
      <w:r>
        <w:rPr>
          <w:rFonts w:asciiTheme="majorHAnsi" w:hAnsiTheme="majorHAnsi" w:cstheme="majorHAnsi"/>
          <w:bCs/>
          <w:iCs/>
          <w:color w:val="000000"/>
          <w:sz w:val="16"/>
          <w:szCs w:val="16"/>
          <w:shd w:val="clear" w:color="auto" w:fill="FFFFFF"/>
          <w:lang w:val="ro-MD"/>
        </w:rPr>
        <w:t>ă</w:t>
      </w:r>
      <w:r w:rsidRPr="003212E0">
        <w:rPr>
          <w:rFonts w:asciiTheme="majorHAnsi" w:hAnsiTheme="majorHAnsi" w:cstheme="majorHAnsi"/>
          <w:bCs/>
          <w:iCs/>
          <w:color w:val="000000"/>
          <w:sz w:val="16"/>
          <w:szCs w:val="16"/>
          <w:shd w:val="clear" w:color="auto" w:fill="FFFFFF"/>
        </w:rPr>
        <w:t>u CSP (4 construc</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ii cu suprafa</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 xml:space="preserve">a de 1.809,3 m.p. </w:t>
      </w:r>
      <w:r>
        <w:rPr>
          <w:rFonts w:asciiTheme="majorHAnsi" w:hAnsiTheme="majorHAnsi" w:cstheme="majorHAnsi"/>
          <w:bCs/>
          <w:iCs/>
          <w:color w:val="000000"/>
          <w:sz w:val="16"/>
          <w:szCs w:val="16"/>
          <w:shd w:val="clear" w:color="auto" w:fill="FFFFFF"/>
          <w:lang w:val="ro-MD"/>
        </w:rPr>
        <w:t>î</w:t>
      </w:r>
      <w:r w:rsidRPr="003212E0">
        <w:rPr>
          <w:rFonts w:asciiTheme="majorHAnsi" w:hAnsiTheme="majorHAnsi" w:cstheme="majorHAnsi"/>
          <w:bCs/>
          <w:iCs/>
          <w:color w:val="000000"/>
          <w:sz w:val="16"/>
          <w:szCs w:val="16"/>
          <w:shd w:val="clear" w:color="auto" w:fill="FFFFFF"/>
        </w:rPr>
        <w:t>n sum</w:t>
      </w:r>
      <w:r>
        <w:rPr>
          <w:rFonts w:asciiTheme="majorHAnsi" w:hAnsiTheme="majorHAnsi" w:cstheme="majorHAnsi"/>
          <w:bCs/>
          <w:iCs/>
          <w:color w:val="000000"/>
          <w:sz w:val="16"/>
          <w:szCs w:val="16"/>
          <w:shd w:val="clear" w:color="auto" w:fill="FFFFFF"/>
          <w:lang w:val="ro-MD"/>
        </w:rPr>
        <w:t>ă</w:t>
      </w:r>
      <w:r w:rsidRPr="003212E0">
        <w:rPr>
          <w:rFonts w:asciiTheme="majorHAnsi" w:hAnsiTheme="majorHAnsi" w:cstheme="majorHAnsi"/>
          <w:bCs/>
          <w:iCs/>
          <w:color w:val="000000"/>
          <w:sz w:val="16"/>
          <w:szCs w:val="16"/>
          <w:shd w:val="clear" w:color="auto" w:fill="FFFFFF"/>
        </w:rPr>
        <w:t xml:space="preserve"> de 3.909, 7 mii lei); Criuleni CSP (6 construc</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ii cu suprafa</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 xml:space="preserve">a de 175,1 m.p. </w:t>
      </w:r>
      <w:r>
        <w:rPr>
          <w:rFonts w:asciiTheme="majorHAnsi" w:hAnsiTheme="majorHAnsi" w:cstheme="majorHAnsi"/>
          <w:bCs/>
          <w:iCs/>
          <w:color w:val="000000"/>
          <w:sz w:val="16"/>
          <w:szCs w:val="16"/>
          <w:shd w:val="clear" w:color="auto" w:fill="FFFFFF"/>
          <w:lang w:val="ro-MD"/>
        </w:rPr>
        <w:t>î</w:t>
      </w:r>
      <w:r w:rsidRPr="003212E0">
        <w:rPr>
          <w:rFonts w:asciiTheme="majorHAnsi" w:hAnsiTheme="majorHAnsi" w:cstheme="majorHAnsi"/>
          <w:bCs/>
          <w:iCs/>
          <w:color w:val="000000"/>
          <w:sz w:val="16"/>
          <w:szCs w:val="16"/>
          <w:shd w:val="clear" w:color="auto" w:fill="FFFFFF"/>
        </w:rPr>
        <w:t>n sum</w:t>
      </w:r>
      <w:r>
        <w:rPr>
          <w:rFonts w:asciiTheme="majorHAnsi" w:hAnsiTheme="majorHAnsi" w:cstheme="majorHAnsi"/>
          <w:bCs/>
          <w:iCs/>
          <w:color w:val="000000"/>
          <w:sz w:val="16"/>
          <w:szCs w:val="16"/>
          <w:shd w:val="clear" w:color="auto" w:fill="FFFFFF"/>
          <w:lang w:val="ro-MD"/>
        </w:rPr>
        <w:t>ă</w:t>
      </w:r>
      <w:r w:rsidRPr="003212E0">
        <w:rPr>
          <w:rFonts w:asciiTheme="majorHAnsi" w:hAnsiTheme="majorHAnsi" w:cstheme="majorHAnsi"/>
          <w:bCs/>
          <w:iCs/>
          <w:color w:val="000000"/>
          <w:sz w:val="16"/>
          <w:szCs w:val="16"/>
          <w:shd w:val="clear" w:color="auto" w:fill="FFFFFF"/>
        </w:rPr>
        <w:t xml:space="preserve"> de 110,4 mii lei); C</w:t>
      </w:r>
      <w:r>
        <w:rPr>
          <w:rFonts w:asciiTheme="majorHAnsi" w:hAnsiTheme="majorHAnsi" w:cstheme="majorHAnsi"/>
          <w:bCs/>
          <w:iCs/>
          <w:color w:val="000000"/>
          <w:sz w:val="16"/>
          <w:szCs w:val="16"/>
          <w:shd w:val="clear" w:color="auto" w:fill="FFFFFF"/>
          <w:lang w:val="ro-MD"/>
        </w:rPr>
        <w:t>e</w:t>
      </w:r>
      <w:r w:rsidRPr="003212E0">
        <w:rPr>
          <w:rFonts w:asciiTheme="majorHAnsi" w:hAnsiTheme="majorHAnsi" w:cstheme="majorHAnsi"/>
          <w:bCs/>
          <w:iCs/>
          <w:color w:val="000000"/>
          <w:sz w:val="16"/>
          <w:szCs w:val="16"/>
          <w:shd w:val="clear" w:color="auto" w:fill="FFFFFF"/>
        </w:rPr>
        <w:t>ad</w:t>
      </w:r>
      <w:r>
        <w:rPr>
          <w:rFonts w:asciiTheme="majorHAnsi" w:hAnsiTheme="majorHAnsi" w:cstheme="majorHAnsi"/>
          <w:bCs/>
          <w:iCs/>
          <w:color w:val="000000"/>
          <w:sz w:val="16"/>
          <w:szCs w:val="16"/>
          <w:shd w:val="clear" w:color="auto" w:fill="FFFFFF"/>
          <w:lang w:val="ro-MD"/>
        </w:rPr>
        <w:t>â</w:t>
      </w:r>
      <w:r w:rsidRPr="003212E0">
        <w:rPr>
          <w:rFonts w:asciiTheme="majorHAnsi" w:hAnsiTheme="majorHAnsi" w:cstheme="majorHAnsi"/>
          <w:bCs/>
          <w:iCs/>
          <w:color w:val="000000"/>
          <w:sz w:val="16"/>
          <w:szCs w:val="16"/>
          <w:shd w:val="clear" w:color="auto" w:fill="FFFFFF"/>
        </w:rPr>
        <w:t>r-Lunga CSP (o construc</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ie cu suprafa</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 xml:space="preserve">a de 443,9 m.p. </w:t>
      </w:r>
      <w:r>
        <w:rPr>
          <w:rFonts w:asciiTheme="majorHAnsi" w:hAnsiTheme="majorHAnsi" w:cstheme="majorHAnsi"/>
          <w:bCs/>
          <w:iCs/>
          <w:color w:val="000000"/>
          <w:sz w:val="16"/>
          <w:szCs w:val="16"/>
          <w:shd w:val="clear" w:color="auto" w:fill="FFFFFF"/>
          <w:lang w:val="ro-MD"/>
        </w:rPr>
        <w:t>î</w:t>
      </w:r>
      <w:r w:rsidRPr="003212E0">
        <w:rPr>
          <w:rFonts w:asciiTheme="majorHAnsi" w:hAnsiTheme="majorHAnsi" w:cstheme="majorHAnsi"/>
          <w:bCs/>
          <w:iCs/>
          <w:color w:val="000000"/>
          <w:sz w:val="16"/>
          <w:szCs w:val="16"/>
          <w:shd w:val="clear" w:color="auto" w:fill="FFFFFF"/>
        </w:rPr>
        <w:t>n valoare de 541,5 mii lei); Donduseni CSP (3 construcții cu surafa</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 xml:space="preserve">a de 480 m.p. </w:t>
      </w:r>
      <w:r>
        <w:rPr>
          <w:rFonts w:asciiTheme="majorHAnsi" w:hAnsiTheme="majorHAnsi" w:cstheme="majorHAnsi"/>
          <w:bCs/>
          <w:iCs/>
          <w:color w:val="000000"/>
          <w:sz w:val="16"/>
          <w:szCs w:val="16"/>
          <w:shd w:val="clear" w:color="auto" w:fill="FFFFFF"/>
          <w:lang w:val="ro-MD"/>
        </w:rPr>
        <w:t>î</w:t>
      </w:r>
      <w:r w:rsidRPr="003212E0">
        <w:rPr>
          <w:rFonts w:asciiTheme="majorHAnsi" w:hAnsiTheme="majorHAnsi" w:cstheme="majorHAnsi"/>
          <w:bCs/>
          <w:iCs/>
          <w:color w:val="000000"/>
          <w:sz w:val="16"/>
          <w:szCs w:val="16"/>
          <w:shd w:val="clear" w:color="auto" w:fill="FFFFFF"/>
        </w:rPr>
        <w:t>n valoare de 52,0 mii lei),</w:t>
      </w:r>
      <w:r w:rsidRPr="003212E0">
        <w:rPr>
          <w:rFonts w:asciiTheme="majorHAnsi" w:hAnsiTheme="majorHAnsi" w:cstheme="majorHAnsi"/>
          <w:bCs/>
          <w:iCs/>
          <w:color w:val="000000"/>
          <w:sz w:val="16"/>
          <w:szCs w:val="16"/>
          <w:shd w:val="clear" w:color="auto" w:fill="FFFFFF"/>
          <w:lang w:val="ro-MD"/>
        </w:rPr>
        <w:t xml:space="preserve"> </w:t>
      </w:r>
      <w:r w:rsidRPr="003212E0">
        <w:rPr>
          <w:rFonts w:asciiTheme="majorHAnsi" w:hAnsiTheme="majorHAnsi" w:cstheme="majorHAnsi"/>
          <w:bCs/>
          <w:iCs/>
          <w:color w:val="000000"/>
          <w:sz w:val="16"/>
          <w:szCs w:val="16"/>
          <w:shd w:val="clear" w:color="auto" w:fill="FFFFFF"/>
        </w:rPr>
        <w:t>Centrul de plasament temporar pentru persoane cu dizabilități (adulte)</w:t>
      </w:r>
      <w:r>
        <w:rPr>
          <w:rFonts w:asciiTheme="majorHAnsi" w:hAnsiTheme="majorHAnsi" w:cstheme="majorHAnsi"/>
          <w:bCs/>
          <w:iCs/>
          <w:color w:val="000000"/>
          <w:sz w:val="16"/>
          <w:szCs w:val="16"/>
          <w:shd w:val="clear" w:color="auto" w:fill="FFFFFF"/>
          <w:lang w:val="ro-MD"/>
        </w:rPr>
        <w:t>,</w:t>
      </w:r>
      <w:r w:rsidRPr="003212E0">
        <w:rPr>
          <w:rFonts w:asciiTheme="majorHAnsi" w:hAnsiTheme="majorHAnsi" w:cstheme="majorHAnsi"/>
          <w:bCs/>
          <w:iCs/>
          <w:color w:val="000000"/>
          <w:sz w:val="16"/>
          <w:szCs w:val="16"/>
          <w:shd w:val="clear" w:color="auto" w:fill="FFFFFF"/>
        </w:rPr>
        <w:t xml:space="preserve"> com. Cocieri (10 construcții cu suprafa</w:t>
      </w:r>
      <w:r>
        <w:rPr>
          <w:rFonts w:asciiTheme="majorHAnsi" w:hAnsiTheme="majorHAnsi" w:cstheme="majorHAnsi"/>
          <w:bCs/>
          <w:iCs/>
          <w:color w:val="000000"/>
          <w:sz w:val="16"/>
          <w:szCs w:val="16"/>
          <w:shd w:val="clear" w:color="auto" w:fill="FFFFFF"/>
          <w:lang w:val="ro-MD"/>
        </w:rPr>
        <w:t>ț</w:t>
      </w:r>
      <w:r w:rsidRPr="003212E0">
        <w:rPr>
          <w:rFonts w:asciiTheme="majorHAnsi" w:hAnsiTheme="majorHAnsi" w:cstheme="majorHAnsi"/>
          <w:bCs/>
          <w:iCs/>
          <w:color w:val="000000"/>
          <w:sz w:val="16"/>
          <w:szCs w:val="16"/>
          <w:shd w:val="clear" w:color="auto" w:fill="FFFFFF"/>
        </w:rPr>
        <w:t xml:space="preserve">a de 288 m.p. </w:t>
      </w:r>
      <w:r>
        <w:rPr>
          <w:rFonts w:asciiTheme="majorHAnsi" w:hAnsiTheme="majorHAnsi" w:cstheme="majorHAnsi"/>
          <w:bCs/>
          <w:iCs/>
          <w:color w:val="000000"/>
          <w:sz w:val="16"/>
          <w:szCs w:val="16"/>
          <w:shd w:val="clear" w:color="auto" w:fill="FFFFFF"/>
          <w:lang w:val="ro-MD"/>
        </w:rPr>
        <w:t>î</w:t>
      </w:r>
      <w:r w:rsidRPr="003212E0">
        <w:rPr>
          <w:rFonts w:asciiTheme="majorHAnsi" w:hAnsiTheme="majorHAnsi" w:cstheme="majorHAnsi"/>
          <w:bCs/>
          <w:iCs/>
          <w:color w:val="000000"/>
          <w:sz w:val="16"/>
          <w:szCs w:val="16"/>
          <w:shd w:val="clear" w:color="auto" w:fill="FFFFFF"/>
        </w:rPr>
        <w:t xml:space="preserve">n valoare de 273,9 mii lei).  </w:t>
      </w:r>
    </w:p>
  </w:footnote>
  <w:footnote w:id="7">
    <w:p w14:paraId="2B23E759" w14:textId="055977D3" w:rsidR="007D68C6" w:rsidRPr="003212E0" w:rsidRDefault="007D68C6" w:rsidP="00C855EB">
      <w:pPr>
        <w:pStyle w:val="ab"/>
        <w:jc w:val="both"/>
        <w:rPr>
          <w:rFonts w:asciiTheme="majorHAnsi" w:hAnsiTheme="majorHAnsi"/>
          <w:sz w:val="16"/>
          <w:szCs w:val="16"/>
          <w:lang w:val="ro-MD"/>
        </w:rPr>
      </w:pPr>
      <w:r w:rsidRPr="003212E0">
        <w:rPr>
          <w:rStyle w:val="ad"/>
          <w:rFonts w:asciiTheme="majorHAnsi" w:hAnsiTheme="majorHAnsi"/>
          <w:sz w:val="16"/>
          <w:szCs w:val="16"/>
        </w:rPr>
        <w:footnoteRef/>
      </w:r>
      <w:r w:rsidRPr="003212E0">
        <w:rPr>
          <w:rFonts w:asciiTheme="majorHAnsi" w:hAnsiTheme="majorHAnsi"/>
          <w:sz w:val="16"/>
          <w:szCs w:val="16"/>
        </w:rPr>
        <w:t xml:space="preserve"> Agenția de Transplant – 41 - 55,9 mii lei; Agenția Națională pentru Sănătate Publică – 19 - 577,1 mii lei; Agenția Națională pentru Ocuparea Forței de Muncă – 3 - 353,8 mii lei</w:t>
      </w:r>
      <w:r>
        <w:rPr>
          <w:rFonts w:asciiTheme="majorHAnsi" w:hAnsiTheme="majorHAnsi"/>
          <w:sz w:val="16"/>
          <w:szCs w:val="16"/>
          <w:lang w:val="ro-MD"/>
        </w:rPr>
        <w:t>.</w:t>
      </w:r>
    </w:p>
  </w:footnote>
  <w:footnote w:id="8">
    <w:p w14:paraId="26303F6F" w14:textId="2896207D" w:rsidR="007D68C6" w:rsidRPr="00C855EB" w:rsidRDefault="007D68C6" w:rsidP="00C855EB">
      <w:pPr>
        <w:pStyle w:val="ab"/>
        <w:jc w:val="both"/>
        <w:rPr>
          <w:rFonts w:asciiTheme="majorHAnsi" w:hAnsiTheme="majorHAnsi"/>
          <w:lang w:val="ro-MD"/>
        </w:rPr>
      </w:pPr>
      <w:r w:rsidRPr="003212E0">
        <w:rPr>
          <w:rStyle w:val="ad"/>
          <w:rFonts w:asciiTheme="majorHAnsi" w:hAnsiTheme="majorHAnsi"/>
          <w:sz w:val="16"/>
          <w:szCs w:val="16"/>
        </w:rPr>
        <w:footnoteRef/>
      </w:r>
      <w:r w:rsidRPr="00C855EB">
        <w:rPr>
          <w:rFonts w:asciiTheme="majorHAnsi" w:hAnsiTheme="majorHAnsi"/>
        </w:rPr>
        <w:t xml:space="preserve"> </w:t>
      </w:r>
      <w:r w:rsidRPr="003212E0">
        <w:rPr>
          <w:rFonts w:asciiTheme="majorHAnsi" w:hAnsiTheme="majorHAnsi"/>
          <w:sz w:val="16"/>
          <w:szCs w:val="16"/>
        </w:rPr>
        <w:t xml:space="preserve">Agenția Națională pentru Ocuparea Forței de Muncă – SIA </w:t>
      </w:r>
      <w:r>
        <w:rPr>
          <w:rFonts w:asciiTheme="majorHAnsi" w:hAnsiTheme="majorHAnsi"/>
          <w:sz w:val="16"/>
          <w:szCs w:val="16"/>
          <w:lang w:val="ro-MD"/>
        </w:rPr>
        <w:t>„</w:t>
      </w:r>
      <w:r w:rsidRPr="003212E0">
        <w:rPr>
          <w:rFonts w:asciiTheme="majorHAnsi" w:hAnsiTheme="majorHAnsi"/>
          <w:sz w:val="16"/>
          <w:szCs w:val="16"/>
        </w:rPr>
        <w:t>Pia</w:t>
      </w:r>
      <w:r>
        <w:rPr>
          <w:rFonts w:asciiTheme="majorHAnsi" w:hAnsiTheme="majorHAnsi"/>
          <w:sz w:val="16"/>
          <w:szCs w:val="16"/>
          <w:lang w:val="ro-MD"/>
        </w:rPr>
        <w:t>ț</w:t>
      </w:r>
      <w:r w:rsidRPr="003212E0">
        <w:rPr>
          <w:rFonts w:asciiTheme="majorHAnsi" w:hAnsiTheme="majorHAnsi"/>
          <w:sz w:val="16"/>
          <w:szCs w:val="16"/>
        </w:rPr>
        <w:t>a forței de muncă” – 2019</w:t>
      </w:r>
      <w:r>
        <w:rPr>
          <w:rFonts w:asciiTheme="majorHAnsi" w:hAnsiTheme="majorHAnsi"/>
          <w:sz w:val="16"/>
          <w:szCs w:val="16"/>
          <w:lang w:val="ro-MD"/>
        </w:rPr>
        <w:t xml:space="preserve"> </w:t>
      </w:r>
      <w:r w:rsidRPr="003212E0">
        <w:rPr>
          <w:rFonts w:asciiTheme="majorHAnsi" w:hAnsiTheme="majorHAnsi"/>
          <w:sz w:val="16"/>
          <w:szCs w:val="16"/>
        </w:rPr>
        <w:t>-</w:t>
      </w:r>
      <w:r>
        <w:rPr>
          <w:rFonts w:asciiTheme="majorHAnsi" w:hAnsiTheme="majorHAnsi"/>
          <w:sz w:val="16"/>
          <w:szCs w:val="16"/>
          <w:lang w:val="ro-MD"/>
        </w:rPr>
        <w:t xml:space="preserve"> </w:t>
      </w:r>
      <w:r w:rsidRPr="003212E0">
        <w:rPr>
          <w:rFonts w:asciiTheme="majorHAnsi" w:hAnsiTheme="majorHAnsi"/>
          <w:sz w:val="16"/>
          <w:szCs w:val="16"/>
        </w:rPr>
        <w:t>732,8</w:t>
      </w:r>
      <w:r>
        <w:rPr>
          <w:rFonts w:asciiTheme="majorHAnsi" w:hAnsiTheme="majorHAnsi"/>
          <w:sz w:val="16"/>
          <w:szCs w:val="16"/>
          <w:lang w:val="ro-MD"/>
        </w:rPr>
        <w:t xml:space="preserve"> mii lei</w:t>
      </w:r>
      <w:r w:rsidRPr="003212E0">
        <w:rPr>
          <w:rFonts w:asciiTheme="majorHAnsi" w:hAnsiTheme="majorHAnsi"/>
          <w:sz w:val="16"/>
          <w:szCs w:val="16"/>
        </w:rPr>
        <w:t>, 2020</w:t>
      </w:r>
      <w:r>
        <w:rPr>
          <w:rFonts w:asciiTheme="majorHAnsi" w:hAnsiTheme="majorHAnsi"/>
          <w:sz w:val="16"/>
          <w:szCs w:val="16"/>
          <w:lang w:val="ro-MD"/>
        </w:rPr>
        <w:t xml:space="preserve"> </w:t>
      </w:r>
      <w:r w:rsidRPr="003212E0">
        <w:rPr>
          <w:rFonts w:asciiTheme="majorHAnsi" w:hAnsiTheme="majorHAnsi"/>
          <w:sz w:val="16"/>
          <w:szCs w:val="16"/>
        </w:rPr>
        <w:t>-</w:t>
      </w:r>
      <w:r>
        <w:rPr>
          <w:rFonts w:asciiTheme="majorHAnsi" w:hAnsiTheme="majorHAnsi"/>
          <w:sz w:val="16"/>
          <w:szCs w:val="16"/>
          <w:lang w:val="ro-MD"/>
        </w:rPr>
        <w:t xml:space="preserve"> </w:t>
      </w:r>
      <w:r w:rsidRPr="003212E0">
        <w:rPr>
          <w:rFonts w:asciiTheme="majorHAnsi" w:hAnsiTheme="majorHAnsi"/>
          <w:sz w:val="16"/>
          <w:szCs w:val="16"/>
        </w:rPr>
        <w:t xml:space="preserve">918,1 mii lei; </w:t>
      </w:r>
      <w:r>
        <w:rPr>
          <w:rFonts w:asciiTheme="majorHAnsi" w:hAnsiTheme="majorHAnsi"/>
          <w:sz w:val="16"/>
          <w:szCs w:val="16"/>
          <w:lang w:val="ro-MD"/>
        </w:rPr>
        <w:t>SIA „</w:t>
      </w:r>
      <w:r w:rsidRPr="003212E0">
        <w:rPr>
          <w:rFonts w:asciiTheme="majorHAnsi" w:hAnsiTheme="majorHAnsi"/>
          <w:sz w:val="16"/>
          <w:szCs w:val="16"/>
        </w:rPr>
        <w:t>e-Cancelarie</w:t>
      </w:r>
      <w:r>
        <w:rPr>
          <w:rFonts w:asciiTheme="majorHAnsi" w:hAnsiTheme="majorHAnsi"/>
          <w:sz w:val="16"/>
          <w:szCs w:val="16"/>
          <w:lang w:val="ro-MD"/>
        </w:rPr>
        <w:t>”</w:t>
      </w:r>
      <w:r w:rsidRPr="003212E0">
        <w:rPr>
          <w:rFonts w:asciiTheme="majorHAnsi" w:hAnsiTheme="majorHAnsi"/>
          <w:sz w:val="16"/>
          <w:szCs w:val="16"/>
        </w:rPr>
        <w:t xml:space="preserve"> – 32,0 mii lei</w:t>
      </w:r>
      <w:r>
        <w:rPr>
          <w:rFonts w:asciiTheme="majorHAnsi" w:hAnsiTheme="majorHAnsi"/>
          <w:sz w:val="16"/>
          <w:szCs w:val="16"/>
          <w:lang w:val="ro-MD"/>
        </w:rPr>
        <w:t>.</w:t>
      </w:r>
    </w:p>
  </w:footnote>
  <w:footnote w:id="9">
    <w:p w14:paraId="5565677C" w14:textId="001C5726" w:rsidR="007D68C6" w:rsidRPr="003212E0" w:rsidRDefault="007D68C6" w:rsidP="00C855EB">
      <w:pPr>
        <w:pStyle w:val="ab"/>
        <w:jc w:val="both"/>
        <w:rPr>
          <w:rFonts w:asciiTheme="majorHAnsi" w:hAnsiTheme="majorHAnsi" w:cstheme="majorHAnsi"/>
          <w:sz w:val="16"/>
          <w:szCs w:val="16"/>
          <w:lang w:val="ro-MD"/>
        </w:rPr>
      </w:pPr>
      <w:r w:rsidRPr="003212E0">
        <w:rPr>
          <w:rStyle w:val="ad"/>
          <w:rFonts w:asciiTheme="majorHAnsi" w:hAnsiTheme="majorHAnsi" w:cstheme="majorHAnsi"/>
          <w:sz w:val="16"/>
          <w:szCs w:val="16"/>
        </w:rPr>
        <w:footnoteRef/>
      </w:r>
      <w:r w:rsidRPr="003212E0">
        <w:rPr>
          <w:rFonts w:asciiTheme="majorHAnsi" w:hAnsiTheme="majorHAnsi" w:cstheme="majorHAnsi"/>
          <w:sz w:val="16"/>
          <w:szCs w:val="16"/>
        </w:rPr>
        <w:t xml:space="preserve"> </w:t>
      </w:r>
      <w:r w:rsidRPr="003212E0">
        <w:rPr>
          <w:rFonts w:asciiTheme="majorHAnsi" w:hAnsiTheme="majorHAnsi"/>
          <w:sz w:val="16"/>
          <w:szCs w:val="16"/>
        </w:rPr>
        <w:t xml:space="preserve">Agenția Națională pentru Ocuparea Forței de Muncă – </w:t>
      </w:r>
      <w:r>
        <w:rPr>
          <w:rFonts w:asciiTheme="majorHAnsi" w:hAnsiTheme="majorHAnsi"/>
          <w:sz w:val="16"/>
          <w:szCs w:val="16"/>
          <w:lang w:val="ro-MD"/>
        </w:rPr>
        <w:t>SIA „</w:t>
      </w:r>
      <w:r w:rsidRPr="003212E0">
        <w:rPr>
          <w:rFonts w:asciiTheme="majorHAnsi" w:hAnsiTheme="majorHAnsi"/>
          <w:sz w:val="16"/>
          <w:szCs w:val="16"/>
        </w:rPr>
        <w:t>e-Cancelarie”</w:t>
      </w:r>
      <w:r>
        <w:rPr>
          <w:rFonts w:asciiTheme="majorHAnsi" w:hAnsiTheme="majorHAnsi"/>
          <w:sz w:val="16"/>
          <w:szCs w:val="16"/>
          <w:lang w:val="ro-MD"/>
        </w:rPr>
        <w:t xml:space="preserve"> </w:t>
      </w:r>
      <w:r w:rsidRPr="003212E0">
        <w:rPr>
          <w:rFonts w:asciiTheme="majorHAnsi" w:hAnsiTheme="majorHAnsi"/>
          <w:sz w:val="16"/>
          <w:szCs w:val="16"/>
        </w:rPr>
        <w:t>-</w:t>
      </w:r>
      <w:r>
        <w:rPr>
          <w:rFonts w:asciiTheme="majorHAnsi" w:hAnsiTheme="majorHAnsi"/>
          <w:sz w:val="16"/>
          <w:szCs w:val="16"/>
          <w:lang w:val="ro-MD"/>
        </w:rPr>
        <w:t xml:space="preserve"> </w:t>
      </w:r>
      <w:r w:rsidRPr="003212E0">
        <w:rPr>
          <w:rFonts w:asciiTheme="majorHAnsi" w:hAnsiTheme="majorHAnsi"/>
          <w:sz w:val="16"/>
          <w:szCs w:val="16"/>
        </w:rPr>
        <w:t xml:space="preserve">3,5 mii lei, SIA </w:t>
      </w:r>
      <w:r>
        <w:rPr>
          <w:rFonts w:asciiTheme="majorHAnsi" w:hAnsiTheme="majorHAnsi"/>
          <w:sz w:val="16"/>
          <w:szCs w:val="16"/>
          <w:lang w:val="ro-MD"/>
        </w:rPr>
        <w:t>„</w:t>
      </w:r>
      <w:r w:rsidRPr="003212E0">
        <w:rPr>
          <w:rFonts w:asciiTheme="majorHAnsi" w:hAnsiTheme="majorHAnsi"/>
          <w:sz w:val="16"/>
          <w:szCs w:val="16"/>
        </w:rPr>
        <w:t>Pia</w:t>
      </w:r>
      <w:r>
        <w:rPr>
          <w:rFonts w:asciiTheme="majorHAnsi" w:hAnsiTheme="majorHAnsi"/>
          <w:sz w:val="16"/>
          <w:szCs w:val="16"/>
          <w:lang w:val="ro-MD"/>
        </w:rPr>
        <w:t>ț</w:t>
      </w:r>
      <w:r w:rsidRPr="003212E0">
        <w:rPr>
          <w:rFonts w:asciiTheme="majorHAnsi" w:hAnsiTheme="majorHAnsi"/>
          <w:sz w:val="16"/>
          <w:szCs w:val="16"/>
        </w:rPr>
        <w:t>a forței de muncă”</w:t>
      </w:r>
      <w:r>
        <w:rPr>
          <w:rFonts w:asciiTheme="majorHAnsi" w:hAnsiTheme="majorHAnsi"/>
          <w:sz w:val="16"/>
          <w:szCs w:val="16"/>
          <w:lang w:val="ro-MD"/>
        </w:rPr>
        <w:t xml:space="preserve"> </w:t>
      </w:r>
      <w:r w:rsidRPr="003212E0">
        <w:rPr>
          <w:rFonts w:asciiTheme="majorHAnsi" w:hAnsiTheme="majorHAnsi"/>
          <w:sz w:val="16"/>
          <w:szCs w:val="16"/>
        </w:rPr>
        <w:t>- 244,3 mii lei</w:t>
      </w:r>
      <w:r>
        <w:rPr>
          <w:rFonts w:asciiTheme="majorHAnsi" w:hAnsiTheme="majorHAnsi"/>
          <w:sz w:val="16"/>
          <w:szCs w:val="16"/>
          <w:lang w:val="ro-MD"/>
        </w:rPr>
        <w:t>.</w:t>
      </w:r>
    </w:p>
  </w:footnote>
  <w:footnote w:id="10">
    <w:p w14:paraId="2E3FD52B" w14:textId="77777777" w:rsidR="007D68C6" w:rsidRPr="00C855EB" w:rsidRDefault="007D68C6" w:rsidP="00C855EB">
      <w:pPr>
        <w:pStyle w:val="ab"/>
        <w:jc w:val="both"/>
        <w:rPr>
          <w:rFonts w:asciiTheme="majorHAnsi" w:hAnsiTheme="majorHAnsi"/>
          <w:lang w:val="ro-MD"/>
        </w:rPr>
      </w:pPr>
      <w:r w:rsidRPr="00C855EB">
        <w:rPr>
          <w:rStyle w:val="ad"/>
          <w:rFonts w:asciiTheme="majorHAnsi" w:hAnsiTheme="majorHAnsi"/>
          <w:sz w:val="16"/>
          <w:szCs w:val="16"/>
        </w:rPr>
        <w:footnoteRef/>
      </w:r>
      <w:r w:rsidRPr="00C855EB">
        <w:rPr>
          <w:rFonts w:asciiTheme="majorHAnsi" w:hAnsiTheme="majorHAnsi"/>
          <w:sz w:val="16"/>
          <w:szCs w:val="16"/>
        </w:rPr>
        <w:t xml:space="preserve"> </w:t>
      </w:r>
      <w:r w:rsidRPr="003212E0">
        <w:rPr>
          <w:rFonts w:asciiTheme="majorHAnsi" w:hAnsiTheme="majorHAnsi"/>
          <w:sz w:val="16"/>
          <w:szCs w:val="16"/>
        </w:rPr>
        <w:t>Enzyme Ag-ID Patg – 377,1 mii lei (expirate la 30.04.2021), Enzyme Ag-Path-ID – 147,3 mii lei (expirate la 30.04.2021), Enzyme Ag Patg-ID – 96,5 mii lei (expirate la 08.12.2020).</w:t>
      </w:r>
    </w:p>
  </w:footnote>
  <w:footnote w:id="11">
    <w:p w14:paraId="61E19348" w14:textId="6B6F7EF0" w:rsidR="007D68C6" w:rsidRPr="003212E0" w:rsidRDefault="007D68C6" w:rsidP="00C855EB">
      <w:pPr>
        <w:pStyle w:val="ab"/>
        <w:jc w:val="both"/>
        <w:rPr>
          <w:rFonts w:asciiTheme="majorHAnsi" w:hAnsiTheme="majorHAnsi"/>
          <w:sz w:val="16"/>
          <w:szCs w:val="16"/>
          <w:lang w:val="ro-MD"/>
        </w:rPr>
      </w:pPr>
      <w:r w:rsidRPr="003212E0">
        <w:rPr>
          <w:rStyle w:val="ad"/>
          <w:rFonts w:asciiTheme="majorHAnsi" w:hAnsiTheme="majorHAnsi"/>
          <w:sz w:val="16"/>
          <w:szCs w:val="16"/>
        </w:rPr>
        <w:footnoteRef/>
      </w:r>
      <w:r w:rsidRPr="003212E0">
        <w:rPr>
          <w:rFonts w:asciiTheme="majorHAnsi" w:hAnsiTheme="majorHAnsi"/>
          <w:sz w:val="16"/>
          <w:szCs w:val="16"/>
        </w:rPr>
        <w:t xml:space="preserve"> Set Primers -</w:t>
      </w:r>
      <w:r>
        <w:rPr>
          <w:rFonts w:asciiTheme="majorHAnsi" w:hAnsiTheme="majorHAnsi"/>
          <w:sz w:val="16"/>
          <w:szCs w:val="16"/>
          <w:lang w:val="ro-MD"/>
        </w:rPr>
        <w:t xml:space="preserve"> </w:t>
      </w:r>
      <w:r w:rsidRPr="003212E0">
        <w:rPr>
          <w:rFonts w:asciiTheme="majorHAnsi" w:hAnsiTheme="majorHAnsi"/>
          <w:sz w:val="16"/>
          <w:szCs w:val="16"/>
        </w:rPr>
        <w:t>Covid-19 – 120,8 mii lei, Kit Blirt ExtractMe – 112,6 mii lei.</w:t>
      </w:r>
    </w:p>
  </w:footnote>
  <w:footnote w:id="12">
    <w:p w14:paraId="25DC27FF" w14:textId="77777777" w:rsidR="007D68C6" w:rsidRPr="003B2F44" w:rsidRDefault="007D68C6" w:rsidP="003B2F44">
      <w:pPr>
        <w:pStyle w:val="ab"/>
        <w:jc w:val="both"/>
        <w:rPr>
          <w:rFonts w:asciiTheme="majorHAnsi" w:hAnsiTheme="majorHAnsi" w:cstheme="majorHAnsi"/>
          <w:sz w:val="16"/>
          <w:szCs w:val="16"/>
          <w:lang w:val="ro-MD"/>
        </w:rPr>
      </w:pPr>
      <w:r w:rsidRPr="003B2F44">
        <w:rPr>
          <w:rFonts w:asciiTheme="majorHAnsi" w:hAnsiTheme="majorHAnsi" w:cstheme="majorHAnsi"/>
          <w:sz w:val="16"/>
          <w:szCs w:val="16"/>
          <w:vertAlign w:val="superscript"/>
          <w:lang w:val="ro-MD"/>
        </w:rPr>
        <w:footnoteRef/>
      </w:r>
      <w:r w:rsidRPr="003B2F44">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3">
    <w:p w14:paraId="09F71843" w14:textId="1E845A45" w:rsidR="007D68C6" w:rsidRPr="003B2F44" w:rsidRDefault="007D68C6" w:rsidP="00C855EB">
      <w:pPr>
        <w:pStyle w:val="ab"/>
        <w:jc w:val="both"/>
        <w:rPr>
          <w:rFonts w:asciiTheme="majorHAnsi" w:hAnsiTheme="majorHAnsi"/>
          <w:sz w:val="16"/>
          <w:szCs w:val="16"/>
          <w:lang w:val="ro-MD"/>
        </w:rPr>
      </w:pPr>
      <w:r w:rsidRPr="00C855EB">
        <w:rPr>
          <w:rStyle w:val="ad"/>
          <w:rFonts w:asciiTheme="majorHAnsi" w:hAnsiTheme="majorHAnsi"/>
          <w:sz w:val="16"/>
          <w:szCs w:val="16"/>
          <w:lang w:val="ro-MD"/>
        </w:rPr>
        <w:footnoteRef/>
      </w:r>
      <w:r>
        <w:rPr>
          <w:rFonts w:asciiTheme="majorHAnsi" w:hAnsiTheme="majorHAnsi"/>
          <w:sz w:val="16"/>
          <w:szCs w:val="16"/>
          <w:lang w:val="ro-MD"/>
        </w:rPr>
        <w:t xml:space="preserve"> </w:t>
      </w:r>
      <w:r w:rsidRPr="00C855EB">
        <w:rPr>
          <w:rFonts w:asciiTheme="majorHAnsi" w:hAnsiTheme="majorHAnsi"/>
          <w:sz w:val="16"/>
          <w:szCs w:val="16"/>
          <w:lang w:val="ro-MD"/>
        </w:rPr>
        <w:t>Hotărârea Guvernului nr.919 din 17.11.2014 „</w:t>
      </w:r>
      <w:r>
        <w:rPr>
          <w:rFonts w:asciiTheme="majorHAnsi" w:hAnsiTheme="majorHAnsi"/>
          <w:sz w:val="16"/>
          <w:szCs w:val="16"/>
          <w:lang w:val="ro-MD"/>
        </w:rPr>
        <w:t>C</w:t>
      </w:r>
      <w:r w:rsidRPr="00C855EB">
        <w:rPr>
          <w:rFonts w:asciiTheme="majorHAnsi" w:hAnsiTheme="majorHAnsi"/>
          <w:sz w:val="16"/>
          <w:szCs w:val="16"/>
          <w:lang w:val="ro-MD"/>
        </w:rPr>
        <w:t>u privire la reorganizarea unei instituții rezidențiale”.</w:t>
      </w:r>
    </w:p>
  </w:footnote>
  <w:footnote w:id="14">
    <w:p w14:paraId="676A85C6" w14:textId="0737C5DB" w:rsidR="007D68C6" w:rsidRPr="003B2F44" w:rsidRDefault="007D68C6" w:rsidP="003B2F44">
      <w:pPr>
        <w:pStyle w:val="ab"/>
        <w:jc w:val="both"/>
        <w:rPr>
          <w:rFonts w:asciiTheme="majorHAnsi" w:hAnsiTheme="majorHAnsi" w:cstheme="majorHAnsi"/>
          <w:sz w:val="16"/>
          <w:szCs w:val="16"/>
          <w:lang w:val="ro-MD"/>
        </w:rPr>
      </w:pPr>
      <w:r w:rsidRPr="00C855EB">
        <w:rPr>
          <w:rStyle w:val="ad"/>
          <w:rFonts w:asciiTheme="majorHAnsi" w:hAnsiTheme="majorHAnsi" w:cstheme="majorHAnsi"/>
          <w:sz w:val="16"/>
          <w:szCs w:val="16"/>
          <w:lang w:val="ro-MD"/>
        </w:rPr>
        <w:footnoteRef/>
      </w:r>
      <w:r w:rsidRPr="00C855EB">
        <w:rPr>
          <w:rFonts w:asciiTheme="majorHAnsi" w:hAnsiTheme="majorHAnsi" w:cstheme="majorHAnsi"/>
          <w:sz w:val="16"/>
          <w:szCs w:val="16"/>
          <w:lang w:val="ro-MD"/>
        </w:rPr>
        <w:t xml:space="preserve"> </w:t>
      </w:r>
      <w:r w:rsidRPr="003B2F44">
        <w:rPr>
          <w:rFonts w:asciiTheme="majorHAnsi" w:hAnsiTheme="majorHAnsi" w:cstheme="majorHAnsi"/>
          <w:sz w:val="16"/>
          <w:szCs w:val="16"/>
          <w:lang w:val="ro-MD"/>
        </w:rPr>
        <w:t>Hot</w:t>
      </w:r>
      <w:r>
        <w:rPr>
          <w:rFonts w:asciiTheme="majorHAnsi" w:hAnsiTheme="majorHAnsi" w:cstheme="majorHAnsi"/>
          <w:sz w:val="16"/>
          <w:szCs w:val="16"/>
          <w:lang w:val="ro-MD"/>
        </w:rPr>
        <w:t>ă</w:t>
      </w:r>
      <w:r w:rsidRPr="003B2F44">
        <w:rPr>
          <w:rFonts w:asciiTheme="majorHAnsi" w:hAnsiTheme="majorHAnsi" w:cstheme="majorHAnsi"/>
          <w:sz w:val="16"/>
          <w:szCs w:val="16"/>
          <w:lang w:val="ro-MD"/>
        </w:rPr>
        <w:t>r</w:t>
      </w:r>
      <w:r>
        <w:rPr>
          <w:rFonts w:asciiTheme="majorHAnsi" w:hAnsiTheme="majorHAnsi" w:cstheme="majorHAnsi"/>
          <w:sz w:val="16"/>
          <w:szCs w:val="16"/>
          <w:lang w:val="ro-MD"/>
        </w:rPr>
        <w:t>â</w:t>
      </w:r>
      <w:r w:rsidRPr="003B2F44">
        <w:rPr>
          <w:rFonts w:asciiTheme="majorHAnsi" w:hAnsiTheme="majorHAnsi" w:cstheme="majorHAnsi"/>
          <w:sz w:val="16"/>
          <w:szCs w:val="16"/>
          <w:lang w:val="ro-MD"/>
        </w:rPr>
        <w:t>rea Guvernului nr.789 din 29.09.2014 „</w:t>
      </w:r>
      <w:r>
        <w:rPr>
          <w:rFonts w:asciiTheme="majorHAnsi" w:hAnsiTheme="majorHAnsi" w:cstheme="majorHAnsi"/>
          <w:sz w:val="16"/>
          <w:szCs w:val="16"/>
          <w:lang w:val="ro-MD"/>
        </w:rPr>
        <w:t>C</w:t>
      </w:r>
      <w:r w:rsidRPr="003B2F44">
        <w:rPr>
          <w:rFonts w:asciiTheme="majorHAnsi" w:hAnsiTheme="majorHAnsi" w:cstheme="majorHAnsi"/>
          <w:sz w:val="16"/>
          <w:szCs w:val="16"/>
          <w:lang w:val="ro-MD"/>
        </w:rPr>
        <w:t>u privire la dezvoltarea infrastructurii Centrului Național de Medicină Sportivă”.</w:t>
      </w:r>
    </w:p>
  </w:footnote>
  <w:footnote w:id="15">
    <w:p w14:paraId="7C9AE90C" w14:textId="347C72F6" w:rsidR="007D68C6" w:rsidRPr="00C855EB" w:rsidRDefault="007D68C6" w:rsidP="00C855EB">
      <w:pPr>
        <w:pStyle w:val="ab"/>
        <w:jc w:val="both"/>
        <w:rPr>
          <w:rFonts w:asciiTheme="majorHAnsi" w:hAnsiTheme="majorHAnsi" w:cstheme="majorHAnsi"/>
          <w:sz w:val="16"/>
          <w:szCs w:val="16"/>
          <w:lang w:val="ro-MD"/>
        </w:rPr>
      </w:pPr>
      <w:r w:rsidRPr="00C855EB">
        <w:rPr>
          <w:rStyle w:val="ad"/>
          <w:rFonts w:asciiTheme="majorHAnsi" w:hAnsiTheme="majorHAnsi" w:cstheme="majorHAnsi"/>
          <w:sz w:val="16"/>
          <w:szCs w:val="16"/>
          <w:lang w:val="ro-MD"/>
        </w:rPr>
        <w:footnoteRef/>
      </w:r>
      <w:r>
        <w:rPr>
          <w:rFonts w:asciiTheme="majorHAnsi" w:hAnsiTheme="majorHAnsi" w:cstheme="majorHAnsi"/>
          <w:sz w:val="16"/>
          <w:szCs w:val="16"/>
          <w:lang w:val="ro-MD"/>
        </w:rPr>
        <w:t xml:space="preserve"> P</w:t>
      </w:r>
      <w:r w:rsidRPr="003B2F44">
        <w:rPr>
          <w:rFonts w:asciiTheme="majorHAnsi" w:hAnsiTheme="majorHAnsi" w:cstheme="majorHAnsi"/>
          <w:sz w:val="16"/>
          <w:szCs w:val="16"/>
          <w:lang w:val="ro-MD"/>
        </w:rPr>
        <w:t xml:space="preserve">otrivit prevederilor pct.4 din </w:t>
      </w:r>
      <w:r w:rsidRPr="009013A6">
        <w:rPr>
          <w:rFonts w:asciiTheme="majorHAnsi" w:hAnsiTheme="majorHAnsi"/>
          <w:sz w:val="16"/>
          <w:szCs w:val="16"/>
          <w:lang w:val="ro-MD"/>
        </w:rPr>
        <w:t>Hotărârea Guvernului</w:t>
      </w:r>
      <w:r w:rsidRPr="003B2F44">
        <w:rPr>
          <w:rFonts w:asciiTheme="majorHAnsi" w:hAnsiTheme="majorHAnsi" w:cstheme="majorHAnsi"/>
          <w:sz w:val="16"/>
          <w:szCs w:val="16"/>
          <w:lang w:val="ro-MD"/>
        </w:rPr>
        <w:t xml:space="preserve"> </w:t>
      </w:r>
      <w:r>
        <w:rPr>
          <w:rFonts w:asciiTheme="majorHAnsi" w:hAnsiTheme="majorHAnsi" w:cstheme="majorHAnsi"/>
          <w:sz w:val="16"/>
          <w:szCs w:val="16"/>
          <w:lang w:val="ro-MD"/>
        </w:rPr>
        <w:t>nr.</w:t>
      </w:r>
      <w:r w:rsidRPr="003B2F44">
        <w:rPr>
          <w:rFonts w:asciiTheme="majorHAnsi" w:hAnsiTheme="majorHAnsi" w:cstheme="majorHAnsi"/>
          <w:sz w:val="16"/>
          <w:szCs w:val="16"/>
          <w:lang w:val="ro-MD"/>
        </w:rPr>
        <w:t>789/2014</w:t>
      </w:r>
      <w:r>
        <w:rPr>
          <w:rFonts w:asciiTheme="majorHAnsi" w:hAnsiTheme="majorHAnsi" w:cstheme="majorHAnsi"/>
          <w:sz w:val="16"/>
          <w:szCs w:val="16"/>
          <w:lang w:val="ro-MD"/>
        </w:rPr>
        <w:t>.</w:t>
      </w:r>
    </w:p>
  </w:footnote>
  <w:footnote w:id="16">
    <w:p w14:paraId="5DEB75AE" w14:textId="0DC26250" w:rsidR="007D68C6" w:rsidRPr="00CA1F27" w:rsidRDefault="007D68C6" w:rsidP="00F13A39">
      <w:pPr>
        <w:pStyle w:val="ab"/>
        <w:jc w:val="both"/>
        <w:rPr>
          <w:rFonts w:asciiTheme="majorHAnsi" w:hAnsiTheme="majorHAnsi" w:cstheme="majorHAnsi"/>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7">
    <w:p w14:paraId="2D0E8C06" w14:textId="7562617C" w:rsidR="007D68C6" w:rsidRPr="009B3B5B" w:rsidRDefault="007D68C6" w:rsidP="00C855EB">
      <w:pPr>
        <w:pStyle w:val="ab"/>
        <w:jc w:val="both"/>
        <w:rPr>
          <w:rFonts w:asciiTheme="majorHAnsi" w:hAnsiTheme="majorHAnsi" w:cstheme="majorHAnsi"/>
          <w:sz w:val="16"/>
          <w:szCs w:val="16"/>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w:t>
      </w:r>
      <w:r>
        <w:rPr>
          <w:rFonts w:asciiTheme="majorHAnsi" w:hAnsiTheme="majorHAnsi" w:cstheme="majorHAnsi"/>
          <w:sz w:val="16"/>
          <w:szCs w:val="16"/>
          <w:lang w:val="ro-MD"/>
        </w:rPr>
        <w:t>â</w:t>
      </w:r>
      <w:r w:rsidRPr="009B3B5B">
        <w:rPr>
          <w:rFonts w:asciiTheme="majorHAnsi" w:hAnsiTheme="majorHAnsi" w:cstheme="majorHAnsi"/>
          <w:sz w:val="16"/>
          <w:szCs w:val="16"/>
          <w:lang w:val="ro-MD"/>
        </w:rPr>
        <w:t>rea Guvernului nr.148 din 25.08.2021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organizarea și funcționarea Ministerului Sănătății”</w:t>
      </w:r>
      <w:r>
        <w:rPr>
          <w:rFonts w:asciiTheme="majorHAnsi" w:hAnsiTheme="majorHAnsi" w:cstheme="majorHAnsi"/>
          <w:sz w:val="16"/>
          <w:szCs w:val="16"/>
          <w:lang w:val="ro-MD"/>
        </w:rPr>
        <w:t>.</w:t>
      </w:r>
    </w:p>
  </w:footnote>
  <w:footnote w:id="18">
    <w:p w14:paraId="0821025A" w14:textId="3BC73674" w:rsidR="007D68C6" w:rsidRPr="00543BBB" w:rsidRDefault="007D68C6" w:rsidP="00F13A39">
      <w:pPr>
        <w:pStyle w:val="ab"/>
        <w:jc w:val="both"/>
        <w:rPr>
          <w:rFonts w:asciiTheme="majorHAnsi" w:hAnsiTheme="majorHAnsi" w:cstheme="majorHAnsi"/>
        </w:rPr>
      </w:pPr>
      <w:r w:rsidRPr="00DA3F7F">
        <w:rPr>
          <w:rStyle w:val="ad"/>
          <w:rFonts w:asciiTheme="majorHAnsi" w:hAnsiTheme="majorHAnsi"/>
          <w:sz w:val="16"/>
          <w:szCs w:val="16"/>
        </w:rPr>
        <w:footnoteRef/>
      </w:r>
      <w: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9">
    <w:p w14:paraId="7563DAF5" w14:textId="65107FA6" w:rsidR="007D68C6" w:rsidRPr="00957B12" w:rsidRDefault="007D68C6" w:rsidP="0010759A">
      <w:pPr>
        <w:pStyle w:val="ab"/>
        <w:rPr>
          <w:lang w:val="ro-MD"/>
        </w:rPr>
      </w:pPr>
      <w:r w:rsidRPr="00EF2074">
        <w:rPr>
          <w:rStyle w:val="ad"/>
          <w:rFonts w:asciiTheme="majorHAnsi" w:hAnsiTheme="majorHAnsi"/>
          <w:sz w:val="16"/>
          <w:szCs w:val="16"/>
        </w:rPr>
        <w:footnoteRef/>
      </w:r>
      <w:r w:rsidRPr="00EF2074">
        <w:rPr>
          <w:rFonts w:asciiTheme="majorHAnsi" w:hAnsiTheme="majorHAnsi"/>
          <w:sz w:val="16"/>
          <w:szCs w:val="16"/>
        </w:rPr>
        <w:t xml:space="preserve"> </w:t>
      </w:r>
      <w:r w:rsidRPr="00EF2074">
        <w:rPr>
          <w:rFonts w:asciiTheme="majorHAnsi" w:hAnsiTheme="majorHAnsi"/>
          <w:sz w:val="16"/>
          <w:szCs w:val="16"/>
          <w:lang w:val="ro-MD"/>
        </w:rPr>
        <w:t>Pct</w:t>
      </w:r>
      <w:r>
        <w:rPr>
          <w:rFonts w:asciiTheme="majorHAnsi" w:hAnsiTheme="majorHAnsi"/>
          <w:sz w:val="16"/>
          <w:szCs w:val="16"/>
          <w:lang w:val="ro-MD"/>
        </w:rPr>
        <w:t>.10.1 din Contractul de antrepriză nr.09/11-15 din 16.09.2011.</w:t>
      </w:r>
    </w:p>
  </w:footnote>
  <w:footnote w:id="20">
    <w:p w14:paraId="12D3E5EA" w14:textId="6F2C6218" w:rsidR="007D68C6" w:rsidRPr="007D092C" w:rsidRDefault="007D68C6" w:rsidP="0010759A">
      <w:pPr>
        <w:pStyle w:val="ab"/>
        <w:jc w:val="both"/>
        <w:rPr>
          <w:rFonts w:asciiTheme="majorHAnsi" w:hAnsiTheme="majorHAnsi"/>
          <w:sz w:val="16"/>
          <w:szCs w:val="16"/>
          <w:lang w:val="ro-MD"/>
        </w:rPr>
      </w:pPr>
      <w:r w:rsidRPr="00876748">
        <w:rPr>
          <w:rStyle w:val="ad"/>
          <w:rFonts w:asciiTheme="majorHAnsi" w:hAnsiTheme="majorHAnsi"/>
          <w:sz w:val="16"/>
          <w:szCs w:val="16"/>
        </w:rPr>
        <w:footnoteRef/>
      </w:r>
      <w:r w:rsidRPr="00876748">
        <w:rPr>
          <w:rFonts w:asciiTheme="majorHAnsi" w:hAnsiTheme="majorHAnsi"/>
          <w:sz w:val="16"/>
          <w:szCs w:val="16"/>
        </w:rPr>
        <w:t xml:space="preserve"> </w:t>
      </w:r>
      <w:r w:rsidRPr="00876748">
        <w:rPr>
          <w:rFonts w:asciiTheme="majorHAnsi" w:hAnsiTheme="majorHAnsi" w:cstheme="majorHAnsi"/>
          <w:sz w:val="16"/>
          <w:szCs w:val="16"/>
        </w:rPr>
        <w:t xml:space="preserve">Pct.38 din </w:t>
      </w:r>
      <w:r w:rsidRPr="00876748">
        <w:rPr>
          <w:rFonts w:asciiTheme="majorHAnsi" w:hAnsiTheme="majorHAnsi" w:cstheme="majorHAnsi"/>
          <w:bCs/>
          <w:sz w:val="16"/>
          <w:szCs w:val="16"/>
        </w:rPr>
        <w:t>Regulamentul de recepţie a construcţiilor şi instalaţiilor aferente, aprobat prin H</w:t>
      </w:r>
      <w:r>
        <w:rPr>
          <w:rFonts w:asciiTheme="majorHAnsi" w:hAnsiTheme="majorHAnsi" w:cstheme="majorHAnsi"/>
          <w:bCs/>
          <w:sz w:val="16"/>
          <w:szCs w:val="16"/>
          <w:lang w:val="ro-MD"/>
        </w:rPr>
        <w:t xml:space="preserve">otărârea </w:t>
      </w:r>
      <w:r w:rsidRPr="00876748">
        <w:rPr>
          <w:rFonts w:asciiTheme="majorHAnsi" w:hAnsiTheme="majorHAnsi" w:cstheme="majorHAnsi"/>
          <w:bCs/>
          <w:sz w:val="16"/>
          <w:szCs w:val="16"/>
        </w:rPr>
        <w:t>G</w:t>
      </w:r>
      <w:r>
        <w:rPr>
          <w:rFonts w:asciiTheme="majorHAnsi" w:hAnsiTheme="majorHAnsi" w:cstheme="majorHAnsi"/>
          <w:bCs/>
          <w:sz w:val="16"/>
          <w:szCs w:val="16"/>
          <w:lang w:val="ro-MD"/>
        </w:rPr>
        <w:t>uvernului</w:t>
      </w:r>
      <w:r w:rsidRPr="00876748">
        <w:rPr>
          <w:rFonts w:asciiTheme="majorHAnsi" w:hAnsiTheme="majorHAnsi" w:cstheme="majorHAnsi"/>
          <w:bCs/>
          <w:sz w:val="16"/>
          <w:szCs w:val="16"/>
        </w:rPr>
        <w:t xml:space="preserve"> nr.</w:t>
      </w:r>
      <w:r w:rsidRPr="00876748">
        <w:rPr>
          <w:rFonts w:asciiTheme="majorHAnsi" w:hAnsiTheme="majorHAnsi" w:cstheme="majorHAnsi"/>
          <w:sz w:val="16"/>
          <w:szCs w:val="16"/>
        </w:rPr>
        <w:t>285 din 23.05.1996.</w:t>
      </w:r>
    </w:p>
  </w:footnote>
  <w:footnote w:id="21">
    <w:p w14:paraId="6627EDB0" w14:textId="42EDB5D6" w:rsidR="007D68C6" w:rsidRPr="00C855EB" w:rsidRDefault="007D68C6" w:rsidP="00344443">
      <w:pPr>
        <w:pStyle w:val="ab"/>
        <w:spacing w:line="276" w:lineRule="auto"/>
        <w:rPr>
          <w:rFonts w:asciiTheme="majorHAnsi" w:hAnsiTheme="majorHAnsi"/>
          <w:sz w:val="16"/>
          <w:szCs w:val="16"/>
          <w:lang w:val="ro-MD"/>
        </w:rPr>
      </w:pPr>
      <w:r w:rsidRPr="00F3196D">
        <w:rPr>
          <w:rStyle w:val="ad"/>
          <w:rFonts w:asciiTheme="majorHAnsi" w:hAnsiTheme="majorHAnsi"/>
          <w:sz w:val="16"/>
          <w:szCs w:val="16"/>
        </w:rPr>
        <w:footnoteRef/>
      </w:r>
      <w:r w:rsidRPr="00D2230D">
        <w:rPr>
          <w:rFonts w:asciiTheme="majorHAnsi" w:hAnsiTheme="majorHAnsi"/>
          <w:sz w:val="16"/>
          <w:szCs w:val="16"/>
        </w:rPr>
        <w:t xml:space="preserve"> </w:t>
      </w:r>
      <w:r>
        <w:rPr>
          <w:rFonts w:asciiTheme="majorHAnsi" w:hAnsiTheme="majorHAnsi"/>
          <w:sz w:val="16"/>
          <w:szCs w:val="16"/>
          <w:lang w:val="ro-MD"/>
        </w:rPr>
        <w:t>D</w:t>
      </w:r>
      <w:r>
        <w:rPr>
          <w:rFonts w:asciiTheme="majorHAnsi" w:hAnsiTheme="majorHAnsi"/>
          <w:sz w:val="16"/>
          <w:szCs w:val="16"/>
        </w:rPr>
        <w:t>emersul</w:t>
      </w:r>
      <w:r w:rsidRPr="00F3196D">
        <w:rPr>
          <w:rFonts w:asciiTheme="majorHAnsi" w:hAnsiTheme="majorHAnsi"/>
          <w:sz w:val="16"/>
          <w:szCs w:val="16"/>
        </w:rPr>
        <w:t xml:space="preserve"> nr.</w:t>
      </w:r>
      <w:r>
        <w:rPr>
          <w:rFonts w:asciiTheme="majorHAnsi" w:hAnsiTheme="majorHAnsi"/>
          <w:sz w:val="16"/>
          <w:szCs w:val="16"/>
        </w:rPr>
        <w:t xml:space="preserve"> 19/2-4700/21 din 31.12.2021 al</w:t>
      </w:r>
      <w:r>
        <w:rPr>
          <w:rFonts w:asciiTheme="majorHAnsi" w:hAnsiTheme="majorHAnsi"/>
          <w:sz w:val="16"/>
          <w:szCs w:val="16"/>
          <w:lang w:val="ro-MD"/>
        </w:rPr>
        <w:t xml:space="preserve"> </w:t>
      </w:r>
      <w:r w:rsidRPr="00F3196D">
        <w:rPr>
          <w:rFonts w:asciiTheme="majorHAnsi" w:hAnsiTheme="majorHAnsi"/>
          <w:sz w:val="16"/>
          <w:szCs w:val="16"/>
        </w:rPr>
        <w:t>Agenţiei pentru Supraveghere Tehnică</w:t>
      </w:r>
      <w:r>
        <w:rPr>
          <w:rFonts w:asciiTheme="majorHAnsi" w:hAnsiTheme="majorHAnsi"/>
          <w:sz w:val="16"/>
          <w:szCs w:val="16"/>
          <w:lang w:val="ro-MD"/>
        </w:rPr>
        <w:t>.</w:t>
      </w:r>
    </w:p>
  </w:footnote>
  <w:footnote w:id="22">
    <w:p w14:paraId="24D6752C" w14:textId="2A6EA361" w:rsidR="007D68C6" w:rsidRPr="00FA7BE8" w:rsidRDefault="007D68C6" w:rsidP="00C855EB">
      <w:pPr>
        <w:pStyle w:val="ab"/>
        <w:jc w:val="both"/>
        <w:rPr>
          <w:rFonts w:asciiTheme="majorHAnsi" w:hAnsiTheme="majorHAnsi" w:cstheme="majorHAnsi"/>
          <w:sz w:val="16"/>
          <w:szCs w:val="16"/>
          <w:lang w:val="ro-MD"/>
        </w:rPr>
      </w:pPr>
      <w:r w:rsidRPr="00553251">
        <w:rPr>
          <w:rStyle w:val="ad"/>
          <w:rFonts w:asciiTheme="majorHAnsi" w:hAnsiTheme="majorHAnsi" w:cstheme="majorHAnsi"/>
          <w:sz w:val="16"/>
          <w:szCs w:val="16"/>
        </w:rPr>
        <w:footnoteRef/>
      </w:r>
      <w:r w:rsidRPr="00FA7BE8">
        <w:rPr>
          <w:rFonts w:asciiTheme="majorHAnsi" w:hAnsiTheme="majorHAnsi" w:cstheme="majorHAnsi"/>
          <w:sz w:val="16"/>
          <w:szCs w:val="16"/>
        </w:rPr>
        <w:t xml:space="preserve"> </w:t>
      </w:r>
      <w:r w:rsidRPr="00C855EB">
        <w:rPr>
          <w:rFonts w:asciiTheme="majorHAnsi" w:hAnsiTheme="majorHAnsi" w:cstheme="majorHAnsi"/>
          <w:color w:val="002060"/>
          <w:sz w:val="16"/>
          <w:szCs w:val="16"/>
          <w:u w:val="single"/>
        </w:rPr>
        <w:t>https://www.chisinau.md/pageview.php?l=ro&amp;idc=618&amp;t=/Utile/Registre-i-Liste/Registrul-Monumentelor-Locale</w:t>
      </w:r>
    </w:p>
  </w:footnote>
  <w:footnote w:id="23">
    <w:p w14:paraId="5259D29A" w14:textId="2C2EC0B7" w:rsidR="007D68C6" w:rsidRPr="00F37BC9" w:rsidRDefault="007D68C6" w:rsidP="00C855EB">
      <w:pPr>
        <w:pStyle w:val="tt"/>
        <w:jc w:val="both"/>
        <w:rPr>
          <w:rFonts w:asciiTheme="majorHAnsi" w:hAnsiTheme="majorHAnsi" w:cstheme="majorHAnsi"/>
          <w:b w:val="0"/>
          <w:sz w:val="16"/>
          <w:szCs w:val="16"/>
          <w:lang w:val="ro-MD"/>
        </w:rPr>
      </w:pPr>
      <w:r w:rsidRPr="00C855EB">
        <w:rPr>
          <w:rStyle w:val="ad"/>
          <w:rFonts w:asciiTheme="majorHAnsi" w:hAnsiTheme="majorHAnsi" w:cstheme="majorHAnsi"/>
          <w:b w:val="0"/>
          <w:sz w:val="16"/>
          <w:szCs w:val="16"/>
          <w:lang w:val="ro-MD"/>
        </w:rPr>
        <w:footnoteRef/>
      </w:r>
      <w:r w:rsidRPr="00F37BC9">
        <w:rPr>
          <w:rFonts w:asciiTheme="majorHAnsi" w:hAnsiTheme="majorHAnsi" w:cstheme="majorHAnsi"/>
          <w:b w:val="0"/>
          <w:sz w:val="16"/>
          <w:szCs w:val="16"/>
          <w:lang w:val="ro-MD"/>
        </w:rPr>
        <w:t xml:space="preserve"> Hotăr</w:t>
      </w:r>
      <w:r w:rsidRPr="00635C4B">
        <w:rPr>
          <w:rFonts w:asciiTheme="majorHAnsi" w:hAnsiTheme="majorHAnsi" w:cstheme="majorHAnsi"/>
          <w:b w:val="0"/>
          <w:sz w:val="16"/>
          <w:szCs w:val="16"/>
          <w:lang w:val="ro-MD"/>
        </w:rPr>
        <w:t xml:space="preserve">ârea Guvernului </w:t>
      </w:r>
      <w:r w:rsidRPr="00635C4B">
        <w:rPr>
          <w:rFonts w:asciiTheme="majorHAnsi" w:hAnsiTheme="majorHAnsi" w:cstheme="majorHAnsi"/>
          <w:b w:val="0"/>
          <w:bCs w:val="0"/>
          <w:sz w:val="16"/>
          <w:szCs w:val="16"/>
          <w:lang w:val="ro-MD"/>
        </w:rPr>
        <w:t>nr. 402  din  16.06.2015</w:t>
      </w:r>
      <w:r w:rsidRPr="00926043">
        <w:rPr>
          <w:rFonts w:asciiTheme="majorHAnsi" w:hAnsiTheme="majorHAnsi" w:cstheme="majorHAnsi"/>
          <w:b w:val="0"/>
          <w:sz w:val="16"/>
          <w:szCs w:val="16"/>
          <w:lang w:val="ro-MD"/>
        </w:rPr>
        <w:t xml:space="preserve"> </w:t>
      </w:r>
      <w:r w:rsidRPr="00C855EB">
        <w:rPr>
          <w:rFonts w:asciiTheme="majorHAnsi" w:hAnsiTheme="majorHAnsi" w:cstheme="majorHAnsi"/>
          <w:b w:val="0"/>
          <w:sz w:val="16"/>
          <w:szCs w:val="16"/>
          <w:lang w:val="ro-MD"/>
        </w:rPr>
        <w:t>„Cu privire la transmiterea unui imobil”.</w:t>
      </w:r>
      <w:r w:rsidRPr="00C855EB">
        <w:rPr>
          <w:rFonts w:asciiTheme="majorHAnsi" w:hAnsiTheme="majorHAnsi" w:cstheme="majorHAnsi"/>
          <w:bCs w:val="0"/>
          <w:sz w:val="20"/>
          <w:szCs w:val="20"/>
          <w:lang w:val="ro-MD"/>
        </w:rPr>
        <w:t> </w:t>
      </w:r>
    </w:p>
  </w:footnote>
  <w:footnote w:id="24">
    <w:p w14:paraId="482395CD" w14:textId="4BEE8B5D" w:rsidR="007D68C6" w:rsidRPr="00926043" w:rsidRDefault="007D68C6" w:rsidP="00B14A1E">
      <w:pPr>
        <w:pStyle w:val="ab"/>
        <w:rPr>
          <w:rFonts w:asciiTheme="majorHAnsi" w:hAnsiTheme="majorHAnsi" w:cstheme="majorHAnsi"/>
          <w:sz w:val="16"/>
          <w:szCs w:val="16"/>
          <w:lang w:val="ro-MD"/>
        </w:rPr>
      </w:pPr>
      <w:r w:rsidRPr="00B372B9">
        <w:rPr>
          <w:rStyle w:val="ad"/>
          <w:rFonts w:asciiTheme="majorHAnsi" w:hAnsiTheme="majorHAnsi" w:cstheme="majorHAnsi"/>
          <w:sz w:val="16"/>
          <w:szCs w:val="16"/>
        </w:rPr>
        <w:footnoteRef/>
      </w:r>
      <w:r w:rsidRPr="00B372B9">
        <w:rPr>
          <w:rFonts w:asciiTheme="majorHAnsi" w:hAnsiTheme="majorHAnsi" w:cstheme="majorHAnsi"/>
          <w:sz w:val="16"/>
          <w:szCs w:val="16"/>
        </w:rPr>
        <w:t xml:space="preserve"> </w:t>
      </w:r>
      <w:r w:rsidRPr="00B372B9">
        <w:rPr>
          <w:rFonts w:asciiTheme="majorHAnsi" w:hAnsiTheme="majorHAnsi" w:cstheme="majorHAnsi"/>
          <w:noProof/>
          <w:sz w:val="16"/>
          <w:szCs w:val="16"/>
        </w:rPr>
        <w:t xml:space="preserve">Agenția Națională </w:t>
      </w:r>
      <w:r>
        <w:rPr>
          <w:rFonts w:asciiTheme="majorHAnsi" w:hAnsiTheme="majorHAnsi" w:cstheme="majorHAnsi"/>
          <w:noProof/>
          <w:sz w:val="16"/>
          <w:szCs w:val="16"/>
          <w:lang w:val="ro-MD"/>
        </w:rPr>
        <w:t xml:space="preserve">pentru </w:t>
      </w:r>
      <w:r w:rsidRPr="00B372B9">
        <w:rPr>
          <w:rFonts w:asciiTheme="majorHAnsi" w:hAnsiTheme="majorHAnsi" w:cstheme="majorHAnsi"/>
          <w:noProof/>
          <w:sz w:val="16"/>
          <w:szCs w:val="16"/>
        </w:rPr>
        <w:t>Sănătate Publică</w:t>
      </w:r>
      <w:r>
        <w:rPr>
          <w:rFonts w:asciiTheme="majorHAnsi" w:hAnsiTheme="majorHAnsi" w:cstheme="majorHAnsi"/>
          <w:noProof/>
          <w:sz w:val="16"/>
          <w:szCs w:val="16"/>
          <w:lang w:val="ro-MD"/>
        </w:rPr>
        <w:t>.</w:t>
      </w:r>
    </w:p>
  </w:footnote>
  <w:footnote w:id="25">
    <w:p w14:paraId="45B3ECAE" w14:textId="77777777" w:rsidR="007D68C6" w:rsidRPr="00FC552A" w:rsidRDefault="007D68C6" w:rsidP="001C454A">
      <w:pPr>
        <w:pStyle w:val="ab"/>
        <w:rPr>
          <w:rFonts w:asciiTheme="majorHAnsi" w:hAnsiTheme="majorHAnsi"/>
          <w:sz w:val="16"/>
          <w:szCs w:val="16"/>
          <w:lang w:val="ro-MD"/>
        </w:rPr>
      </w:pPr>
      <w:r w:rsidRPr="00FC552A">
        <w:rPr>
          <w:rStyle w:val="ad"/>
          <w:rFonts w:asciiTheme="majorHAnsi" w:hAnsiTheme="majorHAnsi"/>
          <w:sz w:val="16"/>
          <w:szCs w:val="16"/>
        </w:rPr>
        <w:footnoteRef/>
      </w:r>
      <w:r w:rsidRPr="00FC552A">
        <w:rPr>
          <w:rFonts w:asciiTheme="majorHAnsi" w:hAnsiTheme="majorHAnsi"/>
          <w:sz w:val="16"/>
          <w:szCs w:val="16"/>
        </w:rPr>
        <w:t xml:space="preserve"> </w:t>
      </w:r>
      <w:r w:rsidRPr="00CC2D8F">
        <w:rPr>
          <w:rFonts w:asciiTheme="majorHAnsi" w:hAnsiTheme="majorHAnsi" w:cstheme="majorHAnsi"/>
          <w:sz w:val="16"/>
          <w:szCs w:val="16"/>
          <w:lang w:val="fr-FR"/>
        </w:rPr>
        <w:t>Agen</w:t>
      </w:r>
      <w:r w:rsidRPr="00FC552A">
        <w:rPr>
          <w:rFonts w:asciiTheme="majorHAnsi" w:hAnsiTheme="majorHAnsi" w:cstheme="majorHAnsi"/>
          <w:sz w:val="16"/>
          <w:szCs w:val="16"/>
        </w:rPr>
        <w:t>ția Națională pentru Sănătate Publică, Centrul Național de Transfuzie a Sângelui.</w:t>
      </w:r>
    </w:p>
  </w:footnote>
  <w:footnote w:id="26">
    <w:p w14:paraId="228BA036" w14:textId="06C9DCF6" w:rsidR="007D68C6" w:rsidRPr="00FC552A" w:rsidRDefault="007D68C6" w:rsidP="001C454A">
      <w:pPr>
        <w:pStyle w:val="ab"/>
        <w:rPr>
          <w:rFonts w:asciiTheme="majorHAnsi" w:hAnsiTheme="majorHAnsi"/>
          <w:sz w:val="16"/>
          <w:szCs w:val="16"/>
          <w:lang w:val="ro-MD"/>
        </w:rPr>
      </w:pPr>
      <w:r w:rsidRPr="00FC552A">
        <w:rPr>
          <w:rStyle w:val="ad"/>
          <w:rFonts w:asciiTheme="majorHAnsi" w:hAnsiTheme="majorHAnsi"/>
          <w:sz w:val="16"/>
          <w:szCs w:val="16"/>
        </w:rPr>
        <w:footnoteRef/>
      </w:r>
      <w:r w:rsidRPr="00FC552A">
        <w:rPr>
          <w:rFonts w:asciiTheme="majorHAnsi" w:hAnsiTheme="majorHAnsi"/>
          <w:sz w:val="16"/>
          <w:szCs w:val="16"/>
        </w:rPr>
        <w:t xml:space="preserve"> GRAWE CARAT ASIGURARI SA IM CA – 295,5 mii lei, PHARMONY SRL – 1</w:t>
      </w:r>
      <w:r>
        <w:rPr>
          <w:rFonts w:asciiTheme="majorHAnsi" w:hAnsiTheme="majorHAnsi"/>
          <w:sz w:val="16"/>
          <w:szCs w:val="16"/>
          <w:lang w:val="ro-MD"/>
        </w:rPr>
        <w:t>.</w:t>
      </w:r>
      <w:r w:rsidRPr="00FC552A">
        <w:rPr>
          <w:rFonts w:asciiTheme="majorHAnsi" w:hAnsiTheme="majorHAnsi"/>
          <w:sz w:val="16"/>
          <w:szCs w:val="16"/>
        </w:rPr>
        <w:t xml:space="preserve">320,9 mii lei, MEDICLIM AM SRL – 172,6 mii lei etc.      </w:t>
      </w:r>
    </w:p>
  </w:footnote>
  <w:footnote w:id="27">
    <w:p w14:paraId="2E237157" w14:textId="18B4575B" w:rsidR="007D68C6" w:rsidRPr="007D3B5B" w:rsidRDefault="007D68C6" w:rsidP="001C454A">
      <w:pPr>
        <w:pStyle w:val="ab"/>
        <w:rPr>
          <w:rFonts w:asciiTheme="majorHAnsi" w:hAnsiTheme="majorHAnsi"/>
          <w:sz w:val="16"/>
          <w:szCs w:val="16"/>
          <w:lang w:val="ro-MD"/>
        </w:rPr>
      </w:pPr>
      <w:r w:rsidRPr="00425E90">
        <w:rPr>
          <w:rStyle w:val="ad"/>
          <w:rFonts w:asciiTheme="majorHAnsi" w:hAnsiTheme="majorHAnsi"/>
          <w:sz w:val="16"/>
          <w:szCs w:val="16"/>
        </w:rPr>
        <w:footnoteRef/>
      </w:r>
      <w:r>
        <w:rPr>
          <w:rFonts w:asciiTheme="majorHAnsi" w:hAnsiTheme="majorHAnsi"/>
          <w:sz w:val="16"/>
          <w:szCs w:val="16"/>
          <w:lang w:val="ro-MD"/>
        </w:rPr>
        <w:t xml:space="preserve"> Scrisoarea CNAMUP adresată MS la data de 23.06.2022, cu nr.01.15/1024.</w:t>
      </w:r>
    </w:p>
  </w:footnote>
  <w:footnote w:id="28">
    <w:p w14:paraId="5A8D2CE7" w14:textId="0C1080AE" w:rsidR="007D68C6" w:rsidRPr="00B070C5" w:rsidRDefault="007D68C6" w:rsidP="00E32DFA">
      <w:pPr>
        <w:pStyle w:val="ab"/>
        <w:rPr>
          <w:rFonts w:asciiTheme="majorHAnsi" w:hAnsiTheme="majorHAnsi" w:cstheme="majorHAnsi"/>
          <w:sz w:val="16"/>
          <w:szCs w:val="16"/>
          <w:lang w:val="ro-MD"/>
        </w:rPr>
      </w:pPr>
      <w:r w:rsidRPr="00E32DFA">
        <w:rPr>
          <w:rStyle w:val="ad"/>
          <w:rFonts w:asciiTheme="majorHAnsi" w:hAnsiTheme="majorHAnsi" w:cstheme="majorHAnsi"/>
          <w:sz w:val="16"/>
          <w:szCs w:val="16"/>
        </w:rPr>
        <w:footnoteRef/>
      </w:r>
      <w:r w:rsidRPr="00E32DFA">
        <w:rPr>
          <w:rFonts w:asciiTheme="majorHAnsi" w:hAnsiTheme="majorHAnsi" w:cstheme="majorHAnsi"/>
          <w:sz w:val="16"/>
          <w:szCs w:val="16"/>
        </w:rPr>
        <w:t xml:space="preserve"> Centrul de Medicină Legală</w:t>
      </w:r>
      <w:r>
        <w:rPr>
          <w:rFonts w:asciiTheme="majorHAnsi" w:hAnsiTheme="majorHAnsi" w:cstheme="majorHAnsi"/>
          <w:sz w:val="16"/>
          <w:szCs w:val="16"/>
          <w:lang w:val="ro-MD"/>
        </w:rPr>
        <w:t>.</w:t>
      </w:r>
    </w:p>
  </w:footnote>
  <w:footnote w:id="29">
    <w:p w14:paraId="1B92C894" w14:textId="4C68AFFB" w:rsidR="007D68C6" w:rsidRPr="00E32DFA" w:rsidRDefault="007D68C6" w:rsidP="00E32DFA">
      <w:pPr>
        <w:pStyle w:val="ab"/>
        <w:rPr>
          <w:rFonts w:asciiTheme="majorHAnsi" w:hAnsiTheme="majorHAnsi" w:cstheme="majorHAnsi"/>
          <w:sz w:val="16"/>
          <w:szCs w:val="16"/>
          <w:lang w:val="ro-MD"/>
        </w:rPr>
      </w:pPr>
      <w:r w:rsidRPr="00E32DFA">
        <w:rPr>
          <w:rStyle w:val="ad"/>
          <w:rFonts w:asciiTheme="majorHAnsi" w:hAnsiTheme="majorHAnsi" w:cstheme="majorHAnsi"/>
          <w:sz w:val="16"/>
          <w:szCs w:val="16"/>
        </w:rPr>
        <w:footnoteRef/>
      </w:r>
      <w:r w:rsidRPr="00E32DFA">
        <w:rPr>
          <w:rFonts w:asciiTheme="majorHAnsi" w:hAnsiTheme="majorHAnsi" w:cstheme="majorHAnsi"/>
          <w:sz w:val="16"/>
          <w:szCs w:val="16"/>
        </w:rPr>
        <w:t xml:space="preserve"> </w:t>
      </w:r>
      <w:r w:rsidRPr="00E32DFA">
        <w:rPr>
          <w:rFonts w:asciiTheme="majorHAnsi" w:hAnsiTheme="majorHAnsi" w:cstheme="majorHAnsi"/>
          <w:sz w:val="16"/>
          <w:szCs w:val="16"/>
          <w:lang w:val="ro-MD"/>
        </w:rPr>
        <w:t>Legea</w:t>
      </w:r>
      <w:r>
        <w:rPr>
          <w:rFonts w:asciiTheme="majorHAnsi" w:hAnsiTheme="majorHAnsi" w:cstheme="majorHAnsi"/>
          <w:sz w:val="16"/>
          <w:szCs w:val="16"/>
          <w:lang w:val="ro-MD"/>
        </w:rPr>
        <w:t xml:space="preserve"> nr.</w:t>
      </w:r>
      <w:r w:rsidRPr="00E32DFA">
        <w:rPr>
          <w:rFonts w:asciiTheme="majorHAnsi" w:hAnsiTheme="majorHAnsi" w:cstheme="majorHAnsi"/>
          <w:sz w:val="16"/>
          <w:szCs w:val="16"/>
          <w:lang w:val="ro-MD"/>
        </w:rPr>
        <w:t xml:space="preserve"> 131 din 03.07.2015 privind achizițiile publice</w:t>
      </w:r>
      <w:r>
        <w:rPr>
          <w:rFonts w:asciiTheme="majorHAnsi" w:hAnsiTheme="majorHAnsi" w:cstheme="majorHAnsi"/>
          <w:sz w:val="16"/>
          <w:szCs w:val="16"/>
          <w:lang w:val="ro-MD"/>
        </w:rPr>
        <w:t>.</w:t>
      </w:r>
    </w:p>
  </w:footnote>
  <w:footnote w:id="30">
    <w:p w14:paraId="18CC5494" w14:textId="6FC3B079" w:rsidR="007D68C6" w:rsidRPr="00F06EF5" w:rsidRDefault="007D68C6" w:rsidP="00E32DFA">
      <w:pPr>
        <w:pStyle w:val="ab"/>
        <w:rPr>
          <w:lang w:val="ro-MD"/>
        </w:rPr>
      </w:pPr>
      <w:r w:rsidRPr="00C855EB">
        <w:rPr>
          <w:rStyle w:val="ad"/>
          <w:rFonts w:asciiTheme="majorHAnsi" w:hAnsiTheme="majorHAnsi" w:cstheme="majorHAnsi"/>
          <w:sz w:val="16"/>
          <w:szCs w:val="16"/>
          <w:lang w:val="ro-MD"/>
        </w:rPr>
        <w:footnoteRef/>
      </w:r>
      <w:r w:rsidRPr="00C855EB">
        <w:rPr>
          <w:rFonts w:asciiTheme="majorHAnsi" w:hAnsiTheme="majorHAnsi" w:cstheme="majorHAnsi"/>
          <w:sz w:val="16"/>
          <w:szCs w:val="16"/>
          <w:lang w:val="ro-MD"/>
        </w:rPr>
        <w:t xml:space="preserve"> Agenți</w:t>
      </w:r>
      <w:r w:rsidR="00F06EF5">
        <w:rPr>
          <w:rFonts w:asciiTheme="majorHAnsi" w:hAnsiTheme="majorHAnsi" w:cstheme="majorHAnsi"/>
          <w:sz w:val="16"/>
          <w:szCs w:val="16"/>
          <w:lang w:val="ro-MD"/>
        </w:rPr>
        <w:t>a</w:t>
      </w:r>
      <w:r w:rsidRPr="00C855EB">
        <w:rPr>
          <w:rFonts w:asciiTheme="majorHAnsi" w:hAnsiTheme="majorHAnsi" w:cstheme="majorHAnsi"/>
          <w:sz w:val="16"/>
          <w:szCs w:val="16"/>
          <w:lang w:val="ro-MD"/>
        </w:rPr>
        <w:t xml:space="preserve"> Națională </w:t>
      </w:r>
      <w:r w:rsidR="00F06EF5">
        <w:rPr>
          <w:rFonts w:asciiTheme="majorHAnsi" w:hAnsiTheme="majorHAnsi" w:cstheme="majorHAnsi"/>
          <w:sz w:val="16"/>
          <w:szCs w:val="16"/>
          <w:lang w:val="ro-MD"/>
        </w:rPr>
        <w:t xml:space="preserve">pentru </w:t>
      </w:r>
      <w:r w:rsidRPr="00C855EB">
        <w:rPr>
          <w:rFonts w:asciiTheme="majorHAnsi" w:hAnsiTheme="majorHAnsi" w:cstheme="majorHAnsi"/>
          <w:sz w:val="16"/>
          <w:szCs w:val="16"/>
          <w:lang w:val="ro-MD"/>
        </w:rPr>
        <w:t>Sănătate Publică</w:t>
      </w:r>
      <w:r w:rsidR="00F06EF5">
        <w:rPr>
          <w:rFonts w:asciiTheme="majorHAnsi" w:hAnsiTheme="majorHAnsi" w:cstheme="majorHAnsi"/>
          <w:sz w:val="16"/>
          <w:szCs w:val="16"/>
          <w:lang w:val="ro-MD"/>
        </w:rPr>
        <w:t>.</w:t>
      </w:r>
    </w:p>
  </w:footnote>
  <w:footnote w:id="31">
    <w:p w14:paraId="2A110F94" w14:textId="3E3BA089" w:rsidR="007D68C6" w:rsidRPr="00F06EF5" w:rsidRDefault="007D68C6" w:rsidP="000D100D">
      <w:pPr>
        <w:pStyle w:val="ab"/>
        <w:rPr>
          <w:rFonts w:asciiTheme="majorHAnsi" w:hAnsiTheme="majorHAnsi" w:cstheme="majorHAnsi"/>
          <w:sz w:val="16"/>
          <w:szCs w:val="16"/>
          <w:lang w:val="ro-MD"/>
        </w:rPr>
      </w:pPr>
      <w:r w:rsidRPr="00C855EB">
        <w:rPr>
          <w:rStyle w:val="ad"/>
          <w:rFonts w:asciiTheme="majorHAnsi" w:hAnsiTheme="majorHAnsi" w:cstheme="majorHAnsi"/>
          <w:sz w:val="16"/>
          <w:szCs w:val="16"/>
          <w:lang w:val="ro-MD"/>
        </w:rPr>
        <w:footnoteRef/>
      </w:r>
      <w:r w:rsidRPr="00C855EB">
        <w:rPr>
          <w:rFonts w:asciiTheme="majorHAnsi" w:hAnsiTheme="majorHAnsi" w:cstheme="majorHAnsi"/>
          <w:sz w:val="16"/>
          <w:szCs w:val="16"/>
          <w:lang w:val="ro-MD"/>
        </w:rPr>
        <w:t xml:space="preserve"> </w:t>
      </w:r>
      <w:r w:rsidRPr="00F06EF5">
        <w:rPr>
          <w:rFonts w:asciiTheme="majorHAnsi" w:hAnsiTheme="majorHAnsi" w:cstheme="majorHAnsi"/>
          <w:sz w:val="16"/>
          <w:szCs w:val="16"/>
          <w:lang w:val="ro-MD"/>
        </w:rPr>
        <w:t>Agenția Națională de Asistență Socială</w:t>
      </w:r>
      <w:r w:rsidR="00F06EF5">
        <w:rPr>
          <w:rFonts w:asciiTheme="majorHAnsi" w:hAnsiTheme="majorHAnsi" w:cstheme="majorHAnsi"/>
          <w:sz w:val="16"/>
          <w:szCs w:val="16"/>
          <w:lang w:val="ro-MD"/>
        </w:rPr>
        <w:t>.</w:t>
      </w:r>
    </w:p>
  </w:footnote>
  <w:footnote w:id="32">
    <w:p w14:paraId="30AF49DD" w14:textId="39AC7FAC" w:rsidR="007D68C6" w:rsidRPr="00F06EF5" w:rsidRDefault="007D68C6" w:rsidP="00537101">
      <w:pPr>
        <w:pStyle w:val="ab"/>
        <w:rPr>
          <w:lang w:val="ro-MD"/>
        </w:rPr>
      </w:pPr>
      <w:r w:rsidRPr="00F06EF5">
        <w:rPr>
          <w:rStyle w:val="ad"/>
          <w:rFonts w:asciiTheme="majorHAnsi" w:hAnsiTheme="majorHAnsi" w:cstheme="majorHAnsi"/>
          <w:sz w:val="16"/>
          <w:szCs w:val="16"/>
          <w:lang w:val="ro-MD"/>
        </w:rPr>
        <w:footnoteRef/>
      </w:r>
      <w:r w:rsidRPr="00F06EF5">
        <w:rPr>
          <w:rFonts w:asciiTheme="majorHAnsi" w:hAnsiTheme="majorHAnsi" w:cstheme="majorHAnsi"/>
          <w:sz w:val="16"/>
          <w:szCs w:val="16"/>
          <w:lang w:val="ro-MD"/>
        </w:rPr>
        <w:t xml:space="preserve"> Agenți</w:t>
      </w:r>
      <w:r w:rsidR="00F06EF5">
        <w:rPr>
          <w:rFonts w:asciiTheme="majorHAnsi" w:hAnsiTheme="majorHAnsi" w:cstheme="majorHAnsi"/>
          <w:sz w:val="16"/>
          <w:szCs w:val="16"/>
          <w:lang w:val="ro-MD"/>
        </w:rPr>
        <w:t>a</w:t>
      </w:r>
      <w:r w:rsidRPr="00F06EF5">
        <w:rPr>
          <w:rFonts w:asciiTheme="majorHAnsi" w:hAnsiTheme="majorHAnsi" w:cstheme="majorHAnsi"/>
          <w:sz w:val="16"/>
          <w:szCs w:val="16"/>
          <w:lang w:val="ro-MD"/>
        </w:rPr>
        <w:t xml:space="preserve"> Națională </w:t>
      </w:r>
      <w:r w:rsidR="00F06EF5">
        <w:rPr>
          <w:rFonts w:asciiTheme="majorHAnsi" w:hAnsiTheme="majorHAnsi" w:cstheme="majorHAnsi"/>
          <w:sz w:val="16"/>
          <w:szCs w:val="16"/>
          <w:lang w:val="ro-MD"/>
        </w:rPr>
        <w:t xml:space="preserve">pentru </w:t>
      </w:r>
      <w:r w:rsidRPr="00F06EF5">
        <w:rPr>
          <w:rFonts w:asciiTheme="majorHAnsi" w:hAnsiTheme="majorHAnsi" w:cstheme="majorHAnsi"/>
          <w:sz w:val="16"/>
          <w:szCs w:val="16"/>
          <w:lang w:val="ro-MD"/>
        </w:rPr>
        <w:t>Sănătate Publică</w:t>
      </w:r>
      <w:r w:rsidR="00F06EF5">
        <w:rPr>
          <w:rFonts w:asciiTheme="majorHAnsi" w:hAnsiTheme="majorHAnsi" w:cstheme="majorHAnsi"/>
          <w:sz w:val="16"/>
          <w:szCs w:val="16"/>
          <w:lang w:val="ro-MD"/>
        </w:rPr>
        <w:t>.</w:t>
      </w:r>
    </w:p>
  </w:footnote>
  <w:footnote w:id="33">
    <w:p w14:paraId="6F93A9AF" w14:textId="67F94C74" w:rsidR="007D68C6" w:rsidRPr="00F06EF5" w:rsidRDefault="007D68C6">
      <w:pPr>
        <w:pStyle w:val="ab"/>
        <w:rPr>
          <w:rFonts w:asciiTheme="majorHAnsi" w:hAnsiTheme="majorHAnsi" w:cstheme="majorHAnsi"/>
          <w:sz w:val="16"/>
          <w:szCs w:val="16"/>
          <w:lang w:val="ro-MD"/>
        </w:rPr>
      </w:pPr>
      <w:r w:rsidRPr="00F06EF5">
        <w:rPr>
          <w:rStyle w:val="ad"/>
          <w:rFonts w:asciiTheme="majorHAnsi" w:hAnsiTheme="majorHAnsi" w:cstheme="majorHAnsi"/>
          <w:sz w:val="16"/>
          <w:szCs w:val="16"/>
          <w:lang w:val="ro-MD"/>
        </w:rPr>
        <w:footnoteRef/>
      </w:r>
      <w:r w:rsidRPr="00F06EF5">
        <w:rPr>
          <w:rFonts w:asciiTheme="majorHAnsi" w:hAnsiTheme="majorHAnsi" w:cstheme="majorHAnsi"/>
          <w:sz w:val="16"/>
          <w:szCs w:val="16"/>
          <w:lang w:val="ro-MD"/>
        </w:rPr>
        <w:t xml:space="preserve"> </w:t>
      </w:r>
      <w:r w:rsidRPr="00F06EF5">
        <w:rPr>
          <w:rFonts w:asciiTheme="majorHAnsi" w:hAnsiTheme="majorHAnsi" w:cstheme="majorHAnsi"/>
          <w:noProof/>
          <w:sz w:val="16"/>
          <w:szCs w:val="16"/>
          <w:lang w:val="ro-MD"/>
        </w:rPr>
        <w:t>Centrul de Medicină Legală</w:t>
      </w:r>
      <w:r w:rsidR="00F06EF5">
        <w:rPr>
          <w:rFonts w:asciiTheme="majorHAnsi" w:hAnsiTheme="majorHAnsi" w:cstheme="majorHAnsi"/>
          <w:noProof/>
          <w:sz w:val="16"/>
          <w:szCs w:val="16"/>
          <w:lang w:val="ro-MD"/>
        </w:rPr>
        <w:t>.</w:t>
      </w:r>
    </w:p>
  </w:footnote>
  <w:footnote w:id="34">
    <w:p w14:paraId="762CB170" w14:textId="2BC3CFEA" w:rsidR="007D68C6" w:rsidRPr="001A7B04" w:rsidRDefault="007D68C6" w:rsidP="00C855EB">
      <w:pPr>
        <w:pStyle w:val="ab"/>
        <w:jc w:val="both"/>
        <w:rPr>
          <w:rFonts w:asciiTheme="majorHAnsi" w:hAnsiTheme="majorHAnsi"/>
          <w:sz w:val="16"/>
          <w:szCs w:val="16"/>
          <w:lang w:val="ro-MD"/>
        </w:rPr>
      </w:pPr>
      <w:r w:rsidRPr="001A7B04">
        <w:rPr>
          <w:rStyle w:val="ad"/>
          <w:rFonts w:asciiTheme="majorHAnsi" w:hAnsiTheme="majorHAnsi"/>
          <w:sz w:val="16"/>
          <w:szCs w:val="16"/>
          <w:lang w:val="ro-MD"/>
        </w:rPr>
        <w:footnoteRef/>
      </w:r>
      <w:r w:rsidRPr="001A7B04">
        <w:rPr>
          <w:rFonts w:asciiTheme="majorHAnsi" w:hAnsiTheme="majorHAnsi"/>
          <w:sz w:val="16"/>
          <w:szCs w:val="16"/>
          <w:lang w:val="ro-MD"/>
        </w:rPr>
        <w:t xml:space="preserve"> ANSP – 287</w:t>
      </w:r>
      <w:r w:rsidR="001A7B04">
        <w:rPr>
          <w:rFonts w:asciiTheme="majorHAnsi" w:hAnsiTheme="majorHAnsi"/>
          <w:sz w:val="16"/>
          <w:szCs w:val="16"/>
          <w:lang w:val="ro-MD"/>
        </w:rPr>
        <w:t>.</w:t>
      </w:r>
      <w:r w:rsidRPr="001A7B04">
        <w:rPr>
          <w:rFonts w:asciiTheme="majorHAnsi" w:hAnsiTheme="majorHAnsi"/>
          <w:sz w:val="16"/>
          <w:szCs w:val="16"/>
          <w:lang w:val="ro-MD"/>
        </w:rPr>
        <w:t>014,8 mii lei; CRC Cead</w:t>
      </w:r>
      <w:r w:rsidR="001A7B04">
        <w:rPr>
          <w:rFonts w:asciiTheme="majorHAnsi" w:hAnsiTheme="majorHAnsi"/>
          <w:sz w:val="16"/>
          <w:szCs w:val="16"/>
          <w:lang w:val="ro-MD"/>
        </w:rPr>
        <w:t>â</w:t>
      </w:r>
      <w:r w:rsidRPr="001A7B04">
        <w:rPr>
          <w:rFonts w:asciiTheme="majorHAnsi" w:hAnsiTheme="majorHAnsi"/>
          <w:sz w:val="16"/>
          <w:szCs w:val="16"/>
          <w:lang w:val="ro-MD"/>
        </w:rPr>
        <w:t>r</w:t>
      </w:r>
      <w:r w:rsidR="001A7B04">
        <w:rPr>
          <w:rFonts w:asciiTheme="majorHAnsi" w:hAnsiTheme="majorHAnsi"/>
          <w:sz w:val="16"/>
          <w:szCs w:val="16"/>
          <w:lang w:val="ro-MD"/>
        </w:rPr>
        <w:t>-</w:t>
      </w:r>
      <w:r w:rsidRPr="001A7B04">
        <w:rPr>
          <w:rFonts w:asciiTheme="majorHAnsi" w:hAnsiTheme="majorHAnsi"/>
          <w:sz w:val="16"/>
          <w:szCs w:val="16"/>
          <w:lang w:val="ro-MD"/>
        </w:rPr>
        <w:t>Lunga – 41</w:t>
      </w:r>
      <w:r w:rsidR="001A7B04">
        <w:rPr>
          <w:rFonts w:asciiTheme="majorHAnsi" w:hAnsiTheme="majorHAnsi"/>
          <w:sz w:val="16"/>
          <w:szCs w:val="16"/>
          <w:lang w:val="ro-MD"/>
        </w:rPr>
        <w:t>.</w:t>
      </w:r>
      <w:r w:rsidRPr="001A7B04">
        <w:rPr>
          <w:rFonts w:asciiTheme="majorHAnsi" w:hAnsiTheme="majorHAnsi"/>
          <w:sz w:val="16"/>
          <w:szCs w:val="16"/>
          <w:lang w:val="ro-MD"/>
        </w:rPr>
        <w:t>955,7 mii lei; CRRC Chișinău – 37</w:t>
      </w:r>
      <w:r w:rsidR="001A7B04">
        <w:rPr>
          <w:rFonts w:asciiTheme="majorHAnsi" w:hAnsiTheme="majorHAnsi"/>
          <w:sz w:val="16"/>
          <w:szCs w:val="16"/>
          <w:lang w:val="ro-MD"/>
        </w:rPr>
        <w:t>.</w:t>
      </w:r>
      <w:r w:rsidRPr="001A7B04">
        <w:rPr>
          <w:rFonts w:asciiTheme="majorHAnsi" w:hAnsiTheme="majorHAnsi"/>
          <w:sz w:val="16"/>
          <w:szCs w:val="16"/>
          <w:lang w:val="ro-MD"/>
        </w:rPr>
        <w:t>394,8 mii lei; UCIMP – 82</w:t>
      </w:r>
      <w:r w:rsidR="001A7B04">
        <w:rPr>
          <w:rFonts w:asciiTheme="majorHAnsi" w:hAnsiTheme="majorHAnsi"/>
          <w:sz w:val="16"/>
          <w:szCs w:val="16"/>
          <w:lang w:val="ro-MD"/>
        </w:rPr>
        <w:t>.</w:t>
      </w:r>
      <w:r w:rsidRPr="001A7B04">
        <w:rPr>
          <w:rFonts w:asciiTheme="majorHAnsi" w:hAnsiTheme="majorHAnsi"/>
          <w:sz w:val="16"/>
          <w:szCs w:val="16"/>
          <w:lang w:val="ro-MD"/>
        </w:rPr>
        <w:t>932,4 mii lei; ANAS – 12</w:t>
      </w:r>
      <w:r w:rsidR="001A7B04">
        <w:rPr>
          <w:rFonts w:asciiTheme="majorHAnsi" w:hAnsiTheme="majorHAnsi"/>
          <w:sz w:val="16"/>
          <w:szCs w:val="16"/>
          <w:lang w:val="ro-MD"/>
        </w:rPr>
        <w:t>.</w:t>
      </w:r>
      <w:r w:rsidRPr="001A7B04">
        <w:rPr>
          <w:rFonts w:asciiTheme="majorHAnsi" w:hAnsiTheme="majorHAnsi"/>
          <w:sz w:val="16"/>
          <w:szCs w:val="16"/>
          <w:lang w:val="ro-MD"/>
        </w:rPr>
        <w:t>151,1 mii lei; CPPVPD Chișinău – 25</w:t>
      </w:r>
      <w:r w:rsidR="001A7B04">
        <w:rPr>
          <w:rFonts w:asciiTheme="majorHAnsi" w:hAnsiTheme="majorHAnsi"/>
          <w:sz w:val="16"/>
          <w:szCs w:val="16"/>
          <w:lang w:val="ro-MD"/>
        </w:rPr>
        <w:t>.</w:t>
      </w:r>
      <w:r w:rsidRPr="001A7B04">
        <w:rPr>
          <w:rFonts w:asciiTheme="majorHAnsi" w:hAnsiTheme="majorHAnsi"/>
          <w:sz w:val="16"/>
          <w:szCs w:val="16"/>
          <w:lang w:val="ro-MD"/>
        </w:rPr>
        <w:t>245,6 mii lei; CPPVPD Cocieri – 24</w:t>
      </w:r>
      <w:r w:rsidR="001A7B04">
        <w:rPr>
          <w:rFonts w:asciiTheme="majorHAnsi" w:hAnsiTheme="majorHAnsi"/>
          <w:sz w:val="16"/>
          <w:szCs w:val="16"/>
          <w:lang w:val="ro-MD"/>
        </w:rPr>
        <w:t>.</w:t>
      </w:r>
      <w:r w:rsidRPr="001A7B04">
        <w:rPr>
          <w:rFonts w:asciiTheme="majorHAnsi" w:hAnsiTheme="majorHAnsi"/>
          <w:sz w:val="16"/>
          <w:szCs w:val="16"/>
          <w:lang w:val="ro-MD"/>
        </w:rPr>
        <w:t>642,1 mii lei; CPTPD Bălți – 30</w:t>
      </w:r>
      <w:r w:rsidR="001A7B04">
        <w:rPr>
          <w:rFonts w:asciiTheme="majorHAnsi" w:hAnsiTheme="majorHAnsi"/>
          <w:sz w:val="16"/>
          <w:szCs w:val="16"/>
          <w:lang w:val="ro-MD"/>
        </w:rPr>
        <w:t>.</w:t>
      </w:r>
      <w:r w:rsidRPr="001A7B04">
        <w:rPr>
          <w:rFonts w:asciiTheme="majorHAnsi" w:hAnsiTheme="majorHAnsi"/>
          <w:sz w:val="16"/>
          <w:szCs w:val="16"/>
          <w:lang w:val="ro-MD"/>
        </w:rPr>
        <w:t>195,6 mii lei; CPTPD Br</w:t>
      </w:r>
      <w:r w:rsidR="001A7B04">
        <w:rPr>
          <w:rFonts w:asciiTheme="majorHAnsi" w:hAnsiTheme="majorHAnsi"/>
          <w:sz w:val="16"/>
          <w:szCs w:val="16"/>
          <w:lang w:val="ro-MD"/>
        </w:rPr>
        <w:t>â</w:t>
      </w:r>
      <w:r w:rsidRPr="001A7B04">
        <w:rPr>
          <w:rFonts w:asciiTheme="majorHAnsi" w:hAnsiTheme="majorHAnsi"/>
          <w:sz w:val="16"/>
          <w:szCs w:val="16"/>
          <w:lang w:val="ro-MD"/>
        </w:rPr>
        <w:t>nzeni – 29</w:t>
      </w:r>
      <w:r w:rsidR="001A7B04">
        <w:rPr>
          <w:rFonts w:asciiTheme="majorHAnsi" w:hAnsiTheme="majorHAnsi"/>
          <w:sz w:val="16"/>
          <w:szCs w:val="16"/>
          <w:lang w:val="ro-MD"/>
        </w:rPr>
        <w:t>.</w:t>
      </w:r>
      <w:r w:rsidRPr="001A7B04">
        <w:rPr>
          <w:rFonts w:asciiTheme="majorHAnsi" w:hAnsiTheme="majorHAnsi"/>
          <w:sz w:val="16"/>
          <w:szCs w:val="16"/>
          <w:lang w:val="ro-MD"/>
        </w:rPr>
        <w:t>042,1 mii lei; CPTPD Cocieri – 18</w:t>
      </w:r>
      <w:r w:rsidR="001A7B04">
        <w:rPr>
          <w:rFonts w:asciiTheme="majorHAnsi" w:hAnsiTheme="majorHAnsi"/>
          <w:sz w:val="16"/>
          <w:szCs w:val="16"/>
          <w:lang w:val="ro-MD"/>
        </w:rPr>
        <w:t>.</w:t>
      </w:r>
      <w:r w:rsidRPr="001A7B04">
        <w:rPr>
          <w:rFonts w:asciiTheme="majorHAnsi" w:hAnsiTheme="majorHAnsi"/>
          <w:sz w:val="16"/>
          <w:szCs w:val="16"/>
          <w:lang w:val="ro-MD"/>
        </w:rPr>
        <w:t>617,4 mii lei; CRZCD Criuleni – 563,9 mii lei; CAPVPVTFU Chișinău – 6</w:t>
      </w:r>
      <w:r w:rsidR="001A7B04">
        <w:rPr>
          <w:rFonts w:asciiTheme="majorHAnsi" w:hAnsiTheme="majorHAnsi"/>
          <w:sz w:val="16"/>
          <w:szCs w:val="16"/>
          <w:lang w:val="ro-MD"/>
        </w:rPr>
        <w:t>.</w:t>
      </w:r>
      <w:r w:rsidRPr="001A7B04">
        <w:rPr>
          <w:rFonts w:asciiTheme="majorHAnsi" w:hAnsiTheme="majorHAnsi"/>
          <w:sz w:val="16"/>
          <w:szCs w:val="16"/>
          <w:lang w:val="ro-MD"/>
        </w:rPr>
        <w:t>284,9 mii lei</w:t>
      </w:r>
      <w:r w:rsidR="001A7B04">
        <w:rPr>
          <w:rFonts w:asciiTheme="majorHAnsi" w:hAnsiTheme="majorHAnsi"/>
          <w:sz w:val="16"/>
          <w:szCs w:val="16"/>
          <w:lang w:val="ro-MD"/>
        </w:rPr>
        <w:t>.</w:t>
      </w:r>
    </w:p>
  </w:footnote>
  <w:footnote w:id="35">
    <w:p w14:paraId="040A20EE" w14:textId="5A784697" w:rsidR="007D68C6" w:rsidRPr="001A7B04" w:rsidRDefault="007D68C6" w:rsidP="00C855EB">
      <w:pPr>
        <w:pStyle w:val="ab"/>
        <w:jc w:val="both"/>
        <w:rPr>
          <w:rFonts w:asciiTheme="majorHAnsi" w:hAnsiTheme="majorHAnsi"/>
          <w:sz w:val="16"/>
          <w:szCs w:val="16"/>
          <w:lang w:val="ro-MD"/>
        </w:rPr>
      </w:pPr>
      <w:r w:rsidRPr="001A7B04">
        <w:rPr>
          <w:rStyle w:val="ad"/>
          <w:rFonts w:asciiTheme="majorHAnsi" w:hAnsiTheme="majorHAnsi"/>
          <w:sz w:val="16"/>
          <w:szCs w:val="16"/>
          <w:lang w:val="ro-MD"/>
        </w:rPr>
        <w:footnoteRef/>
      </w:r>
      <w:r w:rsidRPr="001A7B04">
        <w:rPr>
          <w:rFonts w:asciiTheme="majorHAnsi" w:hAnsiTheme="majorHAnsi"/>
          <w:sz w:val="16"/>
          <w:szCs w:val="16"/>
          <w:lang w:val="ro-MD"/>
        </w:rPr>
        <w:t xml:space="preserve"> </w:t>
      </w:r>
      <w:r w:rsidRPr="001A7B04">
        <w:rPr>
          <w:rFonts w:asciiTheme="majorHAnsi" w:hAnsiTheme="majorHAnsi" w:cstheme="majorHAnsi"/>
          <w:sz w:val="16"/>
          <w:szCs w:val="16"/>
          <w:lang w:val="ro-MD"/>
        </w:rPr>
        <w:t>Centrul de Plasament pentru Persoane Vârstnice și Persoane cu Dizabilități</w:t>
      </w:r>
      <w:r w:rsidR="001A7B04">
        <w:rPr>
          <w:rFonts w:asciiTheme="majorHAnsi" w:hAnsiTheme="majorHAnsi" w:cstheme="majorHAnsi"/>
          <w:sz w:val="16"/>
          <w:szCs w:val="16"/>
          <w:lang w:val="ro-MD"/>
        </w:rPr>
        <w:t>.</w:t>
      </w:r>
      <w:r w:rsidRPr="001A7B04">
        <w:rPr>
          <w:rFonts w:asciiTheme="majorHAnsi" w:hAnsiTheme="majorHAnsi" w:cstheme="majorHAnsi"/>
          <w:sz w:val="16"/>
          <w:szCs w:val="16"/>
          <w:lang w:val="ro-MD"/>
        </w:rPr>
        <w:t xml:space="preserve"> com. Cocieri,</w:t>
      </w:r>
      <w:r w:rsidRPr="001A7B04">
        <w:rPr>
          <w:rFonts w:asciiTheme="majorHAnsi" w:hAnsiTheme="majorHAnsi"/>
          <w:sz w:val="16"/>
          <w:szCs w:val="16"/>
          <w:lang w:val="ro-MD"/>
        </w:rPr>
        <w:t xml:space="preserve"> </w:t>
      </w:r>
      <w:r w:rsidRPr="001A7B04">
        <w:rPr>
          <w:rFonts w:asciiTheme="majorHAnsi" w:hAnsiTheme="majorHAnsi" w:cstheme="majorHAnsi"/>
          <w:sz w:val="16"/>
          <w:szCs w:val="16"/>
          <w:lang w:val="ro-MD"/>
        </w:rPr>
        <w:t>Centrul de Plasament Temporar pentru Persoane cu Dizabilități (adulte)</w:t>
      </w:r>
      <w:r w:rsidR="001A7B04">
        <w:rPr>
          <w:rFonts w:asciiTheme="majorHAnsi" w:hAnsiTheme="majorHAnsi" w:cstheme="majorHAnsi"/>
          <w:sz w:val="16"/>
          <w:szCs w:val="16"/>
          <w:lang w:val="ro-MD"/>
        </w:rPr>
        <w:t>.</w:t>
      </w:r>
      <w:r w:rsidRPr="001A7B04">
        <w:rPr>
          <w:rFonts w:asciiTheme="majorHAnsi" w:hAnsiTheme="majorHAnsi" w:cstheme="majorHAnsi"/>
          <w:sz w:val="16"/>
          <w:szCs w:val="16"/>
          <w:lang w:val="ro-MD"/>
        </w:rPr>
        <w:t xml:space="preserve"> com. Cocieri.   </w:t>
      </w:r>
    </w:p>
  </w:footnote>
  <w:footnote w:id="36">
    <w:p w14:paraId="5D60CA6E" w14:textId="43413E94" w:rsidR="007D68C6" w:rsidRPr="001A7B04" w:rsidRDefault="007D68C6" w:rsidP="00C855EB">
      <w:pPr>
        <w:pStyle w:val="ab"/>
        <w:jc w:val="both"/>
        <w:rPr>
          <w:rFonts w:asciiTheme="majorHAnsi" w:hAnsiTheme="majorHAnsi" w:cstheme="majorHAnsi"/>
          <w:sz w:val="16"/>
          <w:szCs w:val="16"/>
          <w:lang w:val="ro-MD"/>
        </w:rPr>
      </w:pPr>
      <w:r w:rsidRPr="001A7B04">
        <w:rPr>
          <w:rStyle w:val="ad"/>
          <w:rFonts w:asciiTheme="majorHAnsi" w:hAnsiTheme="majorHAnsi" w:cstheme="majorHAnsi"/>
          <w:sz w:val="16"/>
          <w:szCs w:val="16"/>
          <w:lang w:val="ro-MD"/>
        </w:rPr>
        <w:footnoteRef/>
      </w:r>
      <w:r w:rsidRPr="001A7B04">
        <w:rPr>
          <w:rFonts w:asciiTheme="majorHAnsi" w:hAnsiTheme="majorHAnsi" w:cstheme="majorHAnsi"/>
          <w:sz w:val="16"/>
          <w:szCs w:val="16"/>
          <w:lang w:val="ro-MD"/>
        </w:rPr>
        <w:t xml:space="preserve"> Centrul de plasament pentru persoane v</w:t>
      </w:r>
      <w:r w:rsidR="001A7B04">
        <w:rPr>
          <w:rFonts w:asciiTheme="majorHAnsi" w:hAnsiTheme="majorHAnsi" w:cstheme="majorHAnsi"/>
          <w:sz w:val="16"/>
          <w:szCs w:val="16"/>
          <w:lang w:val="ro-MD"/>
        </w:rPr>
        <w:t>â</w:t>
      </w:r>
      <w:r w:rsidRPr="001A7B04">
        <w:rPr>
          <w:rFonts w:asciiTheme="majorHAnsi" w:hAnsiTheme="majorHAnsi" w:cstheme="majorHAnsi"/>
          <w:sz w:val="16"/>
          <w:szCs w:val="16"/>
          <w:lang w:val="ro-MD"/>
        </w:rPr>
        <w:t>rstnice și persoane cu dizabilități, com. Cocieri</w:t>
      </w:r>
      <w:r w:rsidR="001A7B04">
        <w:rPr>
          <w:rFonts w:asciiTheme="majorHAnsi" w:hAnsiTheme="majorHAnsi" w:cstheme="majorHAnsi"/>
          <w:sz w:val="16"/>
          <w:szCs w:val="16"/>
          <w:lang w:val="ro-MD"/>
        </w:rPr>
        <w:t>.</w:t>
      </w:r>
    </w:p>
  </w:footnote>
  <w:footnote w:id="37">
    <w:p w14:paraId="2CE678EF" w14:textId="6967796E" w:rsidR="007D68C6" w:rsidRPr="001A7B04" w:rsidRDefault="007D68C6" w:rsidP="00C855EB">
      <w:pPr>
        <w:pStyle w:val="ab"/>
        <w:jc w:val="both"/>
        <w:rPr>
          <w:rFonts w:asciiTheme="majorHAnsi" w:hAnsiTheme="majorHAnsi" w:cstheme="majorHAnsi"/>
          <w:sz w:val="16"/>
          <w:szCs w:val="16"/>
          <w:lang w:val="ro-MD"/>
        </w:rPr>
      </w:pPr>
      <w:r w:rsidRPr="00C855EB">
        <w:rPr>
          <w:rStyle w:val="ad"/>
          <w:rFonts w:asciiTheme="majorHAnsi" w:hAnsiTheme="majorHAnsi" w:cstheme="majorHAnsi"/>
          <w:sz w:val="16"/>
          <w:szCs w:val="16"/>
          <w:lang w:val="ro-MD"/>
        </w:rPr>
        <w:footnoteRef/>
      </w:r>
      <w:r w:rsidRPr="00C855EB">
        <w:rPr>
          <w:rFonts w:asciiTheme="majorHAnsi" w:hAnsiTheme="majorHAnsi" w:cstheme="majorHAnsi"/>
          <w:sz w:val="16"/>
          <w:szCs w:val="16"/>
          <w:lang w:val="ro-MD"/>
        </w:rPr>
        <w:t xml:space="preserve"> </w:t>
      </w:r>
      <w:r w:rsidRPr="00C855EB">
        <w:rPr>
          <w:rFonts w:asciiTheme="majorHAnsi" w:hAnsiTheme="majorHAnsi" w:cstheme="majorHAnsi"/>
          <w:color w:val="000000" w:themeColor="text1"/>
          <w:sz w:val="16"/>
          <w:szCs w:val="16"/>
          <w:lang w:val="ro-MD"/>
        </w:rPr>
        <w:t>CPTPD Brânzeni</w:t>
      </w:r>
      <w:r w:rsidR="001A7B04">
        <w:rPr>
          <w:rFonts w:asciiTheme="majorHAnsi" w:hAnsiTheme="majorHAnsi" w:cstheme="majorHAnsi"/>
          <w:color w:val="000000" w:themeColor="text1"/>
          <w:sz w:val="16"/>
          <w:szCs w:val="16"/>
          <w:lang w:val="ro-MD"/>
        </w:rPr>
        <w:t>.</w:t>
      </w:r>
    </w:p>
  </w:footnote>
  <w:footnote w:id="38">
    <w:p w14:paraId="09CC5D78" w14:textId="1F59401A" w:rsidR="007D68C6" w:rsidRPr="001A7B04" w:rsidRDefault="007D68C6" w:rsidP="00C855EB">
      <w:pPr>
        <w:pStyle w:val="ab"/>
        <w:jc w:val="both"/>
        <w:rPr>
          <w:lang w:val="ro-MD"/>
        </w:rPr>
      </w:pPr>
      <w:r w:rsidRPr="00C855EB">
        <w:rPr>
          <w:rStyle w:val="ad"/>
          <w:rFonts w:asciiTheme="majorHAnsi" w:hAnsiTheme="majorHAnsi"/>
          <w:sz w:val="16"/>
          <w:szCs w:val="16"/>
          <w:lang w:val="ro-MD"/>
        </w:rPr>
        <w:footnoteRef/>
      </w:r>
      <w:r w:rsidRPr="00C855EB">
        <w:rPr>
          <w:rFonts w:asciiTheme="majorHAnsi" w:hAnsiTheme="majorHAnsi"/>
          <w:sz w:val="16"/>
          <w:szCs w:val="16"/>
          <w:lang w:val="ro-MD"/>
        </w:rPr>
        <w:t xml:space="preserve"> </w:t>
      </w:r>
      <w:r w:rsidRPr="001A7B04">
        <w:rPr>
          <w:rFonts w:asciiTheme="majorHAnsi" w:hAnsiTheme="majorHAnsi"/>
          <w:sz w:val="16"/>
          <w:szCs w:val="16"/>
          <w:lang w:val="ro-MD"/>
        </w:rPr>
        <w:t xml:space="preserve">Circulara </w:t>
      </w:r>
      <w:r w:rsidRPr="00C855EB">
        <w:rPr>
          <w:rFonts w:asciiTheme="majorHAnsi" w:hAnsiTheme="majorHAnsi" w:cstheme="majorHAnsi"/>
          <w:sz w:val="16"/>
          <w:szCs w:val="16"/>
          <w:lang w:val="ro-MD"/>
        </w:rPr>
        <w:t>MF nr.12/4-4-70 din 30.09.2021 „Cu privire la reorganizarea administrației publice”</w:t>
      </w:r>
      <w:r w:rsidR="001A7B04">
        <w:rPr>
          <w:rFonts w:asciiTheme="majorHAnsi" w:hAnsiTheme="majorHAnsi" w:cstheme="majorHAnsi"/>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8091" w14:textId="77777777" w:rsidR="007D68C6" w:rsidRPr="00DD668A" w:rsidRDefault="007D68C6" w:rsidP="00DE31FB">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227CCF"/>
    <w:multiLevelType w:val="hybridMultilevel"/>
    <w:tmpl w:val="EFC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17158"/>
    <w:multiLevelType w:val="hybridMultilevel"/>
    <w:tmpl w:val="0B34205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1" w15:restartNumberingAfterBreak="0">
    <w:nsid w:val="5AEC4E16"/>
    <w:multiLevelType w:val="hybridMultilevel"/>
    <w:tmpl w:val="BD92F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6"/>
  </w:num>
  <w:num w:numId="2">
    <w:abstractNumId w:val="23"/>
  </w:num>
  <w:num w:numId="3">
    <w:abstractNumId w:val="20"/>
  </w:num>
  <w:num w:numId="4">
    <w:abstractNumId w:val="18"/>
  </w:num>
  <w:num w:numId="5">
    <w:abstractNumId w:val="25"/>
  </w:num>
  <w:num w:numId="6">
    <w:abstractNumId w:val="27"/>
  </w:num>
  <w:num w:numId="7">
    <w:abstractNumId w:val="17"/>
  </w:num>
  <w:num w:numId="8">
    <w:abstractNumId w:val="8"/>
  </w:num>
  <w:num w:numId="9">
    <w:abstractNumId w:val="16"/>
  </w:num>
  <w:num w:numId="10">
    <w:abstractNumId w:val="19"/>
  </w:num>
  <w:num w:numId="11">
    <w:abstractNumId w:val="29"/>
  </w:num>
  <w:num w:numId="12">
    <w:abstractNumId w:val="0"/>
  </w:num>
  <w:num w:numId="13">
    <w:abstractNumId w:val="9"/>
  </w:num>
  <w:num w:numId="14">
    <w:abstractNumId w:val="11"/>
  </w:num>
  <w:num w:numId="15">
    <w:abstractNumId w:val="31"/>
  </w:num>
  <w:num w:numId="16">
    <w:abstractNumId w:val="6"/>
  </w:num>
  <w:num w:numId="17">
    <w:abstractNumId w:val="24"/>
  </w:num>
  <w:num w:numId="18">
    <w:abstractNumId w:val="29"/>
  </w:num>
  <w:num w:numId="19">
    <w:abstractNumId w:val="5"/>
  </w:num>
  <w:num w:numId="20">
    <w:abstractNumId w:val="30"/>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4"/>
  </w:num>
  <w:num w:numId="32">
    <w:abstractNumId w:val="15"/>
  </w:num>
  <w:num w:numId="33">
    <w:abstractNumId w:val="28"/>
  </w:num>
  <w:num w:numId="34">
    <w:abstractNumId w:val="13"/>
  </w:num>
  <w:num w:numId="35">
    <w:abstractNumId w:val="21"/>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1FD9"/>
    <w:rsid w:val="000020B2"/>
    <w:rsid w:val="00002B65"/>
    <w:rsid w:val="000035F0"/>
    <w:rsid w:val="00003F0E"/>
    <w:rsid w:val="000041C2"/>
    <w:rsid w:val="000053B9"/>
    <w:rsid w:val="00005EC5"/>
    <w:rsid w:val="00006C32"/>
    <w:rsid w:val="00007ACF"/>
    <w:rsid w:val="00007B9F"/>
    <w:rsid w:val="00011B60"/>
    <w:rsid w:val="00011C40"/>
    <w:rsid w:val="00011CF1"/>
    <w:rsid w:val="000125E7"/>
    <w:rsid w:val="0001758F"/>
    <w:rsid w:val="00017ADB"/>
    <w:rsid w:val="00023A8F"/>
    <w:rsid w:val="00025369"/>
    <w:rsid w:val="00027D9D"/>
    <w:rsid w:val="00031A32"/>
    <w:rsid w:val="00032D72"/>
    <w:rsid w:val="00033AF3"/>
    <w:rsid w:val="000341C6"/>
    <w:rsid w:val="0003436A"/>
    <w:rsid w:val="00041512"/>
    <w:rsid w:val="0004446F"/>
    <w:rsid w:val="000463F2"/>
    <w:rsid w:val="00046891"/>
    <w:rsid w:val="0004717F"/>
    <w:rsid w:val="000476F7"/>
    <w:rsid w:val="00047840"/>
    <w:rsid w:val="000511A9"/>
    <w:rsid w:val="0005335C"/>
    <w:rsid w:val="00053772"/>
    <w:rsid w:val="00055F54"/>
    <w:rsid w:val="000561E1"/>
    <w:rsid w:val="0005628A"/>
    <w:rsid w:val="0005659C"/>
    <w:rsid w:val="00057029"/>
    <w:rsid w:val="00057A5B"/>
    <w:rsid w:val="000604ED"/>
    <w:rsid w:val="00061F02"/>
    <w:rsid w:val="00062A35"/>
    <w:rsid w:val="00062DA0"/>
    <w:rsid w:val="00062EB2"/>
    <w:rsid w:val="000638FF"/>
    <w:rsid w:val="00066BCC"/>
    <w:rsid w:val="00070F2E"/>
    <w:rsid w:val="00071080"/>
    <w:rsid w:val="00071F77"/>
    <w:rsid w:val="00072341"/>
    <w:rsid w:val="0007309D"/>
    <w:rsid w:val="000744B3"/>
    <w:rsid w:val="00074C3C"/>
    <w:rsid w:val="00074E2C"/>
    <w:rsid w:val="000756AE"/>
    <w:rsid w:val="00075827"/>
    <w:rsid w:val="00075EA9"/>
    <w:rsid w:val="000769AF"/>
    <w:rsid w:val="00077132"/>
    <w:rsid w:val="00077286"/>
    <w:rsid w:val="00080227"/>
    <w:rsid w:val="00080E03"/>
    <w:rsid w:val="00080E44"/>
    <w:rsid w:val="00080FBE"/>
    <w:rsid w:val="00081C01"/>
    <w:rsid w:val="00082AA5"/>
    <w:rsid w:val="00082C3B"/>
    <w:rsid w:val="00082E82"/>
    <w:rsid w:val="00082EE9"/>
    <w:rsid w:val="00085417"/>
    <w:rsid w:val="0008633A"/>
    <w:rsid w:val="0009163F"/>
    <w:rsid w:val="00091B8A"/>
    <w:rsid w:val="00092242"/>
    <w:rsid w:val="0009646F"/>
    <w:rsid w:val="00096C9A"/>
    <w:rsid w:val="000975DC"/>
    <w:rsid w:val="0009776C"/>
    <w:rsid w:val="000A0431"/>
    <w:rsid w:val="000A16ED"/>
    <w:rsid w:val="000A1EC0"/>
    <w:rsid w:val="000A217B"/>
    <w:rsid w:val="000A40F0"/>
    <w:rsid w:val="000A4CF3"/>
    <w:rsid w:val="000A6453"/>
    <w:rsid w:val="000A6D46"/>
    <w:rsid w:val="000B198B"/>
    <w:rsid w:val="000B61C7"/>
    <w:rsid w:val="000B6D41"/>
    <w:rsid w:val="000B6DBB"/>
    <w:rsid w:val="000B7909"/>
    <w:rsid w:val="000C09C6"/>
    <w:rsid w:val="000C15BE"/>
    <w:rsid w:val="000C45B3"/>
    <w:rsid w:val="000C4F55"/>
    <w:rsid w:val="000C61C7"/>
    <w:rsid w:val="000C67A2"/>
    <w:rsid w:val="000C70E2"/>
    <w:rsid w:val="000C7A22"/>
    <w:rsid w:val="000C7B8E"/>
    <w:rsid w:val="000C7E36"/>
    <w:rsid w:val="000C7E97"/>
    <w:rsid w:val="000D0477"/>
    <w:rsid w:val="000D100D"/>
    <w:rsid w:val="000D3D39"/>
    <w:rsid w:val="000D3F29"/>
    <w:rsid w:val="000D66E9"/>
    <w:rsid w:val="000D7117"/>
    <w:rsid w:val="000E099B"/>
    <w:rsid w:val="000E0AFC"/>
    <w:rsid w:val="000E1DD5"/>
    <w:rsid w:val="000E1E68"/>
    <w:rsid w:val="000E2174"/>
    <w:rsid w:val="000E2BD9"/>
    <w:rsid w:val="000E49BD"/>
    <w:rsid w:val="000E6CC0"/>
    <w:rsid w:val="000E794F"/>
    <w:rsid w:val="000F0AD7"/>
    <w:rsid w:val="000F126E"/>
    <w:rsid w:val="000F1661"/>
    <w:rsid w:val="000F2398"/>
    <w:rsid w:val="000F35A9"/>
    <w:rsid w:val="000F442F"/>
    <w:rsid w:val="000F4E8A"/>
    <w:rsid w:val="000F597D"/>
    <w:rsid w:val="000F5ED5"/>
    <w:rsid w:val="000F6FB6"/>
    <w:rsid w:val="001040CF"/>
    <w:rsid w:val="00105CA3"/>
    <w:rsid w:val="00106010"/>
    <w:rsid w:val="00106A42"/>
    <w:rsid w:val="0010759A"/>
    <w:rsid w:val="00107F7A"/>
    <w:rsid w:val="0011054B"/>
    <w:rsid w:val="001133FD"/>
    <w:rsid w:val="001146E9"/>
    <w:rsid w:val="0011596E"/>
    <w:rsid w:val="00115E11"/>
    <w:rsid w:val="00116036"/>
    <w:rsid w:val="0011686A"/>
    <w:rsid w:val="00116B52"/>
    <w:rsid w:val="00116C78"/>
    <w:rsid w:val="00121006"/>
    <w:rsid w:val="00121C81"/>
    <w:rsid w:val="0012208B"/>
    <w:rsid w:val="00122829"/>
    <w:rsid w:val="00124837"/>
    <w:rsid w:val="00124B69"/>
    <w:rsid w:val="00125777"/>
    <w:rsid w:val="001268BF"/>
    <w:rsid w:val="0012755C"/>
    <w:rsid w:val="00130969"/>
    <w:rsid w:val="00130F94"/>
    <w:rsid w:val="001311DD"/>
    <w:rsid w:val="00134353"/>
    <w:rsid w:val="001367A0"/>
    <w:rsid w:val="00137AD1"/>
    <w:rsid w:val="00137E9C"/>
    <w:rsid w:val="00137FCE"/>
    <w:rsid w:val="001404D5"/>
    <w:rsid w:val="00142058"/>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60502"/>
    <w:rsid w:val="00161727"/>
    <w:rsid w:val="00162CC6"/>
    <w:rsid w:val="00164C52"/>
    <w:rsid w:val="0016678B"/>
    <w:rsid w:val="001677A4"/>
    <w:rsid w:val="00167E18"/>
    <w:rsid w:val="00167E99"/>
    <w:rsid w:val="00170F18"/>
    <w:rsid w:val="00171F30"/>
    <w:rsid w:val="0017261D"/>
    <w:rsid w:val="00172CC9"/>
    <w:rsid w:val="00174BE8"/>
    <w:rsid w:val="00176931"/>
    <w:rsid w:val="001769EB"/>
    <w:rsid w:val="00177A31"/>
    <w:rsid w:val="00180BB8"/>
    <w:rsid w:val="00181171"/>
    <w:rsid w:val="0018281C"/>
    <w:rsid w:val="001828A1"/>
    <w:rsid w:val="00182A99"/>
    <w:rsid w:val="001833CE"/>
    <w:rsid w:val="00183454"/>
    <w:rsid w:val="0018345C"/>
    <w:rsid w:val="00183F94"/>
    <w:rsid w:val="00184195"/>
    <w:rsid w:val="001842DC"/>
    <w:rsid w:val="001843FD"/>
    <w:rsid w:val="00184A03"/>
    <w:rsid w:val="00184F64"/>
    <w:rsid w:val="0018576D"/>
    <w:rsid w:val="00185EA7"/>
    <w:rsid w:val="00186C29"/>
    <w:rsid w:val="00190272"/>
    <w:rsid w:val="001905FE"/>
    <w:rsid w:val="00191DE8"/>
    <w:rsid w:val="00192848"/>
    <w:rsid w:val="00192C5C"/>
    <w:rsid w:val="00194D91"/>
    <w:rsid w:val="00195A9B"/>
    <w:rsid w:val="0019634D"/>
    <w:rsid w:val="001A0CEE"/>
    <w:rsid w:val="001A1776"/>
    <w:rsid w:val="001A2D32"/>
    <w:rsid w:val="001A3B1C"/>
    <w:rsid w:val="001A4374"/>
    <w:rsid w:val="001A562F"/>
    <w:rsid w:val="001A608B"/>
    <w:rsid w:val="001A6585"/>
    <w:rsid w:val="001A7B04"/>
    <w:rsid w:val="001B0A5E"/>
    <w:rsid w:val="001B19D2"/>
    <w:rsid w:val="001B1BD2"/>
    <w:rsid w:val="001B2203"/>
    <w:rsid w:val="001B2248"/>
    <w:rsid w:val="001B34C2"/>
    <w:rsid w:val="001B37A6"/>
    <w:rsid w:val="001B4BD8"/>
    <w:rsid w:val="001B4FD0"/>
    <w:rsid w:val="001B599D"/>
    <w:rsid w:val="001B61C9"/>
    <w:rsid w:val="001B7334"/>
    <w:rsid w:val="001C0B8B"/>
    <w:rsid w:val="001C1238"/>
    <w:rsid w:val="001C15F4"/>
    <w:rsid w:val="001C18D4"/>
    <w:rsid w:val="001C1E2F"/>
    <w:rsid w:val="001C20F7"/>
    <w:rsid w:val="001C2EA2"/>
    <w:rsid w:val="001C454A"/>
    <w:rsid w:val="001C511E"/>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1BEC"/>
    <w:rsid w:val="001E2366"/>
    <w:rsid w:val="001E3630"/>
    <w:rsid w:val="001E4EC0"/>
    <w:rsid w:val="001E4F11"/>
    <w:rsid w:val="001E58BE"/>
    <w:rsid w:val="001E5B45"/>
    <w:rsid w:val="001E6000"/>
    <w:rsid w:val="001E6899"/>
    <w:rsid w:val="001E697D"/>
    <w:rsid w:val="001E6D29"/>
    <w:rsid w:val="001E6EED"/>
    <w:rsid w:val="001F22DE"/>
    <w:rsid w:val="001F2C72"/>
    <w:rsid w:val="001F420E"/>
    <w:rsid w:val="001F5194"/>
    <w:rsid w:val="001F67D1"/>
    <w:rsid w:val="001F7678"/>
    <w:rsid w:val="001F7915"/>
    <w:rsid w:val="00200C73"/>
    <w:rsid w:val="00200CF9"/>
    <w:rsid w:val="00202AEF"/>
    <w:rsid w:val="00203B66"/>
    <w:rsid w:val="0020442E"/>
    <w:rsid w:val="0020637D"/>
    <w:rsid w:val="002071E5"/>
    <w:rsid w:val="00210D12"/>
    <w:rsid w:val="002113DE"/>
    <w:rsid w:val="002127B0"/>
    <w:rsid w:val="002127D0"/>
    <w:rsid w:val="00212D9C"/>
    <w:rsid w:val="00212FB7"/>
    <w:rsid w:val="00213D7F"/>
    <w:rsid w:val="00215326"/>
    <w:rsid w:val="00216967"/>
    <w:rsid w:val="00217D5F"/>
    <w:rsid w:val="00217E99"/>
    <w:rsid w:val="00221F02"/>
    <w:rsid w:val="00222B50"/>
    <w:rsid w:val="00223B26"/>
    <w:rsid w:val="002246B8"/>
    <w:rsid w:val="0022483F"/>
    <w:rsid w:val="00224CFB"/>
    <w:rsid w:val="0022515B"/>
    <w:rsid w:val="00227FD7"/>
    <w:rsid w:val="00230477"/>
    <w:rsid w:val="002304EB"/>
    <w:rsid w:val="00230A5F"/>
    <w:rsid w:val="0023358E"/>
    <w:rsid w:val="00233916"/>
    <w:rsid w:val="00234106"/>
    <w:rsid w:val="002342AD"/>
    <w:rsid w:val="00234A98"/>
    <w:rsid w:val="00235808"/>
    <w:rsid w:val="0023616D"/>
    <w:rsid w:val="002362E6"/>
    <w:rsid w:val="00236C1D"/>
    <w:rsid w:val="00237939"/>
    <w:rsid w:val="00237C30"/>
    <w:rsid w:val="00240530"/>
    <w:rsid w:val="0024182C"/>
    <w:rsid w:val="002442AE"/>
    <w:rsid w:val="00244E87"/>
    <w:rsid w:val="002457DA"/>
    <w:rsid w:val="0024633D"/>
    <w:rsid w:val="00247FE7"/>
    <w:rsid w:val="0025040F"/>
    <w:rsid w:val="00250809"/>
    <w:rsid w:val="00250CB8"/>
    <w:rsid w:val="0025245E"/>
    <w:rsid w:val="0026123B"/>
    <w:rsid w:val="0026158C"/>
    <w:rsid w:val="002616EA"/>
    <w:rsid w:val="00261F22"/>
    <w:rsid w:val="00262696"/>
    <w:rsid w:val="002637AC"/>
    <w:rsid w:val="00265FCA"/>
    <w:rsid w:val="00266A58"/>
    <w:rsid w:val="0027000D"/>
    <w:rsid w:val="002730A1"/>
    <w:rsid w:val="00273DF0"/>
    <w:rsid w:val="002740A0"/>
    <w:rsid w:val="00276874"/>
    <w:rsid w:val="002803BB"/>
    <w:rsid w:val="00280BF4"/>
    <w:rsid w:val="00281C38"/>
    <w:rsid w:val="00283391"/>
    <w:rsid w:val="00283E46"/>
    <w:rsid w:val="002851BC"/>
    <w:rsid w:val="00287D8A"/>
    <w:rsid w:val="0029047B"/>
    <w:rsid w:val="00291276"/>
    <w:rsid w:val="00292616"/>
    <w:rsid w:val="002931C8"/>
    <w:rsid w:val="00293EE9"/>
    <w:rsid w:val="00294726"/>
    <w:rsid w:val="002948E9"/>
    <w:rsid w:val="00296A76"/>
    <w:rsid w:val="002976DD"/>
    <w:rsid w:val="002A076B"/>
    <w:rsid w:val="002A0D93"/>
    <w:rsid w:val="002A2B1B"/>
    <w:rsid w:val="002A3A5A"/>
    <w:rsid w:val="002A3ED0"/>
    <w:rsid w:val="002A4EF3"/>
    <w:rsid w:val="002A58C2"/>
    <w:rsid w:val="002A6F8F"/>
    <w:rsid w:val="002B11BB"/>
    <w:rsid w:val="002B17FA"/>
    <w:rsid w:val="002B2B10"/>
    <w:rsid w:val="002B42C6"/>
    <w:rsid w:val="002B4FCB"/>
    <w:rsid w:val="002B554F"/>
    <w:rsid w:val="002B56F0"/>
    <w:rsid w:val="002B5733"/>
    <w:rsid w:val="002B67B5"/>
    <w:rsid w:val="002B67D6"/>
    <w:rsid w:val="002B7624"/>
    <w:rsid w:val="002B784B"/>
    <w:rsid w:val="002B7D20"/>
    <w:rsid w:val="002C013D"/>
    <w:rsid w:val="002C0519"/>
    <w:rsid w:val="002C0F64"/>
    <w:rsid w:val="002C0FCB"/>
    <w:rsid w:val="002C1A12"/>
    <w:rsid w:val="002C2AE9"/>
    <w:rsid w:val="002C3627"/>
    <w:rsid w:val="002C51A4"/>
    <w:rsid w:val="002C5792"/>
    <w:rsid w:val="002C6917"/>
    <w:rsid w:val="002C6DB8"/>
    <w:rsid w:val="002C6EEB"/>
    <w:rsid w:val="002C73EE"/>
    <w:rsid w:val="002C773B"/>
    <w:rsid w:val="002C78F8"/>
    <w:rsid w:val="002D058B"/>
    <w:rsid w:val="002D32D4"/>
    <w:rsid w:val="002D6A60"/>
    <w:rsid w:val="002D6DC6"/>
    <w:rsid w:val="002D79CB"/>
    <w:rsid w:val="002E03BA"/>
    <w:rsid w:val="002E0F62"/>
    <w:rsid w:val="002E2071"/>
    <w:rsid w:val="002E2F16"/>
    <w:rsid w:val="002E3964"/>
    <w:rsid w:val="002E4BC4"/>
    <w:rsid w:val="002E5B0C"/>
    <w:rsid w:val="002E7D06"/>
    <w:rsid w:val="002F0310"/>
    <w:rsid w:val="002F0D2E"/>
    <w:rsid w:val="002F0F80"/>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23C3"/>
    <w:rsid w:val="00302632"/>
    <w:rsid w:val="00303561"/>
    <w:rsid w:val="00303685"/>
    <w:rsid w:val="003036E7"/>
    <w:rsid w:val="00304054"/>
    <w:rsid w:val="00304907"/>
    <w:rsid w:val="00305AAB"/>
    <w:rsid w:val="00306F52"/>
    <w:rsid w:val="0030774B"/>
    <w:rsid w:val="00310725"/>
    <w:rsid w:val="00310857"/>
    <w:rsid w:val="00312733"/>
    <w:rsid w:val="00312FD6"/>
    <w:rsid w:val="003137D3"/>
    <w:rsid w:val="00315027"/>
    <w:rsid w:val="00315DD1"/>
    <w:rsid w:val="00316228"/>
    <w:rsid w:val="00316BE8"/>
    <w:rsid w:val="0031725C"/>
    <w:rsid w:val="003172A8"/>
    <w:rsid w:val="003212E0"/>
    <w:rsid w:val="00321416"/>
    <w:rsid w:val="00321ED8"/>
    <w:rsid w:val="00322634"/>
    <w:rsid w:val="003231ED"/>
    <w:rsid w:val="00323D93"/>
    <w:rsid w:val="0032436A"/>
    <w:rsid w:val="00324FF9"/>
    <w:rsid w:val="003256AC"/>
    <w:rsid w:val="00326740"/>
    <w:rsid w:val="00326843"/>
    <w:rsid w:val="00326D44"/>
    <w:rsid w:val="0032729E"/>
    <w:rsid w:val="003275EC"/>
    <w:rsid w:val="003276FE"/>
    <w:rsid w:val="00327921"/>
    <w:rsid w:val="003302E2"/>
    <w:rsid w:val="00330445"/>
    <w:rsid w:val="003308FA"/>
    <w:rsid w:val="00330C73"/>
    <w:rsid w:val="0033103F"/>
    <w:rsid w:val="0033197E"/>
    <w:rsid w:val="003332D3"/>
    <w:rsid w:val="0033346D"/>
    <w:rsid w:val="00333510"/>
    <w:rsid w:val="00334C46"/>
    <w:rsid w:val="00335CA3"/>
    <w:rsid w:val="0033706C"/>
    <w:rsid w:val="00337513"/>
    <w:rsid w:val="00337733"/>
    <w:rsid w:val="003378E6"/>
    <w:rsid w:val="00340506"/>
    <w:rsid w:val="0034150E"/>
    <w:rsid w:val="00342004"/>
    <w:rsid w:val="0034303B"/>
    <w:rsid w:val="003435B1"/>
    <w:rsid w:val="00344443"/>
    <w:rsid w:val="0034495A"/>
    <w:rsid w:val="00345AB3"/>
    <w:rsid w:val="00345BF1"/>
    <w:rsid w:val="00345F4B"/>
    <w:rsid w:val="00346861"/>
    <w:rsid w:val="00346C78"/>
    <w:rsid w:val="00347827"/>
    <w:rsid w:val="00347CF9"/>
    <w:rsid w:val="00351899"/>
    <w:rsid w:val="003519FB"/>
    <w:rsid w:val="003534EA"/>
    <w:rsid w:val="003549AF"/>
    <w:rsid w:val="00357055"/>
    <w:rsid w:val="003608D9"/>
    <w:rsid w:val="0036134E"/>
    <w:rsid w:val="003617BB"/>
    <w:rsid w:val="00365342"/>
    <w:rsid w:val="00365697"/>
    <w:rsid w:val="00365AD3"/>
    <w:rsid w:val="00365B5A"/>
    <w:rsid w:val="00366335"/>
    <w:rsid w:val="00366936"/>
    <w:rsid w:val="00366A5A"/>
    <w:rsid w:val="003671C4"/>
    <w:rsid w:val="0036751C"/>
    <w:rsid w:val="00367749"/>
    <w:rsid w:val="00371D3E"/>
    <w:rsid w:val="003720F2"/>
    <w:rsid w:val="00372531"/>
    <w:rsid w:val="00372905"/>
    <w:rsid w:val="003739FB"/>
    <w:rsid w:val="0037440C"/>
    <w:rsid w:val="00374453"/>
    <w:rsid w:val="00374A53"/>
    <w:rsid w:val="00374EDE"/>
    <w:rsid w:val="0037562B"/>
    <w:rsid w:val="003763B3"/>
    <w:rsid w:val="003772B3"/>
    <w:rsid w:val="0037786F"/>
    <w:rsid w:val="00380BB7"/>
    <w:rsid w:val="003853F4"/>
    <w:rsid w:val="003858D2"/>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2F44"/>
    <w:rsid w:val="003B3AF6"/>
    <w:rsid w:val="003B4337"/>
    <w:rsid w:val="003B44BA"/>
    <w:rsid w:val="003B48E9"/>
    <w:rsid w:val="003B4930"/>
    <w:rsid w:val="003B5556"/>
    <w:rsid w:val="003B5C9F"/>
    <w:rsid w:val="003B73D9"/>
    <w:rsid w:val="003C0140"/>
    <w:rsid w:val="003C0909"/>
    <w:rsid w:val="003C33F3"/>
    <w:rsid w:val="003C4090"/>
    <w:rsid w:val="003C6120"/>
    <w:rsid w:val="003D1105"/>
    <w:rsid w:val="003D1C0A"/>
    <w:rsid w:val="003D3A64"/>
    <w:rsid w:val="003D3D17"/>
    <w:rsid w:val="003D3DB2"/>
    <w:rsid w:val="003D42C7"/>
    <w:rsid w:val="003D4E90"/>
    <w:rsid w:val="003D66BF"/>
    <w:rsid w:val="003D676B"/>
    <w:rsid w:val="003D6D82"/>
    <w:rsid w:val="003D78CB"/>
    <w:rsid w:val="003D7997"/>
    <w:rsid w:val="003E2C03"/>
    <w:rsid w:val="003E3EEC"/>
    <w:rsid w:val="003E59D5"/>
    <w:rsid w:val="003E6BFD"/>
    <w:rsid w:val="003E6EF1"/>
    <w:rsid w:val="003E70E1"/>
    <w:rsid w:val="003F023D"/>
    <w:rsid w:val="003F0928"/>
    <w:rsid w:val="003F09AF"/>
    <w:rsid w:val="003F2D5C"/>
    <w:rsid w:val="003F5273"/>
    <w:rsid w:val="003F5D65"/>
    <w:rsid w:val="003F5FE6"/>
    <w:rsid w:val="003F6345"/>
    <w:rsid w:val="003F678E"/>
    <w:rsid w:val="004015C5"/>
    <w:rsid w:val="004021B1"/>
    <w:rsid w:val="00402CAB"/>
    <w:rsid w:val="00403605"/>
    <w:rsid w:val="0040608C"/>
    <w:rsid w:val="00406CEB"/>
    <w:rsid w:val="00407AE6"/>
    <w:rsid w:val="004101CE"/>
    <w:rsid w:val="00410B67"/>
    <w:rsid w:val="00410CA8"/>
    <w:rsid w:val="004127B1"/>
    <w:rsid w:val="00413604"/>
    <w:rsid w:val="004148C7"/>
    <w:rsid w:val="00414F99"/>
    <w:rsid w:val="004153D5"/>
    <w:rsid w:val="00415917"/>
    <w:rsid w:val="00415D58"/>
    <w:rsid w:val="00415FF4"/>
    <w:rsid w:val="00416945"/>
    <w:rsid w:val="004174DB"/>
    <w:rsid w:val="00422230"/>
    <w:rsid w:val="0042246F"/>
    <w:rsid w:val="004232EA"/>
    <w:rsid w:val="00423451"/>
    <w:rsid w:val="00425E90"/>
    <w:rsid w:val="0042626D"/>
    <w:rsid w:val="0043064C"/>
    <w:rsid w:val="004318AB"/>
    <w:rsid w:val="00431A5B"/>
    <w:rsid w:val="00433158"/>
    <w:rsid w:val="004337D8"/>
    <w:rsid w:val="004346E3"/>
    <w:rsid w:val="00434810"/>
    <w:rsid w:val="0043544E"/>
    <w:rsid w:val="00435C5F"/>
    <w:rsid w:val="004374F1"/>
    <w:rsid w:val="0044089F"/>
    <w:rsid w:val="00440D55"/>
    <w:rsid w:val="00441598"/>
    <w:rsid w:val="00442979"/>
    <w:rsid w:val="00443887"/>
    <w:rsid w:val="004456C8"/>
    <w:rsid w:val="0044597A"/>
    <w:rsid w:val="004463D9"/>
    <w:rsid w:val="00446512"/>
    <w:rsid w:val="00446A4B"/>
    <w:rsid w:val="0044714E"/>
    <w:rsid w:val="00447575"/>
    <w:rsid w:val="00450862"/>
    <w:rsid w:val="0045163C"/>
    <w:rsid w:val="00451E53"/>
    <w:rsid w:val="00453DA3"/>
    <w:rsid w:val="00454E03"/>
    <w:rsid w:val="0045573D"/>
    <w:rsid w:val="004559B1"/>
    <w:rsid w:val="00457001"/>
    <w:rsid w:val="00457299"/>
    <w:rsid w:val="00460B9F"/>
    <w:rsid w:val="004615AA"/>
    <w:rsid w:val="004618D0"/>
    <w:rsid w:val="00461D93"/>
    <w:rsid w:val="00462407"/>
    <w:rsid w:val="0046271A"/>
    <w:rsid w:val="004629F6"/>
    <w:rsid w:val="00463A5D"/>
    <w:rsid w:val="00464442"/>
    <w:rsid w:val="00466EF9"/>
    <w:rsid w:val="00467934"/>
    <w:rsid w:val="0047097C"/>
    <w:rsid w:val="00470AE1"/>
    <w:rsid w:val="00471A35"/>
    <w:rsid w:val="004728CB"/>
    <w:rsid w:val="004728F7"/>
    <w:rsid w:val="00473512"/>
    <w:rsid w:val="0047535A"/>
    <w:rsid w:val="0047622D"/>
    <w:rsid w:val="00476586"/>
    <w:rsid w:val="00476876"/>
    <w:rsid w:val="004805F8"/>
    <w:rsid w:val="00480F77"/>
    <w:rsid w:val="0048184A"/>
    <w:rsid w:val="00481D9C"/>
    <w:rsid w:val="00483431"/>
    <w:rsid w:val="00483FA8"/>
    <w:rsid w:val="004851C8"/>
    <w:rsid w:val="0048672B"/>
    <w:rsid w:val="004872A6"/>
    <w:rsid w:val="00487320"/>
    <w:rsid w:val="00487380"/>
    <w:rsid w:val="004877A2"/>
    <w:rsid w:val="004922B6"/>
    <w:rsid w:val="0049411B"/>
    <w:rsid w:val="00496799"/>
    <w:rsid w:val="004969BD"/>
    <w:rsid w:val="00497E33"/>
    <w:rsid w:val="004A02E1"/>
    <w:rsid w:val="004A0F21"/>
    <w:rsid w:val="004A1430"/>
    <w:rsid w:val="004A1F3D"/>
    <w:rsid w:val="004A3065"/>
    <w:rsid w:val="004A4223"/>
    <w:rsid w:val="004A5951"/>
    <w:rsid w:val="004A781C"/>
    <w:rsid w:val="004B02C8"/>
    <w:rsid w:val="004B2341"/>
    <w:rsid w:val="004B2BCD"/>
    <w:rsid w:val="004B4082"/>
    <w:rsid w:val="004B5A7C"/>
    <w:rsid w:val="004B5F3F"/>
    <w:rsid w:val="004C078B"/>
    <w:rsid w:val="004C07A8"/>
    <w:rsid w:val="004C1D2F"/>
    <w:rsid w:val="004C2B1A"/>
    <w:rsid w:val="004C378D"/>
    <w:rsid w:val="004C3DC7"/>
    <w:rsid w:val="004C4280"/>
    <w:rsid w:val="004C47D1"/>
    <w:rsid w:val="004C668E"/>
    <w:rsid w:val="004C6C2E"/>
    <w:rsid w:val="004D24B2"/>
    <w:rsid w:val="004D2BCE"/>
    <w:rsid w:val="004D39C8"/>
    <w:rsid w:val="004D3F07"/>
    <w:rsid w:val="004D679B"/>
    <w:rsid w:val="004E0556"/>
    <w:rsid w:val="004E123B"/>
    <w:rsid w:val="004E29DA"/>
    <w:rsid w:val="004E2C1D"/>
    <w:rsid w:val="004E3911"/>
    <w:rsid w:val="004E4198"/>
    <w:rsid w:val="004E4852"/>
    <w:rsid w:val="004E52C7"/>
    <w:rsid w:val="004E5F79"/>
    <w:rsid w:val="004E60AC"/>
    <w:rsid w:val="004E706E"/>
    <w:rsid w:val="004F0E21"/>
    <w:rsid w:val="004F0FAD"/>
    <w:rsid w:val="004F2027"/>
    <w:rsid w:val="004F2AC5"/>
    <w:rsid w:val="004F37CD"/>
    <w:rsid w:val="004F3CC8"/>
    <w:rsid w:val="004F3CE5"/>
    <w:rsid w:val="004F40BF"/>
    <w:rsid w:val="004F40FE"/>
    <w:rsid w:val="004F641F"/>
    <w:rsid w:val="004F779E"/>
    <w:rsid w:val="004F7D5A"/>
    <w:rsid w:val="00501354"/>
    <w:rsid w:val="005019A5"/>
    <w:rsid w:val="0050263E"/>
    <w:rsid w:val="0050283F"/>
    <w:rsid w:val="00502CE6"/>
    <w:rsid w:val="0050311D"/>
    <w:rsid w:val="005033DC"/>
    <w:rsid w:val="00504579"/>
    <w:rsid w:val="0050512A"/>
    <w:rsid w:val="0050656B"/>
    <w:rsid w:val="0050689C"/>
    <w:rsid w:val="00506907"/>
    <w:rsid w:val="00507472"/>
    <w:rsid w:val="0051178A"/>
    <w:rsid w:val="00512091"/>
    <w:rsid w:val="00512DFA"/>
    <w:rsid w:val="00514002"/>
    <w:rsid w:val="00514234"/>
    <w:rsid w:val="00515C7B"/>
    <w:rsid w:val="005167AE"/>
    <w:rsid w:val="005168DC"/>
    <w:rsid w:val="00516EEA"/>
    <w:rsid w:val="00516FB1"/>
    <w:rsid w:val="005174A7"/>
    <w:rsid w:val="00525251"/>
    <w:rsid w:val="00525266"/>
    <w:rsid w:val="00525D96"/>
    <w:rsid w:val="00527CAB"/>
    <w:rsid w:val="005313E9"/>
    <w:rsid w:val="00531F30"/>
    <w:rsid w:val="005323A3"/>
    <w:rsid w:val="0053329C"/>
    <w:rsid w:val="00533DAC"/>
    <w:rsid w:val="005357BF"/>
    <w:rsid w:val="00536F2D"/>
    <w:rsid w:val="00537101"/>
    <w:rsid w:val="005413BC"/>
    <w:rsid w:val="00541933"/>
    <w:rsid w:val="005429A3"/>
    <w:rsid w:val="005436CD"/>
    <w:rsid w:val="00543BBB"/>
    <w:rsid w:val="005443BC"/>
    <w:rsid w:val="005443DD"/>
    <w:rsid w:val="00544566"/>
    <w:rsid w:val="005449AE"/>
    <w:rsid w:val="00544E23"/>
    <w:rsid w:val="0054521D"/>
    <w:rsid w:val="00545BDF"/>
    <w:rsid w:val="00546848"/>
    <w:rsid w:val="00550352"/>
    <w:rsid w:val="0055084E"/>
    <w:rsid w:val="00550BC8"/>
    <w:rsid w:val="005513F9"/>
    <w:rsid w:val="00551816"/>
    <w:rsid w:val="00551C8A"/>
    <w:rsid w:val="005523AE"/>
    <w:rsid w:val="005524F9"/>
    <w:rsid w:val="005525B2"/>
    <w:rsid w:val="00553251"/>
    <w:rsid w:val="005541A7"/>
    <w:rsid w:val="00554244"/>
    <w:rsid w:val="00555137"/>
    <w:rsid w:val="00555747"/>
    <w:rsid w:val="0055584F"/>
    <w:rsid w:val="005579DC"/>
    <w:rsid w:val="00562805"/>
    <w:rsid w:val="00562DCF"/>
    <w:rsid w:val="00563382"/>
    <w:rsid w:val="005634B0"/>
    <w:rsid w:val="005646B3"/>
    <w:rsid w:val="00565833"/>
    <w:rsid w:val="005662E0"/>
    <w:rsid w:val="00566590"/>
    <w:rsid w:val="00566DBB"/>
    <w:rsid w:val="005702E9"/>
    <w:rsid w:val="00570D21"/>
    <w:rsid w:val="00572281"/>
    <w:rsid w:val="005726A3"/>
    <w:rsid w:val="00573E63"/>
    <w:rsid w:val="00574D86"/>
    <w:rsid w:val="0057697E"/>
    <w:rsid w:val="00580AED"/>
    <w:rsid w:val="00581487"/>
    <w:rsid w:val="00581E16"/>
    <w:rsid w:val="00583D8D"/>
    <w:rsid w:val="00583F5F"/>
    <w:rsid w:val="00584904"/>
    <w:rsid w:val="00585185"/>
    <w:rsid w:val="0058589B"/>
    <w:rsid w:val="00585DC5"/>
    <w:rsid w:val="00585F69"/>
    <w:rsid w:val="00590094"/>
    <w:rsid w:val="0059361C"/>
    <w:rsid w:val="00596B6C"/>
    <w:rsid w:val="005973BA"/>
    <w:rsid w:val="005A0555"/>
    <w:rsid w:val="005A0964"/>
    <w:rsid w:val="005A2A48"/>
    <w:rsid w:val="005A3EBE"/>
    <w:rsid w:val="005A40C2"/>
    <w:rsid w:val="005A53F6"/>
    <w:rsid w:val="005A58EC"/>
    <w:rsid w:val="005A5E52"/>
    <w:rsid w:val="005A6433"/>
    <w:rsid w:val="005A6915"/>
    <w:rsid w:val="005A6A1E"/>
    <w:rsid w:val="005A6BDE"/>
    <w:rsid w:val="005B12A9"/>
    <w:rsid w:val="005B1378"/>
    <w:rsid w:val="005B486D"/>
    <w:rsid w:val="005B49E7"/>
    <w:rsid w:val="005B54BE"/>
    <w:rsid w:val="005B5D31"/>
    <w:rsid w:val="005B5EE9"/>
    <w:rsid w:val="005B72B2"/>
    <w:rsid w:val="005C0B3C"/>
    <w:rsid w:val="005C2BA9"/>
    <w:rsid w:val="005C389D"/>
    <w:rsid w:val="005C3C66"/>
    <w:rsid w:val="005C3EE9"/>
    <w:rsid w:val="005C4090"/>
    <w:rsid w:val="005C4D86"/>
    <w:rsid w:val="005C5621"/>
    <w:rsid w:val="005C5E25"/>
    <w:rsid w:val="005C74FC"/>
    <w:rsid w:val="005C7A40"/>
    <w:rsid w:val="005D10B1"/>
    <w:rsid w:val="005D17B0"/>
    <w:rsid w:val="005D1D7D"/>
    <w:rsid w:val="005D20C9"/>
    <w:rsid w:val="005D24B9"/>
    <w:rsid w:val="005D546C"/>
    <w:rsid w:val="005D57AF"/>
    <w:rsid w:val="005D60E3"/>
    <w:rsid w:val="005E009F"/>
    <w:rsid w:val="005E0907"/>
    <w:rsid w:val="005E0FB9"/>
    <w:rsid w:val="005E1673"/>
    <w:rsid w:val="005E1C1E"/>
    <w:rsid w:val="005E3613"/>
    <w:rsid w:val="005E6D5A"/>
    <w:rsid w:val="005F0A55"/>
    <w:rsid w:val="005F358C"/>
    <w:rsid w:val="005F35DC"/>
    <w:rsid w:val="005F38F5"/>
    <w:rsid w:val="005F4C25"/>
    <w:rsid w:val="005F5525"/>
    <w:rsid w:val="005F5699"/>
    <w:rsid w:val="005F7510"/>
    <w:rsid w:val="00600C76"/>
    <w:rsid w:val="00600FCD"/>
    <w:rsid w:val="0060176A"/>
    <w:rsid w:val="00603921"/>
    <w:rsid w:val="00603D92"/>
    <w:rsid w:val="00604787"/>
    <w:rsid w:val="00605141"/>
    <w:rsid w:val="0060515E"/>
    <w:rsid w:val="0060599A"/>
    <w:rsid w:val="0061123B"/>
    <w:rsid w:val="00612473"/>
    <w:rsid w:val="00613A53"/>
    <w:rsid w:val="00615223"/>
    <w:rsid w:val="00616311"/>
    <w:rsid w:val="00617CAA"/>
    <w:rsid w:val="006207E5"/>
    <w:rsid w:val="0062394A"/>
    <w:rsid w:val="00624846"/>
    <w:rsid w:val="0062487B"/>
    <w:rsid w:val="006248C1"/>
    <w:rsid w:val="006249A1"/>
    <w:rsid w:val="006262AE"/>
    <w:rsid w:val="006265E0"/>
    <w:rsid w:val="006267D6"/>
    <w:rsid w:val="00627026"/>
    <w:rsid w:val="0062710F"/>
    <w:rsid w:val="00627C1B"/>
    <w:rsid w:val="00630DFC"/>
    <w:rsid w:val="006317B1"/>
    <w:rsid w:val="0063338B"/>
    <w:rsid w:val="00634741"/>
    <w:rsid w:val="00634889"/>
    <w:rsid w:val="00635C4B"/>
    <w:rsid w:val="006371F5"/>
    <w:rsid w:val="00637BC0"/>
    <w:rsid w:val="00637E98"/>
    <w:rsid w:val="00641050"/>
    <w:rsid w:val="00641A7F"/>
    <w:rsid w:val="006424AA"/>
    <w:rsid w:val="00642DB8"/>
    <w:rsid w:val="00643878"/>
    <w:rsid w:val="00645929"/>
    <w:rsid w:val="0064756F"/>
    <w:rsid w:val="006478E6"/>
    <w:rsid w:val="00650463"/>
    <w:rsid w:val="00651BD6"/>
    <w:rsid w:val="00652ACB"/>
    <w:rsid w:val="0065380F"/>
    <w:rsid w:val="00655418"/>
    <w:rsid w:val="00655DC9"/>
    <w:rsid w:val="00655ECC"/>
    <w:rsid w:val="00656157"/>
    <w:rsid w:val="00657F96"/>
    <w:rsid w:val="00661DD3"/>
    <w:rsid w:val="00662533"/>
    <w:rsid w:val="00663A46"/>
    <w:rsid w:val="00663F37"/>
    <w:rsid w:val="00666DA9"/>
    <w:rsid w:val="00667444"/>
    <w:rsid w:val="00667DAA"/>
    <w:rsid w:val="006704B4"/>
    <w:rsid w:val="00670684"/>
    <w:rsid w:val="00673B6C"/>
    <w:rsid w:val="00676FF8"/>
    <w:rsid w:val="00680812"/>
    <w:rsid w:val="00680D37"/>
    <w:rsid w:val="0068165A"/>
    <w:rsid w:val="00681D73"/>
    <w:rsid w:val="00682162"/>
    <w:rsid w:val="00682B83"/>
    <w:rsid w:val="00682F73"/>
    <w:rsid w:val="00683D4E"/>
    <w:rsid w:val="0068417C"/>
    <w:rsid w:val="006851ED"/>
    <w:rsid w:val="00686135"/>
    <w:rsid w:val="00686C9D"/>
    <w:rsid w:val="00687CD9"/>
    <w:rsid w:val="00687E1B"/>
    <w:rsid w:val="00687E23"/>
    <w:rsid w:val="00690A29"/>
    <w:rsid w:val="00692E5E"/>
    <w:rsid w:val="00695D6C"/>
    <w:rsid w:val="006962EE"/>
    <w:rsid w:val="00696CC1"/>
    <w:rsid w:val="006974D2"/>
    <w:rsid w:val="006978F8"/>
    <w:rsid w:val="00697C85"/>
    <w:rsid w:val="006A0589"/>
    <w:rsid w:val="006A1139"/>
    <w:rsid w:val="006A12AF"/>
    <w:rsid w:val="006A2799"/>
    <w:rsid w:val="006A2D32"/>
    <w:rsid w:val="006A3098"/>
    <w:rsid w:val="006A4903"/>
    <w:rsid w:val="006A4CBC"/>
    <w:rsid w:val="006A6DB1"/>
    <w:rsid w:val="006A6F38"/>
    <w:rsid w:val="006A7F66"/>
    <w:rsid w:val="006B03C1"/>
    <w:rsid w:val="006B03D0"/>
    <w:rsid w:val="006B12FE"/>
    <w:rsid w:val="006B2178"/>
    <w:rsid w:val="006B23B8"/>
    <w:rsid w:val="006B279A"/>
    <w:rsid w:val="006B29ED"/>
    <w:rsid w:val="006B383A"/>
    <w:rsid w:val="006B3919"/>
    <w:rsid w:val="006B3EB3"/>
    <w:rsid w:val="006B6BE0"/>
    <w:rsid w:val="006B6E99"/>
    <w:rsid w:val="006B7E3C"/>
    <w:rsid w:val="006C037D"/>
    <w:rsid w:val="006C03BB"/>
    <w:rsid w:val="006C0C33"/>
    <w:rsid w:val="006C23D5"/>
    <w:rsid w:val="006C24C2"/>
    <w:rsid w:val="006C4833"/>
    <w:rsid w:val="006C53CB"/>
    <w:rsid w:val="006C57DF"/>
    <w:rsid w:val="006C5C45"/>
    <w:rsid w:val="006C66A0"/>
    <w:rsid w:val="006C7235"/>
    <w:rsid w:val="006D0143"/>
    <w:rsid w:val="006D13B0"/>
    <w:rsid w:val="006D5FFE"/>
    <w:rsid w:val="006D63F8"/>
    <w:rsid w:val="006D68D2"/>
    <w:rsid w:val="006D6EEC"/>
    <w:rsid w:val="006D73A0"/>
    <w:rsid w:val="006D74A6"/>
    <w:rsid w:val="006D7A0C"/>
    <w:rsid w:val="006D7E17"/>
    <w:rsid w:val="006E0BA1"/>
    <w:rsid w:val="006E24BA"/>
    <w:rsid w:val="006E3406"/>
    <w:rsid w:val="006E34C6"/>
    <w:rsid w:val="006E3B52"/>
    <w:rsid w:val="006E479B"/>
    <w:rsid w:val="006E52B8"/>
    <w:rsid w:val="006F3EFC"/>
    <w:rsid w:val="006F56D1"/>
    <w:rsid w:val="006F65FF"/>
    <w:rsid w:val="006F6CA1"/>
    <w:rsid w:val="0070167D"/>
    <w:rsid w:val="00702381"/>
    <w:rsid w:val="007031DA"/>
    <w:rsid w:val="00703F0A"/>
    <w:rsid w:val="00705D87"/>
    <w:rsid w:val="00707C91"/>
    <w:rsid w:val="00707F0E"/>
    <w:rsid w:val="0071103D"/>
    <w:rsid w:val="00712CFE"/>
    <w:rsid w:val="007151D8"/>
    <w:rsid w:val="00715F94"/>
    <w:rsid w:val="00715FF1"/>
    <w:rsid w:val="00720A81"/>
    <w:rsid w:val="00720C8E"/>
    <w:rsid w:val="00721BE0"/>
    <w:rsid w:val="00722B91"/>
    <w:rsid w:val="0072314C"/>
    <w:rsid w:val="00723CF3"/>
    <w:rsid w:val="00723DA7"/>
    <w:rsid w:val="007253FE"/>
    <w:rsid w:val="0072545E"/>
    <w:rsid w:val="007256E8"/>
    <w:rsid w:val="00730240"/>
    <w:rsid w:val="007323BB"/>
    <w:rsid w:val="00732ABA"/>
    <w:rsid w:val="00732DFB"/>
    <w:rsid w:val="007343DF"/>
    <w:rsid w:val="00736ED4"/>
    <w:rsid w:val="00737106"/>
    <w:rsid w:val="00737A50"/>
    <w:rsid w:val="007401E1"/>
    <w:rsid w:val="00740849"/>
    <w:rsid w:val="007418FE"/>
    <w:rsid w:val="00742689"/>
    <w:rsid w:val="00742F48"/>
    <w:rsid w:val="00747849"/>
    <w:rsid w:val="00750FA9"/>
    <w:rsid w:val="007517C4"/>
    <w:rsid w:val="00751FB9"/>
    <w:rsid w:val="00752394"/>
    <w:rsid w:val="0075426B"/>
    <w:rsid w:val="0075432B"/>
    <w:rsid w:val="0075598D"/>
    <w:rsid w:val="007566D7"/>
    <w:rsid w:val="00756754"/>
    <w:rsid w:val="0076001A"/>
    <w:rsid w:val="0076100A"/>
    <w:rsid w:val="0076202E"/>
    <w:rsid w:val="00762AFD"/>
    <w:rsid w:val="0076452D"/>
    <w:rsid w:val="00767177"/>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229E"/>
    <w:rsid w:val="00794C9C"/>
    <w:rsid w:val="007956CB"/>
    <w:rsid w:val="007957A6"/>
    <w:rsid w:val="00796A4F"/>
    <w:rsid w:val="007A089B"/>
    <w:rsid w:val="007A093C"/>
    <w:rsid w:val="007A19E4"/>
    <w:rsid w:val="007A1B0B"/>
    <w:rsid w:val="007A1CED"/>
    <w:rsid w:val="007A210E"/>
    <w:rsid w:val="007A2574"/>
    <w:rsid w:val="007A45E2"/>
    <w:rsid w:val="007A555C"/>
    <w:rsid w:val="007A59B1"/>
    <w:rsid w:val="007A6E23"/>
    <w:rsid w:val="007B0624"/>
    <w:rsid w:val="007B0AA6"/>
    <w:rsid w:val="007B0B06"/>
    <w:rsid w:val="007B0F7B"/>
    <w:rsid w:val="007B1EAB"/>
    <w:rsid w:val="007B48DD"/>
    <w:rsid w:val="007B68B0"/>
    <w:rsid w:val="007B6FE7"/>
    <w:rsid w:val="007C1653"/>
    <w:rsid w:val="007C1A20"/>
    <w:rsid w:val="007C2506"/>
    <w:rsid w:val="007C3DD8"/>
    <w:rsid w:val="007C522B"/>
    <w:rsid w:val="007C7BE8"/>
    <w:rsid w:val="007D01E1"/>
    <w:rsid w:val="007D092C"/>
    <w:rsid w:val="007D0EBB"/>
    <w:rsid w:val="007D1592"/>
    <w:rsid w:val="007D21A1"/>
    <w:rsid w:val="007D366F"/>
    <w:rsid w:val="007D3B5B"/>
    <w:rsid w:val="007D68C6"/>
    <w:rsid w:val="007D6AB2"/>
    <w:rsid w:val="007D7E73"/>
    <w:rsid w:val="007E0DC3"/>
    <w:rsid w:val="007E3A20"/>
    <w:rsid w:val="007E3BE7"/>
    <w:rsid w:val="007E3DC8"/>
    <w:rsid w:val="007E4675"/>
    <w:rsid w:val="007E4DE7"/>
    <w:rsid w:val="007E50CC"/>
    <w:rsid w:val="007E7380"/>
    <w:rsid w:val="007E74A0"/>
    <w:rsid w:val="007F11E6"/>
    <w:rsid w:val="007F1B14"/>
    <w:rsid w:val="007F297B"/>
    <w:rsid w:val="007F2AA3"/>
    <w:rsid w:val="007F2ADB"/>
    <w:rsid w:val="007F2DF2"/>
    <w:rsid w:val="007F43E3"/>
    <w:rsid w:val="007F5E75"/>
    <w:rsid w:val="00800509"/>
    <w:rsid w:val="008005D1"/>
    <w:rsid w:val="00800D64"/>
    <w:rsid w:val="0080277D"/>
    <w:rsid w:val="0080456C"/>
    <w:rsid w:val="008069E5"/>
    <w:rsid w:val="00807B07"/>
    <w:rsid w:val="00814CCE"/>
    <w:rsid w:val="008150D8"/>
    <w:rsid w:val="0081523A"/>
    <w:rsid w:val="008160D8"/>
    <w:rsid w:val="00817787"/>
    <w:rsid w:val="00820E62"/>
    <w:rsid w:val="00821B45"/>
    <w:rsid w:val="00822047"/>
    <w:rsid w:val="00822348"/>
    <w:rsid w:val="00823595"/>
    <w:rsid w:val="00824E02"/>
    <w:rsid w:val="008253B7"/>
    <w:rsid w:val="00825D91"/>
    <w:rsid w:val="00827148"/>
    <w:rsid w:val="00827E82"/>
    <w:rsid w:val="00830479"/>
    <w:rsid w:val="0083049F"/>
    <w:rsid w:val="008311BC"/>
    <w:rsid w:val="00831418"/>
    <w:rsid w:val="0083158F"/>
    <w:rsid w:val="008315B3"/>
    <w:rsid w:val="00831D1A"/>
    <w:rsid w:val="008341A2"/>
    <w:rsid w:val="0083485A"/>
    <w:rsid w:val="008351B8"/>
    <w:rsid w:val="008357DA"/>
    <w:rsid w:val="00836281"/>
    <w:rsid w:val="00836790"/>
    <w:rsid w:val="00837658"/>
    <w:rsid w:val="00840164"/>
    <w:rsid w:val="00840C37"/>
    <w:rsid w:val="00840E49"/>
    <w:rsid w:val="008415DD"/>
    <w:rsid w:val="00841CDB"/>
    <w:rsid w:val="00842640"/>
    <w:rsid w:val="00844151"/>
    <w:rsid w:val="00844B2B"/>
    <w:rsid w:val="00844C36"/>
    <w:rsid w:val="00844F5A"/>
    <w:rsid w:val="008452E8"/>
    <w:rsid w:val="00846638"/>
    <w:rsid w:val="00850841"/>
    <w:rsid w:val="008515C6"/>
    <w:rsid w:val="00852E79"/>
    <w:rsid w:val="008531E7"/>
    <w:rsid w:val="00854DD7"/>
    <w:rsid w:val="0085560D"/>
    <w:rsid w:val="00855ECB"/>
    <w:rsid w:val="00856A55"/>
    <w:rsid w:val="00856BCB"/>
    <w:rsid w:val="00857F6F"/>
    <w:rsid w:val="00860381"/>
    <w:rsid w:val="00861D75"/>
    <w:rsid w:val="00862030"/>
    <w:rsid w:val="00862816"/>
    <w:rsid w:val="00862A33"/>
    <w:rsid w:val="00863282"/>
    <w:rsid w:val="008635B2"/>
    <w:rsid w:val="0086380C"/>
    <w:rsid w:val="00866101"/>
    <w:rsid w:val="008661FB"/>
    <w:rsid w:val="00867B2B"/>
    <w:rsid w:val="00867EC8"/>
    <w:rsid w:val="0087133E"/>
    <w:rsid w:val="00872523"/>
    <w:rsid w:val="00873FCE"/>
    <w:rsid w:val="00874775"/>
    <w:rsid w:val="00875220"/>
    <w:rsid w:val="00875222"/>
    <w:rsid w:val="00875490"/>
    <w:rsid w:val="008765D2"/>
    <w:rsid w:val="00876748"/>
    <w:rsid w:val="0087718F"/>
    <w:rsid w:val="00877B23"/>
    <w:rsid w:val="00880B1B"/>
    <w:rsid w:val="00882B85"/>
    <w:rsid w:val="0088408D"/>
    <w:rsid w:val="008863A3"/>
    <w:rsid w:val="008912FC"/>
    <w:rsid w:val="00892DD0"/>
    <w:rsid w:val="00892FD6"/>
    <w:rsid w:val="008940E4"/>
    <w:rsid w:val="0089491E"/>
    <w:rsid w:val="008950D9"/>
    <w:rsid w:val="0089590E"/>
    <w:rsid w:val="00896781"/>
    <w:rsid w:val="008974F8"/>
    <w:rsid w:val="008977E8"/>
    <w:rsid w:val="008A4E9D"/>
    <w:rsid w:val="008A556E"/>
    <w:rsid w:val="008A6845"/>
    <w:rsid w:val="008A6B1D"/>
    <w:rsid w:val="008B3083"/>
    <w:rsid w:val="008B4412"/>
    <w:rsid w:val="008B575C"/>
    <w:rsid w:val="008C0043"/>
    <w:rsid w:val="008C12F0"/>
    <w:rsid w:val="008C39CC"/>
    <w:rsid w:val="008C3E6B"/>
    <w:rsid w:val="008C48AA"/>
    <w:rsid w:val="008C4F81"/>
    <w:rsid w:val="008C69F3"/>
    <w:rsid w:val="008C6A86"/>
    <w:rsid w:val="008D07AA"/>
    <w:rsid w:val="008D12CF"/>
    <w:rsid w:val="008D409B"/>
    <w:rsid w:val="008D428A"/>
    <w:rsid w:val="008D4ADC"/>
    <w:rsid w:val="008D7224"/>
    <w:rsid w:val="008D7924"/>
    <w:rsid w:val="008E06AE"/>
    <w:rsid w:val="008E0CFE"/>
    <w:rsid w:val="008E1E29"/>
    <w:rsid w:val="008E1F4E"/>
    <w:rsid w:val="008E3134"/>
    <w:rsid w:val="008E38A9"/>
    <w:rsid w:val="008E509E"/>
    <w:rsid w:val="008E529C"/>
    <w:rsid w:val="008E6215"/>
    <w:rsid w:val="008E66BA"/>
    <w:rsid w:val="008E7ACD"/>
    <w:rsid w:val="008F01C0"/>
    <w:rsid w:val="008F06E6"/>
    <w:rsid w:val="008F09B0"/>
    <w:rsid w:val="008F0C8C"/>
    <w:rsid w:val="008F10EE"/>
    <w:rsid w:val="008F1A3D"/>
    <w:rsid w:val="008F2047"/>
    <w:rsid w:val="008F4425"/>
    <w:rsid w:val="008F54F1"/>
    <w:rsid w:val="00900052"/>
    <w:rsid w:val="00900BE9"/>
    <w:rsid w:val="00901157"/>
    <w:rsid w:val="00901200"/>
    <w:rsid w:val="00901252"/>
    <w:rsid w:val="0090162D"/>
    <w:rsid w:val="00901B8B"/>
    <w:rsid w:val="00901CAE"/>
    <w:rsid w:val="00902007"/>
    <w:rsid w:val="009027BB"/>
    <w:rsid w:val="0090336B"/>
    <w:rsid w:val="00903A19"/>
    <w:rsid w:val="00903CDE"/>
    <w:rsid w:val="00904306"/>
    <w:rsid w:val="00904E30"/>
    <w:rsid w:val="00905A3F"/>
    <w:rsid w:val="00907A2E"/>
    <w:rsid w:val="00910586"/>
    <w:rsid w:val="009133B5"/>
    <w:rsid w:val="00913773"/>
    <w:rsid w:val="00913D2D"/>
    <w:rsid w:val="00915F8A"/>
    <w:rsid w:val="00916668"/>
    <w:rsid w:val="00917971"/>
    <w:rsid w:val="00920312"/>
    <w:rsid w:val="009207C1"/>
    <w:rsid w:val="009212D0"/>
    <w:rsid w:val="00922DE4"/>
    <w:rsid w:val="009241B7"/>
    <w:rsid w:val="00925B1F"/>
    <w:rsid w:val="00926043"/>
    <w:rsid w:val="009263ED"/>
    <w:rsid w:val="009269C7"/>
    <w:rsid w:val="00926DA9"/>
    <w:rsid w:val="00927AE2"/>
    <w:rsid w:val="00930326"/>
    <w:rsid w:val="00930EBE"/>
    <w:rsid w:val="00931380"/>
    <w:rsid w:val="0093168B"/>
    <w:rsid w:val="00931FC0"/>
    <w:rsid w:val="00932045"/>
    <w:rsid w:val="009320F6"/>
    <w:rsid w:val="0093421F"/>
    <w:rsid w:val="00935A37"/>
    <w:rsid w:val="00935A74"/>
    <w:rsid w:val="00936A81"/>
    <w:rsid w:val="00936CA8"/>
    <w:rsid w:val="009403E7"/>
    <w:rsid w:val="00940860"/>
    <w:rsid w:val="00940B16"/>
    <w:rsid w:val="0094197C"/>
    <w:rsid w:val="0094238C"/>
    <w:rsid w:val="0094436E"/>
    <w:rsid w:val="00944406"/>
    <w:rsid w:val="00944B16"/>
    <w:rsid w:val="00944E5F"/>
    <w:rsid w:val="00945962"/>
    <w:rsid w:val="00945E80"/>
    <w:rsid w:val="00946454"/>
    <w:rsid w:val="0094650E"/>
    <w:rsid w:val="00946624"/>
    <w:rsid w:val="00950299"/>
    <w:rsid w:val="009507E7"/>
    <w:rsid w:val="00950ADD"/>
    <w:rsid w:val="009515C1"/>
    <w:rsid w:val="00951EC2"/>
    <w:rsid w:val="00952200"/>
    <w:rsid w:val="00952D8C"/>
    <w:rsid w:val="00953E66"/>
    <w:rsid w:val="00955200"/>
    <w:rsid w:val="00957338"/>
    <w:rsid w:val="00957B12"/>
    <w:rsid w:val="00957B18"/>
    <w:rsid w:val="009602AE"/>
    <w:rsid w:val="00962373"/>
    <w:rsid w:val="009623E3"/>
    <w:rsid w:val="00962449"/>
    <w:rsid w:val="009630FE"/>
    <w:rsid w:val="009638FD"/>
    <w:rsid w:val="0096440F"/>
    <w:rsid w:val="00964883"/>
    <w:rsid w:val="00965333"/>
    <w:rsid w:val="009653D0"/>
    <w:rsid w:val="00966447"/>
    <w:rsid w:val="00966B23"/>
    <w:rsid w:val="00967339"/>
    <w:rsid w:val="00970BCB"/>
    <w:rsid w:val="00971470"/>
    <w:rsid w:val="00973FDF"/>
    <w:rsid w:val="00974F12"/>
    <w:rsid w:val="00975311"/>
    <w:rsid w:val="009756CB"/>
    <w:rsid w:val="00975D9D"/>
    <w:rsid w:val="009760CA"/>
    <w:rsid w:val="00976BFF"/>
    <w:rsid w:val="00981335"/>
    <w:rsid w:val="009824C7"/>
    <w:rsid w:val="009835D3"/>
    <w:rsid w:val="0098616C"/>
    <w:rsid w:val="00986324"/>
    <w:rsid w:val="009866D0"/>
    <w:rsid w:val="00986C96"/>
    <w:rsid w:val="00990889"/>
    <w:rsid w:val="009914B0"/>
    <w:rsid w:val="0099180D"/>
    <w:rsid w:val="00991BAB"/>
    <w:rsid w:val="0099239D"/>
    <w:rsid w:val="0099344C"/>
    <w:rsid w:val="00993A8F"/>
    <w:rsid w:val="00993DF4"/>
    <w:rsid w:val="00995D0F"/>
    <w:rsid w:val="009968F8"/>
    <w:rsid w:val="00996ED4"/>
    <w:rsid w:val="009A0341"/>
    <w:rsid w:val="009A07A2"/>
    <w:rsid w:val="009A1EAD"/>
    <w:rsid w:val="009A21A5"/>
    <w:rsid w:val="009A2734"/>
    <w:rsid w:val="009A43BC"/>
    <w:rsid w:val="009A53CC"/>
    <w:rsid w:val="009A7B36"/>
    <w:rsid w:val="009A7D74"/>
    <w:rsid w:val="009B0808"/>
    <w:rsid w:val="009B1B83"/>
    <w:rsid w:val="009B1FD4"/>
    <w:rsid w:val="009B2440"/>
    <w:rsid w:val="009B27F1"/>
    <w:rsid w:val="009B3B5B"/>
    <w:rsid w:val="009B3CCA"/>
    <w:rsid w:val="009B3F8D"/>
    <w:rsid w:val="009B4190"/>
    <w:rsid w:val="009B5D79"/>
    <w:rsid w:val="009B728D"/>
    <w:rsid w:val="009B7369"/>
    <w:rsid w:val="009C12D1"/>
    <w:rsid w:val="009C1520"/>
    <w:rsid w:val="009C2579"/>
    <w:rsid w:val="009C2606"/>
    <w:rsid w:val="009C297E"/>
    <w:rsid w:val="009C2E20"/>
    <w:rsid w:val="009C3A53"/>
    <w:rsid w:val="009C429C"/>
    <w:rsid w:val="009C5F43"/>
    <w:rsid w:val="009C6C1E"/>
    <w:rsid w:val="009C6CD2"/>
    <w:rsid w:val="009D06F0"/>
    <w:rsid w:val="009D2682"/>
    <w:rsid w:val="009D279D"/>
    <w:rsid w:val="009D6306"/>
    <w:rsid w:val="009D7636"/>
    <w:rsid w:val="009D7808"/>
    <w:rsid w:val="009D7C8D"/>
    <w:rsid w:val="009E053A"/>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E34"/>
    <w:rsid w:val="009F5745"/>
    <w:rsid w:val="009F6BD6"/>
    <w:rsid w:val="009F790B"/>
    <w:rsid w:val="009F7F13"/>
    <w:rsid w:val="00A008EC"/>
    <w:rsid w:val="00A01605"/>
    <w:rsid w:val="00A0226B"/>
    <w:rsid w:val="00A02C44"/>
    <w:rsid w:val="00A0317C"/>
    <w:rsid w:val="00A04045"/>
    <w:rsid w:val="00A04414"/>
    <w:rsid w:val="00A046DC"/>
    <w:rsid w:val="00A04C84"/>
    <w:rsid w:val="00A0613A"/>
    <w:rsid w:val="00A06162"/>
    <w:rsid w:val="00A07142"/>
    <w:rsid w:val="00A075C4"/>
    <w:rsid w:val="00A075FD"/>
    <w:rsid w:val="00A104E9"/>
    <w:rsid w:val="00A110B8"/>
    <w:rsid w:val="00A11438"/>
    <w:rsid w:val="00A133BA"/>
    <w:rsid w:val="00A13A9E"/>
    <w:rsid w:val="00A1437E"/>
    <w:rsid w:val="00A146D4"/>
    <w:rsid w:val="00A14B28"/>
    <w:rsid w:val="00A1635C"/>
    <w:rsid w:val="00A169A0"/>
    <w:rsid w:val="00A22C9E"/>
    <w:rsid w:val="00A22E74"/>
    <w:rsid w:val="00A2499A"/>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AE6"/>
    <w:rsid w:val="00A42D5A"/>
    <w:rsid w:val="00A4574B"/>
    <w:rsid w:val="00A47B47"/>
    <w:rsid w:val="00A503D9"/>
    <w:rsid w:val="00A50D86"/>
    <w:rsid w:val="00A516EE"/>
    <w:rsid w:val="00A55E0E"/>
    <w:rsid w:val="00A5630A"/>
    <w:rsid w:val="00A57782"/>
    <w:rsid w:val="00A60CC2"/>
    <w:rsid w:val="00A62D0D"/>
    <w:rsid w:val="00A64792"/>
    <w:rsid w:val="00A651E1"/>
    <w:rsid w:val="00A653B8"/>
    <w:rsid w:val="00A66DD9"/>
    <w:rsid w:val="00A70C86"/>
    <w:rsid w:val="00A7192E"/>
    <w:rsid w:val="00A71FB8"/>
    <w:rsid w:val="00A7319B"/>
    <w:rsid w:val="00A73249"/>
    <w:rsid w:val="00A741A4"/>
    <w:rsid w:val="00A752D0"/>
    <w:rsid w:val="00A75F77"/>
    <w:rsid w:val="00A76296"/>
    <w:rsid w:val="00A7690D"/>
    <w:rsid w:val="00A76B8C"/>
    <w:rsid w:val="00A773D3"/>
    <w:rsid w:val="00A8072B"/>
    <w:rsid w:val="00A81889"/>
    <w:rsid w:val="00A81D86"/>
    <w:rsid w:val="00A827F7"/>
    <w:rsid w:val="00A82BEC"/>
    <w:rsid w:val="00A83368"/>
    <w:rsid w:val="00A83BCA"/>
    <w:rsid w:val="00A83E94"/>
    <w:rsid w:val="00A865AC"/>
    <w:rsid w:val="00A865AE"/>
    <w:rsid w:val="00A872DB"/>
    <w:rsid w:val="00A90323"/>
    <w:rsid w:val="00A90336"/>
    <w:rsid w:val="00A91484"/>
    <w:rsid w:val="00A926F5"/>
    <w:rsid w:val="00A92FDA"/>
    <w:rsid w:val="00A93DB2"/>
    <w:rsid w:val="00A95618"/>
    <w:rsid w:val="00A96E8C"/>
    <w:rsid w:val="00A96F85"/>
    <w:rsid w:val="00A97356"/>
    <w:rsid w:val="00AA0D2C"/>
    <w:rsid w:val="00AA16EA"/>
    <w:rsid w:val="00AA1789"/>
    <w:rsid w:val="00AA26BD"/>
    <w:rsid w:val="00AA38BB"/>
    <w:rsid w:val="00AA4FB4"/>
    <w:rsid w:val="00AA72F4"/>
    <w:rsid w:val="00AB1EDB"/>
    <w:rsid w:val="00AB2931"/>
    <w:rsid w:val="00AB411C"/>
    <w:rsid w:val="00AB4C48"/>
    <w:rsid w:val="00AB59BE"/>
    <w:rsid w:val="00AB5B0E"/>
    <w:rsid w:val="00AB636D"/>
    <w:rsid w:val="00AB70A0"/>
    <w:rsid w:val="00AC075C"/>
    <w:rsid w:val="00AC3F20"/>
    <w:rsid w:val="00AC3F68"/>
    <w:rsid w:val="00AC641E"/>
    <w:rsid w:val="00AC6B0B"/>
    <w:rsid w:val="00AC73C7"/>
    <w:rsid w:val="00AD0F6D"/>
    <w:rsid w:val="00AD1110"/>
    <w:rsid w:val="00AD2B7A"/>
    <w:rsid w:val="00AD314B"/>
    <w:rsid w:val="00AD5AA2"/>
    <w:rsid w:val="00AD6716"/>
    <w:rsid w:val="00AD7376"/>
    <w:rsid w:val="00AD7742"/>
    <w:rsid w:val="00AD792D"/>
    <w:rsid w:val="00AE0404"/>
    <w:rsid w:val="00AE06B3"/>
    <w:rsid w:val="00AE06C1"/>
    <w:rsid w:val="00AE10BA"/>
    <w:rsid w:val="00AE26D0"/>
    <w:rsid w:val="00AE2EFB"/>
    <w:rsid w:val="00AE3C07"/>
    <w:rsid w:val="00AE4404"/>
    <w:rsid w:val="00AE549A"/>
    <w:rsid w:val="00AE54AB"/>
    <w:rsid w:val="00AE5553"/>
    <w:rsid w:val="00AE60A7"/>
    <w:rsid w:val="00AE63B6"/>
    <w:rsid w:val="00AE70D6"/>
    <w:rsid w:val="00AE71AE"/>
    <w:rsid w:val="00AE790C"/>
    <w:rsid w:val="00AF0AA4"/>
    <w:rsid w:val="00AF210B"/>
    <w:rsid w:val="00AF220C"/>
    <w:rsid w:val="00AF307A"/>
    <w:rsid w:val="00AF38B6"/>
    <w:rsid w:val="00AF3D96"/>
    <w:rsid w:val="00AF4944"/>
    <w:rsid w:val="00AF4E43"/>
    <w:rsid w:val="00AF6227"/>
    <w:rsid w:val="00AF68FC"/>
    <w:rsid w:val="00AF726A"/>
    <w:rsid w:val="00AF7AA8"/>
    <w:rsid w:val="00B000A9"/>
    <w:rsid w:val="00B006E3"/>
    <w:rsid w:val="00B008CC"/>
    <w:rsid w:val="00B00D5D"/>
    <w:rsid w:val="00B0148C"/>
    <w:rsid w:val="00B01700"/>
    <w:rsid w:val="00B02900"/>
    <w:rsid w:val="00B02CF9"/>
    <w:rsid w:val="00B03860"/>
    <w:rsid w:val="00B03D54"/>
    <w:rsid w:val="00B03DE8"/>
    <w:rsid w:val="00B04C28"/>
    <w:rsid w:val="00B050FA"/>
    <w:rsid w:val="00B05458"/>
    <w:rsid w:val="00B056D8"/>
    <w:rsid w:val="00B070C5"/>
    <w:rsid w:val="00B0767A"/>
    <w:rsid w:val="00B11109"/>
    <w:rsid w:val="00B12A52"/>
    <w:rsid w:val="00B13711"/>
    <w:rsid w:val="00B138AA"/>
    <w:rsid w:val="00B14A1E"/>
    <w:rsid w:val="00B15213"/>
    <w:rsid w:val="00B15447"/>
    <w:rsid w:val="00B156C7"/>
    <w:rsid w:val="00B16141"/>
    <w:rsid w:val="00B1679A"/>
    <w:rsid w:val="00B16D7E"/>
    <w:rsid w:val="00B174C1"/>
    <w:rsid w:val="00B1789E"/>
    <w:rsid w:val="00B17A61"/>
    <w:rsid w:val="00B21926"/>
    <w:rsid w:val="00B23EC4"/>
    <w:rsid w:val="00B2426C"/>
    <w:rsid w:val="00B25892"/>
    <w:rsid w:val="00B25969"/>
    <w:rsid w:val="00B25ED5"/>
    <w:rsid w:val="00B26681"/>
    <w:rsid w:val="00B272D6"/>
    <w:rsid w:val="00B3107C"/>
    <w:rsid w:val="00B3128F"/>
    <w:rsid w:val="00B33373"/>
    <w:rsid w:val="00B3372C"/>
    <w:rsid w:val="00B33D23"/>
    <w:rsid w:val="00B3400C"/>
    <w:rsid w:val="00B35B03"/>
    <w:rsid w:val="00B36CE6"/>
    <w:rsid w:val="00B372B9"/>
    <w:rsid w:val="00B37414"/>
    <w:rsid w:val="00B42136"/>
    <w:rsid w:val="00B42920"/>
    <w:rsid w:val="00B42C14"/>
    <w:rsid w:val="00B43608"/>
    <w:rsid w:val="00B43A96"/>
    <w:rsid w:val="00B450BA"/>
    <w:rsid w:val="00B458BA"/>
    <w:rsid w:val="00B45F1B"/>
    <w:rsid w:val="00B46A46"/>
    <w:rsid w:val="00B46E2E"/>
    <w:rsid w:val="00B5085E"/>
    <w:rsid w:val="00B50EA3"/>
    <w:rsid w:val="00B50F98"/>
    <w:rsid w:val="00B5144C"/>
    <w:rsid w:val="00B51A66"/>
    <w:rsid w:val="00B53ED3"/>
    <w:rsid w:val="00B54354"/>
    <w:rsid w:val="00B547CA"/>
    <w:rsid w:val="00B562BC"/>
    <w:rsid w:val="00B56992"/>
    <w:rsid w:val="00B56A4C"/>
    <w:rsid w:val="00B60966"/>
    <w:rsid w:val="00B6167D"/>
    <w:rsid w:val="00B63568"/>
    <w:rsid w:val="00B642F0"/>
    <w:rsid w:val="00B65441"/>
    <w:rsid w:val="00B6592E"/>
    <w:rsid w:val="00B65A84"/>
    <w:rsid w:val="00B66C7D"/>
    <w:rsid w:val="00B6750B"/>
    <w:rsid w:val="00B71473"/>
    <w:rsid w:val="00B7180B"/>
    <w:rsid w:val="00B7194A"/>
    <w:rsid w:val="00B71A5E"/>
    <w:rsid w:val="00B73291"/>
    <w:rsid w:val="00B74592"/>
    <w:rsid w:val="00B745A8"/>
    <w:rsid w:val="00B75739"/>
    <w:rsid w:val="00B75F6E"/>
    <w:rsid w:val="00B75FDD"/>
    <w:rsid w:val="00B77429"/>
    <w:rsid w:val="00B800FF"/>
    <w:rsid w:val="00B80FC6"/>
    <w:rsid w:val="00B85AB8"/>
    <w:rsid w:val="00B87283"/>
    <w:rsid w:val="00B87819"/>
    <w:rsid w:val="00B878D9"/>
    <w:rsid w:val="00B901B9"/>
    <w:rsid w:val="00B901EC"/>
    <w:rsid w:val="00B9129C"/>
    <w:rsid w:val="00B918F2"/>
    <w:rsid w:val="00B92A49"/>
    <w:rsid w:val="00B932F0"/>
    <w:rsid w:val="00B945A6"/>
    <w:rsid w:val="00B9470C"/>
    <w:rsid w:val="00B94D6B"/>
    <w:rsid w:val="00B95931"/>
    <w:rsid w:val="00B97334"/>
    <w:rsid w:val="00B97643"/>
    <w:rsid w:val="00B97E5D"/>
    <w:rsid w:val="00BA02A0"/>
    <w:rsid w:val="00BA21B0"/>
    <w:rsid w:val="00BA2739"/>
    <w:rsid w:val="00BA3979"/>
    <w:rsid w:val="00BA3E27"/>
    <w:rsid w:val="00BA3FC8"/>
    <w:rsid w:val="00BA44FF"/>
    <w:rsid w:val="00BA5FE9"/>
    <w:rsid w:val="00BA6796"/>
    <w:rsid w:val="00BA7955"/>
    <w:rsid w:val="00BB1140"/>
    <w:rsid w:val="00BB3D45"/>
    <w:rsid w:val="00BB43FB"/>
    <w:rsid w:val="00BB4922"/>
    <w:rsid w:val="00BB4CB2"/>
    <w:rsid w:val="00BB5319"/>
    <w:rsid w:val="00BB647A"/>
    <w:rsid w:val="00BC0809"/>
    <w:rsid w:val="00BC1210"/>
    <w:rsid w:val="00BC2682"/>
    <w:rsid w:val="00BC36DF"/>
    <w:rsid w:val="00BC541C"/>
    <w:rsid w:val="00BC6009"/>
    <w:rsid w:val="00BC657B"/>
    <w:rsid w:val="00BC6CEF"/>
    <w:rsid w:val="00BD407C"/>
    <w:rsid w:val="00BD4863"/>
    <w:rsid w:val="00BD4C32"/>
    <w:rsid w:val="00BD644C"/>
    <w:rsid w:val="00BD713F"/>
    <w:rsid w:val="00BE014A"/>
    <w:rsid w:val="00BE0BB4"/>
    <w:rsid w:val="00BE1320"/>
    <w:rsid w:val="00BE1D39"/>
    <w:rsid w:val="00BE3698"/>
    <w:rsid w:val="00BE376D"/>
    <w:rsid w:val="00BE3D18"/>
    <w:rsid w:val="00BE5F9C"/>
    <w:rsid w:val="00BE61E3"/>
    <w:rsid w:val="00BE6A87"/>
    <w:rsid w:val="00BE7FF8"/>
    <w:rsid w:val="00BF01D5"/>
    <w:rsid w:val="00BF0DC0"/>
    <w:rsid w:val="00BF1381"/>
    <w:rsid w:val="00BF1BBA"/>
    <w:rsid w:val="00BF2D57"/>
    <w:rsid w:val="00BF404A"/>
    <w:rsid w:val="00BF4C42"/>
    <w:rsid w:val="00BF6298"/>
    <w:rsid w:val="00BF6D74"/>
    <w:rsid w:val="00BF6FC3"/>
    <w:rsid w:val="00C00FC3"/>
    <w:rsid w:val="00C01C09"/>
    <w:rsid w:val="00C026EA"/>
    <w:rsid w:val="00C02F19"/>
    <w:rsid w:val="00C039DD"/>
    <w:rsid w:val="00C055BB"/>
    <w:rsid w:val="00C05D4F"/>
    <w:rsid w:val="00C05F20"/>
    <w:rsid w:val="00C0644D"/>
    <w:rsid w:val="00C06DEA"/>
    <w:rsid w:val="00C075C3"/>
    <w:rsid w:val="00C07BEB"/>
    <w:rsid w:val="00C10AB5"/>
    <w:rsid w:val="00C11048"/>
    <w:rsid w:val="00C119D6"/>
    <w:rsid w:val="00C123BE"/>
    <w:rsid w:val="00C1429D"/>
    <w:rsid w:val="00C15913"/>
    <w:rsid w:val="00C167BA"/>
    <w:rsid w:val="00C169C4"/>
    <w:rsid w:val="00C17651"/>
    <w:rsid w:val="00C17C66"/>
    <w:rsid w:val="00C20406"/>
    <w:rsid w:val="00C20FC9"/>
    <w:rsid w:val="00C21466"/>
    <w:rsid w:val="00C22FEB"/>
    <w:rsid w:val="00C23DD3"/>
    <w:rsid w:val="00C24CBA"/>
    <w:rsid w:val="00C24DE3"/>
    <w:rsid w:val="00C2509B"/>
    <w:rsid w:val="00C25C35"/>
    <w:rsid w:val="00C262F0"/>
    <w:rsid w:val="00C30AF4"/>
    <w:rsid w:val="00C30DE3"/>
    <w:rsid w:val="00C30FE2"/>
    <w:rsid w:val="00C310A8"/>
    <w:rsid w:val="00C33A1A"/>
    <w:rsid w:val="00C345CC"/>
    <w:rsid w:val="00C34CC9"/>
    <w:rsid w:val="00C353D2"/>
    <w:rsid w:val="00C36C4A"/>
    <w:rsid w:val="00C41F50"/>
    <w:rsid w:val="00C44040"/>
    <w:rsid w:val="00C45C4B"/>
    <w:rsid w:val="00C45D43"/>
    <w:rsid w:val="00C45FAA"/>
    <w:rsid w:val="00C46540"/>
    <w:rsid w:val="00C46BF5"/>
    <w:rsid w:val="00C472E4"/>
    <w:rsid w:val="00C47E64"/>
    <w:rsid w:val="00C51F06"/>
    <w:rsid w:val="00C530C3"/>
    <w:rsid w:val="00C53585"/>
    <w:rsid w:val="00C541F1"/>
    <w:rsid w:val="00C54D0F"/>
    <w:rsid w:val="00C565DD"/>
    <w:rsid w:val="00C60BB4"/>
    <w:rsid w:val="00C619BF"/>
    <w:rsid w:val="00C628D2"/>
    <w:rsid w:val="00C6325F"/>
    <w:rsid w:val="00C63EE0"/>
    <w:rsid w:val="00C65B8F"/>
    <w:rsid w:val="00C65FCE"/>
    <w:rsid w:val="00C6654C"/>
    <w:rsid w:val="00C7021D"/>
    <w:rsid w:val="00C7192A"/>
    <w:rsid w:val="00C73B42"/>
    <w:rsid w:val="00C749AC"/>
    <w:rsid w:val="00C769A0"/>
    <w:rsid w:val="00C80802"/>
    <w:rsid w:val="00C81650"/>
    <w:rsid w:val="00C81AB1"/>
    <w:rsid w:val="00C846C2"/>
    <w:rsid w:val="00C84BF8"/>
    <w:rsid w:val="00C8518F"/>
    <w:rsid w:val="00C85547"/>
    <w:rsid w:val="00C855EB"/>
    <w:rsid w:val="00C85663"/>
    <w:rsid w:val="00C8609F"/>
    <w:rsid w:val="00C902BC"/>
    <w:rsid w:val="00C903A4"/>
    <w:rsid w:val="00C9363D"/>
    <w:rsid w:val="00C9416B"/>
    <w:rsid w:val="00C94C3D"/>
    <w:rsid w:val="00C95133"/>
    <w:rsid w:val="00C95408"/>
    <w:rsid w:val="00C96F75"/>
    <w:rsid w:val="00C97955"/>
    <w:rsid w:val="00CA045B"/>
    <w:rsid w:val="00CA0770"/>
    <w:rsid w:val="00CA1A42"/>
    <w:rsid w:val="00CA35A6"/>
    <w:rsid w:val="00CA3651"/>
    <w:rsid w:val="00CA41D4"/>
    <w:rsid w:val="00CA5E8E"/>
    <w:rsid w:val="00CA6F64"/>
    <w:rsid w:val="00CA71D9"/>
    <w:rsid w:val="00CA795E"/>
    <w:rsid w:val="00CB24F9"/>
    <w:rsid w:val="00CB3577"/>
    <w:rsid w:val="00CB39D4"/>
    <w:rsid w:val="00CB3A36"/>
    <w:rsid w:val="00CB4402"/>
    <w:rsid w:val="00CB4CA2"/>
    <w:rsid w:val="00CB50B6"/>
    <w:rsid w:val="00CB64C3"/>
    <w:rsid w:val="00CB7E88"/>
    <w:rsid w:val="00CC00C1"/>
    <w:rsid w:val="00CC0BCA"/>
    <w:rsid w:val="00CC2C45"/>
    <w:rsid w:val="00CC2D8F"/>
    <w:rsid w:val="00CC31BC"/>
    <w:rsid w:val="00CC33C4"/>
    <w:rsid w:val="00CC3B92"/>
    <w:rsid w:val="00CC4364"/>
    <w:rsid w:val="00CD01D4"/>
    <w:rsid w:val="00CD0881"/>
    <w:rsid w:val="00CD0968"/>
    <w:rsid w:val="00CD0AFB"/>
    <w:rsid w:val="00CD322B"/>
    <w:rsid w:val="00CD4163"/>
    <w:rsid w:val="00CD4444"/>
    <w:rsid w:val="00CD54D8"/>
    <w:rsid w:val="00CD752D"/>
    <w:rsid w:val="00CD7A55"/>
    <w:rsid w:val="00CE1CF7"/>
    <w:rsid w:val="00CE2A4B"/>
    <w:rsid w:val="00CE727B"/>
    <w:rsid w:val="00CE74A5"/>
    <w:rsid w:val="00CF0CF1"/>
    <w:rsid w:val="00CF127D"/>
    <w:rsid w:val="00CF187C"/>
    <w:rsid w:val="00CF3720"/>
    <w:rsid w:val="00CF5196"/>
    <w:rsid w:val="00CF680C"/>
    <w:rsid w:val="00CF7F2F"/>
    <w:rsid w:val="00D00684"/>
    <w:rsid w:val="00D00CC7"/>
    <w:rsid w:val="00D01A1F"/>
    <w:rsid w:val="00D0201C"/>
    <w:rsid w:val="00D02645"/>
    <w:rsid w:val="00D03452"/>
    <w:rsid w:val="00D03B71"/>
    <w:rsid w:val="00D04FAF"/>
    <w:rsid w:val="00D051D2"/>
    <w:rsid w:val="00D11F2D"/>
    <w:rsid w:val="00D125DA"/>
    <w:rsid w:val="00D12F20"/>
    <w:rsid w:val="00D13F92"/>
    <w:rsid w:val="00D1514A"/>
    <w:rsid w:val="00D1540D"/>
    <w:rsid w:val="00D15758"/>
    <w:rsid w:val="00D21262"/>
    <w:rsid w:val="00D219B9"/>
    <w:rsid w:val="00D2230D"/>
    <w:rsid w:val="00D226FF"/>
    <w:rsid w:val="00D2328E"/>
    <w:rsid w:val="00D246E4"/>
    <w:rsid w:val="00D25E8E"/>
    <w:rsid w:val="00D26FA2"/>
    <w:rsid w:val="00D27A6C"/>
    <w:rsid w:val="00D30300"/>
    <w:rsid w:val="00D30DDD"/>
    <w:rsid w:val="00D31144"/>
    <w:rsid w:val="00D31E0A"/>
    <w:rsid w:val="00D32EB6"/>
    <w:rsid w:val="00D349CA"/>
    <w:rsid w:val="00D34E97"/>
    <w:rsid w:val="00D36917"/>
    <w:rsid w:val="00D405EB"/>
    <w:rsid w:val="00D412E8"/>
    <w:rsid w:val="00D41682"/>
    <w:rsid w:val="00D41A99"/>
    <w:rsid w:val="00D43193"/>
    <w:rsid w:val="00D43BAE"/>
    <w:rsid w:val="00D44090"/>
    <w:rsid w:val="00D446C4"/>
    <w:rsid w:val="00D44EF2"/>
    <w:rsid w:val="00D4542C"/>
    <w:rsid w:val="00D45AA5"/>
    <w:rsid w:val="00D4715E"/>
    <w:rsid w:val="00D511C7"/>
    <w:rsid w:val="00D534EA"/>
    <w:rsid w:val="00D53BB5"/>
    <w:rsid w:val="00D546F6"/>
    <w:rsid w:val="00D55EB3"/>
    <w:rsid w:val="00D5739E"/>
    <w:rsid w:val="00D57462"/>
    <w:rsid w:val="00D57FA7"/>
    <w:rsid w:val="00D60CB4"/>
    <w:rsid w:val="00D6237E"/>
    <w:rsid w:val="00D6240A"/>
    <w:rsid w:val="00D62601"/>
    <w:rsid w:val="00D72382"/>
    <w:rsid w:val="00D73E64"/>
    <w:rsid w:val="00D74A4B"/>
    <w:rsid w:val="00D770DA"/>
    <w:rsid w:val="00D77FFC"/>
    <w:rsid w:val="00D82CC9"/>
    <w:rsid w:val="00D82D28"/>
    <w:rsid w:val="00D82E0A"/>
    <w:rsid w:val="00D85484"/>
    <w:rsid w:val="00D85F55"/>
    <w:rsid w:val="00D8675B"/>
    <w:rsid w:val="00D87594"/>
    <w:rsid w:val="00D87992"/>
    <w:rsid w:val="00D90CAF"/>
    <w:rsid w:val="00D91C9E"/>
    <w:rsid w:val="00D925AE"/>
    <w:rsid w:val="00D92EBC"/>
    <w:rsid w:val="00D94635"/>
    <w:rsid w:val="00D9512E"/>
    <w:rsid w:val="00D96361"/>
    <w:rsid w:val="00D9666C"/>
    <w:rsid w:val="00D9667C"/>
    <w:rsid w:val="00D96BE8"/>
    <w:rsid w:val="00DA1F79"/>
    <w:rsid w:val="00DA2B58"/>
    <w:rsid w:val="00DA3F7F"/>
    <w:rsid w:val="00DA4862"/>
    <w:rsid w:val="00DA7E2D"/>
    <w:rsid w:val="00DB0DEB"/>
    <w:rsid w:val="00DB0EC2"/>
    <w:rsid w:val="00DB1F24"/>
    <w:rsid w:val="00DB3F13"/>
    <w:rsid w:val="00DB44A8"/>
    <w:rsid w:val="00DB4A7D"/>
    <w:rsid w:val="00DB5152"/>
    <w:rsid w:val="00DB53EC"/>
    <w:rsid w:val="00DB609D"/>
    <w:rsid w:val="00DB6349"/>
    <w:rsid w:val="00DB7718"/>
    <w:rsid w:val="00DC075A"/>
    <w:rsid w:val="00DC18F4"/>
    <w:rsid w:val="00DC2221"/>
    <w:rsid w:val="00DC334E"/>
    <w:rsid w:val="00DC37AB"/>
    <w:rsid w:val="00DC40C2"/>
    <w:rsid w:val="00DC46D4"/>
    <w:rsid w:val="00DC4943"/>
    <w:rsid w:val="00DC4AF3"/>
    <w:rsid w:val="00DC50B5"/>
    <w:rsid w:val="00DC6BD0"/>
    <w:rsid w:val="00DD0E81"/>
    <w:rsid w:val="00DD1260"/>
    <w:rsid w:val="00DD1A7D"/>
    <w:rsid w:val="00DD2CA4"/>
    <w:rsid w:val="00DD2FF3"/>
    <w:rsid w:val="00DD3CC1"/>
    <w:rsid w:val="00DD3D2D"/>
    <w:rsid w:val="00DD474C"/>
    <w:rsid w:val="00DD4C16"/>
    <w:rsid w:val="00DD4D4F"/>
    <w:rsid w:val="00DD5079"/>
    <w:rsid w:val="00DD5414"/>
    <w:rsid w:val="00DD5FFF"/>
    <w:rsid w:val="00DD661C"/>
    <w:rsid w:val="00DD727C"/>
    <w:rsid w:val="00DD72EC"/>
    <w:rsid w:val="00DE0A19"/>
    <w:rsid w:val="00DE25F4"/>
    <w:rsid w:val="00DE31FB"/>
    <w:rsid w:val="00DE341B"/>
    <w:rsid w:val="00DE58D6"/>
    <w:rsid w:val="00DE5F50"/>
    <w:rsid w:val="00DE6056"/>
    <w:rsid w:val="00DE71E0"/>
    <w:rsid w:val="00DF039B"/>
    <w:rsid w:val="00DF19B9"/>
    <w:rsid w:val="00DF2722"/>
    <w:rsid w:val="00DF3103"/>
    <w:rsid w:val="00DF319C"/>
    <w:rsid w:val="00DF4216"/>
    <w:rsid w:val="00DF4ED4"/>
    <w:rsid w:val="00DF5797"/>
    <w:rsid w:val="00DF5806"/>
    <w:rsid w:val="00DF5A74"/>
    <w:rsid w:val="00DF5BF9"/>
    <w:rsid w:val="00DF61D0"/>
    <w:rsid w:val="00DF66F6"/>
    <w:rsid w:val="00DF6BF8"/>
    <w:rsid w:val="00DF6E54"/>
    <w:rsid w:val="00E00284"/>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4B5F"/>
    <w:rsid w:val="00E14D94"/>
    <w:rsid w:val="00E154BF"/>
    <w:rsid w:val="00E15C9F"/>
    <w:rsid w:val="00E163C4"/>
    <w:rsid w:val="00E167C1"/>
    <w:rsid w:val="00E16857"/>
    <w:rsid w:val="00E178A1"/>
    <w:rsid w:val="00E2135B"/>
    <w:rsid w:val="00E22563"/>
    <w:rsid w:val="00E22C9F"/>
    <w:rsid w:val="00E2326F"/>
    <w:rsid w:val="00E237D0"/>
    <w:rsid w:val="00E2472D"/>
    <w:rsid w:val="00E25566"/>
    <w:rsid w:val="00E275F9"/>
    <w:rsid w:val="00E303EA"/>
    <w:rsid w:val="00E31B6A"/>
    <w:rsid w:val="00E32B7B"/>
    <w:rsid w:val="00E32B90"/>
    <w:rsid w:val="00E32DFA"/>
    <w:rsid w:val="00E32DFB"/>
    <w:rsid w:val="00E35287"/>
    <w:rsid w:val="00E35A31"/>
    <w:rsid w:val="00E35AAD"/>
    <w:rsid w:val="00E36747"/>
    <w:rsid w:val="00E37087"/>
    <w:rsid w:val="00E37933"/>
    <w:rsid w:val="00E37A45"/>
    <w:rsid w:val="00E37D71"/>
    <w:rsid w:val="00E41894"/>
    <w:rsid w:val="00E43DCD"/>
    <w:rsid w:val="00E4410E"/>
    <w:rsid w:val="00E46041"/>
    <w:rsid w:val="00E506EE"/>
    <w:rsid w:val="00E514FD"/>
    <w:rsid w:val="00E523AA"/>
    <w:rsid w:val="00E53087"/>
    <w:rsid w:val="00E54530"/>
    <w:rsid w:val="00E5526B"/>
    <w:rsid w:val="00E5595C"/>
    <w:rsid w:val="00E56042"/>
    <w:rsid w:val="00E566FA"/>
    <w:rsid w:val="00E600BC"/>
    <w:rsid w:val="00E610E4"/>
    <w:rsid w:val="00E613EE"/>
    <w:rsid w:val="00E61446"/>
    <w:rsid w:val="00E629D3"/>
    <w:rsid w:val="00E6306E"/>
    <w:rsid w:val="00E63165"/>
    <w:rsid w:val="00E63CCE"/>
    <w:rsid w:val="00E65087"/>
    <w:rsid w:val="00E6543E"/>
    <w:rsid w:val="00E65D3B"/>
    <w:rsid w:val="00E66356"/>
    <w:rsid w:val="00E67B4D"/>
    <w:rsid w:val="00E67E40"/>
    <w:rsid w:val="00E67E43"/>
    <w:rsid w:val="00E70AAB"/>
    <w:rsid w:val="00E711DF"/>
    <w:rsid w:val="00E71C42"/>
    <w:rsid w:val="00E7474A"/>
    <w:rsid w:val="00E7569A"/>
    <w:rsid w:val="00E767E0"/>
    <w:rsid w:val="00E77039"/>
    <w:rsid w:val="00E802AA"/>
    <w:rsid w:val="00E80F8A"/>
    <w:rsid w:val="00E81E9B"/>
    <w:rsid w:val="00E8305C"/>
    <w:rsid w:val="00E83203"/>
    <w:rsid w:val="00E8361B"/>
    <w:rsid w:val="00E83CF2"/>
    <w:rsid w:val="00E87285"/>
    <w:rsid w:val="00E87ECE"/>
    <w:rsid w:val="00E90438"/>
    <w:rsid w:val="00E90D9B"/>
    <w:rsid w:val="00E9138C"/>
    <w:rsid w:val="00E9233E"/>
    <w:rsid w:val="00E9293D"/>
    <w:rsid w:val="00E94B4E"/>
    <w:rsid w:val="00E9589C"/>
    <w:rsid w:val="00E95CF7"/>
    <w:rsid w:val="00E96700"/>
    <w:rsid w:val="00E96835"/>
    <w:rsid w:val="00E97165"/>
    <w:rsid w:val="00EA0C6D"/>
    <w:rsid w:val="00EA101E"/>
    <w:rsid w:val="00EA236E"/>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3536"/>
    <w:rsid w:val="00EC38C2"/>
    <w:rsid w:val="00EC4057"/>
    <w:rsid w:val="00EC4B3B"/>
    <w:rsid w:val="00EC4B68"/>
    <w:rsid w:val="00EC5084"/>
    <w:rsid w:val="00EC5FBC"/>
    <w:rsid w:val="00EC79B5"/>
    <w:rsid w:val="00ED0602"/>
    <w:rsid w:val="00ED079E"/>
    <w:rsid w:val="00ED1C12"/>
    <w:rsid w:val="00ED1F36"/>
    <w:rsid w:val="00ED2824"/>
    <w:rsid w:val="00ED28CA"/>
    <w:rsid w:val="00ED4F2D"/>
    <w:rsid w:val="00ED5BB6"/>
    <w:rsid w:val="00ED6ED0"/>
    <w:rsid w:val="00ED7606"/>
    <w:rsid w:val="00EE236D"/>
    <w:rsid w:val="00EE5EBF"/>
    <w:rsid w:val="00EE63D3"/>
    <w:rsid w:val="00EE6478"/>
    <w:rsid w:val="00EE6AED"/>
    <w:rsid w:val="00EE6CF9"/>
    <w:rsid w:val="00EE7326"/>
    <w:rsid w:val="00EE7604"/>
    <w:rsid w:val="00EE7E19"/>
    <w:rsid w:val="00EF0EB9"/>
    <w:rsid w:val="00EF12E1"/>
    <w:rsid w:val="00EF2074"/>
    <w:rsid w:val="00EF2BA8"/>
    <w:rsid w:val="00EF4F84"/>
    <w:rsid w:val="00EF5AA6"/>
    <w:rsid w:val="00EF656D"/>
    <w:rsid w:val="00EF6637"/>
    <w:rsid w:val="00EF6918"/>
    <w:rsid w:val="00EF7610"/>
    <w:rsid w:val="00EF797C"/>
    <w:rsid w:val="00F00657"/>
    <w:rsid w:val="00F0086E"/>
    <w:rsid w:val="00F01A93"/>
    <w:rsid w:val="00F0268A"/>
    <w:rsid w:val="00F02C85"/>
    <w:rsid w:val="00F037A5"/>
    <w:rsid w:val="00F061BF"/>
    <w:rsid w:val="00F06EF5"/>
    <w:rsid w:val="00F07498"/>
    <w:rsid w:val="00F10E73"/>
    <w:rsid w:val="00F11C2F"/>
    <w:rsid w:val="00F12F94"/>
    <w:rsid w:val="00F1322A"/>
    <w:rsid w:val="00F13A39"/>
    <w:rsid w:val="00F14663"/>
    <w:rsid w:val="00F156FC"/>
    <w:rsid w:val="00F1577D"/>
    <w:rsid w:val="00F15962"/>
    <w:rsid w:val="00F1732C"/>
    <w:rsid w:val="00F179B7"/>
    <w:rsid w:val="00F25A79"/>
    <w:rsid w:val="00F25C42"/>
    <w:rsid w:val="00F2741C"/>
    <w:rsid w:val="00F30AA9"/>
    <w:rsid w:val="00F30AC9"/>
    <w:rsid w:val="00F3196D"/>
    <w:rsid w:val="00F339E7"/>
    <w:rsid w:val="00F370AF"/>
    <w:rsid w:val="00F37BC9"/>
    <w:rsid w:val="00F40727"/>
    <w:rsid w:val="00F41780"/>
    <w:rsid w:val="00F41901"/>
    <w:rsid w:val="00F4228E"/>
    <w:rsid w:val="00F437CA"/>
    <w:rsid w:val="00F43AD5"/>
    <w:rsid w:val="00F43C02"/>
    <w:rsid w:val="00F440CA"/>
    <w:rsid w:val="00F44D0F"/>
    <w:rsid w:val="00F45847"/>
    <w:rsid w:val="00F45E33"/>
    <w:rsid w:val="00F46401"/>
    <w:rsid w:val="00F50A37"/>
    <w:rsid w:val="00F50E42"/>
    <w:rsid w:val="00F52C5B"/>
    <w:rsid w:val="00F54914"/>
    <w:rsid w:val="00F54C63"/>
    <w:rsid w:val="00F5503B"/>
    <w:rsid w:val="00F56C33"/>
    <w:rsid w:val="00F6016D"/>
    <w:rsid w:val="00F60973"/>
    <w:rsid w:val="00F60ACF"/>
    <w:rsid w:val="00F60EB6"/>
    <w:rsid w:val="00F61E28"/>
    <w:rsid w:val="00F61EF3"/>
    <w:rsid w:val="00F61F21"/>
    <w:rsid w:val="00F62FF0"/>
    <w:rsid w:val="00F63AB4"/>
    <w:rsid w:val="00F63AFC"/>
    <w:rsid w:val="00F6425C"/>
    <w:rsid w:val="00F64941"/>
    <w:rsid w:val="00F65C9D"/>
    <w:rsid w:val="00F66353"/>
    <w:rsid w:val="00F67487"/>
    <w:rsid w:val="00F67856"/>
    <w:rsid w:val="00F67B3D"/>
    <w:rsid w:val="00F7066E"/>
    <w:rsid w:val="00F71443"/>
    <w:rsid w:val="00F720F3"/>
    <w:rsid w:val="00F73F38"/>
    <w:rsid w:val="00F7410A"/>
    <w:rsid w:val="00F74D54"/>
    <w:rsid w:val="00F753DE"/>
    <w:rsid w:val="00F7654E"/>
    <w:rsid w:val="00F77003"/>
    <w:rsid w:val="00F7767D"/>
    <w:rsid w:val="00F77B98"/>
    <w:rsid w:val="00F77C46"/>
    <w:rsid w:val="00F77E78"/>
    <w:rsid w:val="00F80381"/>
    <w:rsid w:val="00F81B97"/>
    <w:rsid w:val="00F82B70"/>
    <w:rsid w:val="00F84D2F"/>
    <w:rsid w:val="00F85284"/>
    <w:rsid w:val="00F852C0"/>
    <w:rsid w:val="00F85F36"/>
    <w:rsid w:val="00F8695A"/>
    <w:rsid w:val="00F9050C"/>
    <w:rsid w:val="00F905B0"/>
    <w:rsid w:val="00F9135E"/>
    <w:rsid w:val="00F91DBA"/>
    <w:rsid w:val="00F920FB"/>
    <w:rsid w:val="00F92651"/>
    <w:rsid w:val="00F92878"/>
    <w:rsid w:val="00F92D20"/>
    <w:rsid w:val="00F95400"/>
    <w:rsid w:val="00F962CB"/>
    <w:rsid w:val="00F965C8"/>
    <w:rsid w:val="00F96DFE"/>
    <w:rsid w:val="00F975A2"/>
    <w:rsid w:val="00F97EF0"/>
    <w:rsid w:val="00FA0120"/>
    <w:rsid w:val="00FA0A74"/>
    <w:rsid w:val="00FA0AA2"/>
    <w:rsid w:val="00FA357F"/>
    <w:rsid w:val="00FA4417"/>
    <w:rsid w:val="00FA512C"/>
    <w:rsid w:val="00FA523B"/>
    <w:rsid w:val="00FA5AD4"/>
    <w:rsid w:val="00FA6319"/>
    <w:rsid w:val="00FA67A8"/>
    <w:rsid w:val="00FA6E5C"/>
    <w:rsid w:val="00FA7BE8"/>
    <w:rsid w:val="00FB0709"/>
    <w:rsid w:val="00FB0C8D"/>
    <w:rsid w:val="00FB1FDD"/>
    <w:rsid w:val="00FB2F56"/>
    <w:rsid w:val="00FB324A"/>
    <w:rsid w:val="00FB4B36"/>
    <w:rsid w:val="00FB4DE4"/>
    <w:rsid w:val="00FB59D9"/>
    <w:rsid w:val="00FB6C53"/>
    <w:rsid w:val="00FB70D2"/>
    <w:rsid w:val="00FC0009"/>
    <w:rsid w:val="00FC062F"/>
    <w:rsid w:val="00FC0B91"/>
    <w:rsid w:val="00FC161D"/>
    <w:rsid w:val="00FC1999"/>
    <w:rsid w:val="00FC2008"/>
    <w:rsid w:val="00FC552A"/>
    <w:rsid w:val="00FC66FF"/>
    <w:rsid w:val="00FC781F"/>
    <w:rsid w:val="00FD187C"/>
    <w:rsid w:val="00FD36DE"/>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A609"/>
  <w15:docId w15:val="{8DA08D9F-1030-46B1-80A8-3A05EAE9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1">
    <w:name w:val="heading 1"/>
    <w:basedOn w:val="a"/>
    <w:next w:val="a"/>
    <w:link w:val="10"/>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67"/>
    <w:rPr>
      <w:rFonts w:asciiTheme="majorHAnsi" w:eastAsia="Times New Roman" w:hAnsiTheme="majorHAnsi" w:cstheme="majorHAnsi"/>
      <w:b/>
      <w:sz w:val="28"/>
      <w:szCs w:val="28"/>
      <w:lang w:val="ro-MD"/>
    </w:rPr>
  </w:style>
  <w:style w:type="character" w:customStyle="1" w:styleId="20">
    <w:name w:val="Заголовок 2 Знак"/>
    <w:basedOn w:val="a0"/>
    <w:link w:val="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40">
    <w:name w:val="Заголовок 4 Знак"/>
    <w:basedOn w:val="a0"/>
    <w:link w:val="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
    <w:basedOn w:val="a"/>
    <w:link w:val="11"/>
    <w:uiPriority w:val="34"/>
    <w:qFormat/>
    <w:rsid w:val="00723DA7"/>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
    <w:link w:val="a3"/>
    <w:uiPriority w:val="34"/>
    <w:rsid w:val="00723DA7"/>
    <w:rPr>
      <w:rFonts w:ascii="Times New Roman" w:eastAsia="Times New Roman" w:hAnsi="Times New Roman" w:cs="Times New Roman"/>
      <w:sz w:val="24"/>
      <w:szCs w:val="24"/>
      <w:lang w:val="ru-RU" w:eastAsia="ru-RU"/>
    </w:rPr>
  </w:style>
  <w:style w:type="table" w:styleId="a4">
    <w:name w:val="Table Grid"/>
    <w:basedOn w:val="a1"/>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3DA7"/>
    <w:rPr>
      <w:rFonts w:ascii="Segoe UI" w:hAnsi="Segoe UI" w:cs="Segoe UI"/>
      <w:sz w:val="18"/>
      <w:szCs w:val="18"/>
    </w:rPr>
  </w:style>
  <w:style w:type="character" w:customStyle="1" w:styleId="a6">
    <w:name w:val="Текст выноски Знак"/>
    <w:basedOn w:val="a0"/>
    <w:link w:val="a5"/>
    <w:uiPriority w:val="99"/>
    <w:semiHidden/>
    <w:rsid w:val="00723DA7"/>
    <w:rPr>
      <w:rFonts w:ascii="Segoe UI" w:eastAsia="Times New Roman" w:hAnsi="Segoe UI" w:cs="Segoe UI"/>
      <w:sz w:val="18"/>
      <w:szCs w:val="18"/>
      <w:lang w:val="ru-RU" w:eastAsia="ru-RU"/>
    </w:rPr>
  </w:style>
  <w:style w:type="paragraph" w:styleId="a7">
    <w:name w:val="header"/>
    <w:basedOn w:val="a"/>
    <w:link w:val="a8"/>
    <w:uiPriority w:val="99"/>
    <w:unhideWhenUsed/>
    <w:rsid w:val="00723DA7"/>
    <w:pPr>
      <w:tabs>
        <w:tab w:val="center" w:pos="4513"/>
        <w:tab w:val="right" w:pos="9026"/>
      </w:tabs>
    </w:pPr>
  </w:style>
  <w:style w:type="character" w:customStyle="1" w:styleId="a8">
    <w:name w:val="Верхний колонтитул Знак"/>
    <w:basedOn w:val="a0"/>
    <w:link w:val="a7"/>
    <w:uiPriority w:val="99"/>
    <w:rsid w:val="00723DA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23DA7"/>
    <w:pPr>
      <w:tabs>
        <w:tab w:val="center" w:pos="4513"/>
        <w:tab w:val="right" w:pos="9026"/>
      </w:tabs>
    </w:pPr>
  </w:style>
  <w:style w:type="character" w:customStyle="1" w:styleId="aa">
    <w:name w:val="Нижний колонтитул Знак"/>
    <w:basedOn w:val="a0"/>
    <w:link w:val="a9"/>
    <w:uiPriority w:val="99"/>
    <w:rsid w:val="00723DA7"/>
    <w:rPr>
      <w:rFonts w:ascii="Times New Roman" w:eastAsia="Times New Roman" w:hAnsi="Times New Roman" w:cs="Times New Roman"/>
      <w:sz w:val="24"/>
      <w:szCs w:val="24"/>
      <w:lang w:val="ru-RU"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a"/>
    <w:link w:val="ac"/>
    <w:uiPriority w:val="99"/>
    <w:unhideWhenUsed/>
    <w:qFormat/>
    <w:rsid w:val="00723DA7"/>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723DA7"/>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723DA7"/>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723DA7"/>
    <w:rPr>
      <w:rFonts w:ascii="Times New Roman" w:eastAsia="Times New Roman" w:hAnsi="Times New Roman" w:cs="Times New Roman"/>
      <w:sz w:val="24"/>
      <w:szCs w:val="24"/>
      <w:lang w:val="ru-RU" w:eastAsia="ru-RU"/>
    </w:rPr>
  </w:style>
  <w:style w:type="character" w:customStyle="1" w:styleId="12">
    <w:name w:val="Стиль1 Знак"/>
    <w:basedOn w:val="a0"/>
    <w:link w:val="13"/>
    <w:semiHidden/>
    <w:locked/>
    <w:rsid w:val="00723DA7"/>
    <w:rPr>
      <w:rFonts w:ascii="Times New Roman" w:eastAsia="Times New Roman" w:hAnsi="Times New Roman" w:cs="Times New Roman"/>
      <w:sz w:val="20"/>
      <w:szCs w:val="20"/>
    </w:rPr>
  </w:style>
  <w:style w:type="paragraph" w:customStyle="1" w:styleId="13">
    <w:name w:val="Стиль1"/>
    <w:basedOn w:val="ae"/>
    <w:link w:val="12"/>
    <w:semiHidden/>
    <w:qFormat/>
    <w:rsid w:val="00723DA7"/>
    <w:pPr>
      <w:ind w:firstLine="0"/>
    </w:pPr>
    <w:rPr>
      <w:sz w:val="20"/>
      <w:szCs w:val="20"/>
      <w:lang w:val="en-US" w:eastAsia="en-US"/>
    </w:rPr>
  </w:style>
  <w:style w:type="paragraph" w:customStyle="1" w:styleId="cn">
    <w:name w:val="cn"/>
    <w:basedOn w:val="a"/>
    <w:uiPriority w:val="99"/>
    <w:qFormat/>
    <w:rsid w:val="00723DA7"/>
    <w:pPr>
      <w:jc w:val="center"/>
    </w:pPr>
    <w:rPr>
      <w:lang w:val="en-US" w:eastAsia="en-US"/>
    </w:rPr>
  </w:style>
  <w:style w:type="paragraph" w:customStyle="1" w:styleId="21">
    <w:name w:val="Стиль2"/>
    <w:basedOn w:val="a"/>
    <w:link w:val="22"/>
    <w:qFormat/>
    <w:rsid w:val="00723DA7"/>
    <w:pPr>
      <w:jc w:val="both"/>
    </w:pPr>
    <w:rPr>
      <w:rFonts w:eastAsia="Calibri"/>
      <w:sz w:val="18"/>
      <w:szCs w:val="18"/>
      <w:lang w:val="ro-RO" w:eastAsia="en-US"/>
    </w:rPr>
  </w:style>
  <w:style w:type="character" w:customStyle="1" w:styleId="22">
    <w:name w:val="Стиль2 Знак"/>
    <w:basedOn w:val="a0"/>
    <w:link w:val="21"/>
    <w:rsid w:val="00723DA7"/>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723DA7"/>
    <w:rPr>
      <w:color w:val="0563C1"/>
      <w:u w:val="single"/>
    </w:rPr>
  </w:style>
  <w:style w:type="character" w:styleId="af0">
    <w:name w:val="Hyperlink"/>
    <w:basedOn w:val="a0"/>
    <w:uiPriority w:val="99"/>
    <w:unhideWhenUsed/>
    <w:rsid w:val="00723DA7"/>
    <w:rPr>
      <w:color w:val="0563C1" w:themeColor="hyperlink"/>
      <w:u w:val="single"/>
    </w:rPr>
  </w:style>
  <w:style w:type="paragraph" w:customStyle="1" w:styleId="tt">
    <w:name w:val="tt"/>
    <w:basedOn w:val="a"/>
    <w:uiPriority w:val="99"/>
    <w:qFormat/>
    <w:rsid w:val="00723DA7"/>
    <w:pPr>
      <w:jc w:val="center"/>
    </w:pPr>
    <w:rPr>
      <w:b/>
      <w:bCs/>
      <w:lang w:val="en-US" w:eastAsia="en-US"/>
    </w:rPr>
  </w:style>
  <w:style w:type="table" w:customStyle="1" w:styleId="TableGrid1">
    <w:name w:val="Table Grid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723DA7"/>
  </w:style>
  <w:style w:type="paragraph" w:customStyle="1" w:styleId="cp">
    <w:name w:val="cp"/>
    <w:basedOn w:val="a"/>
    <w:uiPriority w:val="99"/>
    <w:qFormat/>
    <w:rsid w:val="00723DA7"/>
    <w:pPr>
      <w:jc w:val="center"/>
    </w:pPr>
    <w:rPr>
      <w:b/>
      <w:bCs/>
    </w:rPr>
  </w:style>
  <w:style w:type="character" w:customStyle="1" w:styleId="23">
    <w:name w:val="Основной текст (2)_"/>
    <w:basedOn w:val="a0"/>
    <w:link w:val="24"/>
    <w:rsid w:val="00723DA7"/>
    <w:rPr>
      <w:shd w:val="clear" w:color="auto" w:fill="FFFFFF"/>
    </w:rPr>
  </w:style>
  <w:style w:type="paragraph" w:customStyle="1" w:styleId="24">
    <w:name w:val="Основной текст (2)"/>
    <w:basedOn w:val="a"/>
    <w:link w:val="23"/>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af1">
    <w:name w:val="annotation reference"/>
    <w:basedOn w:val="a0"/>
    <w:uiPriority w:val="99"/>
    <w:semiHidden/>
    <w:unhideWhenUsed/>
    <w:rsid w:val="00723DA7"/>
    <w:rPr>
      <w:sz w:val="16"/>
      <w:szCs w:val="16"/>
    </w:rPr>
  </w:style>
  <w:style w:type="paragraph" w:styleId="af2">
    <w:name w:val="annotation text"/>
    <w:basedOn w:val="a"/>
    <w:link w:val="af3"/>
    <w:uiPriority w:val="99"/>
    <w:unhideWhenUsed/>
    <w:rsid w:val="00723DA7"/>
    <w:rPr>
      <w:sz w:val="20"/>
      <w:szCs w:val="20"/>
    </w:rPr>
  </w:style>
  <w:style w:type="character" w:customStyle="1" w:styleId="af3">
    <w:name w:val="Текст примечания Знак"/>
    <w:basedOn w:val="a0"/>
    <w:link w:val="af2"/>
    <w:uiPriority w:val="99"/>
    <w:rsid w:val="00723DA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3DA7"/>
    <w:rPr>
      <w:b/>
      <w:bCs/>
    </w:rPr>
  </w:style>
  <w:style w:type="character" w:customStyle="1" w:styleId="af5">
    <w:name w:val="Тема примечания Знак"/>
    <w:basedOn w:val="af3"/>
    <w:link w:val="af4"/>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f6">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a"/>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a"/>
    <w:uiPriority w:val="99"/>
    <w:qFormat/>
    <w:rsid w:val="00082AA5"/>
    <w:pPr>
      <w:jc w:val="right"/>
    </w:pPr>
    <w:rPr>
      <w:lang w:val="en-US" w:eastAsia="en-US"/>
    </w:rPr>
  </w:style>
  <w:style w:type="paragraph" w:customStyle="1" w:styleId="js">
    <w:name w:val="js"/>
    <w:basedOn w:val="a"/>
    <w:uiPriority w:val="99"/>
    <w:qFormat/>
    <w:rsid w:val="000B61C7"/>
    <w:pPr>
      <w:jc w:val="both"/>
    </w:pPr>
    <w:rPr>
      <w:lang w:val="en-US" w:eastAsia="en-US"/>
    </w:rPr>
  </w:style>
  <w:style w:type="character" w:styleId="af7">
    <w:name w:val="FollowedHyperlink"/>
    <w:basedOn w:val="a0"/>
    <w:uiPriority w:val="99"/>
    <w:semiHidden/>
    <w:unhideWhenUsed/>
    <w:rsid w:val="00B25ED5"/>
    <w:rPr>
      <w:color w:val="954F72"/>
      <w:u w:val="single"/>
    </w:rPr>
  </w:style>
  <w:style w:type="paragraph" w:customStyle="1" w:styleId="msonormal0">
    <w:name w:val="msonormal"/>
    <w:basedOn w:val="a"/>
    <w:uiPriority w:val="99"/>
    <w:qFormat/>
    <w:rsid w:val="00B25ED5"/>
    <w:pPr>
      <w:spacing w:before="100" w:beforeAutospacing="1" w:after="100" w:afterAutospacing="1"/>
    </w:pPr>
    <w:rPr>
      <w:lang w:val="en-US" w:eastAsia="en-US"/>
    </w:rPr>
  </w:style>
  <w:style w:type="paragraph" w:customStyle="1" w:styleId="xl65">
    <w:name w:val="xl65"/>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a"/>
    <w:uiPriority w:val="99"/>
    <w:qFormat/>
    <w:rsid w:val="00B25ED5"/>
    <w:pPr>
      <w:spacing w:before="100" w:beforeAutospacing="1" w:after="100" w:afterAutospacing="1"/>
      <w:jc w:val="center"/>
    </w:pPr>
    <w:rPr>
      <w:lang w:val="en-US" w:eastAsia="en-US"/>
    </w:rPr>
  </w:style>
  <w:style w:type="paragraph" w:customStyle="1" w:styleId="xl71">
    <w:name w:val="xl71"/>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a"/>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a"/>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a"/>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a"/>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a"/>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af8">
    <w:name w:val="No Spacing"/>
    <w:uiPriority w:val="1"/>
    <w:qFormat/>
    <w:rsid w:val="007F11E6"/>
    <w:pPr>
      <w:spacing w:after="0" w:line="240" w:lineRule="auto"/>
    </w:pPr>
    <w:rPr>
      <w:lang w:val="ru-RU"/>
    </w:rPr>
  </w:style>
  <w:style w:type="paragraph" w:styleId="af9">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a0"/>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basedOn w:val="a0"/>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0E20B-3E26-4EB8-BC00-24A193F2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5298</Words>
  <Characters>30200</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3</cp:revision>
  <cp:lastPrinted>2022-07-21T13:24:00Z</cp:lastPrinted>
  <dcterms:created xsi:type="dcterms:W3CDTF">2022-08-10T10:41:00Z</dcterms:created>
  <dcterms:modified xsi:type="dcterms:W3CDTF">2022-08-10T10:41:00Z</dcterms:modified>
</cp:coreProperties>
</file>