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B9" w:rsidRPr="00AB3F50" w:rsidRDefault="009408B9" w:rsidP="00053022">
      <w:pPr>
        <w:pStyle w:val="cn"/>
        <w:spacing w:line="276" w:lineRule="auto"/>
        <w:ind w:left="-567"/>
        <w:rPr>
          <w:lang w:val="ro-MD"/>
        </w:rPr>
      </w:pPr>
      <w:r w:rsidRPr="00AB3F50">
        <w:rPr>
          <w:noProof/>
          <w:sz w:val="26"/>
          <w:szCs w:val="26"/>
          <w:lang w:val="ru-RU" w:eastAsia="ru-RU"/>
        </w:rPr>
        <w:drawing>
          <wp:inline distT="0" distB="0" distL="0" distR="0" wp14:anchorId="519C4D19" wp14:editId="74469BA9">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r w:rsidR="00B03B6F">
        <w:rPr>
          <w:lang w:val="ro-MD"/>
        </w:rPr>
        <w:t xml:space="preserve">          </w:t>
      </w:r>
    </w:p>
    <w:p w:rsidR="003F2560" w:rsidRPr="00AB3F50" w:rsidRDefault="003F2560" w:rsidP="00053022">
      <w:pPr>
        <w:spacing w:after="0" w:line="276" w:lineRule="auto"/>
        <w:jc w:val="center"/>
        <w:rPr>
          <w:rFonts w:ascii="Times New Roman" w:eastAsia="Times New Roman" w:hAnsi="Times New Roman" w:cs="Times New Roman"/>
          <w:b/>
          <w:bCs/>
          <w:sz w:val="16"/>
          <w:szCs w:val="16"/>
          <w:lang w:val="ro-MD"/>
        </w:rPr>
      </w:pPr>
    </w:p>
    <w:p w:rsidR="003F2560" w:rsidRPr="00C45B3D" w:rsidRDefault="003F2560" w:rsidP="00053022">
      <w:pPr>
        <w:spacing w:after="0" w:line="276" w:lineRule="auto"/>
        <w:ind w:left="-567"/>
        <w:jc w:val="center"/>
        <w:rPr>
          <w:rFonts w:ascii="Calibri Light" w:eastAsia="Times New Roman" w:hAnsi="Calibri Light" w:cs="Calibri Light"/>
          <w:bCs/>
          <w:sz w:val="24"/>
          <w:szCs w:val="24"/>
          <w:lang w:val="ro-MD"/>
        </w:rPr>
      </w:pPr>
      <w:r w:rsidRPr="00C45B3D">
        <w:rPr>
          <w:rFonts w:ascii="Calibri Light" w:eastAsia="Times New Roman" w:hAnsi="Calibri Light" w:cs="Calibri Light"/>
          <w:bCs/>
          <w:sz w:val="24"/>
          <w:szCs w:val="24"/>
          <w:lang w:val="ro-MD"/>
        </w:rPr>
        <w:t>CURTEA DE CONTURI A REPUBLICII MOLDOVA</w:t>
      </w:r>
    </w:p>
    <w:p w:rsidR="003F2560" w:rsidRPr="00AB3F50" w:rsidRDefault="003F2560" w:rsidP="00053022">
      <w:pPr>
        <w:spacing w:after="0" w:line="276" w:lineRule="auto"/>
        <w:ind w:left="-567"/>
        <w:jc w:val="center"/>
        <w:rPr>
          <w:rFonts w:ascii="Calibri Light" w:eastAsia="Times New Roman" w:hAnsi="Calibri Light" w:cs="Calibri Light"/>
          <w:bCs/>
          <w:sz w:val="28"/>
          <w:szCs w:val="28"/>
          <w:lang w:val="ro-MD"/>
        </w:rPr>
      </w:pPr>
    </w:p>
    <w:p w:rsidR="003F2560" w:rsidRPr="00C45B3D" w:rsidRDefault="003F2560" w:rsidP="00053022">
      <w:pPr>
        <w:spacing w:after="0" w:line="276" w:lineRule="auto"/>
        <w:ind w:left="-567"/>
        <w:jc w:val="center"/>
        <w:rPr>
          <w:rFonts w:ascii="Calibri Light" w:eastAsia="Times New Roman" w:hAnsi="Calibri Light" w:cs="Calibri Light"/>
          <w:b/>
          <w:bCs/>
          <w:sz w:val="24"/>
          <w:szCs w:val="24"/>
          <w:lang w:val="ro-MD"/>
        </w:rPr>
      </w:pPr>
      <w:bookmarkStart w:id="0" w:name="_Toc450123757"/>
      <w:r w:rsidRPr="00C45B3D">
        <w:rPr>
          <w:rFonts w:ascii="Calibri Light" w:eastAsia="Times New Roman" w:hAnsi="Calibri Light" w:cs="Calibri Light"/>
          <w:b/>
          <w:bCs/>
          <w:sz w:val="24"/>
          <w:szCs w:val="24"/>
          <w:lang w:val="ro-MD"/>
        </w:rPr>
        <w:t>H O T Ă R Â R E A nr.</w:t>
      </w:r>
      <w:bookmarkEnd w:id="0"/>
      <w:r w:rsidR="00A60FC2">
        <w:rPr>
          <w:rFonts w:ascii="Calibri Light" w:eastAsia="Times New Roman" w:hAnsi="Calibri Light" w:cs="Calibri Light"/>
          <w:b/>
          <w:bCs/>
          <w:sz w:val="24"/>
          <w:szCs w:val="24"/>
          <w:lang w:val="ro-MD"/>
        </w:rPr>
        <w:t xml:space="preserve"> </w:t>
      </w:r>
      <w:r w:rsidR="00284CB5">
        <w:rPr>
          <w:rFonts w:ascii="Calibri Light" w:eastAsia="Times New Roman" w:hAnsi="Calibri Light" w:cs="Calibri Light"/>
          <w:b/>
          <w:bCs/>
          <w:sz w:val="24"/>
          <w:szCs w:val="24"/>
          <w:lang w:val="ro-MD"/>
        </w:rPr>
        <w:t>25</w:t>
      </w:r>
    </w:p>
    <w:p w:rsidR="003F2560" w:rsidRPr="00C45B3D" w:rsidRDefault="003F2560" w:rsidP="00053022">
      <w:pPr>
        <w:spacing w:after="0" w:line="276" w:lineRule="auto"/>
        <w:ind w:left="-567"/>
        <w:jc w:val="center"/>
        <w:rPr>
          <w:rFonts w:ascii="Calibri Light" w:eastAsia="Times New Roman" w:hAnsi="Calibri Light" w:cs="Calibri Light"/>
          <w:b/>
          <w:bCs/>
          <w:sz w:val="24"/>
          <w:szCs w:val="24"/>
          <w:lang w:val="ro-MD"/>
        </w:rPr>
      </w:pPr>
      <w:r w:rsidRPr="00C45B3D">
        <w:rPr>
          <w:rFonts w:ascii="Calibri Light" w:eastAsia="Times New Roman" w:hAnsi="Calibri Light" w:cs="Calibri Light"/>
          <w:b/>
          <w:bCs/>
          <w:sz w:val="24"/>
          <w:szCs w:val="24"/>
          <w:lang w:val="ro-MD"/>
        </w:rPr>
        <w:t xml:space="preserve">din </w:t>
      </w:r>
      <w:r w:rsidR="007E6AE5">
        <w:rPr>
          <w:rFonts w:ascii="Calibri Light" w:eastAsia="Times New Roman" w:hAnsi="Calibri Light" w:cs="Calibri Light"/>
          <w:b/>
          <w:bCs/>
          <w:sz w:val="24"/>
          <w:szCs w:val="24"/>
          <w:lang w:val="ro-MD"/>
        </w:rPr>
        <w:t>30 mai</w:t>
      </w:r>
      <w:r w:rsidR="00A60FC2">
        <w:rPr>
          <w:rFonts w:ascii="Calibri Light" w:eastAsia="Times New Roman" w:hAnsi="Calibri Light" w:cs="Calibri Light"/>
          <w:b/>
          <w:bCs/>
          <w:sz w:val="24"/>
          <w:szCs w:val="24"/>
          <w:lang w:val="ro-MD"/>
        </w:rPr>
        <w:t xml:space="preserve"> 202</w:t>
      </w:r>
      <w:r w:rsidR="007E6AE5">
        <w:rPr>
          <w:rFonts w:ascii="Calibri Light" w:eastAsia="Times New Roman" w:hAnsi="Calibri Light" w:cs="Calibri Light"/>
          <w:b/>
          <w:bCs/>
          <w:sz w:val="24"/>
          <w:szCs w:val="24"/>
          <w:lang w:val="ro-MD"/>
        </w:rPr>
        <w:t>2</w:t>
      </w:r>
    </w:p>
    <w:p w:rsidR="00C1129F" w:rsidRDefault="003F2560" w:rsidP="00053022">
      <w:pPr>
        <w:spacing w:after="0" w:line="276" w:lineRule="auto"/>
        <w:ind w:left="-567"/>
        <w:jc w:val="center"/>
        <w:rPr>
          <w:rFonts w:asciiTheme="majorHAnsi" w:eastAsia="Times New Roman" w:hAnsiTheme="majorHAnsi" w:cstheme="majorHAnsi"/>
          <w:b/>
          <w:bCs/>
          <w:sz w:val="24"/>
          <w:szCs w:val="24"/>
          <w:lang w:val="ro-MD" w:eastAsia="ru-RU"/>
        </w:rPr>
      </w:pPr>
      <w:r w:rsidRPr="00C45B3D">
        <w:rPr>
          <w:rFonts w:asciiTheme="majorHAnsi" w:eastAsia="Times New Roman" w:hAnsiTheme="majorHAnsi" w:cstheme="majorHAnsi"/>
          <w:b/>
          <w:bCs/>
          <w:sz w:val="24"/>
          <w:szCs w:val="24"/>
          <w:lang w:val="ro-MD" w:eastAsia="ru-RU"/>
        </w:rPr>
        <w:t xml:space="preserve">cu privire la Raportul auditului </w:t>
      </w:r>
      <w:r w:rsidR="00F764B1">
        <w:rPr>
          <w:rFonts w:asciiTheme="majorHAnsi" w:eastAsia="Times New Roman" w:hAnsiTheme="majorHAnsi" w:cstheme="majorHAnsi"/>
          <w:b/>
          <w:bCs/>
          <w:sz w:val="24"/>
          <w:szCs w:val="24"/>
          <w:lang w:val="ro-MD" w:eastAsia="ru-RU"/>
        </w:rPr>
        <w:t xml:space="preserve">conformității </w:t>
      </w:r>
      <w:r w:rsidR="00C1129F">
        <w:rPr>
          <w:rFonts w:asciiTheme="majorHAnsi" w:eastAsia="Times New Roman" w:hAnsiTheme="majorHAnsi" w:cstheme="majorHAnsi"/>
          <w:b/>
          <w:bCs/>
          <w:sz w:val="24"/>
          <w:szCs w:val="24"/>
          <w:lang w:val="ro-MD" w:eastAsia="ru-RU"/>
        </w:rPr>
        <w:t xml:space="preserve">asupra </w:t>
      </w:r>
      <w:r w:rsidR="00F764B1">
        <w:rPr>
          <w:rFonts w:asciiTheme="majorHAnsi" w:eastAsia="Times New Roman" w:hAnsiTheme="majorHAnsi" w:cstheme="majorHAnsi"/>
          <w:b/>
          <w:bCs/>
          <w:sz w:val="24"/>
          <w:szCs w:val="24"/>
          <w:lang w:val="ro-MD" w:eastAsia="ru-RU"/>
        </w:rPr>
        <w:t xml:space="preserve">managementului datoriei de stat, </w:t>
      </w:r>
    </w:p>
    <w:p w:rsidR="003F2560" w:rsidRPr="00C45B3D" w:rsidRDefault="00F764B1" w:rsidP="00053022">
      <w:pPr>
        <w:spacing w:after="0" w:line="276" w:lineRule="auto"/>
        <w:ind w:left="-567"/>
        <w:jc w:val="center"/>
        <w:rPr>
          <w:rFonts w:asciiTheme="majorHAnsi" w:eastAsia="Times New Roman" w:hAnsiTheme="majorHAnsi" w:cstheme="majorHAnsi"/>
          <w:b/>
          <w:bCs/>
          <w:sz w:val="24"/>
          <w:szCs w:val="24"/>
          <w:lang w:val="ro-MD" w:eastAsia="ru-RU"/>
        </w:rPr>
      </w:pPr>
      <w:r>
        <w:rPr>
          <w:rFonts w:asciiTheme="majorHAnsi" w:eastAsia="Times New Roman" w:hAnsiTheme="majorHAnsi" w:cstheme="majorHAnsi"/>
          <w:b/>
          <w:bCs/>
          <w:sz w:val="24"/>
          <w:szCs w:val="24"/>
          <w:lang w:val="ro-MD" w:eastAsia="ru-RU"/>
        </w:rPr>
        <w:t>garanțiilor de stat și recreditării de stat în anul</w:t>
      </w:r>
      <w:r w:rsidR="003F2560" w:rsidRPr="00C45B3D">
        <w:rPr>
          <w:rFonts w:asciiTheme="majorHAnsi" w:eastAsia="Times New Roman" w:hAnsiTheme="majorHAnsi" w:cstheme="majorHAnsi"/>
          <w:b/>
          <w:bCs/>
          <w:sz w:val="24"/>
          <w:szCs w:val="24"/>
          <w:lang w:val="ro-MD" w:eastAsia="ru-RU"/>
        </w:rPr>
        <w:t xml:space="preserve"> 20</w:t>
      </w:r>
      <w:r w:rsidR="007E6AE5">
        <w:rPr>
          <w:rFonts w:asciiTheme="majorHAnsi" w:eastAsia="Times New Roman" w:hAnsiTheme="majorHAnsi" w:cstheme="majorHAnsi"/>
          <w:b/>
          <w:bCs/>
          <w:sz w:val="24"/>
          <w:szCs w:val="24"/>
          <w:lang w:val="ro-MD" w:eastAsia="ru-RU"/>
        </w:rPr>
        <w:t>21</w:t>
      </w:r>
    </w:p>
    <w:p w:rsidR="003F2560" w:rsidRPr="00AB3F50" w:rsidRDefault="003F2560" w:rsidP="00053022">
      <w:pPr>
        <w:spacing w:after="0" w:line="276" w:lineRule="auto"/>
        <w:ind w:left="-567"/>
        <w:jc w:val="center"/>
        <w:rPr>
          <w:rFonts w:asciiTheme="majorHAnsi" w:eastAsia="Times New Roman" w:hAnsiTheme="majorHAnsi" w:cstheme="majorHAnsi"/>
          <w:sz w:val="16"/>
          <w:szCs w:val="16"/>
          <w:lang w:val="ro-MD"/>
        </w:rPr>
      </w:pPr>
    </w:p>
    <w:p w:rsidR="0001475E" w:rsidRDefault="003F2560" w:rsidP="00053022">
      <w:pPr>
        <w:spacing w:after="0" w:line="276" w:lineRule="auto"/>
        <w:ind w:firstLine="720"/>
        <w:jc w:val="both"/>
        <w:rPr>
          <w:rFonts w:asciiTheme="majorHAnsi" w:eastAsia="Times New Roman" w:hAnsiTheme="majorHAnsi" w:cstheme="majorHAnsi"/>
          <w:bCs/>
          <w:sz w:val="24"/>
          <w:szCs w:val="24"/>
          <w:lang w:val="ro-RO" w:eastAsia="ru-RU"/>
        </w:rPr>
      </w:pPr>
      <w:r w:rsidRPr="00AB3F50">
        <w:rPr>
          <w:rFonts w:asciiTheme="majorHAnsi" w:hAnsiTheme="majorHAnsi" w:cstheme="majorHAnsi"/>
          <w:sz w:val="24"/>
          <w:szCs w:val="24"/>
          <w:lang w:val="ro-RO"/>
        </w:rPr>
        <w:t xml:space="preserve">Curtea de Conturi, </w:t>
      </w:r>
      <w:r w:rsidR="0001475E">
        <w:rPr>
          <w:rFonts w:asciiTheme="majorHAnsi" w:eastAsia="Times New Roman" w:hAnsiTheme="majorHAnsi" w:cstheme="majorHAnsi"/>
          <w:sz w:val="24"/>
          <w:szCs w:val="24"/>
          <w:lang w:val="ro-RO"/>
        </w:rPr>
        <w:t>în prezența</w:t>
      </w:r>
      <w:r w:rsidR="00284CB5">
        <w:rPr>
          <w:rFonts w:asciiTheme="majorHAnsi" w:eastAsia="Times New Roman" w:hAnsiTheme="majorHAnsi" w:cstheme="majorHAnsi"/>
          <w:sz w:val="24"/>
          <w:szCs w:val="24"/>
          <w:lang w:val="ro-RO"/>
        </w:rPr>
        <w:t xml:space="preserve"> secretarilor de stat ai Ministerului</w:t>
      </w:r>
      <w:r w:rsidR="00427693">
        <w:rPr>
          <w:rFonts w:asciiTheme="majorHAnsi" w:eastAsia="Times New Roman" w:hAnsiTheme="majorHAnsi" w:cstheme="majorHAnsi"/>
          <w:sz w:val="24"/>
          <w:szCs w:val="24"/>
          <w:lang w:val="ro-RO"/>
        </w:rPr>
        <w:t xml:space="preserve"> </w:t>
      </w:r>
      <w:r w:rsidR="002E78C9">
        <w:rPr>
          <w:rFonts w:asciiTheme="majorHAnsi" w:eastAsia="Times New Roman" w:hAnsiTheme="majorHAnsi" w:cstheme="majorHAnsi"/>
          <w:sz w:val="24"/>
          <w:szCs w:val="24"/>
          <w:lang w:val="ro-RO"/>
        </w:rPr>
        <w:t xml:space="preserve">Finanțelor, </w:t>
      </w:r>
      <w:r w:rsidR="00427693">
        <w:rPr>
          <w:rFonts w:asciiTheme="majorHAnsi" w:eastAsia="Times New Roman" w:hAnsiTheme="majorHAnsi" w:cstheme="majorHAnsi"/>
          <w:sz w:val="24"/>
          <w:szCs w:val="24"/>
          <w:lang w:val="ro-RO"/>
        </w:rPr>
        <w:t>d</w:t>
      </w:r>
      <w:r w:rsidR="00284CB5">
        <w:rPr>
          <w:rFonts w:asciiTheme="majorHAnsi" w:eastAsia="Times New Roman" w:hAnsiTheme="majorHAnsi" w:cstheme="majorHAnsi"/>
          <w:sz w:val="24"/>
          <w:szCs w:val="24"/>
          <w:lang w:val="ro-RO"/>
        </w:rPr>
        <w:t>nii Ion Gumene și Vladimir Arachelov</w:t>
      </w:r>
      <w:r w:rsidR="002E78C9">
        <w:rPr>
          <w:rFonts w:asciiTheme="majorHAnsi" w:eastAsia="Times New Roman" w:hAnsiTheme="majorHAnsi" w:cstheme="majorHAnsi"/>
          <w:sz w:val="24"/>
          <w:szCs w:val="24"/>
          <w:lang w:val="ro-RO"/>
        </w:rPr>
        <w:t>;</w:t>
      </w:r>
      <w:r w:rsidR="00427693">
        <w:rPr>
          <w:rFonts w:asciiTheme="majorHAnsi" w:eastAsia="Times New Roman" w:hAnsiTheme="majorHAnsi" w:cstheme="majorHAnsi"/>
          <w:sz w:val="24"/>
          <w:szCs w:val="24"/>
          <w:lang w:val="ro-RO"/>
        </w:rPr>
        <w:t xml:space="preserve"> </w:t>
      </w:r>
      <w:r w:rsidR="00663B5F">
        <w:rPr>
          <w:rFonts w:asciiTheme="majorHAnsi" w:hAnsiTheme="majorHAnsi" w:cstheme="majorHAnsi"/>
          <w:sz w:val="24"/>
          <w:szCs w:val="24"/>
          <w:lang w:val="ro-RO"/>
        </w:rPr>
        <w:t>șefei</w:t>
      </w:r>
      <w:r w:rsidR="00663B5F" w:rsidRPr="00AB3F50">
        <w:rPr>
          <w:rFonts w:asciiTheme="majorHAnsi" w:hAnsiTheme="majorHAnsi" w:cstheme="majorHAnsi"/>
          <w:sz w:val="24"/>
          <w:szCs w:val="24"/>
          <w:lang w:val="ro-RO"/>
        </w:rPr>
        <w:t xml:space="preserve"> Direcției </w:t>
      </w:r>
      <w:r w:rsidR="00663B5F">
        <w:rPr>
          <w:rFonts w:asciiTheme="majorHAnsi" w:hAnsiTheme="majorHAnsi" w:cstheme="majorHAnsi"/>
          <w:sz w:val="24"/>
          <w:szCs w:val="24"/>
          <w:lang w:val="ro-RO"/>
        </w:rPr>
        <w:t>datorii publice a</w:t>
      </w:r>
      <w:r w:rsidR="00663B5F" w:rsidRPr="00AB3F50">
        <w:rPr>
          <w:rFonts w:asciiTheme="majorHAnsi" w:hAnsiTheme="majorHAnsi" w:cstheme="majorHAnsi"/>
          <w:sz w:val="24"/>
          <w:szCs w:val="24"/>
          <w:lang w:val="ro-RO"/>
        </w:rPr>
        <w:t xml:space="preserve"> Ministerului Finanțelor</w:t>
      </w:r>
      <w:r w:rsidR="00663B5F">
        <w:rPr>
          <w:rFonts w:asciiTheme="majorHAnsi" w:hAnsiTheme="majorHAnsi" w:cstheme="majorHAnsi"/>
          <w:sz w:val="24"/>
          <w:szCs w:val="24"/>
          <w:lang w:val="ro-RO"/>
        </w:rPr>
        <w:t xml:space="preserve">, </w:t>
      </w:r>
      <w:r w:rsidR="00663B5F" w:rsidRPr="00AB3F50">
        <w:rPr>
          <w:rFonts w:asciiTheme="majorHAnsi" w:hAnsiTheme="majorHAnsi" w:cstheme="majorHAnsi"/>
          <w:sz w:val="24"/>
          <w:szCs w:val="24"/>
          <w:lang w:val="ro-RO"/>
        </w:rPr>
        <w:t>dn</w:t>
      </w:r>
      <w:r w:rsidR="00663B5F">
        <w:rPr>
          <w:rFonts w:asciiTheme="majorHAnsi" w:hAnsiTheme="majorHAnsi" w:cstheme="majorHAnsi"/>
          <w:sz w:val="24"/>
          <w:szCs w:val="24"/>
          <w:lang w:val="ro-RO"/>
        </w:rPr>
        <w:t>a Elena Matveeva</w:t>
      </w:r>
      <w:r w:rsidR="00663B5F" w:rsidRPr="00AB3F50">
        <w:rPr>
          <w:rFonts w:asciiTheme="majorHAnsi" w:hAnsiTheme="majorHAnsi" w:cstheme="majorHAnsi"/>
          <w:sz w:val="24"/>
          <w:szCs w:val="24"/>
          <w:lang w:val="ro-RO"/>
        </w:rPr>
        <w:t>;</w:t>
      </w:r>
      <w:r w:rsidR="00663B5F">
        <w:rPr>
          <w:rFonts w:asciiTheme="majorHAnsi" w:hAnsiTheme="majorHAnsi" w:cstheme="majorHAnsi"/>
          <w:sz w:val="24"/>
          <w:szCs w:val="24"/>
          <w:lang w:val="ro-RO"/>
        </w:rPr>
        <w:t xml:space="preserve"> </w:t>
      </w:r>
      <w:r w:rsidR="00E46D13">
        <w:rPr>
          <w:rFonts w:asciiTheme="majorHAnsi" w:eastAsia="Times New Roman" w:hAnsiTheme="majorHAnsi" w:cstheme="majorHAnsi"/>
          <w:sz w:val="24"/>
          <w:szCs w:val="24"/>
          <w:lang w:val="ro-RO"/>
        </w:rPr>
        <w:t>șefului Direcției Trezoreri</w:t>
      </w:r>
      <w:r w:rsidR="004E57E4">
        <w:rPr>
          <w:rFonts w:asciiTheme="majorHAnsi" w:eastAsia="Times New Roman" w:hAnsiTheme="majorHAnsi" w:cstheme="majorHAnsi"/>
          <w:sz w:val="24"/>
          <w:szCs w:val="24"/>
          <w:lang w:val="ro-RO"/>
        </w:rPr>
        <w:t>a</w:t>
      </w:r>
      <w:r w:rsidR="00E46D13">
        <w:rPr>
          <w:rFonts w:asciiTheme="majorHAnsi" w:eastAsia="Times New Roman" w:hAnsiTheme="majorHAnsi" w:cstheme="majorHAnsi"/>
          <w:sz w:val="24"/>
          <w:szCs w:val="24"/>
          <w:lang w:val="ro-RO"/>
        </w:rPr>
        <w:t xml:space="preserve"> de Stat a Ministerului Finanțelor, dl Maxim Ciobanu; </w:t>
      </w:r>
      <w:r w:rsidR="005B7953">
        <w:rPr>
          <w:rFonts w:asciiTheme="majorHAnsi" w:hAnsiTheme="majorHAnsi" w:cstheme="majorHAnsi"/>
          <w:sz w:val="24"/>
          <w:szCs w:val="24"/>
          <w:lang w:val="ro-RO"/>
        </w:rPr>
        <w:t>șef</w:t>
      </w:r>
      <w:r w:rsidR="002E78C9">
        <w:rPr>
          <w:rFonts w:asciiTheme="majorHAnsi" w:hAnsiTheme="majorHAnsi" w:cstheme="majorHAnsi"/>
          <w:sz w:val="24"/>
          <w:szCs w:val="24"/>
          <w:lang w:val="ro-RO"/>
        </w:rPr>
        <w:t>ului</w:t>
      </w:r>
      <w:r w:rsidR="005B7953">
        <w:rPr>
          <w:rFonts w:asciiTheme="majorHAnsi" w:hAnsiTheme="majorHAnsi" w:cstheme="majorHAnsi"/>
          <w:sz w:val="24"/>
          <w:szCs w:val="24"/>
          <w:lang w:val="ro-RO"/>
        </w:rPr>
        <w:t xml:space="preserve"> Secției datoria externă și recreditare </w:t>
      </w:r>
      <w:r w:rsidR="002E78C9">
        <w:rPr>
          <w:rFonts w:asciiTheme="majorHAnsi" w:hAnsiTheme="majorHAnsi" w:cstheme="majorHAnsi"/>
          <w:sz w:val="24"/>
          <w:szCs w:val="24"/>
          <w:lang w:val="ro-RO"/>
        </w:rPr>
        <w:t>a</w:t>
      </w:r>
      <w:r w:rsidR="005B7953">
        <w:rPr>
          <w:rFonts w:asciiTheme="majorHAnsi" w:hAnsiTheme="majorHAnsi" w:cstheme="majorHAnsi"/>
          <w:sz w:val="24"/>
          <w:szCs w:val="24"/>
          <w:lang w:val="ro-RO"/>
        </w:rPr>
        <w:t xml:space="preserve"> Ministerului Finanțelor</w:t>
      </w:r>
      <w:r w:rsidR="002E78C9">
        <w:rPr>
          <w:rFonts w:asciiTheme="majorHAnsi" w:hAnsiTheme="majorHAnsi" w:cstheme="majorHAnsi"/>
          <w:sz w:val="24"/>
          <w:szCs w:val="24"/>
          <w:lang w:val="ro-RO"/>
        </w:rPr>
        <w:t>, dl Alexandru Rodideal</w:t>
      </w:r>
      <w:r w:rsidR="005B7953">
        <w:rPr>
          <w:rFonts w:asciiTheme="majorHAnsi" w:hAnsiTheme="majorHAnsi" w:cstheme="majorHAnsi"/>
          <w:sz w:val="24"/>
          <w:szCs w:val="24"/>
          <w:lang w:val="ro-RO"/>
        </w:rPr>
        <w:t xml:space="preserve">; </w:t>
      </w:r>
      <w:r w:rsidR="0001475E">
        <w:rPr>
          <w:rFonts w:asciiTheme="majorHAnsi" w:hAnsiTheme="majorHAnsi" w:cstheme="majorHAnsi"/>
          <w:sz w:val="24"/>
          <w:szCs w:val="24"/>
          <w:lang w:val="ro-RO"/>
        </w:rPr>
        <w:t>Directo</w:t>
      </w:r>
      <w:r w:rsidR="002E78C9">
        <w:rPr>
          <w:rFonts w:asciiTheme="majorHAnsi" w:hAnsiTheme="majorHAnsi" w:cstheme="majorHAnsi"/>
          <w:sz w:val="24"/>
          <w:szCs w:val="24"/>
          <w:lang w:val="ro-RO"/>
        </w:rPr>
        <w:t>a</w:t>
      </w:r>
      <w:r w:rsidR="0001475E">
        <w:rPr>
          <w:rFonts w:asciiTheme="majorHAnsi" w:hAnsiTheme="majorHAnsi" w:cstheme="majorHAnsi"/>
          <w:sz w:val="24"/>
          <w:szCs w:val="24"/>
          <w:lang w:val="ro-RO"/>
        </w:rPr>
        <w:t>r</w:t>
      </w:r>
      <w:r w:rsidR="002E78C9">
        <w:rPr>
          <w:rFonts w:asciiTheme="majorHAnsi" w:hAnsiTheme="majorHAnsi" w:cstheme="majorHAnsi"/>
          <w:sz w:val="24"/>
          <w:szCs w:val="24"/>
          <w:lang w:val="ro-RO"/>
        </w:rPr>
        <w:t>ei</w:t>
      </w:r>
      <w:r w:rsidR="0001475E">
        <w:rPr>
          <w:rFonts w:asciiTheme="majorHAnsi" w:hAnsiTheme="majorHAnsi" w:cstheme="majorHAnsi"/>
          <w:sz w:val="24"/>
          <w:szCs w:val="24"/>
          <w:lang w:val="ro-RO"/>
        </w:rPr>
        <w:t xml:space="preserve"> Instituției Publice „Oficiu</w:t>
      </w:r>
      <w:r w:rsidR="00C1129F">
        <w:rPr>
          <w:rFonts w:asciiTheme="majorHAnsi" w:hAnsiTheme="majorHAnsi" w:cstheme="majorHAnsi"/>
          <w:sz w:val="24"/>
          <w:szCs w:val="24"/>
          <w:lang w:val="ro-RO"/>
        </w:rPr>
        <w:t>l</w:t>
      </w:r>
      <w:r w:rsidR="0001475E">
        <w:rPr>
          <w:rFonts w:asciiTheme="majorHAnsi" w:hAnsiTheme="majorHAnsi" w:cstheme="majorHAnsi"/>
          <w:sz w:val="24"/>
          <w:szCs w:val="24"/>
          <w:lang w:val="ro-RO"/>
        </w:rPr>
        <w:t xml:space="preserve"> de Gestionare a Programelor de Asistență Externă”</w:t>
      </w:r>
      <w:r w:rsidRPr="00A60FC2">
        <w:rPr>
          <w:rFonts w:asciiTheme="majorHAnsi" w:hAnsiTheme="majorHAnsi" w:cstheme="majorHAnsi"/>
          <w:sz w:val="24"/>
          <w:szCs w:val="24"/>
          <w:lang w:val="ro-RO"/>
        </w:rPr>
        <w:t>,</w:t>
      </w:r>
      <w:r w:rsidR="002E78C9">
        <w:rPr>
          <w:rFonts w:asciiTheme="majorHAnsi" w:hAnsiTheme="majorHAnsi" w:cstheme="majorHAnsi"/>
          <w:sz w:val="24"/>
          <w:szCs w:val="24"/>
          <w:lang w:val="ro-RO"/>
        </w:rPr>
        <w:t xml:space="preserve"> dna Raisa Cantemir,</w:t>
      </w:r>
      <w:r w:rsidRPr="00A60FC2">
        <w:rPr>
          <w:rFonts w:asciiTheme="majorHAnsi" w:hAnsiTheme="majorHAnsi" w:cstheme="majorHAnsi"/>
          <w:sz w:val="24"/>
          <w:szCs w:val="24"/>
          <w:lang w:val="ro-RO"/>
        </w:rPr>
        <w:t xml:space="preserve"> </w:t>
      </w:r>
      <w:r w:rsidR="00E46D13" w:rsidRPr="00E46D13">
        <w:rPr>
          <w:rFonts w:asciiTheme="majorHAnsi" w:hAnsiTheme="majorHAnsi" w:cstheme="majorHAnsi"/>
          <w:sz w:val="24"/>
          <w:szCs w:val="24"/>
          <w:lang w:val="ro-RO"/>
        </w:rPr>
        <w:t>precum și a altor persoane cu funcții de răspundere</w:t>
      </w:r>
      <w:r w:rsidR="00E46D13">
        <w:rPr>
          <w:rFonts w:asciiTheme="majorHAnsi" w:hAnsiTheme="majorHAnsi" w:cstheme="majorHAnsi"/>
          <w:sz w:val="24"/>
          <w:szCs w:val="24"/>
          <w:lang w:val="ro-RO"/>
        </w:rPr>
        <w:t xml:space="preserve">, </w:t>
      </w:r>
      <w:r w:rsidRPr="00A60FC2">
        <w:rPr>
          <w:rFonts w:asciiTheme="majorHAnsi" w:hAnsiTheme="majorHAnsi" w:cstheme="majorHAnsi"/>
          <w:sz w:val="24"/>
          <w:szCs w:val="24"/>
          <w:lang w:val="ro-RO"/>
        </w:rPr>
        <w:t xml:space="preserve">în cadrul ședinței </w:t>
      </w:r>
      <w:r w:rsidR="00B03B6F">
        <w:rPr>
          <w:rFonts w:asciiTheme="majorHAnsi" w:hAnsiTheme="majorHAnsi" w:cstheme="majorHAnsi"/>
          <w:sz w:val="24"/>
          <w:szCs w:val="24"/>
          <w:lang w:val="ro-RO"/>
        </w:rPr>
        <w:t xml:space="preserve">în format </w:t>
      </w:r>
      <w:r w:rsidRPr="00A60FC2">
        <w:rPr>
          <w:rFonts w:asciiTheme="majorHAnsi" w:hAnsiTheme="majorHAnsi" w:cstheme="majorHAnsi"/>
          <w:sz w:val="24"/>
          <w:szCs w:val="24"/>
          <w:lang w:val="ro-RO"/>
        </w:rPr>
        <w:t xml:space="preserve">video, </w:t>
      </w:r>
      <w:r w:rsidRPr="00A60FC2">
        <w:rPr>
          <w:rFonts w:asciiTheme="majorHAnsi" w:hAnsiTheme="majorHAnsi" w:cstheme="majorHAnsi"/>
          <w:bCs/>
          <w:sz w:val="24"/>
          <w:szCs w:val="24"/>
          <w:lang w:val="ro-RO"/>
        </w:rPr>
        <w:t>călăuzindu-se de</w:t>
      </w:r>
      <w:r w:rsidRPr="00A60FC2">
        <w:rPr>
          <w:rFonts w:asciiTheme="majorHAnsi" w:hAnsiTheme="majorHAnsi" w:cstheme="majorHAnsi"/>
          <w:sz w:val="24"/>
          <w:szCs w:val="24"/>
          <w:lang w:val="ro-RO"/>
        </w:rPr>
        <w:t xml:space="preserve"> art. 3 alin. (1) și art. 5 alin. (1) lit. a) din Legea privind organizarea și funcționarea Curții de Conturi a Republicii Moldova</w:t>
      </w:r>
      <w:r w:rsidRPr="00A60FC2">
        <w:rPr>
          <w:rStyle w:val="FootnoteReference1"/>
          <w:rFonts w:asciiTheme="majorHAnsi" w:hAnsiTheme="majorHAnsi" w:cstheme="majorHAnsi"/>
          <w:sz w:val="24"/>
          <w:szCs w:val="24"/>
          <w:lang w:val="ro-RO"/>
        </w:rPr>
        <w:footnoteReference w:id="1"/>
      </w:r>
      <w:r w:rsidRPr="00A60FC2">
        <w:rPr>
          <w:rFonts w:asciiTheme="majorHAnsi" w:hAnsiTheme="majorHAnsi" w:cstheme="majorHAnsi"/>
          <w:sz w:val="24"/>
          <w:szCs w:val="24"/>
          <w:lang w:val="ro-RO"/>
        </w:rPr>
        <w:t xml:space="preserve">, a examinat </w:t>
      </w:r>
      <w:r w:rsidRPr="00A60FC2">
        <w:rPr>
          <w:rFonts w:asciiTheme="majorHAnsi" w:eastAsia="Times New Roman" w:hAnsiTheme="majorHAnsi" w:cstheme="majorHAnsi"/>
          <w:bCs/>
          <w:sz w:val="24"/>
          <w:szCs w:val="24"/>
          <w:lang w:val="ro-RO" w:eastAsia="ru-RU"/>
        </w:rPr>
        <w:t xml:space="preserve">Raportul auditului </w:t>
      </w:r>
      <w:r w:rsidR="0001475E" w:rsidRPr="0001475E">
        <w:rPr>
          <w:rFonts w:asciiTheme="majorHAnsi" w:eastAsia="Times New Roman" w:hAnsiTheme="majorHAnsi" w:cstheme="majorHAnsi"/>
          <w:bCs/>
          <w:sz w:val="24"/>
          <w:szCs w:val="24"/>
          <w:lang w:val="ro-RO" w:eastAsia="ru-RU"/>
        </w:rPr>
        <w:t xml:space="preserve">conformității </w:t>
      </w:r>
      <w:r w:rsidR="00C1129F">
        <w:rPr>
          <w:rFonts w:asciiTheme="majorHAnsi" w:eastAsia="Times New Roman" w:hAnsiTheme="majorHAnsi" w:cstheme="majorHAnsi"/>
          <w:bCs/>
          <w:sz w:val="24"/>
          <w:szCs w:val="24"/>
          <w:lang w:val="ro-RO" w:eastAsia="ru-RU"/>
        </w:rPr>
        <w:t xml:space="preserve">asupra </w:t>
      </w:r>
      <w:r w:rsidR="0001475E" w:rsidRPr="0001475E">
        <w:rPr>
          <w:rFonts w:asciiTheme="majorHAnsi" w:eastAsia="Times New Roman" w:hAnsiTheme="majorHAnsi" w:cstheme="majorHAnsi"/>
          <w:bCs/>
          <w:sz w:val="24"/>
          <w:szCs w:val="24"/>
          <w:lang w:val="ro-RO" w:eastAsia="ru-RU"/>
        </w:rPr>
        <w:t xml:space="preserve">managementului datoriei de stat, garanțiilor de stat și recreditării de </w:t>
      </w:r>
      <w:r w:rsidR="007E6AE5">
        <w:rPr>
          <w:rFonts w:asciiTheme="majorHAnsi" w:eastAsia="Times New Roman" w:hAnsiTheme="majorHAnsi" w:cstheme="majorHAnsi"/>
          <w:bCs/>
          <w:sz w:val="24"/>
          <w:szCs w:val="24"/>
          <w:lang w:val="ro-RO" w:eastAsia="ru-RU"/>
        </w:rPr>
        <w:t>stat în anul 2021</w:t>
      </w:r>
      <w:r w:rsidR="0001475E">
        <w:rPr>
          <w:rFonts w:asciiTheme="majorHAnsi" w:eastAsia="Times New Roman" w:hAnsiTheme="majorHAnsi" w:cstheme="majorHAnsi"/>
          <w:bCs/>
          <w:sz w:val="24"/>
          <w:szCs w:val="24"/>
          <w:lang w:val="ro-RO" w:eastAsia="ru-RU"/>
        </w:rPr>
        <w:t>.</w:t>
      </w:r>
    </w:p>
    <w:p w:rsidR="003F2560" w:rsidRPr="00AB3F50" w:rsidRDefault="003F2560" w:rsidP="00053022">
      <w:pPr>
        <w:spacing w:after="0" w:line="276" w:lineRule="auto"/>
        <w:ind w:firstLine="720"/>
        <w:jc w:val="both"/>
        <w:rPr>
          <w:rFonts w:asciiTheme="majorHAnsi" w:hAnsiTheme="majorHAnsi" w:cstheme="majorHAnsi"/>
          <w:sz w:val="24"/>
          <w:szCs w:val="24"/>
          <w:lang w:val="ro-MD"/>
        </w:rPr>
      </w:pPr>
      <w:r w:rsidRPr="00AB3F50">
        <w:rPr>
          <w:rFonts w:asciiTheme="majorHAnsi" w:eastAsia="Times New Roman" w:hAnsiTheme="majorHAnsi" w:cstheme="majorHAnsi"/>
          <w:sz w:val="24"/>
          <w:szCs w:val="24"/>
          <w:lang w:val="ro-MD" w:eastAsia="ro-MD"/>
        </w:rPr>
        <w:t xml:space="preserve">Misiunea de audit public extern a fost realizată conform </w:t>
      </w:r>
      <w:r w:rsidRPr="00AB3F50">
        <w:rPr>
          <w:rFonts w:asciiTheme="majorHAnsi" w:hAnsiTheme="majorHAnsi" w:cstheme="majorHAnsi"/>
          <w:sz w:val="24"/>
          <w:szCs w:val="24"/>
          <w:lang w:val="ro-MD"/>
        </w:rPr>
        <w:t>Programului activității de audit a</w:t>
      </w:r>
      <w:r w:rsidR="002E78C9">
        <w:rPr>
          <w:rFonts w:asciiTheme="majorHAnsi" w:hAnsiTheme="majorHAnsi" w:cstheme="majorHAnsi"/>
          <w:sz w:val="24"/>
          <w:szCs w:val="24"/>
          <w:lang w:val="ro-MD"/>
        </w:rPr>
        <w:t>l</w:t>
      </w:r>
      <w:r w:rsidRPr="00AB3F50">
        <w:rPr>
          <w:rFonts w:asciiTheme="majorHAnsi" w:hAnsiTheme="majorHAnsi" w:cstheme="majorHAnsi"/>
          <w:sz w:val="24"/>
          <w:szCs w:val="24"/>
          <w:lang w:val="ro-MD"/>
        </w:rPr>
        <w:t xml:space="preserve"> Curții de Conturi pe anul 202</w:t>
      </w:r>
      <w:r w:rsidR="00C056F3">
        <w:rPr>
          <w:rFonts w:asciiTheme="majorHAnsi" w:hAnsiTheme="majorHAnsi" w:cstheme="majorHAnsi"/>
          <w:sz w:val="24"/>
          <w:szCs w:val="24"/>
          <w:lang w:val="ro-MD"/>
        </w:rPr>
        <w:t>2</w:t>
      </w:r>
      <w:r w:rsidRPr="00AB3F50">
        <w:rPr>
          <w:rStyle w:val="FootnoteReference1"/>
          <w:rFonts w:asciiTheme="majorHAnsi" w:hAnsiTheme="majorHAnsi" w:cstheme="majorHAnsi"/>
          <w:sz w:val="24"/>
          <w:szCs w:val="24"/>
        </w:rPr>
        <w:footnoteReference w:id="2"/>
      </w:r>
      <w:r w:rsidRPr="00AB3F50">
        <w:rPr>
          <w:rFonts w:asciiTheme="majorHAnsi" w:hAnsiTheme="majorHAnsi" w:cstheme="majorHAnsi"/>
          <w:sz w:val="24"/>
          <w:szCs w:val="24"/>
          <w:lang w:val="ro-MD"/>
        </w:rPr>
        <w:t xml:space="preserve">, </w:t>
      </w:r>
      <w:r w:rsidR="00A329BA" w:rsidRPr="00A329BA">
        <w:rPr>
          <w:rFonts w:asciiTheme="majorHAnsi" w:eastAsia="Times New Roman" w:hAnsiTheme="majorHAnsi" w:cstheme="majorHAnsi"/>
          <w:sz w:val="24"/>
          <w:szCs w:val="24"/>
          <w:lang w:val="ro-MD"/>
        </w:rPr>
        <w:t xml:space="preserve">având drept scop oferirea asigurării asupra conformității managementului datoriei de stat, garanțiilor de stat și recreditării de stat realizat de către Ministerul Finanțelor în anul 2021, în raport cu prevederile cadrului regulator din domeniu, </w:t>
      </w:r>
      <w:r w:rsidR="00B03B6F">
        <w:rPr>
          <w:rFonts w:asciiTheme="majorHAnsi" w:eastAsia="Times New Roman" w:hAnsiTheme="majorHAnsi" w:cstheme="majorHAnsi"/>
          <w:sz w:val="24"/>
          <w:szCs w:val="24"/>
          <w:lang w:val="ro-MD"/>
        </w:rPr>
        <w:t>iar</w:t>
      </w:r>
      <w:r w:rsidR="00A329BA" w:rsidRPr="00A329BA">
        <w:rPr>
          <w:rFonts w:asciiTheme="majorHAnsi" w:eastAsia="Times New Roman" w:hAnsiTheme="majorHAnsi" w:cstheme="majorHAnsi"/>
          <w:sz w:val="24"/>
          <w:szCs w:val="24"/>
          <w:lang w:val="ro-MD"/>
        </w:rPr>
        <w:t xml:space="preserve"> raportarea acesteia este conformă ca parte componentă a Raportului Guvernului privind executarea bugetului de stat pe anul 2021, în vederea formulării unei concluzii generale de audit și înaintarea, după caz, a recomandărilor relevante.</w:t>
      </w:r>
    </w:p>
    <w:p w:rsidR="003F2560" w:rsidRPr="00AB3F50" w:rsidRDefault="003F2560" w:rsidP="00053022">
      <w:pPr>
        <w:spacing w:after="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Auditul public extern s-a desfășurat în conformitate cu Standardele Internaționale ale Instituțiilor Supreme de Audi</w:t>
      </w:r>
      <w:r>
        <w:rPr>
          <w:rFonts w:asciiTheme="majorHAnsi" w:eastAsia="Times New Roman" w:hAnsiTheme="majorHAnsi" w:cstheme="majorHAnsi"/>
          <w:sz w:val="24"/>
          <w:szCs w:val="24"/>
          <w:lang w:val="ro-MD"/>
        </w:rPr>
        <w:t>t</w:t>
      </w:r>
      <w:r w:rsidR="00FD0A9E">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aplicate de Curtea de Conturi</w:t>
      </w:r>
      <w:r w:rsidR="00FD0A9E">
        <w:rPr>
          <w:rFonts w:asciiTheme="majorHAnsi" w:eastAsia="Times New Roman" w:hAnsiTheme="majorHAnsi" w:cstheme="majorHAnsi"/>
          <w:sz w:val="24"/>
          <w:szCs w:val="24"/>
          <w:lang w:val="ro-MD"/>
        </w:rPr>
        <w:t xml:space="preserve">, în special </w:t>
      </w:r>
      <w:r w:rsidR="00A712C9">
        <w:rPr>
          <w:rFonts w:asciiTheme="majorHAnsi" w:eastAsia="Times New Roman" w:hAnsiTheme="majorHAnsi" w:cstheme="majorHAnsi"/>
          <w:sz w:val="24"/>
          <w:szCs w:val="24"/>
          <w:lang w:val="ro-MD"/>
        </w:rPr>
        <w:t>ISS</w:t>
      </w:r>
      <w:r w:rsidR="00FD0A9E">
        <w:rPr>
          <w:rFonts w:asciiTheme="majorHAnsi" w:eastAsia="Times New Roman" w:hAnsiTheme="majorHAnsi" w:cstheme="majorHAnsi"/>
          <w:sz w:val="24"/>
          <w:szCs w:val="24"/>
          <w:lang w:val="ro-MD"/>
        </w:rPr>
        <w:t>AI 100, ISSAI 400 și ISSAI 4000</w:t>
      </w:r>
      <w:r w:rsidR="00A712C9">
        <w:rPr>
          <w:rStyle w:val="af3"/>
          <w:rFonts w:asciiTheme="majorHAnsi" w:eastAsia="Times New Roman" w:hAnsiTheme="majorHAnsi" w:cstheme="majorHAnsi"/>
          <w:sz w:val="24"/>
          <w:szCs w:val="24"/>
          <w:lang w:val="ro-MD"/>
        </w:rPr>
        <w:footnoteReference w:id="3"/>
      </w:r>
      <w:r w:rsidRPr="00AB3F50">
        <w:rPr>
          <w:rFonts w:asciiTheme="majorHAnsi" w:eastAsia="Times New Roman" w:hAnsiTheme="majorHAnsi" w:cstheme="majorHAnsi"/>
          <w:sz w:val="24"/>
          <w:szCs w:val="24"/>
          <w:lang w:val="ro-MD"/>
        </w:rPr>
        <w:t xml:space="preserve">. </w:t>
      </w:r>
    </w:p>
    <w:p w:rsidR="003F2560" w:rsidRPr="00AB3F50" w:rsidRDefault="003F2560" w:rsidP="00053022">
      <w:pPr>
        <w:spacing w:after="12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 xml:space="preserve">Examinând Raportul de audit, Curtea de Conturi </w:t>
      </w:r>
    </w:p>
    <w:p w:rsidR="003F2560" w:rsidRPr="00C45B3D" w:rsidRDefault="003F2560" w:rsidP="00053022">
      <w:pPr>
        <w:tabs>
          <w:tab w:val="left" w:pos="5310"/>
        </w:tabs>
        <w:spacing w:after="120" w:line="276" w:lineRule="auto"/>
        <w:jc w:val="center"/>
        <w:rPr>
          <w:rFonts w:asciiTheme="majorHAnsi" w:eastAsia="Times New Roman" w:hAnsiTheme="majorHAnsi" w:cstheme="majorHAnsi"/>
          <w:b/>
          <w:bCs/>
          <w:sz w:val="24"/>
          <w:szCs w:val="24"/>
          <w:lang w:val="ro-MD"/>
        </w:rPr>
      </w:pPr>
      <w:r w:rsidRPr="00C45B3D">
        <w:rPr>
          <w:rFonts w:asciiTheme="majorHAnsi" w:eastAsia="Times New Roman" w:hAnsiTheme="majorHAnsi" w:cstheme="majorHAnsi"/>
          <w:b/>
          <w:bCs/>
          <w:sz w:val="24"/>
          <w:szCs w:val="24"/>
          <w:lang w:val="ro-MD"/>
        </w:rPr>
        <w:t>A CONSTATAT:</w:t>
      </w:r>
    </w:p>
    <w:p w:rsidR="005F5E1B" w:rsidRPr="001129D4" w:rsidRDefault="004072E2" w:rsidP="00053022">
      <w:pPr>
        <w:pStyle w:val="a4"/>
        <w:spacing w:line="276" w:lineRule="auto"/>
        <w:ind w:firstLine="720"/>
        <w:rPr>
          <w:rFonts w:asciiTheme="majorHAnsi" w:hAnsiTheme="majorHAnsi" w:cstheme="majorHAnsi"/>
          <w:lang w:val="ro-MD"/>
        </w:rPr>
      </w:pPr>
      <w:r>
        <w:rPr>
          <w:rFonts w:asciiTheme="majorHAnsi" w:hAnsiTheme="majorHAnsi" w:cstheme="majorHAnsi"/>
          <w:lang w:val="ro-MD"/>
        </w:rPr>
        <w:t>Min</w:t>
      </w:r>
      <w:r w:rsidR="00B03B6F">
        <w:rPr>
          <w:rFonts w:asciiTheme="majorHAnsi" w:hAnsiTheme="majorHAnsi" w:cstheme="majorHAnsi"/>
          <w:lang w:val="ro-MD"/>
        </w:rPr>
        <w:t>isterul Finanțelor, în anul 2021</w:t>
      </w:r>
      <w:r>
        <w:rPr>
          <w:rFonts w:asciiTheme="majorHAnsi" w:hAnsiTheme="majorHAnsi" w:cstheme="majorHAnsi"/>
          <w:lang w:val="ro-MD"/>
        </w:rPr>
        <w:t xml:space="preserve">, a </w:t>
      </w:r>
      <w:r w:rsidRPr="00E35557">
        <w:rPr>
          <w:rFonts w:asciiTheme="majorHAnsi" w:hAnsiTheme="majorHAnsi" w:cstheme="majorHAnsi"/>
          <w:lang w:val="ro-MD"/>
        </w:rPr>
        <w:t>asigurat gestionarea</w:t>
      </w:r>
      <w:r>
        <w:rPr>
          <w:rFonts w:asciiTheme="majorHAnsi" w:hAnsiTheme="majorHAnsi" w:cstheme="majorHAnsi"/>
          <w:lang w:val="ro-MD"/>
        </w:rPr>
        <w:t xml:space="preserve"> datoriei de stat, garanțiilor de stat și recreditării de stat în conformitate cu cadrul legal </w:t>
      </w:r>
      <w:r w:rsidR="00982281">
        <w:rPr>
          <w:rFonts w:asciiTheme="majorHAnsi" w:hAnsiTheme="majorHAnsi" w:cstheme="majorHAnsi"/>
          <w:lang w:val="ro-MD"/>
        </w:rPr>
        <w:t>de</w:t>
      </w:r>
      <w:r>
        <w:rPr>
          <w:rFonts w:asciiTheme="majorHAnsi" w:hAnsiTheme="majorHAnsi" w:cstheme="majorHAnsi"/>
          <w:lang w:val="ro-MD"/>
        </w:rPr>
        <w:t xml:space="preserve"> reglement</w:t>
      </w:r>
      <w:r w:rsidR="00982281">
        <w:rPr>
          <w:rFonts w:asciiTheme="majorHAnsi" w:hAnsiTheme="majorHAnsi" w:cstheme="majorHAnsi"/>
          <w:lang w:val="ro-MD"/>
        </w:rPr>
        <w:t>are a</w:t>
      </w:r>
      <w:r>
        <w:rPr>
          <w:rFonts w:asciiTheme="majorHAnsi" w:hAnsiTheme="majorHAnsi" w:cstheme="majorHAnsi"/>
          <w:lang w:val="ro-MD"/>
        </w:rPr>
        <w:t xml:space="preserve"> domeniul</w:t>
      </w:r>
      <w:r w:rsidR="00982281">
        <w:rPr>
          <w:rFonts w:asciiTheme="majorHAnsi" w:hAnsiTheme="majorHAnsi" w:cstheme="majorHAnsi"/>
          <w:lang w:val="ro-MD"/>
        </w:rPr>
        <w:t>ui</w:t>
      </w:r>
      <w:r>
        <w:rPr>
          <w:rFonts w:asciiTheme="majorHAnsi" w:hAnsiTheme="majorHAnsi" w:cstheme="majorHAnsi"/>
          <w:lang w:val="ro-MD"/>
        </w:rPr>
        <w:t xml:space="preserve">, fiind respectate </w:t>
      </w:r>
      <w:r w:rsidR="00663B5F">
        <w:rPr>
          <w:rFonts w:asciiTheme="majorHAnsi" w:hAnsiTheme="majorHAnsi" w:cstheme="majorHAnsi"/>
          <w:lang w:val="ro-MD"/>
        </w:rPr>
        <w:t>plafoanele</w:t>
      </w:r>
      <w:r>
        <w:rPr>
          <w:rFonts w:asciiTheme="majorHAnsi" w:hAnsiTheme="majorHAnsi" w:cstheme="majorHAnsi"/>
          <w:lang w:val="ro-MD"/>
        </w:rPr>
        <w:t xml:space="preserve"> aprobate prin Legea bugetară anuală</w:t>
      </w:r>
      <w:r w:rsidR="00DC62B4">
        <w:rPr>
          <w:rFonts w:asciiTheme="majorHAnsi" w:hAnsiTheme="majorHAnsi" w:cstheme="majorHAnsi"/>
          <w:lang w:val="ro-MD"/>
        </w:rPr>
        <w:t>. Totodată</w:t>
      </w:r>
      <w:r w:rsidR="002E78C9">
        <w:rPr>
          <w:rFonts w:asciiTheme="majorHAnsi" w:hAnsiTheme="majorHAnsi" w:cstheme="majorHAnsi"/>
          <w:lang w:val="ro-MD"/>
        </w:rPr>
        <w:t>,</w:t>
      </w:r>
      <w:r w:rsidR="00DC62B4">
        <w:rPr>
          <w:rFonts w:asciiTheme="majorHAnsi" w:hAnsiTheme="majorHAnsi" w:cstheme="majorHAnsi"/>
          <w:lang w:val="ro-MD"/>
        </w:rPr>
        <w:t xml:space="preserve"> </w:t>
      </w:r>
      <w:r w:rsidR="001129D4">
        <w:rPr>
          <w:rFonts w:asciiTheme="majorHAnsi" w:hAnsiTheme="majorHAnsi" w:cstheme="majorHAnsi"/>
          <w:lang w:val="ro-MD"/>
        </w:rPr>
        <w:t xml:space="preserve">activitățile de control intern aferente </w:t>
      </w:r>
      <w:r w:rsidR="00DC62B4">
        <w:rPr>
          <w:rFonts w:asciiTheme="majorHAnsi" w:hAnsiTheme="majorHAnsi" w:cstheme="majorHAnsi"/>
          <w:lang w:val="ro-MD"/>
        </w:rPr>
        <w:t>managementul</w:t>
      </w:r>
      <w:r w:rsidR="00427693">
        <w:rPr>
          <w:rFonts w:asciiTheme="majorHAnsi" w:hAnsiTheme="majorHAnsi" w:cstheme="majorHAnsi"/>
          <w:lang w:val="ro-MD"/>
        </w:rPr>
        <w:t>ui</w:t>
      </w:r>
      <w:r w:rsidR="00DC62B4">
        <w:rPr>
          <w:rFonts w:asciiTheme="majorHAnsi" w:hAnsiTheme="majorHAnsi" w:cstheme="majorHAnsi"/>
          <w:lang w:val="ro-MD"/>
        </w:rPr>
        <w:t xml:space="preserve"> existent </w:t>
      </w:r>
      <w:r w:rsidR="001129D4">
        <w:rPr>
          <w:rFonts w:asciiTheme="majorHAnsi" w:hAnsiTheme="majorHAnsi" w:cstheme="majorHAnsi"/>
          <w:lang w:val="ro-MD"/>
        </w:rPr>
        <w:t>sunt parțial eficiente, context în care acesta necesită îmbunătățiri continue, în special pe domeniile la care a</w:t>
      </w:r>
      <w:r w:rsidR="00B03B6F">
        <w:rPr>
          <w:rFonts w:asciiTheme="majorHAnsi" w:hAnsiTheme="majorHAnsi" w:cstheme="majorHAnsi"/>
          <w:lang w:val="ro-MD"/>
        </w:rPr>
        <w:t>u</w:t>
      </w:r>
      <w:r w:rsidR="001129D4">
        <w:rPr>
          <w:rFonts w:asciiTheme="majorHAnsi" w:hAnsiTheme="majorHAnsi" w:cstheme="majorHAnsi"/>
          <w:lang w:val="ro-MD"/>
        </w:rPr>
        <w:t xml:space="preserve"> </w:t>
      </w:r>
      <w:r w:rsidR="00BD4D62">
        <w:rPr>
          <w:rFonts w:asciiTheme="majorHAnsi" w:hAnsiTheme="majorHAnsi" w:cstheme="majorHAnsi"/>
          <w:lang w:val="ro-MD"/>
        </w:rPr>
        <w:t xml:space="preserve">fost </w:t>
      </w:r>
      <w:r w:rsidR="001129D4">
        <w:rPr>
          <w:rFonts w:asciiTheme="majorHAnsi" w:hAnsiTheme="majorHAnsi" w:cstheme="majorHAnsi"/>
          <w:lang w:val="ro-MD"/>
        </w:rPr>
        <w:t>identificat</w:t>
      </w:r>
      <w:r w:rsidR="00B03B6F">
        <w:rPr>
          <w:rFonts w:asciiTheme="majorHAnsi" w:hAnsiTheme="majorHAnsi" w:cstheme="majorHAnsi"/>
          <w:lang w:val="ro-MD"/>
        </w:rPr>
        <w:t>e</w:t>
      </w:r>
      <w:r w:rsidR="001129D4">
        <w:rPr>
          <w:rFonts w:asciiTheme="majorHAnsi" w:hAnsiTheme="majorHAnsi" w:cstheme="majorHAnsi"/>
          <w:lang w:val="ro-MD"/>
        </w:rPr>
        <w:t xml:space="preserve"> problematici, </w:t>
      </w:r>
      <w:r w:rsidR="00B03B6F">
        <w:rPr>
          <w:rFonts w:asciiTheme="majorHAnsi" w:hAnsiTheme="majorHAnsi" w:cstheme="majorHAnsi"/>
          <w:lang w:val="ro-MD"/>
        </w:rPr>
        <w:t>precum</w:t>
      </w:r>
      <w:r w:rsidR="001129D4">
        <w:rPr>
          <w:rFonts w:asciiTheme="majorHAnsi" w:hAnsiTheme="majorHAnsi" w:cstheme="majorHAnsi"/>
          <w:lang w:val="ro-MD"/>
        </w:rPr>
        <w:t>: creșterea în continuare a</w:t>
      </w:r>
      <w:r w:rsidR="00F95942">
        <w:rPr>
          <w:rFonts w:asciiTheme="majorHAnsi" w:hAnsiTheme="majorHAnsi" w:cstheme="majorHAnsi"/>
          <w:lang w:val="ro-MD"/>
        </w:rPr>
        <w:t xml:space="preserve"> soldurilor datoriei debitorilor garantați pentru împrumuturile interne și </w:t>
      </w:r>
      <w:r w:rsidR="00F95942">
        <w:rPr>
          <w:rFonts w:asciiTheme="majorHAnsi" w:hAnsiTheme="majorHAnsi" w:cstheme="majorHAnsi"/>
          <w:lang w:val="ro-MD"/>
        </w:rPr>
        <w:lastRenderedPageBreak/>
        <w:t>externe și a beneficiarilor recreditați</w:t>
      </w:r>
      <w:r w:rsidR="00F318B4">
        <w:rPr>
          <w:rFonts w:asciiTheme="majorHAnsi" w:hAnsiTheme="majorHAnsi" w:cstheme="majorHAnsi"/>
          <w:lang w:val="ro-MD"/>
        </w:rPr>
        <w:t xml:space="preserve">, </w:t>
      </w:r>
      <w:r w:rsidR="001129D4">
        <w:rPr>
          <w:rFonts w:asciiTheme="majorHAnsi" w:hAnsiTheme="majorHAnsi" w:cstheme="majorHAnsi"/>
          <w:lang w:val="ro-MD"/>
        </w:rPr>
        <w:t>inclusiv a celor cu t</w:t>
      </w:r>
      <w:r w:rsidR="00F318B4">
        <w:rPr>
          <w:rFonts w:asciiTheme="majorHAnsi" w:hAnsiTheme="majorHAnsi" w:cstheme="majorHAnsi"/>
          <w:lang w:val="ro-MD"/>
        </w:rPr>
        <w:t>ermenul de achitare expirat</w:t>
      </w:r>
      <w:r w:rsidR="00F95942">
        <w:rPr>
          <w:rFonts w:asciiTheme="majorHAnsi" w:hAnsiTheme="majorHAnsi" w:cstheme="majorHAnsi"/>
          <w:lang w:val="ro-MD"/>
        </w:rPr>
        <w:t>; imposibilitatea rambursării de către unii agenți economici a mijloacelor recreditate</w:t>
      </w:r>
      <w:r w:rsidR="006704A8">
        <w:rPr>
          <w:rFonts w:asciiTheme="majorHAnsi" w:hAnsiTheme="majorHAnsi" w:cstheme="majorHAnsi"/>
          <w:lang w:val="ro-MD"/>
        </w:rPr>
        <w:t>,</w:t>
      </w:r>
      <w:r w:rsidR="00F95942">
        <w:rPr>
          <w:rFonts w:asciiTheme="majorHAnsi" w:hAnsiTheme="majorHAnsi" w:cstheme="majorHAnsi"/>
          <w:lang w:val="ro-MD"/>
        </w:rPr>
        <w:t xml:space="preserve"> care </w:t>
      </w:r>
      <w:r w:rsidR="00BD4D62">
        <w:rPr>
          <w:rFonts w:asciiTheme="majorHAnsi" w:hAnsiTheme="majorHAnsi" w:cstheme="majorHAnsi"/>
          <w:lang w:val="ro-MD"/>
        </w:rPr>
        <w:t xml:space="preserve">anual </w:t>
      </w:r>
      <w:r w:rsidR="00F95942">
        <w:rPr>
          <w:rFonts w:asciiTheme="majorHAnsi" w:hAnsiTheme="majorHAnsi" w:cstheme="majorHAnsi"/>
          <w:lang w:val="ro-MD"/>
        </w:rPr>
        <w:t xml:space="preserve">condiționează anulări ale acestor datorii și suportarea unor cheltuieli neprevăzute din contul bugetului de stat pentru onorarea obligațiunilor de stat; proiectele recreditate prin intermediul Ministerului Finanțelor înregistrează </w:t>
      </w:r>
      <w:r w:rsidR="00A329BA">
        <w:rPr>
          <w:rFonts w:asciiTheme="majorHAnsi" w:hAnsiTheme="majorHAnsi" w:cstheme="majorHAnsi"/>
          <w:lang w:val="ro-MD"/>
        </w:rPr>
        <w:t xml:space="preserve">în continuare </w:t>
      </w:r>
      <w:r w:rsidR="00F95942">
        <w:rPr>
          <w:rFonts w:asciiTheme="majorHAnsi" w:hAnsiTheme="majorHAnsi" w:cstheme="majorHAnsi"/>
          <w:lang w:val="ro-MD"/>
        </w:rPr>
        <w:t>nivel</w:t>
      </w:r>
      <w:r w:rsidR="00A329BA">
        <w:rPr>
          <w:rFonts w:asciiTheme="majorHAnsi" w:hAnsiTheme="majorHAnsi" w:cstheme="majorHAnsi"/>
          <w:lang w:val="ro-MD"/>
        </w:rPr>
        <w:t>ul cel mai</w:t>
      </w:r>
      <w:r w:rsidR="00F95942">
        <w:rPr>
          <w:rFonts w:asciiTheme="majorHAnsi" w:hAnsiTheme="majorHAnsi" w:cstheme="majorHAnsi"/>
          <w:lang w:val="ro-MD"/>
        </w:rPr>
        <w:t xml:space="preserve"> redus al ratei de recuperare a resurselor financiare</w:t>
      </w:r>
      <w:r w:rsidR="00876091" w:rsidRPr="002762DF">
        <w:rPr>
          <w:rFonts w:asciiTheme="majorHAnsi" w:hAnsiTheme="majorHAnsi" w:cstheme="majorHAnsi"/>
          <w:lang w:val="ro-MD"/>
        </w:rPr>
        <w:t xml:space="preserve">; </w:t>
      </w:r>
      <w:r w:rsidR="00B03B6F">
        <w:rPr>
          <w:rFonts w:asciiTheme="majorHAnsi" w:hAnsiTheme="majorHAnsi" w:cstheme="majorHAnsi"/>
          <w:lang w:val="ro-MD" w:eastAsia="ru-RU"/>
        </w:rPr>
        <w:t xml:space="preserve">valorificarea surselor externe pentru implementarea </w:t>
      </w:r>
      <w:r w:rsidR="002762DF" w:rsidRPr="002762DF">
        <w:rPr>
          <w:rFonts w:asciiTheme="majorHAnsi" w:hAnsiTheme="majorHAnsi" w:cstheme="majorHAnsi"/>
          <w:lang w:val="ro-MD" w:eastAsia="ru-RU"/>
        </w:rPr>
        <w:t>proiectelor co</w:t>
      </w:r>
      <w:r w:rsidR="002762DF">
        <w:rPr>
          <w:rFonts w:asciiTheme="majorHAnsi" w:hAnsiTheme="majorHAnsi" w:cstheme="majorHAnsi"/>
          <w:lang w:val="ro-MD" w:eastAsia="ru-RU"/>
        </w:rPr>
        <w:t>ntinuă să răm</w:t>
      </w:r>
      <w:r w:rsidR="00982281">
        <w:rPr>
          <w:rFonts w:asciiTheme="majorHAnsi" w:hAnsiTheme="majorHAnsi" w:cstheme="majorHAnsi"/>
          <w:lang w:val="ro-MD" w:eastAsia="ru-RU"/>
        </w:rPr>
        <w:t>â</w:t>
      </w:r>
      <w:r w:rsidR="002762DF">
        <w:rPr>
          <w:rFonts w:asciiTheme="majorHAnsi" w:hAnsiTheme="majorHAnsi" w:cstheme="majorHAnsi"/>
          <w:lang w:val="ro-MD" w:eastAsia="ru-RU"/>
        </w:rPr>
        <w:t>nă la nivel redus;</w:t>
      </w:r>
      <w:r w:rsidR="002762DF" w:rsidRPr="002762DF">
        <w:rPr>
          <w:rFonts w:asciiTheme="majorHAnsi" w:hAnsiTheme="majorHAnsi" w:cstheme="majorHAnsi"/>
          <w:lang w:val="ro-MD" w:eastAsia="ru-RU"/>
        </w:rPr>
        <w:t xml:space="preserve"> </w:t>
      </w:r>
      <w:r w:rsidR="002762DF" w:rsidRPr="00CC3E1D">
        <w:rPr>
          <w:rFonts w:ascii="Calibri Light" w:eastAsia="Calibri" w:hAnsi="Calibri Light" w:cs="Calibri Light"/>
          <w:lang w:val="ro-MD"/>
        </w:rPr>
        <w:t>debursarea împrumuturi</w:t>
      </w:r>
      <w:r w:rsidR="002762DF">
        <w:rPr>
          <w:rFonts w:ascii="Calibri Light" w:eastAsia="Calibri" w:hAnsi="Calibri Light" w:cs="Calibri Light"/>
          <w:lang w:val="ro-MD"/>
        </w:rPr>
        <w:t>lor</w:t>
      </w:r>
      <w:r w:rsidR="002762DF" w:rsidRPr="00CC3E1D">
        <w:rPr>
          <w:rFonts w:ascii="Calibri Light" w:eastAsia="Calibri" w:hAnsi="Calibri Light" w:cs="Calibri Light"/>
          <w:lang w:val="ro-MD"/>
        </w:rPr>
        <w:t xml:space="preserve"> are loc cu întârziere </w:t>
      </w:r>
      <w:r w:rsidR="00982281" w:rsidRPr="002762DF">
        <w:rPr>
          <w:rFonts w:asciiTheme="majorHAnsi" w:hAnsiTheme="majorHAnsi" w:cstheme="majorHAnsi"/>
          <w:lang w:val="ro-MD" w:eastAsia="ru-RU"/>
        </w:rPr>
        <w:t>în unele cazuri</w:t>
      </w:r>
      <w:r w:rsidR="00982281">
        <w:rPr>
          <w:rFonts w:asciiTheme="majorHAnsi" w:hAnsiTheme="majorHAnsi" w:cstheme="majorHAnsi"/>
          <w:lang w:val="ro-MD" w:eastAsia="ru-RU"/>
        </w:rPr>
        <w:t xml:space="preserve">, </w:t>
      </w:r>
      <w:r w:rsidR="002762DF" w:rsidRPr="00CC3E1D">
        <w:rPr>
          <w:rFonts w:ascii="Calibri Light" w:eastAsia="Calibri" w:hAnsi="Calibri Light" w:cs="Calibri Light"/>
          <w:lang w:val="ro-MD"/>
        </w:rPr>
        <w:t>iar achitarea comisioanelor prevăzute în acordurile de împrumut se efectuează din suma contractată și/sau nedebursată a împrumutului, ca rezultat fiind generate c</w:t>
      </w:r>
      <w:r w:rsidR="002762DF">
        <w:rPr>
          <w:rFonts w:ascii="Calibri Light" w:eastAsia="Calibri" w:hAnsi="Calibri Light" w:cs="Calibri Light"/>
          <w:lang w:val="ro-MD"/>
        </w:rPr>
        <w:t>heltuieli suplimentare la bugetul de stat</w:t>
      </w:r>
      <w:r w:rsidR="00AB362E">
        <w:rPr>
          <w:rFonts w:ascii="Calibri Light" w:eastAsia="Calibri" w:hAnsi="Calibri Light" w:cs="Calibri Light"/>
          <w:lang w:val="ro-MD"/>
        </w:rPr>
        <w:t xml:space="preserve">, </w:t>
      </w:r>
      <w:r w:rsidR="00AB362E" w:rsidRPr="0011103E">
        <w:rPr>
          <w:rFonts w:ascii="Calibri Light" w:eastAsia="Calibri" w:hAnsi="Calibri Light" w:cs="Calibri Light"/>
          <w:lang w:val="ro-MD"/>
        </w:rPr>
        <w:t>m</w:t>
      </w:r>
      <w:r w:rsidR="00CF3C12" w:rsidRPr="0011103E">
        <w:rPr>
          <w:rFonts w:ascii="Calibri Light" w:eastAsia="Calibri" w:hAnsi="Calibri Light" w:cs="Calibri Light"/>
          <w:lang w:val="ro-MD"/>
        </w:rPr>
        <w:t xml:space="preserve">ajorând </w:t>
      </w:r>
      <w:r w:rsidR="00AB362E" w:rsidRPr="0011103E">
        <w:rPr>
          <w:rFonts w:ascii="Calibri Light" w:eastAsia="Calibri" w:hAnsi="Calibri Light" w:cs="Calibri Light"/>
          <w:lang w:val="ro-MD"/>
        </w:rPr>
        <w:t>povara asupra acestuia.</w:t>
      </w:r>
      <w:r w:rsidR="00220666">
        <w:rPr>
          <w:rFonts w:asciiTheme="majorHAnsi" w:hAnsiTheme="majorHAnsi" w:cstheme="majorHAnsi"/>
          <w:lang w:val="ro-MD"/>
        </w:rPr>
        <w:t xml:space="preserve"> </w:t>
      </w:r>
      <w:r w:rsidR="00B03B6F">
        <w:rPr>
          <w:rFonts w:asciiTheme="majorHAnsi" w:hAnsiTheme="majorHAnsi" w:cstheme="majorHAnsi"/>
          <w:lang w:val="ro-MD"/>
        </w:rPr>
        <w:t>Concomitent</w:t>
      </w:r>
      <w:r w:rsidR="00BD4D62">
        <w:rPr>
          <w:rFonts w:asciiTheme="majorHAnsi" w:hAnsiTheme="majorHAnsi" w:cstheme="majorHAnsi"/>
          <w:lang w:val="ro-MD"/>
        </w:rPr>
        <w:t>,</w:t>
      </w:r>
      <w:r w:rsidR="00B03B6F">
        <w:rPr>
          <w:rFonts w:asciiTheme="majorHAnsi" w:hAnsiTheme="majorHAnsi" w:cstheme="majorHAnsi"/>
          <w:lang w:val="ro-MD"/>
        </w:rPr>
        <w:t xml:space="preserve"> auditul public extern menționează despre necesitatea completării cadrului legal cu prevederi aferente înregistrării împrumuturilor externe în situațiile </w:t>
      </w:r>
      <w:r w:rsidR="006704A8">
        <w:rPr>
          <w:rFonts w:asciiTheme="majorHAnsi" w:hAnsiTheme="majorHAnsi" w:cstheme="majorHAnsi"/>
          <w:lang w:val="ro-MD"/>
        </w:rPr>
        <w:t xml:space="preserve">în care </w:t>
      </w:r>
      <w:r w:rsidR="00B03B6F">
        <w:rPr>
          <w:rFonts w:asciiTheme="majorHAnsi" w:hAnsiTheme="majorHAnsi" w:cstheme="majorHAnsi"/>
          <w:lang w:val="ro-MD"/>
        </w:rPr>
        <w:t xml:space="preserve">debursarea și ratificarea acestora au loc în perioade de raportare diferită. </w:t>
      </w:r>
    </w:p>
    <w:p w:rsidR="003F2560" w:rsidRPr="00FF1014" w:rsidRDefault="003F2560" w:rsidP="00053022">
      <w:pPr>
        <w:pStyle w:val="a4"/>
        <w:spacing w:after="120" w:line="276" w:lineRule="auto"/>
        <w:ind w:firstLine="720"/>
        <w:rPr>
          <w:rFonts w:asciiTheme="majorHAnsi" w:hAnsiTheme="majorHAnsi" w:cstheme="majorHAnsi"/>
          <w:lang w:val="ro-RO"/>
        </w:rPr>
      </w:pPr>
      <w:r w:rsidRPr="00AB3F50">
        <w:rPr>
          <w:rFonts w:asciiTheme="majorHAnsi" w:hAnsiTheme="majorHAnsi" w:cstheme="majorHAnsi"/>
          <w:lang w:val="ro-MD"/>
        </w:rPr>
        <w:t>Reieșind din cele expuse, în temeiul art.14 alin.(2), art.15 lit. d) și art.37 alin.(2) din Legea   nr.260 din 07.12.2017, Curtea de Conturi</w:t>
      </w:r>
    </w:p>
    <w:p w:rsidR="003F2560" w:rsidRDefault="003F2560" w:rsidP="00053022">
      <w:pPr>
        <w:pStyle w:val="cp"/>
        <w:spacing w:after="120" w:line="276" w:lineRule="auto"/>
        <w:rPr>
          <w:rFonts w:asciiTheme="majorHAnsi" w:hAnsiTheme="majorHAnsi" w:cstheme="majorHAnsi"/>
          <w:lang w:val="ro-RO"/>
        </w:rPr>
      </w:pPr>
      <w:r w:rsidRPr="00C45B3D">
        <w:rPr>
          <w:rFonts w:asciiTheme="majorHAnsi" w:hAnsiTheme="majorHAnsi" w:cstheme="majorHAnsi"/>
          <w:lang w:val="ro-MD"/>
        </w:rPr>
        <w:t>HOTĂRĂŞTE:</w:t>
      </w:r>
      <w:r>
        <w:rPr>
          <w:rFonts w:asciiTheme="majorHAnsi" w:hAnsiTheme="majorHAnsi" w:cstheme="majorHAnsi"/>
          <w:lang w:val="ro-MD"/>
        </w:rPr>
        <w:tab/>
      </w:r>
    </w:p>
    <w:p w:rsidR="00CC3867" w:rsidRPr="00EA05B4" w:rsidRDefault="00CC3867" w:rsidP="00053022">
      <w:pPr>
        <w:pStyle w:val="a4"/>
        <w:spacing w:after="120" w:line="276" w:lineRule="auto"/>
        <w:rPr>
          <w:rFonts w:asciiTheme="majorHAnsi" w:hAnsiTheme="majorHAnsi"/>
          <w:lang w:val="ro-MD"/>
        </w:rPr>
      </w:pPr>
      <w:r w:rsidRPr="003075EE">
        <w:rPr>
          <w:rFonts w:asciiTheme="majorHAnsi" w:hAnsiTheme="majorHAnsi"/>
          <w:b/>
          <w:bCs/>
          <w:lang w:val="ro-MD"/>
        </w:rPr>
        <w:t>1.</w:t>
      </w:r>
      <w:r w:rsidRPr="003075EE">
        <w:rPr>
          <w:rFonts w:asciiTheme="majorHAnsi" w:hAnsiTheme="majorHAnsi"/>
          <w:lang w:val="ro-MD"/>
        </w:rPr>
        <w:t xml:space="preserve"> </w:t>
      </w:r>
      <w:r w:rsidRPr="00755D18">
        <w:rPr>
          <w:rFonts w:asciiTheme="majorHAnsi" w:eastAsiaTheme="minorHAnsi" w:hAnsiTheme="majorHAnsi" w:cstheme="minorBidi"/>
          <w:bCs/>
          <w:lang w:val="ro-MD"/>
        </w:rPr>
        <w:t>Se</w:t>
      </w:r>
      <w:r w:rsidRPr="003075EE">
        <w:rPr>
          <w:rFonts w:asciiTheme="majorHAnsi" w:hAnsiTheme="majorHAnsi"/>
          <w:lang w:val="ro-MD"/>
        </w:rPr>
        <w:t xml:space="preserve"> aprobă Raportul</w:t>
      </w:r>
      <w:r w:rsidRPr="00EA05B4">
        <w:rPr>
          <w:rFonts w:asciiTheme="majorHAnsi" w:hAnsiTheme="majorHAnsi"/>
          <w:lang w:val="ro-MD"/>
        </w:rPr>
        <w:t xml:space="preserve"> </w:t>
      </w:r>
      <w:r w:rsidR="005F5E1B" w:rsidRPr="005F5E1B">
        <w:rPr>
          <w:rFonts w:asciiTheme="majorHAnsi" w:hAnsiTheme="majorHAnsi"/>
          <w:lang w:val="ro-MD"/>
        </w:rPr>
        <w:t xml:space="preserve">auditului conformității </w:t>
      </w:r>
      <w:r w:rsidR="000E733E">
        <w:rPr>
          <w:rFonts w:asciiTheme="majorHAnsi" w:hAnsiTheme="majorHAnsi"/>
          <w:lang w:val="ro-MD"/>
        </w:rPr>
        <w:t xml:space="preserve">asupra </w:t>
      </w:r>
      <w:r w:rsidR="005F5E1B" w:rsidRPr="005F5E1B">
        <w:rPr>
          <w:rFonts w:asciiTheme="majorHAnsi" w:hAnsiTheme="majorHAnsi"/>
          <w:lang w:val="ro-MD"/>
        </w:rPr>
        <w:t>managementului datoriei de stat, garanțiilor de stat și r</w:t>
      </w:r>
      <w:r w:rsidR="00287995">
        <w:rPr>
          <w:rFonts w:asciiTheme="majorHAnsi" w:hAnsiTheme="majorHAnsi"/>
          <w:lang w:val="ro-MD"/>
        </w:rPr>
        <w:t>ecreditării de stat în anul 2021</w:t>
      </w:r>
      <w:r w:rsidRPr="00EA05B4">
        <w:rPr>
          <w:rFonts w:asciiTheme="majorHAnsi" w:hAnsiTheme="majorHAnsi"/>
          <w:lang w:val="ro-MD"/>
        </w:rPr>
        <w:t>, anexat la prezenta Hotărâre.</w:t>
      </w:r>
    </w:p>
    <w:p w:rsidR="00CC3867" w:rsidRDefault="00CC3867" w:rsidP="00053022">
      <w:pPr>
        <w:pStyle w:val="a4"/>
        <w:spacing w:after="120" w:line="276" w:lineRule="auto"/>
        <w:rPr>
          <w:rFonts w:asciiTheme="majorHAnsi" w:hAnsiTheme="majorHAnsi"/>
          <w:lang w:val="ro-MD"/>
        </w:rPr>
      </w:pPr>
      <w:r w:rsidRPr="00755D18">
        <w:rPr>
          <w:rFonts w:asciiTheme="majorHAnsi" w:hAnsiTheme="majorHAnsi"/>
          <w:b/>
          <w:bCs/>
          <w:lang w:val="ro-MD"/>
        </w:rPr>
        <w:t>2.</w:t>
      </w:r>
      <w:r w:rsidRPr="00755D18">
        <w:rPr>
          <w:rFonts w:asciiTheme="majorHAnsi" w:hAnsiTheme="majorHAnsi"/>
          <w:lang w:val="ro-MD"/>
        </w:rPr>
        <w:t xml:space="preserve"> </w:t>
      </w:r>
      <w:r w:rsidRPr="00755D18">
        <w:rPr>
          <w:rFonts w:asciiTheme="majorHAnsi" w:eastAsiaTheme="minorHAnsi" w:hAnsiTheme="majorHAnsi" w:cstheme="minorBidi"/>
          <w:bCs/>
          <w:lang w:val="ro-MD"/>
        </w:rPr>
        <w:t>Prezenta</w:t>
      </w:r>
      <w:r w:rsidRPr="00755D18">
        <w:rPr>
          <w:rFonts w:asciiTheme="majorHAnsi" w:hAnsiTheme="majorHAnsi"/>
          <w:lang w:val="ro-MD"/>
        </w:rPr>
        <w:t xml:space="preserve"> Hotărâre și Raportul de audit se remit:</w:t>
      </w:r>
    </w:p>
    <w:p w:rsidR="00B03B6F" w:rsidRPr="001E2E36" w:rsidRDefault="00B03B6F" w:rsidP="00053022">
      <w:pPr>
        <w:spacing w:after="0" w:line="276" w:lineRule="auto"/>
        <w:ind w:firstLine="540"/>
        <w:jc w:val="both"/>
        <w:rPr>
          <w:rFonts w:asciiTheme="majorHAnsi" w:eastAsiaTheme="minorEastAsia" w:hAnsiTheme="majorHAnsi" w:cstheme="majorHAnsi"/>
          <w:sz w:val="24"/>
          <w:szCs w:val="24"/>
          <w:lang w:val="ro-RO" w:eastAsia="ru-RU"/>
        </w:rPr>
      </w:pPr>
      <w:r>
        <w:rPr>
          <w:rFonts w:asciiTheme="majorHAnsi" w:hAnsiTheme="majorHAnsi" w:cstheme="majorHAnsi"/>
          <w:b/>
          <w:sz w:val="24"/>
          <w:szCs w:val="24"/>
          <w:lang w:val="ro-MD"/>
        </w:rPr>
        <w:t>2.1</w:t>
      </w:r>
      <w:r w:rsidRPr="00AA6E21">
        <w:rPr>
          <w:rFonts w:asciiTheme="majorHAnsi" w:hAnsiTheme="majorHAnsi" w:cstheme="majorHAnsi"/>
          <w:b/>
          <w:sz w:val="24"/>
          <w:szCs w:val="24"/>
          <w:lang w:val="ro-MD"/>
        </w:rPr>
        <w:t>. Parlamentului Republicii Moldova</w:t>
      </w:r>
      <w:r w:rsidRPr="00AA6E21">
        <w:rPr>
          <w:rFonts w:asciiTheme="majorHAnsi" w:hAnsiTheme="majorHAnsi" w:cstheme="majorHAnsi"/>
          <w:sz w:val="24"/>
          <w:szCs w:val="24"/>
          <w:lang w:val="ro-MD"/>
        </w:rPr>
        <w:t>,</w:t>
      </w:r>
      <w:r w:rsidRPr="00AA6E21">
        <w:rPr>
          <w:rFonts w:eastAsia="Times New Roman"/>
          <w:sz w:val="24"/>
          <w:szCs w:val="24"/>
          <w:lang w:val="ro-MD" w:eastAsia="ru-RU"/>
        </w:rPr>
        <w:t xml:space="preserve"> </w:t>
      </w:r>
      <w:r w:rsidRPr="00AA6E21">
        <w:rPr>
          <w:rFonts w:asciiTheme="majorHAnsi" w:hAnsiTheme="majorHAnsi" w:cstheme="majorHAnsi"/>
          <w:sz w:val="24"/>
          <w:szCs w:val="24"/>
          <w:lang w:val="ro-MD"/>
        </w:rPr>
        <w:t>pentru informare și examinare, după caz, în cadrul Comisiei parlamentare de control al finanțelor publice</w:t>
      </w:r>
      <w:r w:rsidRPr="00D778C7">
        <w:rPr>
          <w:rFonts w:asciiTheme="majorHAnsi" w:hAnsiTheme="majorHAnsi"/>
          <w:bCs/>
          <w:lang w:val="ro-MD"/>
        </w:rPr>
        <w:t>;</w:t>
      </w:r>
    </w:p>
    <w:p w:rsidR="00B03B6F" w:rsidRPr="00B03B6F" w:rsidRDefault="00B03B6F" w:rsidP="00053022">
      <w:pPr>
        <w:spacing w:line="276" w:lineRule="auto"/>
        <w:ind w:left="360" w:firstLine="180"/>
        <w:contextualSpacing/>
        <w:jc w:val="both"/>
        <w:rPr>
          <w:rFonts w:asciiTheme="majorHAnsi" w:eastAsiaTheme="minorEastAsia" w:hAnsiTheme="majorHAnsi" w:cstheme="majorHAnsi"/>
          <w:sz w:val="24"/>
          <w:szCs w:val="24"/>
          <w:lang w:val="ro-MD"/>
        </w:rPr>
      </w:pPr>
      <w:r>
        <w:rPr>
          <w:rFonts w:asciiTheme="majorHAnsi" w:eastAsiaTheme="minorEastAsia" w:hAnsiTheme="majorHAnsi" w:cstheme="majorHAnsi"/>
          <w:b/>
          <w:sz w:val="24"/>
          <w:szCs w:val="24"/>
          <w:lang w:val="ro-MD"/>
        </w:rPr>
        <w:t>2.2</w:t>
      </w:r>
      <w:r w:rsidRPr="00AA6E21">
        <w:rPr>
          <w:rFonts w:asciiTheme="majorHAnsi" w:eastAsiaTheme="minorEastAsia" w:hAnsiTheme="majorHAnsi" w:cstheme="majorHAnsi"/>
          <w:b/>
          <w:sz w:val="24"/>
          <w:szCs w:val="24"/>
          <w:lang w:val="ro-MD"/>
        </w:rPr>
        <w:t>. Președintelui Republicii Moldova</w:t>
      </w:r>
      <w:r w:rsidRPr="00AA6E21">
        <w:rPr>
          <w:rFonts w:asciiTheme="majorHAnsi" w:eastAsiaTheme="minorEastAsia" w:hAnsiTheme="majorHAnsi" w:cstheme="majorHAnsi"/>
          <w:sz w:val="24"/>
          <w:szCs w:val="24"/>
          <w:lang w:val="ro-MD"/>
        </w:rPr>
        <w:t>, pentru informare;</w:t>
      </w:r>
    </w:p>
    <w:p w:rsidR="00B03B6F" w:rsidRDefault="00CC3867" w:rsidP="00053022">
      <w:pPr>
        <w:spacing w:after="0" w:line="276" w:lineRule="auto"/>
        <w:ind w:firstLine="540"/>
        <w:jc w:val="both"/>
        <w:rPr>
          <w:rFonts w:asciiTheme="majorHAnsi" w:hAnsiTheme="majorHAnsi" w:cstheme="majorHAnsi"/>
          <w:sz w:val="24"/>
          <w:szCs w:val="24"/>
          <w:lang w:val="ro-MD"/>
        </w:rPr>
      </w:pPr>
      <w:r w:rsidRPr="009830FF">
        <w:rPr>
          <w:rFonts w:asciiTheme="majorHAnsi" w:hAnsiTheme="majorHAnsi" w:cstheme="majorHAnsi"/>
          <w:b/>
          <w:sz w:val="24"/>
          <w:szCs w:val="24"/>
          <w:lang w:val="ro-MD"/>
        </w:rPr>
        <w:t>2</w:t>
      </w:r>
      <w:r w:rsidR="00B03B6F">
        <w:rPr>
          <w:rFonts w:asciiTheme="majorHAnsi" w:hAnsiTheme="majorHAnsi" w:cstheme="majorHAnsi"/>
          <w:b/>
          <w:sz w:val="24"/>
          <w:szCs w:val="24"/>
          <w:lang w:val="ro-MD"/>
        </w:rPr>
        <w:t>.3</w:t>
      </w:r>
      <w:r w:rsidRPr="009830FF">
        <w:rPr>
          <w:rFonts w:asciiTheme="majorHAnsi" w:hAnsiTheme="majorHAnsi" w:cstheme="majorHAnsi"/>
          <w:b/>
          <w:sz w:val="24"/>
          <w:szCs w:val="24"/>
          <w:lang w:val="ro-MD"/>
        </w:rPr>
        <w:t>.</w:t>
      </w:r>
      <w:r w:rsidRPr="00755D18">
        <w:rPr>
          <w:rFonts w:asciiTheme="majorHAnsi" w:hAnsiTheme="majorHAnsi"/>
          <w:lang w:val="ro-MD"/>
        </w:rPr>
        <w:t xml:space="preserve"> </w:t>
      </w:r>
      <w:r w:rsidR="00A712C9" w:rsidRPr="00AA6E21">
        <w:rPr>
          <w:rFonts w:asciiTheme="majorHAnsi" w:hAnsiTheme="majorHAnsi" w:cstheme="majorHAnsi"/>
          <w:b/>
          <w:sz w:val="24"/>
          <w:szCs w:val="24"/>
          <w:lang w:val="ro-MD"/>
        </w:rPr>
        <w:t>Guvernului Republicii Moldova</w:t>
      </w:r>
      <w:r w:rsidR="00A712C9" w:rsidRPr="00AA6E21">
        <w:rPr>
          <w:rFonts w:asciiTheme="majorHAnsi" w:hAnsiTheme="majorHAnsi" w:cstheme="majorHAnsi"/>
          <w:sz w:val="24"/>
          <w:szCs w:val="24"/>
          <w:lang w:val="ro-MD"/>
        </w:rPr>
        <w:t>, pentru informare</w:t>
      </w:r>
      <w:r w:rsidR="00B03B6F">
        <w:rPr>
          <w:rFonts w:asciiTheme="majorHAnsi" w:hAnsiTheme="majorHAnsi" w:cstheme="majorHAnsi"/>
          <w:sz w:val="24"/>
          <w:szCs w:val="24"/>
          <w:lang w:val="ro-MD"/>
        </w:rPr>
        <w:t>;</w:t>
      </w:r>
    </w:p>
    <w:p w:rsidR="00AA6E21" w:rsidRPr="00B03B6F" w:rsidRDefault="00AA6E21" w:rsidP="00053022">
      <w:pPr>
        <w:spacing w:line="276" w:lineRule="auto"/>
        <w:ind w:firstLine="540"/>
        <w:jc w:val="both"/>
        <w:rPr>
          <w:rFonts w:asciiTheme="majorHAnsi" w:eastAsiaTheme="minorEastAsia" w:hAnsiTheme="majorHAnsi" w:cstheme="majorHAnsi"/>
          <w:sz w:val="24"/>
          <w:szCs w:val="24"/>
          <w:lang w:val="ro-RO" w:eastAsia="ru-RU"/>
        </w:rPr>
      </w:pPr>
      <w:r w:rsidRPr="00B03B6F">
        <w:rPr>
          <w:rFonts w:asciiTheme="majorHAnsi" w:hAnsiTheme="majorHAnsi" w:cstheme="majorHAnsi"/>
          <w:b/>
          <w:sz w:val="24"/>
          <w:szCs w:val="24"/>
          <w:lang w:val="ro-MD"/>
        </w:rPr>
        <w:t>2.4.</w:t>
      </w:r>
      <w:r w:rsidR="00B335D6">
        <w:rPr>
          <w:rFonts w:asciiTheme="majorHAnsi" w:hAnsiTheme="majorHAnsi" w:cstheme="majorHAnsi"/>
          <w:b/>
          <w:sz w:val="24"/>
          <w:szCs w:val="24"/>
          <w:lang w:val="ro-MD"/>
        </w:rPr>
        <w:t xml:space="preserve"> </w:t>
      </w:r>
      <w:r w:rsidR="00A712C9" w:rsidRPr="00B03B6F">
        <w:rPr>
          <w:rFonts w:asciiTheme="majorHAnsi" w:hAnsiTheme="majorHAnsi"/>
          <w:b/>
          <w:bCs/>
          <w:sz w:val="24"/>
          <w:szCs w:val="24"/>
          <w:lang w:val="ro-MD"/>
        </w:rPr>
        <w:t>Ministerului Finanțelor</w:t>
      </w:r>
      <w:r w:rsidR="000E733E" w:rsidRPr="00B03B6F">
        <w:rPr>
          <w:rFonts w:asciiTheme="majorHAnsi" w:hAnsiTheme="majorHAnsi"/>
          <w:sz w:val="24"/>
          <w:szCs w:val="24"/>
          <w:lang w:val="ro-MD"/>
        </w:rPr>
        <w:t>,</w:t>
      </w:r>
      <w:r w:rsidR="00A712C9" w:rsidRPr="00B03B6F">
        <w:rPr>
          <w:rFonts w:asciiTheme="majorHAnsi" w:hAnsiTheme="majorHAnsi"/>
          <w:b/>
          <w:sz w:val="24"/>
          <w:szCs w:val="24"/>
          <w:lang w:val="ro-MD"/>
        </w:rPr>
        <w:t xml:space="preserve"> </w:t>
      </w:r>
      <w:r w:rsidR="00A712C9" w:rsidRPr="00B03B6F">
        <w:rPr>
          <w:rFonts w:asciiTheme="majorHAnsi" w:hAnsiTheme="majorHAnsi" w:cstheme="majorHAnsi"/>
          <w:sz w:val="24"/>
          <w:szCs w:val="24"/>
          <w:lang w:val="ro-RO"/>
        </w:rPr>
        <w:t>pentru luare de atitudine și asigurarea implementării recomandărilo</w:t>
      </w:r>
      <w:r w:rsidR="001D3874" w:rsidRPr="00B03B6F">
        <w:rPr>
          <w:rFonts w:asciiTheme="majorHAnsi" w:hAnsiTheme="majorHAnsi" w:cstheme="majorHAnsi"/>
          <w:sz w:val="24"/>
          <w:szCs w:val="24"/>
          <w:lang w:val="ro-RO"/>
        </w:rPr>
        <w:t>r cuprinse în Raportul de audit.</w:t>
      </w:r>
    </w:p>
    <w:p w:rsidR="00CC3867" w:rsidRDefault="00CC3867" w:rsidP="00053022">
      <w:pPr>
        <w:pStyle w:val="a4"/>
        <w:spacing w:after="160" w:line="276" w:lineRule="auto"/>
        <w:rPr>
          <w:rFonts w:asciiTheme="majorHAnsi" w:hAnsiTheme="majorHAnsi"/>
          <w:lang w:val="ro-MD"/>
        </w:rPr>
      </w:pPr>
      <w:r>
        <w:rPr>
          <w:rFonts w:asciiTheme="majorHAnsi" w:eastAsiaTheme="minorHAnsi" w:hAnsiTheme="majorHAnsi" w:cstheme="minorBidi"/>
          <w:b/>
          <w:bCs/>
          <w:lang w:val="ro-MD"/>
        </w:rPr>
        <w:t>3</w:t>
      </w:r>
      <w:r w:rsidR="00427693">
        <w:rPr>
          <w:rFonts w:asciiTheme="majorHAnsi" w:eastAsiaTheme="minorHAnsi" w:hAnsiTheme="majorHAnsi" w:cstheme="minorBidi"/>
          <w:bCs/>
          <w:lang w:val="ro-MD"/>
        </w:rPr>
        <w:t xml:space="preserve">. </w:t>
      </w:r>
      <w:r w:rsidR="00DC44DF" w:rsidRPr="00DC44DF">
        <w:rPr>
          <w:rFonts w:asciiTheme="majorHAnsi" w:hAnsiTheme="majorHAnsi"/>
          <w:lang w:val="ro-MD"/>
        </w:rPr>
        <w:t>Prin prezenta Hotărâre, se exclude din regim de monitorizare Hotărârea Curții de Conturi nr.31 din 28 iunie 2021 „Cu privire la Raportul auditului conformității asupra managementului datoriei de stat, garanțiilor de stat și recreditării de stat în anul 202</w:t>
      </w:r>
      <w:r w:rsidR="00FD7A35">
        <w:rPr>
          <w:rFonts w:asciiTheme="majorHAnsi" w:hAnsiTheme="majorHAnsi"/>
          <w:lang w:val="ro-MD"/>
        </w:rPr>
        <w:t>0”</w:t>
      </w:r>
      <w:r w:rsidR="00DC44DF" w:rsidRPr="00DC44DF">
        <w:rPr>
          <w:rFonts w:asciiTheme="majorHAnsi" w:hAnsiTheme="majorHAnsi"/>
          <w:lang w:val="ro-MD"/>
        </w:rPr>
        <w:t>, ca u</w:t>
      </w:r>
      <w:r w:rsidR="00FD7A35">
        <w:rPr>
          <w:rFonts w:asciiTheme="majorHAnsi" w:hAnsiTheme="majorHAnsi"/>
          <w:lang w:val="ro-MD"/>
        </w:rPr>
        <w:t xml:space="preserve">rmare a realizării la nivel de </w:t>
      </w:r>
      <w:r w:rsidR="00DC44DF" w:rsidRPr="00DC44DF">
        <w:rPr>
          <w:rFonts w:asciiTheme="majorHAnsi" w:hAnsiTheme="majorHAnsi"/>
          <w:lang w:val="ro-MD"/>
        </w:rPr>
        <w:t>50% a recomandărilor înaintate în cadrul misiunii de audit precedente și a reiterării celor implementate parțial.</w:t>
      </w:r>
    </w:p>
    <w:p w:rsidR="00CC3867" w:rsidRDefault="0076040B" w:rsidP="00053022">
      <w:pPr>
        <w:pStyle w:val="a4"/>
        <w:spacing w:after="120" w:line="276" w:lineRule="auto"/>
        <w:rPr>
          <w:rFonts w:asciiTheme="majorHAnsi" w:hAnsiTheme="majorHAnsi" w:cstheme="majorHAnsi"/>
          <w:lang w:val="ro-MD"/>
        </w:rPr>
      </w:pPr>
      <w:r>
        <w:rPr>
          <w:rFonts w:asciiTheme="majorHAnsi" w:hAnsiTheme="majorHAnsi"/>
          <w:b/>
          <w:bCs/>
          <w:lang w:val="ro-MD"/>
        </w:rPr>
        <w:t>4</w:t>
      </w:r>
      <w:r w:rsidR="00CC3867" w:rsidRPr="00755D18">
        <w:rPr>
          <w:rFonts w:asciiTheme="majorHAnsi" w:eastAsiaTheme="minorHAnsi" w:hAnsiTheme="majorHAnsi" w:cstheme="minorBidi"/>
          <w:bCs/>
          <w:lang w:val="ro-MD"/>
        </w:rPr>
        <w:t xml:space="preserve">. </w:t>
      </w:r>
      <w:r w:rsidR="00427693">
        <w:rPr>
          <w:rFonts w:asciiTheme="majorHAnsi" w:eastAsiaTheme="minorHAnsi" w:hAnsiTheme="majorHAnsi" w:cstheme="minorBidi"/>
          <w:bCs/>
          <w:lang w:val="ro-MD"/>
        </w:rPr>
        <w:t>P</w:t>
      </w:r>
      <w:r w:rsidR="00CC3867" w:rsidRPr="00755D18">
        <w:rPr>
          <w:rFonts w:asciiTheme="majorHAnsi" w:eastAsiaTheme="minorHAnsi" w:hAnsiTheme="majorHAnsi" w:cstheme="minorBidi"/>
          <w:bCs/>
          <w:lang w:val="ro-MD"/>
        </w:rPr>
        <w:t>rezenta</w:t>
      </w:r>
      <w:r w:rsidR="00CC3867" w:rsidRPr="00755D18">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r w:rsidR="00CC3867">
        <w:rPr>
          <w:rFonts w:asciiTheme="majorHAnsi" w:hAnsiTheme="majorHAnsi" w:cstheme="majorHAnsi"/>
          <w:lang w:val="ro-MD"/>
        </w:rPr>
        <w:t xml:space="preserve"> </w:t>
      </w:r>
    </w:p>
    <w:p w:rsidR="00CC3867" w:rsidRPr="009F76CA" w:rsidRDefault="0076040B" w:rsidP="00053022">
      <w:pPr>
        <w:pStyle w:val="a4"/>
        <w:spacing w:after="120" w:line="276" w:lineRule="auto"/>
        <w:rPr>
          <w:rFonts w:asciiTheme="majorHAnsi" w:hAnsiTheme="majorHAnsi" w:cstheme="majorHAnsi"/>
          <w:lang w:val="ro-MD"/>
        </w:rPr>
      </w:pPr>
      <w:r>
        <w:rPr>
          <w:rFonts w:asciiTheme="majorHAnsi" w:hAnsiTheme="majorHAnsi" w:cstheme="majorHAnsi"/>
          <w:b/>
          <w:lang w:val="ro-MD"/>
        </w:rPr>
        <w:t>5</w:t>
      </w:r>
      <w:r w:rsidR="00CC3867" w:rsidRPr="003D2BE5">
        <w:rPr>
          <w:rFonts w:asciiTheme="majorHAnsi" w:hAnsiTheme="majorHAnsi" w:cstheme="majorHAnsi"/>
          <w:b/>
          <w:lang w:val="ro-MD"/>
        </w:rPr>
        <w:t>.</w:t>
      </w:r>
      <w:r w:rsidR="00CC3867">
        <w:rPr>
          <w:rFonts w:asciiTheme="majorHAnsi" w:hAnsiTheme="majorHAnsi" w:cstheme="majorHAnsi"/>
          <w:lang w:val="ro-MD"/>
        </w:rPr>
        <w:t xml:space="preserve"> </w:t>
      </w:r>
      <w:r w:rsidR="00CC3867" w:rsidRPr="004D72E1">
        <w:rPr>
          <w:rFonts w:ascii="Calibri Light" w:hAnsi="Calibri Light" w:cs="Calibri Light"/>
          <w:noProof/>
          <w:lang w:val="ro-MD"/>
        </w:rPr>
        <w:t xml:space="preserve">Curtea de </w:t>
      </w:r>
      <w:r w:rsidR="00CC3867" w:rsidRPr="0067238D">
        <w:rPr>
          <w:rFonts w:ascii="Calibri Light" w:hAnsi="Calibri Light" w:cs="Calibri Light"/>
          <w:noProof/>
          <w:lang w:val="ro-MD"/>
        </w:rPr>
        <w:t xml:space="preserve">Conturi va fi informată, în termen de 6 luni din data </w:t>
      </w:r>
      <w:r w:rsidR="00CC3867" w:rsidRPr="0067238D">
        <w:rPr>
          <w:rFonts w:ascii="Calibri Light" w:hAnsi="Calibri Light" w:cs="Calibri Light"/>
          <w:noProof/>
          <w:lang w:val="ro-MD" w:eastAsia="ru-RU"/>
        </w:rPr>
        <w:t xml:space="preserve">publicării </w:t>
      </w:r>
      <w:r w:rsidR="00CC3867" w:rsidRPr="0067238D">
        <w:rPr>
          <w:rFonts w:ascii="Calibri Light" w:hAnsi="Calibri Light" w:cs="Calibri Light"/>
          <w:noProof/>
          <w:lang w:val="ro-MD"/>
        </w:rPr>
        <w:t>Hotărârii</w:t>
      </w:r>
      <w:r w:rsidR="00CC3867" w:rsidRPr="0067238D">
        <w:rPr>
          <w:rFonts w:ascii="Calibri Light" w:hAnsi="Calibri Light" w:cs="Calibri Light"/>
          <w:lang w:val="ro-MD"/>
        </w:rPr>
        <w:t xml:space="preserve"> în Monitorul Oficial al Republicii Moldova,</w:t>
      </w:r>
      <w:r w:rsidR="00CC3867" w:rsidRPr="0067238D">
        <w:rPr>
          <w:rFonts w:ascii="Calibri Light" w:hAnsi="Calibri Light" w:cs="Calibri Light"/>
          <w:noProof/>
          <w:lang w:val="ro-MD"/>
        </w:rPr>
        <w:t xml:space="preserve"> despre acțiunile întreprinse pentru executarea subpunct</w:t>
      </w:r>
      <w:r w:rsidR="00082420">
        <w:rPr>
          <w:rFonts w:ascii="Calibri Light" w:hAnsi="Calibri Light" w:cs="Calibri Light"/>
          <w:noProof/>
          <w:lang w:val="ro-MD"/>
        </w:rPr>
        <w:t>ului</w:t>
      </w:r>
      <w:r w:rsidR="00F571E6">
        <w:rPr>
          <w:rFonts w:ascii="Calibri Light" w:hAnsi="Calibri Light" w:cs="Calibri Light"/>
          <w:noProof/>
          <w:lang w:val="ro-MD"/>
        </w:rPr>
        <w:t xml:space="preserve"> 2.</w:t>
      </w:r>
      <w:r w:rsidR="00A712C9">
        <w:rPr>
          <w:rFonts w:ascii="Calibri Light" w:hAnsi="Calibri Light" w:cs="Calibri Light"/>
          <w:noProof/>
          <w:lang w:val="ro-MD"/>
        </w:rPr>
        <w:t>4</w:t>
      </w:r>
      <w:r w:rsidR="00F571E6">
        <w:rPr>
          <w:rFonts w:ascii="Calibri Light" w:hAnsi="Calibri Light" w:cs="Calibri Light"/>
          <w:noProof/>
          <w:lang w:val="ro-MD"/>
        </w:rPr>
        <w:t xml:space="preserve">. </w:t>
      </w:r>
      <w:r w:rsidR="00CC3867" w:rsidRPr="0067238D">
        <w:rPr>
          <w:rFonts w:ascii="Calibri Light" w:hAnsi="Calibri Light" w:cs="Calibri Light"/>
          <w:noProof/>
          <w:lang w:val="ro-MD"/>
        </w:rPr>
        <w:t>din prezenta Hotărâre.</w:t>
      </w:r>
    </w:p>
    <w:p w:rsidR="000E733E" w:rsidRDefault="005E257C" w:rsidP="00053022">
      <w:pPr>
        <w:spacing w:after="120" w:line="276" w:lineRule="auto"/>
        <w:ind w:firstLine="567"/>
        <w:jc w:val="both"/>
        <w:rPr>
          <w:rFonts w:asciiTheme="majorHAnsi" w:eastAsia="Times New Roman" w:hAnsiTheme="majorHAnsi" w:cstheme="majorHAnsi"/>
          <w:sz w:val="24"/>
          <w:szCs w:val="24"/>
          <w:lang w:val="ro-MD"/>
        </w:rPr>
      </w:pPr>
      <w:r>
        <w:rPr>
          <w:rFonts w:asciiTheme="majorHAnsi" w:hAnsiTheme="majorHAnsi"/>
          <w:b/>
          <w:sz w:val="24"/>
          <w:szCs w:val="24"/>
          <w:lang w:val="ro-MD"/>
        </w:rPr>
        <w:t>6</w:t>
      </w:r>
      <w:r w:rsidR="00CC3867" w:rsidRPr="000F0D60">
        <w:rPr>
          <w:rFonts w:asciiTheme="majorHAnsi" w:hAnsiTheme="majorHAnsi"/>
          <w:b/>
          <w:sz w:val="24"/>
          <w:szCs w:val="24"/>
          <w:lang w:val="ro-MD"/>
        </w:rPr>
        <w:t>.</w:t>
      </w:r>
      <w:r w:rsidR="00CC3867" w:rsidRPr="000F0D60">
        <w:rPr>
          <w:rFonts w:asciiTheme="majorHAnsi" w:hAnsiTheme="majorHAnsi"/>
          <w:sz w:val="24"/>
          <w:szCs w:val="24"/>
          <w:lang w:val="ro-MD"/>
        </w:rPr>
        <w:t xml:space="preserve"> </w:t>
      </w:r>
      <w:r w:rsidR="00CC3867">
        <w:rPr>
          <w:rFonts w:asciiTheme="majorHAnsi" w:hAnsiTheme="majorHAnsi"/>
          <w:sz w:val="24"/>
          <w:szCs w:val="24"/>
          <w:lang w:val="ro-MD"/>
        </w:rPr>
        <w:t xml:space="preserve"> </w:t>
      </w:r>
      <w:r w:rsidR="00CC3867" w:rsidRPr="000F0D60">
        <w:rPr>
          <w:rFonts w:asciiTheme="majorHAnsi" w:hAnsiTheme="majorHAnsi"/>
          <w:sz w:val="24"/>
          <w:szCs w:val="24"/>
          <w:lang w:val="ro-MD"/>
        </w:rPr>
        <w:t xml:space="preserve">Hotărârea și Raportul auditului </w:t>
      </w:r>
      <w:r w:rsidR="00F571E6" w:rsidRPr="00F571E6">
        <w:rPr>
          <w:rFonts w:asciiTheme="majorHAnsi" w:hAnsiTheme="majorHAnsi"/>
          <w:sz w:val="24"/>
          <w:szCs w:val="24"/>
          <w:lang w:val="ro-MD"/>
        </w:rPr>
        <w:t xml:space="preserve">conformității </w:t>
      </w:r>
      <w:r w:rsidR="000E733E">
        <w:rPr>
          <w:rFonts w:asciiTheme="majorHAnsi" w:hAnsiTheme="majorHAnsi"/>
          <w:sz w:val="24"/>
          <w:szCs w:val="24"/>
          <w:lang w:val="ro-MD"/>
        </w:rPr>
        <w:t xml:space="preserve">asupra </w:t>
      </w:r>
      <w:r w:rsidR="00F571E6" w:rsidRPr="00F571E6">
        <w:rPr>
          <w:rFonts w:asciiTheme="majorHAnsi" w:hAnsiTheme="majorHAnsi"/>
          <w:sz w:val="24"/>
          <w:szCs w:val="24"/>
          <w:lang w:val="ro-MD"/>
        </w:rPr>
        <w:t>managementului datoriei de stat, garanțiilor de stat și recreditării de stat în anul 202</w:t>
      </w:r>
      <w:r w:rsidR="006704A8">
        <w:rPr>
          <w:rFonts w:asciiTheme="majorHAnsi" w:hAnsiTheme="majorHAnsi"/>
          <w:sz w:val="24"/>
          <w:szCs w:val="24"/>
          <w:lang w:val="ro-MD"/>
        </w:rPr>
        <w:t>1</w:t>
      </w:r>
      <w:r w:rsidR="00E1186A">
        <w:rPr>
          <w:rFonts w:asciiTheme="majorHAnsi" w:hAnsiTheme="majorHAnsi"/>
          <w:sz w:val="24"/>
          <w:szCs w:val="24"/>
          <w:lang w:val="ro-MD"/>
        </w:rPr>
        <w:t xml:space="preserve"> </w:t>
      </w:r>
      <w:r w:rsidR="00CC3867" w:rsidRPr="000F0D60">
        <w:rPr>
          <w:rFonts w:asciiTheme="majorHAnsi" w:hAnsiTheme="majorHAnsi"/>
          <w:sz w:val="24"/>
          <w:szCs w:val="24"/>
          <w:lang w:val="ro-MD"/>
        </w:rPr>
        <w:t xml:space="preserve">se plasează pe site-ul oficial al Curții de Conturi </w:t>
      </w:r>
      <w:r w:rsidR="00CC3867" w:rsidRPr="000F0D60">
        <w:rPr>
          <w:rFonts w:ascii="Calibri Light" w:hAnsi="Calibri Light" w:cs="Calibri Light"/>
          <w:sz w:val="24"/>
          <w:szCs w:val="24"/>
          <w:lang w:val="ro-MD"/>
        </w:rPr>
        <w:t>(</w:t>
      </w:r>
      <w:hyperlink r:id="rId9" w:history="1">
        <w:r w:rsidR="00E46827" w:rsidRPr="00B35B6C">
          <w:rPr>
            <w:rStyle w:val="a3"/>
            <w:rFonts w:asciiTheme="majorHAnsi" w:hAnsiTheme="majorHAnsi"/>
            <w:sz w:val="24"/>
            <w:szCs w:val="24"/>
          </w:rPr>
          <w:t>https://www.ccrm.md/ro/decisions</w:t>
        </w:r>
      </w:hyperlink>
      <w:r w:rsidR="00CC3867" w:rsidRPr="000F0D60">
        <w:rPr>
          <w:rFonts w:ascii="Calibri Light" w:hAnsi="Calibri Light" w:cs="Calibri Light"/>
          <w:sz w:val="24"/>
          <w:szCs w:val="24"/>
          <w:lang w:val="ro-MD"/>
        </w:rPr>
        <w:t>).</w:t>
      </w:r>
      <w:r w:rsidR="003F2560" w:rsidRPr="00AB3F50">
        <w:rPr>
          <w:rFonts w:asciiTheme="majorHAnsi" w:eastAsia="Times New Roman" w:hAnsiTheme="majorHAnsi" w:cstheme="majorHAnsi"/>
          <w:sz w:val="24"/>
          <w:szCs w:val="24"/>
          <w:lang w:val="ro-MD"/>
        </w:rPr>
        <w:t xml:space="preserve">                                                                                                </w:t>
      </w:r>
      <w:r w:rsidR="00F328A4">
        <w:rPr>
          <w:rFonts w:asciiTheme="majorHAnsi" w:eastAsia="Times New Roman" w:hAnsiTheme="majorHAnsi" w:cstheme="majorHAnsi"/>
          <w:sz w:val="24"/>
          <w:szCs w:val="24"/>
          <w:lang w:val="ro-MD"/>
        </w:rPr>
        <w:t xml:space="preserve">                        </w:t>
      </w:r>
    </w:p>
    <w:p w:rsidR="00663B5F" w:rsidRDefault="00663B5F" w:rsidP="00FD7A35">
      <w:pPr>
        <w:spacing w:after="0" w:line="276" w:lineRule="auto"/>
        <w:rPr>
          <w:rFonts w:asciiTheme="majorHAnsi" w:eastAsia="Times New Roman" w:hAnsiTheme="majorHAnsi" w:cstheme="majorHAnsi"/>
          <w:b/>
          <w:sz w:val="28"/>
          <w:szCs w:val="28"/>
          <w:lang w:val="ro-MD"/>
        </w:rPr>
      </w:pPr>
    </w:p>
    <w:p w:rsidR="00323800" w:rsidRDefault="00323800" w:rsidP="00053022">
      <w:pPr>
        <w:spacing w:after="0" w:line="276" w:lineRule="auto"/>
        <w:ind w:left="7200"/>
        <w:rPr>
          <w:rFonts w:asciiTheme="majorHAnsi" w:eastAsia="Times New Roman" w:hAnsiTheme="majorHAnsi" w:cstheme="majorHAnsi"/>
          <w:b/>
          <w:sz w:val="28"/>
          <w:szCs w:val="28"/>
          <w:lang w:val="ro-MD"/>
        </w:rPr>
      </w:pPr>
    </w:p>
    <w:p w:rsidR="00323800" w:rsidRDefault="00323800" w:rsidP="00053022">
      <w:pPr>
        <w:spacing w:after="0" w:line="276" w:lineRule="auto"/>
        <w:ind w:left="7200"/>
        <w:rPr>
          <w:rFonts w:asciiTheme="majorHAnsi" w:eastAsia="Times New Roman" w:hAnsiTheme="majorHAnsi" w:cstheme="majorHAnsi"/>
          <w:b/>
          <w:sz w:val="28"/>
          <w:szCs w:val="28"/>
          <w:lang w:val="ro-MD"/>
        </w:rPr>
      </w:pPr>
    </w:p>
    <w:p w:rsidR="004F4379" w:rsidRDefault="003F2560" w:rsidP="00053022">
      <w:pPr>
        <w:spacing w:after="0" w:line="276" w:lineRule="auto"/>
        <w:ind w:left="7200"/>
        <w:rPr>
          <w:rFonts w:asciiTheme="majorHAnsi" w:eastAsia="Times New Roman" w:hAnsiTheme="majorHAnsi" w:cstheme="majorHAnsi"/>
          <w:b/>
          <w:sz w:val="28"/>
          <w:szCs w:val="28"/>
          <w:lang w:val="ro-MD"/>
        </w:rPr>
      </w:pPr>
      <w:r w:rsidRPr="00AB3F50">
        <w:rPr>
          <w:rFonts w:asciiTheme="majorHAnsi" w:eastAsia="Times New Roman" w:hAnsiTheme="majorHAnsi" w:cstheme="majorHAnsi"/>
          <w:b/>
          <w:sz w:val="28"/>
          <w:szCs w:val="28"/>
          <w:lang w:val="ro-MD"/>
        </w:rPr>
        <w:t>Marian LUPU,</w:t>
      </w:r>
    </w:p>
    <w:p w:rsidR="005E2DB6" w:rsidRDefault="00F328A4" w:rsidP="00053022">
      <w:pPr>
        <w:spacing w:after="0" w:line="276" w:lineRule="auto"/>
        <w:ind w:left="7200"/>
        <w:rPr>
          <w:rFonts w:asciiTheme="majorHAnsi" w:eastAsia="Times New Roman" w:hAnsiTheme="majorHAnsi" w:cstheme="majorHAnsi"/>
          <w:b/>
          <w:sz w:val="28"/>
          <w:szCs w:val="28"/>
          <w:lang w:val="ro-MD"/>
        </w:rPr>
      </w:pPr>
      <w:r>
        <w:rPr>
          <w:rFonts w:asciiTheme="majorHAnsi" w:eastAsia="Times New Roman" w:hAnsiTheme="majorHAnsi" w:cstheme="majorHAnsi"/>
          <w:b/>
          <w:sz w:val="28"/>
          <w:szCs w:val="28"/>
          <w:lang w:val="ro-MD"/>
        </w:rPr>
        <w:t>Președinte</w:t>
      </w: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820B4C" w:rsidRDefault="00820B4C" w:rsidP="00053022">
      <w:pPr>
        <w:spacing w:after="0" w:line="276" w:lineRule="auto"/>
        <w:ind w:left="7200"/>
        <w:rPr>
          <w:rFonts w:asciiTheme="majorHAnsi" w:eastAsia="Times New Roman" w:hAnsiTheme="majorHAnsi" w:cstheme="majorHAnsi"/>
          <w:b/>
          <w:sz w:val="28"/>
          <w:szCs w:val="28"/>
          <w:lang w:val="ro-MD"/>
        </w:rPr>
      </w:pPr>
    </w:p>
    <w:p w:rsidR="00820B4C" w:rsidRDefault="00820B4C" w:rsidP="00053022">
      <w:pPr>
        <w:spacing w:after="0" w:line="276" w:lineRule="auto"/>
        <w:ind w:left="7200"/>
        <w:rPr>
          <w:rFonts w:asciiTheme="majorHAnsi" w:eastAsia="Times New Roman" w:hAnsiTheme="majorHAnsi" w:cstheme="majorHAnsi"/>
          <w:b/>
          <w:sz w:val="28"/>
          <w:szCs w:val="28"/>
          <w:lang w:val="ro-MD"/>
        </w:rPr>
      </w:pPr>
    </w:p>
    <w:p w:rsidR="004F146E" w:rsidRDefault="004F146E" w:rsidP="00053022">
      <w:pPr>
        <w:spacing w:after="0" w:line="276" w:lineRule="auto"/>
        <w:ind w:left="7200"/>
        <w:rPr>
          <w:rFonts w:asciiTheme="majorHAnsi" w:eastAsia="Times New Roman" w:hAnsiTheme="majorHAnsi" w:cstheme="majorHAnsi"/>
          <w:b/>
          <w:sz w:val="28"/>
          <w:szCs w:val="28"/>
          <w:lang w:val="ro-MD"/>
        </w:rPr>
      </w:pPr>
    </w:p>
    <w:p w:rsidR="001C7F61" w:rsidRDefault="001C7F61" w:rsidP="00053022">
      <w:pPr>
        <w:spacing w:after="0" w:line="276" w:lineRule="auto"/>
        <w:jc w:val="both"/>
        <w:rPr>
          <w:rFonts w:asciiTheme="majorHAnsi" w:eastAsia="Calibri" w:hAnsiTheme="majorHAnsi" w:cstheme="majorHAnsi"/>
          <w:sz w:val="24"/>
          <w:szCs w:val="24"/>
          <w:lang w:val="ro-RO"/>
        </w:rPr>
      </w:pPr>
    </w:p>
    <w:p w:rsidR="001C7F61" w:rsidRDefault="001C7F61" w:rsidP="00053022">
      <w:pPr>
        <w:spacing w:after="0" w:line="276" w:lineRule="auto"/>
        <w:jc w:val="both"/>
        <w:rPr>
          <w:rFonts w:asciiTheme="majorHAnsi" w:eastAsia="Calibri" w:hAnsiTheme="majorHAnsi" w:cstheme="majorHAnsi"/>
          <w:sz w:val="24"/>
          <w:szCs w:val="24"/>
          <w:lang w:val="ro-RO"/>
        </w:rPr>
      </w:pPr>
      <w:bookmarkStart w:id="1" w:name="_GoBack"/>
      <w:bookmarkEnd w:id="1"/>
    </w:p>
    <w:sectPr w:rsidR="001C7F61" w:rsidSect="00053022">
      <w:headerReference w:type="default" r:id="rId10"/>
      <w:footerReference w:type="default" r:id="rId11"/>
      <w:pgSz w:w="11906" w:h="16838" w:code="9"/>
      <w:pgMar w:top="851" w:right="851" w:bottom="85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936" w:rsidRDefault="00302936" w:rsidP="003F2560">
      <w:pPr>
        <w:spacing w:after="0" w:line="240" w:lineRule="auto"/>
      </w:pPr>
      <w:r>
        <w:separator/>
      </w:r>
    </w:p>
  </w:endnote>
  <w:endnote w:type="continuationSeparator" w:id="0">
    <w:p w:rsidR="00302936" w:rsidRDefault="00302936" w:rsidP="003F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32950"/>
      <w:docPartObj>
        <w:docPartGallery w:val="Page Numbers (Bottom of Page)"/>
        <w:docPartUnique/>
      </w:docPartObj>
    </w:sdtPr>
    <w:sdtEndPr>
      <w:rPr>
        <w:noProof/>
      </w:rPr>
    </w:sdtEndPr>
    <w:sdtContent>
      <w:p w:rsidR="00CB4882" w:rsidRDefault="007B7D3B">
        <w:pPr>
          <w:pStyle w:val="aa"/>
          <w:jc w:val="right"/>
        </w:pPr>
        <w:r>
          <w:fldChar w:fldCharType="begin"/>
        </w:r>
        <w:r>
          <w:instrText xml:space="preserve"> PAGE   \* MERGEFORMAT </w:instrText>
        </w:r>
        <w:r>
          <w:fldChar w:fldCharType="separate"/>
        </w:r>
        <w:r w:rsidR="00302936">
          <w:rPr>
            <w:noProof/>
          </w:rPr>
          <w:t>1</w:t>
        </w:r>
        <w:r>
          <w:rPr>
            <w:noProof/>
          </w:rPr>
          <w:fldChar w:fldCharType="end"/>
        </w:r>
      </w:p>
    </w:sdtContent>
  </w:sdt>
  <w:p w:rsidR="00CB4882" w:rsidRDefault="003029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936" w:rsidRDefault="00302936" w:rsidP="003F2560">
      <w:pPr>
        <w:spacing w:after="0" w:line="240" w:lineRule="auto"/>
      </w:pPr>
      <w:r>
        <w:separator/>
      </w:r>
    </w:p>
  </w:footnote>
  <w:footnote w:type="continuationSeparator" w:id="0">
    <w:p w:rsidR="00302936" w:rsidRDefault="00302936" w:rsidP="003F2560">
      <w:pPr>
        <w:spacing w:after="0" w:line="240" w:lineRule="auto"/>
      </w:pPr>
      <w:r>
        <w:continuationSeparator/>
      </w:r>
    </w:p>
  </w:footnote>
  <w:footnote w:id="1">
    <w:p w:rsidR="003F2560" w:rsidRPr="00DE440A" w:rsidRDefault="003F2560" w:rsidP="00982281">
      <w:pPr>
        <w:pStyle w:val="a7"/>
        <w:jc w:val="both"/>
        <w:rPr>
          <w:rFonts w:asciiTheme="majorHAnsi" w:eastAsia="Times New Roman" w:hAnsiTheme="majorHAnsi" w:cs="Times New Roman"/>
          <w:sz w:val="16"/>
          <w:szCs w:val="16"/>
          <w:lang w:val="ro-RO"/>
        </w:rPr>
      </w:pPr>
      <w:r w:rsidRPr="00DE440A">
        <w:rPr>
          <w:rFonts w:asciiTheme="majorHAnsi" w:eastAsia="Times New Roman" w:hAnsiTheme="majorHAnsi" w:cs="Times New Roman"/>
          <w:sz w:val="16"/>
          <w:szCs w:val="16"/>
          <w:vertAlign w:val="superscript"/>
          <w:lang w:val="ro-RO"/>
        </w:rPr>
        <w:footnoteRef/>
      </w:r>
      <w:r w:rsidRPr="00DE440A">
        <w:rPr>
          <w:rFonts w:asciiTheme="majorHAnsi" w:eastAsia="Times New Roman" w:hAnsiTheme="majorHAnsi" w:cs="Times New Roman"/>
          <w:sz w:val="16"/>
          <w:szCs w:val="16"/>
          <w:lang w:val="ro-RO"/>
        </w:rPr>
        <w:t xml:space="preserve"> Legea privind organizarea și funcționarea Curții de Conturi a Republicii Moldova nr. 260 din 07.12.2017 (în continuare </w:t>
      </w:r>
      <w:r w:rsidR="00982281">
        <w:rPr>
          <w:rFonts w:asciiTheme="majorHAnsi" w:eastAsia="Times New Roman" w:hAnsiTheme="majorHAnsi" w:cs="Times New Roman"/>
          <w:sz w:val="16"/>
          <w:szCs w:val="16"/>
          <w:lang w:val="ro-RO"/>
        </w:rPr>
        <w:t>–</w:t>
      </w:r>
      <w:r w:rsidRPr="00DE440A">
        <w:rPr>
          <w:rFonts w:asciiTheme="majorHAnsi" w:eastAsia="Times New Roman" w:hAnsiTheme="majorHAnsi" w:cs="Times New Roman"/>
          <w:sz w:val="16"/>
          <w:szCs w:val="16"/>
          <w:lang w:val="ro-RO"/>
        </w:rPr>
        <w:t xml:space="preserve"> Legea nr.260 din 07.12.2017).</w:t>
      </w:r>
    </w:p>
  </w:footnote>
  <w:footnote w:id="2">
    <w:p w:rsidR="003F2560" w:rsidRPr="00DE440A" w:rsidRDefault="003F2560" w:rsidP="00982281">
      <w:pPr>
        <w:pStyle w:val="a7"/>
        <w:jc w:val="both"/>
        <w:rPr>
          <w:rFonts w:asciiTheme="majorHAnsi" w:hAnsiTheme="majorHAnsi"/>
          <w:sz w:val="16"/>
          <w:szCs w:val="16"/>
        </w:rPr>
      </w:pPr>
      <w:r w:rsidRPr="00DE440A">
        <w:rPr>
          <w:rStyle w:val="FootnoteReference1"/>
          <w:rFonts w:asciiTheme="majorHAnsi" w:hAnsiTheme="majorHAnsi"/>
          <w:sz w:val="16"/>
          <w:szCs w:val="16"/>
          <w:lang w:val="ro-RO"/>
        </w:rPr>
        <w:footnoteRef/>
      </w:r>
      <w:r w:rsidRPr="00DE440A">
        <w:rPr>
          <w:rFonts w:asciiTheme="majorHAnsi" w:hAnsiTheme="majorHAnsi"/>
          <w:sz w:val="16"/>
          <w:szCs w:val="16"/>
          <w:lang w:val="ro-RO"/>
        </w:rPr>
        <w:t xml:space="preserve"> Hotărârea Curții de Conturi nr.</w:t>
      </w:r>
      <w:r w:rsidR="00C056F3">
        <w:rPr>
          <w:rFonts w:asciiTheme="majorHAnsi" w:hAnsiTheme="majorHAnsi"/>
          <w:sz w:val="16"/>
          <w:szCs w:val="16"/>
          <w:lang w:val="ro-RO"/>
        </w:rPr>
        <w:t>75</w:t>
      </w:r>
      <w:r w:rsidRPr="00DE440A">
        <w:rPr>
          <w:rFonts w:asciiTheme="majorHAnsi" w:hAnsiTheme="majorHAnsi"/>
          <w:sz w:val="16"/>
          <w:szCs w:val="16"/>
          <w:lang w:val="ro-RO"/>
        </w:rPr>
        <w:t xml:space="preserve"> din </w:t>
      </w:r>
      <w:r w:rsidR="00C056F3">
        <w:rPr>
          <w:rFonts w:asciiTheme="majorHAnsi" w:hAnsiTheme="majorHAnsi"/>
          <w:sz w:val="16"/>
          <w:szCs w:val="16"/>
          <w:lang w:val="ro-RO"/>
        </w:rPr>
        <w:t>28.12.2021</w:t>
      </w:r>
      <w:r w:rsidRPr="00DE440A">
        <w:rPr>
          <w:rFonts w:asciiTheme="majorHAnsi" w:hAnsiTheme="majorHAnsi"/>
          <w:sz w:val="16"/>
          <w:szCs w:val="16"/>
          <w:lang w:val="ro-RO"/>
        </w:rPr>
        <w:t xml:space="preserve"> </w:t>
      </w:r>
      <w:r w:rsidRPr="00DE440A">
        <w:rPr>
          <w:rFonts w:asciiTheme="majorHAnsi" w:hAnsiTheme="majorHAnsi"/>
          <w:bCs/>
          <w:sz w:val="16"/>
          <w:szCs w:val="16"/>
          <w:lang w:val="ro-RO"/>
        </w:rPr>
        <w:t xml:space="preserve">„Privind aprobarea </w:t>
      </w:r>
      <w:r w:rsidRPr="00DE440A">
        <w:rPr>
          <w:rFonts w:asciiTheme="majorHAnsi" w:hAnsiTheme="majorHAnsi"/>
          <w:sz w:val="16"/>
          <w:szCs w:val="16"/>
          <w:lang w:val="ro-RO"/>
        </w:rPr>
        <w:t>Programului activității de audit a</w:t>
      </w:r>
      <w:r w:rsidR="006704A8">
        <w:rPr>
          <w:rFonts w:asciiTheme="majorHAnsi" w:hAnsiTheme="majorHAnsi"/>
          <w:sz w:val="16"/>
          <w:szCs w:val="16"/>
          <w:lang w:val="ro-RO"/>
        </w:rPr>
        <w:t>l</w:t>
      </w:r>
      <w:r w:rsidR="00C056F3">
        <w:rPr>
          <w:rFonts w:asciiTheme="majorHAnsi" w:hAnsiTheme="majorHAnsi"/>
          <w:sz w:val="16"/>
          <w:szCs w:val="16"/>
          <w:lang w:val="ro-RO"/>
        </w:rPr>
        <w:t xml:space="preserve"> Curții de Conturi pe anul 2022</w:t>
      </w:r>
      <w:r w:rsidRPr="00DE440A">
        <w:rPr>
          <w:rFonts w:asciiTheme="majorHAnsi" w:hAnsiTheme="majorHAnsi"/>
          <w:sz w:val="16"/>
          <w:szCs w:val="16"/>
          <w:lang w:val="ro-RO"/>
        </w:rPr>
        <w:t>”.</w:t>
      </w:r>
    </w:p>
  </w:footnote>
  <w:footnote w:id="3">
    <w:p w:rsidR="00A712C9" w:rsidRPr="00A712C9" w:rsidRDefault="00A712C9" w:rsidP="00E35557">
      <w:pPr>
        <w:pStyle w:val="a7"/>
        <w:jc w:val="both"/>
        <w:rPr>
          <w:rFonts w:asciiTheme="majorHAnsi" w:hAnsiTheme="majorHAnsi" w:cstheme="majorHAnsi"/>
          <w:sz w:val="16"/>
          <w:szCs w:val="16"/>
          <w:lang w:val="ro-MD"/>
        </w:rPr>
      </w:pPr>
      <w:r w:rsidRPr="00A712C9">
        <w:rPr>
          <w:rStyle w:val="af3"/>
          <w:rFonts w:asciiTheme="majorHAnsi" w:hAnsiTheme="majorHAnsi" w:cstheme="majorHAnsi"/>
          <w:sz w:val="16"/>
          <w:szCs w:val="16"/>
        </w:rPr>
        <w:footnoteRef/>
      </w:r>
      <w:r w:rsidRPr="00A712C9">
        <w:rPr>
          <w:rFonts w:asciiTheme="majorHAnsi" w:hAnsiTheme="majorHAnsi" w:cstheme="majorHAnsi"/>
          <w:sz w:val="16"/>
          <w:szCs w:val="16"/>
        </w:rPr>
        <w:t xml:space="preserve"> </w:t>
      </w:r>
      <w:r w:rsidRPr="00A712C9">
        <w:rPr>
          <w:rFonts w:asciiTheme="majorHAnsi" w:hAnsiTheme="majorHAnsi" w:cstheme="majorHAnsi"/>
          <w:sz w:val="16"/>
          <w:szCs w:val="16"/>
          <w:lang w:val="ro-MD"/>
        </w:rPr>
        <w:t>Hotărârea Curții de Conturi nr.2 din 24.01.2020 „Cu privire la Cadrul Declarațiilor Profesionale ale INTOSAI”.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50" w:rsidRPr="00D64955" w:rsidRDefault="00302936" w:rsidP="009F70D2">
    <w:pPr>
      <w:pStyle w:val="a8"/>
      <w:jc w:val="center"/>
      <w:rPr>
        <w:rFonts w:asciiTheme="majorHAnsi" w:hAnsiTheme="majorHAnsi" w:cstheme="maj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3390C"/>
    <w:multiLevelType w:val="multilevel"/>
    <w:tmpl w:val="6D4C74C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E1535F"/>
    <w:multiLevelType w:val="multilevel"/>
    <w:tmpl w:val="7DC8F4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9022E4"/>
    <w:multiLevelType w:val="multilevel"/>
    <w:tmpl w:val="CBDC5B10"/>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F8710F"/>
    <w:multiLevelType w:val="multilevel"/>
    <w:tmpl w:val="B05680F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95"/>
    <w:rsid w:val="00000424"/>
    <w:rsid w:val="0001475E"/>
    <w:rsid w:val="000349D3"/>
    <w:rsid w:val="00045085"/>
    <w:rsid w:val="00050406"/>
    <w:rsid w:val="00053022"/>
    <w:rsid w:val="00075439"/>
    <w:rsid w:val="00077136"/>
    <w:rsid w:val="00082420"/>
    <w:rsid w:val="0009500F"/>
    <w:rsid w:val="000971E6"/>
    <w:rsid w:val="000A51F5"/>
    <w:rsid w:val="000B06CE"/>
    <w:rsid w:val="000B0975"/>
    <w:rsid w:val="000B3AFE"/>
    <w:rsid w:val="000C41F5"/>
    <w:rsid w:val="000D37DD"/>
    <w:rsid w:val="000E0B94"/>
    <w:rsid w:val="000E7259"/>
    <w:rsid w:val="000E733E"/>
    <w:rsid w:val="000E769F"/>
    <w:rsid w:val="000F2548"/>
    <w:rsid w:val="001001D4"/>
    <w:rsid w:val="001002E7"/>
    <w:rsid w:val="0011103E"/>
    <w:rsid w:val="001129D4"/>
    <w:rsid w:val="00115054"/>
    <w:rsid w:val="001214FF"/>
    <w:rsid w:val="001236E6"/>
    <w:rsid w:val="00126438"/>
    <w:rsid w:val="001365C1"/>
    <w:rsid w:val="00141DAE"/>
    <w:rsid w:val="001507C3"/>
    <w:rsid w:val="0015166A"/>
    <w:rsid w:val="00171672"/>
    <w:rsid w:val="0019794E"/>
    <w:rsid w:val="001C5971"/>
    <w:rsid w:val="001C7F61"/>
    <w:rsid w:val="001D21B9"/>
    <w:rsid w:val="001D3874"/>
    <w:rsid w:val="001E2227"/>
    <w:rsid w:val="001E2E36"/>
    <w:rsid w:val="001E3EF9"/>
    <w:rsid w:val="001E5D5B"/>
    <w:rsid w:val="001F1790"/>
    <w:rsid w:val="001F2EE3"/>
    <w:rsid w:val="00220666"/>
    <w:rsid w:val="002247DD"/>
    <w:rsid w:val="002535CD"/>
    <w:rsid w:val="00255F95"/>
    <w:rsid w:val="00273F10"/>
    <w:rsid w:val="002754A0"/>
    <w:rsid w:val="002762DF"/>
    <w:rsid w:val="00277349"/>
    <w:rsid w:val="00284CB5"/>
    <w:rsid w:val="00287309"/>
    <w:rsid w:val="00287995"/>
    <w:rsid w:val="00290F52"/>
    <w:rsid w:val="002A3C9E"/>
    <w:rsid w:val="002C0A10"/>
    <w:rsid w:val="002C7E30"/>
    <w:rsid w:val="002E770D"/>
    <w:rsid w:val="002E78C9"/>
    <w:rsid w:val="002F6322"/>
    <w:rsid w:val="0030166A"/>
    <w:rsid w:val="00302736"/>
    <w:rsid w:val="00302936"/>
    <w:rsid w:val="0030446A"/>
    <w:rsid w:val="00323800"/>
    <w:rsid w:val="00345131"/>
    <w:rsid w:val="0035471F"/>
    <w:rsid w:val="00357F2C"/>
    <w:rsid w:val="003656A9"/>
    <w:rsid w:val="003943F7"/>
    <w:rsid w:val="003B2D77"/>
    <w:rsid w:val="003B6B9F"/>
    <w:rsid w:val="003B7DC2"/>
    <w:rsid w:val="003C591E"/>
    <w:rsid w:val="003C7EAD"/>
    <w:rsid w:val="003D0AAD"/>
    <w:rsid w:val="003D7699"/>
    <w:rsid w:val="003F2560"/>
    <w:rsid w:val="0040119A"/>
    <w:rsid w:val="004072E2"/>
    <w:rsid w:val="00426047"/>
    <w:rsid w:val="00427693"/>
    <w:rsid w:val="0043547E"/>
    <w:rsid w:val="00437145"/>
    <w:rsid w:val="0046654E"/>
    <w:rsid w:val="00470ED7"/>
    <w:rsid w:val="004716BD"/>
    <w:rsid w:val="00483FCF"/>
    <w:rsid w:val="00485090"/>
    <w:rsid w:val="004903F9"/>
    <w:rsid w:val="0049739A"/>
    <w:rsid w:val="004A7BFF"/>
    <w:rsid w:val="004B1DC0"/>
    <w:rsid w:val="004D5096"/>
    <w:rsid w:val="004D5FEA"/>
    <w:rsid w:val="004E47E6"/>
    <w:rsid w:val="004E4C41"/>
    <w:rsid w:val="004E57E4"/>
    <w:rsid w:val="004E63AF"/>
    <w:rsid w:val="004F146E"/>
    <w:rsid w:val="004F4379"/>
    <w:rsid w:val="005112DF"/>
    <w:rsid w:val="00513C97"/>
    <w:rsid w:val="0051785F"/>
    <w:rsid w:val="00520E57"/>
    <w:rsid w:val="0052263C"/>
    <w:rsid w:val="00543F3C"/>
    <w:rsid w:val="00552800"/>
    <w:rsid w:val="00556A42"/>
    <w:rsid w:val="005633A9"/>
    <w:rsid w:val="00563BE6"/>
    <w:rsid w:val="005647C7"/>
    <w:rsid w:val="00566676"/>
    <w:rsid w:val="005724C0"/>
    <w:rsid w:val="00572EF2"/>
    <w:rsid w:val="005922AE"/>
    <w:rsid w:val="00592518"/>
    <w:rsid w:val="005969A6"/>
    <w:rsid w:val="005B7953"/>
    <w:rsid w:val="005D29EE"/>
    <w:rsid w:val="005D2B58"/>
    <w:rsid w:val="005E257C"/>
    <w:rsid w:val="005E2DB6"/>
    <w:rsid w:val="005F0326"/>
    <w:rsid w:val="005F5E1B"/>
    <w:rsid w:val="00625E68"/>
    <w:rsid w:val="00635078"/>
    <w:rsid w:val="00663B5F"/>
    <w:rsid w:val="006704A8"/>
    <w:rsid w:val="0067238D"/>
    <w:rsid w:val="00685A80"/>
    <w:rsid w:val="006A282C"/>
    <w:rsid w:val="006C547D"/>
    <w:rsid w:val="006E6C1A"/>
    <w:rsid w:val="00715411"/>
    <w:rsid w:val="00716262"/>
    <w:rsid w:val="007164A6"/>
    <w:rsid w:val="00727AB4"/>
    <w:rsid w:val="0076040B"/>
    <w:rsid w:val="00772195"/>
    <w:rsid w:val="00777062"/>
    <w:rsid w:val="00786F55"/>
    <w:rsid w:val="007871AF"/>
    <w:rsid w:val="007A49D6"/>
    <w:rsid w:val="007B5471"/>
    <w:rsid w:val="007B7D3B"/>
    <w:rsid w:val="007C31A0"/>
    <w:rsid w:val="007E6AE5"/>
    <w:rsid w:val="007F026A"/>
    <w:rsid w:val="007F3F3E"/>
    <w:rsid w:val="00803EEF"/>
    <w:rsid w:val="00817180"/>
    <w:rsid w:val="0081765B"/>
    <w:rsid w:val="008206DA"/>
    <w:rsid w:val="00820B4C"/>
    <w:rsid w:val="00822774"/>
    <w:rsid w:val="008324B8"/>
    <w:rsid w:val="00836E12"/>
    <w:rsid w:val="008707C1"/>
    <w:rsid w:val="00875039"/>
    <w:rsid w:val="00876091"/>
    <w:rsid w:val="008914ED"/>
    <w:rsid w:val="0089259B"/>
    <w:rsid w:val="0089689D"/>
    <w:rsid w:val="00896A15"/>
    <w:rsid w:val="008A4586"/>
    <w:rsid w:val="008B3B7C"/>
    <w:rsid w:val="008C1E08"/>
    <w:rsid w:val="008C6150"/>
    <w:rsid w:val="008D185F"/>
    <w:rsid w:val="008E6961"/>
    <w:rsid w:val="008F0CA0"/>
    <w:rsid w:val="008F1D8C"/>
    <w:rsid w:val="008F49CC"/>
    <w:rsid w:val="009106C8"/>
    <w:rsid w:val="00911A62"/>
    <w:rsid w:val="009141D2"/>
    <w:rsid w:val="00915E36"/>
    <w:rsid w:val="00925451"/>
    <w:rsid w:val="009408B9"/>
    <w:rsid w:val="00943BC6"/>
    <w:rsid w:val="00956D7A"/>
    <w:rsid w:val="009605A6"/>
    <w:rsid w:val="00970035"/>
    <w:rsid w:val="00982281"/>
    <w:rsid w:val="009830FF"/>
    <w:rsid w:val="009872F0"/>
    <w:rsid w:val="0099377B"/>
    <w:rsid w:val="00995BAB"/>
    <w:rsid w:val="009A528E"/>
    <w:rsid w:val="009A6B22"/>
    <w:rsid w:val="009D3000"/>
    <w:rsid w:val="009F70D2"/>
    <w:rsid w:val="00A077B3"/>
    <w:rsid w:val="00A24FED"/>
    <w:rsid w:val="00A329BA"/>
    <w:rsid w:val="00A51C6B"/>
    <w:rsid w:val="00A60AC1"/>
    <w:rsid w:val="00A60FC2"/>
    <w:rsid w:val="00A712C9"/>
    <w:rsid w:val="00A72F46"/>
    <w:rsid w:val="00A90AD4"/>
    <w:rsid w:val="00AA1A4F"/>
    <w:rsid w:val="00AA50B5"/>
    <w:rsid w:val="00AA6E21"/>
    <w:rsid w:val="00AB32C2"/>
    <w:rsid w:val="00AB362E"/>
    <w:rsid w:val="00AB52E8"/>
    <w:rsid w:val="00AB6097"/>
    <w:rsid w:val="00AE477D"/>
    <w:rsid w:val="00AF1792"/>
    <w:rsid w:val="00AF5125"/>
    <w:rsid w:val="00B039DD"/>
    <w:rsid w:val="00B03B6F"/>
    <w:rsid w:val="00B10A6D"/>
    <w:rsid w:val="00B31E6D"/>
    <w:rsid w:val="00B335D6"/>
    <w:rsid w:val="00B41DAB"/>
    <w:rsid w:val="00B61544"/>
    <w:rsid w:val="00B64098"/>
    <w:rsid w:val="00B645E8"/>
    <w:rsid w:val="00B96DA1"/>
    <w:rsid w:val="00BA108A"/>
    <w:rsid w:val="00BD04BE"/>
    <w:rsid w:val="00BD475D"/>
    <w:rsid w:val="00BD4D62"/>
    <w:rsid w:val="00BE4E23"/>
    <w:rsid w:val="00BF7EF3"/>
    <w:rsid w:val="00C056F3"/>
    <w:rsid w:val="00C1129F"/>
    <w:rsid w:val="00C153B3"/>
    <w:rsid w:val="00C531CD"/>
    <w:rsid w:val="00C54343"/>
    <w:rsid w:val="00C80ACA"/>
    <w:rsid w:val="00C81D2C"/>
    <w:rsid w:val="00C931F0"/>
    <w:rsid w:val="00C97530"/>
    <w:rsid w:val="00CB0C2D"/>
    <w:rsid w:val="00CB52AA"/>
    <w:rsid w:val="00CC3051"/>
    <w:rsid w:val="00CC3867"/>
    <w:rsid w:val="00CC7033"/>
    <w:rsid w:val="00CC7437"/>
    <w:rsid w:val="00CE7087"/>
    <w:rsid w:val="00CF021B"/>
    <w:rsid w:val="00CF3C12"/>
    <w:rsid w:val="00CF56A7"/>
    <w:rsid w:val="00D00EF0"/>
    <w:rsid w:val="00D01402"/>
    <w:rsid w:val="00D07549"/>
    <w:rsid w:val="00D3467D"/>
    <w:rsid w:val="00D465C0"/>
    <w:rsid w:val="00D474B0"/>
    <w:rsid w:val="00D51E13"/>
    <w:rsid w:val="00D56735"/>
    <w:rsid w:val="00D64955"/>
    <w:rsid w:val="00D7600E"/>
    <w:rsid w:val="00D778C7"/>
    <w:rsid w:val="00D84034"/>
    <w:rsid w:val="00D94799"/>
    <w:rsid w:val="00DC44DF"/>
    <w:rsid w:val="00DC62B4"/>
    <w:rsid w:val="00DD1D97"/>
    <w:rsid w:val="00DD6D97"/>
    <w:rsid w:val="00DE0EB0"/>
    <w:rsid w:val="00DE440A"/>
    <w:rsid w:val="00DE59B2"/>
    <w:rsid w:val="00DF0E67"/>
    <w:rsid w:val="00DF5A08"/>
    <w:rsid w:val="00E04171"/>
    <w:rsid w:val="00E10F69"/>
    <w:rsid w:val="00E1186A"/>
    <w:rsid w:val="00E14B61"/>
    <w:rsid w:val="00E17957"/>
    <w:rsid w:val="00E34377"/>
    <w:rsid w:val="00E34A07"/>
    <w:rsid w:val="00E35557"/>
    <w:rsid w:val="00E40457"/>
    <w:rsid w:val="00E43C57"/>
    <w:rsid w:val="00E46827"/>
    <w:rsid w:val="00E46D13"/>
    <w:rsid w:val="00E67A99"/>
    <w:rsid w:val="00E72B60"/>
    <w:rsid w:val="00E84AE6"/>
    <w:rsid w:val="00E87648"/>
    <w:rsid w:val="00E97A83"/>
    <w:rsid w:val="00EA2705"/>
    <w:rsid w:val="00EC09EF"/>
    <w:rsid w:val="00EF2DB7"/>
    <w:rsid w:val="00EF47F3"/>
    <w:rsid w:val="00F024A7"/>
    <w:rsid w:val="00F13E6F"/>
    <w:rsid w:val="00F201B3"/>
    <w:rsid w:val="00F318B4"/>
    <w:rsid w:val="00F32450"/>
    <w:rsid w:val="00F328A4"/>
    <w:rsid w:val="00F36710"/>
    <w:rsid w:val="00F571E6"/>
    <w:rsid w:val="00F65226"/>
    <w:rsid w:val="00F6598B"/>
    <w:rsid w:val="00F764B1"/>
    <w:rsid w:val="00F95942"/>
    <w:rsid w:val="00F961EA"/>
    <w:rsid w:val="00FA17F6"/>
    <w:rsid w:val="00FB515C"/>
    <w:rsid w:val="00FC6ABA"/>
    <w:rsid w:val="00FD0A9E"/>
    <w:rsid w:val="00FD7A35"/>
    <w:rsid w:val="00F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4B80B-489F-43CB-82FC-EC8BD46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560"/>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5"/>
    <w:uiPriority w:val="99"/>
    <w:unhideWhenUsed/>
    <w:qFormat/>
    <w:rsid w:val="003F2560"/>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semiHidden/>
    <w:locked/>
    <w:rsid w:val="003F2560"/>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semiHidden/>
    <w:unhideWhenUsed/>
    <w:qFormat/>
    <w:rsid w:val="003F2560"/>
    <w:pPr>
      <w:spacing w:after="0" w:line="240" w:lineRule="auto"/>
    </w:pPr>
    <w:rPr>
      <w:sz w:val="20"/>
      <w:szCs w:val="20"/>
    </w:rPr>
  </w:style>
  <w:style w:type="character" w:customStyle="1" w:styleId="FootnoteTextChar1">
    <w:name w:val="Footnote Text Char1"/>
    <w:basedOn w:val="a0"/>
    <w:uiPriority w:val="99"/>
    <w:semiHidden/>
    <w:rsid w:val="003F2560"/>
    <w:rPr>
      <w:sz w:val="20"/>
      <w:szCs w:val="20"/>
    </w:rPr>
  </w:style>
  <w:style w:type="paragraph" w:customStyle="1" w:styleId="cn">
    <w:name w:val="cn"/>
    <w:basedOn w:val="a"/>
    <w:uiPriority w:val="99"/>
    <w:rsid w:val="003F256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a"/>
    <w:link w:val="FootnoteReference1"/>
    <w:uiPriority w:val="99"/>
    <w:qFormat/>
    <w:rsid w:val="003F2560"/>
    <w:pPr>
      <w:spacing w:line="240" w:lineRule="exact"/>
    </w:pPr>
    <w:rPr>
      <w:vertAlign w:val="superscript"/>
      <w:lang w:val="ro-MD"/>
    </w:rPr>
  </w:style>
  <w:style w:type="paragraph" w:customStyle="1" w:styleId="cp">
    <w:name w:val="cp"/>
    <w:basedOn w:val="a"/>
    <w:uiPriority w:val="99"/>
    <w:rsid w:val="003F256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3F2560"/>
    <w:rPr>
      <w:vertAlign w:val="superscript"/>
      <w:lang w:val="ro-MD"/>
    </w:rPr>
  </w:style>
  <w:style w:type="paragraph" w:styleId="a8">
    <w:name w:val="header"/>
    <w:basedOn w:val="a"/>
    <w:link w:val="a9"/>
    <w:uiPriority w:val="99"/>
    <w:unhideWhenUsed/>
    <w:rsid w:val="003F256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F2560"/>
  </w:style>
  <w:style w:type="paragraph" w:styleId="aa">
    <w:name w:val="footer"/>
    <w:basedOn w:val="a"/>
    <w:link w:val="ab"/>
    <w:uiPriority w:val="99"/>
    <w:unhideWhenUsed/>
    <w:rsid w:val="003F256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F2560"/>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4"/>
    <w:uiPriority w:val="99"/>
    <w:locked/>
    <w:rsid w:val="003F2560"/>
    <w:rPr>
      <w:rFonts w:ascii="Times New Roman" w:eastAsia="Times New Roman" w:hAnsi="Times New Roman" w:cs="Times New Roman"/>
      <w:sz w:val="24"/>
      <w:szCs w:val="24"/>
    </w:rPr>
  </w:style>
  <w:style w:type="character" w:styleId="ac">
    <w:name w:val="annotation reference"/>
    <w:basedOn w:val="a0"/>
    <w:uiPriority w:val="99"/>
    <w:semiHidden/>
    <w:unhideWhenUsed/>
    <w:rsid w:val="00FC6ABA"/>
    <w:rPr>
      <w:sz w:val="16"/>
      <w:szCs w:val="16"/>
    </w:rPr>
  </w:style>
  <w:style w:type="paragraph" w:styleId="ad">
    <w:name w:val="annotation text"/>
    <w:basedOn w:val="a"/>
    <w:link w:val="ae"/>
    <w:uiPriority w:val="99"/>
    <w:semiHidden/>
    <w:unhideWhenUsed/>
    <w:rsid w:val="00FC6ABA"/>
    <w:pPr>
      <w:spacing w:line="240" w:lineRule="auto"/>
    </w:pPr>
    <w:rPr>
      <w:sz w:val="20"/>
      <w:szCs w:val="20"/>
    </w:rPr>
  </w:style>
  <w:style w:type="character" w:customStyle="1" w:styleId="ae">
    <w:name w:val="Текст примечания Знак"/>
    <w:basedOn w:val="a0"/>
    <w:link w:val="ad"/>
    <w:uiPriority w:val="99"/>
    <w:semiHidden/>
    <w:rsid w:val="00FC6ABA"/>
    <w:rPr>
      <w:sz w:val="20"/>
      <w:szCs w:val="20"/>
    </w:rPr>
  </w:style>
  <w:style w:type="paragraph" w:styleId="af">
    <w:name w:val="annotation subject"/>
    <w:basedOn w:val="ad"/>
    <w:next w:val="ad"/>
    <w:link w:val="af0"/>
    <w:uiPriority w:val="99"/>
    <w:semiHidden/>
    <w:unhideWhenUsed/>
    <w:rsid w:val="00FC6ABA"/>
    <w:rPr>
      <w:b/>
      <w:bCs/>
    </w:rPr>
  </w:style>
  <w:style w:type="character" w:customStyle="1" w:styleId="af0">
    <w:name w:val="Тема примечания Знак"/>
    <w:basedOn w:val="ae"/>
    <w:link w:val="af"/>
    <w:uiPriority w:val="99"/>
    <w:semiHidden/>
    <w:rsid w:val="00FC6ABA"/>
    <w:rPr>
      <w:b/>
      <w:bCs/>
      <w:sz w:val="20"/>
      <w:szCs w:val="20"/>
    </w:rPr>
  </w:style>
  <w:style w:type="paragraph" w:styleId="af1">
    <w:name w:val="Balloon Text"/>
    <w:basedOn w:val="a"/>
    <w:link w:val="af2"/>
    <w:uiPriority w:val="99"/>
    <w:semiHidden/>
    <w:unhideWhenUsed/>
    <w:rsid w:val="00FC6A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C6ABA"/>
    <w:rPr>
      <w:rFonts w:ascii="Segoe UI" w:hAnsi="Segoe UI" w:cs="Segoe UI"/>
      <w:sz w:val="18"/>
      <w:szCs w:val="18"/>
    </w:rPr>
  </w:style>
  <w:style w:type="character" w:styleId="af3">
    <w:name w:val="footnote reference"/>
    <w:basedOn w:val="a0"/>
    <w:uiPriority w:val="99"/>
    <w:semiHidden/>
    <w:unhideWhenUsed/>
    <w:rsid w:val="00126438"/>
    <w:rPr>
      <w:vertAlign w:val="superscript"/>
    </w:rPr>
  </w:style>
  <w:style w:type="paragraph" w:styleId="af4">
    <w:name w:val="List Paragraph"/>
    <w:basedOn w:val="a"/>
    <w:uiPriority w:val="34"/>
    <w:qFormat/>
    <w:rsid w:val="001E2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9889-93DE-4444-B2A0-05276234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3</cp:revision>
  <cp:lastPrinted>2022-06-01T06:28:00Z</cp:lastPrinted>
  <dcterms:created xsi:type="dcterms:W3CDTF">2022-06-08T07:36:00Z</dcterms:created>
  <dcterms:modified xsi:type="dcterms:W3CDTF">2022-06-08T10:13:00Z</dcterms:modified>
</cp:coreProperties>
</file>