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45" w:rsidRPr="00606103" w:rsidRDefault="00C26645" w:rsidP="00FE3F3B">
      <w:pPr>
        <w:tabs>
          <w:tab w:val="left" w:pos="720"/>
        </w:tabs>
        <w:spacing w:after="0" w:line="276" w:lineRule="auto"/>
        <w:jc w:val="right"/>
        <w:rPr>
          <w:rFonts w:asciiTheme="majorHAnsi" w:eastAsia="Times New Roman" w:hAnsiTheme="majorHAnsi" w:cstheme="majorHAnsi"/>
          <w:sz w:val="24"/>
          <w:szCs w:val="24"/>
          <w:lang w:val="ro-MD"/>
        </w:rPr>
      </w:pPr>
      <w:bookmarkStart w:id="0" w:name="_GoBack"/>
      <w:bookmarkEnd w:id="0"/>
    </w:p>
    <w:p w:rsidR="00C26645" w:rsidRPr="00606103" w:rsidRDefault="00C26645" w:rsidP="00FE3F3B">
      <w:pPr>
        <w:tabs>
          <w:tab w:val="left" w:pos="720"/>
        </w:tabs>
        <w:spacing w:after="0" w:line="276" w:lineRule="auto"/>
        <w:jc w:val="right"/>
        <w:rPr>
          <w:rFonts w:asciiTheme="majorHAnsi" w:eastAsia="Times New Roman" w:hAnsiTheme="majorHAnsi" w:cstheme="majorHAnsi"/>
          <w:sz w:val="24"/>
          <w:szCs w:val="24"/>
          <w:lang w:val="ro-MD"/>
        </w:rPr>
      </w:pPr>
      <w:r w:rsidRPr="00606103">
        <w:rPr>
          <w:rFonts w:asciiTheme="majorHAnsi" w:eastAsia="Times New Roman" w:hAnsiTheme="majorHAnsi" w:cstheme="majorHAnsi"/>
          <w:sz w:val="24"/>
          <w:szCs w:val="24"/>
          <w:lang w:val="ro-MD"/>
        </w:rPr>
        <w:t xml:space="preserve">Anexă </w:t>
      </w:r>
    </w:p>
    <w:p w:rsidR="00C26645" w:rsidRPr="00606103" w:rsidRDefault="00C26645" w:rsidP="00FE3F3B">
      <w:pPr>
        <w:tabs>
          <w:tab w:val="left" w:pos="720"/>
        </w:tabs>
        <w:spacing w:after="0" w:line="276" w:lineRule="auto"/>
        <w:jc w:val="right"/>
        <w:rPr>
          <w:rFonts w:asciiTheme="majorHAnsi" w:eastAsia="Times New Roman" w:hAnsiTheme="majorHAnsi" w:cstheme="majorHAnsi"/>
          <w:bCs/>
          <w:sz w:val="24"/>
          <w:szCs w:val="24"/>
          <w:lang w:val="ro-MD"/>
        </w:rPr>
      </w:pPr>
      <w:r w:rsidRPr="00606103">
        <w:rPr>
          <w:rFonts w:asciiTheme="majorHAnsi" w:eastAsia="Times New Roman" w:hAnsiTheme="majorHAnsi" w:cstheme="majorHAnsi"/>
          <w:sz w:val="24"/>
          <w:szCs w:val="24"/>
          <w:lang w:val="ro-MD"/>
        </w:rPr>
        <w:t xml:space="preserve">la Hotărârea Curții de Conturi </w:t>
      </w:r>
    </w:p>
    <w:p w:rsidR="00C26645" w:rsidRPr="00606103" w:rsidRDefault="00C26645" w:rsidP="00FE3F3B">
      <w:pPr>
        <w:tabs>
          <w:tab w:val="left" w:pos="720"/>
        </w:tabs>
        <w:spacing w:after="0" w:line="276" w:lineRule="auto"/>
        <w:jc w:val="right"/>
        <w:rPr>
          <w:rFonts w:asciiTheme="majorHAnsi" w:eastAsia="Times New Roman" w:hAnsiTheme="majorHAnsi" w:cstheme="majorHAnsi"/>
          <w:bCs/>
          <w:color w:val="1F4E79" w:themeColor="accent1" w:themeShade="80"/>
          <w:sz w:val="24"/>
          <w:szCs w:val="24"/>
          <w:lang w:val="ro-MD"/>
        </w:rPr>
      </w:pPr>
      <w:r w:rsidRPr="00606103">
        <w:rPr>
          <w:rFonts w:asciiTheme="majorHAnsi" w:eastAsia="Times New Roman" w:hAnsiTheme="majorHAnsi" w:cstheme="majorHAnsi"/>
          <w:sz w:val="24"/>
          <w:szCs w:val="24"/>
          <w:lang w:val="ro-MD"/>
        </w:rPr>
        <w:t xml:space="preserve">nr. </w:t>
      </w:r>
      <w:r w:rsidR="006C41A3" w:rsidRPr="00606103">
        <w:rPr>
          <w:rFonts w:asciiTheme="majorHAnsi" w:eastAsia="Times New Roman" w:hAnsiTheme="majorHAnsi" w:cstheme="majorHAnsi"/>
          <w:sz w:val="24"/>
          <w:szCs w:val="24"/>
          <w:lang w:val="ro-MD"/>
        </w:rPr>
        <w:t>24</w:t>
      </w:r>
      <w:r w:rsidR="00A20803" w:rsidRPr="00606103">
        <w:rPr>
          <w:rFonts w:asciiTheme="majorHAnsi" w:eastAsia="Times New Roman" w:hAnsiTheme="majorHAnsi" w:cstheme="majorHAnsi"/>
          <w:sz w:val="24"/>
          <w:szCs w:val="24"/>
          <w:lang w:val="ro-MD"/>
        </w:rPr>
        <w:t xml:space="preserve"> </w:t>
      </w:r>
      <w:r w:rsidRPr="00606103">
        <w:rPr>
          <w:rFonts w:asciiTheme="majorHAnsi" w:eastAsia="Times New Roman" w:hAnsiTheme="majorHAnsi" w:cstheme="majorHAnsi"/>
          <w:sz w:val="24"/>
          <w:szCs w:val="24"/>
          <w:lang w:val="ro-MD"/>
        </w:rPr>
        <w:t>din 30 mai 2022</w:t>
      </w:r>
    </w:p>
    <w:p w:rsidR="00C26645" w:rsidRPr="00606103" w:rsidRDefault="00C26645" w:rsidP="00FE3F3B">
      <w:pPr>
        <w:spacing w:after="0" w:line="276" w:lineRule="auto"/>
        <w:jc w:val="center"/>
        <w:rPr>
          <w:rFonts w:asciiTheme="majorHAnsi" w:hAnsiTheme="majorHAnsi" w:cstheme="majorHAnsi"/>
          <w:b/>
          <w:sz w:val="24"/>
          <w:szCs w:val="24"/>
          <w:lang w:val="ro-MD"/>
        </w:rPr>
      </w:pPr>
    </w:p>
    <w:p w:rsidR="00C26645" w:rsidRPr="00606103" w:rsidRDefault="00C26645" w:rsidP="00FE3F3B">
      <w:pPr>
        <w:spacing w:after="0" w:line="276" w:lineRule="auto"/>
        <w:jc w:val="center"/>
        <w:rPr>
          <w:rFonts w:asciiTheme="majorHAnsi" w:hAnsiTheme="majorHAnsi" w:cstheme="majorHAnsi"/>
          <w:b/>
          <w:sz w:val="24"/>
          <w:szCs w:val="24"/>
          <w:lang w:val="ro-MD"/>
        </w:rPr>
      </w:pPr>
      <w:r w:rsidRPr="00606103">
        <w:rPr>
          <w:rFonts w:asciiTheme="majorHAnsi" w:hAnsiTheme="majorHAnsi" w:cstheme="majorHAnsi"/>
          <w:b/>
          <w:bCs/>
          <w:noProof/>
          <w:sz w:val="24"/>
          <w:szCs w:val="24"/>
          <w:lang w:val="en-US"/>
        </w:rPr>
        <w:drawing>
          <wp:inline distT="0" distB="0" distL="0" distR="0" wp14:anchorId="0C829876" wp14:editId="091FAB5B">
            <wp:extent cx="137795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C26645" w:rsidRPr="00606103" w:rsidRDefault="00C26645" w:rsidP="00FE3F3B">
      <w:pPr>
        <w:spacing w:after="0" w:line="276" w:lineRule="auto"/>
        <w:jc w:val="center"/>
        <w:rPr>
          <w:rFonts w:asciiTheme="majorHAnsi" w:hAnsiTheme="majorHAnsi" w:cstheme="majorHAnsi"/>
          <w:b/>
          <w:sz w:val="24"/>
          <w:szCs w:val="24"/>
          <w:lang w:val="ro-MD"/>
        </w:rPr>
      </w:pPr>
    </w:p>
    <w:p w:rsidR="00C26645" w:rsidRPr="00606103" w:rsidRDefault="00C26645" w:rsidP="00FE3F3B">
      <w:pPr>
        <w:spacing w:after="0" w:line="276" w:lineRule="auto"/>
        <w:jc w:val="center"/>
        <w:rPr>
          <w:rFonts w:asciiTheme="majorHAnsi" w:hAnsiTheme="majorHAnsi" w:cstheme="majorHAnsi"/>
          <w:b/>
          <w:sz w:val="24"/>
          <w:szCs w:val="24"/>
          <w:lang w:val="ro-MD"/>
        </w:rPr>
      </w:pPr>
    </w:p>
    <w:p w:rsidR="00C26645" w:rsidRPr="00606103" w:rsidRDefault="00C26645" w:rsidP="00FE3F3B">
      <w:pPr>
        <w:spacing w:after="0" w:line="276" w:lineRule="auto"/>
        <w:rPr>
          <w:rFonts w:asciiTheme="majorHAnsi" w:hAnsiTheme="majorHAnsi" w:cstheme="majorHAnsi"/>
          <w:b/>
          <w:sz w:val="24"/>
          <w:szCs w:val="24"/>
          <w:lang w:val="ro-MD"/>
        </w:rPr>
      </w:pPr>
    </w:p>
    <w:p w:rsidR="00C26645" w:rsidRPr="00606103" w:rsidRDefault="00C26645" w:rsidP="00FE3F3B">
      <w:pPr>
        <w:spacing w:after="0" w:line="276" w:lineRule="auto"/>
        <w:jc w:val="center"/>
        <w:rPr>
          <w:rFonts w:asciiTheme="majorHAnsi" w:hAnsiTheme="majorHAnsi" w:cstheme="majorHAnsi"/>
          <w:b/>
          <w:sz w:val="24"/>
          <w:szCs w:val="24"/>
          <w:lang w:val="ro-MD"/>
        </w:rPr>
      </w:pPr>
      <w:r w:rsidRPr="00606103">
        <w:rPr>
          <w:rFonts w:asciiTheme="majorHAnsi" w:hAnsiTheme="majorHAnsi" w:cstheme="majorHAnsi"/>
          <w:b/>
          <w:bCs/>
          <w:sz w:val="24"/>
          <w:szCs w:val="24"/>
          <w:lang w:val="ro-MD"/>
        </w:rPr>
        <w:t>CURTEA DE CONTURI A REPUBLICII MOLDOVA</w:t>
      </w:r>
    </w:p>
    <w:p w:rsidR="00C26645" w:rsidRPr="00606103" w:rsidRDefault="00C26645" w:rsidP="00FE3F3B">
      <w:pPr>
        <w:spacing w:after="0" w:line="276" w:lineRule="auto"/>
        <w:rPr>
          <w:rFonts w:asciiTheme="majorHAnsi" w:hAnsiTheme="majorHAnsi" w:cstheme="majorHAnsi"/>
          <w:sz w:val="24"/>
          <w:szCs w:val="24"/>
          <w:lang w:val="ro-MD"/>
        </w:rPr>
      </w:pPr>
    </w:p>
    <w:p w:rsidR="00C26645" w:rsidRPr="00606103" w:rsidRDefault="00C26645" w:rsidP="00FE3F3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rsidR="00C26645" w:rsidRPr="00606103" w:rsidRDefault="00C26645" w:rsidP="00FE3F3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C26645" w:rsidRPr="00606103" w:rsidTr="00D31FE8">
        <w:trPr>
          <w:trHeight w:val="435"/>
        </w:trPr>
        <w:tc>
          <w:tcPr>
            <w:tcW w:w="9350" w:type="dxa"/>
          </w:tcPr>
          <w:p w:rsidR="00A20803" w:rsidRPr="00606103" w:rsidRDefault="00C26645" w:rsidP="00FE3F3B">
            <w:pPr>
              <w:tabs>
                <w:tab w:val="left" w:pos="0"/>
              </w:tabs>
              <w:spacing w:after="0" w:line="276" w:lineRule="auto"/>
              <w:jc w:val="center"/>
              <w:rPr>
                <w:rFonts w:asciiTheme="majorHAnsi" w:hAnsiTheme="majorHAnsi" w:cstheme="majorHAnsi"/>
                <w:sz w:val="24"/>
                <w:szCs w:val="24"/>
                <w:lang w:val="ro-MD"/>
              </w:rPr>
            </w:pPr>
            <w:r w:rsidRPr="00606103">
              <w:rPr>
                <w:rFonts w:asciiTheme="majorHAnsi" w:hAnsiTheme="majorHAnsi" w:cstheme="majorHAnsi"/>
                <w:sz w:val="24"/>
                <w:szCs w:val="24"/>
                <w:lang w:val="ro-MD"/>
              </w:rPr>
              <w:t xml:space="preserve">MD-2001, mun. Chișinău, bd Ștefan cel Mare și Sfânt nr.69, tel.: (+373) 26 60 02, </w:t>
            </w:r>
          </w:p>
          <w:p w:rsidR="00C26645" w:rsidRPr="00606103" w:rsidRDefault="00C26645" w:rsidP="00FE3F3B">
            <w:pPr>
              <w:tabs>
                <w:tab w:val="left" w:pos="720"/>
              </w:tabs>
              <w:spacing w:after="0" w:line="276" w:lineRule="auto"/>
              <w:jc w:val="center"/>
              <w:rPr>
                <w:rFonts w:asciiTheme="majorHAnsi" w:hAnsiTheme="majorHAnsi" w:cstheme="majorHAnsi"/>
                <w:b/>
                <w:color w:val="0563C1" w:themeColor="hyperlink"/>
                <w:sz w:val="24"/>
                <w:szCs w:val="24"/>
                <w:u w:val="single"/>
                <w:lang w:val="ro-MD"/>
              </w:rPr>
            </w:pPr>
            <w:r w:rsidRPr="00606103">
              <w:rPr>
                <w:rFonts w:asciiTheme="majorHAnsi" w:hAnsiTheme="majorHAnsi" w:cstheme="majorHAnsi"/>
                <w:sz w:val="24"/>
                <w:szCs w:val="24"/>
                <w:lang w:val="ro-MD"/>
              </w:rPr>
              <w:t>fax: (+373 22) 26 61 00</w:t>
            </w:r>
            <w:r w:rsidR="00A20803" w:rsidRPr="00606103">
              <w:rPr>
                <w:rFonts w:asciiTheme="majorHAnsi" w:hAnsiTheme="majorHAnsi" w:cstheme="majorHAnsi"/>
                <w:sz w:val="24"/>
                <w:szCs w:val="24"/>
                <w:lang w:val="ro-MD"/>
              </w:rPr>
              <w:t xml:space="preserve"> </w:t>
            </w:r>
            <w:hyperlink r:id="rId9" w:history="1">
              <w:r w:rsidRPr="00606103">
                <w:rPr>
                  <w:rStyle w:val="Hyperlink"/>
                  <w:rFonts w:asciiTheme="majorHAnsi" w:hAnsiTheme="majorHAnsi" w:cstheme="majorHAnsi"/>
                  <w:sz w:val="24"/>
                  <w:szCs w:val="24"/>
                  <w:lang w:val="ro-MD"/>
                </w:rPr>
                <w:t>www.ccrm.md</w:t>
              </w:r>
            </w:hyperlink>
            <w:r w:rsidRPr="00606103">
              <w:rPr>
                <w:rStyle w:val="Hyperlink"/>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e-mail: </w:t>
            </w:r>
            <w:hyperlink r:id="rId10" w:history="1">
              <w:r w:rsidRPr="00606103">
                <w:rPr>
                  <w:rStyle w:val="Hyperlink"/>
                  <w:rFonts w:asciiTheme="majorHAnsi" w:hAnsiTheme="majorHAnsi" w:cstheme="majorHAnsi"/>
                  <w:sz w:val="24"/>
                  <w:szCs w:val="24"/>
                  <w:lang w:val="ro-MD"/>
                </w:rPr>
                <w:t>ccrm@ccrm.md</w:t>
              </w:r>
            </w:hyperlink>
          </w:p>
        </w:tc>
      </w:tr>
    </w:tbl>
    <w:p w:rsidR="00C26645" w:rsidRPr="00606103" w:rsidRDefault="00C26645" w:rsidP="00FE3F3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rsidR="00C26645" w:rsidRPr="00606103" w:rsidRDefault="00C26645" w:rsidP="00FE3F3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rsidR="00C26645" w:rsidRPr="00606103" w:rsidRDefault="00C26645" w:rsidP="00FE3F3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rsidR="00C26645" w:rsidRPr="00606103" w:rsidRDefault="00C26645" w:rsidP="00FE3F3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rsidR="00C26645" w:rsidRPr="00606103" w:rsidRDefault="00C26645" w:rsidP="00FE3F3B">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rsidR="00C26645" w:rsidRPr="00606103" w:rsidRDefault="00C26645" w:rsidP="00FE3F3B">
      <w:pPr>
        <w:tabs>
          <w:tab w:val="left" w:pos="720"/>
        </w:tabs>
        <w:spacing w:after="0" w:line="276" w:lineRule="auto"/>
        <w:ind w:firstLine="720"/>
        <w:jc w:val="center"/>
        <w:rPr>
          <w:rFonts w:asciiTheme="majorHAnsi" w:eastAsia="Times New Roman" w:hAnsiTheme="majorHAnsi" w:cstheme="majorHAnsi"/>
          <w:b/>
          <w:bCs/>
          <w:sz w:val="24"/>
          <w:szCs w:val="24"/>
          <w:lang w:val="ro-MD"/>
        </w:rPr>
      </w:pPr>
      <w:r w:rsidRPr="00606103">
        <w:rPr>
          <w:rFonts w:asciiTheme="majorHAnsi" w:eastAsia="Times New Roman" w:hAnsiTheme="majorHAnsi" w:cstheme="majorHAnsi"/>
          <w:b/>
          <w:bCs/>
          <w:sz w:val="24"/>
          <w:szCs w:val="24"/>
          <w:lang w:val="ro-MD"/>
        </w:rPr>
        <w:t>.</w:t>
      </w:r>
    </w:p>
    <w:p w:rsidR="00C26645" w:rsidRPr="00606103" w:rsidRDefault="00C26645" w:rsidP="00FE3F3B">
      <w:pPr>
        <w:tabs>
          <w:tab w:val="left" w:pos="720"/>
        </w:tabs>
        <w:spacing w:after="0" w:line="276" w:lineRule="auto"/>
        <w:jc w:val="center"/>
        <w:rPr>
          <w:rFonts w:asciiTheme="majorHAnsi" w:eastAsia="Times New Roman" w:hAnsiTheme="majorHAnsi" w:cstheme="majorHAnsi"/>
          <w:b/>
          <w:bCs/>
          <w:sz w:val="32"/>
          <w:szCs w:val="32"/>
          <w:lang w:val="ro-MD"/>
        </w:rPr>
      </w:pPr>
      <w:r w:rsidRPr="00606103">
        <w:rPr>
          <w:rFonts w:asciiTheme="majorHAnsi" w:eastAsia="Times New Roman" w:hAnsiTheme="majorHAnsi" w:cstheme="majorHAnsi"/>
          <w:b/>
          <w:bCs/>
          <w:sz w:val="32"/>
          <w:szCs w:val="32"/>
          <w:lang w:val="ro-MD"/>
        </w:rPr>
        <w:t xml:space="preserve">RAPORTUL </w:t>
      </w:r>
    </w:p>
    <w:p w:rsidR="00C26645" w:rsidRPr="00606103" w:rsidRDefault="00C26645" w:rsidP="00FE3F3B">
      <w:pPr>
        <w:tabs>
          <w:tab w:val="left" w:pos="0"/>
        </w:tabs>
        <w:spacing w:after="0" w:line="276" w:lineRule="auto"/>
        <w:jc w:val="center"/>
        <w:rPr>
          <w:rFonts w:asciiTheme="majorHAnsi" w:eastAsia="Times New Roman" w:hAnsiTheme="majorHAnsi" w:cstheme="majorHAnsi"/>
          <w:b/>
          <w:bCs/>
          <w:sz w:val="32"/>
          <w:szCs w:val="32"/>
          <w:lang w:val="ro-MD"/>
        </w:rPr>
      </w:pPr>
      <w:r w:rsidRPr="00606103">
        <w:rPr>
          <w:rFonts w:asciiTheme="majorHAnsi" w:eastAsia="Times New Roman" w:hAnsiTheme="majorHAnsi" w:cstheme="majorHAnsi"/>
          <w:b/>
          <w:bCs/>
          <w:sz w:val="32"/>
          <w:szCs w:val="32"/>
          <w:lang w:val="ro-MD"/>
        </w:rPr>
        <w:t>auditului financiar asupra Raportului Guvernului privind executarea bugetului de stat pe anul 2021</w:t>
      </w:r>
    </w:p>
    <w:p w:rsidR="00C26645" w:rsidRPr="00606103" w:rsidRDefault="00C26645" w:rsidP="00FE3F3B">
      <w:pPr>
        <w:spacing w:line="276" w:lineRule="auto"/>
        <w:rPr>
          <w:rFonts w:asciiTheme="majorHAnsi" w:hAnsiTheme="majorHAnsi" w:cstheme="majorHAnsi"/>
          <w:lang w:val="ro-MD"/>
        </w:rPr>
      </w:pPr>
    </w:p>
    <w:p w:rsidR="00C26645" w:rsidRPr="00606103" w:rsidRDefault="00C26645" w:rsidP="00FE3F3B">
      <w:pPr>
        <w:spacing w:line="276" w:lineRule="auto"/>
        <w:rPr>
          <w:rFonts w:asciiTheme="majorHAnsi" w:hAnsiTheme="majorHAnsi" w:cstheme="majorHAnsi"/>
          <w:lang w:val="ro-MD"/>
        </w:rPr>
      </w:pPr>
    </w:p>
    <w:p w:rsidR="00C26645" w:rsidRPr="00606103" w:rsidRDefault="00C26645" w:rsidP="00FE3F3B">
      <w:pPr>
        <w:spacing w:line="276" w:lineRule="auto"/>
        <w:rPr>
          <w:rFonts w:asciiTheme="majorHAnsi" w:hAnsiTheme="majorHAnsi" w:cstheme="majorHAnsi"/>
          <w:lang w:val="ro-MD"/>
        </w:rPr>
      </w:pPr>
    </w:p>
    <w:p w:rsidR="00C26645" w:rsidRPr="00606103" w:rsidRDefault="00C26645" w:rsidP="00FE3F3B">
      <w:pPr>
        <w:spacing w:line="276" w:lineRule="auto"/>
        <w:rPr>
          <w:rFonts w:asciiTheme="majorHAnsi" w:hAnsiTheme="majorHAnsi" w:cstheme="majorHAnsi"/>
          <w:lang w:val="ro-MD"/>
        </w:rPr>
      </w:pPr>
    </w:p>
    <w:p w:rsidR="00C26645" w:rsidRPr="00606103" w:rsidRDefault="00C26645" w:rsidP="00FE3F3B">
      <w:pPr>
        <w:spacing w:line="276" w:lineRule="auto"/>
        <w:rPr>
          <w:rFonts w:asciiTheme="majorHAnsi" w:hAnsiTheme="majorHAnsi" w:cstheme="majorHAnsi"/>
          <w:lang w:val="ro-MD"/>
        </w:rPr>
      </w:pPr>
    </w:p>
    <w:p w:rsidR="00C26645" w:rsidRDefault="00C26645" w:rsidP="00FE3F3B">
      <w:pPr>
        <w:spacing w:after="0" w:line="276" w:lineRule="auto"/>
        <w:rPr>
          <w:rFonts w:asciiTheme="majorHAnsi" w:hAnsiTheme="majorHAnsi" w:cstheme="majorHAnsi"/>
          <w:b/>
          <w:sz w:val="24"/>
          <w:szCs w:val="24"/>
          <w:lang w:val="ro-MD"/>
        </w:rPr>
      </w:pPr>
    </w:p>
    <w:p w:rsidR="00B509A3" w:rsidRPr="00606103" w:rsidRDefault="00B509A3" w:rsidP="00FE3F3B">
      <w:pPr>
        <w:spacing w:after="0" w:line="276" w:lineRule="auto"/>
        <w:rPr>
          <w:rFonts w:asciiTheme="majorHAnsi" w:hAnsiTheme="majorHAnsi" w:cstheme="majorHAnsi"/>
          <w:b/>
          <w:sz w:val="24"/>
          <w:szCs w:val="24"/>
          <w:lang w:val="ro-MD"/>
        </w:rPr>
      </w:pPr>
    </w:p>
    <w:p w:rsidR="00C26645" w:rsidRPr="00606103" w:rsidRDefault="00C26645" w:rsidP="00FE3F3B">
      <w:pPr>
        <w:numPr>
          <w:ilvl w:val="0"/>
          <w:numId w:val="1"/>
        </w:numPr>
        <w:tabs>
          <w:tab w:val="left" w:pos="284"/>
        </w:tabs>
        <w:spacing w:after="0" w:line="276" w:lineRule="auto"/>
        <w:ind w:left="0" w:firstLine="0"/>
        <w:contextualSpacing/>
        <w:jc w:val="left"/>
        <w:outlineLvl w:val="0"/>
        <w:rPr>
          <w:rFonts w:asciiTheme="majorHAnsi" w:eastAsia="Times New Roman" w:hAnsiTheme="majorHAnsi" w:cstheme="majorHAnsi"/>
          <w:b/>
          <w:bCs/>
          <w:szCs w:val="28"/>
          <w:lang w:val="ro-MD"/>
        </w:rPr>
      </w:pPr>
      <w:r w:rsidRPr="00606103">
        <w:rPr>
          <w:rFonts w:asciiTheme="majorHAnsi" w:eastAsia="Times New Roman" w:hAnsiTheme="majorHAnsi" w:cstheme="majorHAnsi"/>
          <w:b/>
          <w:bCs/>
          <w:szCs w:val="28"/>
          <w:lang w:val="ro-MD"/>
        </w:rPr>
        <w:lastRenderedPageBreak/>
        <w:t xml:space="preserve">OPINIE </w:t>
      </w:r>
    </w:p>
    <w:p w:rsidR="00C26645" w:rsidRPr="00606103" w:rsidRDefault="00C26645" w:rsidP="00FE3F3B">
      <w:pPr>
        <w:tabs>
          <w:tab w:val="left" w:pos="720"/>
        </w:tabs>
        <w:spacing w:after="0" w:line="276" w:lineRule="auto"/>
        <w:contextualSpacing/>
        <w:rPr>
          <w:rFonts w:asciiTheme="majorHAnsi" w:hAnsiTheme="majorHAnsi" w:cstheme="majorHAnsi"/>
          <w:sz w:val="24"/>
          <w:szCs w:val="24"/>
          <w:lang w:val="ro-MD"/>
        </w:rPr>
      </w:pPr>
      <w:r w:rsidRPr="00606103">
        <w:rPr>
          <w:rFonts w:asciiTheme="majorHAnsi" w:hAnsiTheme="majorHAnsi" w:cstheme="majorHAnsi"/>
          <w:sz w:val="24"/>
          <w:szCs w:val="24"/>
          <w:lang w:val="ro-MD"/>
        </w:rPr>
        <w:t>Am auditat Raportul Guvernului privind executarea bugetului de stat, întocmit de Ministerul Finanțelor pentru exercițiul bugetar încheiat la 31 decembrie 2021, ce cuprinde Formularele nr.1; nr.2; nr.3; nr.3.1; nr.3.2; nr.3.3; nr.3.4; nr.4; nr.5; nr.6; nr.6.1; nr.6.2; nr.7; nr.7.1; nr.7.1.1; nr.8; nr.9; nr.10; nr.11; nr.12 și nr.13, precum și descrierea narativă, cu excepția Formularului nr.14</w:t>
      </w:r>
      <w:r w:rsidRPr="00606103">
        <w:rPr>
          <w:rFonts w:asciiTheme="majorHAnsi" w:eastAsia="Times New Roman" w:hAnsiTheme="majorHAnsi" w:cstheme="majorHAnsi"/>
          <w:bCs/>
          <w:iCs/>
          <w:sz w:val="20"/>
          <w:szCs w:val="20"/>
          <w:lang w:val="ro-MD" w:eastAsia="ru-RU"/>
        </w:rPr>
        <w:t xml:space="preserve"> „</w:t>
      </w:r>
      <w:r w:rsidRPr="00606103">
        <w:rPr>
          <w:rFonts w:asciiTheme="majorHAnsi" w:hAnsiTheme="majorHAnsi" w:cstheme="majorHAnsi"/>
          <w:bCs/>
          <w:iCs/>
          <w:sz w:val="24"/>
          <w:szCs w:val="24"/>
          <w:lang w:val="ro-MD"/>
        </w:rPr>
        <w:t>Raport privind executarea BPN”</w:t>
      </w:r>
      <w:r w:rsidRPr="00606103">
        <w:rPr>
          <w:rStyle w:val="FootnoteReference"/>
          <w:rFonts w:asciiTheme="majorHAnsi" w:hAnsiTheme="majorHAnsi" w:cstheme="majorHAnsi"/>
          <w:bCs/>
          <w:iCs/>
          <w:sz w:val="24"/>
          <w:szCs w:val="24"/>
          <w:lang w:val="ro-MD"/>
        </w:rPr>
        <w:footnoteReference w:id="1"/>
      </w:r>
      <w:r w:rsidRPr="00606103">
        <w:rPr>
          <w:rFonts w:asciiTheme="majorHAnsi" w:hAnsiTheme="majorHAnsi" w:cstheme="majorHAnsi"/>
          <w:sz w:val="24"/>
          <w:szCs w:val="24"/>
          <w:lang w:val="ro-MD"/>
        </w:rPr>
        <w:t>. În opinia noastră, Raportul Guvernului privind executarea bugetului de stat pentru anul 2021 oferă, sub toate aspectele semnificative,</w:t>
      </w:r>
      <w:r w:rsidRPr="00606103">
        <w:rPr>
          <w:rFonts w:asciiTheme="majorHAnsi" w:hAnsiTheme="majorHAnsi" w:cstheme="majorHAnsi"/>
          <w:i/>
          <w:iCs/>
          <w:sz w:val="24"/>
          <w:szCs w:val="24"/>
          <w:lang w:val="ro-MD"/>
        </w:rPr>
        <w:t xml:space="preserve"> o imagine corectă și fidelă privind executarea de casă, </w:t>
      </w:r>
      <w:r w:rsidRPr="00606103">
        <w:rPr>
          <w:rFonts w:asciiTheme="majorHAnsi" w:hAnsiTheme="majorHAnsi" w:cstheme="majorHAnsi"/>
          <w:sz w:val="24"/>
          <w:szCs w:val="24"/>
          <w:lang w:val="ro-MD"/>
        </w:rPr>
        <w:t>în conformitate cu cadrul de raportare financiară aplicabil</w:t>
      </w:r>
      <w:r w:rsidRPr="00606103">
        <w:rPr>
          <w:rFonts w:asciiTheme="majorHAnsi" w:hAnsiTheme="majorHAnsi" w:cstheme="majorHAnsi"/>
          <w:sz w:val="24"/>
          <w:szCs w:val="24"/>
          <w:vertAlign w:val="superscript"/>
          <w:lang w:val="ro-MD"/>
        </w:rPr>
        <w:footnoteReference w:id="2"/>
      </w:r>
      <w:r w:rsidRPr="00606103">
        <w:rPr>
          <w:rFonts w:asciiTheme="majorHAnsi" w:hAnsiTheme="majorHAnsi" w:cstheme="majorHAnsi"/>
          <w:sz w:val="24"/>
          <w:szCs w:val="24"/>
          <w:lang w:val="ro-MD"/>
        </w:rPr>
        <w:t>.</w:t>
      </w:r>
    </w:p>
    <w:p w:rsidR="00C26645" w:rsidRPr="00606103" w:rsidRDefault="00C26645" w:rsidP="00FE3F3B">
      <w:pPr>
        <w:tabs>
          <w:tab w:val="left" w:pos="720"/>
        </w:tabs>
        <w:spacing w:after="0" w:line="276" w:lineRule="auto"/>
        <w:contextualSpacing/>
        <w:rPr>
          <w:rFonts w:asciiTheme="majorHAnsi" w:hAnsiTheme="majorHAnsi" w:cstheme="majorHAnsi"/>
          <w:sz w:val="24"/>
          <w:szCs w:val="24"/>
          <w:lang w:val="ro-MD"/>
        </w:rPr>
      </w:pPr>
    </w:p>
    <w:p w:rsidR="00C26645" w:rsidRPr="00606103" w:rsidRDefault="00C26645" w:rsidP="00FE3F3B">
      <w:pPr>
        <w:numPr>
          <w:ilvl w:val="0"/>
          <w:numId w:val="1"/>
        </w:numPr>
        <w:tabs>
          <w:tab w:val="left" w:pos="284"/>
          <w:tab w:val="left" w:pos="1560"/>
        </w:tabs>
        <w:spacing w:after="0" w:line="276" w:lineRule="auto"/>
        <w:ind w:left="0" w:firstLine="0"/>
        <w:contextualSpacing/>
        <w:jc w:val="left"/>
        <w:outlineLvl w:val="0"/>
        <w:rPr>
          <w:rFonts w:asciiTheme="majorHAnsi" w:eastAsia="Times New Roman" w:hAnsiTheme="majorHAnsi" w:cstheme="majorHAnsi"/>
          <w:b/>
          <w:bCs/>
          <w:szCs w:val="28"/>
          <w:lang w:val="ro-MD"/>
        </w:rPr>
      </w:pPr>
      <w:bookmarkStart w:id="1" w:name="_Toc9338529"/>
      <w:r w:rsidRPr="00606103">
        <w:rPr>
          <w:rFonts w:asciiTheme="majorHAnsi" w:eastAsia="Times New Roman" w:hAnsiTheme="majorHAnsi" w:cstheme="majorHAnsi"/>
          <w:b/>
          <w:bCs/>
          <w:szCs w:val="28"/>
          <w:lang w:val="ro-MD"/>
        </w:rPr>
        <w:t>BAZA PENTRU OPINI</w:t>
      </w:r>
      <w:bookmarkEnd w:id="1"/>
      <w:r w:rsidRPr="00606103">
        <w:rPr>
          <w:rFonts w:asciiTheme="majorHAnsi" w:eastAsia="Times New Roman" w:hAnsiTheme="majorHAnsi" w:cstheme="majorHAnsi"/>
          <w:b/>
          <w:bCs/>
          <w:szCs w:val="28"/>
          <w:lang w:val="ro-MD"/>
        </w:rPr>
        <w:t>E</w:t>
      </w:r>
    </w:p>
    <w:p w:rsidR="00C26645" w:rsidRPr="00606103" w:rsidRDefault="00C26645" w:rsidP="00FE3F3B">
      <w:pPr>
        <w:spacing w:after="0"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Am realizat misiunea de audit în conformitate cu Standardele Internaționale de Audit</w:t>
      </w:r>
      <w:r w:rsidRPr="00606103">
        <w:rPr>
          <w:rFonts w:asciiTheme="majorHAnsi" w:hAnsiTheme="majorHAnsi" w:cstheme="majorHAnsi"/>
          <w:sz w:val="24"/>
          <w:szCs w:val="24"/>
          <w:vertAlign w:val="superscript"/>
          <w:lang w:val="ro-MD"/>
        </w:rPr>
        <w:footnoteReference w:id="3"/>
      </w:r>
      <w:r w:rsidRPr="00606103">
        <w:rPr>
          <w:rFonts w:asciiTheme="majorHAnsi" w:hAnsiTheme="majorHAnsi" w:cstheme="majorHAnsi"/>
          <w:sz w:val="24"/>
          <w:szCs w:val="24"/>
          <w:lang w:val="ro-MD"/>
        </w:rPr>
        <w:t xml:space="preserve">. Responsabilitățile noastre, potrivit standardelor respective, sunt expuse în secțiunea </w:t>
      </w:r>
      <w:r w:rsidRPr="00606103">
        <w:rPr>
          <w:rFonts w:asciiTheme="majorHAnsi" w:hAnsiTheme="majorHAnsi" w:cstheme="majorHAnsi"/>
          <w:i/>
          <w:sz w:val="24"/>
          <w:szCs w:val="24"/>
          <w:lang w:val="ro-MD"/>
        </w:rPr>
        <w:t>Responsabilitățile auditorului într-un audit al situațiilor financiare</w:t>
      </w:r>
      <w:r w:rsidRPr="00606103">
        <w:rPr>
          <w:rFonts w:asciiTheme="majorHAnsi" w:hAnsiTheme="majorHAnsi" w:cstheme="majorHAnsi"/>
          <w:sz w:val="24"/>
          <w:szCs w:val="24"/>
          <w:lang w:val="ro-MD"/>
        </w:rPr>
        <w:t xml:space="preserve"> 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rsidR="00C26645" w:rsidRPr="00606103" w:rsidRDefault="00C26645" w:rsidP="00FE3F3B">
      <w:pPr>
        <w:spacing w:after="0" w:line="276" w:lineRule="auto"/>
        <w:rPr>
          <w:rFonts w:asciiTheme="majorHAnsi" w:eastAsia="Times New Roman" w:hAnsiTheme="majorHAnsi" w:cstheme="majorHAnsi"/>
          <w:iCs/>
          <w:sz w:val="24"/>
          <w:szCs w:val="24"/>
          <w:lang w:val="ro-MD"/>
        </w:rPr>
      </w:pPr>
    </w:p>
    <w:p w:rsidR="00BF4D00" w:rsidRPr="00606103" w:rsidRDefault="00C26645" w:rsidP="00FE3F3B">
      <w:pPr>
        <w:numPr>
          <w:ilvl w:val="0"/>
          <w:numId w:val="1"/>
        </w:numPr>
        <w:tabs>
          <w:tab w:val="left" w:pos="0"/>
          <w:tab w:val="left" w:pos="426"/>
        </w:tabs>
        <w:spacing w:after="0" w:line="276" w:lineRule="auto"/>
        <w:ind w:left="0" w:firstLine="0"/>
        <w:contextualSpacing/>
        <w:jc w:val="left"/>
        <w:outlineLvl w:val="0"/>
        <w:rPr>
          <w:rFonts w:asciiTheme="majorHAnsi" w:eastAsia="Times New Roman" w:hAnsiTheme="majorHAnsi" w:cstheme="majorHAnsi"/>
          <w:b/>
          <w:bCs/>
          <w:szCs w:val="28"/>
          <w:lang w:val="ro-MD"/>
        </w:rPr>
      </w:pPr>
      <w:r w:rsidRPr="00606103">
        <w:rPr>
          <w:rFonts w:asciiTheme="majorHAnsi" w:eastAsia="Times New Roman" w:hAnsiTheme="majorHAnsi" w:cstheme="majorHAnsi"/>
          <w:b/>
          <w:bCs/>
          <w:szCs w:val="28"/>
          <w:lang w:val="ro-MD"/>
        </w:rPr>
        <w:t>PARAGRAF DE EVIDENȚIERE A UNOR ASPECTE</w:t>
      </w:r>
    </w:p>
    <w:p w:rsidR="00AB2C86" w:rsidRPr="00606103" w:rsidRDefault="00027615" w:rsidP="00FE3F3B">
      <w:pPr>
        <w:pStyle w:val="Heading2"/>
        <w:spacing w:line="276" w:lineRule="auto"/>
        <w:rPr>
          <w:rFonts w:eastAsia="Times New Roman" w:cstheme="majorHAnsi"/>
          <w:b/>
          <w:bCs/>
          <w:color w:val="auto"/>
          <w:sz w:val="24"/>
          <w:szCs w:val="24"/>
          <w:lang w:val="ro-MD"/>
        </w:rPr>
      </w:pPr>
      <w:r w:rsidRPr="00606103">
        <w:rPr>
          <w:rFonts w:cstheme="majorHAnsi"/>
          <w:b/>
          <w:color w:val="auto"/>
          <w:sz w:val="24"/>
          <w:szCs w:val="24"/>
          <w:lang w:val="ro-MD"/>
        </w:rPr>
        <w:t xml:space="preserve">3.1. </w:t>
      </w:r>
      <w:r w:rsidR="00B22A5A" w:rsidRPr="00606103">
        <w:rPr>
          <w:rFonts w:cstheme="majorHAnsi"/>
          <w:b/>
          <w:color w:val="auto"/>
          <w:sz w:val="24"/>
          <w:szCs w:val="24"/>
          <w:lang w:val="ro-MD"/>
        </w:rPr>
        <w:t>Atragem atenția asupra reflectării soldurilor în Bilanțul contabil privind executarea bugetului de stat pe anul 2021</w:t>
      </w:r>
      <w:r w:rsidR="00E43D7A" w:rsidRPr="00606103">
        <w:rPr>
          <w:rStyle w:val="FootnoteReference"/>
          <w:rFonts w:cstheme="majorHAnsi"/>
          <w:b/>
          <w:color w:val="auto"/>
          <w:sz w:val="24"/>
          <w:szCs w:val="24"/>
          <w:lang w:val="ro-MD"/>
        </w:rPr>
        <w:footnoteReference w:id="4"/>
      </w:r>
      <w:r w:rsidR="00B22A5A" w:rsidRPr="00606103">
        <w:rPr>
          <w:rFonts w:cstheme="majorHAnsi"/>
          <w:b/>
          <w:color w:val="auto"/>
          <w:sz w:val="24"/>
          <w:szCs w:val="24"/>
          <w:lang w:val="ro-MD"/>
        </w:rPr>
        <w:t xml:space="preserve"> care nu oferă comparabilitate</w:t>
      </w:r>
      <w:r w:rsidR="00E43D7A" w:rsidRPr="00606103">
        <w:rPr>
          <w:rFonts w:cstheme="majorHAnsi"/>
          <w:b/>
          <w:color w:val="auto"/>
          <w:sz w:val="24"/>
          <w:szCs w:val="24"/>
          <w:lang w:val="ro-MD"/>
        </w:rPr>
        <w:t xml:space="preserve"> </w:t>
      </w:r>
      <w:r w:rsidR="000A0AB5" w:rsidRPr="00606103">
        <w:rPr>
          <w:rFonts w:cstheme="majorHAnsi"/>
          <w:b/>
          <w:color w:val="auto"/>
          <w:sz w:val="24"/>
          <w:szCs w:val="24"/>
          <w:lang w:val="ro-MD"/>
        </w:rPr>
        <w:t>cu</w:t>
      </w:r>
      <w:r w:rsidR="00E43D7A" w:rsidRPr="00606103">
        <w:rPr>
          <w:rFonts w:cstheme="majorHAnsi"/>
          <w:b/>
          <w:color w:val="auto"/>
          <w:sz w:val="24"/>
          <w:szCs w:val="24"/>
          <w:lang w:val="ro-MD"/>
        </w:rPr>
        <w:t xml:space="preserve"> formatul </w:t>
      </w:r>
      <w:r w:rsidR="000A0AB5" w:rsidRPr="00606103">
        <w:rPr>
          <w:rFonts w:cstheme="majorHAnsi"/>
          <w:b/>
          <w:color w:val="auto"/>
          <w:sz w:val="24"/>
          <w:szCs w:val="24"/>
          <w:lang w:val="ro-MD"/>
        </w:rPr>
        <w:t>Bilanțului pe anul precedent</w:t>
      </w:r>
      <w:r w:rsidR="00E43D7A" w:rsidRPr="00606103">
        <w:rPr>
          <w:rFonts w:cstheme="majorHAnsi"/>
          <w:b/>
          <w:color w:val="auto"/>
          <w:sz w:val="24"/>
          <w:szCs w:val="24"/>
          <w:lang w:val="ro-MD"/>
        </w:rPr>
        <w:t>.</w:t>
      </w:r>
      <w:r w:rsidR="00734149" w:rsidRPr="00606103">
        <w:rPr>
          <w:rFonts w:cstheme="majorHAnsi"/>
          <w:b/>
          <w:color w:val="auto"/>
          <w:sz w:val="24"/>
          <w:szCs w:val="24"/>
          <w:lang w:val="ro-MD"/>
        </w:rPr>
        <w:t xml:space="preserve"> </w:t>
      </w:r>
    </w:p>
    <w:p w:rsidR="00F018B7" w:rsidRPr="00606103" w:rsidRDefault="00F1326F" w:rsidP="00FE3F3B">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Î</w:t>
      </w:r>
      <w:r w:rsidR="00E43D7A" w:rsidRPr="00606103">
        <w:rPr>
          <w:rFonts w:asciiTheme="majorHAnsi" w:hAnsiTheme="majorHAnsi" w:cstheme="majorHAnsi"/>
          <w:sz w:val="24"/>
          <w:szCs w:val="24"/>
          <w:lang w:val="ro-MD"/>
        </w:rPr>
        <w:t xml:space="preserve">ncepând cu anul 2021, </w:t>
      </w:r>
      <w:r w:rsidR="00DF5085" w:rsidRPr="00606103">
        <w:rPr>
          <w:rFonts w:asciiTheme="majorHAnsi" w:hAnsiTheme="majorHAnsi" w:cstheme="majorHAnsi"/>
          <w:sz w:val="24"/>
          <w:szCs w:val="24"/>
          <w:lang w:val="ro-MD"/>
        </w:rPr>
        <w:t>pe</w:t>
      </w:r>
      <w:r w:rsidR="00AB2C86" w:rsidRPr="00606103">
        <w:rPr>
          <w:rFonts w:asciiTheme="majorHAnsi" w:hAnsiTheme="majorHAnsi" w:cstheme="majorHAnsi"/>
          <w:sz w:val="24"/>
          <w:szCs w:val="24"/>
          <w:lang w:val="ro-MD"/>
        </w:rPr>
        <w:t>ntru implementarea recomandării Curții de Conturi</w:t>
      </w:r>
      <w:r w:rsidR="00AB2C86" w:rsidRPr="00606103">
        <w:rPr>
          <w:rStyle w:val="FootnoteReference"/>
          <w:rFonts w:asciiTheme="majorHAnsi" w:eastAsia="Times New Roman" w:hAnsiTheme="majorHAnsi" w:cstheme="majorHAnsi"/>
          <w:sz w:val="24"/>
          <w:szCs w:val="24"/>
          <w:lang w:val="ro-MD"/>
        </w:rPr>
        <w:footnoteReference w:id="5"/>
      </w:r>
      <w:r w:rsidR="000F7D19" w:rsidRPr="00606103">
        <w:rPr>
          <w:rFonts w:asciiTheme="majorHAnsi" w:hAnsiTheme="majorHAnsi" w:cstheme="majorHAnsi"/>
          <w:sz w:val="24"/>
          <w:szCs w:val="24"/>
          <w:lang w:val="ro-MD"/>
        </w:rPr>
        <w:t>,</w:t>
      </w:r>
      <w:r w:rsidR="00B22A5A"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MF </w:t>
      </w:r>
      <w:r w:rsidR="00734149" w:rsidRPr="00606103">
        <w:rPr>
          <w:rFonts w:asciiTheme="majorHAnsi" w:hAnsiTheme="majorHAnsi" w:cstheme="majorHAnsi"/>
          <w:sz w:val="24"/>
          <w:szCs w:val="24"/>
          <w:lang w:val="ro-MD"/>
        </w:rPr>
        <w:t>a modificat formatul</w:t>
      </w:r>
      <w:r w:rsidR="00E43D7A" w:rsidRPr="00606103">
        <w:rPr>
          <w:rFonts w:asciiTheme="majorHAnsi" w:hAnsiTheme="majorHAnsi" w:cstheme="majorHAnsi"/>
          <w:sz w:val="24"/>
          <w:szCs w:val="24"/>
          <w:lang w:val="ro-MD"/>
        </w:rPr>
        <w:t xml:space="preserve"> Bilanțul</w:t>
      </w:r>
      <w:r w:rsidR="00A9421B" w:rsidRPr="00606103">
        <w:rPr>
          <w:rFonts w:asciiTheme="majorHAnsi" w:hAnsiTheme="majorHAnsi" w:cstheme="majorHAnsi"/>
          <w:sz w:val="24"/>
          <w:szCs w:val="24"/>
          <w:lang w:val="ro-MD"/>
        </w:rPr>
        <w:t>ui</w:t>
      </w:r>
      <w:r w:rsidR="00E43D7A" w:rsidRPr="00606103">
        <w:rPr>
          <w:rFonts w:asciiTheme="majorHAnsi" w:hAnsiTheme="majorHAnsi" w:cstheme="majorHAnsi"/>
          <w:sz w:val="24"/>
          <w:szCs w:val="24"/>
          <w:lang w:val="ro-MD"/>
        </w:rPr>
        <w:t xml:space="preserve"> contabil privind executarea bugetului de stat,</w:t>
      </w:r>
      <w:r w:rsidR="00734149" w:rsidRPr="00606103">
        <w:rPr>
          <w:rFonts w:asciiTheme="majorHAnsi" w:hAnsiTheme="majorHAnsi" w:cstheme="majorHAnsi"/>
          <w:sz w:val="24"/>
          <w:szCs w:val="24"/>
          <w:lang w:val="ro-MD"/>
        </w:rPr>
        <w:t xml:space="preserve"> prin totalizarea bilanțurilor contabile ale autorităților publi</w:t>
      </w:r>
      <w:r w:rsidR="00A9421B" w:rsidRPr="00606103">
        <w:rPr>
          <w:rFonts w:asciiTheme="majorHAnsi" w:hAnsiTheme="majorHAnsi" w:cstheme="majorHAnsi"/>
          <w:sz w:val="24"/>
          <w:szCs w:val="24"/>
          <w:lang w:val="ro-MD"/>
        </w:rPr>
        <w:t>ce centrale și acțiuni</w:t>
      </w:r>
      <w:r w:rsidR="00DF5085" w:rsidRPr="00606103">
        <w:rPr>
          <w:rFonts w:asciiTheme="majorHAnsi" w:hAnsiTheme="majorHAnsi" w:cstheme="majorHAnsi"/>
          <w:sz w:val="24"/>
          <w:szCs w:val="24"/>
          <w:lang w:val="ro-MD"/>
        </w:rPr>
        <w:t>lor</w:t>
      </w:r>
      <w:r w:rsidR="00A9421B" w:rsidRPr="00606103">
        <w:rPr>
          <w:rFonts w:asciiTheme="majorHAnsi" w:hAnsiTheme="majorHAnsi" w:cstheme="majorHAnsi"/>
          <w:sz w:val="24"/>
          <w:szCs w:val="24"/>
          <w:lang w:val="ro-MD"/>
        </w:rPr>
        <w:t xml:space="preserve"> generale, care</w:t>
      </w:r>
      <w:r w:rsidR="00734149" w:rsidRPr="00606103">
        <w:rPr>
          <w:rFonts w:asciiTheme="majorHAnsi" w:hAnsiTheme="majorHAnsi" w:cstheme="majorHAnsi"/>
          <w:sz w:val="24"/>
          <w:szCs w:val="24"/>
          <w:lang w:val="ro-MD"/>
        </w:rPr>
        <w:t xml:space="preserve"> </w:t>
      </w:r>
      <w:r w:rsidR="00A9421B" w:rsidRPr="00606103">
        <w:rPr>
          <w:rFonts w:asciiTheme="majorHAnsi" w:hAnsiTheme="majorHAnsi" w:cstheme="majorHAnsi"/>
          <w:sz w:val="24"/>
          <w:szCs w:val="24"/>
          <w:lang w:val="ro-MD"/>
        </w:rPr>
        <w:t xml:space="preserve">includ informații </w:t>
      </w:r>
      <w:r w:rsidR="00734149" w:rsidRPr="00606103">
        <w:rPr>
          <w:rFonts w:asciiTheme="majorHAnsi" w:hAnsiTheme="majorHAnsi" w:cstheme="majorHAnsi"/>
          <w:sz w:val="24"/>
          <w:szCs w:val="24"/>
          <w:lang w:val="ro-MD"/>
        </w:rPr>
        <w:t>consolidate aferente situațiilor patrimoniale al</w:t>
      </w:r>
      <w:r w:rsidR="00A9421B" w:rsidRPr="00606103">
        <w:rPr>
          <w:rFonts w:asciiTheme="majorHAnsi" w:hAnsiTheme="majorHAnsi" w:cstheme="majorHAnsi"/>
          <w:sz w:val="24"/>
          <w:szCs w:val="24"/>
          <w:lang w:val="ro-MD"/>
        </w:rPr>
        <w:t>e</w:t>
      </w:r>
      <w:r w:rsidR="00734149" w:rsidRPr="00606103">
        <w:rPr>
          <w:rFonts w:asciiTheme="majorHAnsi" w:hAnsiTheme="majorHAnsi" w:cstheme="majorHAnsi"/>
          <w:sz w:val="24"/>
          <w:szCs w:val="24"/>
          <w:lang w:val="ro-MD"/>
        </w:rPr>
        <w:t xml:space="preserve"> autorităților/instituțiilor bugetare. </w:t>
      </w:r>
    </w:p>
    <w:p w:rsidR="0001292A" w:rsidRPr="00606103" w:rsidRDefault="00AB2C86">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Anali</w:t>
      </w:r>
      <w:r w:rsidR="00245E03" w:rsidRPr="00606103">
        <w:rPr>
          <w:rFonts w:asciiTheme="majorHAnsi" w:hAnsiTheme="majorHAnsi" w:cstheme="majorHAnsi"/>
          <w:sz w:val="24"/>
          <w:szCs w:val="24"/>
          <w:lang w:val="ro-MD"/>
        </w:rPr>
        <w:t>za auditului asupra datelor din</w:t>
      </w:r>
      <w:r w:rsidR="00126741"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Bilanțul contabil </w:t>
      </w:r>
      <w:r w:rsidR="00126741" w:rsidRPr="00606103">
        <w:rPr>
          <w:rFonts w:asciiTheme="majorHAnsi" w:hAnsiTheme="majorHAnsi" w:cstheme="majorHAnsi"/>
          <w:sz w:val="24"/>
          <w:szCs w:val="24"/>
          <w:lang w:val="ro-MD"/>
        </w:rPr>
        <w:t xml:space="preserve">denotă că </w:t>
      </w:r>
      <w:r w:rsidR="00B22A5A" w:rsidRPr="00606103">
        <w:rPr>
          <w:rFonts w:asciiTheme="majorHAnsi" w:hAnsiTheme="majorHAnsi" w:cstheme="majorHAnsi"/>
          <w:sz w:val="24"/>
          <w:szCs w:val="24"/>
          <w:lang w:val="ro-MD"/>
        </w:rPr>
        <w:t>activele instituțiilor finanțate de la bugetul de stat au constituit 49 2</w:t>
      </w:r>
      <w:r w:rsidR="003C43B6" w:rsidRPr="00606103">
        <w:rPr>
          <w:rFonts w:asciiTheme="majorHAnsi" w:hAnsiTheme="majorHAnsi" w:cstheme="majorHAnsi"/>
          <w:sz w:val="24"/>
          <w:szCs w:val="24"/>
          <w:lang w:val="ro-MD"/>
        </w:rPr>
        <w:t>52,4</w:t>
      </w:r>
      <w:r w:rsidR="00B22A5A" w:rsidRPr="00606103">
        <w:rPr>
          <w:rFonts w:asciiTheme="majorHAnsi" w:hAnsiTheme="majorHAnsi" w:cstheme="majorHAnsi"/>
          <w:sz w:val="24"/>
          <w:szCs w:val="24"/>
          <w:lang w:val="ro-MD"/>
        </w:rPr>
        <w:t xml:space="preserve"> mil. lei, inclusiv:</w:t>
      </w:r>
      <w:r w:rsidR="00126741" w:rsidRPr="00606103">
        <w:rPr>
          <w:rFonts w:asciiTheme="majorHAnsi" w:hAnsiTheme="majorHAnsi" w:cstheme="majorHAnsi"/>
          <w:sz w:val="24"/>
          <w:szCs w:val="24"/>
          <w:lang w:val="ro-MD"/>
        </w:rPr>
        <w:t xml:space="preserve"> </w:t>
      </w:r>
      <w:r w:rsidR="00B22A5A" w:rsidRPr="00606103">
        <w:rPr>
          <w:rFonts w:asciiTheme="majorHAnsi" w:hAnsiTheme="majorHAnsi" w:cstheme="majorHAnsi"/>
          <w:sz w:val="24"/>
          <w:szCs w:val="24"/>
          <w:lang w:val="ro-MD"/>
        </w:rPr>
        <w:t>mijloace fixe – 15 667,6 mil. lei;</w:t>
      </w:r>
      <w:r w:rsidR="00126741" w:rsidRPr="00606103">
        <w:rPr>
          <w:rFonts w:asciiTheme="majorHAnsi" w:hAnsiTheme="majorHAnsi" w:cstheme="majorHAnsi"/>
          <w:sz w:val="24"/>
          <w:szCs w:val="24"/>
          <w:lang w:val="ro-MD"/>
        </w:rPr>
        <w:t xml:space="preserve"> </w:t>
      </w:r>
      <w:r w:rsidR="00B22A5A" w:rsidRPr="00606103">
        <w:rPr>
          <w:rFonts w:asciiTheme="majorHAnsi" w:hAnsiTheme="majorHAnsi" w:cstheme="majorHAnsi"/>
          <w:sz w:val="24"/>
          <w:szCs w:val="24"/>
          <w:lang w:val="ro-MD"/>
        </w:rPr>
        <w:t xml:space="preserve">stocuri de materiale circulante </w:t>
      </w:r>
      <w:r w:rsidR="00DF5085" w:rsidRPr="00606103">
        <w:rPr>
          <w:rFonts w:asciiTheme="majorHAnsi" w:hAnsiTheme="majorHAnsi" w:cstheme="majorHAnsi"/>
          <w:sz w:val="24"/>
          <w:szCs w:val="24"/>
          <w:lang w:val="ro-MD"/>
        </w:rPr>
        <w:t xml:space="preserve">– </w:t>
      </w:r>
      <w:r w:rsidR="00B22A5A" w:rsidRPr="00606103">
        <w:rPr>
          <w:rFonts w:asciiTheme="majorHAnsi" w:hAnsiTheme="majorHAnsi" w:cstheme="majorHAnsi"/>
          <w:sz w:val="24"/>
          <w:szCs w:val="24"/>
          <w:lang w:val="ro-MD"/>
        </w:rPr>
        <w:t>2 757,9 mil. lei;</w:t>
      </w:r>
      <w:r w:rsidR="00126741" w:rsidRPr="00606103">
        <w:rPr>
          <w:rFonts w:asciiTheme="majorHAnsi" w:hAnsiTheme="majorHAnsi" w:cstheme="majorHAnsi"/>
          <w:sz w:val="24"/>
          <w:szCs w:val="24"/>
          <w:lang w:val="ro-MD"/>
        </w:rPr>
        <w:t xml:space="preserve"> </w:t>
      </w:r>
      <w:r w:rsidR="00B22A5A" w:rsidRPr="00606103">
        <w:rPr>
          <w:rFonts w:asciiTheme="majorHAnsi" w:hAnsiTheme="majorHAnsi" w:cstheme="majorHAnsi"/>
          <w:sz w:val="24"/>
          <w:szCs w:val="24"/>
          <w:lang w:val="ro-MD"/>
        </w:rPr>
        <w:t>producție în curs de execuție, produse și producție finită, animale tine</w:t>
      </w:r>
      <w:r w:rsidR="00126741" w:rsidRPr="00606103">
        <w:rPr>
          <w:rFonts w:asciiTheme="majorHAnsi" w:hAnsiTheme="majorHAnsi" w:cstheme="majorHAnsi"/>
          <w:sz w:val="24"/>
          <w:szCs w:val="24"/>
          <w:lang w:val="ro-MD"/>
        </w:rPr>
        <w:t xml:space="preserve">re la îngrășat </w:t>
      </w:r>
      <w:r w:rsidR="00DF5085" w:rsidRPr="00606103">
        <w:rPr>
          <w:rFonts w:asciiTheme="majorHAnsi" w:hAnsiTheme="majorHAnsi" w:cstheme="majorHAnsi"/>
          <w:sz w:val="24"/>
          <w:szCs w:val="24"/>
          <w:lang w:val="ro-MD"/>
        </w:rPr>
        <w:t>–</w:t>
      </w:r>
      <w:r w:rsidR="00126741" w:rsidRPr="00606103">
        <w:rPr>
          <w:rFonts w:asciiTheme="majorHAnsi" w:hAnsiTheme="majorHAnsi" w:cstheme="majorHAnsi"/>
          <w:sz w:val="24"/>
          <w:szCs w:val="24"/>
          <w:lang w:val="ro-MD"/>
        </w:rPr>
        <w:t xml:space="preserve"> 49,3 mil. lei; terenuri </w:t>
      </w:r>
      <w:r w:rsidR="00DF5085" w:rsidRPr="00606103">
        <w:rPr>
          <w:rFonts w:asciiTheme="majorHAnsi" w:hAnsiTheme="majorHAnsi" w:cstheme="majorHAnsi"/>
          <w:sz w:val="24"/>
          <w:szCs w:val="24"/>
          <w:lang w:val="ro-MD"/>
        </w:rPr>
        <w:t>–</w:t>
      </w:r>
      <w:r w:rsidR="00126741" w:rsidRPr="00606103">
        <w:rPr>
          <w:rFonts w:asciiTheme="majorHAnsi" w:hAnsiTheme="majorHAnsi" w:cstheme="majorHAnsi"/>
          <w:sz w:val="24"/>
          <w:szCs w:val="24"/>
          <w:lang w:val="ro-MD"/>
        </w:rPr>
        <w:t xml:space="preserve"> 4 718,2 mil. lei; </w:t>
      </w:r>
      <w:r w:rsidR="00B22A5A" w:rsidRPr="00606103">
        <w:rPr>
          <w:rFonts w:asciiTheme="majorHAnsi" w:hAnsiTheme="majorHAnsi" w:cstheme="majorHAnsi"/>
          <w:sz w:val="24"/>
          <w:szCs w:val="24"/>
          <w:lang w:val="ro-MD"/>
        </w:rPr>
        <w:t xml:space="preserve">acțiuni și alte forme de participare </w:t>
      </w:r>
      <w:r w:rsidR="00716ABD" w:rsidRPr="00606103">
        <w:rPr>
          <w:rFonts w:asciiTheme="majorHAnsi" w:hAnsiTheme="majorHAnsi" w:cstheme="majorHAnsi"/>
          <w:sz w:val="24"/>
          <w:szCs w:val="24"/>
          <w:lang w:val="ro-MD"/>
        </w:rPr>
        <w:t xml:space="preserve">în capital – 15 454,7 mil. lei; </w:t>
      </w:r>
      <w:r w:rsidR="00B22A5A" w:rsidRPr="00606103">
        <w:rPr>
          <w:rFonts w:asciiTheme="majorHAnsi" w:hAnsiTheme="majorHAnsi" w:cstheme="majorHAnsi"/>
          <w:sz w:val="24"/>
          <w:szCs w:val="24"/>
          <w:lang w:val="ro-MD"/>
        </w:rPr>
        <w:t>creanțe ale instituții</w:t>
      </w:r>
      <w:r w:rsidR="00716ABD" w:rsidRPr="00606103">
        <w:rPr>
          <w:rFonts w:asciiTheme="majorHAnsi" w:hAnsiTheme="majorHAnsi" w:cstheme="majorHAnsi"/>
          <w:sz w:val="24"/>
          <w:szCs w:val="24"/>
          <w:lang w:val="ro-MD"/>
        </w:rPr>
        <w:t xml:space="preserve">lor bugetare </w:t>
      </w:r>
      <w:r w:rsidR="00DF5085" w:rsidRPr="00606103">
        <w:rPr>
          <w:rFonts w:asciiTheme="majorHAnsi" w:hAnsiTheme="majorHAnsi" w:cstheme="majorHAnsi"/>
          <w:sz w:val="24"/>
          <w:szCs w:val="24"/>
          <w:lang w:val="ro-MD"/>
        </w:rPr>
        <w:t xml:space="preserve">– </w:t>
      </w:r>
      <w:r w:rsidR="00716ABD" w:rsidRPr="00606103">
        <w:rPr>
          <w:rFonts w:asciiTheme="majorHAnsi" w:hAnsiTheme="majorHAnsi" w:cstheme="majorHAnsi"/>
          <w:sz w:val="24"/>
          <w:szCs w:val="24"/>
          <w:lang w:val="ro-MD"/>
        </w:rPr>
        <w:t xml:space="preserve">1 </w:t>
      </w:r>
      <w:r w:rsidR="003C43B6" w:rsidRPr="00606103">
        <w:rPr>
          <w:rFonts w:asciiTheme="majorHAnsi" w:hAnsiTheme="majorHAnsi" w:cstheme="majorHAnsi"/>
          <w:sz w:val="24"/>
          <w:szCs w:val="24"/>
          <w:lang w:val="ro-MD"/>
        </w:rPr>
        <w:t>396,0</w:t>
      </w:r>
      <w:r w:rsidR="00716ABD" w:rsidRPr="00606103">
        <w:rPr>
          <w:rFonts w:asciiTheme="majorHAnsi" w:hAnsiTheme="majorHAnsi" w:cstheme="majorHAnsi"/>
          <w:sz w:val="24"/>
          <w:szCs w:val="24"/>
          <w:lang w:val="ro-MD"/>
        </w:rPr>
        <w:t xml:space="preserve"> mil. lei; alte active </w:t>
      </w:r>
      <w:r w:rsidR="00DF5085" w:rsidRPr="00606103">
        <w:rPr>
          <w:rFonts w:asciiTheme="majorHAnsi" w:hAnsiTheme="majorHAnsi" w:cstheme="majorHAnsi"/>
          <w:sz w:val="24"/>
          <w:szCs w:val="24"/>
          <w:lang w:val="ro-MD"/>
        </w:rPr>
        <w:t>–</w:t>
      </w:r>
      <w:r w:rsidR="00716ABD" w:rsidRPr="00606103">
        <w:rPr>
          <w:rFonts w:asciiTheme="majorHAnsi" w:hAnsiTheme="majorHAnsi" w:cstheme="majorHAnsi"/>
          <w:sz w:val="24"/>
          <w:szCs w:val="24"/>
          <w:lang w:val="ro-MD"/>
        </w:rPr>
        <w:t xml:space="preserve"> 20,</w:t>
      </w:r>
      <w:r w:rsidR="003C43B6" w:rsidRPr="00606103">
        <w:rPr>
          <w:rFonts w:asciiTheme="majorHAnsi" w:hAnsiTheme="majorHAnsi" w:cstheme="majorHAnsi"/>
          <w:sz w:val="24"/>
          <w:szCs w:val="24"/>
          <w:lang w:val="ro-MD"/>
        </w:rPr>
        <w:t>1</w:t>
      </w:r>
      <w:r w:rsidR="00716ABD" w:rsidRPr="00606103">
        <w:rPr>
          <w:rFonts w:asciiTheme="majorHAnsi" w:hAnsiTheme="majorHAnsi" w:cstheme="majorHAnsi"/>
          <w:sz w:val="24"/>
          <w:szCs w:val="24"/>
          <w:lang w:val="ro-MD"/>
        </w:rPr>
        <w:t xml:space="preserve"> mil. lei; </w:t>
      </w:r>
      <w:r w:rsidR="00B22A5A" w:rsidRPr="00606103">
        <w:rPr>
          <w:rFonts w:asciiTheme="majorHAnsi" w:hAnsiTheme="majorHAnsi" w:cstheme="majorHAnsi"/>
          <w:sz w:val="24"/>
          <w:szCs w:val="24"/>
          <w:lang w:val="ro-MD"/>
        </w:rPr>
        <w:t xml:space="preserve">mijloace bănești </w:t>
      </w:r>
      <w:r w:rsidR="00DF5085" w:rsidRPr="00606103">
        <w:rPr>
          <w:rFonts w:asciiTheme="majorHAnsi" w:hAnsiTheme="majorHAnsi" w:cstheme="majorHAnsi"/>
          <w:sz w:val="24"/>
          <w:szCs w:val="24"/>
          <w:lang w:val="ro-MD"/>
        </w:rPr>
        <w:t>–</w:t>
      </w:r>
      <w:r w:rsidR="00B22A5A" w:rsidRPr="00606103">
        <w:rPr>
          <w:rFonts w:asciiTheme="majorHAnsi" w:hAnsiTheme="majorHAnsi" w:cstheme="majorHAnsi"/>
          <w:sz w:val="24"/>
          <w:szCs w:val="24"/>
          <w:lang w:val="ro-MD"/>
        </w:rPr>
        <w:t xml:space="preserve"> 9 188,6 mil. lei, dintre care mijloace temporar intra</w:t>
      </w:r>
      <w:r w:rsidR="00B412E6" w:rsidRPr="00606103">
        <w:rPr>
          <w:rFonts w:asciiTheme="majorHAnsi" w:hAnsiTheme="majorHAnsi" w:cstheme="majorHAnsi"/>
          <w:sz w:val="24"/>
          <w:szCs w:val="24"/>
          <w:lang w:val="ro-MD"/>
        </w:rPr>
        <w:t xml:space="preserve">te în posesia instituției </w:t>
      </w:r>
      <w:r w:rsidR="00DF5085" w:rsidRPr="00606103">
        <w:rPr>
          <w:rFonts w:asciiTheme="majorHAnsi" w:hAnsiTheme="majorHAnsi" w:cstheme="majorHAnsi"/>
          <w:sz w:val="24"/>
          <w:szCs w:val="24"/>
          <w:lang w:val="ro-MD"/>
        </w:rPr>
        <w:t>–</w:t>
      </w:r>
      <w:r w:rsidR="00B412E6" w:rsidRPr="00606103">
        <w:rPr>
          <w:rFonts w:asciiTheme="majorHAnsi" w:hAnsiTheme="majorHAnsi" w:cstheme="majorHAnsi"/>
          <w:sz w:val="24"/>
          <w:szCs w:val="24"/>
          <w:lang w:val="ro-MD"/>
        </w:rPr>
        <w:t>132,</w:t>
      </w:r>
      <w:r w:rsidRPr="00606103">
        <w:rPr>
          <w:rFonts w:asciiTheme="majorHAnsi" w:hAnsiTheme="majorHAnsi" w:cstheme="majorHAnsi"/>
          <w:sz w:val="24"/>
          <w:szCs w:val="24"/>
          <w:lang w:val="ro-MD"/>
        </w:rPr>
        <w:t>6 mil. lei.</w:t>
      </w:r>
    </w:p>
    <w:p w:rsidR="008C7D90" w:rsidRPr="00606103" w:rsidRDefault="00C271DC">
      <w:pPr>
        <w:spacing w:line="276" w:lineRule="auto"/>
        <w:rPr>
          <w:rFonts w:asciiTheme="majorHAnsi" w:hAnsiTheme="majorHAnsi" w:cstheme="majorHAnsi"/>
          <w:color w:val="212121"/>
          <w:sz w:val="24"/>
          <w:szCs w:val="24"/>
          <w:lang w:val="ro-MD"/>
        </w:rPr>
      </w:pPr>
      <w:r w:rsidRPr="00606103">
        <w:rPr>
          <w:rFonts w:asciiTheme="majorHAnsi" w:hAnsiTheme="majorHAnsi" w:cstheme="majorHAnsi"/>
          <w:color w:val="212121"/>
          <w:sz w:val="24"/>
          <w:szCs w:val="24"/>
          <w:lang w:val="ro-MD"/>
        </w:rPr>
        <w:t xml:space="preserve">La acest capitol, în baza probelor de audit </w:t>
      </w:r>
      <w:r w:rsidR="00630816" w:rsidRPr="00606103">
        <w:rPr>
          <w:rFonts w:asciiTheme="majorHAnsi" w:hAnsiTheme="majorHAnsi" w:cstheme="majorHAnsi"/>
          <w:color w:val="212121"/>
          <w:sz w:val="24"/>
          <w:szCs w:val="24"/>
          <w:lang w:val="ro-MD"/>
        </w:rPr>
        <w:t>colectate</w:t>
      </w:r>
      <w:r w:rsidR="00F60BC0" w:rsidRPr="00606103">
        <w:rPr>
          <w:rFonts w:asciiTheme="majorHAnsi" w:hAnsiTheme="majorHAnsi" w:cstheme="majorHAnsi"/>
          <w:color w:val="212121"/>
          <w:sz w:val="24"/>
          <w:szCs w:val="24"/>
          <w:lang w:val="ro-MD"/>
        </w:rPr>
        <w:t xml:space="preserve"> </w:t>
      </w:r>
      <w:r w:rsidRPr="00606103">
        <w:rPr>
          <w:rFonts w:asciiTheme="majorHAnsi" w:hAnsiTheme="majorHAnsi" w:cstheme="majorHAnsi"/>
          <w:color w:val="212121"/>
          <w:sz w:val="24"/>
          <w:szCs w:val="24"/>
          <w:lang w:val="ro-MD"/>
        </w:rPr>
        <w:t xml:space="preserve">în cadrul APC, au fost identificate următoarele devieri care se prezintă în mod agregat, după cum urmează: </w:t>
      </w:r>
    </w:p>
    <w:p w:rsidR="00C271DC" w:rsidRPr="00606103" w:rsidRDefault="00F60BC0" w:rsidP="005149D7">
      <w:pPr>
        <w:pStyle w:val="ListParagraph"/>
        <w:numPr>
          <w:ilvl w:val="0"/>
          <w:numId w:val="50"/>
        </w:numPr>
        <w:spacing w:line="276" w:lineRule="auto"/>
        <w:ind w:left="0" w:firstLine="284"/>
        <w:rPr>
          <w:rFonts w:asciiTheme="majorHAnsi" w:hAnsiTheme="majorHAnsi" w:cstheme="majorHAnsi"/>
          <w:sz w:val="24"/>
          <w:szCs w:val="24"/>
          <w:lang w:val="ro-MD"/>
        </w:rPr>
      </w:pPr>
      <w:r w:rsidRPr="00606103">
        <w:rPr>
          <w:rFonts w:asciiTheme="majorHAnsi" w:hAnsiTheme="majorHAnsi" w:cstheme="majorHAnsi"/>
          <w:color w:val="212121"/>
          <w:sz w:val="24"/>
          <w:szCs w:val="24"/>
          <w:lang w:val="ro-MD"/>
        </w:rPr>
        <w:lastRenderedPageBreak/>
        <w:t>l</w:t>
      </w:r>
      <w:r w:rsidR="00C271DC" w:rsidRPr="00606103">
        <w:rPr>
          <w:rFonts w:asciiTheme="majorHAnsi" w:hAnsiTheme="majorHAnsi" w:cstheme="majorHAnsi"/>
          <w:color w:val="212121"/>
          <w:sz w:val="24"/>
          <w:szCs w:val="24"/>
          <w:lang w:val="ro-MD"/>
        </w:rPr>
        <w:t xml:space="preserve">a </w:t>
      </w:r>
      <w:r w:rsidR="00C271DC" w:rsidRPr="00606103">
        <w:rPr>
          <w:rFonts w:asciiTheme="majorHAnsi" w:hAnsiTheme="majorHAnsi" w:cstheme="majorHAnsi"/>
          <w:b/>
          <w:bCs/>
          <w:color w:val="212121"/>
          <w:sz w:val="24"/>
          <w:szCs w:val="24"/>
          <w:lang w:val="ro-MD"/>
        </w:rPr>
        <w:t>MJ</w:t>
      </w:r>
      <w:r w:rsidR="00530BAA" w:rsidRPr="00606103">
        <w:rPr>
          <w:rFonts w:asciiTheme="majorHAnsi" w:hAnsiTheme="majorHAnsi" w:cstheme="majorHAnsi"/>
          <w:b/>
          <w:bCs/>
          <w:color w:val="212121"/>
          <w:sz w:val="24"/>
          <w:szCs w:val="24"/>
          <w:lang w:val="ro-MD"/>
        </w:rPr>
        <w:t>,</w:t>
      </w:r>
      <w:r w:rsidR="00C271DC" w:rsidRPr="00606103">
        <w:rPr>
          <w:rFonts w:asciiTheme="majorHAnsi" w:hAnsiTheme="majorHAnsi" w:cstheme="majorHAnsi"/>
          <w:color w:val="212121"/>
          <w:sz w:val="24"/>
          <w:szCs w:val="24"/>
          <w:lang w:val="ro-MD"/>
        </w:rPr>
        <w:t xml:space="preserve"> </w:t>
      </w:r>
      <w:r w:rsidR="00530BAA" w:rsidRPr="00606103">
        <w:rPr>
          <w:rFonts w:asciiTheme="majorHAnsi" w:hAnsiTheme="majorHAnsi" w:cstheme="majorHAnsi"/>
          <w:color w:val="212121"/>
          <w:sz w:val="24"/>
          <w:szCs w:val="24"/>
          <w:lang w:val="ro-MD"/>
        </w:rPr>
        <w:t>contul</w:t>
      </w:r>
      <w:r w:rsidR="00C271DC" w:rsidRPr="00606103">
        <w:rPr>
          <w:rFonts w:asciiTheme="majorHAnsi" w:hAnsiTheme="majorHAnsi" w:cstheme="majorHAnsi"/>
          <w:color w:val="212121"/>
          <w:sz w:val="24"/>
          <w:szCs w:val="24"/>
          <w:lang w:val="ro-MD"/>
        </w:rPr>
        <w:t xml:space="preserve"> „Active neproductive”</w:t>
      </w:r>
      <w:r w:rsidR="00E95D93" w:rsidRPr="00606103">
        <w:rPr>
          <w:rFonts w:asciiTheme="majorHAnsi" w:hAnsiTheme="majorHAnsi" w:cstheme="majorHAnsi"/>
          <w:color w:val="212121"/>
          <w:sz w:val="24"/>
          <w:szCs w:val="24"/>
          <w:lang w:val="ro-MD"/>
        </w:rPr>
        <w:t xml:space="preserve"> </w:t>
      </w:r>
      <w:r w:rsidRPr="00606103">
        <w:rPr>
          <w:rFonts w:asciiTheme="majorHAnsi" w:hAnsiTheme="majorHAnsi" w:cstheme="majorHAnsi"/>
          <w:color w:val="212121"/>
          <w:sz w:val="24"/>
          <w:szCs w:val="24"/>
          <w:lang w:val="ro-MD"/>
        </w:rPr>
        <w:t>a fost</w:t>
      </w:r>
      <w:r w:rsidR="00C271DC" w:rsidRPr="00606103">
        <w:rPr>
          <w:rFonts w:asciiTheme="majorHAnsi" w:hAnsiTheme="majorHAnsi" w:cstheme="majorHAnsi"/>
          <w:color w:val="212121"/>
          <w:sz w:val="24"/>
          <w:szCs w:val="24"/>
          <w:lang w:val="ro-MD"/>
        </w:rPr>
        <w:t xml:space="preserve"> subevaluat cu 105,9 mil. lei;</w:t>
      </w:r>
      <w:r w:rsidR="00E95D93" w:rsidRPr="00606103">
        <w:rPr>
          <w:rFonts w:asciiTheme="majorHAnsi" w:hAnsiTheme="majorHAnsi" w:cstheme="majorHAnsi"/>
          <w:color w:val="212121"/>
          <w:sz w:val="24"/>
          <w:szCs w:val="24"/>
          <w:lang w:val="ro-MD"/>
        </w:rPr>
        <w:t xml:space="preserve"> </w:t>
      </w:r>
      <w:r w:rsidR="00C271DC" w:rsidRPr="00606103">
        <w:rPr>
          <w:rFonts w:asciiTheme="majorHAnsi" w:hAnsiTheme="majorHAnsi" w:cstheme="majorHAnsi"/>
          <w:color w:val="212121"/>
          <w:sz w:val="24"/>
          <w:szCs w:val="24"/>
          <w:lang w:val="ro-MD"/>
        </w:rPr>
        <w:t xml:space="preserve">soldul grupei de conturi 319 </w:t>
      </w:r>
      <w:r w:rsidRPr="00606103">
        <w:rPr>
          <w:rFonts w:asciiTheme="majorHAnsi" w:hAnsiTheme="majorHAnsi" w:cstheme="majorHAnsi"/>
          <w:color w:val="212121"/>
          <w:sz w:val="24"/>
          <w:szCs w:val="24"/>
          <w:lang w:val="ro-MD"/>
        </w:rPr>
        <w:t>„</w:t>
      </w:r>
      <w:r w:rsidR="00C271DC" w:rsidRPr="00606103">
        <w:rPr>
          <w:rFonts w:asciiTheme="majorHAnsi" w:hAnsiTheme="majorHAnsi" w:cstheme="majorHAnsi"/>
          <w:color w:val="212121"/>
          <w:sz w:val="24"/>
          <w:szCs w:val="24"/>
          <w:lang w:val="ro-MD"/>
        </w:rPr>
        <w:t xml:space="preserve">investiții capitale în active în curs de execuție” </w:t>
      </w:r>
      <w:r w:rsidRPr="00606103">
        <w:rPr>
          <w:rFonts w:asciiTheme="majorHAnsi" w:hAnsiTheme="majorHAnsi" w:cstheme="majorHAnsi"/>
          <w:color w:val="212121"/>
          <w:sz w:val="24"/>
          <w:szCs w:val="24"/>
          <w:lang w:val="ro-MD"/>
        </w:rPr>
        <w:t>a fost</w:t>
      </w:r>
      <w:r w:rsidR="00C271DC" w:rsidRPr="00606103">
        <w:rPr>
          <w:rFonts w:asciiTheme="majorHAnsi" w:hAnsiTheme="majorHAnsi" w:cstheme="majorHAnsi"/>
          <w:color w:val="212121"/>
          <w:sz w:val="24"/>
          <w:szCs w:val="24"/>
          <w:lang w:val="ro-MD"/>
        </w:rPr>
        <w:t xml:space="preserve"> supraevaluat cu 44,5 mil. lei și a </w:t>
      </w:r>
      <w:r w:rsidRPr="00606103">
        <w:rPr>
          <w:rFonts w:asciiTheme="majorHAnsi" w:hAnsiTheme="majorHAnsi" w:cstheme="majorHAnsi"/>
          <w:color w:val="212121"/>
          <w:sz w:val="24"/>
          <w:szCs w:val="24"/>
          <w:lang w:val="ro-MD"/>
        </w:rPr>
        <w:t xml:space="preserve">fost </w:t>
      </w:r>
      <w:r w:rsidR="00C271DC" w:rsidRPr="00606103">
        <w:rPr>
          <w:rFonts w:asciiTheme="majorHAnsi" w:hAnsiTheme="majorHAnsi" w:cstheme="majorHAnsi"/>
          <w:color w:val="212121"/>
          <w:sz w:val="24"/>
          <w:szCs w:val="24"/>
          <w:lang w:val="ro-MD"/>
        </w:rPr>
        <w:t>subevalua</w:t>
      </w:r>
      <w:r w:rsidR="0015061B">
        <w:rPr>
          <w:rFonts w:asciiTheme="majorHAnsi" w:hAnsiTheme="majorHAnsi" w:cstheme="majorHAnsi"/>
          <w:color w:val="212121"/>
          <w:sz w:val="24"/>
          <w:szCs w:val="24"/>
          <w:lang w:val="ro-MD"/>
        </w:rPr>
        <w:t>tă valoarea clădirilor cu 45,3</w:t>
      </w:r>
      <w:r w:rsidR="00C271DC" w:rsidRPr="00606103">
        <w:rPr>
          <w:rFonts w:asciiTheme="majorHAnsi" w:hAnsiTheme="majorHAnsi" w:cstheme="majorHAnsi"/>
          <w:color w:val="212121"/>
          <w:sz w:val="24"/>
          <w:szCs w:val="24"/>
          <w:lang w:val="ro-MD"/>
        </w:rPr>
        <w:t xml:space="preserve"> mil. lei, precum și valoarea construcțiilor speciale în </w:t>
      </w:r>
      <w:r w:rsidR="00C719C9" w:rsidRPr="00606103">
        <w:rPr>
          <w:rFonts w:asciiTheme="majorHAnsi" w:hAnsiTheme="majorHAnsi" w:cstheme="majorHAnsi"/>
          <w:color w:val="212121"/>
          <w:sz w:val="24"/>
          <w:szCs w:val="24"/>
          <w:lang w:val="ro-MD"/>
        </w:rPr>
        <w:t xml:space="preserve">sumă </w:t>
      </w:r>
      <w:r w:rsidR="00C271DC" w:rsidRPr="00606103">
        <w:rPr>
          <w:rFonts w:asciiTheme="majorHAnsi" w:hAnsiTheme="majorHAnsi" w:cstheme="majorHAnsi"/>
          <w:color w:val="212121"/>
          <w:sz w:val="24"/>
          <w:szCs w:val="24"/>
          <w:lang w:val="ro-MD"/>
        </w:rPr>
        <w:t>de 6,2 mil. lei. Totodată, soldul</w:t>
      </w:r>
      <w:r w:rsidR="00E95D93" w:rsidRPr="00606103">
        <w:rPr>
          <w:rFonts w:asciiTheme="majorHAnsi" w:hAnsiTheme="majorHAnsi" w:cstheme="majorHAnsi"/>
          <w:color w:val="212121"/>
          <w:sz w:val="24"/>
          <w:szCs w:val="24"/>
          <w:lang w:val="ro-MD"/>
        </w:rPr>
        <w:t xml:space="preserve"> </w:t>
      </w:r>
      <w:r w:rsidR="00C271DC" w:rsidRPr="00606103">
        <w:rPr>
          <w:rFonts w:asciiTheme="majorHAnsi" w:hAnsiTheme="majorHAnsi" w:cstheme="majorHAnsi"/>
          <w:color w:val="212121"/>
          <w:sz w:val="24"/>
          <w:szCs w:val="24"/>
          <w:lang w:val="ro-MD"/>
        </w:rPr>
        <w:t xml:space="preserve">subclasei 31 </w:t>
      </w:r>
      <w:r w:rsidRPr="00606103">
        <w:rPr>
          <w:rFonts w:asciiTheme="majorHAnsi" w:hAnsiTheme="majorHAnsi" w:cstheme="majorHAnsi"/>
          <w:color w:val="212121"/>
          <w:sz w:val="24"/>
          <w:szCs w:val="24"/>
          <w:lang w:val="ro-MD"/>
        </w:rPr>
        <w:t>„</w:t>
      </w:r>
      <w:r w:rsidR="00C271DC" w:rsidRPr="00606103">
        <w:rPr>
          <w:rFonts w:asciiTheme="majorHAnsi" w:hAnsiTheme="majorHAnsi" w:cstheme="majorHAnsi"/>
          <w:color w:val="212121"/>
          <w:sz w:val="24"/>
          <w:szCs w:val="24"/>
          <w:lang w:val="ro-MD"/>
        </w:rPr>
        <w:t>Mijloace fixe” a fost supraevaluat cu</w:t>
      </w:r>
      <w:r w:rsidR="00A67B0A">
        <w:rPr>
          <w:rFonts w:asciiTheme="majorHAnsi" w:hAnsiTheme="majorHAnsi" w:cstheme="majorHAnsi"/>
          <w:color w:val="212121"/>
          <w:sz w:val="24"/>
          <w:szCs w:val="24"/>
          <w:lang w:val="ro-MD"/>
        </w:rPr>
        <w:t xml:space="preserve">           </w:t>
      </w:r>
      <w:r w:rsidR="00C271DC" w:rsidRPr="00606103">
        <w:rPr>
          <w:rFonts w:asciiTheme="majorHAnsi" w:hAnsiTheme="majorHAnsi" w:cstheme="majorHAnsi"/>
          <w:color w:val="212121"/>
          <w:sz w:val="24"/>
          <w:szCs w:val="24"/>
          <w:lang w:val="ro-MD"/>
        </w:rPr>
        <w:t xml:space="preserve"> 3,3 mil.lei, </w:t>
      </w:r>
      <w:r w:rsidR="00530BAA" w:rsidRPr="00606103">
        <w:rPr>
          <w:rFonts w:asciiTheme="majorHAnsi" w:hAnsiTheme="majorHAnsi" w:cstheme="majorHAnsi"/>
          <w:color w:val="212121"/>
          <w:sz w:val="24"/>
          <w:szCs w:val="24"/>
          <w:lang w:val="ro-MD"/>
        </w:rPr>
        <w:t>iar</w:t>
      </w:r>
      <w:r w:rsidR="00E95D93" w:rsidRPr="00606103">
        <w:rPr>
          <w:rFonts w:asciiTheme="majorHAnsi" w:hAnsiTheme="majorHAnsi" w:cstheme="majorHAnsi"/>
          <w:color w:val="212121"/>
          <w:sz w:val="24"/>
          <w:szCs w:val="24"/>
          <w:lang w:val="ro-MD"/>
        </w:rPr>
        <w:t xml:space="preserve"> </w:t>
      </w:r>
      <w:r w:rsidR="00C271DC" w:rsidRPr="00606103">
        <w:rPr>
          <w:rFonts w:asciiTheme="majorHAnsi" w:hAnsiTheme="majorHAnsi" w:cstheme="majorHAnsi"/>
          <w:color w:val="212121"/>
          <w:sz w:val="24"/>
          <w:szCs w:val="24"/>
          <w:lang w:val="ro-MD"/>
        </w:rPr>
        <w:t xml:space="preserve">soldul subclasei 33 </w:t>
      </w:r>
      <w:r w:rsidR="00530BAA" w:rsidRPr="00606103">
        <w:rPr>
          <w:rFonts w:asciiTheme="majorHAnsi" w:hAnsiTheme="majorHAnsi" w:cstheme="majorHAnsi"/>
          <w:color w:val="212121"/>
          <w:sz w:val="24"/>
          <w:szCs w:val="24"/>
          <w:lang w:val="ro-MD"/>
        </w:rPr>
        <w:t>„</w:t>
      </w:r>
      <w:r w:rsidR="00C271DC" w:rsidRPr="00606103">
        <w:rPr>
          <w:rFonts w:asciiTheme="majorHAnsi" w:hAnsiTheme="majorHAnsi" w:cstheme="majorHAnsi"/>
          <w:color w:val="212121"/>
          <w:sz w:val="24"/>
          <w:szCs w:val="24"/>
          <w:lang w:val="ro-MD"/>
        </w:rPr>
        <w:t xml:space="preserve">Stocuri de materiale circulante” </w:t>
      </w:r>
      <w:r w:rsidR="00530BAA" w:rsidRPr="00606103">
        <w:rPr>
          <w:rFonts w:asciiTheme="majorHAnsi" w:hAnsiTheme="majorHAnsi" w:cstheme="majorHAnsi"/>
          <w:sz w:val="24"/>
          <w:szCs w:val="24"/>
          <w:lang w:val="ro-MD"/>
        </w:rPr>
        <w:t xml:space="preserve">– </w:t>
      </w:r>
      <w:r w:rsidR="00C271DC" w:rsidRPr="00606103">
        <w:rPr>
          <w:rFonts w:asciiTheme="majorHAnsi" w:hAnsiTheme="majorHAnsi" w:cstheme="majorHAnsi"/>
          <w:color w:val="212121"/>
          <w:sz w:val="24"/>
          <w:szCs w:val="24"/>
          <w:lang w:val="ro-MD"/>
        </w:rPr>
        <w:t>cu 3,0 mil.lei. De asemenea</w:t>
      </w:r>
      <w:r w:rsidR="00530BAA" w:rsidRPr="00606103">
        <w:rPr>
          <w:rFonts w:asciiTheme="majorHAnsi" w:hAnsiTheme="majorHAnsi" w:cstheme="majorHAnsi"/>
          <w:color w:val="212121"/>
          <w:sz w:val="24"/>
          <w:szCs w:val="24"/>
          <w:lang w:val="ro-MD"/>
        </w:rPr>
        <w:t>,</w:t>
      </w:r>
      <w:r w:rsidR="00C271DC" w:rsidRPr="00606103">
        <w:rPr>
          <w:rFonts w:asciiTheme="majorHAnsi" w:hAnsiTheme="majorHAnsi" w:cstheme="majorHAnsi"/>
          <w:color w:val="212121"/>
          <w:sz w:val="24"/>
          <w:szCs w:val="24"/>
          <w:lang w:val="ro-MD"/>
        </w:rPr>
        <w:t xml:space="preserve"> a fost supraevaluat sol</w:t>
      </w:r>
      <w:r w:rsidR="00ED7771" w:rsidRPr="00606103">
        <w:rPr>
          <w:rFonts w:asciiTheme="majorHAnsi" w:hAnsiTheme="majorHAnsi" w:cstheme="majorHAnsi"/>
          <w:color w:val="212121"/>
          <w:sz w:val="24"/>
          <w:szCs w:val="24"/>
          <w:lang w:val="ro-MD"/>
        </w:rPr>
        <w:t>d</w:t>
      </w:r>
      <w:r w:rsidR="00C271DC" w:rsidRPr="00606103">
        <w:rPr>
          <w:rFonts w:asciiTheme="majorHAnsi" w:hAnsiTheme="majorHAnsi" w:cstheme="majorHAnsi"/>
          <w:color w:val="212121"/>
          <w:sz w:val="24"/>
          <w:szCs w:val="24"/>
          <w:lang w:val="ro-MD"/>
        </w:rPr>
        <w:t xml:space="preserve">ul grupelor de conturi 314 </w:t>
      </w:r>
      <w:r w:rsidR="00530BAA" w:rsidRPr="00606103">
        <w:rPr>
          <w:rFonts w:asciiTheme="majorHAnsi" w:hAnsiTheme="majorHAnsi" w:cstheme="majorHAnsi"/>
          <w:color w:val="212121"/>
          <w:sz w:val="24"/>
          <w:szCs w:val="24"/>
          <w:lang w:val="ro-MD"/>
        </w:rPr>
        <w:t>„</w:t>
      </w:r>
      <w:r w:rsidR="00C271DC" w:rsidRPr="00606103">
        <w:rPr>
          <w:rFonts w:asciiTheme="majorHAnsi" w:eastAsia="Times New Roman" w:hAnsiTheme="majorHAnsi" w:cstheme="majorHAnsi"/>
          <w:iCs/>
          <w:sz w:val="24"/>
          <w:szCs w:val="24"/>
          <w:lang w:val="ro-MD"/>
        </w:rPr>
        <w:t xml:space="preserve">Mașini și utilaje” și 316 </w:t>
      </w:r>
      <w:r w:rsidR="00530BAA" w:rsidRPr="00606103">
        <w:rPr>
          <w:rFonts w:asciiTheme="majorHAnsi" w:hAnsiTheme="majorHAnsi" w:cstheme="majorHAnsi"/>
          <w:color w:val="212121"/>
          <w:sz w:val="24"/>
          <w:szCs w:val="24"/>
          <w:lang w:val="ro-MD"/>
        </w:rPr>
        <w:t>„</w:t>
      </w:r>
      <w:r w:rsidR="00C271DC" w:rsidRPr="00606103">
        <w:rPr>
          <w:rFonts w:asciiTheme="majorHAnsi" w:eastAsia="Times New Roman" w:hAnsiTheme="majorHAnsi" w:cstheme="majorHAnsi"/>
          <w:iCs/>
          <w:sz w:val="24"/>
          <w:szCs w:val="24"/>
          <w:lang w:val="ro-MD"/>
        </w:rPr>
        <w:t>Unelte și</w:t>
      </w:r>
      <w:r w:rsidR="00E95D93" w:rsidRPr="00606103">
        <w:rPr>
          <w:rFonts w:asciiTheme="majorHAnsi" w:eastAsia="Times New Roman" w:hAnsiTheme="majorHAnsi" w:cstheme="majorHAnsi"/>
          <w:iCs/>
          <w:sz w:val="24"/>
          <w:szCs w:val="24"/>
          <w:lang w:val="ro-MD"/>
        </w:rPr>
        <w:t xml:space="preserve"> </w:t>
      </w:r>
      <w:r w:rsidR="00C271DC" w:rsidRPr="00606103">
        <w:rPr>
          <w:rFonts w:asciiTheme="majorHAnsi" w:eastAsia="Times New Roman" w:hAnsiTheme="majorHAnsi" w:cstheme="majorHAnsi"/>
          <w:iCs/>
          <w:sz w:val="24"/>
          <w:szCs w:val="24"/>
          <w:lang w:val="ro-MD"/>
        </w:rPr>
        <w:t>scule, inventar de producere și gospodăresc”</w:t>
      </w:r>
      <w:r w:rsidR="00E95D93" w:rsidRPr="00606103">
        <w:rPr>
          <w:rFonts w:asciiTheme="majorHAnsi" w:eastAsia="Times New Roman" w:hAnsiTheme="majorHAnsi" w:cstheme="majorHAnsi"/>
          <w:iCs/>
          <w:sz w:val="24"/>
          <w:szCs w:val="24"/>
          <w:lang w:val="ro-MD"/>
        </w:rPr>
        <w:t xml:space="preserve"> </w:t>
      </w:r>
      <w:r w:rsidR="00C271DC" w:rsidRPr="00606103">
        <w:rPr>
          <w:rFonts w:asciiTheme="majorHAnsi" w:eastAsia="Times New Roman" w:hAnsiTheme="majorHAnsi" w:cstheme="majorHAnsi"/>
          <w:iCs/>
          <w:sz w:val="24"/>
          <w:szCs w:val="24"/>
          <w:lang w:val="ro-MD"/>
        </w:rPr>
        <w:t>cu 5,1 mil. lei</w:t>
      </w:r>
      <w:r w:rsidR="00530BAA" w:rsidRPr="00606103">
        <w:rPr>
          <w:rFonts w:asciiTheme="majorHAnsi" w:eastAsia="Times New Roman" w:hAnsiTheme="majorHAnsi" w:cstheme="majorHAnsi"/>
          <w:iCs/>
          <w:sz w:val="24"/>
          <w:szCs w:val="24"/>
          <w:lang w:val="ro-MD"/>
        </w:rPr>
        <w:t>;</w:t>
      </w:r>
    </w:p>
    <w:p w:rsidR="00B22A5A" w:rsidRPr="00606103" w:rsidRDefault="00530BAA" w:rsidP="005149D7">
      <w:pPr>
        <w:pStyle w:val="ListParagraph"/>
        <w:numPr>
          <w:ilvl w:val="0"/>
          <w:numId w:val="50"/>
        </w:numPr>
        <w:spacing w:line="276" w:lineRule="auto"/>
        <w:ind w:left="0" w:firstLine="284"/>
        <w:rPr>
          <w:rFonts w:asciiTheme="majorHAnsi" w:hAnsiTheme="majorHAnsi" w:cstheme="majorHAnsi"/>
          <w:sz w:val="24"/>
          <w:szCs w:val="24"/>
          <w:lang w:val="ro-MD"/>
        </w:rPr>
      </w:pPr>
      <w:r w:rsidRPr="00606103">
        <w:rPr>
          <w:rFonts w:asciiTheme="majorHAnsi" w:eastAsia="Calibri" w:hAnsiTheme="majorHAnsi" w:cstheme="majorHAnsi"/>
          <w:iCs/>
          <w:sz w:val="24"/>
          <w:szCs w:val="24"/>
          <w:lang w:val="ro-MD" w:eastAsia="zh-CN"/>
        </w:rPr>
        <w:t>l</w:t>
      </w:r>
      <w:r w:rsidR="00D433C3" w:rsidRPr="00606103">
        <w:rPr>
          <w:rFonts w:asciiTheme="majorHAnsi" w:hAnsiTheme="majorHAnsi" w:cstheme="majorHAnsi"/>
          <w:sz w:val="24"/>
          <w:szCs w:val="24"/>
          <w:lang w:val="ro-MD"/>
        </w:rPr>
        <w:t>a</w:t>
      </w:r>
      <w:r w:rsidR="00B74008" w:rsidRPr="00606103">
        <w:rPr>
          <w:rFonts w:asciiTheme="majorHAnsi" w:hAnsiTheme="majorHAnsi" w:cstheme="majorHAnsi"/>
          <w:b/>
          <w:sz w:val="24"/>
          <w:szCs w:val="24"/>
          <w:lang w:val="ro-MD"/>
        </w:rPr>
        <w:t xml:space="preserve"> MEI </w:t>
      </w:r>
      <w:r w:rsidR="00B74008" w:rsidRPr="00606103">
        <w:rPr>
          <w:rFonts w:asciiTheme="majorHAnsi" w:hAnsiTheme="majorHAnsi" w:cstheme="majorHAnsi"/>
          <w:sz w:val="24"/>
          <w:szCs w:val="24"/>
          <w:lang w:val="ro-MD"/>
        </w:rPr>
        <w:t>a fost</w:t>
      </w:r>
      <w:r w:rsidR="00B74008" w:rsidRPr="00606103">
        <w:rPr>
          <w:rFonts w:asciiTheme="majorHAnsi" w:hAnsiTheme="majorHAnsi" w:cstheme="majorHAnsi"/>
          <w:b/>
          <w:sz w:val="24"/>
          <w:szCs w:val="24"/>
          <w:lang w:val="ro-MD"/>
        </w:rPr>
        <w:t xml:space="preserve"> </w:t>
      </w:r>
      <w:r w:rsidR="00B74008" w:rsidRPr="00606103">
        <w:rPr>
          <w:rFonts w:asciiTheme="majorHAnsi" w:hAnsiTheme="majorHAnsi" w:cstheme="majorHAnsi"/>
          <w:sz w:val="24"/>
          <w:szCs w:val="24"/>
          <w:lang w:val="ro-MD"/>
        </w:rPr>
        <w:t>supraevaluată grupa</w:t>
      </w:r>
      <w:r w:rsidR="00D433C3" w:rsidRPr="00606103">
        <w:rPr>
          <w:rFonts w:asciiTheme="majorHAnsi" w:hAnsiTheme="majorHAnsi" w:cstheme="majorHAnsi"/>
          <w:sz w:val="24"/>
          <w:szCs w:val="24"/>
          <w:lang w:val="ro-MD"/>
        </w:rPr>
        <w:t xml:space="preserve"> de conturi 419 </w:t>
      </w:r>
      <w:r w:rsidRPr="00606103">
        <w:rPr>
          <w:rFonts w:asciiTheme="majorHAnsi" w:hAnsiTheme="majorHAnsi" w:cstheme="majorHAnsi"/>
          <w:sz w:val="24"/>
          <w:szCs w:val="24"/>
          <w:lang w:val="ro-MD"/>
        </w:rPr>
        <w:t>„A</w:t>
      </w:r>
      <w:r w:rsidR="00D433C3" w:rsidRPr="00606103">
        <w:rPr>
          <w:rFonts w:asciiTheme="majorHAnsi" w:hAnsiTheme="majorHAnsi" w:cstheme="majorHAnsi"/>
          <w:sz w:val="24"/>
          <w:szCs w:val="24"/>
          <w:lang w:val="ro-MD"/>
        </w:rPr>
        <w:t>lte creanțe ale instituțiilor bugetare” cu 11,7 mil. lei ș</w:t>
      </w:r>
      <w:r w:rsidR="00B74008" w:rsidRPr="00606103">
        <w:rPr>
          <w:rFonts w:asciiTheme="majorHAnsi" w:hAnsiTheme="majorHAnsi" w:cstheme="majorHAnsi"/>
          <w:sz w:val="24"/>
          <w:szCs w:val="24"/>
          <w:lang w:val="ro-MD"/>
        </w:rPr>
        <w:t>i subevaluată în acee</w:t>
      </w:r>
      <w:r w:rsidR="00245E03" w:rsidRPr="00606103">
        <w:rPr>
          <w:rFonts w:asciiTheme="majorHAnsi" w:hAnsiTheme="majorHAnsi" w:cstheme="majorHAnsi"/>
          <w:sz w:val="24"/>
          <w:szCs w:val="24"/>
          <w:lang w:val="ro-MD"/>
        </w:rPr>
        <w:t>ași mărime</w:t>
      </w:r>
      <w:r w:rsidR="00B74008" w:rsidRPr="00606103">
        <w:rPr>
          <w:rFonts w:asciiTheme="majorHAnsi" w:hAnsiTheme="majorHAnsi" w:cstheme="majorHAnsi"/>
          <w:sz w:val="24"/>
          <w:szCs w:val="24"/>
          <w:lang w:val="ro-MD"/>
        </w:rPr>
        <w:t xml:space="preserve"> grupa</w:t>
      </w:r>
      <w:r w:rsidR="00D433C3" w:rsidRPr="00606103">
        <w:rPr>
          <w:rFonts w:asciiTheme="majorHAnsi" w:hAnsiTheme="majorHAnsi" w:cstheme="majorHAnsi"/>
          <w:sz w:val="24"/>
          <w:szCs w:val="24"/>
          <w:lang w:val="ro-MD"/>
        </w:rPr>
        <w:t xml:space="preserve"> de conturi 318 </w:t>
      </w:r>
      <w:r w:rsidRPr="00606103">
        <w:rPr>
          <w:rFonts w:asciiTheme="majorHAnsi" w:hAnsiTheme="majorHAnsi" w:cstheme="majorHAnsi"/>
          <w:sz w:val="24"/>
          <w:szCs w:val="24"/>
          <w:lang w:val="ro-MD"/>
        </w:rPr>
        <w:t>„A</w:t>
      </w:r>
      <w:r w:rsidR="00D433C3" w:rsidRPr="00606103">
        <w:rPr>
          <w:rFonts w:asciiTheme="majorHAnsi" w:hAnsiTheme="majorHAnsi" w:cstheme="majorHAnsi"/>
          <w:sz w:val="24"/>
          <w:szCs w:val="24"/>
          <w:lang w:val="ro-MD"/>
        </w:rPr>
        <w:t>lte</w:t>
      </w:r>
      <w:r w:rsidR="00B74008" w:rsidRPr="00606103">
        <w:rPr>
          <w:rFonts w:asciiTheme="majorHAnsi" w:hAnsiTheme="majorHAnsi" w:cstheme="majorHAnsi"/>
          <w:sz w:val="24"/>
          <w:szCs w:val="24"/>
          <w:lang w:val="ro-MD"/>
        </w:rPr>
        <w:t xml:space="preserve"> mijloace fixe”; </w:t>
      </w:r>
      <w:r w:rsidRPr="00606103">
        <w:rPr>
          <w:rFonts w:asciiTheme="majorHAnsi" w:hAnsiTheme="majorHAnsi" w:cstheme="majorHAnsi"/>
          <w:sz w:val="24"/>
          <w:szCs w:val="24"/>
          <w:lang w:val="ro-MD"/>
        </w:rPr>
        <w:t xml:space="preserve">a fost </w:t>
      </w:r>
      <w:r w:rsidR="00B74008" w:rsidRPr="00606103">
        <w:rPr>
          <w:rFonts w:asciiTheme="majorHAnsi" w:hAnsiTheme="majorHAnsi" w:cstheme="majorHAnsi"/>
          <w:sz w:val="24"/>
          <w:szCs w:val="24"/>
          <w:lang w:val="ro-MD"/>
        </w:rPr>
        <w:t xml:space="preserve">supraevaluată grupa </w:t>
      </w:r>
      <w:r w:rsidR="00D433C3" w:rsidRPr="00606103">
        <w:rPr>
          <w:rFonts w:asciiTheme="majorHAnsi" w:hAnsiTheme="majorHAnsi" w:cstheme="majorHAnsi"/>
          <w:sz w:val="24"/>
          <w:szCs w:val="24"/>
          <w:lang w:val="ro-MD"/>
        </w:rPr>
        <w:t xml:space="preserve">de conturi 314 </w:t>
      </w:r>
      <w:r w:rsidRPr="00606103">
        <w:rPr>
          <w:rFonts w:asciiTheme="majorHAnsi" w:hAnsiTheme="majorHAnsi" w:cstheme="majorHAnsi"/>
          <w:sz w:val="24"/>
          <w:szCs w:val="24"/>
          <w:lang w:val="ro-MD"/>
        </w:rPr>
        <w:t>„M</w:t>
      </w:r>
      <w:r w:rsidR="00D433C3" w:rsidRPr="00606103">
        <w:rPr>
          <w:rFonts w:asciiTheme="majorHAnsi" w:hAnsiTheme="majorHAnsi" w:cstheme="majorHAnsi"/>
          <w:sz w:val="24"/>
          <w:szCs w:val="24"/>
          <w:lang w:val="ro-MD"/>
        </w:rPr>
        <w:t xml:space="preserve">așini și utilaje” cu 2,8 mil. lei </w:t>
      </w:r>
      <w:r w:rsidR="00B74008" w:rsidRPr="00606103">
        <w:rPr>
          <w:rFonts w:asciiTheme="majorHAnsi" w:hAnsiTheme="majorHAnsi" w:cstheme="majorHAnsi"/>
          <w:sz w:val="24"/>
          <w:szCs w:val="24"/>
          <w:lang w:val="ro-MD"/>
        </w:rPr>
        <w:t>și subevaluată grupa</w:t>
      </w:r>
      <w:r w:rsidR="00D433C3" w:rsidRPr="00606103">
        <w:rPr>
          <w:rFonts w:asciiTheme="majorHAnsi" w:hAnsiTheme="majorHAnsi" w:cstheme="majorHAnsi"/>
          <w:sz w:val="24"/>
          <w:szCs w:val="24"/>
          <w:lang w:val="ro-MD"/>
        </w:rPr>
        <w:t xml:space="preserve"> de conturi 289 </w:t>
      </w:r>
      <w:r w:rsidRPr="00606103">
        <w:rPr>
          <w:rFonts w:asciiTheme="majorHAnsi" w:hAnsiTheme="majorHAnsi" w:cstheme="majorHAnsi"/>
          <w:sz w:val="24"/>
          <w:szCs w:val="24"/>
          <w:lang w:val="ro-MD"/>
        </w:rPr>
        <w:t>„A</w:t>
      </w:r>
      <w:r w:rsidR="00D433C3" w:rsidRPr="00606103">
        <w:rPr>
          <w:rFonts w:asciiTheme="majorHAnsi" w:hAnsiTheme="majorHAnsi" w:cstheme="majorHAnsi"/>
          <w:sz w:val="24"/>
          <w:szCs w:val="24"/>
          <w:lang w:val="ro-MD"/>
        </w:rPr>
        <w:t>lte cheltuieli ale instituțiilor bugetare” în aceeași mărime</w:t>
      </w:r>
      <w:r w:rsidRPr="00606103">
        <w:rPr>
          <w:rFonts w:asciiTheme="majorHAnsi" w:hAnsiTheme="majorHAnsi" w:cstheme="majorHAnsi"/>
          <w:sz w:val="24"/>
          <w:szCs w:val="24"/>
          <w:lang w:val="ro-MD"/>
        </w:rPr>
        <w:t>;</w:t>
      </w:r>
      <w:r w:rsidR="00B74008" w:rsidRPr="00606103">
        <w:rPr>
          <w:rFonts w:asciiTheme="majorHAnsi" w:hAnsiTheme="majorHAnsi" w:cstheme="majorHAnsi"/>
          <w:sz w:val="24"/>
          <w:szCs w:val="24"/>
          <w:lang w:val="ro-MD"/>
        </w:rPr>
        <w:t xml:space="preserve"> </w:t>
      </w:r>
    </w:p>
    <w:p w:rsidR="00245E03" w:rsidRPr="00606103" w:rsidRDefault="00530BAA" w:rsidP="005149D7">
      <w:pPr>
        <w:pStyle w:val="ListParagraph"/>
        <w:numPr>
          <w:ilvl w:val="0"/>
          <w:numId w:val="49"/>
        </w:numPr>
        <w:spacing w:line="276" w:lineRule="auto"/>
        <w:ind w:left="0" w:firstLine="284"/>
        <w:rPr>
          <w:rFonts w:asciiTheme="majorHAnsi" w:hAnsiTheme="majorHAnsi" w:cstheme="majorHAnsi"/>
          <w:sz w:val="24"/>
          <w:szCs w:val="24"/>
          <w:lang w:val="ro-MD"/>
        </w:rPr>
      </w:pPr>
      <w:r w:rsidRPr="00606103">
        <w:rPr>
          <w:rFonts w:asciiTheme="majorHAnsi" w:hAnsiTheme="majorHAnsi" w:cstheme="majorHAnsi"/>
          <w:sz w:val="24"/>
          <w:szCs w:val="24"/>
          <w:lang w:val="ro-MD"/>
        </w:rPr>
        <w:t>l</w:t>
      </w:r>
      <w:r w:rsidR="00B74008" w:rsidRPr="00606103">
        <w:rPr>
          <w:rFonts w:asciiTheme="majorHAnsi" w:hAnsiTheme="majorHAnsi" w:cstheme="majorHAnsi"/>
          <w:sz w:val="24"/>
          <w:szCs w:val="24"/>
          <w:lang w:val="ro-MD"/>
        </w:rPr>
        <w:t>a</w:t>
      </w:r>
      <w:r w:rsidR="00B74008" w:rsidRPr="00606103">
        <w:rPr>
          <w:rFonts w:asciiTheme="majorHAnsi" w:hAnsiTheme="majorHAnsi" w:cstheme="majorHAnsi"/>
          <w:b/>
          <w:sz w:val="24"/>
          <w:szCs w:val="24"/>
          <w:lang w:val="ro-MD"/>
        </w:rPr>
        <w:t xml:space="preserve"> MIDR, </w:t>
      </w:r>
      <w:r w:rsidR="00AF23C4" w:rsidRPr="00606103">
        <w:rPr>
          <w:rFonts w:asciiTheme="majorHAnsi" w:hAnsiTheme="majorHAnsi" w:cstheme="majorHAnsi"/>
          <w:sz w:val="24"/>
          <w:szCs w:val="24"/>
          <w:lang w:val="ro-MD"/>
        </w:rPr>
        <w:t>IP FISM</w:t>
      </w:r>
      <w:r w:rsidR="00AF23C4" w:rsidRPr="00606103">
        <w:rPr>
          <w:rFonts w:asciiTheme="majorHAnsi" w:hAnsiTheme="majorHAnsi" w:cstheme="majorHAnsi"/>
          <w:b/>
          <w:sz w:val="24"/>
          <w:szCs w:val="24"/>
          <w:lang w:val="ro-MD"/>
        </w:rPr>
        <w:t xml:space="preserve"> </w:t>
      </w:r>
      <w:r w:rsidRPr="00606103">
        <w:rPr>
          <w:rFonts w:asciiTheme="majorHAnsi" w:hAnsiTheme="majorHAnsi" w:cstheme="majorHAnsi"/>
          <w:sz w:val="24"/>
          <w:szCs w:val="24"/>
          <w:lang w:val="ro-MD"/>
        </w:rPr>
        <w:t xml:space="preserve">nu a </w:t>
      </w:r>
      <w:r w:rsidR="003B2052" w:rsidRPr="00606103">
        <w:rPr>
          <w:rFonts w:asciiTheme="majorHAnsi" w:hAnsiTheme="majorHAnsi" w:cstheme="majorHAnsi"/>
          <w:sz w:val="24"/>
          <w:szCs w:val="24"/>
          <w:lang w:val="ro-MD"/>
        </w:rPr>
        <w:t>reflec</w:t>
      </w:r>
      <w:r w:rsidR="00B74008" w:rsidRPr="00606103">
        <w:rPr>
          <w:rFonts w:asciiTheme="majorHAnsi" w:hAnsiTheme="majorHAnsi" w:cstheme="majorHAnsi"/>
          <w:sz w:val="24"/>
          <w:szCs w:val="24"/>
          <w:lang w:val="ro-MD"/>
        </w:rPr>
        <w:t>ta</w:t>
      </w:r>
      <w:r w:rsidRPr="00606103">
        <w:rPr>
          <w:rFonts w:asciiTheme="majorHAnsi" w:hAnsiTheme="majorHAnsi" w:cstheme="majorHAnsi"/>
          <w:sz w:val="24"/>
          <w:szCs w:val="24"/>
          <w:lang w:val="ro-MD"/>
        </w:rPr>
        <w:t>t</w:t>
      </w:r>
      <w:r w:rsidR="003B2052" w:rsidRPr="00606103">
        <w:rPr>
          <w:rFonts w:asciiTheme="majorHAnsi" w:hAnsiTheme="majorHAnsi" w:cstheme="majorHAnsi"/>
          <w:sz w:val="24"/>
          <w:szCs w:val="24"/>
          <w:lang w:val="ro-MD"/>
        </w:rPr>
        <w:t xml:space="preserve"> în evidența contabilă </w:t>
      </w:r>
      <w:r w:rsidR="005A13D9" w:rsidRPr="00606103">
        <w:rPr>
          <w:rFonts w:asciiTheme="majorHAnsi" w:hAnsiTheme="majorHAnsi" w:cstheme="majorHAnsi"/>
          <w:sz w:val="24"/>
          <w:szCs w:val="24"/>
          <w:lang w:val="ro-MD"/>
        </w:rPr>
        <w:t>transmiter</w:t>
      </w:r>
      <w:r w:rsidRPr="00606103">
        <w:rPr>
          <w:rFonts w:asciiTheme="majorHAnsi" w:hAnsiTheme="majorHAnsi" w:cstheme="majorHAnsi"/>
          <w:sz w:val="24"/>
          <w:szCs w:val="24"/>
          <w:lang w:val="ro-MD"/>
        </w:rPr>
        <w:t>ea</w:t>
      </w:r>
      <w:r w:rsidR="003B2052" w:rsidRPr="00606103">
        <w:rPr>
          <w:rFonts w:asciiTheme="majorHAnsi" w:hAnsiTheme="majorHAnsi" w:cstheme="majorHAnsi"/>
          <w:sz w:val="24"/>
          <w:szCs w:val="24"/>
          <w:lang w:val="ro-MD"/>
        </w:rPr>
        <w:t xml:space="preserve"> către comunitățile beneficiare a</w:t>
      </w:r>
      <w:r w:rsidR="00B74008" w:rsidRPr="00606103">
        <w:rPr>
          <w:rFonts w:asciiTheme="majorHAnsi" w:hAnsiTheme="majorHAnsi" w:cstheme="majorHAnsi"/>
          <w:sz w:val="24"/>
          <w:szCs w:val="24"/>
          <w:lang w:val="ro-MD"/>
        </w:rPr>
        <w:t xml:space="preserve"> investițiilor realizate</w:t>
      </w:r>
      <w:r w:rsidR="00C719C9" w:rsidRPr="00606103">
        <w:rPr>
          <w:rFonts w:asciiTheme="majorHAnsi" w:hAnsiTheme="majorHAnsi" w:cstheme="majorHAnsi"/>
          <w:sz w:val="24"/>
          <w:szCs w:val="24"/>
          <w:lang w:val="ro-MD"/>
        </w:rPr>
        <w:t>,</w:t>
      </w:r>
      <w:r w:rsidR="003B2052" w:rsidRPr="00606103">
        <w:rPr>
          <w:rFonts w:asciiTheme="majorHAnsi" w:hAnsiTheme="majorHAnsi" w:cstheme="majorHAnsi"/>
          <w:sz w:val="24"/>
          <w:szCs w:val="24"/>
          <w:lang w:val="ro-MD"/>
        </w:rPr>
        <w:t xml:space="preserve"> </w:t>
      </w:r>
      <w:r w:rsidR="00FF4CE8" w:rsidRPr="00606103">
        <w:rPr>
          <w:rFonts w:asciiTheme="majorHAnsi" w:hAnsiTheme="majorHAnsi" w:cstheme="majorHAnsi"/>
          <w:sz w:val="24"/>
          <w:szCs w:val="24"/>
          <w:lang w:val="ro-MD"/>
        </w:rPr>
        <w:t xml:space="preserve">ceea ce </w:t>
      </w:r>
      <w:r w:rsidR="003B2052" w:rsidRPr="00606103">
        <w:rPr>
          <w:rFonts w:asciiTheme="majorHAnsi" w:hAnsiTheme="majorHAnsi" w:cstheme="majorHAnsi"/>
          <w:sz w:val="24"/>
          <w:szCs w:val="24"/>
          <w:lang w:val="ro-MD"/>
        </w:rPr>
        <w:t>a generat supraevaluarea mijloacelor fixe cu cel puțin 67,</w:t>
      </w:r>
      <w:r w:rsidR="0062174F" w:rsidRPr="00606103">
        <w:rPr>
          <w:rFonts w:asciiTheme="majorHAnsi" w:hAnsiTheme="majorHAnsi" w:cstheme="majorHAnsi"/>
          <w:sz w:val="24"/>
          <w:szCs w:val="24"/>
          <w:lang w:val="ro-MD"/>
        </w:rPr>
        <w:t>9 mil. lei.</w:t>
      </w:r>
      <w:r w:rsidR="003B2052" w:rsidRPr="00606103">
        <w:rPr>
          <w:rFonts w:asciiTheme="majorHAnsi" w:hAnsiTheme="majorHAnsi" w:cstheme="majorHAnsi"/>
          <w:sz w:val="24"/>
          <w:szCs w:val="24"/>
          <w:lang w:val="ro-MD"/>
        </w:rPr>
        <w:t xml:space="preserve"> </w:t>
      </w:r>
      <w:r w:rsidR="00281BE6" w:rsidRPr="00606103">
        <w:rPr>
          <w:rFonts w:asciiTheme="majorHAnsi" w:hAnsiTheme="majorHAnsi" w:cstheme="majorHAnsi"/>
          <w:sz w:val="24"/>
          <w:szCs w:val="24"/>
          <w:lang w:val="ro-MD"/>
        </w:rPr>
        <w:t>La ÎS ASD, a</w:t>
      </w:r>
      <w:r w:rsidR="006F58DE" w:rsidRPr="00606103">
        <w:rPr>
          <w:rFonts w:asciiTheme="majorHAnsi" w:hAnsiTheme="majorHAnsi" w:cstheme="majorHAnsi"/>
          <w:sz w:val="24"/>
          <w:szCs w:val="24"/>
          <w:lang w:val="ro-MD"/>
        </w:rPr>
        <w:t>u fost supraevaluate cheltuielile perioadei de gestiune cu circa 73,9 mil</w:t>
      </w:r>
      <w:r w:rsidR="00245E03" w:rsidRPr="00606103">
        <w:rPr>
          <w:rFonts w:asciiTheme="majorHAnsi" w:hAnsiTheme="majorHAnsi" w:cstheme="majorHAnsi"/>
          <w:sz w:val="24"/>
          <w:szCs w:val="24"/>
          <w:lang w:val="ro-MD"/>
        </w:rPr>
        <w:t>.</w:t>
      </w:r>
      <w:r w:rsidR="006F58DE" w:rsidRPr="00606103">
        <w:rPr>
          <w:rFonts w:asciiTheme="majorHAnsi" w:hAnsiTheme="majorHAnsi" w:cstheme="majorHAnsi"/>
          <w:sz w:val="24"/>
          <w:szCs w:val="24"/>
          <w:lang w:val="ro-MD"/>
        </w:rPr>
        <w:t xml:space="preserve"> lei</w:t>
      </w:r>
      <w:r w:rsidR="00A83B16" w:rsidRPr="00606103">
        <w:rPr>
          <w:rFonts w:asciiTheme="majorHAnsi" w:hAnsiTheme="majorHAnsi" w:cstheme="majorHAnsi"/>
          <w:sz w:val="24"/>
          <w:szCs w:val="24"/>
          <w:lang w:val="ro-MD"/>
        </w:rPr>
        <w:t xml:space="preserve"> și datoria față de antreprenor cu 70,6 mil</w:t>
      </w:r>
      <w:r w:rsidR="00FF4CE8" w:rsidRPr="00606103">
        <w:rPr>
          <w:rFonts w:asciiTheme="majorHAnsi" w:hAnsiTheme="majorHAnsi" w:cstheme="majorHAnsi"/>
          <w:sz w:val="24"/>
          <w:szCs w:val="24"/>
          <w:lang w:val="ro-MD"/>
        </w:rPr>
        <w:t>.</w:t>
      </w:r>
      <w:r w:rsidR="00A83B16" w:rsidRPr="00606103">
        <w:rPr>
          <w:rFonts w:asciiTheme="majorHAnsi" w:hAnsiTheme="majorHAnsi" w:cstheme="majorHAnsi"/>
          <w:sz w:val="24"/>
          <w:szCs w:val="24"/>
          <w:lang w:val="ro-MD"/>
        </w:rPr>
        <w:t xml:space="preserve"> lei. </w:t>
      </w:r>
      <w:r w:rsidR="003B2052" w:rsidRPr="00606103">
        <w:rPr>
          <w:rFonts w:asciiTheme="majorHAnsi" w:hAnsiTheme="majorHAnsi" w:cstheme="majorHAnsi"/>
          <w:sz w:val="24"/>
          <w:szCs w:val="24"/>
          <w:lang w:val="ro-MD"/>
        </w:rPr>
        <w:t>IP Unitatea de Implementare a Proiectului de Construcție a Locuințelor pentru Pătu</w:t>
      </w:r>
      <w:r w:rsidR="005A13D9" w:rsidRPr="00606103">
        <w:rPr>
          <w:rFonts w:asciiTheme="majorHAnsi" w:hAnsiTheme="majorHAnsi" w:cstheme="majorHAnsi"/>
          <w:sz w:val="24"/>
          <w:szCs w:val="24"/>
          <w:lang w:val="ro-MD"/>
        </w:rPr>
        <w:t>rile Socialmente Vulnerabile II a</w:t>
      </w:r>
      <w:r w:rsidR="003B2052" w:rsidRPr="00606103">
        <w:rPr>
          <w:rFonts w:asciiTheme="majorHAnsi" w:hAnsiTheme="majorHAnsi" w:cstheme="majorHAnsi"/>
          <w:sz w:val="24"/>
          <w:szCs w:val="24"/>
          <w:lang w:val="ro-MD"/>
        </w:rPr>
        <w:t xml:space="preserve"> </w:t>
      </w:r>
      <w:r w:rsidR="0085403D" w:rsidRPr="00606103">
        <w:rPr>
          <w:rFonts w:asciiTheme="majorHAnsi" w:hAnsiTheme="majorHAnsi" w:cstheme="majorHAnsi"/>
          <w:sz w:val="24"/>
          <w:szCs w:val="24"/>
          <w:lang w:val="ro-MD"/>
        </w:rPr>
        <w:t>supraevaluat</w:t>
      </w:r>
      <w:r w:rsidR="00A83B16" w:rsidRPr="00606103">
        <w:rPr>
          <w:rFonts w:asciiTheme="majorHAnsi" w:hAnsiTheme="majorHAnsi" w:cstheme="majorHAnsi"/>
          <w:sz w:val="24"/>
          <w:szCs w:val="24"/>
          <w:lang w:val="ro-MD"/>
        </w:rPr>
        <w:t xml:space="preserve"> </w:t>
      </w:r>
      <w:r w:rsidR="0085403D" w:rsidRPr="00606103">
        <w:rPr>
          <w:rFonts w:asciiTheme="majorHAnsi" w:hAnsiTheme="majorHAnsi" w:cstheme="majorHAnsi"/>
          <w:sz w:val="24"/>
          <w:szCs w:val="24"/>
          <w:lang w:val="ro-MD"/>
        </w:rPr>
        <w:t xml:space="preserve">grupa de conturi 319 </w:t>
      </w:r>
      <w:r w:rsidR="00FF4CE8" w:rsidRPr="00606103">
        <w:rPr>
          <w:rFonts w:asciiTheme="majorHAnsi" w:hAnsiTheme="majorHAnsi" w:cstheme="majorHAnsi"/>
          <w:sz w:val="24"/>
          <w:szCs w:val="24"/>
          <w:lang w:val="ro-MD"/>
        </w:rPr>
        <w:t>„I</w:t>
      </w:r>
      <w:r w:rsidR="0085403D" w:rsidRPr="00606103">
        <w:rPr>
          <w:rFonts w:asciiTheme="majorHAnsi" w:hAnsiTheme="majorHAnsi" w:cstheme="majorHAnsi"/>
          <w:sz w:val="24"/>
          <w:szCs w:val="24"/>
          <w:lang w:val="ro-MD"/>
        </w:rPr>
        <w:t xml:space="preserve">nvestiții capitale în active în curs de execuție” </w:t>
      </w:r>
      <w:r w:rsidR="00245E03" w:rsidRPr="00606103">
        <w:rPr>
          <w:rFonts w:asciiTheme="majorHAnsi" w:hAnsiTheme="majorHAnsi" w:cstheme="majorHAnsi"/>
          <w:sz w:val="24"/>
          <w:szCs w:val="24"/>
          <w:lang w:val="ro-MD"/>
        </w:rPr>
        <w:t>cu 19,9 mil. lei.</w:t>
      </w:r>
    </w:p>
    <w:p w:rsidR="00311C19" w:rsidRPr="00606103" w:rsidRDefault="00311C19">
      <w:pPr>
        <w:spacing w:line="276" w:lineRule="auto"/>
        <w:rPr>
          <w:rFonts w:asciiTheme="majorHAnsi" w:eastAsia="Calibri" w:hAnsiTheme="majorHAnsi" w:cstheme="majorHAnsi"/>
          <w:iCs/>
          <w:sz w:val="24"/>
          <w:szCs w:val="24"/>
          <w:lang w:val="ro-MD" w:eastAsia="zh-CN"/>
        </w:rPr>
      </w:pPr>
      <w:r w:rsidRPr="00606103">
        <w:rPr>
          <w:rFonts w:asciiTheme="majorHAnsi" w:eastAsia="Calibri" w:hAnsiTheme="majorHAnsi" w:cstheme="majorHAnsi"/>
          <w:iCs/>
          <w:sz w:val="24"/>
          <w:szCs w:val="24"/>
          <w:lang w:val="ro-MD" w:eastAsia="zh-CN"/>
        </w:rPr>
        <w:t>Concomitent, se relevă că MAEIE, în temeiul prevederilor HG nr. 161 din 07.03.2019</w:t>
      </w:r>
      <w:r w:rsidRPr="00606103">
        <w:rPr>
          <w:rStyle w:val="FootnoteReference"/>
          <w:rFonts w:asciiTheme="majorHAnsi" w:eastAsia="Calibri" w:hAnsiTheme="majorHAnsi" w:cstheme="majorHAnsi"/>
          <w:iCs/>
          <w:sz w:val="24"/>
          <w:szCs w:val="24"/>
          <w:lang w:val="ro-MD" w:eastAsia="zh-CN"/>
        </w:rPr>
        <w:footnoteReference w:id="6"/>
      </w:r>
      <w:r w:rsidRPr="00606103">
        <w:rPr>
          <w:rFonts w:asciiTheme="majorHAnsi" w:eastAsia="Calibri" w:hAnsiTheme="majorHAnsi" w:cstheme="majorHAnsi"/>
          <w:iCs/>
          <w:sz w:val="24"/>
          <w:szCs w:val="24"/>
          <w:lang w:val="ro-MD" w:eastAsia="zh-CN"/>
        </w:rPr>
        <w:t>, a transmis terenuri în administrarea IP APP care, contrar pct.5 din Hotărârea Guvernului nr.91 din 11.02.2019, nu a legalizat posesia/folosința terenului proprietate publică a statului aferent construcțiilor prin neîncheierea cu ministerul a contractului de arendă/comodat. Drepturile de administrare ale IP APP asupra terenurilor respective nu au fost înregistrate nici în Registrul bunurilor imobile (RBI), fiind până în prezent</w:t>
      </w:r>
      <w:r w:rsidR="00E95D93" w:rsidRPr="00606103">
        <w:rPr>
          <w:rFonts w:asciiTheme="majorHAnsi" w:eastAsia="Calibri" w:hAnsiTheme="majorHAnsi" w:cstheme="majorHAnsi"/>
          <w:iCs/>
          <w:sz w:val="24"/>
          <w:szCs w:val="24"/>
          <w:lang w:val="ro-MD" w:eastAsia="zh-CN"/>
        </w:rPr>
        <w:t xml:space="preserve"> </w:t>
      </w:r>
      <w:r w:rsidRPr="00606103">
        <w:rPr>
          <w:rFonts w:asciiTheme="majorHAnsi" w:eastAsia="Calibri" w:hAnsiTheme="majorHAnsi" w:cstheme="majorHAnsi"/>
          <w:iCs/>
          <w:sz w:val="24"/>
          <w:szCs w:val="24"/>
          <w:lang w:val="ro-MD" w:eastAsia="zh-CN"/>
        </w:rPr>
        <w:t>înregistrate în RBI după minister.</w:t>
      </w:r>
    </w:p>
    <w:p w:rsidR="00ED137D" w:rsidRPr="00606103" w:rsidRDefault="0038277E">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De menționat că datele totalizate în Bilanțul respectiv nu sunt parte a executării de casă a bugetul</w:t>
      </w:r>
      <w:r w:rsidR="00552746" w:rsidRPr="00606103">
        <w:rPr>
          <w:rFonts w:asciiTheme="majorHAnsi" w:hAnsiTheme="majorHAnsi" w:cstheme="majorHAnsi"/>
          <w:sz w:val="24"/>
          <w:szCs w:val="24"/>
          <w:lang w:val="ro-MD"/>
        </w:rPr>
        <w:t>ui, context în care devierile</w:t>
      </w:r>
      <w:r w:rsidRPr="00606103">
        <w:rPr>
          <w:rFonts w:asciiTheme="majorHAnsi" w:hAnsiTheme="majorHAnsi" w:cstheme="majorHAnsi"/>
          <w:sz w:val="24"/>
          <w:szCs w:val="24"/>
          <w:lang w:val="ro-MD"/>
        </w:rPr>
        <w:t xml:space="preserve"> identificate nu au impact asupra opiniei de audit emise l</w:t>
      </w:r>
      <w:r w:rsidR="00FC0277" w:rsidRPr="00606103">
        <w:rPr>
          <w:rFonts w:asciiTheme="majorHAnsi" w:hAnsiTheme="majorHAnsi" w:cstheme="majorHAnsi"/>
          <w:sz w:val="24"/>
          <w:szCs w:val="24"/>
          <w:lang w:val="ro-MD"/>
        </w:rPr>
        <w:t>a componenta executarea de casă, deoarece rapoartele</w:t>
      </w:r>
      <w:r w:rsidR="0001216E" w:rsidRPr="00606103">
        <w:rPr>
          <w:rFonts w:asciiTheme="majorHAnsi" w:hAnsiTheme="majorHAnsi" w:cstheme="majorHAnsi"/>
          <w:sz w:val="24"/>
          <w:szCs w:val="24"/>
          <w:lang w:val="ro-MD"/>
        </w:rPr>
        <w:t xml:space="preserve"> privind executarea bugetului</w:t>
      </w:r>
      <w:r w:rsidR="00FC0277" w:rsidRPr="00606103">
        <w:rPr>
          <w:rFonts w:asciiTheme="majorHAnsi" w:hAnsiTheme="majorHAnsi" w:cstheme="majorHAnsi"/>
          <w:sz w:val="24"/>
          <w:szCs w:val="24"/>
          <w:lang w:val="ro-MD"/>
        </w:rPr>
        <w:t xml:space="preserve"> nu includ informații despre angajamente. </w:t>
      </w:r>
      <w:r w:rsidRPr="00606103">
        <w:rPr>
          <w:rFonts w:asciiTheme="majorHAnsi" w:hAnsiTheme="majorHAnsi" w:cstheme="majorHAnsi"/>
          <w:sz w:val="24"/>
          <w:szCs w:val="24"/>
          <w:lang w:val="ro-MD"/>
        </w:rPr>
        <w:t xml:space="preserve"> </w:t>
      </w:r>
    </w:p>
    <w:p w:rsidR="00ED137D" w:rsidRPr="00606103" w:rsidRDefault="00FC0277">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În acest context,</w:t>
      </w:r>
      <w:r w:rsidR="00ED137D" w:rsidRPr="00606103">
        <w:rPr>
          <w:rFonts w:asciiTheme="majorHAnsi" w:hAnsiTheme="majorHAnsi" w:cstheme="majorHAnsi"/>
          <w:sz w:val="24"/>
          <w:szCs w:val="24"/>
          <w:lang w:val="ro-MD"/>
        </w:rPr>
        <w:t xml:space="preserve"> acestea sunt</w:t>
      </w:r>
      <w:r w:rsidR="0038277E" w:rsidRPr="00606103">
        <w:rPr>
          <w:rFonts w:asciiTheme="majorHAnsi" w:hAnsiTheme="majorHAnsi" w:cstheme="majorHAnsi"/>
          <w:sz w:val="24"/>
          <w:szCs w:val="24"/>
          <w:lang w:val="ro-MD"/>
        </w:rPr>
        <w:t xml:space="preserve"> evidențiate de către audit</w:t>
      </w:r>
      <w:r w:rsidR="00ED137D" w:rsidRPr="00606103">
        <w:rPr>
          <w:rFonts w:asciiTheme="majorHAnsi" w:hAnsiTheme="majorHAnsi" w:cstheme="majorHAnsi"/>
          <w:sz w:val="24"/>
          <w:szCs w:val="24"/>
          <w:lang w:val="ro-MD"/>
        </w:rPr>
        <w:t>ul public extern în vederea examinării oportunităților de dezvoltare continuă și durabilă prin prisma elaborării noii strategii pe termen mediu în domeniul managementului finanțelor publice, inclusiv cu determinarea necesităților de</w:t>
      </w:r>
      <w:r w:rsidR="005A5BC5" w:rsidRPr="00606103">
        <w:rPr>
          <w:rFonts w:asciiTheme="majorHAnsi" w:hAnsiTheme="majorHAnsi" w:cstheme="majorHAnsi"/>
          <w:sz w:val="24"/>
          <w:szCs w:val="24"/>
          <w:lang w:val="ro-MD"/>
        </w:rPr>
        <w:t xml:space="preserve"> implementare a</w:t>
      </w:r>
      <w:r w:rsidR="00ED137D" w:rsidRPr="00606103">
        <w:rPr>
          <w:rFonts w:asciiTheme="majorHAnsi" w:hAnsiTheme="majorHAnsi" w:cstheme="majorHAnsi"/>
          <w:sz w:val="24"/>
          <w:szCs w:val="24"/>
          <w:lang w:val="ro-MD"/>
        </w:rPr>
        <w:t xml:space="preserve"> sistemul</w:t>
      </w:r>
      <w:r w:rsidR="00C719C9" w:rsidRPr="00606103">
        <w:rPr>
          <w:rFonts w:asciiTheme="majorHAnsi" w:hAnsiTheme="majorHAnsi" w:cstheme="majorHAnsi"/>
          <w:sz w:val="24"/>
          <w:szCs w:val="24"/>
          <w:lang w:val="ro-MD"/>
        </w:rPr>
        <w:t>ui</w:t>
      </w:r>
      <w:r w:rsidR="00ED137D" w:rsidRPr="00606103">
        <w:rPr>
          <w:rFonts w:asciiTheme="majorHAnsi" w:hAnsiTheme="majorHAnsi" w:cstheme="majorHAnsi"/>
          <w:sz w:val="24"/>
          <w:szCs w:val="24"/>
          <w:lang w:val="ro-MD"/>
        </w:rPr>
        <w:t xml:space="preserve"> de evidență pe baz</w:t>
      </w:r>
      <w:r w:rsidR="00C719C9" w:rsidRPr="00606103">
        <w:rPr>
          <w:rFonts w:asciiTheme="majorHAnsi" w:hAnsiTheme="majorHAnsi" w:cstheme="majorHAnsi"/>
          <w:sz w:val="24"/>
          <w:szCs w:val="24"/>
          <w:lang w:val="ro-MD"/>
        </w:rPr>
        <w:t>ă</w:t>
      </w:r>
      <w:r w:rsidR="00ED137D" w:rsidRPr="00606103">
        <w:rPr>
          <w:rFonts w:asciiTheme="majorHAnsi" w:hAnsiTheme="majorHAnsi" w:cstheme="majorHAnsi"/>
          <w:sz w:val="24"/>
          <w:szCs w:val="24"/>
          <w:lang w:val="ro-MD"/>
        </w:rPr>
        <w:t xml:space="preserve"> de angajamente.</w:t>
      </w:r>
    </w:p>
    <w:p w:rsidR="008325F8" w:rsidRPr="00606103" w:rsidRDefault="002E0909">
      <w:pPr>
        <w:pStyle w:val="Heading2"/>
        <w:spacing w:line="276" w:lineRule="auto"/>
        <w:rPr>
          <w:rFonts w:eastAsia="Times New Roman" w:cstheme="majorHAnsi"/>
          <w:b/>
          <w:color w:val="auto"/>
          <w:sz w:val="24"/>
          <w:szCs w:val="24"/>
          <w:lang w:val="ro-MD"/>
        </w:rPr>
      </w:pPr>
      <w:r w:rsidRPr="00606103">
        <w:rPr>
          <w:rFonts w:cstheme="majorHAnsi"/>
          <w:b/>
          <w:color w:val="auto"/>
          <w:sz w:val="24"/>
          <w:szCs w:val="24"/>
          <w:lang w:val="ro-MD"/>
        </w:rPr>
        <w:t xml:space="preserve">3.2. </w:t>
      </w:r>
      <w:r w:rsidR="004250BE" w:rsidRPr="00606103">
        <w:rPr>
          <w:rFonts w:cstheme="majorHAnsi"/>
          <w:b/>
          <w:color w:val="auto"/>
          <w:sz w:val="24"/>
          <w:szCs w:val="24"/>
          <w:lang w:val="ro-MD"/>
        </w:rPr>
        <w:t xml:space="preserve">Atragem atenția că </w:t>
      </w:r>
      <w:r w:rsidR="008325F8" w:rsidRPr="00606103">
        <w:rPr>
          <w:rFonts w:cstheme="majorHAnsi"/>
          <w:b/>
          <w:color w:val="auto"/>
          <w:sz w:val="24"/>
          <w:szCs w:val="24"/>
          <w:lang w:val="ro-MD"/>
        </w:rPr>
        <w:t xml:space="preserve">MF raportează </w:t>
      </w:r>
      <w:r w:rsidR="00D30ECF" w:rsidRPr="00606103">
        <w:rPr>
          <w:rFonts w:cstheme="majorHAnsi"/>
          <w:b/>
          <w:color w:val="auto"/>
          <w:sz w:val="24"/>
          <w:szCs w:val="24"/>
          <w:lang w:val="ro-MD"/>
        </w:rPr>
        <w:t xml:space="preserve">suma restanțelor față de BS </w:t>
      </w:r>
      <w:r w:rsidR="008325F8" w:rsidRPr="00606103">
        <w:rPr>
          <w:rFonts w:eastAsia="Times New Roman" w:cstheme="majorHAnsi"/>
          <w:b/>
          <w:color w:val="auto"/>
          <w:sz w:val="24"/>
          <w:szCs w:val="24"/>
          <w:lang w:val="ro-MD"/>
        </w:rPr>
        <w:t>la plățile pe care le administrează SFS și</w:t>
      </w:r>
      <w:r w:rsidR="00F1326F" w:rsidRPr="00606103">
        <w:rPr>
          <w:rFonts w:eastAsia="Times New Roman" w:cstheme="majorHAnsi"/>
          <w:b/>
          <w:color w:val="auto"/>
          <w:sz w:val="24"/>
          <w:szCs w:val="24"/>
          <w:lang w:val="ro-MD"/>
        </w:rPr>
        <w:t xml:space="preserve"> SV,</w:t>
      </w:r>
      <w:r w:rsidR="00915EAE" w:rsidRPr="00606103">
        <w:rPr>
          <w:rFonts w:eastAsia="Times New Roman" w:cstheme="majorHAnsi"/>
          <w:b/>
          <w:color w:val="auto"/>
          <w:sz w:val="24"/>
          <w:szCs w:val="24"/>
          <w:lang w:val="ro-MD"/>
        </w:rPr>
        <w:t xml:space="preserve"> </w:t>
      </w:r>
      <w:r w:rsidR="00F1326F" w:rsidRPr="00606103">
        <w:rPr>
          <w:rFonts w:eastAsia="Times New Roman" w:cstheme="majorHAnsi"/>
          <w:b/>
          <w:color w:val="auto"/>
          <w:sz w:val="24"/>
          <w:szCs w:val="24"/>
          <w:lang w:val="ro-MD"/>
        </w:rPr>
        <w:t>t</w:t>
      </w:r>
      <w:r w:rsidR="00915EAE" w:rsidRPr="00606103">
        <w:rPr>
          <w:rFonts w:eastAsia="Times New Roman" w:cstheme="majorHAnsi"/>
          <w:b/>
          <w:color w:val="auto"/>
          <w:sz w:val="24"/>
          <w:szCs w:val="24"/>
          <w:lang w:val="ro-MD"/>
        </w:rPr>
        <w:t xml:space="preserve">otodată fiind menținute </w:t>
      </w:r>
      <w:r w:rsidR="005A13D9" w:rsidRPr="00606103">
        <w:rPr>
          <w:rFonts w:eastAsia="Times New Roman" w:cstheme="majorHAnsi"/>
          <w:b/>
          <w:color w:val="auto"/>
          <w:sz w:val="24"/>
          <w:szCs w:val="24"/>
          <w:lang w:val="ro-MD"/>
        </w:rPr>
        <w:t xml:space="preserve">la partea de venituri </w:t>
      </w:r>
      <w:r w:rsidR="00915EAE" w:rsidRPr="00606103">
        <w:rPr>
          <w:rFonts w:eastAsia="Times New Roman" w:cstheme="majorHAnsi"/>
          <w:b/>
          <w:color w:val="auto"/>
          <w:sz w:val="24"/>
          <w:szCs w:val="24"/>
          <w:lang w:val="ro-MD"/>
        </w:rPr>
        <w:t>unele problematici similar</w:t>
      </w:r>
      <w:r w:rsidR="00A02AA0" w:rsidRPr="00606103">
        <w:rPr>
          <w:rFonts w:eastAsia="Times New Roman" w:cstheme="majorHAnsi"/>
          <w:b/>
          <w:color w:val="auto"/>
          <w:sz w:val="24"/>
          <w:szCs w:val="24"/>
          <w:lang w:val="ro-MD"/>
        </w:rPr>
        <w:t>e</w:t>
      </w:r>
      <w:r w:rsidR="00915EAE" w:rsidRPr="00606103">
        <w:rPr>
          <w:rFonts w:eastAsia="Times New Roman" w:cstheme="majorHAnsi"/>
          <w:b/>
          <w:color w:val="auto"/>
          <w:sz w:val="24"/>
          <w:szCs w:val="24"/>
          <w:lang w:val="ro-MD"/>
        </w:rPr>
        <w:t xml:space="preserve"> anilor precedenți.</w:t>
      </w:r>
    </w:p>
    <w:p w:rsidR="00E33E15" w:rsidRPr="00606103" w:rsidRDefault="00E33E15">
      <w:pPr>
        <w:spacing w:after="0" w:line="276" w:lineRule="auto"/>
        <w:rPr>
          <w:rFonts w:asciiTheme="majorHAnsi" w:hAnsiTheme="majorHAnsi" w:cstheme="majorHAnsi"/>
          <w:i/>
          <w:sz w:val="24"/>
          <w:szCs w:val="24"/>
          <w:lang w:val="ro-MD"/>
        </w:rPr>
      </w:pPr>
      <w:r w:rsidRPr="00606103">
        <w:rPr>
          <w:rFonts w:asciiTheme="majorHAnsi" w:hAnsiTheme="majorHAnsi" w:cstheme="majorHAnsi"/>
          <w:sz w:val="24"/>
          <w:szCs w:val="24"/>
          <w:lang w:val="ro-MD"/>
        </w:rPr>
        <w:t>Partea de venituri a BS pentru anul 2021 a fost aprobată inițial în sumă de 41 415,4 mil. lei,</w:t>
      </w:r>
      <w:r w:rsidR="00A02AA0" w:rsidRPr="00606103">
        <w:rPr>
          <w:rFonts w:asciiTheme="majorHAnsi" w:hAnsiTheme="majorHAnsi" w:cstheme="majorHAnsi"/>
          <w:sz w:val="24"/>
          <w:szCs w:val="24"/>
          <w:lang w:val="ro-MD"/>
        </w:rPr>
        <w:t xml:space="preserve"> iar</w:t>
      </w:r>
      <w:r w:rsidRPr="00606103">
        <w:rPr>
          <w:rFonts w:asciiTheme="majorHAnsi" w:hAnsiTheme="majorHAnsi" w:cstheme="majorHAnsi"/>
          <w:sz w:val="24"/>
          <w:szCs w:val="24"/>
          <w:lang w:val="ro-MD"/>
        </w:rPr>
        <w:t xml:space="preserve"> ca urmare a</w:t>
      </w:r>
      <w:r w:rsidRPr="00606103">
        <w:rPr>
          <w:rFonts w:asciiTheme="majorHAnsi" w:hAnsiTheme="majorHAnsi" w:cstheme="majorHAnsi"/>
          <w:spacing w:val="2"/>
          <w:sz w:val="24"/>
          <w:szCs w:val="24"/>
          <w:lang w:val="ro-MD"/>
        </w:rPr>
        <w:t xml:space="preserve"> modificărilor indicatorii aprobați au fost majorați cu </w:t>
      </w:r>
      <w:r w:rsidRPr="00606103">
        <w:rPr>
          <w:rFonts w:asciiTheme="majorHAnsi" w:eastAsia="Times New Roman" w:hAnsiTheme="majorHAnsi" w:cstheme="majorHAnsi"/>
          <w:sz w:val="24"/>
          <w:szCs w:val="24"/>
          <w:lang w:val="ro-MD" w:eastAsia="ro-RO"/>
        </w:rPr>
        <w:t>4 449,5 mil. lei,</w:t>
      </w:r>
      <w:r w:rsidRPr="00606103">
        <w:rPr>
          <w:rFonts w:asciiTheme="majorHAnsi" w:hAnsiTheme="majorHAnsi" w:cstheme="majorHAnsi"/>
          <w:sz w:val="24"/>
          <w:szCs w:val="24"/>
          <w:lang w:val="ro-MD"/>
        </w:rPr>
        <w:t xml:space="preserve"> sau cu 10,7%. Veniturile bugetului de stat s-au majorat la capitolul impozite și taxe cu 3 884,5 mil. lei, granturi – cu 299,9 mil. lei, transferuri – cu 9,3 mil. lei</w:t>
      </w:r>
      <w:r w:rsidR="00A02AA0"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și alte venituri </w:t>
      </w:r>
      <w:r w:rsidR="00A02AA0"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cu 255,8 mil. lei. </w:t>
      </w:r>
      <w:r w:rsidRPr="00606103">
        <w:rPr>
          <w:rFonts w:asciiTheme="majorHAnsi" w:hAnsiTheme="majorHAnsi" w:cstheme="majorHAnsi"/>
          <w:spacing w:val="2"/>
          <w:sz w:val="24"/>
          <w:szCs w:val="24"/>
          <w:lang w:val="ro-MD"/>
        </w:rPr>
        <w:t xml:space="preserve">Conform </w:t>
      </w:r>
      <w:r w:rsidRPr="00606103">
        <w:rPr>
          <w:rFonts w:asciiTheme="majorHAnsi" w:hAnsiTheme="majorHAnsi" w:cstheme="majorHAnsi"/>
          <w:iCs/>
          <w:spacing w:val="-2"/>
          <w:sz w:val="24"/>
          <w:szCs w:val="24"/>
          <w:lang w:val="ro-MD"/>
        </w:rPr>
        <w:t xml:space="preserve">Raportului privind executarea BS pe anul 2021, nivelul de executare a veniturilor față de prevederile anuale precizate a </w:t>
      </w:r>
      <w:r w:rsidRPr="00606103">
        <w:rPr>
          <w:rFonts w:asciiTheme="majorHAnsi" w:hAnsiTheme="majorHAnsi" w:cstheme="majorHAnsi"/>
          <w:iCs/>
          <w:spacing w:val="-2"/>
          <w:sz w:val="24"/>
          <w:szCs w:val="24"/>
          <w:lang w:val="ro-MD"/>
        </w:rPr>
        <w:lastRenderedPageBreak/>
        <w:t xml:space="preserve">constituit 107,7%, sau 49 383,8 mil. lei. </w:t>
      </w:r>
      <w:r w:rsidRPr="00606103">
        <w:rPr>
          <w:rFonts w:asciiTheme="majorHAnsi" w:hAnsiTheme="majorHAnsi" w:cstheme="majorHAnsi"/>
          <w:spacing w:val="2"/>
          <w:sz w:val="24"/>
          <w:szCs w:val="24"/>
          <w:lang w:val="ro-MD"/>
        </w:rPr>
        <w:t xml:space="preserve">Comparativ cu </w:t>
      </w:r>
      <w:r w:rsidRPr="00606103">
        <w:rPr>
          <w:rFonts w:asciiTheme="majorHAnsi" w:hAnsiTheme="majorHAnsi" w:cstheme="majorHAnsi"/>
          <w:spacing w:val="-1"/>
          <w:sz w:val="24"/>
          <w:szCs w:val="24"/>
          <w:lang w:val="ro-MD"/>
        </w:rPr>
        <w:t>anul 2020, veniturile la toate capitolele au înregistrat o creștere în total cu 10 8</w:t>
      </w:r>
      <w:r w:rsidR="00280265" w:rsidRPr="00606103">
        <w:rPr>
          <w:rFonts w:asciiTheme="majorHAnsi" w:hAnsiTheme="majorHAnsi" w:cstheme="majorHAnsi"/>
          <w:spacing w:val="-1"/>
          <w:sz w:val="24"/>
          <w:szCs w:val="24"/>
          <w:lang w:val="ro-MD"/>
        </w:rPr>
        <w:t>8</w:t>
      </w:r>
      <w:r w:rsidRPr="00606103">
        <w:rPr>
          <w:rFonts w:asciiTheme="majorHAnsi" w:hAnsiTheme="majorHAnsi" w:cstheme="majorHAnsi"/>
          <w:spacing w:val="-1"/>
          <w:sz w:val="24"/>
          <w:szCs w:val="24"/>
          <w:lang w:val="ro-MD"/>
        </w:rPr>
        <w:t>3,3 mil. lei (28,3%), situația fiind prezentată în</w:t>
      </w:r>
      <w:r w:rsidR="00E95D93" w:rsidRPr="00606103">
        <w:rPr>
          <w:rFonts w:asciiTheme="majorHAnsi" w:hAnsiTheme="majorHAnsi" w:cstheme="majorHAnsi"/>
          <w:spacing w:val="-1"/>
          <w:sz w:val="24"/>
          <w:szCs w:val="24"/>
          <w:lang w:val="ro-MD"/>
        </w:rPr>
        <w:t xml:space="preserve"> </w:t>
      </w:r>
      <w:r w:rsidRPr="00606103">
        <w:rPr>
          <w:rFonts w:asciiTheme="majorHAnsi" w:hAnsiTheme="majorHAnsi" w:cstheme="majorHAnsi"/>
          <w:i/>
          <w:sz w:val="24"/>
          <w:szCs w:val="24"/>
          <w:lang w:val="ro-MD"/>
        </w:rPr>
        <w:t>Tabelul nr.1.</w:t>
      </w:r>
    </w:p>
    <w:p w:rsidR="00E33E15" w:rsidRPr="00606103" w:rsidRDefault="00E33E15">
      <w:pPr>
        <w:spacing w:after="0" w:line="276" w:lineRule="auto"/>
        <w:jc w:val="right"/>
        <w:rPr>
          <w:rFonts w:asciiTheme="majorHAnsi" w:eastAsia="Times New Roman" w:hAnsiTheme="majorHAnsi" w:cstheme="majorHAnsi"/>
          <w:b/>
          <w:i/>
          <w:sz w:val="24"/>
          <w:szCs w:val="24"/>
          <w:lang w:val="ro-MD"/>
        </w:rPr>
      </w:pPr>
      <w:r w:rsidRPr="00606103">
        <w:rPr>
          <w:rFonts w:asciiTheme="majorHAnsi" w:eastAsia="Times New Roman" w:hAnsiTheme="majorHAnsi" w:cstheme="majorHAnsi"/>
          <w:b/>
          <w:i/>
          <w:sz w:val="24"/>
          <w:szCs w:val="24"/>
          <w:lang w:val="ro-MD"/>
        </w:rPr>
        <w:t>Tabelul nr.1</w:t>
      </w:r>
    </w:p>
    <w:p w:rsidR="00E33E15" w:rsidRPr="00606103" w:rsidRDefault="00E33E15">
      <w:pPr>
        <w:spacing w:after="0" w:line="276" w:lineRule="auto"/>
        <w:jc w:val="center"/>
        <w:rPr>
          <w:rFonts w:asciiTheme="majorHAnsi" w:eastAsia="Times New Roman" w:hAnsiTheme="majorHAnsi" w:cstheme="majorHAnsi"/>
          <w:sz w:val="24"/>
          <w:szCs w:val="24"/>
          <w:lang w:val="ro-MD"/>
        </w:rPr>
      </w:pPr>
      <w:r w:rsidRPr="00606103">
        <w:rPr>
          <w:rFonts w:asciiTheme="majorHAnsi" w:eastAsia="Times New Roman" w:hAnsiTheme="majorHAnsi" w:cstheme="majorHAnsi"/>
          <w:b/>
          <w:bCs/>
          <w:sz w:val="24"/>
          <w:szCs w:val="24"/>
          <w:lang w:val="ro-MD"/>
        </w:rPr>
        <w:t>Veniturile bugetului de stat în anul 2021 față de anul 2020</w:t>
      </w:r>
    </w:p>
    <w:p w:rsidR="00E33E15" w:rsidRPr="00606103" w:rsidRDefault="00E33E15">
      <w:pPr>
        <w:spacing w:after="0" w:line="276" w:lineRule="auto"/>
        <w:jc w:val="right"/>
        <w:rPr>
          <w:rFonts w:asciiTheme="majorHAnsi" w:eastAsia="Times New Roman" w:hAnsiTheme="majorHAnsi" w:cstheme="majorHAnsi"/>
          <w:bCs/>
          <w:i/>
          <w:sz w:val="20"/>
          <w:szCs w:val="20"/>
          <w:lang w:val="ro-MD"/>
        </w:rPr>
      </w:pPr>
      <w:r w:rsidRPr="00606103">
        <w:rPr>
          <w:rFonts w:asciiTheme="majorHAnsi" w:eastAsia="Times New Roman" w:hAnsiTheme="majorHAnsi" w:cstheme="majorHAnsi"/>
          <w:i/>
          <w:sz w:val="24"/>
          <w:szCs w:val="24"/>
          <w:lang w:val="ro-MD"/>
        </w:rPr>
        <w:t> (mil. lei)</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990"/>
        <w:gridCol w:w="988"/>
        <w:gridCol w:w="990"/>
        <w:gridCol w:w="994"/>
        <w:gridCol w:w="1139"/>
        <w:gridCol w:w="992"/>
        <w:gridCol w:w="925"/>
        <w:gridCol w:w="1058"/>
      </w:tblGrid>
      <w:tr w:rsidR="00E33E15" w:rsidRPr="00606103" w:rsidTr="00065125">
        <w:trPr>
          <w:trHeight w:val="310"/>
        </w:trPr>
        <w:tc>
          <w:tcPr>
            <w:tcW w:w="808" w:type="pct"/>
            <w:vMerge w:val="restar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Indicatori</w:t>
            </w:r>
          </w:p>
        </w:tc>
        <w:tc>
          <w:tcPr>
            <w:tcW w:w="514" w:type="pct"/>
            <w:vMerge w:val="restar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Executat în anul 2020</w:t>
            </w:r>
          </w:p>
        </w:tc>
        <w:tc>
          <w:tcPr>
            <w:tcW w:w="2134" w:type="pct"/>
            <w:gridSpan w:val="4"/>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Anul 2021</w:t>
            </w:r>
          </w:p>
        </w:tc>
        <w:tc>
          <w:tcPr>
            <w:tcW w:w="515" w:type="pct"/>
            <w:vMerge w:val="restar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Ponderea în PIB* (%)</w:t>
            </w:r>
          </w:p>
        </w:tc>
        <w:tc>
          <w:tcPr>
            <w:tcW w:w="1029" w:type="pct"/>
            <w:gridSpan w:val="2"/>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Devieri 2021/2020</w:t>
            </w:r>
          </w:p>
        </w:tc>
      </w:tr>
      <w:tr w:rsidR="00E33E15" w:rsidRPr="00606103" w:rsidTr="00065125">
        <w:trPr>
          <w:trHeight w:val="826"/>
        </w:trPr>
        <w:tc>
          <w:tcPr>
            <w:tcW w:w="808" w:type="pct"/>
            <w:vMerge/>
            <w:vAlign w:val="center"/>
            <w:hideMark/>
          </w:tcPr>
          <w:p w:rsidR="00E33E15" w:rsidRPr="00606103" w:rsidRDefault="00E33E15">
            <w:pPr>
              <w:spacing w:after="0" w:line="276" w:lineRule="auto"/>
              <w:jc w:val="left"/>
              <w:rPr>
                <w:rFonts w:asciiTheme="majorHAnsi" w:eastAsia="Times New Roman" w:hAnsiTheme="majorHAnsi" w:cstheme="majorHAnsi"/>
                <w:b/>
                <w:bCs/>
                <w:color w:val="000000"/>
                <w:sz w:val="20"/>
                <w:szCs w:val="20"/>
                <w:lang w:val="ro-MD"/>
              </w:rPr>
            </w:pPr>
          </w:p>
        </w:tc>
        <w:tc>
          <w:tcPr>
            <w:tcW w:w="514" w:type="pct"/>
            <w:vMerge/>
            <w:vAlign w:val="center"/>
            <w:hideMark/>
          </w:tcPr>
          <w:p w:rsidR="00E33E15" w:rsidRPr="00606103" w:rsidRDefault="00E33E15">
            <w:pPr>
              <w:spacing w:after="0" w:line="276" w:lineRule="auto"/>
              <w:jc w:val="left"/>
              <w:rPr>
                <w:rFonts w:asciiTheme="majorHAnsi" w:eastAsia="Times New Roman" w:hAnsiTheme="majorHAnsi" w:cstheme="majorHAnsi"/>
                <w:b/>
                <w:bCs/>
                <w:color w:val="000000"/>
                <w:sz w:val="20"/>
                <w:szCs w:val="20"/>
                <w:lang w:val="ro-MD"/>
              </w:rPr>
            </w:pPr>
          </w:p>
        </w:tc>
        <w:tc>
          <w:tcPr>
            <w:tcW w:w="513" w:type="pct"/>
            <w:shd w:val="clear" w:color="auto" w:fill="auto"/>
            <w:noWrap/>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Aprobat</w:t>
            </w:r>
          </w:p>
        </w:tc>
        <w:tc>
          <w:tcPr>
            <w:tcW w:w="514"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Precizat</w:t>
            </w:r>
          </w:p>
        </w:tc>
        <w:tc>
          <w:tcPr>
            <w:tcW w:w="516"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Executat</w:t>
            </w:r>
          </w:p>
        </w:tc>
        <w:tc>
          <w:tcPr>
            <w:tcW w:w="591"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Nivelul de executare (%)</w:t>
            </w:r>
          </w:p>
        </w:tc>
        <w:tc>
          <w:tcPr>
            <w:tcW w:w="515" w:type="pct"/>
            <w:vMerge/>
            <w:vAlign w:val="center"/>
            <w:hideMark/>
          </w:tcPr>
          <w:p w:rsidR="00E33E15" w:rsidRPr="00606103" w:rsidRDefault="00E33E15">
            <w:pPr>
              <w:spacing w:after="0" w:line="276" w:lineRule="auto"/>
              <w:jc w:val="left"/>
              <w:rPr>
                <w:rFonts w:asciiTheme="majorHAnsi" w:eastAsia="Times New Roman" w:hAnsiTheme="majorHAnsi" w:cstheme="majorHAnsi"/>
                <w:b/>
                <w:bCs/>
                <w:color w:val="000000"/>
                <w:sz w:val="20"/>
                <w:szCs w:val="20"/>
                <w:lang w:val="ro-MD"/>
              </w:rPr>
            </w:pPr>
          </w:p>
        </w:tc>
        <w:tc>
          <w:tcPr>
            <w:tcW w:w="480"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 </w:t>
            </w:r>
          </w:p>
        </w:tc>
        <w:tc>
          <w:tcPr>
            <w:tcW w:w="549"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 %</w:t>
            </w:r>
          </w:p>
        </w:tc>
      </w:tr>
      <w:tr w:rsidR="00E33E15" w:rsidRPr="00606103" w:rsidTr="00065125">
        <w:trPr>
          <w:trHeight w:val="146"/>
        </w:trPr>
        <w:tc>
          <w:tcPr>
            <w:tcW w:w="808" w:type="pct"/>
            <w:vAlign w:val="center"/>
          </w:tcPr>
          <w:p w:rsidR="00E33E15" w:rsidRPr="00606103" w:rsidRDefault="00E33E15" w:rsidP="00FE3F3B">
            <w:pPr>
              <w:spacing w:after="0" w:line="276" w:lineRule="auto"/>
              <w:jc w:val="center"/>
              <w:rPr>
                <w:rFonts w:asciiTheme="majorHAnsi" w:eastAsia="Times New Roman" w:hAnsiTheme="majorHAnsi" w:cstheme="majorHAnsi"/>
                <w:bCs/>
                <w:i/>
                <w:color w:val="000000"/>
                <w:sz w:val="16"/>
                <w:szCs w:val="20"/>
                <w:lang w:val="ro-MD"/>
              </w:rPr>
            </w:pPr>
            <w:r w:rsidRPr="00606103">
              <w:rPr>
                <w:rFonts w:asciiTheme="majorHAnsi" w:eastAsia="Times New Roman" w:hAnsiTheme="majorHAnsi" w:cstheme="majorHAnsi"/>
                <w:bCs/>
                <w:i/>
                <w:color w:val="000000"/>
                <w:sz w:val="16"/>
                <w:szCs w:val="20"/>
                <w:lang w:val="ro-MD"/>
              </w:rPr>
              <w:t>1</w:t>
            </w:r>
          </w:p>
        </w:tc>
        <w:tc>
          <w:tcPr>
            <w:tcW w:w="514" w:type="pct"/>
            <w:vAlign w:val="center"/>
          </w:tcPr>
          <w:p w:rsidR="00E33E15" w:rsidRPr="00606103" w:rsidRDefault="00E33E15">
            <w:pPr>
              <w:spacing w:after="0" w:line="276" w:lineRule="auto"/>
              <w:jc w:val="center"/>
              <w:rPr>
                <w:rFonts w:asciiTheme="majorHAnsi" w:eastAsia="Times New Roman" w:hAnsiTheme="majorHAnsi" w:cstheme="majorHAnsi"/>
                <w:bCs/>
                <w:i/>
                <w:color w:val="000000"/>
                <w:sz w:val="16"/>
                <w:szCs w:val="20"/>
                <w:lang w:val="ro-MD"/>
              </w:rPr>
            </w:pPr>
            <w:r w:rsidRPr="00606103">
              <w:rPr>
                <w:rFonts w:asciiTheme="majorHAnsi" w:eastAsia="Times New Roman" w:hAnsiTheme="majorHAnsi" w:cstheme="majorHAnsi"/>
                <w:bCs/>
                <w:i/>
                <w:color w:val="000000"/>
                <w:sz w:val="16"/>
                <w:szCs w:val="20"/>
                <w:lang w:val="ro-MD"/>
              </w:rPr>
              <w:t>2</w:t>
            </w:r>
          </w:p>
        </w:tc>
        <w:tc>
          <w:tcPr>
            <w:tcW w:w="513" w:type="pct"/>
            <w:shd w:val="clear" w:color="auto" w:fill="auto"/>
            <w:noWrap/>
            <w:vAlign w:val="center"/>
          </w:tcPr>
          <w:p w:rsidR="00E33E15" w:rsidRPr="00606103" w:rsidRDefault="00E33E15">
            <w:pPr>
              <w:spacing w:after="0" w:line="276" w:lineRule="auto"/>
              <w:jc w:val="center"/>
              <w:rPr>
                <w:rFonts w:asciiTheme="majorHAnsi" w:eastAsia="Times New Roman" w:hAnsiTheme="majorHAnsi" w:cstheme="majorHAnsi"/>
                <w:bCs/>
                <w:i/>
                <w:color w:val="000000"/>
                <w:sz w:val="16"/>
                <w:szCs w:val="20"/>
                <w:lang w:val="ro-MD"/>
              </w:rPr>
            </w:pPr>
            <w:r w:rsidRPr="00606103">
              <w:rPr>
                <w:rFonts w:asciiTheme="majorHAnsi" w:eastAsia="Times New Roman" w:hAnsiTheme="majorHAnsi" w:cstheme="majorHAnsi"/>
                <w:bCs/>
                <w:i/>
                <w:color w:val="000000"/>
                <w:sz w:val="16"/>
                <w:szCs w:val="20"/>
                <w:lang w:val="ro-MD"/>
              </w:rPr>
              <w:t>3</w:t>
            </w:r>
          </w:p>
        </w:tc>
        <w:tc>
          <w:tcPr>
            <w:tcW w:w="514" w:type="pct"/>
            <w:shd w:val="clear" w:color="auto" w:fill="auto"/>
            <w:vAlign w:val="center"/>
          </w:tcPr>
          <w:p w:rsidR="00E33E15" w:rsidRPr="00606103" w:rsidRDefault="00E33E15">
            <w:pPr>
              <w:spacing w:after="0" w:line="276" w:lineRule="auto"/>
              <w:jc w:val="center"/>
              <w:rPr>
                <w:rFonts w:asciiTheme="majorHAnsi" w:eastAsia="Times New Roman" w:hAnsiTheme="majorHAnsi" w:cstheme="majorHAnsi"/>
                <w:bCs/>
                <w:i/>
                <w:color w:val="000000"/>
                <w:sz w:val="16"/>
                <w:szCs w:val="20"/>
                <w:lang w:val="ro-MD"/>
              </w:rPr>
            </w:pPr>
            <w:r w:rsidRPr="00606103">
              <w:rPr>
                <w:rFonts w:asciiTheme="majorHAnsi" w:eastAsia="Times New Roman" w:hAnsiTheme="majorHAnsi" w:cstheme="majorHAnsi"/>
                <w:bCs/>
                <w:i/>
                <w:color w:val="000000"/>
                <w:sz w:val="16"/>
                <w:szCs w:val="20"/>
                <w:lang w:val="ro-MD"/>
              </w:rPr>
              <w:t>4</w:t>
            </w:r>
          </w:p>
        </w:tc>
        <w:tc>
          <w:tcPr>
            <w:tcW w:w="516" w:type="pct"/>
            <w:shd w:val="clear" w:color="auto" w:fill="auto"/>
            <w:vAlign w:val="center"/>
          </w:tcPr>
          <w:p w:rsidR="00E33E15" w:rsidRPr="00606103" w:rsidRDefault="00E33E15">
            <w:pPr>
              <w:spacing w:after="0" w:line="276" w:lineRule="auto"/>
              <w:jc w:val="center"/>
              <w:rPr>
                <w:rFonts w:asciiTheme="majorHAnsi" w:eastAsia="Times New Roman" w:hAnsiTheme="majorHAnsi" w:cstheme="majorHAnsi"/>
                <w:bCs/>
                <w:i/>
                <w:color w:val="000000"/>
                <w:sz w:val="16"/>
                <w:szCs w:val="20"/>
                <w:lang w:val="ro-MD"/>
              </w:rPr>
            </w:pPr>
            <w:r w:rsidRPr="00606103">
              <w:rPr>
                <w:rFonts w:asciiTheme="majorHAnsi" w:eastAsia="Times New Roman" w:hAnsiTheme="majorHAnsi" w:cstheme="majorHAnsi"/>
                <w:bCs/>
                <w:i/>
                <w:color w:val="000000"/>
                <w:sz w:val="16"/>
                <w:szCs w:val="20"/>
                <w:lang w:val="ro-MD"/>
              </w:rPr>
              <w:t>5</w:t>
            </w:r>
          </w:p>
        </w:tc>
        <w:tc>
          <w:tcPr>
            <w:tcW w:w="591" w:type="pct"/>
            <w:shd w:val="clear" w:color="auto" w:fill="auto"/>
            <w:vAlign w:val="center"/>
          </w:tcPr>
          <w:p w:rsidR="00E33E15" w:rsidRPr="00606103" w:rsidRDefault="00E33E15">
            <w:pPr>
              <w:spacing w:after="0" w:line="276" w:lineRule="auto"/>
              <w:jc w:val="center"/>
              <w:rPr>
                <w:rFonts w:asciiTheme="majorHAnsi" w:eastAsia="Times New Roman" w:hAnsiTheme="majorHAnsi" w:cstheme="majorHAnsi"/>
                <w:bCs/>
                <w:i/>
                <w:color w:val="000000"/>
                <w:sz w:val="16"/>
                <w:szCs w:val="20"/>
                <w:lang w:val="ro-MD"/>
              </w:rPr>
            </w:pPr>
            <w:r w:rsidRPr="00606103">
              <w:rPr>
                <w:rFonts w:asciiTheme="majorHAnsi" w:eastAsia="Times New Roman" w:hAnsiTheme="majorHAnsi" w:cstheme="majorHAnsi"/>
                <w:bCs/>
                <w:i/>
                <w:color w:val="000000"/>
                <w:sz w:val="16"/>
                <w:szCs w:val="20"/>
                <w:lang w:val="ro-MD"/>
              </w:rPr>
              <w:t>6=5/4*100</w:t>
            </w:r>
          </w:p>
        </w:tc>
        <w:tc>
          <w:tcPr>
            <w:tcW w:w="515" w:type="pct"/>
            <w:vAlign w:val="center"/>
          </w:tcPr>
          <w:p w:rsidR="00E33E15" w:rsidRPr="00606103" w:rsidRDefault="00E33E15">
            <w:pPr>
              <w:spacing w:after="0" w:line="276" w:lineRule="auto"/>
              <w:ind w:left="-105" w:right="-107"/>
              <w:jc w:val="center"/>
              <w:rPr>
                <w:rFonts w:asciiTheme="majorHAnsi" w:eastAsia="Times New Roman" w:hAnsiTheme="majorHAnsi" w:cstheme="majorHAnsi"/>
                <w:bCs/>
                <w:i/>
                <w:color w:val="000000"/>
                <w:sz w:val="16"/>
                <w:szCs w:val="20"/>
                <w:lang w:val="ro-MD"/>
              </w:rPr>
            </w:pPr>
            <w:r w:rsidRPr="00606103">
              <w:rPr>
                <w:rFonts w:asciiTheme="majorHAnsi" w:eastAsia="Times New Roman" w:hAnsiTheme="majorHAnsi" w:cstheme="majorHAnsi"/>
                <w:bCs/>
                <w:i/>
                <w:color w:val="000000"/>
                <w:sz w:val="16"/>
                <w:szCs w:val="20"/>
                <w:lang w:val="ro-MD"/>
              </w:rPr>
              <w:t>7=5/PIB*100</w:t>
            </w:r>
          </w:p>
        </w:tc>
        <w:tc>
          <w:tcPr>
            <w:tcW w:w="480" w:type="pct"/>
            <w:shd w:val="clear" w:color="auto" w:fill="auto"/>
            <w:vAlign w:val="center"/>
          </w:tcPr>
          <w:p w:rsidR="00E33E15" w:rsidRPr="00606103" w:rsidRDefault="00E33E15">
            <w:pPr>
              <w:spacing w:after="0" w:line="276" w:lineRule="auto"/>
              <w:jc w:val="center"/>
              <w:rPr>
                <w:rFonts w:asciiTheme="majorHAnsi" w:eastAsia="Times New Roman" w:hAnsiTheme="majorHAnsi" w:cstheme="majorHAnsi"/>
                <w:bCs/>
                <w:i/>
                <w:color w:val="000000"/>
                <w:sz w:val="16"/>
                <w:szCs w:val="20"/>
                <w:lang w:val="ro-MD"/>
              </w:rPr>
            </w:pPr>
            <w:r w:rsidRPr="00606103">
              <w:rPr>
                <w:rFonts w:asciiTheme="majorHAnsi" w:eastAsia="Times New Roman" w:hAnsiTheme="majorHAnsi" w:cstheme="majorHAnsi"/>
                <w:bCs/>
                <w:i/>
                <w:color w:val="000000"/>
                <w:sz w:val="16"/>
                <w:szCs w:val="20"/>
                <w:lang w:val="ro-MD"/>
              </w:rPr>
              <w:t>8=5-2</w:t>
            </w:r>
          </w:p>
        </w:tc>
        <w:tc>
          <w:tcPr>
            <w:tcW w:w="549" w:type="pct"/>
            <w:shd w:val="clear" w:color="auto" w:fill="auto"/>
            <w:vAlign w:val="center"/>
          </w:tcPr>
          <w:p w:rsidR="00E33E15" w:rsidRPr="00606103" w:rsidRDefault="00E33E15">
            <w:pPr>
              <w:spacing w:after="0" w:line="276" w:lineRule="auto"/>
              <w:jc w:val="center"/>
              <w:rPr>
                <w:rFonts w:asciiTheme="majorHAnsi" w:eastAsia="Times New Roman" w:hAnsiTheme="majorHAnsi" w:cstheme="majorHAnsi"/>
                <w:bCs/>
                <w:i/>
                <w:color w:val="000000"/>
                <w:sz w:val="16"/>
                <w:szCs w:val="20"/>
                <w:lang w:val="ro-MD"/>
              </w:rPr>
            </w:pPr>
            <w:r w:rsidRPr="00606103">
              <w:rPr>
                <w:rFonts w:asciiTheme="majorHAnsi" w:eastAsia="Times New Roman" w:hAnsiTheme="majorHAnsi" w:cstheme="majorHAnsi"/>
                <w:bCs/>
                <w:i/>
                <w:color w:val="000000"/>
                <w:sz w:val="16"/>
                <w:szCs w:val="20"/>
                <w:lang w:val="ro-MD"/>
              </w:rPr>
              <w:t>9=5/2*100</w:t>
            </w:r>
          </w:p>
        </w:tc>
      </w:tr>
      <w:tr w:rsidR="00E33E15" w:rsidRPr="00606103" w:rsidTr="00065125">
        <w:trPr>
          <w:trHeight w:val="139"/>
        </w:trPr>
        <w:tc>
          <w:tcPr>
            <w:tcW w:w="808" w:type="pct"/>
            <w:shd w:val="clear" w:color="auto" w:fill="auto"/>
            <w:vAlign w:val="center"/>
            <w:hideMark/>
          </w:tcPr>
          <w:p w:rsidR="00E33E15" w:rsidRPr="00606103" w:rsidRDefault="00E33E15" w:rsidP="00FE3F3B">
            <w:pPr>
              <w:spacing w:after="0" w:line="276" w:lineRule="auto"/>
              <w:jc w:val="lef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VENITURI</w:t>
            </w:r>
          </w:p>
        </w:tc>
        <w:tc>
          <w:tcPr>
            <w:tcW w:w="514"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38.500,5</w:t>
            </w:r>
          </w:p>
        </w:tc>
        <w:tc>
          <w:tcPr>
            <w:tcW w:w="513"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41.415,4</w:t>
            </w:r>
          </w:p>
        </w:tc>
        <w:tc>
          <w:tcPr>
            <w:tcW w:w="514"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45.864,9</w:t>
            </w:r>
          </w:p>
        </w:tc>
        <w:tc>
          <w:tcPr>
            <w:tcW w:w="516"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49.383,8</w:t>
            </w:r>
          </w:p>
        </w:tc>
        <w:tc>
          <w:tcPr>
            <w:tcW w:w="591"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107,7</w:t>
            </w:r>
          </w:p>
        </w:tc>
        <w:tc>
          <w:tcPr>
            <w:tcW w:w="515"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20,4</w:t>
            </w:r>
          </w:p>
        </w:tc>
        <w:tc>
          <w:tcPr>
            <w:tcW w:w="480"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10.883,3</w:t>
            </w:r>
          </w:p>
        </w:tc>
        <w:tc>
          <w:tcPr>
            <w:tcW w:w="549"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128,3</w:t>
            </w:r>
          </w:p>
        </w:tc>
      </w:tr>
      <w:tr w:rsidR="00E33E15" w:rsidRPr="00606103" w:rsidTr="00065125">
        <w:trPr>
          <w:trHeight w:val="129"/>
        </w:trPr>
        <w:tc>
          <w:tcPr>
            <w:tcW w:w="808" w:type="pct"/>
            <w:shd w:val="clear" w:color="auto" w:fill="auto"/>
            <w:vAlign w:val="center"/>
            <w:hideMark/>
          </w:tcPr>
          <w:p w:rsidR="00E33E15" w:rsidRPr="00606103" w:rsidRDefault="00E33E15" w:rsidP="00FE3F3B">
            <w:pPr>
              <w:spacing w:after="0" w:line="276" w:lineRule="auto"/>
              <w:jc w:val="lef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Impozite și taxe</w:t>
            </w:r>
          </w:p>
        </w:tc>
        <w:tc>
          <w:tcPr>
            <w:tcW w:w="514"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35.772,1</w:t>
            </w:r>
          </w:p>
        </w:tc>
        <w:tc>
          <w:tcPr>
            <w:tcW w:w="513"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38.193,7</w:t>
            </w:r>
          </w:p>
        </w:tc>
        <w:tc>
          <w:tcPr>
            <w:tcW w:w="514"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42.078,2</w:t>
            </w:r>
          </w:p>
        </w:tc>
        <w:tc>
          <w:tcPr>
            <w:tcW w:w="516"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44.513,</w:t>
            </w:r>
            <w:r w:rsidR="00280265" w:rsidRPr="00606103">
              <w:rPr>
                <w:rFonts w:asciiTheme="majorHAnsi" w:eastAsia="Times New Roman" w:hAnsiTheme="majorHAnsi" w:cstheme="majorHAnsi"/>
                <w:bCs/>
                <w:color w:val="000000"/>
                <w:sz w:val="20"/>
                <w:szCs w:val="20"/>
                <w:lang w:val="ro-MD"/>
              </w:rPr>
              <w:t>7</w:t>
            </w:r>
          </w:p>
        </w:tc>
        <w:tc>
          <w:tcPr>
            <w:tcW w:w="591"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105,8</w:t>
            </w:r>
          </w:p>
        </w:tc>
        <w:tc>
          <w:tcPr>
            <w:tcW w:w="515"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18,4</w:t>
            </w:r>
          </w:p>
        </w:tc>
        <w:tc>
          <w:tcPr>
            <w:tcW w:w="480"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8.741,</w:t>
            </w:r>
            <w:r w:rsidR="00280265" w:rsidRPr="00606103">
              <w:rPr>
                <w:rFonts w:asciiTheme="majorHAnsi" w:eastAsia="Times New Roman" w:hAnsiTheme="majorHAnsi" w:cstheme="majorHAnsi"/>
                <w:bCs/>
                <w:color w:val="000000"/>
                <w:sz w:val="20"/>
                <w:szCs w:val="20"/>
                <w:lang w:val="ro-MD"/>
              </w:rPr>
              <w:t>6</w:t>
            </w:r>
          </w:p>
        </w:tc>
        <w:tc>
          <w:tcPr>
            <w:tcW w:w="549"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124,4</w:t>
            </w:r>
          </w:p>
        </w:tc>
      </w:tr>
      <w:tr w:rsidR="00E33E15" w:rsidRPr="00606103" w:rsidTr="00065125">
        <w:trPr>
          <w:trHeight w:val="134"/>
        </w:trPr>
        <w:tc>
          <w:tcPr>
            <w:tcW w:w="808" w:type="pct"/>
            <w:shd w:val="clear" w:color="auto" w:fill="auto"/>
            <w:vAlign w:val="center"/>
            <w:hideMark/>
          </w:tcPr>
          <w:p w:rsidR="00E33E15" w:rsidRPr="00606103" w:rsidRDefault="00E33E15" w:rsidP="00FE3F3B">
            <w:pPr>
              <w:spacing w:after="0" w:line="276" w:lineRule="auto"/>
              <w:jc w:val="lef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Granturi primite</w:t>
            </w:r>
          </w:p>
        </w:tc>
        <w:tc>
          <w:tcPr>
            <w:tcW w:w="514"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624,2</w:t>
            </w:r>
          </w:p>
        </w:tc>
        <w:tc>
          <w:tcPr>
            <w:tcW w:w="513"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1.110,8</w:t>
            </w:r>
          </w:p>
        </w:tc>
        <w:tc>
          <w:tcPr>
            <w:tcW w:w="514"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1.410,7</w:t>
            </w:r>
          </w:p>
        </w:tc>
        <w:tc>
          <w:tcPr>
            <w:tcW w:w="516"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2.290,6</w:t>
            </w:r>
          </w:p>
        </w:tc>
        <w:tc>
          <w:tcPr>
            <w:tcW w:w="591"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162,4</w:t>
            </w:r>
          </w:p>
        </w:tc>
        <w:tc>
          <w:tcPr>
            <w:tcW w:w="515"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0,9</w:t>
            </w:r>
          </w:p>
        </w:tc>
        <w:tc>
          <w:tcPr>
            <w:tcW w:w="480"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1.666,4</w:t>
            </w:r>
          </w:p>
        </w:tc>
        <w:tc>
          <w:tcPr>
            <w:tcW w:w="549"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367,0</w:t>
            </w:r>
          </w:p>
        </w:tc>
      </w:tr>
      <w:tr w:rsidR="00E33E15" w:rsidRPr="00606103" w:rsidTr="00065125">
        <w:trPr>
          <w:trHeight w:val="50"/>
        </w:trPr>
        <w:tc>
          <w:tcPr>
            <w:tcW w:w="808" w:type="pct"/>
            <w:shd w:val="clear" w:color="auto" w:fill="auto"/>
            <w:vAlign w:val="center"/>
            <w:hideMark/>
          </w:tcPr>
          <w:p w:rsidR="00E33E15" w:rsidRPr="00606103" w:rsidRDefault="00E33E15" w:rsidP="00FE3F3B">
            <w:pPr>
              <w:spacing w:after="0" w:line="276" w:lineRule="auto"/>
              <w:jc w:val="lef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Alte venituri</w:t>
            </w:r>
          </w:p>
        </w:tc>
        <w:tc>
          <w:tcPr>
            <w:tcW w:w="514"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2.087,</w:t>
            </w:r>
            <w:r w:rsidR="00280265" w:rsidRPr="00606103">
              <w:rPr>
                <w:rFonts w:asciiTheme="majorHAnsi" w:eastAsia="Times New Roman" w:hAnsiTheme="majorHAnsi" w:cstheme="majorHAnsi"/>
                <w:color w:val="000000"/>
                <w:sz w:val="20"/>
                <w:szCs w:val="20"/>
                <w:lang w:val="ro-MD"/>
              </w:rPr>
              <w:t>6</w:t>
            </w:r>
          </w:p>
        </w:tc>
        <w:tc>
          <w:tcPr>
            <w:tcW w:w="513"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2.099,0</w:t>
            </w:r>
          </w:p>
        </w:tc>
        <w:tc>
          <w:tcPr>
            <w:tcW w:w="514"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2.354,9</w:t>
            </w:r>
          </w:p>
        </w:tc>
        <w:tc>
          <w:tcPr>
            <w:tcW w:w="516"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2.567,9</w:t>
            </w:r>
          </w:p>
        </w:tc>
        <w:tc>
          <w:tcPr>
            <w:tcW w:w="591"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109,0</w:t>
            </w:r>
          </w:p>
        </w:tc>
        <w:tc>
          <w:tcPr>
            <w:tcW w:w="515"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1,1</w:t>
            </w:r>
          </w:p>
        </w:tc>
        <w:tc>
          <w:tcPr>
            <w:tcW w:w="480"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480,</w:t>
            </w:r>
            <w:r w:rsidR="00280265" w:rsidRPr="00606103">
              <w:rPr>
                <w:rFonts w:asciiTheme="majorHAnsi" w:eastAsia="Times New Roman" w:hAnsiTheme="majorHAnsi" w:cstheme="majorHAnsi"/>
                <w:bCs/>
                <w:color w:val="000000"/>
                <w:sz w:val="20"/>
                <w:szCs w:val="20"/>
                <w:lang w:val="ro-MD"/>
              </w:rPr>
              <w:t>3</w:t>
            </w:r>
          </w:p>
        </w:tc>
        <w:tc>
          <w:tcPr>
            <w:tcW w:w="549"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123,0</w:t>
            </w:r>
          </w:p>
        </w:tc>
      </w:tr>
      <w:tr w:rsidR="00E33E15" w:rsidRPr="00606103" w:rsidTr="00065125">
        <w:trPr>
          <w:trHeight w:val="397"/>
        </w:trPr>
        <w:tc>
          <w:tcPr>
            <w:tcW w:w="808" w:type="pct"/>
            <w:shd w:val="clear" w:color="auto" w:fill="auto"/>
            <w:vAlign w:val="center"/>
            <w:hideMark/>
          </w:tcPr>
          <w:p w:rsidR="00E33E15" w:rsidRPr="00606103" w:rsidRDefault="00E33E15" w:rsidP="00FE3F3B">
            <w:pPr>
              <w:spacing w:after="0" w:line="276" w:lineRule="auto"/>
              <w:ind w:left="-110" w:right="-110"/>
              <w:jc w:val="lef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Transferuri primite în cadrul BPN</w:t>
            </w:r>
          </w:p>
        </w:tc>
        <w:tc>
          <w:tcPr>
            <w:tcW w:w="514"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16,6</w:t>
            </w:r>
          </w:p>
        </w:tc>
        <w:tc>
          <w:tcPr>
            <w:tcW w:w="513"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11,8</w:t>
            </w:r>
          </w:p>
        </w:tc>
        <w:tc>
          <w:tcPr>
            <w:tcW w:w="514"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21,1</w:t>
            </w:r>
          </w:p>
        </w:tc>
        <w:tc>
          <w:tcPr>
            <w:tcW w:w="516"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11,6</w:t>
            </w:r>
          </w:p>
        </w:tc>
        <w:tc>
          <w:tcPr>
            <w:tcW w:w="591"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54,9</w:t>
            </w:r>
          </w:p>
        </w:tc>
        <w:tc>
          <w:tcPr>
            <w:tcW w:w="515"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0,0</w:t>
            </w:r>
          </w:p>
        </w:tc>
        <w:tc>
          <w:tcPr>
            <w:tcW w:w="480"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-5,0</w:t>
            </w:r>
          </w:p>
        </w:tc>
        <w:tc>
          <w:tcPr>
            <w:tcW w:w="549" w:type="pct"/>
            <w:shd w:val="clear" w:color="auto" w:fill="auto"/>
            <w:vAlign w:val="center"/>
            <w:hideMark/>
          </w:tcPr>
          <w:p w:rsidR="00E33E15" w:rsidRPr="00606103" w:rsidRDefault="00E33E15">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69,</w:t>
            </w:r>
            <w:r w:rsidR="00280265" w:rsidRPr="00606103">
              <w:rPr>
                <w:rFonts w:asciiTheme="majorHAnsi" w:eastAsia="Times New Roman" w:hAnsiTheme="majorHAnsi" w:cstheme="majorHAnsi"/>
                <w:bCs/>
                <w:color w:val="000000"/>
                <w:sz w:val="20"/>
                <w:szCs w:val="20"/>
                <w:lang w:val="ro-MD"/>
              </w:rPr>
              <w:t>9</w:t>
            </w:r>
          </w:p>
        </w:tc>
      </w:tr>
    </w:tbl>
    <w:p w:rsidR="00E33E15" w:rsidRPr="00606103" w:rsidRDefault="00E33E15" w:rsidP="00606103">
      <w:pPr>
        <w:spacing w:after="0" w:line="276" w:lineRule="auto"/>
        <w:ind w:left="142" w:hanging="142"/>
        <w:rPr>
          <w:rFonts w:asciiTheme="majorHAnsi" w:eastAsia="Times New Roman" w:hAnsiTheme="majorHAnsi" w:cstheme="majorHAnsi"/>
          <w:b/>
          <w:bCs/>
          <w:i/>
          <w:sz w:val="20"/>
          <w:szCs w:val="20"/>
          <w:lang w:val="ro-MD"/>
        </w:rPr>
      </w:pPr>
      <w:r w:rsidRPr="00606103">
        <w:rPr>
          <w:rFonts w:asciiTheme="majorHAnsi" w:eastAsia="Times New Roman" w:hAnsiTheme="majorHAnsi" w:cstheme="majorHAnsi"/>
          <w:b/>
          <w:i/>
          <w:sz w:val="20"/>
          <w:szCs w:val="24"/>
          <w:lang w:val="ro-MD" w:eastAsia="ru-RU"/>
        </w:rPr>
        <w:t>*</w:t>
      </w:r>
      <w:r w:rsidRPr="00606103">
        <w:rPr>
          <w:rFonts w:asciiTheme="majorHAnsi" w:eastAsia="Times New Roman" w:hAnsiTheme="majorHAnsi" w:cstheme="majorHAnsi"/>
          <w:i/>
          <w:sz w:val="20"/>
          <w:szCs w:val="24"/>
          <w:lang w:val="ro-MD" w:eastAsia="ru-RU"/>
        </w:rPr>
        <w:t xml:space="preserve">Produsul intern brut pentru anul 2021 luat în calcul conform datelor preliminare ale BNS </w:t>
      </w:r>
      <w:r w:rsidR="00A02AA0" w:rsidRPr="00606103">
        <w:rPr>
          <w:rFonts w:asciiTheme="majorHAnsi" w:eastAsia="Times New Roman" w:hAnsiTheme="majorHAnsi" w:cstheme="majorHAnsi"/>
          <w:i/>
          <w:sz w:val="20"/>
          <w:szCs w:val="24"/>
          <w:lang w:val="ro-MD" w:eastAsia="ru-RU"/>
        </w:rPr>
        <w:t>a constituit</w:t>
      </w:r>
      <w:r w:rsidRPr="00606103">
        <w:rPr>
          <w:rFonts w:asciiTheme="majorHAnsi" w:eastAsia="Times New Roman" w:hAnsiTheme="majorHAnsi" w:cstheme="majorHAnsi"/>
          <w:i/>
          <w:sz w:val="20"/>
          <w:szCs w:val="24"/>
          <w:lang w:val="ro-MD" w:eastAsia="ru-RU"/>
        </w:rPr>
        <w:t xml:space="preserve"> 241 871,0 mil. lei</w:t>
      </w:r>
      <w:r w:rsidR="00606103" w:rsidRPr="00606103">
        <w:rPr>
          <w:rFonts w:asciiTheme="majorHAnsi" w:eastAsia="Times New Roman" w:hAnsiTheme="majorHAnsi" w:cstheme="majorHAnsi"/>
          <w:i/>
          <w:sz w:val="20"/>
          <w:szCs w:val="24"/>
          <w:lang w:val="ro-MD" w:eastAsia="ru-RU"/>
        </w:rPr>
        <w:t>. Produsul intern brut luat în calcul pentru anul 2020 constituie 206 352,0 mil. lei (date actualizate).</w:t>
      </w:r>
    </w:p>
    <w:p w:rsidR="00E33E15" w:rsidRPr="00606103" w:rsidRDefault="00E33E15">
      <w:pPr>
        <w:spacing w:after="0" w:line="276" w:lineRule="auto"/>
        <w:rPr>
          <w:rFonts w:asciiTheme="majorHAnsi" w:eastAsia="Times New Roman" w:hAnsiTheme="majorHAnsi" w:cstheme="majorHAnsi"/>
          <w:bCs/>
          <w:i/>
          <w:sz w:val="20"/>
          <w:szCs w:val="20"/>
          <w:lang w:val="ro-MD"/>
        </w:rPr>
      </w:pPr>
      <w:r w:rsidRPr="00606103">
        <w:rPr>
          <w:rFonts w:asciiTheme="majorHAnsi" w:eastAsia="Times New Roman" w:hAnsiTheme="majorHAnsi" w:cstheme="majorHAnsi"/>
          <w:b/>
          <w:bCs/>
          <w:i/>
          <w:sz w:val="20"/>
          <w:szCs w:val="20"/>
          <w:lang w:val="ro-MD"/>
        </w:rPr>
        <w:t>Sursă:</w:t>
      </w:r>
      <w:r w:rsidRPr="00606103">
        <w:rPr>
          <w:rFonts w:asciiTheme="majorHAnsi" w:eastAsia="Times New Roman" w:hAnsiTheme="majorHAnsi" w:cstheme="majorHAnsi"/>
          <w:bCs/>
          <w:i/>
          <w:sz w:val="20"/>
          <w:szCs w:val="20"/>
          <w:lang w:val="ro-MD"/>
        </w:rPr>
        <w:t xml:space="preserve"> Informații generalizate de echipa de audit din Rapoartele privind executarea bugetului de stat pe anii 2021 și 2020.</w:t>
      </w:r>
    </w:p>
    <w:p w:rsidR="00E33E15" w:rsidRPr="00606103" w:rsidRDefault="00E33E15">
      <w:pPr>
        <w:spacing w:after="0" w:line="276" w:lineRule="auto"/>
        <w:rPr>
          <w:rFonts w:asciiTheme="majorHAnsi" w:eastAsia="Times New Roman" w:hAnsiTheme="majorHAnsi" w:cstheme="majorHAnsi"/>
          <w:bCs/>
          <w:i/>
          <w:sz w:val="20"/>
          <w:szCs w:val="20"/>
          <w:lang w:val="ro-MD"/>
        </w:rPr>
      </w:pPr>
    </w:p>
    <w:p w:rsidR="00E33E15" w:rsidRPr="00606103" w:rsidRDefault="00E33E15">
      <w:pPr>
        <w:spacing w:line="276" w:lineRule="auto"/>
        <w:rPr>
          <w:rFonts w:asciiTheme="majorHAnsi" w:hAnsiTheme="majorHAnsi" w:cstheme="majorHAnsi"/>
          <w:color w:val="000000"/>
          <w:sz w:val="24"/>
          <w:szCs w:val="24"/>
          <w:lang w:val="ro-MD"/>
        </w:rPr>
      </w:pPr>
      <w:r w:rsidRPr="00606103">
        <w:rPr>
          <w:rFonts w:asciiTheme="majorHAnsi" w:hAnsiTheme="majorHAnsi" w:cstheme="majorHAnsi"/>
          <w:sz w:val="24"/>
          <w:szCs w:val="24"/>
          <w:lang w:val="ro-MD"/>
        </w:rPr>
        <w:t>Ca pondere în PIB, veniturile BS în anul 2021 au atins un nivel de 20,4%</w:t>
      </w:r>
      <w:r w:rsidR="00411476" w:rsidRPr="00606103">
        <w:rPr>
          <w:rFonts w:asciiTheme="majorHAnsi" w:hAnsiTheme="majorHAnsi" w:cstheme="majorHAnsi"/>
          <w:sz w:val="24"/>
          <w:szCs w:val="24"/>
          <w:lang w:val="ro-MD"/>
        </w:rPr>
        <w:t xml:space="preserve">, înregistrând o creștere cu </w:t>
      </w:r>
      <w:r w:rsidR="00606103" w:rsidRPr="00606103">
        <w:rPr>
          <w:rFonts w:asciiTheme="majorHAnsi" w:hAnsiTheme="majorHAnsi" w:cstheme="majorHAnsi"/>
          <w:sz w:val="24"/>
          <w:szCs w:val="24"/>
          <w:lang w:val="ro-MD"/>
        </w:rPr>
        <w:t xml:space="preserve">  </w:t>
      </w:r>
      <w:r w:rsidR="00411476" w:rsidRPr="00606103">
        <w:rPr>
          <w:rFonts w:asciiTheme="majorHAnsi" w:hAnsiTheme="majorHAnsi" w:cstheme="majorHAnsi"/>
          <w:sz w:val="24"/>
          <w:szCs w:val="24"/>
          <w:lang w:val="ro-MD"/>
        </w:rPr>
        <w:t>1,7</w:t>
      </w:r>
      <w:r w:rsidRPr="00606103">
        <w:rPr>
          <w:rFonts w:asciiTheme="majorHAnsi" w:hAnsiTheme="majorHAnsi" w:cstheme="majorHAnsi"/>
          <w:sz w:val="24"/>
          <w:szCs w:val="24"/>
          <w:lang w:val="ro-MD"/>
        </w:rPr>
        <w:t xml:space="preserve"> p.p. față de anul 2020. </w:t>
      </w:r>
      <w:r w:rsidRPr="00606103">
        <w:rPr>
          <w:rFonts w:asciiTheme="majorHAnsi" w:hAnsiTheme="majorHAnsi" w:cstheme="majorHAnsi"/>
          <w:color w:val="000000"/>
          <w:spacing w:val="-1"/>
          <w:sz w:val="24"/>
          <w:szCs w:val="24"/>
          <w:lang w:val="ro-MD"/>
        </w:rPr>
        <w:t xml:space="preserve">În structura veniturilor, </w:t>
      </w:r>
      <w:r w:rsidRPr="00606103">
        <w:rPr>
          <w:rFonts w:asciiTheme="majorHAnsi" w:eastAsia="Times New Roman" w:hAnsiTheme="majorHAnsi" w:cstheme="majorHAnsi"/>
          <w:sz w:val="24"/>
          <w:szCs w:val="24"/>
          <w:lang w:val="ro-MD"/>
        </w:rPr>
        <w:t xml:space="preserve">ponderea majoră o dețin </w:t>
      </w:r>
      <w:r w:rsidRPr="00606103">
        <w:rPr>
          <w:rFonts w:asciiTheme="majorHAnsi" w:hAnsiTheme="majorHAnsi" w:cstheme="majorHAnsi"/>
          <w:color w:val="000000"/>
          <w:spacing w:val="-1"/>
          <w:sz w:val="24"/>
          <w:szCs w:val="24"/>
          <w:lang w:val="ro-MD"/>
        </w:rPr>
        <w:t>impozitele și taxele</w:t>
      </w:r>
      <w:r w:rsidRPr="00606103">
        <w:rPr>
          <w:rFonts w:asciiTheme="majorHAnsi" w:hAnsiTheme="majorHAnsi" w:cstheme="majorHAnsi"/>
          <w:bCs/>
          <w:iCs/>
          <w:color w:val="000000"/>
          <w:spacing w:val="-1"/>
          <w:sz w:val="24"/>
          <w:szCs w:val="24"/>
          <w:lang w:val="ro-MD"/>
        </w:rPr>
        <w:t xml:space="preserve"> care </w:t>
      </w:r>
      <w:r w:rsidRPr="00606103">
        <w:rPr>
          <w:rFonts w:asciiTheme="majorHAnsi" w:hAnsiTheme="majorHAnsi" w:cstheme="majorHAnsi"/>
          <w:color w:val="000000"/>
          <w:spacing w:val="-1"/>
          <w:sz w:val="24"/>
          <w:szCs w:val="24"/>
          <w:lang w:val="ro-MD"/>
        </w:rPr>
        <w:t>constituie 44 513,</w:t>
      </w:r>
      <w:r w:rsidR="00280265" w:rsidRPr="00606103">
        <w:rPr>
          <w:rFonts w:asciiTheme="majorHAnsi" w:hAnsiTheme="majorHAnsi" w:cstheme="majorHAnsi"/>
          <w:color w:val="000000"/>
          <w:spacing w:val="-1"/>
          <w:sz w:val="24"/>
          <w:szCs w:val="24"/>
          <w:lang w:val="ro-MD"/>
        </w:rPr>
        <w:t>7</w:t>
      </w:r>
      <w:r w:rsidRPr="00606103">
        <w:rPr>
          <w:rFonts w:asciiTheme="majorHAnsi" w:hAnsiTheme="majorHAnsi" w:cstheme="majorHAnsi"/>
          <w:color w:val="000000"/>
          <w:spacing w:val="-1"/>
          <w:sz w:val="24"/>
          <w:szCs w:val="24"/>
          <w:lang w:val="ro-MD"/>
        </w:rPr>
        <w:t xml:space="preserve"> mil. lei, sau 90,1% din totalul veniturilor BS, înregistrând o creștere cu 2 435,6 mil. lei (105,8%) față de indicatorii precizați și cu 8 741,</w:t>
      </w:r>
      <w:r w:rsidR="00280265" w:rsidRPr="00606103">
        <w:rPr>
          <w:rFonts w:asciiTheme="majorHAnsi" w:hAnsiTheme="majorHAnsi" w:cstheme="majorHAnsi"/>
          <w:color w:val="000000"/>
          <w:spacing w:val="-1"/>
          <w:sz w:val="24"/>
          <w:szCs w:val="24"/>
          <w:lang w:val="ro-MD"/>
        </w:rPr>
        <w:t>6</w:t>
      </w:r>
      <w:r w:rsidRPr="00606103">
        <w:rPr>
          <w:rFonts w:asciiTheme="majorHAnsi" w:hAnsiTheme="majorHAnsi" w:cstheme="majorHAnsi"/>
          <w:color w:val="000000"/>
          <w:spacing w:val="-1"/>
          <w:sz w:val="24"/>
          <w:szCs w:val="24"/>
          <w:lang w:val="ro-MD"/>
        </w:rPr>
        <w:t xml:space="preserve"> mil. lei (24,4%) față </w:t>
      </w:r>
      <w:r w:rsidRPr="00606103">
        <w:rPr>
          <w:rFonts w:asciiTheme="majorHAnsi" w:hAnsiTheme="majorHAnsi" w:cstheme="majorHAnsi"/>
          <w:color w:val="000000"/>
          <w:sz w:val="24"/>
          <w:szCs w:val="24"/>
          <w:lang w:val="ro-MD"/>
        </w:rPr>
        <w:t>de anul 2020.</w:t>
      </w:r>
    </w:p>
    <w:p w:rsidR="00E33E15" w:rsidRPr="00606103" w:rsidRDefault="00E33E15">
      <w:pPr>
        <w:spacing w:line="276" w:lineRule="auto"/>
        <w:rPr>
          <w:rFonts w:asciiTheme="majorHAnsi" w:hAnsiTheme="majorHAnsi" w:cstheme="majorHAnsi"/>
          <w:sz w:val="24"/>
          <w:szCs w:val="24"/>
          <w:lang w:val="ro-MD" w:eastAsia="ru-RU"/>
        </w:rPr>
      </w:pPr>
      <w:r w:rsidRPr="00606103">
        <w:rPr>
          <w:rFonts w:asciiTheme="majorHAnsi" w:hAnsiTheme="majorHAnsi" w:cstheme="majorHAnsi"/>
          <w:color w:val="000000"/>
          <w:spacing w:val="-1"/>
          <w:sz w:val="24"/>
          <w:szCs w:val="24"/>
          <w:lang w:val="ro-MD"/>
        </w:rPr>
        <w:t>Astfel, în aspectul tipurilor de venituri</w:t>
      </w:r>
      <w:r w:rsidRPr="00606103">
        <w:rPr>
          <w:rFonts w:asciiTheme="majorHAnsi" w:hAnsiTheme="majorHAnsi" w:cstheme="majorHAnsi"/>
          <w:sz w:val="24"/>
          <w:szCs w:val="24"/>
          <w:lang w:val="ro-MD"/>
        </w:rPr>
        <w:t>, cele mai semnificative revin celor provenite din încasările TVA,</w:t>
      </w:r>
      <w:r w:rsidRPr="00606103">
        <w:rPr>
          <w:rFonts w:asciiTheme="majorHAnsi" w:hAnsiTheme="majorHAnsi" w:cstheme="majorHAnsi"/>
          <w:sz w:val="24"/>
          <w:szCs w:val="24"/>
          <w:lang w:val="ro-MD" w:eastAsia="ru-RU"/>
        </w:rPr>
        <w:t xml:space="preserve"> care însumează 25 409,4 </w:t>
      </w:r>
      <w:r w:rsidR="005A13D9" w:rsidRPr="00606103">
        <w:rPr>
          <w:rFonts w:asciiTheme="majorHAnsi" w:hAnsiTheme="majorHAnsi" w:cstheme="majorHAnsi"/>
          <w:sz w:val="24"/>
          <w:szCs w:val="24"/>
          <w:lang w:val="ro-MD" w:eastAsia="ru-RU"/>
        </w:rPr>
        <w:t>mil. lei, sau 51,5%, impozitul</w:t>
      </w:r>
      <w:r w:rsidRPr="00606103">
        <w:rPr>
          <w:rFonts w:asciiTheme="majorHAnsi" w:hAnsiTheme="majorHAnsi" w:cstheme="majorHAnsi"/>
          <w:sz w:val="24"/>
          <w:szCs w:val="24"/>
          <w:lang w:val="ro-MD" w:eastAsia="ru-RU"/>
        </w:rPr>
        <w:t xml:space="preserve"> pe venit</w:t>
      </w:r>
      <w:r w:rsidRPr="00606103">
        <w:rPr>
          <w:rFonts w:asciiTheme="majorHAnsi" w:hAnsiTheme="majorHAnsi" w:cstheme="majorHAnsi"/>
          <w:i/>
          <w:sz w:val="24"/>
          <w:szCs w:val="24"/>
          <w:lang w:val="ro-MD" w:eastAsia="ru-RU"/>
        </w:rPr>
        <w:t xml:space="preserve"> –</w:t>
      </w:r>
      <w:r w:rsidRPr="00606103">
        <w:rPr>
          <w:rFonts w:asciiTheme="majorHAnsi" w:hAnsiTheme="majorHAnsi" w:cstheme="majorHAnsi"/>
          <w:sz w:val="24"/>
          <w:szCs w:val="24"/>
          <w:lang w:val="ro-MD" w:eastAsia="ru-RU"/>
        </w:rPr>
        <w:t xml:space="preserve"> 7 695</w:t>
      </w:r>
      <w:r w:rsidR="005A13D9" w:rsidRPr="00606103">
        <w:rPr>
          <w:rFonts w:asciiTheme="majorHAnsi" w:hAnsiTheme="majorHAnsi" w:cstheme="majorHAnsi"/>
          <w:sz w:val="24"/>
          <w:szCs w:val="24"/>
          <w:lang w:val="ro-MD" w:eastAsia="ru-RU"/>
        </w:rPr>
        <w:t>,1 mil. lei (15,6%)</w:t>
      </w:r>
      <w:r w:rsidR="009C2E59" w:rsidRPr="00606103">
        <w:rPr>
          <w:rFonts w:asciiTheme="majorHAnsi" w:hAnsiTheme="majorHAnsi" w:cstheme="majorHAnsi"/>
          <w:sz w:val="24"/>
          <w:szCs w:val="24"/>
          <w:lang w:val="ro-MD" w:eastAsia="ru-RU"/>
        </w:rPr>
        <w:t>,</w:t>
      </w:r>
      <w:r w:rsidR="005A13D9" w:rsidRPr="00606103">
        <w:rPr>
          <w:rFonts w:asciiTheme="majorHAnsi" w:hAnsiTheme="majorHAnsi" w:cstheme="majorHAnsi"/>
          <w:sz w:val="24"/>
          <w:szCs w:val="24"/>
          <w:lang w:val="ro-MD" w:eastAsia="ru-RU"/>
        </w:rPr>
        <w:t xml:space="preserve"> și accizele</w:t>
      </w:r>
      <w:r w:rsidRPr="00606103">
        <w:rPr>
          <w:rFonts w:asciiTheme="majorHAnsi" w:hAnsiTheme="majorHAnsi" w:cstheme="majorHAnsi"/>
          <w:sz w:val="24"/>
          <w:szCs w:val="24"/>
          <w:lang w:val="ro-MD" w:eastAsia="ru-RU"/>
        </w:rPr>
        <w:t xml:space="preserve"> – 7 590,3 mil. lei (15,4%). </w:t>
      </w:r>
    </w:p>
    <w:p w:rsidR="00E33E15" w:rsidRPr="00606103" w:rsidRDefault="00E33E15">
      <w:pPr>
        <w:spacing w:line="276" w:lineRule="auto"/>
        <w:rPr>
          <w:rFonts w:asciiTheme="majorHAnsi" w:hAnsiTheme="majorHAnsi" w:cstheme="majorHAnsi"/>
          <w:sz w:val="24"/>
          <w:szCs w:val="24"/>
          <w:lang w:val="ro-MD" w:eastAsia="ru-RU"/>
        </w:rPr>
      </w:pPr>
      <w:r w:rsidRPr="00606103">
        <w:rPr>
          <w:rFonts w:asciiTheme="majorHAnsi" w:hAnsiTheme="majorHAnsi" w:cstheme="majorHAnsi"/>
          <w:color w:val="000000"/>
          <w:sz w:val="24"/>
          <w:szCs w:val="24"/>
          <w:lang w:val="ro-MD"/>
        </w:rPr>
        <w:t>În anul 2021, față de indicatorii precizați, încasările din TVA au înregistrat o creștere cu 1</w:t>
      </w:r>
      <w:r w:rsidR="005041CA" w:rsidRPr="00606103">
        <w:rPr>
          <w:rFonts w:asciiTheme="majorHAnsi" w:hAnsiTheme="majorHAnsi" w:cstheme="majorHAnsi"/>
          <w:color w:val="000000"/>
          <w:sz w:val="24"/>
          <w:szCs w:val="24"/>
          <w:lang w:val="ro-MD"/>
        </w:rPr>
        <w:t xml:space="preserve"> </w:t>
      </w:r>
      <w:r w:rsidRPr="00606103">
        <w:rPr>
          <w:rFonts w:asciiTheme="majorHAnsi" w:hAnsiTheme="majorHAnsi" w:cstheme="majorHAnsi"/>
          <w:color w:val="000000"/>
          <w:sz w:val="24"/>
          <w:szCs w:val="24"/>
          <w:lang w:val="ro-MD"/>
        </w:rPr>
        <w:t>603,3 mil. lei. Totodată, comparativ cu anul 2020, încasările TVA s-au majorat cu 5 723,1 mil. lei, sau cu 29,1%.</w:t>
      </w:r>
      <w:r w:rsidRPr="00606103">
        <w:rPr>
          <w:rFonts w:asciiTheme="majorHAnsi" w:hAnsiTheme="majorHAnsi" w:cstheme="majorHAnsi"/>
          <w:sz w:val="24"/>
          <w:szCs w:val="24"/>
          <w:lang w:val="ro-MD"/>
        </w:rPr>
        <w:t xml:space="preserve"> </w:t>
      </w:r>
      <w:r w:rsidRPr="00606103">
        <w:rPr>
          <w:rFonts w:asciiTheme="majorHAnsi" w:eastAsia="Times New Roman" w:hAnsiTheme="majorHAnsi" w:cstheme="majorHAnsi"/>
          <w:sz w:val="24"/>
          <w:szCs w:val="24"/>
          <w:lang w:val="ro-MD"/>
        </w:rPr>
        <w:t xml:space="preserve">Prin Legea BS pentru anul 2021, </w:t>
      </w:r>
      <w:r w:rsidRPr="00606103">
        <w:rPr>
          <w:rFonts w:asciiTheme="majorHAnsi" w:eastAsia="Times New Roman" w:hAnsiTheme="majorHAnsi" w:cstheme="majorHAnsi"/>
          <w:i/>
          <w:sz w:val="24"/>
          <w:szCs w:val="24"/>
          <w:lang w:val="ro-MD"/>
        </w:rPr>
        <w:t>pentru restituirea TVA</w:t>
      </w:r>
      <w:r w:rsidRPr="00606103">
        <w:rPr>
          <w:rFonts w:asciiTheme="majorHAnsi" w:eastAsia="Times New Roman" w:hAnsiTheme="majorHAnsi" w:cstheme="majorHAnsi"/>
          <w:sz w:val="24"/>
          <w:szCs w:val="24"/>
          <w:lang w:val="ro-MD"/>
        </w:rPr>
        <w:t xml:space="preserve"> au fost aprobate inițial 3 636,0 mil. lei, fiind ulterior precizate în volum de 3 236,0 mil. lei, sau cu 400,0 mil. lei mai puțin. Executarea restituirilor TVA în anul 2021 a constituit 3 024,2 mil. lei, ceea ce constituie 11,9% din suma TVA încasată la buget, sau </w:t>
      </w:r>
      <w:r w:rsidRPr="00606103">
        <w:rPr>
          <w:rFonts w:asciiTheme="majorHAnsi" w:hAnsiTheme="majorHAnsi" w:cstheme="majorHAnsi"/>
          <w:sz w:val="24"/>
          <w:szCs w:val="24"/>
          <w:lang w:val="ro-MD"/>
        </w:rPr>
        <w:t>mai puțin față de anul 2020</w:t>
      </w:r>
      <w:r w:rsidRPr="00606103">
        <w:rPr>
          <w:rFonts w:asciiTheme="majorHAnsi" w:eastAsia="Times New Roman" w:hAnsiTheme="majorHAnsi" w:cstheme="majorHAnsi"/>
          <w:sz w:val="24"/>
          <w:szCs w:val="24"/>
          <w:lang w:val="ro-MD"/>
        </w:rPr>
        <w:t xml:space="preserve"> cu </w:t>
      </w:r>
      <w:r w:rsidRPr="00606103">
        <w:rPr>
          <w:rFonts w:asciiTheme="majorHAnsi" w:hAnsiTheme="majorHAnsi" w:cstheme="majorHAnsi"/>
          <w:sz w:val="24"/>
          <w:szCs w:val="24"/>
          <w:lang w:val="ro-MD"/>
        </w:rPr>
        <w:t>3,1 p.p.</w:t>
      </w:r>
      <w:r w:rsidRPr="00606103">
        <w:rPr>
          <w:rFonts w:asciiTheme="majorHAnsi" w:eastAsia="Times New Roman" w:hAnsiTheme="majorHAnsi" w:cstheme="majorHAnsi"/>
          <w:sz w:val="24"/>
          <w:szCs w:val="24"/>
          <w:lang w:val="ro-MD"/>
        </w:rPr>
        <w:t xml:space="preserve"> Auditul constată că, în totalul sumei executate, la restituirea TVA sunt incluse și mijloacele executate conform Programului de rambursare a TVA</w:t>
      </w:r>
      <w:r w:rsidRPr="00606103">
        <w:rPr>
          <w:rFonts w:asciiTheme="majorHAnsi" w:hAnsiTheme="majorHAnsi" w:cstheme="majorHAnsi"/>
          <w:sz w:val="24"/>
          <w:szCs w:val="24"/>
          <w:vertAlign w:val="superscript"/>
          <w:lang w:val="ro-MD"/>
        </w:rPr>
        <w:footnoteReference w:id="7"/>
      </w:r>
      <w:r w:rsidRPr="00606103">
        <w:rPr>
          <w:rFonts w:asciiTheme="majorHAnsi" w:eastAsia="Times New Roman" w:hAnsiTheme="majorHAnsi" w:cstheme="majorHAnsi"/>
          <w:sz w:val="24"/>
          <w:szCs w:val="24"/>
          <w:lang w:val="ro-MD"/>
        </w:rPr>
        <w:t>. Verificările auditului relevă că perioada de rambursare a TVA a fost prelungită</w:t>
      </w:r>
      <w:r w:rsidRPr="00606103">
        <w:rPr>
          <w:rStyle w:val="FootnoteReference"/>
          <w:rFonts w:asciiTheme="majorHAnsi" w:eastAsia="Times New Roman" w:hAnsiTheme="majorHAnsi" w:cstheme="majorHAnsi"/>
          <w:sz w:val="24"/>
          <w:szCs w:val="24"/>
          <w:lang w:val="ro-MD"/>
        </w:rPr>
        <w:footnoteReference w:id="8"/>
      </w:r>
      <w:r w:rsidRPr="00606103">
        <w:rPr>
          <w:rFonts w:asciiTheme="majorHAnsi" w:eastAsia="Times New Roman" w:hAnsiTheme="majorHAnsi" w:cstheme="majorHAnsi"/>
          <w:sz w:val="24"/>
          <w:szCs w:val="24"/>
          <w:lang w:val="ro-MD"/>
        </w:rPr>
        <w:t xml:space="preserve"> până la 30 septembrie 2021 pentru producătorii agricoli afectați de calamitățile naturale. Astfel, în anul 2021 au fost depuse</w:t>
      </w:r>
      <w:r w:rsidRPr="00606103">
        <w:rPr>
          <w:rFonts w:asciiTheme="majorHAnsi" w:hAnsiTheme="majorHAnsi" w:cstheme="majorHAnsi"/>
          <w:sz w:val="24"/>
          <w:szCs w:val="24"/>
          <w:lang w:val="ro-MD"/>
        </w:rPr>
        <w:t xml:space="preserve"> 2 047 de cereri privind rambursarea TVA</w:t>
      </w:r>
      <w:r w:rsidRPr="00606103">
        <w:rPr>
          <w:rFonts w:asciiTheme="majorHAnsi" w:hAnsiTheme="majorHAnsi" w:cstheme="majorHAnsi"/>
          <w:color w:val="000000"/>
          <w:sz w:val="24"/>
          <w:szCs w:val="24"/>
          <w:lang w:val="ro-MD" w:eastAsia="ro-RO" w:bidi="ro-RO"/>
        </w:rPr>
        <w:t xml:space="preserve">, fiind adoptate de către SFS 1 397 decizii privind acceptarea rambursării TVA, în valoare de 192,9 mil. lei. </w:t>
      </w:r>
    </w:p>
    <w:p w:rsidR="00E33E15" w:rsidRPr="00606103" w:rsidRDefault="00E33E15">
      <w:pPr>
        <w:spacing w:line="276" w:lineRule="auto"/>
        <w:rPr>
          <w:rFonts w:asciiTheme="majorHAnsi" w:hAnsiTheme="majorHAnsi" w:cstheme="majorHAnsi"/>
          <w:color w:val="000000"/>
          <w:sz w:val="24"/>
          <w:szCs w:val="24"/>
          <w:lang w:val="ro-MD"/>
        </w:rPr>
      </w:pPr>
      <w:r w:rsidRPr="00606103">
        <w:rPr>
          <w:rFonts w:asciiTheme="majorHAnsi" w:hAnsiTheme="majorHAnsi" w:cstheme="majorHAnsi"/>
          <w:sz w:val="24"/>
          <w:szCs w:val="24"/>
          <w:lang w:val="ro-MD"/>
        </w:rPr>
        <w:lastRenderedPageBreak/>
        <w:t xml:space="preserve">Veniturile impozitului pe venit în structura BS pentru anul 2021 au </w:t>
      </w:r>
      <w:r w:rsidRPr="00606103">
        <w:rPr>
          <w:rFonts w:asciiTheme="majorHAnsi" w:hAnsiTheme="majorHAnsi" w:cstheme="majorHAnsi"/>
          <w:color w:val="000000"/>
          <w:sz w:val="24"/>
          <w:szCs w:val="24"/>
          <w:lang w:val="ro-MD"/>
        </w:rPr>
        <w:t xml:space="preserve">constituit 15,6% din totalul impozitelor și taxelor, fiind încasate 7 695,1 mil. lei, înregistrând o creștere de 1 226,0 mil. lei în comparație cu anul 2020. </w:t>
      </w:r>
      <w:r w:rsidRPr="00606103">
        <w:rPr>
          <w:rFonts w:asciiTheme="majorHAnsi" w:hAnsiTheme="majorHAnsi" w:cstheme="majorHAnsi"/>
          <w:sz w:val="24"/>
          <w:szCs w:val="24"/>
          <w:lang w:val="ro-MD"/>
        </w:rPr>
        <w:t xml:space="preserve">Din BS au fost efectuate </w:t>
      </w:r>
      <w:r w:rsidRPr="00606103">
        <w:rPr>
          <w:rFonts w:asciiTheme="majorHAnsi" w:hAnsiTheme="majorHAnsi" w:cstheme="majorHAnsi"/>
          <w:i/>
          <w:sz w:val="24"/>
          <w:szCs w:val="24"/>
          <w:lang w:val="ro-MD"/>
        </w:rPr>
        <w:t>restituiri ale impozitului pe venitul persoanelor fizice</w:t>
      </w:r>
      <w:r w:rsidRPr="00606103">
        <w:rPr>
          <w:rFonts w:asciiTheme="majorHAnsi" w:hAnsiTheme="majorHAnsi" w:cstheme="majorHAnsi"/>
          <w:sz w:val="24"/>
          <w:szCs w:val="24"/>
          <w:lang w:val="ro-MD"/>
        </w:rPr>
        <w:t xml:space="preserve"> potrivit declarațiilor prezentate, în sumă de 60,9 mil.lei, cu 4,1 mil. lei mai puțin față de limita precizată (65,0 mil.lei), depășind limita aprobată în buget cu 25,9 mil. lei. Verificările auditului denotă că se menține evoluția de creștere cu 2,2% (1,3 mil. lei) față de anul precedent.</w:t>
      </w:r>
    </w:p>
    <w:p w:rsidR="00E33E15" w:rsidRPr="00606103" w:rsidRDefault="00E33E15">
      <w:pPr>
        <w:spacing w:line="276" w:lineRule="auto"/>
        <w:rPr>
          <w:rFonts w:asciiTheme="majorHAnsi" w:hAnsiTheme="majorHAnsi" w:cstheme="majorHAnsi"/>
          <w:sz w:val="24"/>
          <w:szCs w:val="24"/>
          <w:lang w:val="ro-MD"/>
        </w:rPr>
      </w:pPr>
      <w:r w:rsidRPr="00606103">
        <w:rPr>
          <w:rFonts w:asciiTheme="majorHAnsi" w:hAnsiTheme="majorHAnsi" w:cstheme="majorHAnsi"/>
          <w:bCs/>
          <w:iCs/>
          <w:color w:val="000000"/>
          <w:spacing w:val="-1"/>
          <w:sz w:val="24"/>
          <w:szCs w:val="24"/>
          <w:lang w:val="ro-MD"/>
        </w:rPr>
        <w:t xml:space="preserve">Potrivit datelor raportate de MF, veniturile din accize în anul 2021 au fost supraîncasate cu 420,0 mil. lei (105,9%) față de indicatorii precizați și cu 17,4 %, sau 1 124,6 mil.lei, mai mult </w:t>
      </w:r>
      <w:r w:rsidRPr="00606103">
        <w:rPr>
          <w:rFonts w:asciiTheme="majorHAnsi" w:hAnsiTheme="majorHAnsi" w:cstheme="majorHAnsi"/>
          <w:color w:val="000000"/>
          <w:sz w:val="24"/>
          <w:szCs w:val="24"/>
          <w:lang w:val="ro-MD"/>
        </w:rPr>
        <w:t>față de anul precedent</w:t>
      </w:r>
      <w:r w:rsidRPr="00606103">
        <w:rPr>
          <w:rFonts w:asciiTheme="majorHAnsi" w:hAnsiTheme="majorHAnsi" w:cstheme="majorHAnsi"/>
          <w:bCs/>
          <w:iCs/>
          <w:color w:val="000000"/>
          <w:spacing w:val="-1"/>
          <w:sz w:val="24"/>
          <w:szCs w:val="24"/>
          <w:lang w:val="ro-MD"/>
        </w:rPr>
        <w:t xml:space="preserve">. </w:t>
      </w:r>
      <w:r w:rsidRPr="00606103">
        <w:rPr>
          <w:rFonts w:asciiTheme="majorHAnsi" w:hAnsiTheme="majorHAnsi" w:cstheme="majorHAnsi"/>
          <w:sz w:val="24"/>
          <w:szCs w:val="24"/>
          <w:lang w:val="ro-MD"/>
        </w:rPr>
        <w:t>În acest context, se relevă că, din încasările de 7 590,3 mil. lei (inclusiv restituirile – 27,0 mil. lei) din accize, 88,4% (6 731,5 mil. lei) revin accizelor la mărfurile importate și 885,8 mil. lei, sau 11,6%</w:t>
      </w:r>
      <w:r w:rsidR="00630816"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 la mărfurile produse în țară. </w:t>
      </w:r>
    </w:p>
    <w:p w:rsidR="00E33E15" w:rsidRPr="00606103" w:rsidRDefault="00E33E15">
      <w:pPr>
        <w:spacing w:line="276" w:lineRule="auto"/>
        <w:rPr>
          <w:rFonts w:asciiTheme="majorHAnsi" w:hAnsiTheme="majorHAnsi" w:cstheme="majorHAnsi"/>
          <w:sz w:val="24"/>
          <w:szCs w:val="24"/>
          <w:lang w:val="ro-MD" w:eastAsia="ru-RU"/>
        </w:rPr>
      </w:pPr>
      <w:r w:rsidRPr="00606103">
        <w:rPr>
          <w:rFonts w:asciiTheme="majorHAnsi" w:hAnsiTheme="majorHAnsi" w:cstheme="majorHAnsi"/>
          <w:sz w:val="24"/>
          <w:szCs w:val="24"/>
          <w:lang w:val="ro-MD"/>
        </w:rPr>
        <w:t>Concomitent</w:t>
      </w:r>
      <w:r w:rsidR="00462CB5" w:rsidRPr="00606103">
        <w:rPr>
          <w:rFonts w:asciiTheme="majorHAnsi" w:hAnsiTheme="majorHAnsi" w:cstheme="majorHAnsi"/>
          <w:sz w:val="24"/>
          <w:szCs w:val="24"/>
          <w:lang w:val="ro-MD"/>
        </w:rPr>
        <w:t xml:space="preserve">, </w:t>
      </w:r>
      <w:r w:rsidR="00630816" w:rsidRPr="00606103">
        <w:rPr>
          <w:rFonts w:asciiTheme="majorHAnsi" w:hAnsiTheme="majorHAnsi" w:cstheme="majorHAnsi"/>
          <w:sz w:val="24"/>
          <w:szCs w:val="24"/>
          <w:lang w:val="ro-MD"/>
        </w:rPr>
        <w:t xml:space="preserve">ca </w:t>
      </w:r>
      <w:r w:rsidR="00462CB5" w:rsidRPr="00606103">
        <w:rPr>
          <w:rFonts w:asciiTheme="majorHAnsi" w:hAnsiTheme="majorHAnsi" w:cstheme="majorHAnsi"/>
          <w:sz w:val="24"/>
          <w:szCs w:val="24"/>
          <w:lang w:val="ro-MD"/>
        </w:rPr>
        <w:t xml:space="preserve">urmare </w:t>
      </w:r>
      <w:r w:rsidR="00630816" w:rsidRPr="00606103">
        <w:rPr>
          <w:rFonts w:asciiTheme="majorHAnsi" w:hAnsiTheme="majorHAnsi" w:cstheme="majorHAnsi"/>
          <w:sz w:val="24"/>
          <w:szCs w:val="24"/>
          <w:lang w:val="ro-MD"/>
        </w:rPr>
        <w:t xml:space="preserve">a </w:t>
      </w:r>
      <w:r w:rsidR="00462CB5" w:rsidRPr="00606103">
        <w:rPr>
          <w:rFonts w:asciiTheme="majorHAnsi" w:hAnsiTheme="majorHAnsi" w:cstheme="majorHAnsi"/>
          <w:sz w:val="24"/>
          <w:szCs w:val="24"/>
          <w:lang w:val="ro-MD"/>
        </w:rPr>
        <w:t>probelor colectate în cadrul SFS,</w:t>
      </w:r>
      <w:r w:rsidRPr="00606103">
        <w:rPr>
          <w:rFonts w:asciiTheme="majorHAnsi" w:hAnsiTheme="majorHAnsi" w:cstheme="majorHAnsi"/>
          <w:sz w:val="24"/>
          <w:szCs w:val="24"/>
          <w:lang w:val="ro-MD"/>
        </w:rPr>
        <w:t xml:space="preserve"> se relevă că SFS, fiind desemnat în calitate de administrator de venituri la unele plăți și taxe provenite din prestarea serviciilor publice și aplicarea sancțiunilor de către autoritățile statului, nu a</w:t>
      </w:r>
      <w:r w:rsidR="00E95D93"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asigurat controlul asupra virării integrale și în timp a veniturilor respective. În consecință, în evidența organului fiscal figurează doar plățile încasate, fără să</w:t>
      </w:r>
      <w:r w:rsidR="00E95D93"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dispună de sumele calculate la buget, nefiind înregistrate și restanțele aferente. Deși Curtea de Conturi a comunicat anterior aceste deficiențe, măsurile întreprinse de MF și SFS nu sunt suficiente pentru a fi asigurată plenitudinea datelor</w:t>
      </w:r>
      <w:r w:rsidR="00E95D93"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raportate la aceste tipuri de venituri.</w:t>
      </w:r>
    </w:p>
    <w:p w:rsidR="00745CC1" w:rsidRPr="00606103" w:rsidRDefault="008325F8">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Potrivit cadrului normativ</w:t>
      </w:r>
      <w:r w:rsidRPr="00606103">
        <w:rPr>
          <w:rFonts w:asciiTheme="majorHAnsi" w:hAnsiTheme="majorHAnsi" w:cstheme="majorHAnsi"/>
          <w:sz w:val="24"/>
          <w:szCs w:val="24"/>
          <w:vertAlign w:val="superscript"/>
          <w:lang w:val="ro-MD"/>
        </w:rPr>
        <w:footnoteReference w:id="9"/>
      </w:r>
      <w:r w:rsidRPr="00606103">
        <w:rPr>
          <w:rFonts w:asciiTheme="majorHAnsi" w:hAnsiTheme="majorHAnsi" w:cstheme="majorHAnsi"/>
          <w:sz w:val="24"/>
          <w:szCs w:val="24"/>
          <w:lang w:val="ro-MD"/>
        </w:rPr>
        <w:t xml:space="preserve">, administratorii de venit prezintă MF </w:t>
      </w:r>
      <w:r w:rsidR="00630816" w:rsidRPr="00606103">
        <w:rPr>
          <w:rFonts w:asciiTheme="majorHAnsi" w:hAnsiTheme="majorHAnsi" w:cstheme="majorHAnsi"/>
          <w:sz w:val="24"/>
          <w:szCs w:val="24"/>
          <w:lang w:val="ro-MD"/>
        </w:rPr>
        <w:t xml:space="preserve">informații </w:t>
      </w:r>
      <w:r w:rsidRPr="00606103">
        <w:rPr>
          <w:rFonts w:asciiTheme="majorHAnsi" w:hAnsiTheme="majorHAnsi" w:cstheme="majorHAnsi"/>
          <w:sz w:val="24"/>
          <w:szCs w:val="24"/>
          <w:lang w:val="ro-MD"/>
        </w:rPr>
        <w:t xml:space="preserve">privind restanțele la plățile pe care le administrează, lunar către data de 25 a lunii imediat următoare lunii de gestiune și anual până la data de 25 februarie a anului următor anului de gestiune. </w:t>
      </w:r>
    </w:p>
    <w:p w:rsidR="008325F8" w:rsidRPr="00606103" w:rsidRDefault="00EE6F29">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S</w:t>
      </w:r>
      <w:r w:rsidR="008325F8" w:rsidRPr="00606103">
        <w:rPr>
          <w:rFonts w:asciiTheme="majorHAnsi" w:hAnsiTheme="majorHAnsi" w:cstheme="majorHAnsi"/>
          <w:sz w:val="24"/>
          <w:szCs w:val="24"/>
          <w:lang w:val="ro-MD"/>
        </w:rPr>
        <w:t>imilar anilor precedenți, doar 2 administratori de venituri (SFS și SV) au prezentat MF dările de seamă privind restanțele la BS. To</w:t>
      </w:r>
      <w:r w:rsidRPr="00606103">
        <w:rPr>
          <w:rFonts w:asciiTheme="majorHAnsi" w:hAnsiTheme="majorHAnsi" w:cstheme="majorHAnsi"/>
          <w:sz w:val="24"/>
          <w:szCs w:val="24"/>
          <w:lang w:val="ro-MD"/>
        </w:rPr>
        <w:t>todată, se relevă</w:t>
      </w:r>
      <w:r w:rsidR="008325F8" w:rsidRPr="00606103">
        <w:rPr>
          <w:rFonts w:asciiTheme="majorHAnsi" w:hAnsiTheme="majorHAnsi" w:cstheme="majorHAnsi"/>
          <w:sz w:val="24"/>
          <w:szCs w:val="24"/>
          <w:lang w:val="ro-MD"/>
        </w:rPr>
        <w:t xml:space="preserve"> că MF nu dispune de reglementări exhaustive pentru toți administratorii de venit privind modalitatea și formatul de raportare către MF a restanțelor față de BS, deși MF este responsabil</w:t>
      </w:r>
      <w:r w:rsidR="008325F8" w:rsidRPr="00606103">
        <w:rPr>
          <w:rFonts w:asciiTheme="majorHAnsi" w:hAnsiTheme="majorHAnsi" w:cstheme="majorHAnsi"/>
          <w:sz w:val="24"/>
          <w:szCs w:val="24"/>
          <w:vertAlign w:val="superscript"/>
          <w:lang w:val="ro-MD"/>
        </w:rPr>
        <w:footnoteReference w:id="10"/>
      </w:r>
      <w:r w:rsidR="008325F8" w:rsidRPr="00606103">
        <w:rPr>
          <w:rFonts w:asciiTheme="majorHAnsi" w:hAnsiTheme="majorHAnsi" w:cstheme="majorHAnsi"/>
          <w:sz w:val="24"/>
          <w:szCs w:val="24"/>
          <w:lang w:val="ro-MD"/>
        </w:rPr>
        <w:t xml:space="preserve"> de elaborarea documentelor de politici,</w:t>
      </w:r>
      <w:r w:rsidR="009C2E59" w:rsidRPr="00606103">
        <w:rPr>
          <w:rFonts w:asciiTheme="majorHAnsi" w:hAnsiTheme="majorHAnsi" w:cstheme="majorHAnsi"/>
          <w:sz w:val="24"/>
          <w:szCs w:val="24"/>
          <w:lang w:val="ro-MD"/>
        </w:rPr>
        <w:t xml:space="preserve"> a</w:t>
      </w:r>
      <w:r w:rsidR="008325F8" w:rsidRPr="00606103">
        <w:rPr>
          <w:rFonts w:asciiTheme="majorHAnsi" w:hAnsiTheme="majorHAnsi" w:cstheme="majorHAnsi"/>
          <w:sz w:val="24"/>
          <w:szCs w:val="24"/>
          <w:lang w:val="ro-MD"/>
        </w:rPr>
        <w:t xml:space="preserve"> proiectelor de acte normative în domeniile</w:t>
      </w:r>
      <w:r w:rsidR="008325F8" w:rsidRPr="00606103">
        <w:rPr>
          <w:rFonts w:asciiTheme="majorHAnsi" w:hAnsiTheme="majorHAnsi" w:cstheme="majorHAnsi"/>
          <w:sz w:val="24"/>
          <w:szCs w:val="24"/>
          <w:vertAlign w:val="superscript"/>
          <w:lang w:val="ro-MD"/>
        </w:rPr>
        <w:footnoteReference w:id="11"/>
      </w:r>
      <w:r w:rsidR="008325F8" w:rsidRPr="00606103">
        <w:rPr>
          <w:rFonts w:asciiTheme="majorHAnsi" w:hAnsiTheme="majorHAnsi" w:cstheme="majorHAnsi"/>
          <w:sz w:val="24"/>
          <w:szCs w:val="24"/>
          <w:lang w:val="ro-MD"/>
        </w:rPr>
        <w:t xml:space="preserve"> pe care le patronează.</w:t>
      </w:r>
      <w:r w:rsidR="00296E6A" w:rsidRPr="00606103">
        <w:rPr>
          <w:rFonts w:asciiTheme="majorHAnsi" w:hAnsiTheme="majorHAnsi" w:cstheme="majorHAnsi"/>
          <w:sz w:val="24"/>
          <w:szCs w:val="24"/>
          <w:lang w:val="ro-MD"/>
        </w:rPr>
        <w:t xml:space="preserve"> Situația gener</w:t>
      </w:r>
      <w:r w:rsidR="00630816" w:rsidRPr="00606103">
        <w:rPr>
          <w:rFonts w:asciiTheme="majorHAnsi" w:hAnsiTheme="majorHAnsi" w:cstheme="majorHAnsi"/>
          <w:sz w:val="24"/>
          <w:szCs w:val="24"/>
          <w:lang w:val="ro-MD"/>
        </w:rPr>
        <w:t>ează</w:t>
      </w:r>
      <w:r w:rsidR="00296E6A" w:rsidRPr="00606103">
        <w:rPr>
          <w:rFonts w:asciiTheme="majorHAnsi" w:hAnsiTheme="majorHAnsi" w:cstheme="majorHAnsi"/>
          <w:sz w:val="24"/>
          <w:szCs w:val="24"/>
          <w:lang w:val="ro-MD"/>
        </w:rPr>
        <w:t xml:space="preserve"> un impact negativ asupra prezentării fidele și exacte a</w:t>
      </w:r>
      <w:r w:rsidR="00E95D93" w:rsidRPr="00606103">
        <w:rPr>
          <w:rFonts w:asciiTheme="majorHAnsi" w:hAnsiTheme="majorHAnsi" w:cstheme="majorHAnsi"/>
          <w:sz w:val="24"/>
          <w:szCs w:val="24"/>
          <w:lang w:val="ro-MD"/>
        </w:rPr>
        <w:t xml:space="preserve"> </w:t>
      </w:r>
      <w:r w:rsidR="00296E6A" w:rsidRPr="00606103">
        <w:rPr>
          <w:rFonts w:asciiTheme="majorHAnsi" w:hAnsiTheme="majorHAnsi" w:cstheme="majorHAnsi"/>
          <w:sz w:val="24"/>
          <w:szCs w:val="24"/>
          <w:lang w:val="ro-MD"/>
        </w:rPr>
        <w:t>totalității restanțelor aferente obligațiilor față de BS.</w:t>
      </w:r>
    </w:p>
    <w:p w:rsidR="008325F8" w:rsidRDefault="008325F8">
      <w:pPr>
        <w:spacing w:after="0" w:line="276" w:lineRule="auto"/>
        <w:rPr>
          <w:rFonts w:asciiTheme="majorHAnsi" w:eastAsiaTheme="minorEastAsia" w:hAnsiTheme="majorHAnsi" w:cstheme="majorHAnsi"/>
          <w:i/>
          <w:sz w:val="24"/>
          <w:szCs w:val="24"/>
          <w:lang w:val="ro-MD"/>
        </w:rPr>
      </w:pPr>
      <w:r w:rsidRPr="00606103">
        <w:rPr>
          <w:rFonts w:asciiTheme="majorHAnsi" w:hAnsiTheme="majorHAnsi" w:cstheme="majorHAnsi"/>
          <w:sz w:val="24"/>
          <w:szCs w:val="24"/>
          <w:lang w:val="ro-MD"/>
        </w:rPr>
        <w:t xml:space="preserve">Astfel, conform </w:t>
      </w:r>
      <w:r w:rsidRPr="00606103">
        <w:rPr>
          <w:rFonts w:asciiTheme="majorHAnsi" w:eastAsiaTheme="minorEastAsia" w:hAnsiTheme="majorHAnsi" w:cstheme="majorHAnsi"/>
          <w:color w:val="000000"/>
          <w:spacing w:val="1"/>
          <w:sz w:val="24"/>
          <w:szCs w:val="24"/>
          <w:lang w:val="ro-MD"/>
        </w:rPr>
        <w:t xml:space="preserve">datelor raportate de MF, la situația din </w:t>
      </w:r>
      <w:r w:rsidRPr="00606103">
        <w:rPr>
          <w:rFonts w:asciiTheme="majorHAnsi" w:eastAsiaTheme="minorEastAsia" w:hAnsiTheme="majorHAnsi" w:cstheme="majorHAnsi"/>
          <w:color w:val="000000"/>
          <w:sz w:val="24"/>
          <w:szCs w:val="24"/>
          <w:lang w:val="ro-MD"/>
        </w:rPr>
        <w:t xml:space="preserve">31.12.2021 </w:t>
      </w:r>
      <w:r w:rsidRPr="00606103">
        <w:rPr>
          <w:rFonts w:asciiTheme="majorHAnsi" w:eastAsiaTheme="minorEastAsia" w:hAnsiTheme="majorHAnsi" w:cstheme="majorHAnsi"/>
          <w:color w:val="000000"/>
          <w:spacing w:val="1"/>
          <w:sz w:val="24"/>
          <w:szCs w:val="24"/>
          <w:lang w:val="ro-MD"/>
        </w:rPr>
        <w:t>restanțele la</w:t>
      </w:r>
      <w:r w:rsidRPr="00606103">
        <w:rPr>
          <w:rFonts w:asciiTheme="majorHAnsi" w:eastAsiaTheme="minorEastAsia" w:hAnsiTheme="majorHAnsi" w:cstheme="majorHAnsi"/>
          <w:sz w:val="24"/>
          <w:szCs w:val="24"/>
          <w:lang w:val="ro-MD"/>
        </w:rPr>
        <w:t xml:space="preserve"> plata oblig</w:t>
      </w:r>
      <w:r w:rsidR="002F0437" w:rsidRPr="00606103">
        <w:rPr>
          <w:rFonts w:asciiTheme="majorHAnsi" w:eastAsiaTheme="minorEastAsia" w:hAnsiTheme="majorHAnsi" w:cstheme="majorHAnsi"/>
          <w:sz w:val="24"/>
          <w:szCs w:val="24"/>
          <w:lang w:val="ro-MD"/>
        </w:rPr>
        <w:t xml:space="preserve">ațiilor </w:t>
      </w:r>
      <w:r w:rsidRPr="00606103">
        <w:rPr>
          <w:rFonts w:asciiTheme="majorHAnsi" w:eastAsiaTheme="minorEastAsia" w:hAnsiTheme="majorHAnsi" w:cstheme="majorHAnsi"/>
          <w:sz w:val="24"/>
          <w:szCs w:val="24"/>
          <w:lang w:val="ro-MD"/>
        </w:rPr>
        <w:t>contribuabililor față de</w:t>
      </w:r>
      <w:r w:rsidRPr="00606103">
        <w:rPr>
          <w:rFonts w:asciiTheme="majorHAnsi" w:eastAsiaTheme="minorEastAsia" w:hAnsiTheme="majorHAnsi" w:cstheme="majorHAnsi"/>
          <w:color w:val="000000"/>
          <w:spacing w:val="1"/>
          <w:sz w:val="24"/>
          <w:szCs w:val="24"/>
          <w:lang w:val="ro-MD"/>
        </w:rPr>
        <w:t xml:space="preserve"> bugetul de </w:t>
      </w:r>
      <w:r w:rsidRPr="00606103">
        <w:rPr>
          <w:rFonts w:asciiTheme="majorHAnsi" w:eastAsiaTheme="minorEastAsia" w:hAnsiTheme="majorHAnsi" w:cstheme="majorHAnsi"/>
          <w:color w:val="000000"/>
          <w:sz w:val="24"/>
          <w:szCs w:val="24"/>
          <w:lang w:val="ro-MD"/>
        </w:rPr>
        <w:t xml:space="preserve">stat au constituit </w:t>
      </w:r>
      <w:r w:rsidRPr="00606103">
        <w:rPr>
          <w:rFonts w:asciiTheme="majorHAnsi" w:hAnsiTheme="majorHAnsi" w:cstheme="majorHAnsi"/>
          <w:bCs/>
          <w:iCs/>
          <w:color w:val="000000"/>
          <w:sz w:val="24"/>
          <w:szCs w:val="24"/>
          <w:lang w:val="ro-MD" w:eastAsia="ro-RO"/>
        </w:rPr>
        <w:t>1 927,4</w:t>
      </w:r>
      <w:r w:rsidRPr="00606103">
        <w:rPr>
          <w:rFonts w:asciiTheme="majorHAnsi" w:eastAsiaTheme="minorEastAsia" w:hAnsiTheme="majorHAnsi" w:cstheme="majorHAnsi"/>
          <w:color w:val="000000"/>
          <w:sz w:val="24"/>
          <w:szCs w:val="24"/>
          <w:lang w:val="ro-MD"/>
        </w:rPr>
        <w:t xml:space="preserve"> mil.lei (inclusiv plăți de bază, majorări de întârziere, amenzi, cu excepția obligațiilor fiscale luate </w:t>
      </w:r>
      <w:r w:rsidR="00746633" w:rsidRPr="00606103">
        <w:rPr>
          <w:rFonts w:asciiTheme="majorHAnsi" w:eastAsiaTheme="minorEastAsia" w:hAnsiTheme="majorHAnsi" w:cstheme="majorHAnsi"/>
          <w:color w:val="000000"/>
          <w:sz w:val="24"/>
          <w:szCs w:val="24"/>
          <w:lang w:val="ro-MD"/>
        </w:rPr>
        <w:t>în</w:t>
      </w:r>
      <w:r w:rsidRPr="00606103">
        <w:rPr>
          <w:rFonts w:asciiTheme="majorHAnsi" w:eastAsiaTheme="minorEastAsia" w:hAnsiTheme="majorHAnsi" w:cstheme="majorHAnsi"/>
          <w:color w:val="000000"/>
          <w:sz w:val="24"/>
          <w:szCs w:val="24"/>
          <w:lang w:val="ro-MD"/>
        </w:rPr>
        <w:t xml:space="preserve"> evidența specială), </w:t>
      </w:r>
      <w:r w:rsidRPr="00606103">
        <w:rPr>
          <w:rFonts w:asciiTheme="majorHAnsi" w:eastAsiaTheme="minorEastAsia" w:hAnsiTheme="majorHAnsi" w:cstheme="majorHAnsi"/>
          <w:sz w:val="24"/>
          <w:szCs w:val="24"/>
          <w:lang w:val="ro-MD"/>
        </w:rPr>
        <w:t xml:space="preserve">inclusiv administrate de SFS – </w:t>
      </w:r>
      <w:r w:rsidR="00746633" w:rsidRPr="00606103">
        <w:rPr>
          <w:rFonts w:asciiTheme="majorHAnsi" w:eastAsiaTheme="minorEastAsia" w:hAnsiTheme="majorHAnsi" w:cstheme="majorHAnsi"/>
          <w:sz w:val="24"/>
          <w:szCs w:val="24"/>
          <w:lang w:val="ro-MD"/>
        </w:rPr>
        <w:t xml:space="preserve">în sumă de </w:t>
      </w:r>
      <w:r w:rsidRPr="00606103">
        <w:rPr>
          <w:rFonts w:asciiTheme="majorHAnsi" w:eastAsiaTheme="minorEastAsia" w:hAnsiTheme="majorHAnsi" w:cstheme="majorHAnsi"/>
          <w:sz w:val="24"/>
          <w:szCs w:val="24"/>
          <w:lang w:val="ro-MD"/>
        </w:rPr>
        <w:t>1 583,4 mil</w:t>
      </w:r>
      <w:r w:rsidR="000331DE" w:rsidRPr="00606103">
        <w:rPr>
          <w:rFonts w:asciiTheme="majorHAnsi" w:eastAsiaTheme="minorEastAsia" w:hAnsiTheme="majorHAnsi" w:cstheme="majorHAnsi"/>
          <w:sz w:val="24"/>
          <w:szCs w:val="24"/>
          <w:lang w:val="ro-MD"/>
        </w:rPr>
        <w:t>. lei</w:t>
      </w:r>
      <w:r w:rsidR="00746633" w:rsidRPr="00606103">
        <w:rPr>
          <w:rFonts w:asciiTheme="majorHAnsi" w:eastAsiaTheme="minorEastAsia" w:hAnsiTheme="majorHAnsi" w:cstheme="majorHAnsi"/>
          <w:sz w:val="24"/>
          <w:szCs w:val="24"/>
          <w:lang w:val="ro-MD"/>
        </w:rPr>
        <w:t>,</w:t>
      </w:r>
      <w:r w:rsidR="000331DE" w:rsidRPr="00606103">
        <w:rPr>
          <w:rFonts w:asciiTheme="majorHAnsi" w:eastAsiaTheme="minorEastAsia" w:hAnsiTheme="majorHAnsi" w:cstheme="majorHAnsi"/>
          <w:sz w:val="24"/>
          <w:szCs w:val="24"/>
          <w:lang w:val="ro-MD"/>
        </w:rPr>
        <w:t xml:space="preserve"> și de SV – </w:t>
      </w:r>
      <w:r w:rsidR="00746633" w:rsidRPr="00606103">
        <w:rPr>
          <w:rFonts w:asciiTheme="majorHAnsi" w:eastAsiaTheme="minorEastAsia" w:hAnsiTheme="majorHAnsi" w:cstheme="majorHAnsi"/>
          <w:sz w:val="24"/>
          <w:szCs w:val="24"/>
          <w:lang w:val="ro-MD"/>
        </w:rPr>
        <w:t xml:space="preserve">în sumă de </w:t>
      </w:r>
      <w:r w:rsidR="000331DE" w:rsidRPr="00606103">
        <w:rPr>
          <w:rFonts w:asciiTheme="majorHAnsi" w:eastAsiaTheme="minorEastAsia" w:hAnsiTheme="majorHAnsi" w:cstheme="majorHAnsi"/>
          <w:sz w:val="24"/>
          <w:szCs w:val="24"/>
          <w:lang w:val="ro-MD"/>
        </w:rPr>
        <w:t>344,0 mil. lei, care</w:t>
      </w:r>
      <w:r w:rsidR="00746633" w:rsidRPr="00606103">
        <w:rPr>
          <w:rFonts w:asciiTheme="majorHAnsi" w:eastAsiaTheme="minorEastAsia" w:hAnsiTheme="majorHAnsi" w:cstheme="majorHAnsi"/>
          <w:sz w:val="24"/>
          <w:szCs w:val="24"/>
          <w:lang w:val="ro-MD"/>
        </w:rPr>
        <w:t>,</w:t>
      </w:r>
      <w:r w:rsidR="000331DE" w:rsidRPr="00606103">
        <w:rPr>
          <w:rFonts w:asciiTheme="majorHAnsi" w:eastAsiaTheme="minorEastAsia" w:hAnsiTheme="majorHAnsi" w:cstheme="majorHAnsi"/>
          <w:sz w:val="24"/>
          <w:szCs w:val="24"/>
          <w:lang w:val="ro-MD"/>
        </w:rPr>
        <w:t xml:space="preserve"> în comparație cu anii</w:t>
      </w:r>
      <w:r w:rsidR="00E95D93" w:rsidRPr="00606103">
        <w:rPr>
          <w:rFonts w:asciiTheme="majorHAnsi" w:eastAsiaTheme="minorEastAsia" w:hAnsiTheme="majorHAnsi" w:cstheme="majorHAnsi"/>
          <w:sz w:val="24"/>
          <w:szCs w:val="24"/>
          <w:lang w:val="ro-MD"/>
        </w:rPr>
        <w:t xml:space="preserve"> </w:t>
      </w:r>
      <w:r w:rsidR="000331DE" w:rsidRPr="00606103">
        <w:rPr>
          <w:rFonts w:asciiTheme="majorHAnsi" w:eastAsiaTheme="minorEastAsia" w:hAnsiTheme="majorHAnsi" w:cstheme="majorHAnsi"/>
          <w:i/>
          <w:sz w:val="24"/>
          <w:szCs w:val="24"/>
          <w:lang w:val="ro-MD"/>
        </w:rPr>
        <w:t>2019</w:t>
      </w:r>
      <w:r w:rsidR="00746633" w:rsidRPr="00606103">
        <w:rPr>
          <w:rFonts w:asciiTheme="majorHAnsi" w:eastAsiaTheme="minorEastAsia" w:hAnsiTheme="majorHAnsi" w:cstheme="majorHAnsi"/>
          <w:i/>
          <w:sz w:val="24"/>
          <w:szCs w:val="24"/>
          <w:lang w:val="ro-MD"/>
        </w:rPr>
        <w:t xml:space="preserve"> și</w:t>
      </w:r>
      <w:r w:rsidR="000331DE" w:rsidRPr="00606103">
        <w:rPr>
          <w:rFonts w:asciiTheme="majorHAnsi" w:eastAsiaTheme="minorEastAsia" w:hAnsiTheme="majorHAnsi" w:cstheme="majorHAnsi"/>
          <w:i/>
          <w:sz w:val="24"/>
          <w:szCs w:val="24"/>
          <w:lang w:val="ro-MD"/>
        </w:rPr>
        <w:t xml:space="preserve"> 2020</w:t>
      </w:r>
      <w:r w:rsidR="00746633" w:rsidRPr="00606103">
        <w:rPr>
          <w:rFonts w:asciiTheme="majorHAnsi" w:eastAsiaTheme="minorEastAsia" w:hAnsiTheme="majorHAnsi" w:cstheme="majorHAnsi"/>
          <w:i/>
          <w:sz w:val="24"/>
          <w:szCs w:val="24"/>
          <w:lang w:val="ro-MD"/>
        </w:rPr>
        <w:t>,</w:t>
      </w:r>
      <w:r w:rsidR="000331DE" w:rsidRPr="00606103">
        <w:rPr>
          <w:rFonts w:asciiTheme="majorHAnsi" w:eastAsiaTheme="minorEastAsia" w:hAnsiTheme="majorHAnsi" w:cstheme="majorHAnsi"/>
          <w:i/>
          <w:sz w:val="24"/>
          <w:szCs w:val="24"/>
          <w:lang w:val="ro-MD"/>
        </w:rPr>
        <w:t xml:space="preserve"> </w:t>
      </w:r>
      <w:r w:rsidR="000331DE" w:rsidRPr="00606103">
        <w:rPr>
          <w:rFonts w:asciiTheme="majorHAnsi" w:eastAsiaTheme="minorEastAsia" w:hAnsiTheme="majorHAnsi" w:cstheme="majorHAnsi"/>
          <w:i/>
          <w:color w:val="000000"/>
          <w:spacing w:val="1"/>
          <w:sz w:val="24"/>
          <w:szCs w:val="24"/>
          <w:lang w:val="ro-MD"/>
        </w:rPr>
        <w:t>se prezintă în Tabelul nr.2</w:t>
      </w:r>
      <w:r w:rsidRPr="00606103">
        <w:rPr>
          <w:rFonts w:asciiTheme="majorHAnsi" w:eastAsiaTheme="minorEastAsia" w:hAnsiTheme="majorHAnsi" w:cstheme="majorHAnsi"/>
          <w:i/>
          <w:color w:val="000000"/>
          <w:spacing w:val="1"/>
          <w:sz w:val="24"/>
          <w:szCs w:val="24"/>
          <w:lang w:val="ro-MD"/>
        </w:rPr>
        <w:t>.</w:t>
      </w:r>
      <w:r w:rsidRPr="00606103">
        <w:rPr>
          <w:rFonts w:asciiTheme="majorHAnsi" w:eastAsiaTheme="minorEastAsia" w:hAnsiTheme="majorHAnsi" w:cstheme="majorHAnsi"/>
          <w:i/>
          <w:sz w:val="24"/>
          <w:szCs w:val="24"/>
          <w:lang w:val="ro-MD"/>
        </w:rPr>
        <w:t xml:space="preserve"> </w:t>
      </w:r>
    </w:p>
    <w:p w:rsidR="005D235B" w:rsidRDefault="005D235B">
      <w:pPr>
        <w:spacing w:after="0" w:line="276" w:lineRule="auto"/>
        <w:rPr>
          <w:rFonts w:asciiTheme="majorHAnsi" w:eastAsiaTheme="minorEastAsia" w:hAnsiTheme="majorHAnsi" w:cstheme="majorHAnsi"/>
          <w:i/>
          <w:sz w:val="24"/>
          <w:szCs w:val="24"/>
          <w:lang w:val="ro-MD"/>
        </w:rPr>
      </w:pPr>
    </w:p>
    <w:p w:rsidR="005D235B" w:rsidRDefault="005D235B">
      <w:pPr>
        <w:spacing w:after="0" w:line="276" w:lineRule="auto"/>
        <w:rPr>
          <w:rFonts w:asciiTheme="majorHAnsi" w:eastAsiaTheme="minorEastAsia" w:hAnsiTheme="majorHAnsi" w:cstheme="majorHAnsi"/>
          <w:i/>
          <w:sz w:val="24"/>
          <w:szCs w:val="24"/>
          <w:lang w:val="ro-MD"/>
        </w:rPr>
      </w:pPr>
    </w:p>
    <w:p w:rsidR="005D235B" w:rsidRPr="00606103" w:rsidRDefault="005D235B">
      <w:pPr>
        <w:spacing w:after="0" w:line="276" w:lineRule="auto"/>
        <w:rPr>
          <w:rFonts w:asciiTheme="majorHAnsi" w:eastAsiaTheme="minorEastAsia" w:hAnsiTheme="majorHAnsi" w:cstheme="majorHAnsi"/>
          <w:i/>
          <w:sz w:val="24"/>
          <w:szCs w:val="24"/>
          <w:lang w:val="ro-MD"/>
        </w:rPr>
      </w:pPr>
    </w:p>
    <w:p w:rsidR="008325F8" w:rsidRPr="00606103" w:rsidRDefault="000331DE">
      <w:pPr>
        <w:spacing w:after="0" w:line="276" w:lineRule="auto"/>
        <w:jc w:val="right"/>
        <w:rPr>
          <w:rFonts w:asciiTheme="majorHAnsi" w:hAnsiTheme="majorHAnsi" w:cstheme="majorHAnsi"/>
          <w:b/>
          <w:i/>
          <w:color w:val="000000"/>
          <w:spacing w:val="1"/>
          <w:sz w:val="24"/>
          <w:szCs w:val="24"/>
          <w:lang w:val="ro-MD"/>
        </w:rPr>
      </w:pPr>
      <w:r w:rsidRPr="00606103">
        <w:rPr>
          <w:rFonts w:asciiTheme="majorHAnsi" w:hAnsiTheme="majorHAnsi" w:cstheme="majorHAnsi"/>
          <w:b/>
          <w:i/>
          <w:color w:val="000000"/>
          <w:spacing w:val="1"/>
          <w:sz w:val="24"/>
          <w:szCs w:val="24"/>
          <w:lang w:val="ro-MD"/>
        </w:rPr>
        <w:lastRenderedPageBreak/>
        <w:t>Tabelul nr.2</w:t>
      </w:r>
    </w:p>
    <w:p w:rsidR="0039449A" w:rsidRPr="00606103" w:rsidRDefault="000A1CC3">
      <w:pPr>
        <w:pStyle w:val="NoSpacing"/>
        <w:spacing w:line="276" w:lineRule="auto"/>
        <w:jc w:val="center"/>
        <w:rPr>
          <w:rFonts w:asciiTheme="majorHAnsi" w:hAnsiTheme="majorHAnsi" w:cstheme="majorHAnsi"/>
          <w:b/>
          <w:sz w:val="24"/>
          <w:szCs w:val="24"/>
          <w:lang w:val="ro-MD"/>
        </w:rPr>
      </w:pPr>
      <w:r w:rsidRPr="00606103">
        <w:rPr>
          <w:rFonts w:asciiTheme="majorHAnsi" w:hAnsiTheme="majorHAnsi" w:cstheme="majorHAnsi"/>
          <w:b/>
          <w:sz w:val="24"/>
          <w:szCs w:val="24"/>
          <w:lang w:val="ro-MD"/>
        </w:rPr>
        <w:t>Sinteza rest</w:t>
      </w:r>
      <w:r w:rsidR="00996E63" w:rsidRPr="00606103">
        <w:rPr>
          <w:rFonts w:asciiTheme="majorHAnsi" w:hAnsiTheme="majorHAnsi" w:cstheme="majorHAnsi"/>
          <w:b/>
          <w:sz w:val="24"/>
          <w:szCs w:val="24"/>
          <w:lang w:val="ro-MD"/>
        </w:rPr>
        <w:t xml:space="preserve">anțelor la plata obligațiilor </w:t>
      </w:r>
      <w:r w:rsidRPr="00606103">
        <w:rPr>
          <w:rFonts w:asciiTheme="majorHAnsi" w:hAnsiTheme="majorHAnsi" w:cstheme="majorHAnsi"/>
          <w:b/>
          <w:sz w:val="24"/>
          <w:szCs w:val="24"/>
          <w:lang w:val="ro-MD"/>
        </w:rPr>
        <w:t>contribuabililor față de BS</w:t>
      </w:r>
      <w:r w:rsidR="00ED2A4B" w:rsidRPr="00606103">
        <w:rPr>
          <w:rFonts w:asciiTheme="majorHAnsi" w:hAnsiTheme="majorHAnsi" w:cstheme="majorHAnsi"/>
          <w:b/>
          <w:sz w:val="24"/>
          <w:szCs w:val="24"/>
          <w:lang w:val="ro-MD"/>
        </w:rPr>
        <w:t xml:space="preserve"> </w:t>
      </w:r>
      <w:r w:rsidRPr="00606103">
        <w:rPr>
          <w:rFonts w:asciiTheme="majorHAnsi" w:hAnsiTheme="majorHAnsi" w:cstheme="majorHAnsi"/>
          <w:b/>
          <w:sz w:val="24"/>
          <w:szCs w:val="24"/>
          <w:lang w:val="ro-MD"/>
        </w:rPr>
        <w:t>pentru an</w:t>
      </w:r>
      <w:r w:rsidR="00247823" w:rsidRPr="00606103">
        <w:rPr>
          <w:rFonts w:asciiTheme="majorHAnsi" w:hAnsiTheme="majorHAnsi" w:cstheme="majorHAnsi"/>
          <w:b/>
          <w:sz w:val="24"/>
          <w:szCs w:val="24"/>
          <w:lang w:val="ro-MD"/>
        </w:rPr>
        <w:t>ul 2021</w:t>
      </w:r>
      <w:r w:rsidR="00746633" w:rsidRPr="00606103">
        <w:rPr>
          <w:rFonts w:asciiTheme="majorHAnsi" w:hAnsiTheme="majorHAnsi" w:cstheme="majorHAnsi"/>
          <w:b/>
          <w:sz w:val="24"/>
          <w:szCs w:val="24"/>
          <w:lang w:val="ro-MD"/>
        </w:rPr>
        <w:t>,</w:t>
      </w:r>
      <w:r w:rsidR="00247823" w:rsidRPr="00606103">
        <w:rPr>
          <w:rFonts w:asciiTheme="majorHAnsi" w:hAnsiTheme="majorHAnsi" w:cstheme="majorHAnsi"/>
          <w:b/>
          <w:sz w:val="24"/>
          <w:szCs w:val="24"/>
          <w:lang w:val="ro-MD"/>
        </w:rPr>
        <w:t xml:space="preserve"> </w:t>
      </w:r>
    </w:p>
    <w:p w:rsidR="00247823" w:rsidRPr="00606103" w:rsidRDefault="00746633">
      <w:pPr>
        <w:pStyle w:val="NoSpacing"/>
        <w:spacing w:line="276" w:lineRule="auto"/>
        <w:jc w:val="center"/>
        <w:rPr>
          <w:rFonts w:asciiTheme="majorHAnsi" w:hAnsiTheme="majorHAnsi" w:cstheme="majorHAnsi"/>
          <w:b/>
          <w:sz w:val="24"/>
          <w:szCs w:val="24"/>
          <w:lang w:val="ro-MD"/>
        </w:rPr>
      </w:pPr>
      <w:r w:rsidRPr="00606103">
        <w:rPr>
          <w:rFonts w:asciiTheme="majorHAnsi" w:hAnsiTheme="majorHAnsi" w:cstheme="majorHAnsi"/>
          <w:b/>
          <w:sz w:val="24"/>
          <w:szCs w:val="24"/>
          <w:lang w:val="ro-MD"/>
        </w:rPr>
        <w:t>în comparație cu</w:t>
      </w:r>
      <w:r w:rsidR="00247823" w:rsidRPr="00606103">
        <w:rPr>
          <w:rFonts w:asciiTheme="majorHAnsi" w:hAnsiTheme="majorHAnsi" w:cstheme="majorHAnsi"/>
          <w:b/>
          <w:sz w:val="24"/>
          <w:szCs w:val="24"/>
          <w:lang w:val="ro-MD"/>
        </w:rPr>
        <w:t xml:space="preserve"> anii 2019</w:t>
      </w:r>
      <w:r w:rsidRPr="00606103">
        <w:rPr>
          <w:rFonts w:asciiTheme="majorHAnsi" w:hAnsiTheme="majorHAnsi" w:cstheme="majorHAnsi"/>
          <w:b/>
          <w:sz w:val="24"/>
          <w:szCs w:val="24"/>
          <w:lang w:val="ro-MD"/>
        </w:rPr>
        <w:t xml:space="preserve"> și</w:t>
      </w:r>
      <w:r w:rsidR="00247823" w:rsidRPr="00606103">
        <w:rPr>
          <w:rFonts w:asciiTheme="majorHAnsi" w:hAnsiTheme="majorHAnsi" w:cstheme="majorHAnsi"/>
          <w:b/>
          <w:sz w:val="24"/>
          <w:szCs w:val="24"/>
          <w:lang w:val="ro-MD"/>
        </w:rPr>
        <w:t xml:space="preserve"> 2020</w:t>
      </w:r>
    </w:p>
    <w:p w:rsidR="008325F8" w:rsidRPr="00606103" w:rsidRDefault="000A1CC3">
      <w:pPr>
        <w:pStyle w:val="NoSpacing"/>
        <w:spacing w:line="276" w:lineRule="auto"/>
        <w:jc w:val="right"/>
        <w:rPr>
          <w:rFonts w:asciiTheme="majorHAnsi" w:hAnsiTheme="majorHAnsi" w:cstheme="majorHAnsi"/>
          <w:i/>
          <w:lang w:val="ro-MD"/>
        </w:rPr>
      </w:pPr>
      <w:r w:rsidRPr="00606103">
        <w:rPr>
          <w:rFonts w:asciiTheme="majorHAnsi" w:hAnsiTheme="majorHAnsi" w:cstheme="majorHAnsi"/>
          <w:i/>
          <w:lang w:val="ro-MD"/>
        </w:rPr>
        <w:t xml:space="preserve"> </w:t>
      </w:r>
      <w:r w:rsidR="008325F8" w:rsidRPr="00606103">
        <w:rPr>
          <w:rFonts w:asciiTheme="majorHAnsi" w:hAnsiTheme="majorHAnsi" w:cstheme="majorHAnsi"/>
          <w:i/>
          <w:lang w:val="ro-MD"/>
        </w:rPr>
        <w:t>(mil.lei)</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822"/>
        <w:gridCol w:w="992"/>
        <w:gridCol w:w="8"/>
        <w:gridCol w:w="814"/>
        <w:gridCol w:w="992"/>
        <w:gridCol w:w="12"/>
        <w:gridCol w:w="810"/>
        <w:gridCol w:w="992"/>
        <w:gridCol w:w="1101"/>
        <w:gridCol w:w="1101"/>
      </w:tblGrid>
      <w:tr w:rsidR="008325F8" w:rsidRPr="00606103" w:rsidTr="00247823">
        <w:trPr>
          <w:trHeight w:val="97"/>
          <w:jc w:val="center"/>
        </w:trPr>
        <w:tc>
          <w:tcPr>
            <w:tcW w:w="2161" w:type="dxa"/>
            <w:vMerge w:val="restart"/>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Sumele restante la:</w:t>
            </w:r>
          </w:p>
        </w:tc>
        <w:tc>
          <w:tcPr>
            <w:tcW w:w="1822" w:type="dxa"/>
            <w:gridSpan w:val="3"/>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Anul 2019</w:t>
            </w:r>
          </w:p>
        </w:tc>
        <w:tc>
          <w:tcPr>
            <w:tcW w:w="1818" w:type="dxa"/>
            <w:gridSpan w:val="3"/>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Anul 2020</w:t>
            </w:r>
          </w:p>
        </w:tc>
        <w:tc>
          <w:tcPr>
            <w:tcW w:w="1802" w:type="dxa"/>
            <w:gridSpan w:val="2"/>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Anul 2021</w:t>
            </w:r>
          </w:p>
        </w:tc>
        <w:tc>
          <w:tcPr>
            <w:tcW w:w="2183" w:type="dxa"/>
            <w:gridSpan w:val="2"/>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Devieri (+;-)</w:t>
            </w:r>
          </w:p>
        </w:tc>
      </w:tr>
      <w:tr w:rsidR="008325F8" w:rsidRPr="00606103" w:rsidTr="00247823">
        <w:trPr>
          <w:trHeight w:val="160"/>
          <w:jc w:val="center"/>
        </w:trPr>
        <w:tc>
          <w:tcPr>
            <w:tcW w:w="2161" w:type="dxa"/>
            <w:vMerge/>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p>
        </w:tc>
        <w:tc>
          <w:tcPr>
            <w:tcW w:w="82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BS</w:t>
            </w:r>
          </w:p>
        </w:tc>
        <w:tc>
          <w:tcPr>
            <w:tcW w:w="99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Ponderea</w:t>
            </w:r>
          </w:p>
        </w:tc>
        <w:tc>
          <w:tcPr>
            <w:tcW w:w="822" w:type="dxa"/>
            <w:gridSpan w:val="2"/>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BS</w:t>
            </w:r>
          </w:p>
        </w:tc>
        <w:tc>
          <w:tcPr>
            <w:tcW w:w="99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Ponderea</w:t>
            </w:r>
          </w:p>
        </w:tc>
        <w:tc>
          <w:tcPr>
            <w:tcW w:w="822" w:type="dxa"/>
            <w:gridSpan w:val="2"/>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BS</w:t>
            </w:r>
          </w:p>
        </w:tc>
        <w:tc>
          <w:tcPr>
            <w:tcW w:w="99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Ponderea</w:t>
            </w:r>
          </w:p>
        </w:tc>
        <w:tc>
          <w:tcPr>
            <w:tcW w:w="1101"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2021/2019</w:t>
            </w:r>
          </w:p>
        </w:tc>
        <w:tc>
          <w:tcPr>
            <w:tcW w:w="1082" w:type="dxa"/>
            <w:shd w:val="clear" w:color="auto" w:fill="auto"/>
            <w:noWrap/>
            <w:vAlign w:val="center"/>
            <w:hideMark/>
          </w:tcPr>
          <w:p w:rsidR="008325F8" w:rsidRPr="00606103" w:rsidRDefault="008325F8">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2021/2020</w:t>
            </w:r>
          </w:p>
        </w:tc>
      </w:tr>
      <w:tr w:rsidR="008325F8" w:rsidRPr="00606103" w:rsidTr="00247823">
        <w:trPr>
          <w:trHeight w:val="217"/>
          <w:jc w:val="center"/>
        </w:trPr>
        <w:tc>
          <w:tcPr>
            <w:tcW w:w="2161" w:type="dxa"/>
            <w:shd w:val="clear" w:color="auto" w:fill="auto"/>
            <w:vAlign w:val="center"/>
            <w:hideMark/>
          </w:tcPr>
          <w:p w:rsidR="008325F8" w:rsidRPr="00606103" w:rsidRDefault="008325F8" w:rsidP="00FE3F3B">
            <w:pPr>
              <w:spacing w:after="0" w:line="276" w:lineRule="auto"/>
              <w:jc w:val="center"/>
              <w:rPr>
                <w:rFonts w:asciiTheme="majorHAnsi" w:eastAsia="Times New Roman" w:hAnsiTheme="majorHAnsi" w:cstheme="majorHAnsi"/>
                <w:i/>
                <w:iCs/>
                <w:color w:val="000000"/>
                <w:sz w:val="16"/>
                <w:szCs w:val="20"/>
                <w:lang w:val="ro-MD" w:eastAsia="ro-RO"/>
              </w:rPr>
            </w:pPr>
            <w:r w:rsidRPr="00606103">
              <w:rPr>
                <w:rFonts w:asciiTheme="majorHAnsi" w:eastAsia="Times New Roman" w:hAnsiTheme="majorHAnsi" w:cstheme="majorHAnsi"/>
                <w:i/>
                <w:iCs/>
                <w:color w:val="000000"/>
                <w:sz w:val="16"/>
                <w:szCs w:val="20"/>
                <w:lang w:val="ro-MD" w:eastAsia="ro-RO"/>
              </w:rPr>
              <w:t>1</w:t>
            </w:r>
          </w:p>
        </w:tc>
        <w:tc>
          <w:tcPr>
            <w:tcW w:w="82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16"/>
                <w:szCs w:val="20"/>
                <w:lang w:val="ro-MD" w:eastAsia="ro-RO"/>
              </w:rPr>
            </w:pPr>
            <w:r w:rsidRPr="00606103">
              <w:rPr>
                <w:rFonts w:asciiTheme="majorHAnsi" w:eastAsia="Times New Roman" w:hAnsiTheme="majorHAnsi" w:cstheme="majorHAnsi"/>
                <w:i/>
                <w:iCs/>
                <w:color w:val="000000"/>
                <w:sz w:val="16"/>
                <w:szCs w:val="20"/>
                <w:lang w:val="ro-MD" w:eastAsia="ro-RO"/>
              </w:rPr>
              <w:t>2</w:t>
            </w:r>
          </w:p>
        </w:tc>
        <w:tc>
          <w:tcPr>
            <w:tcW w:w="992" w:type="dxa"/>
            <w:shd w:val="clear" w:color="auto" w:fill="auto"/>
            <w:noWrap/>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16"/>
                <w:szCs w:val="20"/>
                <w:lang w:val="ro-MD" w:eastAsia="ro-RO"/>
              </w:rPr>
            </w:pPr>
            <w:r w:rsidRPr="00606103">
              <w:rPr>
                <w:rFonts w:asciiTheme="majorHAnsi" w:eastAsia="Times New Roman" w:hAnsiTheme="majorHAnsi" w:cstheme="majorHAnsi"/>
                <w:i/>
                <w:iCs/>
                <w:color w:val="000000"/>
                <w:sz w:val="16"/>
                <w:szCs w:val="20"/>
                <w:lang w:val="ro-MD" w:eastAsia="ro-RO"/>
              </w:rPr>
              <w:t>3</w:t>
            </w:r>
          </w:p>
        </w:tc>
        <w:tc>
          <w:tcPr>
            <w:tcW w:w="822" w:type="dxa"/>
            <w:gridSpan w:val="2"/>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16"/>
                <w:szCs w:val="20"/>
                <w:lang w:val="ro-MD" w:eastAsia="ro-RO"/>
              </w:rPr>
            </w:pPr>
            <w:r w:rsidRPr="00606103">
              <w:rPr>
                <w:rFonts w:asciiTheme="majorHAnsi" w:eastAsia="Times New Roman" w:hAnsiTheme="majorHAnsi" w:cstheme="majorHAnsi"/>
                <w:i/>
                <w:iCs/>
                <w:color w:val="000000"/>
                <w:sz w:val="16"/>
                <w:szCs w:val="20"/>
                <w:lang w:val="ro-MD" w:eastAsia="ro-RO"/>
              </w:rPr>
              <w:t>4</w:t>
            </w:r>
          </w:p>
        </w:tc>
        <w:tc>
          <w:tcPr>
            <w:tcW w:w="99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16"/>
                <w:szCs w:val="20"/>
                <w:lang w:val="ro-MD" w:eastAsia="ro-RO"/>
              </w:rPr>
            </w:pPr>
            <w:r w:rsidRPr="00606103">
              <w:rPr>
                <w:rFonts w:asciiTheme="majorHAnsi" w:eastAsia="Times New Roman" w:hAnsiTheme="majorHAnsi" w:cstheme="majorHAnsi"/>
                <w:i/>
                <w:iCs/>
                <w:color w:val="000000"/>
                <w:sz w:val="16"/>
                <w:szCs w:val="20"/>
                <w:lang w:val="ro-MD" w:eastAsia="ro-RO"/>
              </w:rPr>
              <w:t>5</w:t>
            </w:r>
          </w:p>
        </w:tc>
        <w:tc>
          <w:tcPr>
            <w:tcW w:w="822" w:type="dxa"/>
            <w:gridSpan w:val="2"/>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16"/>
                <w:szCs w:val="20"/>
                <w:lang w:val="ro-MD" w:eastAsia="ro-RO"/>
              </w:rPr>
            </w:pPr>
            <w:r w:rsidRPr="00606103">
              <w:rPr>
                <w:rFonts w:asciiTheme="majorHAnsi" w:eastAsia="Times New Roman" w:hAnsiTheme="majorHAnsi" w:cstheme="majorHAnsi"/>
                <w:i/>
                <w:iCs/>
                <w:color w:val="000000"/>
                <w:sz w:val="16"/>
                <w:szCs w:val="20"/>
                <w:lang w:val="ro-MD" w:eastAsia="ro-RO"/>
              </w:rPr>
              <w:t>6</w:t>
            </w:r>
          </w:p>
        </w:tc>
        <w:tc>
          <w:tcPr>
            <w:tcW w:w="99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16"/>
                <w:szCs w:val="20"/>
                <w:lang w:val="ro-MD" w:eastAsia="ro-RO"/>
              </w:rPr>
            </w:pPr>
            <w:r w:rsidRPr="00606103">
              <w:rPr>
                <w:rFonts w:asciiTheme="majorHAnsi" w:eastAsia="Times New Roman" w:hAnsiTheme="majorHAnsi" w:cstheme="majorHAnsi"/>
                <w:i/>
                <w:iCs/>
                <w:color w:val="000000"/>
                <w:sz w:val="16"/>
                <w:szCs w:val="20"/>
                <w:lang w:val="ro-MD" w:eastAsia="ro-RO"/>
              </w:rPr>
              <w:t>7</w:t>
            </w:r>
          </w:p>
        </w:tc>
        <w:tc>
          <w:tcPr>
            <w:tcW w:w="1101"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16"/>
                <w:szCs w:val="20"/>
                <w:lang w:val="ro-MD" w:eastAsia="ro-RO"/>
              </w:rPr>
            </w:pPr>
            <w:r w:rsidRPr="00606103">
              <w:rPr>
                <w:rFonts w:asciiTheme="majorHAnsi" w:eastAsia="Times New Roman" w:hAnsiTheme="majorHAnsi" w:cstheme="majorHAnsi"/>
                <w:i/>
                <w:iCs/>
                <w:color w:val="000000"/>
                <w:sz w:val="16"/>
                <w:szCs w:val="20"/>
                <w:lang w:val="ro-MD" w:eastAsia="ro-RO"/>
              </w:rPr>
              <w:t>8=6-2</w:t>
            </w:r>
          </w:p>
        </w:tc>
        <w:tc>
          <w:tcPr>
            <w:tcW w:w="1082" w:type="dxa"/>
            <w:shd w:val="clear" w:color="auto" w:fill="auto"/>
            <w:noWrap/>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16"/>
                <w:szCs w:val="20"/>
                <w:lang w:val="ro-MD" w:eastAsia="ro-RO"/>
              </w:rPr>
            </w:pPr>
            <w:r w:rsidRPr="00606103">
              <w:rPr>
                <w:rFonts w:asciiTheme="majorHAnsi" w:eastAsia="Times New Roman" w:hAnsiTheme="majorHAnsi" w:cstheme="majorHAnsi"/>
                <w:i/>
                <w:iCs/>
                <w:color w:val="000000"/>
                <w:sz w:val="16"/>
                <w:szCs w:val="20"/>
                <w:lang w:val="ro-MD" w:eastAsia="ro-RO"/>
              </w:rPr>
              <w:t>8=6-4</w:t>
            </w:r>
          </w:p>
        </w:tc>
      </w:tr>
      <w:tr w:rsidR="008325F8" w:rsidRPr="00606103" w:rsidTr="00247823">
        <w:trPr>
          <w:trHeight w:val="276"/>
          <w:jc w:val="center"/>
        </w:trPr>
        <w:tc>
          <w:tcPr>
            <w:tcW w:w="9786" w:type="dxa"/>
            <w:gridSpan w:val="11"/>
            <w:shd w:val="clear" w:color="000000" w:fill="D6DCE4"/>
            <w:vAlign w:val="center"/>
            <w:hideMark/>
          </w:tcPr>
          <w:p w:rsidR="008325F8" w:rsidRPr="00606103" w:rsidRDefault="008325F8" w:rsidP="00FE3F3B">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SERVICIUL FISCAL DE STAT</w:t>
            </w:r>
          </w:p>
        </w:tc>
      </w:tr>
      <w:tr w:rsidR="008325F8" w:rsidRPr="00606103" w:rsidTr="00247823">
        <w:trPr>
          <w:trHeight w:val="276"/>
          <w:jc w:val="center"/>
        </w:trPr>
        <w:tc>
          <w:tcPr>
            <w:tcW w:w="2161" w:type="dxa"/>
            <w:shd w:val="clear" w:color="auto" w:fill="auto"/>
            <w:noWrap/>
            <w:vAlign w:val="center"/>
            <w:hideMark/>
          </w:tcPr>
          <w:p w:rsidR="008325F8" w:rsidRPr="00606103" w:rsidRDefault="008325F8" w:rsidP="00FE3F3B">
            <w:pPr>
              <w:spacing w:after="0" w:line="276" w:lineRule="auto"/>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Plăți de bază</w:t>
            </w:r>
          </w:p>
        </w:tc>
        <w:tc>
          <w:tcPr>
            <w:tcW w:w="82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425,7</w:t>
            </w:r>
          </w:p>
        </w:tc>
        <w:tc>
          <w:tcPr>
            <w:tcW w:w="99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53,1</w:t>
            </w:r>
          </w:p>
        </w:tc>
        <w:tc>
          <w:tcPr>
            <w:tcW w:w="822" w:type="dxa"/>
            <w:gridSpan w:val="2"/>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536,4</w:t>
            </w:r>
          </w:p>
        </w:tc>
        <w:tc>
          <w:tcPr>
            <w:tcW w:w="99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54,4</w:t>
            </w:r>
          </w:p>
        </w:tc>
        <w:tc>
          <w:tcPr>
            <w:tcW w:w="822" w:type="dxa"/>
            <w:gridSpan w:val="2"/>
            <w:shd w:val="clear" w:color="000000" w:fill="FFFFFF"/>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835,7</w:t>
            </w:r>
          </w:p>
        </w:tc>
        <w:tc>
          <w:tcPr>
            <w:tcW w:w="992" w:type="dxa"/>
            <w:shd w:val="clear" w:color="auto" w:fill="auto"/>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52,8</w:t>
            </w:r>
          </w:p>
        </w:tc>
        <w:tc>
          <w:tcPr>
            <w:tcW w:w="1101" w:type="dxa"/>
            <w:shd w:val="clear" w:color="auto" w:fill="auto"/>
            <w:vAlign w:val="center"/>
          </w:tcPr>
          <w:p w:rsidR="008325F8" w:rsidRPr="00606103" w:rsidRDefault="00663F3C">
            <w:pPr>
              <w:spacing w:after="0" w:line="276" w:lineRule="auto"/>
              <w:jc w:val="center"/>
              <w:rPr>
                <w:rFonts w:asciiTheme="majorHAnsi" w:eastAsia="Times New Roman" w:hAnsiTheme="majorHAnsi" w:cstheme="majorHAnsi"/>
                <w:i/>
                <w:iCs/>
                <w:color w:val="000000"/>
                <w:sz w:val="20"/>
                <w:szCs w:val="20"/>
                <w:lang w:val="ro-MD" w:eastAsia="ro-RO"/>
              </w:rPr>
            </w:pPr>
            <w:r>
              <w:rPr>
                <w:rFonts w:asciiTheme="majorHAnsi" w:eastAsia="Times New Roman" w:hAnsiTheme="majorHAnsi" w:cstheme="majorHAnsi"/>
                <w:i/>
                <w:iCs/>
                <w:color w:val="000000"/>
                <w:sz w:val="20"/>
                <w:szCs w:val="20"/>
                <w:lang w:val="ro-MD" w:eastAsia="ro-RO"/>
              </w:rPr>
              <w:t>410,0</w:t>
            </w:r>
          </w:p>
        </w:tc>
        <w:tc>
          <w:tcPr>
            <w:tcW w:w="1082" w:type="dxa"/>
            <w:shd w:val="clear" w:color="auto" w:fill="auto"/>
            <w:vAlign w:val="center"/>
          </w:tcPr>
          <w:p w:rsidR="008325F8" w:rsidRPr="00606103" w:rsidRDefault="00663F3C">
            <w:pPr>
              <w:spacing w:after="0" w:line="276" w:lineRule="auto"/>
              <w:jc w:val="center"/>
              <w:rPr>
                <w:rFonts w:asciiTheme="majorHAnsi" w:eastAsia="Times New Roman" w:hAnsiTheme="majorHAnsi" w:cstheme="majorHAnsi"/>
                <w:i/>
                <w:iCs/>
                <w:color w:val="000000"/>
                <w:sz w:val="20"/>
                <w:szCs w:val="20"/>
                <w:lang w:val="ro-MD" w:eastAsia="ro-RO"/>
              </w:rPr>
            </w:pPr>
            <w:r>
              <w:rPr>
                <w:rFonts w:asciiTheme="majorHAnsi" w:eastAsia="Times New Roman" w:hAnsiTheme="majorHAnsi" w:cstheme="majorHAnsi"/>
                <w:i/>
                <w:iCs/>
                <w:color w:val="000000"/>
                <w:sz w:val="20"/>
                <w:szCs w:val="20"/>
                <w:lang w:val="ro-MD" w:eastAsia="ro-RO"/>
              </w:rPr>
              <w:t>299,3</w:t>
            </w:r>
          </w:p>
        </w:tc>
      </w:tr>
      <w:tr w:rsidR="008325F8" w:rsidRPr="00606103" w:rsidTr="00247823">
        <w:trPr>
          <w:trHeight w:val="276"/>
          <w:jc w:val="center"/>
        </w:trPr>
        <w:tc>
          <w:tcPr>
            <w:tcW w:w="2161" w:type="dxa"/>
            <w:shd w:val="clear" w:color="auto" w:fill="auto"/>
            <w:vAlign w:val="center"/>
            <w:hideMark/>
          </w:tcPr>
          <w:p w:rsidR="008325F8" w:rsidRPr="00606103" w:rsidRDefault="008325F8" w:rsidP="00FE3F3B">
            <w:pPr>
              <w:spacing w:after="0" w:line="276" w:lineRule="auto"/>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Majorare de întârziere</w:t>
            </w:r>
          </w:p>
        </w:tc>
        <w:tc>
          <w:tcPr>
            <w:tcW w:w="82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212,9</w:t>
            </w:r>
          </w:p>
        </w:tc>
        <w:tc>
          <w:tcPr>
            <w:tcW w:w="99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26,5</w:t>
            </w:r>
          </w:p>
        </w:tc>
        <w:tc>
          <w:tcPr>
            <w:tcW w:w="822" w:type="dxa"/>
            <w:gridSpan w:val="2"/>
            <w:shd w:val="clear" w:color="auto" w:fill="auto"/>
            <w:vAlign w:val="center"/>
            <w:hideMark/>
          </w:tcPr>
          <w:p w:rsidR="008325F8" w:rsidRPr="00606103" w:rsidRDefault="00632512">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260,7</w:t>
            </w:r>
          </w:p>
        </w:tc>
        <w:tc>
          <w:tcPr>
            <w:tcW w:w="992" w:type="dxa"/>
            <w:shd w:val="clear" w:color="auto" w:fill="auto"/>
            <w:vAlign w:val="center"/>
            <w:hideMark/>
          </w:tcPr>
          <w:p w:rsidR="008325F8" w:rsidRPr="00606103" w:rsidRDefault="00632512">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26,4</w:t>
            </w:r>
          </w:p>
        </w:tc>
        <w:tc>
          <w:tcPr>
            <w:tcW w:w="822" w:type="dxa"/>
            <w:gridSpan w:val="2"/>
            <w:shd w:val="clear" w:color="auto" w:fill="auto"/>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448,0</w:t>
            </w:r>
          </w:p>
        </w:tc>
        <w:tc>
          <w:tcPr>
            <w:tcW w:w="992" w:type="dxa"/>
            <w:shd w:val="clear" w:color="auto" w:fill="auto"/>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28,3</w:t>
            </w:r>
          </w:p>
        </w:tc>
        <w:tc>
          <w:tcPr>
            <w:tcW w:w="1101" w:type="dxa"/>
            <w:shd w:val="clear" w:color="auto" w:fill="auto"/>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235,1</w:t>
            </w:r>
          </w:p>
        </w:tc>
        <w:tc>
          <w:tcPr>
            <w:tcW w:w="1082" w:type="dxa"/>
            <w:shd w:val="clear" w:color="auto" w:fill="auto"/>
            <w:vAlign w:val="center"/>
          </w:tcPr>
          <w:p w:rsidR="008325F8" w:rsidRPr="00606103" w:rsidRDefault="00632512">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187,3</w:t>
            </w:r>
          </w:p>
        </w:tc>
      </w:tr>
      <w:tr w:rsidR="008325F8" w:rsidRPr="00606103" w:rsidTr="00247823">
        <w:trPr>
          <w:trHeight w:val="276"/>
          <w:jc w:val="center"/>
        </w:trPr>
        <w:tc>
          <w:tcPr>
            <w:tcW w:w="2161" w:type="dxa"/>
            <w:shd w:val="clear" w:color="auto" w:fill="auto"/>
            <w:noWrap/>
            <w:vAlign w:val="center"/>
            <w:hideMark/>
          </w:tcPr>
          <w:p w:rsidR="008325F8" w:rsidRPr="00606103" w:rsidRDefault="008325F8" w:rsidP="00FE3F3B">
            <w:pPr>
              <w:spacing w:after="0" w:line="276" w:lineRule="auto"/>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Amenzi</w:t>
            </w:r>
          </w:p>
        </w:tc>
        <w:tc>
          <w:tcPr>
            <w:tcW w:w="82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163,5</w:t>
            </w:r>
          </w:p>
        </w:tc>
        <w:tc>
          <w:tcPr>
            <w:tcW w:w="992" w:type="dxa"/>
            <w:shd w:val="clear" w:color="auto" w:fill="auto"/>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20,4</w:t>
            </w:r>
          </w:p>
        </w:tc>
        <w:tc>
          <w:tcPr>
            <w:tcW w:w="822" w:type="dxa"/>
            <w:gridSpan w:val="2"/>
            <w:shd w:val="clear" w:color="auto" w:fill="auto"/>
            <w:vAlign w:val="center"/>
            <w:hideMark/>
          </w:tcPr>
          <w:p w:rsidR="008325F8" w:rsidRPr="00606103" w:rsidRDefault="00632512">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189,1</w:t>
            </w:r>
          </w:p>
        </w:tc>
        <w:tc>
          <w:tcPr>
            <w:tcW w:w="992" w:type="dxa"/>
            <w:shd w:val="clear" w:color="auto" w:fill="auto"/>
            <w:vAlign w:val="center"/>
            <w:hideMark/>
          </w:tcPr>
          <w:p w:rsidR="008325F8" w:rsidRPr="00606103" w:rsidRDefault="00632512">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19,2</w:t>
            </w:r>
          </w:p>
        </w:tc>
        <w:tc>
          <w:tcPr>
            <w:tcW w:w="822" w:type="dxa"/>
            <w:gridSpan w:val="2"/>
            <w:shd w:val="clear" w:color="auto" w:fill="auto"/>
            <w:vAlign w:val="center"/>
          </w:tcPr>
          <w:p w:rsidR="008325F8" w:rsidRPr="00606103" w:rsidRDefault="00663F3C">
            <w:pPr>
              <w:spacing w:after="0" w:line="276" w:lineRule="auto"/>
              <w:jc w:val="center"/>
              <w:rPr>
                <w:rFonts w:asciiTheme="majorHAnsi" w:eastAsia="Times New Roman" w:hAnsiTheme="majorHAnsi" w:cstheme="majorHAnsi"/>
                <w:i/>
                <w:iCs/>
                <w:color w:val="000000"/>
                <w:sz w:val="20"/>
                <w:szCs w:val="20"/>
                <w:lang w:val="ro-MD" w:eastAsia="ro-RO"/>
              </w:rPr>
            </w:pPr>
            <w:r>
              <w:rPr>
                <w:rFonts w:asciiTheme="majorHAnsi" w:eastAsia="Times New Roman" w:hAnsiTheme="majorHAnsi" w:cstheme="majorHAnsi"/>
                <w:i/>
                <w:iCs/>
                <w:color w:val="000000"/>
                <w:sz w:val="20"/>
                <w:szCs w:val="20"/>
                <w:lang w:val="ro-MD" w:eastAsia="ro-RO"/>
              </w:rPr>
              <w:t>299,7</w:t>
            </w:r>
          </w:p>
        </w:tc>
        <w:tc>
          <w:tcPr>
            <w:tcW w:w="992" w:type="dxa"/>
            <w:shd w:val="clear" w:color="auto" w:fill="auto"/>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18,9</w:t>
            </w:r>
          </w:p>
        </w:tc>
        <w:tc>
          <w:tcPr>
            <w:tcW w:w="1101" w:type="dxa"/>
            <w:shd w:val="clear" w:color="auto" w:fill="auto"/>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136,1</w:t>
            </w:r>
          </w:p>
        </w:tc>
        <w:tc>
          <w:tcPr>
            <w:tcW w:w="1082" w:type="dxa"/>
            <w:shd w:val="clear" w:color="auto" w:fill="auto"/>
            <w:vAlign w:val="center"/>
          </w:tcPr>
          <w:p w:rsidR="008325F8" w:rsidRPr="00606103" w:rsidRDefault="00663F3C">
            <w:pPr>
              <w:spacing w:after="0" w:line="276" w:lineRule="auto"/>
              <w:jc w:val="center"/>
              <w:rPr>
                <w:rFonts w:asciiTheme="majorHAnsi" w:eastAsia="Times New Roman" w:hAnsiTheme="majorHAnsi" w:cstheme="majorHAnsi"/>
                <w:i/>
                <w:iCs/>
                <w:color w:val="000000"/>
                <w:sz w:val="20"/>
                <w:szCs w:val="20"/>
                <w:lang w:val="ro-MD" w:eastAsia="ro-RO"/>
              </w:rPr>
            </w:pPr>
            <w:r>
              <w:rPr>
                <w:rFonts w:asciiTheme="majorHAnsi" w:eastAsia="Times New Roman" w:hAnsiTheme="majorHAnsi" w:cstheme="majorHAnsi"/>
                <w:i/>
                <w:iCs/>
                <w:color w:val="000000"/>
                <w:sz w:val="20"/>
                <w:szCs w:val="20"/>
                <w:lang w:val="ro-MD" w:eastAsia="ro-RO"/>
              </w:rPr>
              <w:t>110,6</w:t>
            </w:r>
          </w:p>
        </w:tc>
      </w:tr>
      <w:tr w:rsidR="008325F8" w:rsidRPr="00606103" w:rsidTr="00247823">
        <w:trPr>
          <w:trHeight w:val="276"/>
          <w:jc w:val="center"/>
        </w:trPr>
        <w:tc>
          <w:tcPr>
            <w:tcW w:w="2161" w:type="dxa"/>
            <w:shd w:val="clear" w:color="000000" w:fill="D0CECE"/>
            <w:noWrap/>
            <w:vAlign w:val="center"/>
            <w:hideMark/>
          </w:tcPr>
          <w:p w:rsidR="008325F8" w:rsidRPr="00606103" w:rsidRDefault="008325F8" w:rsidP="00FE3F3B">
            <w:pPr>
              <w:spacing w:after="0" w:line="276" w:lineRule="auto"/>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Total restanțe</w:t>
            </w:r>
          </w:p>
        </w:tc>
        <w:tc>
          <w:tcPr>
            <w:tcW w:w="822" w:type="dxa"/>
            <w:shd w:val="clear" w:color="000000" w:fill="D0CECE"/>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802,1</w:t>
            </w:r>
          </w:p>
        </w:tc>
        <w:tc>
          <w:tcPr>
            <w:tcW w:w="992" w:type="dxa"/>
            <w:shd w:val="clear" w:color="000000" w:fill="D0CECE"/>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100,0</w:t>
            </w:r>
          </w:p>
        </w:tc>
        <w:tc>
          <w:tcPr>
            <w:tcW w:w="822" w:type="dxa"/>
            <w:gridSpan w:val="2"/>
            <w:shd w:val="clear" w:color="000000" w:fill="D0CECE"/>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986,2</w:t>
            </w:r>
          </w:p>
        </w:tc>
        <w:tc>
          <w:tcPr>
            <w:tcW w:w="992" w:type="dxa"/>
            <w:shd w:val="clear" w:color="000000" w:fill="D0CECE"/>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100,0</w:t>
            </w:r>
          </w:p>
        </w:tc>
        <w:tc>
          <w:tcPr>
            <w:tcW w:w="822" w:type="dxa"/>
            <w:gridSpan w:val="2"/>
            <w:shd w:val="clear" w:color="000000" w:fill="D0CECE"/>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1.583,4</w:t>
            </w:r>
          </w:p>
        </w:tc>
        <w:tc>
          <w:tcPr>
            <w:tcW w:w="992" w:type="dxa"/>
            <w:shd w:val="clear" w:color="000000" w:fill="D0CECE"/>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100,0</w:t>
            </w:r>
          </w:p>
        </w:tc>
        <w:tc>
          <w:tcPr>
            <w:tcW w:w="1101" w:type="dxa"/>
            <w:shd w:val="clear" w:color="000000" w:fill="D0CECE"/>
            <w:vAlign w:val="center"/>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781,3</w:t>
            </w:r>
          </w:p>
        </w:tc>
        <w:tc>
          <w:tcPr>
            <w:tcW w:w="1082" w:type="dxa"/>
            <w:shd w:val="clear" w:color="000000" w:fill="D0CECE"/>
            <w:vAlign w:val="center"/>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597,2</w:t>
            </w:r>
          </w:p>
        </w:tc>
      </w:tr>
      <w:tr w:rsidR="008325F8" w:rsidRPr="00606103" w:rsidTr="00247823">
        <w:trPr>
          <w:trHeight w:val="276"/>
          <w:jc w:val="center"/>
        </w:trPr>
        <w:tc>
          <w:tcPr>
            <w:tcW w:w="9786" w:type="dxa"/>
            <w:gridSpan w:val="11"/>
            <w:shd w:val="clear" w:color="000000" w:fill="D6DCE4"/>
            <w:vAlign w:val="center"/>
            <w:hideMark/>
          </w:tcPr>
          <w:p w:rsidR="008325F8" w:rsidRPr="00606103" w:rsidRDefault="008325F8" w:rsidP="00FE3F3B">
            <w:pPr>
              <w:spacing w:after="0" w:line="276" w:lineRule="auto"/>
              <w:jc w:val="center"/>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SERVICIUL VAMAL</w:t>
            </w:r>
          </w:p>
        </w:tc>
      </w:tr>
      <w:tr w:rsidR="008325F8" w:rsidRPr="00606103" w:rsidTr="00247823">
        <w:trPr>
          <w:trHeight w:val="276"/>
          <w:jc w:val="center"/>
        </w:trPr>
        <w:tc>
          <w:tcPr>
            <w:tcW w:w="2161" w:type="dxa"/>
            <w:shd w:val="clear" w:color="000000" w:fill="FFFFFF"/>
            <w:noWrap/>
            <w:vAlign w:val="center"/>
            <w:hideMark/>
          </w:tcPr>
          <w:p w:rsidR="008325F8" w:rsidRPr="00606103" w:rsidRDefault="008325F8" w:rsidP="00FE3F3B">
            <w:pPr>
              <w:spacing w:after="0" w:line="276" w:lineRule="auto"/>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Plăți de bază</w:t>
            </w:r>
          </w:p>
        </w:tc>
        <w:tc>
          <w:tcPr>
            <w:tcW w:w="822" w:type="dxa"/>
            <w:shd w:val="clear" w:color="000000" w:fill="FFFFFF"/>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265,1</w:t>
            </w:r>
          </w:p>
        </w:tc>
        <w:tc>
          <w:tcPr>
            <w:tcW w:w="992" w:type="dxa"/>
            <w:shd w:val="clear" w:color="000000" w:fill="FFFFFF"/>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58,0</w:t>
            </w:r>
          </w:p>
        </w:tc>
        <w:tc>
          <w:tcPr>
            <w:tcW w:w="822" w:type="dxa"/>
            <w:gridSpan w:val="2"/>
            <w:shd w:val="clear" w:color="000000" w:fill="FFFFFF"/>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231,8</w:t>
            </w:r>
          </w:p>
        </w:tc>
        <w:tc>
          <w:tcPr>
            <w:tcW w:w="992" w:type="dxa"/>
            <w:shd w:val="clear" w:color="000000" w:fill="FFFFFF"/>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58,1</w:t>
            </w:r>
          </w:p>
        </w:tc>
        <w:tc>
          <w:tcPr>
            <w:tcW w:w="822" w:type="dxa"/>
            <w:gridSpan w:val="2"/>
            <w:shd w:val="clear" w:color="000000" w:fill="FFFFFF"/>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192,8</w:t>
            </w:r>
          </w:p>
        </w:tc>
        <w:tc>
          <w:tcPr>
            <w:tcW w:w="992" w:type="dxa"/>
            <w:shd w:val="clear" w:color="000000" w:fill="FFFFFF"/>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56,1</w:t>
            </w:r>
          </w:p>
        </w:tc>
        <w:tc>
          <w:tcPr>
            <w:tcW w:w="1101" w:type="dxa"/>
            <w:shd w:val="clear" w:color="000000" w:fill="FFFFFF"/>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-72,3</w:t>
            </w:r>
          </w:p>
        </w:tc>
        <w:tc>
          <w:tcPr>
            <w:tcW w:w="1082" w:type="dxa"/>
            <w:shd w:val="clear" w:color="000000" w:fill="FFFFFF"/>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-39,0</w:t>
            </w:r>
          </w:p>
        </w:tc>
      </w:tr>
      <w:tr w:rsidR="008325F8" w:rsidRPr="00606103" w:rsidTr="00247823">
        <w:trPr>
          <w:trHeight w:val="276"/>
          <w:jc w:val="center"/>
        </w:trPr>
        <w:tc>
          <w:tcPr>
            <w:tcW w:w="2161" w:type="dxa"/>
            <w:shd w:val="clear" w:color="000000" w:fill="FFFFFF"/>
            <w:noWrap/>
            <w:vAlign w:val="center"/>
            <w:hideMark/>
          </w:tcPr>
          <w:p w:rsidR="008325F8" w:rsidRPr="00606103" w:rsidRDefault="008325F8" w:rsidP="00FE3F3B">
            <w:pPr>
              <w:spacing w:after="0" w:line="276" w:lineRule="auto"/>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Majorare de întârziere</w:t>
            </w:r>
          </w:p>
        </w:tc>
        <w:tc>
          <w:tcPr>
            <w:tcW w:w="822" w:type="dxa"/>
            <w:shd w:val="clear" w:color="000000" w:fill="FFFFFF"/>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134,6</w:t>
            </w:r>
          </w:p>
        </w:tc>
        <w:tc>
          <w:tcPr>
            <w:tcW w:w="992" w:type="dxa"/>
            <w:shd w:val="clear" w:color="000000" w:fill="FFFFFF"/>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29,5</w:t>
            </w:r>
          </w:p>
        </w:tc>
        <w:tc>
          <w:tcPr>
            <w:tcW w:w="822" w:type="dxa"/>
            <w:gridSpan w:val="2"/>
            <w:shd w:val="clear" w:color="000000" w:fill="FFFFFF"/>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107,2</w:t>
            </w:r>
          </w:p>
        </w:tc>
        <w:tc>
          <w:tcPr>
            <w:tcW w:w="992" w:type="dxa"/>
            <w:shd w:val="clear" w:color="000000" w:fill="FFFFFF"/>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26,9</w:t>
            </w:r>
          </w:p>
        </w:tc>
        <w:tc>
          <w:tcPr>
            <w:tcW w:w="822" w:type="dxa"/>
            <w:gridSpan w:val="2"/>
            <w:shd w:val="clear" w:color="000000" w:fill="FFFFFF"/>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88,9</w:t>
            </w:r>
          </w:p>
        </w:tc>
        <w:tc>
          <w:tcPr>
            <w:tcW w:w="992" w:type="dxa"/>
            <w:shd w:val="clear" w:color="000000" w:fill="FFFFFF"/>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25,8</w:t>
            </w:r>
          </w:p>
        </w:tc>
        <w:tc>
          <w:tcPr>
            <w:tcW w:w="1101" w:type="dxa"/>
            <w:shd w:val="clear" w:color="000000" w:fill="FFFFFF"/>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-45,7</w:t>
            </w:r>
          </w:p>
        </w:tc>
        <w:tc>
          <w:tcPr>
            <w:tcW w:w="1082" w:type="dxa"/>
            <w:shd w:val="clear" w:color="000000" w:fill="FFFFFF"/>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-18,3</w:t>
            </w:r>
          </w:p>
        </w:tc>
      </w:tr>
      <w:tr w:rsidR="008325F8" w:rsidRPr="00606103" w:rsidTr="00247823">
        <w:trPr>
          <w:trHeight w:val="276"/>
          <w:jc w:val="center"/>
        </w:trPr>
        <w:tc>
          <w:tcPr>
            <w:tcW w:w="2161" w:type="dxa"/>
            <w:shd w:val="clear" w:color="000000" w:fill="FFFFFF"/>
            <w:noWrap/>
            <w:vAlign w:val="center"/>
            <w:hideMark/>
          </w:tcPr>
          <w:p w:rsidR="008325F8" w:rsidRPr="00606103" w:rsidRDefault="008325F8" w:rsidP="00FE3F3B">
            <w:pPr>
              <w:spacing w:after="0" w:line="276" w:lineRule="auto"/>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Amenzi</w:t>
            </w:r>
          </w:p>
        </w:tc>
        <w:tc>
          <w:tcPr>
            <w:tcW w:w="822" w:type="dxa"/>
            <w:shd w:val="clear" w:color="000000" w:fill="FFFFFF"/>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57,3</w:t>
            </w:r>
          </w:p>
        </w:tc>
        <w:tc>
          <w:tcPr>
            <w:tcW w:w="992" w:type="dxa"/>
            <w:shd w:val="clear" w:color="000000" w:fill="FFFFFF"/>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12,5</w:t>
            </w:r>
          </w:p>
        </w:tc>
        <w:tc>
          <w:tcPr>
            <w:tcW w:w="822" w:type="dxa"/>
            <w:gridSpan w:val="2"/>
            <w:shd w:val="clear" w:color="000000" w:fill="FFFFFF"/>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60,2</w:t>
            </w:r>
          </w:p>
        </w:tc>
        <w:tc>
          <w:tcPr>
            <w:tcW w:w="992" w:type="dxa"/>
            <w:shd w:val="clear" w:color="000000" w:fill="FFFFFF"/>
            <w:vAlign w:val="center"/>
            <w:hideMark/>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15,1</w:t>
            </w:r>
          </w:p>
        </w:tc>
        <w:tc>
          <w:tcPr>
            <w:tcW w:w="822" w:type="dxa"/>
            <w:gridSpan w:val="2"/>
            <w:shd w:val="clear" w:color="000000" w:fill="FFFFFF"/>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62,3</w:t>
            </w:r>
          </w:p>
        </w:tc>
        <w:tc>
          <w:tcPr>
            <w:tcW w:w="992" w:type="dxa"/>
            <w:shd w:val="clear" w:color="000000" w:fill="FFFFFF"/>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18,1</w:t>
            </w:r>
          </w:p>
        </w:tc>
        <w:tc>
          <w:tcPr>
            <w:tcW w:w="1101" w:type="dxa"/>
            <w:shd w:val="clear" w:color="000000" w:fill="FFFFFF"/>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5,0</w:t>
            </w:r>
          </w:p>
        </w:tc>
        <w:tc>
          <w:tcPr>
            <w:tcW w:w="1082" w:type="dxa"/>
            <w:shd w:val="clear" w:color="000000" w:fill="FFFFFF"/>
            <w:vAlign w:val="center"/>
          </w:tcPr>
          <w:p w:rsidR="008325F8" w:rsidRPr="00606103" w:rsidRDefault="008325F8">
            <w:pPr>
              <w:spacing w:after="0" w:line="276" w:lineRule="auto"/>
              <w:jc w:val="center"/>
              <w:rPr>
                <w:rFonts w:asciiTheme="majorHAnsi" w:eastAsia="Times New Roman" w:hAnsiTheme="majorHAnsi" w:cstheme="majorHAnsi"/>
                <w:i/>
                <w:iCs/>
                <w:color w:val="000000"/>
                <w:sz w:val="20"/>
                <w:szCs w:val="20"/>
                <w:lang w:val="ro-MD" w:eastAsia="ro-RO"/>
              </w:rPr>
            </w:pPr>
            <w:r w:rsidRPr="00606103">
              <w:rPr>
                <w:rFonts w:asciiTheme="majorHAnsi" w:eastAsia="Times New Roman" w:hAnsiTheme="majorHAnsi" w:cstheme="majorHAnsi"/>
                <w:i/>
                <w:iCs/>
                <w:color w:val="000000"/>
                <w:sz w:val="20"/>
                <w:szCs w:val="20"/>
                <w:lang w:val="ro-MD" w:eastAsia="ro-RO"/>
              </w:rPr>
              <w:t>2,1</w:t>
            </w:r>
          </w:p>
        </w:tc>
      </w:tr>
      <w:tr w:rsidR="008325F8" w:rsidRPr="00606103" w:rsidTr="00247823">
        <w:trPr>
          <w:trHeight w:val="276"/>
          <w:jc w:val="center"/>
        </w:trPr>
        <w:tc>
          <w:tcPr>
            <w:tcW w:w="2161" w:type="dxa"/>
            <w:shd w:val="clear" w:color="000000" w:fill="D9D9D9"/>
            <w:noWrap/>
            <w:vAlign w:val="center"/>
            <w:hideMark/>
          </w:tcPr>
          <w:p w:rsidR="008325F8" w:rsidRPr="00606103" w:rsidRDefault="008325F8" w:rsidP="00FE3F3B">
            <w:pPr>
              <w:spacing w:after="0" w:line="276" w:lineRule="auto"/>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Total restanțe</w:t>
            </w:r>
          </w:p>
        </w:tc>
        <w:tc>
          <w:tcPr>
            <w:tcW w:w="822" w:type="dxa"/>
            <w:shd w:val="clear" w:color="000000" w:fill="D0CECE"/>
            <w:vAlign w:val="center"/>
            <w:hideMark/>
          </w:tcPr>
          <w:p w:rsidR="008325F8" w:rsidRPr="00606103" w:rsidRDefault="00663F3C">
            <w:pPr>
              <w:spacing w:after="0" w:line="276" w:lineRule="auto"/>
              <w:jc w:val="center"/>
              <w:rPr>
                <w:rFonts w:asciiTheme="majorHAnsi" w:eastAsia="Times New Roman" w:hAnsiTheme="majorHAnsi" w:cstheme="majorHAnsi"/>
                <w:b/>
                <w:bCs/>
                <w:i/>
                <w:iCs/>
                <w:color w:val="000000"/>
                <w:sz w:val="20"/>
                <w:szCs w:val="20"/>
                <w:lang w:val="ro-MD" w:eastAsia="ro-RO"/>
              </w:rPr>
            </w:pPr>
            <w:r>
              <w:rPr>
                <w:rFonts w:asciiTheme="majorHAnsi" w:eastAsia="Times New Roman" w:hAnsiTheme="majorHAnsi" w:cstheme="majorHAnsi"/>
                <w:b/>
                <w:bCs/>
                <w:i/>
                <w:iCs/>
                <w:color w:val="000000"/>
                <w:sz w:val="20"/>
                <w:szCs w:val="20"/>
                <w:lang w:val="ro-MD" w:eastAsia="ro-RO"/>
              </w:rPr>
              <w:t>457,0</w:t>
            </w:r>
          </w:p>
        </w:tc>
        <w:tc>
          <w:tcPr>
            <w:tcW w:w="992" w:type="dxa"/>
            <w:shd w:val="clear" w:color="000000" w:fill="D0CECE"/>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100,0</w:t>
            </w:r>
          </w:p>
        </w:tc>
        <w:tc>
          <w:tcPr>
            <w:tcW w:w="822" w:type="dxa"/>
            <w:gridSpan w:val="2"/>
            <w:shd w:val="clear" w:color="000000" w:fill="D0CECE"/>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399,2</w:t>
            </w:r>
          </w:p>
        </w:tc>
        <w:tc>
          <w:tcPr>
            <w:tcW w:w="992" w:type="dxa"/>
            <w:shd w:val="clear" w:color="000000" w:fill="D0CECE"/>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100,0</w:t>
            </w:r>
          </w:p>
        </w:tc>
        <w:tc>
          <w:tcPr>
            <w:tcW w:w="822" w:type="dxa"/>
            <w:gridSpan w:val="2"/>
            <w:shd w:val="clear" w:color="000000" w:fill="D0CECE"/>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344,0</w:t>
            </w:r>
          </w:p>
        </w:tc>
        <w:tc>
          <w:tcPr>
            <w:tcW w:w="992" w:type="dxa"/>
            <w:shd w:val="clear" w:color="000000" w:fill="D0CECE"/>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100,0</w:t>
            </w:r>
          </w:p>
        </w:tc>
        <w:tc>
          <w:tcPr>
            <w:tcW w:w="1101" w:type="dxa"/>
            <w:shd w:val="clear" w:color="000000" w:fill="D0CECE"/>
            <w:vAlign w:val="center"/>
          </w:tcPr>
          <w:p w:rsidR="008325F8" w:rsidRPr="00606103" w:rsidRDefault="00663F3C">
            <w:pPr>
              <w:spacing w:after="0" w:line="276" w:lineRule="auto"/>
              <w:jc w:val="center"/>
              <w:rPr>
                <w:rFonts w:asciiTheme="majorHAnsi" w:eastAsia="Times New Roman" w:hAnsiTheme="majorHAnsi" w:cstheme="majorHAnsi"/>
                <w:b/>
                <w:bCs/>
                <w:i/>
                <w:iCs/>
                <w:color w:val="000000"/>
                <w:sz w:val="20"/>
                <w:szCs w:val="20"/>
                <w:lang w:val="ro-MD" w:eastAsia="ro-RO"/>
              </w:rPr>
            </w:pPr>
            <w:r>
              <w:rPr>
                <w:rFonts w:asciiTheme="majorHAnsi" w:eastAsia="Times New Roman" w:hAnsiTheme="majorHAnsi" w:cstheme="majorHAnsi"/>
                <w:b/>
                <w:bCs/>
                <w:i/>
                <w:iCs/>
                <w:color w:val="000000"/>
                <w:sz w:val="20"/>
                <w:szCs w:val="20"/>
                <w:lang w:val="ro-MD" w:eastAsia="ro-RO"/>
              </w:rPr>
              <w:t>-113,0</w:t>
            </w:r>
          </w:p>
        </w:tc>
        <w:tc>
          <w:tcPr>
            <w:tcW w:w="1082" w:type="dxa"/>
            <w:shd w:val="clear" w:color="000000" w:fill="D0CECE"/>
            <w:vAlign w:val="center"/>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-55,2</w:t>
            </w:r>
          </w:p>
        </w:tc>
      </w:tr>
      <w:tr w:rsidR="008325F8" w:rsidRPr="00606103" w:rsidTr="00247823">
        <w:trPr>
          <w:trHeight w:val="276"/>
          <w:jc w:val="center"/>
        </w:trPr>
        <w:tc>
          <w:tcPr>
            <w:tcW w:w="2161" w:type="dxa"/>
            <w:shd w:val="clear" w:color="000000" w:fill="D5DCE4"/>
            <w:noWrap/>
            <w:vAlign w:val="center"/>
            <w:hideMark/>
          </w:tcPr>
          <w:p w:rsidR="008325F8" w:rsidRPr="00606103" w:rsidRDefault="008325F8" w:rsidP="00FE3F3B">
            <w:pPr>
              <w:spacing w:after="0" w:line="276" w:lineRule="auto"/>
              <w:rPr>
                <w:rFonts w:asciiTheme="majorHAnsi" w:eastAsia="Times New Roman" w:hAnsiTheme="majorHAnsi" w:cstheme="majorHAnsi"/>
                <w:b/>
                <w:bCs/>
                <w:color w:val="000000"/>
                <w:sz w:val="20"/>
                <w:szCs w:val="20"/>
                <w:lang w:val="ro-MD" w:eastAsia="ro-RO"/>
              </w:rPr>
            </w:pPr>
            <w:r w:rsidRPr="00606103">
              <w:rPr>
                <w:rFonts w:asciiTheme="majorHAnsi" w:eastAsia="Times New Roman" w:hAnsiTheme="majorHAnsi" w:cstheme="majorHAnsi"/>
                <w:b/>
                <w:bCs/>
                <w:color w:val="000000"/>
                <w:sz w:val="20"/>
                <w:szCs w:val="20"/>
                <w:lang w:val="ro-MD" w:eastAsia="ro-RO"/>
              </w:rPr>
              <w:t>TOTAL (SFS+SV)</w:t>
            </w:r>
          </w:p>
        </w:tc>
        <w:tc>
          <w:tcPr>
            <w:tcW w:w="822" w:type="dxa"/>
            <w:shd w:val="clear" w:color="000000" w:fill="D5DCE4"/>
            <w:vAlign w:val="center"/>
            <w:hideMark/>
          </w:tcPr>
          <w:p w:rsidR="008325F8" w:rsidRPr="00606103" w:rsidRDefault="00663F3C">
            <w:pPr>
              <w:spacing w:after="0" w:line="276" w:lineRule="auto"/>
              <w:jc w:val="center"/>
              <w:rPr>
                <w:rFonts w:asciiTheme="majorHAnsi" w:eastAsia="Times New Roman" w:hAnsiTheme="majorHAnsi" w:cstheme="majorHAnsi"/>
                <w:b/>
                <w:bCs/>
                <w:i/>
                <w:iCs/>
                <w:color w:val="000000"/>
                <w:sz w:val="20"/>
                <w:szCs w:val="20"/>
                <w:lang w:val="ro-MD" w:eastAsia="ro-RO"/>
              </w:rPr>
            </w:pPr>
            <w:r>
              <w:rPr>
                <w:rFonts w:asciiTheme="majorHAnsi" w:eastAsia="Times New Roman" w:hAnsiTheme="majorHAnsi" w:cstheme="majorHAnsi"/>
                <w:b/>
                <w:bCs/>
                <w:i/>
                <w:iCs/>
                <w:color w:val="000000"/>
                <w:sz w:val="20"/>
                <w:szCs w:val="20"/>
                <w:lang w:val="ro-MD" w:eastAsia="ro-RO"/>
              </w:rPr>
              <w:t>1.259,1</w:t>
            </w:r>
          </w:p>
        </w:tc>
        <w:tc>
          <w:tcPr>
            <w:tcW w:w="992" w:type="dxa"/>
            <w:shd w:val="clear" w:color="000000" w:fill="D5DCE4"/>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x</w:t>
            </w:r>
          </w:p>
        </w:tc>
        <w:tc>
          <w:tcPr>
            <w:tcW w:w="822" w:type="dxa"/>
            <w:gridSpan w:val="2"/>
            <w:shd w:val="clear" w:color="000000" w:fill="D5DCE4"/>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1.385,4</w:t>
            </w:r>
          </w:p>
        </w:tc>
        <w:tc>
          <w:tcPr>
            <w:tcW w:w="992" w:type="dxa"/>
            <w:shd w:val="clear" w:color="000000" w:fill="D5DCE4"/>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x</w:t>
            </w:r>
          </w:p>
        </w:tc>
        <w:tc>
          <w:tcPr>
            <w:tcW w:w="822" w:type="dxa"/>
            <w:gridSpan w:val="2"/>
            <w:shd w:val="clear" w:color="000000" w:fill="D5DCE4"/>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1.927,4</w:t>
            </w:r>
          </w:p>
        </w:tc>
        <w:tc>
          <w:tcPr>
            <w:tcW w:w="992" w:type="dxa"/>
            <w:shd w:val="clear" w:color="000000" w:fill="D6DCE4"/>
            <w:vAlign w:val="center"/>
            <w:hideMark/>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x</w:t>
            </w:r>
          </w:p>
        </w:tc>
        <w:tc>
          <w:tcPr>
            <w:tcW w:w="1101" w:type="dxa"/>
            <w:shd w:val="clear" w:color="000000" w:fill="D6DCE4"/>
            <w:vAlign w:val="center"/>
          </w:tcPr>
          <w:p w:rsidR="008325F8" w:rsidRPr="00606103" w:rsidRDefault="00663F3C">
            <w:pPr>
              <w:spacing w:after="0" w:line="276" w:lineRule="auto"/>
              <w:jc w:val="center"/>
              <w:rPr>
                <w:rFonts w:asciiTheme="majorHAnsi" w:eastAsia="Times New Roman" w:hAnsiTheme="majorHAnsi" w:cstheme="majorHAnsi"/>
                <w:b/>
                <w:bCs/>
                <w:i/>
                <w:iCs/>
                <w:color w:val="000000"/>
                <w:sz w:val="20"/>
                <w:szCs w:val="20"/>
                <w:lang w:val="ro-MD" w:eastAsia="ro-RO"/>
              </w:rPr>
            </w:pPr>
            <w:r>
              <w:rPr>
                <w:rFonts w:asciiTheme="majorHAnsi" w:eastAsia="Times New Roman" w:hAnsiTheme="majorHAnsi" w:cstheme="majorHAnsi"/>
                <w:b/>
                <w:bCs/>
                <w:i/>
                <w:iCs/>
                <w:color w:val="000000"/>
                <w:sz w:val="20"/>
                <w:szCs w:val="20"/>
                <w:lang w:val="ro-MD" w:eastAsia="ro-RO"/>
              </w:rPr>
              <w:t>668,3</w:t>
            </w:r>
          </w:p>
        </w:tc>
        <w:tc>
          <w:tcPr>
            <w:tcW w:w="1082" w:type="dxa"/>
            <w:shd w:val="clear" w:color="000000" w:fill="D6DCE4"/>
            <w:vAlign w:val="center"/>
          </w:tcPr>
          <w:p w:rsidR="008325F8" w:rsidRPr="00606103" w:rsidRDefault="008325F8">
            <w:pPr>
              <w:spacing w:after="0" w:line="276" w:lineRule="auto"/>
              <w:jc w:val="center"/>
              <w:rPr>
                <w:rFonts w:asciiTheme="majorHAnsi" w:eastAsia="Times New Roman" w:hAnsiTheme="majorHAnsi" w:cstheme="majorHAnsi"/>
                <w:b/>
                <w:bCs/>
                <w:i/>
                <w:iCs/>
                <w:color w:val="000000"/>
                <w:sz w:val="20"/>
                <w:szCs w:val="20"/>
                <w:lang w:val="ro-MD" w:eastAsia="ro-RO"/>
              </w:rPr>
            </w:pPr>
            <w:r w:rsidRPr="00606103">
              <w:rPr>
                <w:rFonts w:asciiTheme="majorHAnsi" w:eastAsia="Times New Roman" w:hAnsiTheme="majorHAnsi" w:cstheme="majorHAnsi"/>
                <w:b/>
                <w:bCs/>
                <w:i/>
                <w:iCs/>
                <w:color w:val="000000"/>
                <w:sz w:val="20"/>
                <w:szCs w:val="20"/>
                <w:lang w:val="ro-MD" w:eastAsia="ro-RO"/>
              </w:rPr>
              <w:t>542,0</w:t>
            </w:r>
          </w:p>
        </w:tc>
      </w:tr>
    </w:tbl>
    <w:p w:rsidR="008325F8" w:rsidRPr="00606103" w:rsidRDefault="008325F8" w:rsidP="00FE3F3B">
      <w:pPr>
        <w:spacing w:line="276" w:lineRule="auto"/>
        <w:rPr>
          <w:rFonts w:asciiTheme="majorHAnsi" w:hAnsiTheme="majorHAnsi" w:cstheme="majorHAnsi"/>
          <w:i/>
          <w:sz w:val="20"/>
          <w:szCs w:val="24"/>
          <w:lang w:val="ro-MD"/>
        </w:rPr>
      </w:pPr>
      <w:r w:rsidRPr="00606103">
        <w:rPr>
          <w:rFonts w:asciiTheme="majorHAnsi" w:hAnsiTheme="majorHAnsi" w:cstheme="majorHAnsi"/>
          <w:b/>
          <w:i/>
          <w:sz w:val="20"/>
          <w:szCs w:val="24"/>
          <w:lang w:val="ro-MD"/>
        </w:rPr>
        <w:t>Sursă:</w:t>
      </w:r>
      <w:r w:rsidRPr="00606103">
        <w:rPr>
          <w:rFonts w:asciiTheme="majorHAnsi" w:hAnsiTheme="majorHAnsi" w:cstheme="majorHAnsi"/>
          <w:i/>
          <w:sz w:val="20"/>
          <w:szCs w:val="24"/>
          <w:lang w:val="ro-MD"/>
        </w:rPr>
        <w:t xml:space="preserve"> </w:t>
      </w:r>
      <w:r w:rsidR="000331DE" w:rsidRPr="00606103">
        <w:rPr>
          <w:rFonts w:asciiTheme="majorHAnsi" w:hAnsiTheme="majorHAnsi" w:cstheme="majorHAnsi"/>
          <w:i/>
          <w:sz w:val="20"/>
          <w:szCs w:val="24"/>
          <w:lang w:val="ro-MD"/>
        </w:rPr>
        <w:t xml:space="preserve">Date generalizate de echipa de audit din </w:t>
      </w:r>
      <w:r w:rsidRPr="00606103">
        <w:rPr>
          <w:rFonts w:asciiTheme="majorHAnsi" w:hAnsiTheme="majorHAnsi" w:cstheme="majorHAnsi"/>
          <w:i/>
          <w:sz w:val="20"/>
          <w:szCs w:val="24"/>
          <w:lang w:val="ro-MD"/>
        </w:rPr>
        <w:t>Dările de seamă privind restanțele l</w:t>
      </w:r>
      <w:r w:rsidR="000A1CC3" w:rsidRPr="00606103">
        <w:rPr>
          <w:rFonts w:asciiTheme="majorHAnsi" w:hAnsiTheme="majorHAnsi" w:cstheme="majorHAnsi"/>
          <w:i/>
          <w:sz w:val="20"/>
          <w:szCs w:val="24"/>
          <w:lang w:val="ro-MD"/>
        </w:rPr>
        <w:t>a BPN administrate de SFS și SV pentru anii 2021, 2020 și 2019.</w:t>
      </w:r>
    </w:p>
    <w:p w:rsidR="008325F8" w:rsidRPr="00606103" w:rsidRDefault="008325F8">
      <w:pPr>
        <w:spacing w:line="276" w:lineRule="auto"/>
        <w:rPr>
          <w:rFonts w:asciiTheme="majorHAnsi" w:hAnsiTheme="majorHAnsi" w:cstheme="majorHAnsi"/>
          <w:color w:val="000000"/>
          <w:spacing w:val="3"/>
          <w:sz w:val="24"/>
          <w:szCs w:val="24"/>
          <w:lang w:val="ro-MD"/>
        </w:rPr>
      </w:pPr>
      <w:r w:rsidRPr="00606103">
        <w:rPr>
          <w:rFonts w:asciiTheme="majorHAnsi" w:hAnsiTheme="majorHAnsi" w:cstheme="majorHAnsi"/>
          <w:sz w:val="24"/>
          <w:szCs w:val="24"/>
          <w:lang w:val="ro-MD"/>
        </w:rPr>
        <w:t xml:space="preserve">Astfel, analiza auditului denotă că restanțele </w:t>
      </w:r>
      <w:r w:rsidRPr="00606103">
        <w:rPr>
          <w:rFonts w:asciiTheme="majorHAnsi" w:eastAsia="Times New Roman" w:hAnsiTheme="majorHAnsi" w:cstheme="majorHAnsi"/>
          <w:sz w:val="24"/>
          <w:szCs w:val="24"/>
          <w:lang w:val="ro-MD"/>
        </w:rPr>
        <w:t xml:space="preserve">BS înregistrează </w:t>
      </w:r>
      <w:r w:rsidR="00746633" w:rsidRPr="00606103">
        <w:rPr>
          <w:rFonts w:asciiTheme="majorHAnsi" w:eastAsia="Times New Roman" w:hAnsiTheme="majorHAnsi" w:cstheme="majorHAnsi"/>
          <w:sz w:val="24"/>
          <w:szCs w:val="24"/>
          <w:lang w:val="ro-MD"/>
        </w:rPr>
        <w:t xml:space="preserve">în dinamică </w:t>
      </w:r>
      <w:r w:rsidRPr="00606103">
        <w:rPr>
          <w:rFonts w:asciiTheme="majorHAnsi" w:eastAsia="Times New Roman" w:hAnsiTheme="majorHAnsi" w:cstheme="majorHAnsi"/>
          <w:sz w:val="24"/>
          <w:szCs w:val="24"/>
          <w:lang w:val="ro-MD"/>
        </w:rPr>
        <w:t>o tendință de creștere majoră – cu 542,0 mil. lei</w:t>
      </w:r>
      <w:r w:rsidR="00746633" w:rsidRPr="00606103">
        <w:rPr>
          <w:rFonts w:asciiTheme="majorHAnsi" w:eastAsia="Times New Roman" w:hAnsiTheme="majorHAnsi" w:cstheme="majorHAnsi"/>
          <w:sz w:val="24"/>
          <w:szCs w:val="24"/>
          <w:lang w:val="ro-MD"/>
        </w:rPr>
        <w:t>,</w:t>
      </w:r>
      <w:r w:rsidRPr="00606103">
        <w:rPr>
          <w:rFonts w:asciiTheme="majorHAnsi" w:eastAsia="Times New Roman" w:hAnsiTheme="majorHAnsi" w:cstheme="majorHAnsi"/>
          <w:sz w:val="24"/>
          <w:szCs w:val="24"/>
          <w:lang w:val="ro-MD"/>
        </w:rPr>
        <w:t xml:space="preserve"> sau cu 39,1%</w:t>
      </w:r>
      <w:r w:rsidR="00746633" w:rsidRPr="00606103">
        <w:rPr>
          <w:rFonts w:asciiTheme="majorHAnsi" w:eastAsia="Times New Roman" w:hAnsiTheme="majorHAnsi" w:cstheme="majorHAnsi"/>
          <w:sz w:val="24"/>
          <w:szCs w:val="24"/>
          <w:lang w:val="ro-MD"/>
        </w:rPr>
        <w:t>,</w:t>
      </w:r>
      <w:r w:rsidR="00663F3C">
        <w:rPr>
          <w:rFonts w:asciiTheme="majorHAnsi" w:eastAsia="Times New Roman" w:hAnsiTheme="majorHAnsi" w:cstheme="majorHAnsi"/>
          <w:sz w:val="24"/>
          <w:szCs w:val="24"/>
          <w:lang w:val="ro-MD"/>
        </w:rPr>
        <w:t xml:space="preserve"> față de anul 2020, și cu 668,3</w:t>
      </w:r>
      <w:r w:rsidRPr="00606103">
        <w:rPr>
          <w:rFonts w:asciiTheme="majorHAnsi" w:eastAsia="Times New Roman" w:hAnsiTheme="majorHAnsi" w:cstheme="majorHAnsi"/>
          <w:sz w:val="24"/>
          <w:szCs w:val="24"/>
          <w:lang w:val="ro-MD"/>
        </w:rPr>
        <w:t xml:space="preserve"> mil. lei</w:t>
      </w:r>
      <w:r w:rsidR="00746633" w:rsidRPr="00606103">
        <w:rPr>
          <w:rFonts w:asciiTheme="majorHAnsi" w:eastAsia="Times New Roman" w:hAnsiTheme="majorHAnsi" w:cstheme="majorHAnsi"/>
          <w:sz w:val="24"/>
          <w:szCs w:val="24"/>
          <w:lang w:val="ro-MD"/>
        </w:rPr>
        <w:t>,</w:t>
      </w:r>
      <w:r w:rsidRPr="00606103">
        <w:rPr>
          <w:rFonts w:asciiTheme="majorHAnsi" w:eastAsia="Times New Roman" w:hAnsiTheme="majorHAnsi" w:cstheme="majorHAnsi"/>
          <w:sz w:val="24"/>
          <w:szCs w:val="24"/>
          <w:lang w:val="ro-MD"/>
        </w:rPr>
        <w:t xml:space="preserve"> sau </w:t>
      </w:r>
      <w:r w:rsidR="00746633" w:rsidRPr="00606103">
        <w:rPr>
          <w:rFonts w:asciiTheme="majorHAnsi" w:eastAsia="Times New Roman" w:hAnsiTheme="majorHAnsi" w:cstheme="majorHAnsi"/>
          <w:sz w:val="24"/>
          <w:szCs w:val="24"/>
          <w:lang w:val="ro-MD"/>
        </w:rPr>
        <w:t xml:space="preserve">cu </w:t>
      </w:r>
      <w:r w:rsidRPr="00606103">
        <w:rPr>
          <w:rFonts w:asciiTheme="majorHAnsi" w:eastAsia="Times New Roman" w:hAnsiTheme="majorHAnsi" w:cstheme="majorHAnsi"/>
          <w:sz w:val="24"/>
          <w:szCs w:val="24"/>
          <w:lang w:val="ro-MD"/>
        </w:rPr>
        <w:t>53,1%</w:t>
      </w:r>
      <w:r w:rsidR="00746633" w:rsidRPr="00606103">
        <w:rPr>
          <w:rFonts w:asciiTheme="majorHAnsi" w:eastAsia="Times New Roman" w:hAnsiTheme="majorHAnsi" w:cstheme="majorHAnsi"/>
          <w:sz w:val="24"/>
          <w:szCs w:val="24"/>
          <w:lang w:val="ro-MD"/>
        </w:rPr>
        <w:t>,</w:t>
      </w:r>
      <w:r w:rsidRPr="00606103">
        <w:rPr>
          <w:rFonts w:asciiTheme="majorHAnsi" w:eastAsia="Times New Roman" w:hAnsiTheme="majorHAnsi" w:cstheme="majorHAnsi"/>
          <w:sz w:val="24"/>
          <w:szCs w:val="24"/>
          <w:lang w:val="ro-MD"/>
        </w:rPr>
        <w:t xml:space="preserve"> față de anul 2019. </w:t>
      </w:r>
      <w:r w:rsidRPr="00606103">
        <w:rPr>
          <w:rFonts w:asciiTheme="majorHAnsi" w:hAnsiTheme="majorHAnsi" w:cstheme="majorHAnsi"/>
          <w:color w:val="000000"/>
          <w:sz w:val="24"/>
          <w:szCs w:val="24"/>
          <w:lang w:val="ro-MD"/>
        </w:rPr>
        <w:t xml:space="preserve">În structura restanțelor totale, partea preponderentă revine impozitelor și </w:t>
      </w:r>
      <w:r w:rsidRPr="00606103">
        <w:rPr>
          <w:rFonts w:asciiTheme="majorHAnsi" w:hAnsiTheme="majorHAnsi" w:cstheme="majorHAnsi"/>
          <w:color w:val="000000"/>
          <w:spacing w:val="2"/>
          <w:sz w:val="24"/>
          <w:szCs w:val="24"/>
          <w:lang w:val="ro-MD"/>
        </w:rPr>
        <w:t>taxelor administrate de către organele SF</w:t>
      </w:r>
      <w:r w:rsidRPr="00606103">
        <w:rPr>
          <w:rFonts w:asciiTheme="majorHAnsi" w:hAnsiTheme="majorHAnsi" w:cstheme="majorHAnsi"/>
          <w:color w:val="000000"/>
          <w:spacing w:val="3"/>
          <w:sz w:val="24"/>
          <w:szCs w:val="24"/>
          <w:lang w:val="ro-MD"/>
        </w:rPr>
        <w:t>S, care constituie 82,2% (1 583,4 mil.lei), dintre care la: plăți de bază – 835,7 mil. lei, majorări de întârziere – 448,0 mil. lei</w:t>
      </w:r>
      <w:r w:rsidR="00746633" w:rsidRPr="00606103">
        <w:rPr>
          <w:rFonts w:asciiTheme="majorHAnsi" w:hAnsiTheme="majorHAnsi" w:cstheme="majorHAnsi"/>
          <w:color w:val="000000"/>
          <w:spacing w:val="3"/>
          <w:sz w:val="24"/>
          <w:szCs w:val="24"/>
          <w:lang w:val="ro-MD"/>
        </w:rPr>
        <w:t>,</w:t>
      </w:r>
      <w:r w:rsidR="00663F3C">
        <w:rPr>
          <w:rFonts w:asciiTheme="majorHAnsi" w:hAnsiTheme="majorHAnsi" w:cstheme="majorHAnsi"/>
          <w:color w:val="000000"/>
          <w:spacing w:val="3"/>
          <w:sz w:val="24"/>
          <w:szCs w:val="24"/>
          <w:lang w:val="ro-MD"/>
        </w:rPr>
        <w:t xml:space="preserve"> și amenzi – 299,7</w:t>
      </w:r>
      <w:r w:rsidRPr="00606103">
        <w:rPr>
          <w:rFonts w:asciiTheme="majorHAnsi" w:hAnsiTheme="majorHAnsi" w:cstheme="majorHAnsi"/>
          <w:color w:val="000000"/>
          <w:spacing w:val="3"/>
          <w:sz w:val="24"/>
          <w:szCs w:val="24"/>
          <w:lang w:val="ro-MD"/>
        </w:rPr>
        <w:t xml:space="preserve"> mil. lei. Față de anul precedent</w:t>
      </w:r>
      <w:r w:rsidR="00746633" w:rsidRPr="00606103">
        <w:rPr>
          <w:rFonts w:asciiTheme="majorHAnsi" w:hAnsiTheme="majorHAnsi" w:cstheme="majorHAnsi"/>
          <w:color w:val="000000"/>
          <w:spacing w:val="3"/>
          <w:sz w:val="24"/>
          <w:szCs w:val="24"/>
          <w:lang w:val="ro-MD"/>
        </w:rPr>
        <w:t>,</w:t>
      </w:r>
      <w:r w:rsidRPr="00606103">
        <w:rPr>
          <w:rFonts w:asciiTheme="majorHAnsi" w:hAnsiTheme="majorHAnsi" w:cstheme="majorHAnsi"/>
          <w:color w:val="000000"/>
          <w:spacing w:val="3"/>
          <w:sz w:val="24"/>
          <w:szCs w:val="24"/>
          <w:lang w:val="ro-MD"/>
        </w:rPr>
        <w:t xml:space="preserve"> se constată o majorare semnificativă cu 60,6% (597,2 mil.lei). </w:t>
      </w:r>
    </w:p>
    <w:p w:rsidR="00186F67" w:rsidRPr="00606103" w:rsidRDefault="00746633">
      <w:pPr>
        <w:spacing w:line="276" w:lineRule="auto"/>
        <w:rPr>
          <w:rFonts w:asciiTheme="majorHAnsi" w:hAnsiTheme="majorHAnsi" w:cstheme="majorHAnsi"/>
          <w:color w:val="000000" w:themeColor="text1"/>
          <w:spacing w:val="-1"/>
          <w:sz w:val="24"/>
          <w:szCs w:val="24"/>
          <w:lang w:val="ro-MD"/>
        </w:rPr>
      </w:pPr>
      <w:r w:rsidRPr="00606103">
        <w:rPr>
          <w:rFonts w:asciiTheme="majorHAnsi" w:hAnsiTheme="majorHAnsi" w:cstheme="majorHAnsi"/>
          <w:color w:val="000000"/>
          <w:spacing w:val="3"/>
          <w:sz w:val="24"/>
          <w:szCs w:val="24"/>
          <w:lang w:val="ro-MD"/>
        </w:rPr>
        <w:t>Ca u</w:t>
      </w:r>
      <w:r w:rsidR="00462CB5" w:rsidRPr="00606103">
        <w:rPr>
          <w:rFonts w:asciiTheme="majorHAnsi" w:hAnsiTheme="majorHAnsi" w:cstheme="majorHAnsi"/>
          <w:color w:val="000000"/>
          <w:spacing w:val="3"/>
          <w:sz w:val="24"/>
          <w:szCs w:val="24"/>
          <w:lang w:val="ro-MD"/>
        </w:rPr>
        <w:t xml:space="preserve">rmare </w:t>
      </w:r>
      <w:r w:rsidRPr="00606103">
        <w:rPr>
          <w:rFonts w:asciiTheme="majorHAnsi" w:hAnsiTheme="majorHAnsi" w:cstheme="majorHAnsi"/>
          <w:color w:val="000000"/>
          <w:spacing w:val="3"/>
          <w:sz w:val="24"/>
          <w:szCs w:val="24"/>
          <w:lang w:val="ro-MD"/>
        </w:rPr>
        <w:t xml:space="preserve">a </w:t>
      </w:r>
      <w:r w:rsidR="00462CB5" w:rsidRPr="00606103">
        <w:rPr>
          <w:rFonts w:asciiTheme="majorHAnsi" w:hAnsiTheme="majorHAnsi" w:cstheme="majorHAnsi"/>
          <w:color w:val="000000"/>
          <w:spacing w:val="3"/>
          <w:sz w:val="24"/>
          <w:szCs w:val="24"/>
          <w:lang w:val="ro-MD"/>
        </w:rPr>
        <w:t>probelor colectate în cadrul auditului conformității administrării veniturilor de către SV</w:t>
      </w:r>
      <w:r w:rsidRPr="00606103">
        <w:rPr>
          <w:rFonts w:asciiTheme="majorHAnsi" w:hAnsiTheme="majorHAnsi" w:cstheme="majorHAnsi"/>
          <w:color w:val="000000"/>
          <w:spacing w:val="3"/>
          <w:sz w:val="24"/>
          <w:szCs w:val="24"/>
          <w:lang w:val="ro-MD"/>
        </w:rPr>
        <w:t>,</w:t>
      </w:r>
      <w:r w:rsidR="00462CB5" w:rsidRPr="00606103">
        <w:rPr>
          <w:rFonts w:asciiTheme="majorHAnsi" w:hAnsiTheme="majorHAnsi" w:cstheme="majorHAnsi"/>
          <w:color w:val="000000"/>
          <w:spacing w:val="3"/>
          <w:sz w:val="24"/>
          <w:szCs w:val="24"/>
          <w:lang w:val="ro-MD"/>
        </w:rPr>
        <w:t xml:space="preserve"> se constată că r</w:t>
      </w:r>
      <w:r w:rsidR="008325F8" w:rsidRPr="00606103">
        <w:rPr>
          <w:rFonts w:asciiTheme="majorHAnsi" w:hAnsiTheme="majorHAnsi" w:cstheme="majorHAnsi"/>
          <w:color w:val="000000"/>
          <w:spacing w:val="3"/>
          <w:sz w:val="24"/>
          <w:szCs w:val="24"/>
          <w:lang w:val="ro-MD"/>
        </w:rPr>
        <w:t xml:space="preserve">estanțele administrate și raportate de </w:t>
      </w:r>
      <w:r w:rsidR="008325F8" w:rsidRPr="00606103">
        <w:rPr>
          <w:rFonts w:asciiTheme="majorHAnsi" w:hAnsiTheme="majorHAnsi" w:cstheme="majorHAnsi"/>
          <w:color w:val="000000"/>
          <w:spacing w:val="2"/>
          <w:sz w:val="24"/>
          <w:szCs w:val="24"/>
          <w:lang w:val="ro-MD"/>
        </w:rPr>
        <w:t xml:space="preserve">SV în anul 2021 au constituit 17,8% </w:t>
      </w:r>
      <w:r w:rsidR="00606103" w:rsidRPr="00606103">
        <w:rPr>
          <w:rFonts w:asciiTheme="majorHAnsi" w:hAnsiTheme="majorHAnsi" w:cstheme="majorHAnsi"/>
          <w:color w:val="000000"/>
          <w:spacing w:val="2"/>
          <w:sz w:val="24"/>
          <w:szCs w:val="24"/>
          <w:lang w:val="ro-MD"/>
        </w:rPr>
        <w:t xml:space="preserve"> </w:t>
      </w:r>
      <w:r w:rsidR="008325F8" w:rsidRPr="00606103">
        <w:rPr>
          <w:rFonts w:asciiTheme="majorHAnsi" w:hAnsiTheme="majorHAnsi" w:cstheme="majorHAnsi"/>
          <w:color w:val="000000"/>
          <w:spacing w:val="2"/>
          <w:sz w:val="24"/>
          <w:szCs w:val="24"/>
          <w:lang w:val="ro-MD"/>
        </w:rPr>
        <w:t>(344,</w:t>
      </w:r>
      <w:r w:rsidRPr="00606103">
        <w:rPr>
          <w:rFonts w:asciiTheme="majorHAnsi" w:hAnsiTheme="majorHAnsi" w:cstheme="majorHAnsi"/>
          <w:color w:val="000000"/>
          <w:spacing w:val="2"/>
          <w:sz w:val="24"/>
          <w:szCs w:val="24"/>
          <w:lang w:val="ro-MD"/>
        </w:rPr>
        <w:t>0</w:t>
      </w:r>
      <w:r w:rsidR="008325F8" w:rsidRPr="00606103">
        <w:rPr>
          <w:rFonts w:asciiTheme="majorHAnsi" w:hAnsiTheme="majorHAnsi" w:cstheme="majorHAnsi"/>
          <w:color w:val="000000"/>
          <w:spacing w:val="2"/>
          <w:sz w:val="24"/>
          <w:szCs w:val="24"/>
          <w:lang w:val="ro-MD"/>
        </w:rPr>
        <w:t xml:space="preserve"> </w:t>
      </w:r>
      <w:r w:rsidR="008325F8" w:rsidRPr="00606103">
        <w:rPr>
          <w:rFonts w:asciiTheme="majorHAnsi" w:hAnsiTheme="majorHAnsi" w:cstheme="majorHAnsi"/>
          <w:color w:val="000000"/>
          <w:spacing w:val="3"/>
          <w:sz w:val="24"/>
          <w:szCs w:val="24"/>
          <w:lang w:val="ro-MD"/>
        </w:rPr>
        <w:t xml:space="preserve">mil.lei) din totalul restanțelor, inclusiv 105,7 mil. lei cu termen mai mare de 6 ani, înregistrând o descreștere cu </w:t>
      </w:r>
      <w:r w:rsidR="000A1CC3" w:rsidRPr="00606103">
        <w:rPr>
          <w:rFonts w:asciiTheme="majorHAnsi" w:hAnsiTheme="majorHAnsi" w:cstheme="majorHAnsi"/>
          <w:color w:val="000000"/>
          <w:spacing w:val="3"/>
          <w:sz w:val="24"/>
          <w:szCs w:val="24"/>
          <w:lang w:val="ro-MD"/>
        </w:rPr>
        <w:t xml:space="preserve">doar </w:t>
      </w:r>
      <w:r w:rsidR="008325F8" w:rsidRPr="00606103">
        <w:rPr>
          <w:rFonts w:asciiTheme="majorHAnsi" w:hAnsiTheme="majorHAnsi" w:cstheme="majorHAnsi"/>
          <w:color w:val="000000"/>
          <w:spacing w:val="3"/>
          <w:sz w:val="24"/>
          <w:szCs w:val="24"/>
          <w:lang w:val="ro-MD"/>
        </w:rPr>
        <w:t>55,2 mil.lei</w:t>
      </w:r>
      <w:r w:rsidRPr="00606103">
        <w:rPr>
          <w:rFonts w:asciiTheme="majorHAnsi" w:hAnsiTheme="majorHAnsi" w:cstheme="majorHAnsi"/>
          <w:color w:val="000000"/>
          <w:spacing w:val="3"/>
          <w:sz w:val="24"/>
          <w:szCs w:val="24"/>
          <w:lang w:val="ro-MD"/>
        </w:rPr>
        <w:t>,</w:t>
      </w:r>
      <w:r w:rsidR="008325F8" w:rsidRPr="00606103">
        <w:rPr>
          <w:rFonts w:asciiTheme="majorHAnsi" w:hAnsiTheme="majorHAnsi" w:cstheme="majorHAnsi"/>
          <w:color w:val="000000"/>
          <w:spacing w:val="3"/>
          <w:sz w:val="24"/>
          <w:szCs w:val="24"/>
          <w:lang w:val="ro-MD"/>
        </w:rPr>
        <w:t xml:space="preserve"> </w:t>
      </w:r>
      <w:r w:rsidR="008325F8" w:rsidRPr="00606103">
        <w:rPr>
          <w:rFonts w:asciiTheme="majorHAnsi" w:hAnsiTheme="majorHAnsi" w:cstheme="majorHAnsi"/>
          <w:color w:val="000000" w:themeColor="text1"/>
          <w:spacing w:val="-1"/>
          <w:sz w:val="24"/>
          <w:szCs w:val="24"/>
          <w:lang w:val="ro-MD"/>
        </w:rPr>
        <w:t>sau cu 13,8%</w:t>
      </w:r>
      <w:r w:rsidRPr="00606103">
        <w:rPr>
          <w:rFonts w:asciiTheme="majorHAnsi" w:hAnsiTheme="majorHAnsi" w:cstheme="majorHAnsi"/>
          <w:color w:val="000000" w:themeColor="text1"/>
          <w:spacing w:val="-1"/>
          <w:sz w:val="24"/>
          <w:szCs w:val="24"/>
          <w:lang w:val="ro-MD"/>
        </w:rPr>
        <w:t>,</w:t>
      </w:r>
      <w:r w:rsidR="008325F8" w:rsidRPr="00606103">
        <w:rPr>
          <w:rFonts w:asciiTheme="majorHAnsi" w:hAnsiTheme="majorHAnsi" w:cstheme="majorHAnsi"/>
          <w:color w:val="000000"/>
          <w:spacing w:val="1"/>
          <w:sz w:val="24"/>
          <w:szCs w:val="24"/>
          <w:lang w:val="ro-MD"/>
        </w:rPr>
        <w:t xml:space="preserve"> </w:t>
      </w:r>
      <w:r w:rsidR="008325F8" w:rsidRPr="00606103">
        <w:rPr>
          <w:rFonts w:asciiTheme="majorHAnsi" w:hAnsiTheme="majorHAnsi" w:cstheme="majorHAnsi"/>
          <w:color w:val="000000"/>
          <w:spacing w:val="3"/>
          <w:sz w:val="24"/>
          <w:szCs w:val="24"/>
          <w:lang w:val="ro-MD"/>
        </w:rPr>
        <w:t>față de anul 2020</w:t>
      </w:r>
      <w:r w:rsidR="008325F8" w:rsidRPr="00606103">
        <w:rPr>
          <w:rFonts w:asciiTheme="majorHAnsi" w:hAnsiTheme="majorHAnsi" w:cstheme="majorHAnsi"/>
          <w:color w:val="000000"/>
          <w:spacing w:val="-1"/>
          <w:sz w:val="24"/>
          <w:szCs w:val="24"/>
          <w:lang w:val="ro-MD"/>
        </w:rPr>
        <w:t>.</w:t>
      </w:r>
      <w:r w:rsidR="008325F8" w:rsidRPr="00606103">
        <w:rPr>
          <w:rFonts w:asciiTheme="majorHAnsi" w:hAnsiTheme="majorHAnsi" w:cstheme="majorHAnsi"/>
          <w:color w:val="000000" w:themeColor="text1"/>
          <w:spacing w:val="-1"/>
          <w:sz w:val="24"/>
          <w:szCs w:val="24"/>
          <w:lang w:val="ro-MD"/>
        </w:rPr>
        <w:t xml:space="preserve"> Această diminuare </w:t>
      </w:r>
      <w:r w:rsidRPr="00606103">
        <w:rPr>
          <w:rFonts w:asciiTheme="majorHAnsi" w:hAnsiTheme="majorHAnsi" w:cstheme="majorHAnsi"/>
          <w:color w:val="000000" w:themeColor="text1"/>
          <w:spacing w:val="-1"/>
          <w:sz w:val="24"/>
          <w:szCs w:val="24"/>
          <w:lang w:val="ro-MD"/>
        </w:rPr>
        <w:t xml:space="preserve">în dinamică </w:t>
      </w:r>
      <w:r w:rsidR="008325F8" w:rsidRPr="00606103">
        <w:rPr>
          <w:rFonts w:asciiTheme="majorHAnsi" w:hAnsiTheme="majorHAnsi" w:cstheme="majorHAnsi"/>
          <w:color w:val="000000" w:themeColor="text1"/>
          <w:spacing w:val="-1"/>
          <w:sz w:val="24"/>
          <w:szCs w:val="24"/>
          <w:lang w:val="ro-MD"/>
        </w:rPr>
        <w:t xml:space="preserve">a restanțelor SV </w:t>
      </w:r>
      <w:r w:rsidRPr="00606103">
        <w:rPr>
          <w:rFonts w:asciiTheme="majorHAnsi" w:hAnsiTheme="majorHAnsi" w:cstheme="majorHAnsi"/>
          <w:color w:val="000000" w:themeColor="text1"/>
          <w:spacing w:val="-1"/>
          <w:sz w:val="24"/>
          <w:szCs w:val="24"/>
          <w:lang w:val="ro-MD"/>
        </w:rPr>
        <w:t xml:space="preserve">nu </w:t>
      </w:r>
      <w:r w:rsidR="008325F8" w:rsidRPr="00606103">
        <w:rPr>
          <w:rFonts w:asciiTheme="majorHAnsi" w:hAnsiTheme="majorHAnsi" w:cstheme="majorHAnsi"/>
          <w:color w:val="000000" w:themeColor="text1"/>
          <w:spacing w:val="-1"/>
          <w:sz w:val="24"/>
          <w:szCs w:val="24"/>
          <w:lang w:val="ro-MD"/>
        </w:rPr>
        <w:t>apare</w:t>
      </w:r>
      <w:r w:rsidR="000A1CC3" w:rsidRPr="00606103">
        <w:rPr>
          <w:rFonts w:asciiTheme="majorHAnsi" w:hAnsiTheme="majorHAnsi" w:cstheme="majorHAnsi"/>
          <w:color w:val="000000" w:themeColor="text1"/>
          <w:spacing w:val="-1"/>
          <w:sz w:val="24"/>
          <w:szCs w:val="24"/>
          <w:lang w:val="ro-MD"/>
        </w:rPr>
        <w:t xml:space="preserve"> </w:t>
      </w:r>
      <w:r w:rsidRPr="00606103">
        <w:rPr>
          <w:rFonts w:asciiTheme="majorHAnsi" w:hAnsiTheme="majorHAnsi" w:cstheme="majorHAnsi"/>
          <w:color w:val="000000" w:themeColor="text1"/>
          <w:spacing w:val="-1"/>
          <w:sz w:val="24"/>
          <w:szCs w:val="24"/>
          <w:lang w:val="ro-MD"/>
        </w:rPr>
        <w:t>ca</w:t>
      </w:r>
      <w:r w:rsidR="000A1CC3" w:rsidRPr="00606103">
        <w:rPr>
          <w:rFonts w:asciiTheme="majorHAnsi" w:hAnsiTheme="majorHAnsi" w:cstheme="majorHAnsi"/>
          <w:color w:val="000000" w:themeColor="text1"/>
          <w:spacing w:val="-1"/>
          <w:sz w:val="24"/>
          <w:szCs w:val="24"/>
          <w:lang w:val="ro-MD"/>
        </w:rPr>
        <w:t xml:space="preserve"> rezultat</w:t>
      </w:r>
      <w:r w:rsidRPr="00606103">
        <w:rPr>
          <w:rFonts w:asciiTheme="majorHAnsi" w:hAnsiTheme="majorHAnsi" w:cstheme="majorHAnsi"/>
          <w:color w:val="000000" w:themeColor="text1"/>
          <w:spacing w:val="-1"/>
          <w:sz w:val="24"/>
          <w:szCs w:val="24"/>
          <w:lang w:val="ro-MD"/>
        </w:rPr>
        <w:t xml:space="preserve"> al</w:t>
      </w:r>
      <w:r w:rsidR="000A1CC3" w:rsidRPr="00606103">
        <w:rPr>
          <w:rFonts w:asciiTheme="majorHAnsi" w:hAnsiTheme="majorHAnsi" w:cstheme="majorHAnsi"/>
          <w:color w:val="000000" w:themeColor="text1"/>
          <w:spacing w:val="-1"/>
          <w:sz w:val="24"/>
          <w:szCs w:val="24"/>
          <w:lang w:val="ro-MD"/>
        </w:rPr>
        <w:t xml:space="preserve"> încasării, dar</w:t>
      </w:r>
      <w:r w:rsidR="008325F8" w:rsidRPr="00606103">
        <w:rPr>
          <w:rFonts w:asciiTheme="majorHAnsi" w:hAnsiTheme="majorHAnsi" w:cstheme="majorHAnsi"/>
          <w:color w:val="000000" w:themeColor="text1"/>
          <w:spacing w:val="-1"/>
          <w:sz w:val="24"/>
          <w:szCs w:val="24"/>
          <w:lang w:val="ro-MD"/>
        </w:rPr>
        <w:t xml:space="preserve"> în urma stingerii prin prescripție și prin anulare a datoriilor agenților economici</w:t>
      </w:r>
      <w:r w:rsidR="008325F8" w:rsidRPr="00606103">
        <w:rPr>
          <w:rFonts w:asciiTheme="majorHAnsi" w:hAnsiTheme="majorHAnsi" w:cstheme="majorHAnsi"/>
          <w:sz w:val="24"/>
          <w:szCs w:val="24"/>
          <w:vertAlign w:val="superscript"/>
          <w:lang w:val="ro-MD"/>
        </w:rPr>
        <w:footnoteReference w:id="12"/>
      </w:r>
      <w:r w:rsidR="008325F8" w:rsidRPr="00606103">
        <w:rPr>
          <w:rFonts w:asciiTheme="majorHAnsi" w:hAnsiTheme="majorHAnsi" w:cstheme="majorHAnsi"/>
          <w:color w:val="000000" w:themeColor="text1"/>
          <w:spacing w:val="-1"/>
          <w:sz w:val="24"/>
          <w:szCs w:val="24"/>
          <w:lang w:val="ro-MD"/>
        </w:rPr>
        <w:t>, care în anul 2021 a</w:t>
      </w:r>
      <w:r w:rsidRPr="00606103">
        <w:rPr>
          <w:rFonts w:asciiTheme="majorHAnsi" w:hAnsiTheme="majorHAnsi" w:cstheme="majorHAnsi"/>
          <w:color w:val="000000" w:themeColor="text1"/>
          <w:spacing w:val="-1"/>
          <w:sz w:val="24"/>
          <w:szCs w:val="24"/>
          <w:lang w:val="ro-MD"/>
        </w:rPr>
        <w:t>u</w:t>
      </w:r>
      <w:r w:rsidR="008325F8" w:rsidRPr="00606103">
        <w:rPr>
          <w:rFonts w:asciiTheme="majorHAnsi" w:hAnsiTheme="majorHAnsi" w:cstheme="majorHAnsi"/>
          <w:color w:val="000000" w:themeColor="text1"/>
          <w:spacing w:val="-1"/>
          <w:sz w:val="24"/>
          <w:szCs w:val="24"/>
          <w:lang w:val="ro-MD"/>
        </w:rPr>
        <w:t xml:space="preserve"> însumat 68,8 mil. lei pentru 109 plătitori vamali. </w:t>
      </w:r>
    </w:p>
    <w:p w:rsidR="008325F8" w:rsidRPr="00606103" w:rsidRDefault="001F1A79">
      <w:pPr>
        <w:spacing w:line="276" w:lineRule="auto"/>
        <w:rPr>
          <w:rFonts w:asciiTheme="majorHAnsi" w:hAnsiTheme="majorHAnsi" w:cstheme="majorHAnsi"/>
          <w:bCs/>
          <w:iCs/>
          <w:sz w:val="24"/>
          <w:szCs w:val="24"/>
          <w:lang w:val="ro-MD"/>
        </w:rPr>
      </w:pPr>
      <w:r w:rsidRPr="00606103">
        <w:rPr>
          <w:rFonts w:asciiTheme="majorHAnsi" w:hAnsiTheme="majorHAnsi" w:cstheme="majorHAnsi"/>
          <w:bCs/>
          <w:iCs/>
          <w:sz w:val="24"/>
          <w:szCs w:val="24"/>
          <w:lang w:val="ro-MD"/>
        </w:rPr>
        <w:t xml:space="preserve">În același </w:t>
      </w:r>
      <w:r w:rsidRPr="005149D7">
        <w:rPr>
          <w:rFonts w:asciiTheme="majorHAnsi" w:hAnsiTheme="majorHAnsi" w:cstheme="majorHAnsi"/>
          <w:bCs/>
          <w:iCs/>
          <w:sz w:val="24"/>
          <w:szCs w:val="24"/>
          <w:lang w:val="ro-MD"/>
        </w:rPr>
        <w:t>timp</w:t>
      </w:r>
      <w:r w:rsidR="00462CB5" w:rsidRPr="005149D7">
        <w:rPr>
          <w:rFonts w:asciiTheme="majorHAnsi" w:hAnsiTheme="majorHAnsi" w:cstheme="majorHAnsi"/>
          <w:bCs/>
          <w:iCs/>
          <w:sz w:val="24"/>
          <w:szCs w:val="24"/>
          <w:lang w:val="ro-MD"/>
        </w:rPr>
        <w:t xml:space="preserve"> </w:t>
      </w:r>
      <w:r w:rsidR="00746633" w:rsidRPr="005149D7">
        <w:rPr>
          <w:rFonts w:asciiTheme="majorHAnsi" w:hAnsiTheme="majorHAnsi" w:cstheme="majorHAnsi"/>
          <w:bCs/>
          <w:iCs/>
          <w:sz w:val="24"/>
          <w:szCs w:val="24"/>
          <w:lang w:val="ro-MD"/>
        </w:rPr>
        <w:t>s-a</w:t>
      </w:r>
      <w:r w:rsidR="008325F8" w:rsidRPr="005149D7">
        <w:rPr>
          <w:rFonts w:asciiTheme="majorHAnsi" w:hAnsiTheme="majorHAnsi" w:cstheme="majorHAnsi"/>
          <w:bCs/>
          <w:iCs/>
          <w:sz w:val="24"/>
          <w:szCs w:val="24"/>
          <w:lang w:val="ro-MD"/>
        </w:rPr>
        <w:t xml:space="preserve"> constatat că</w:t>
      </w:r>
      <w:r w:rsidRPr="005149D7">
        <w:rPr>
          <w:rFonts w:asciiTheme="majorHAnsi" w:hAnsiTheme="majorHAnsi" w:cstheme="majorHAnsi"/>
          <w:bCs/>
          <w:iCs/>
          <w:sz w:val="24"/>
          <w:szCs w:val="24"/>
          <w:lang w:val="ro-MD"/>
        </w:rPr>
        <w:t>,</w:t>
      </w:r>
      <w:r w:rsidR="008325F8" w:rsidRPr="005149D7">
        <w:rPr>
          <w:rFonts w:asciiTheme="majorHAnsi" w:hAnsiTheme="majorHAnsi" w:cstheme="majorHAnsi"/>
          <w:bCs/>
          <w:iCs/>
          <w:sz w:val="24"/>
          <w:szCs w:val="24"/>
          <w:lang w:val="ro-MD"/>
        </w:rPr>
        <w:t xml:space="preserve"> în </w:t>
      </w:r>
      <w:r w:rsidR="00746633" w:rsidRPr="005149D7">
        <w:rPr>
          <w:rFonts w:asciiTheme="majorHAnsi" w:hAnsiTheme="majorHAnsi" w:cstheme="majorHAnsi"/>
          <w:bCs/>
          <w:iCs/>
          <w:sz w:val="24"/>
          <w:szCs w:val="24"/>
          <w:lang w:val="ro-MD"/>
        </w:rPr>
        <w:t>„</w:t>
      </w:r>
      <w:r w:rsidR="008325F8" w:rsidRPr="005149D7">
        <w:rPr>
          <w:rFonts w:asciiTheme="majorHAnsi" w:hAnsiTheme="majorHAnsi" w:cstheme="majorHAnsi"/>
          <w:bCs/>
          <w:iCs/>
          <w:sz w:val="24"/>
          <w:szCs w:val="24"/>
          <w:lang w:val="ro-MD"/>
        </w:rPr>
        <w:t>Bilanțul contabil privind executarea bugetului de stat”</w:t>
      </w:r>
      <w:r w:rsidR="003277D4" w:rsidRPr="005149D7">
        <w:rPr>
          <w:rStyle w:val="FootnoteReference"/>
          <w:rFonts w:asciiTheme="majorHAnsi" w:hAnsiTheme="majorHAnsi" w:cstheme="majorHAnsi"/>
          <w:bCs/>
          <w:iCs/>
          <w:sz w:val="24"/>
          <w:szCs w:val="24"/>
          <w:lang w:val="ro-MD"/>
        </w:rPr>
        <w:footnoteReference w:id="13"/>
      </w:r>
      <w:r w:rsidR="008325F8" w:rsidRPr="005149D7">
        <w:rPr>
          <w:rFonts w:asciiTheme="majorHAnsi" w:hAnsiTheme="majorHAnsi" w:cstheme="majorHAnsi"/>
          <w:sz w:val="24"/>
          <w:szCs w:val="24"/>
          <w:lang w:val="ro-MD"/>
        </w:rPr>
        <w:t xml:space="preserve"> </w:t>
      </w:r>
      <w:r w:rsidRPr="005149D7">
        <w:rPr>
          <w:rFonts w:asciiTheme="majorHAnsi" w:hAnsiTheme="majorHAnsi" w:cstheme="majorHAnsi"/>
          <w:sz w:val="24"/>
          <w:szCs w:val="24"/>
          <w:lang w:val="ro-MD"/>
        </w:rPr>
        <w:t>erau</w:t>
      </w:r>
      <w:r w:rsidR="008325F8" w:rsidRPr="005149D7">
        <w:rPr>
          <w:rFonts w:asciiTheme="majorHAnsi" w:hAnsiTheme="majorHAnsi" w:cstheme="majorHAnsi"/>
          <w:sz w:val="24"/>
          <w:szCs w:val="24"/>
          <w:lang w:val="ro-MD"/>
        </w:rPr>
        <w:t xml:space="preserve"> reflectate</w:t>
      </w:r>
      <w:r w:rsidR="009F6F41" w:rsidRPr="005149D7">
        <w:rPr>
          <w:rFonts w:asciiTheme="majorHAnsi" w:hAnsiTheme="majorHAnsi" w:cstheme="majorHAnsi"/>
          <w:sz w:val="24"/>
          <w:szCs w:val="24"/>
          <w:lang w:val="ro-MD"/>
        </w:rPr>
        <w:t xml:space="preserve">, la 31.12.2021, </w:t>
      </w:r>
      <w:r w:rsidR="008325F8" w:rsidRPr="005149D7">
        <w:rPr>
          <w:rFonts w:asciiTheme="majorHAnsi" w:hAnsiTheme="majorHAnsi" w:cstheme="majorHAnsi"/>
          <w:sz w:val="24"/>
          <w:szCs w:val="24"/>
          <w:lang w:val="ro-MD"/>
        </w:rPr>
        <w:t xml:space="preserve">creanțe ale contribuabililor în sumă de </w:t>
      </w:r>
      <w:r w:rsidR="00086781" w:rsidRPr="005149D7">
        <w:rPr>
          <w:rFonts w:asciiTheme="majorHAnsi" w:hAnsiTheme="majorHAnsi" w:cstheme="majorHAnsi"/>
          <w:bCs/>
          <w:iCs/>
          <w:sz w:val="24"/>
          <w:szCs w:val="24"/>
          <w:lang w:val="ro-MD"/>
        </w:rPr>
        <w:t>2 012,6 mil. lei, sau cu 85,2</w:t>
      </w:r>
      <w:r w:rsidR="00E33725" w:rsidRPr="005149D7">
        <w:rPr>
          <w:rFonts w:asciiTheme="majorHAnsi" w:hAnsiTheme="majorHAnsi" w:cstheme="majorHAnsi"/>
          <w:bCs/>
          <w:iCs/>
          <w:sz w:val="24"/>
          <w:szCs w:val="24"/>
          <w:lang w:val="ro-MD"/>
        </w:rPr>
        <w:t xml:space="preserve"> </w:t>
      </w:r>
      <w:r w:rsidR="003277D4" w:rsidRPr="005149D7">
        <w:rPr>
          <w:rFonts w:asciiTheme="majorHAnsi" w:hAnsiTheme="majorHAnsi" w:cstheme="majorHAnsi"/>
          <w:bCs/>
          <w:iCs/>
          <w:sz w:val="24"/>
          <w:szCs w:val="24"/>
          <w:lang w:val="ro-MD"/>
        </w:rPr>
        <w:t>mil. lei</w:t>
      </w:r>
      <w:r w:rsidR="008325F8" w:rsidRPr="005149D7">
        <w:rPr>
          <w:rFonts w:asciiTheme="majorHAnsi" w:hAnsiTheme="majorHAnsi" w:cstheme="majorHAnsi"/>
          <w:bCs/>
          <w:iCs/>
          <w:sz w:val="24"/>
          <w:szCs w:val="24"/>
          <w:lang w:val="ro-MD"/>
        </w:rPr>
        <w:t xml:space="preserve"> mai mult față de datele raportate </w:t>
      </w:r>
      <w:r w:rsidR="00DD6C38" w:rsidRPr="005149D7">
        <w:rPr>
          <w:rFonts w:asciiTheme="majorHAnsi" w:hAnsiTheme="majorHAnsi" w:cstheme="majorHAnsi"/>
          <w:bCs/>
          <w:iCs/>
          <w:sz w:val="24"/>
          <w:szCs w:val="24"/>
          <w:lang w:val="ro-MD"/>
        </w:rPr>
        <w:t xml:space="preserve">de către </w:t>
      </w:r>
      <w:r w:rsidR="008325F8" w:rsidRPr="005149D7">
        <w:rPr>
          <w:rFonts w:asciiTheme="majorHAnsi" w:hAnsiTheme="majorHAnsi" w:cstheme="majorHAnsi"/>
          <w:bCs/>
          <w:iCs/>
          <w:sz w:val="24"/>
          <w:szCs w:val="24"/>
          <w:lang w:val="ro-MD"/>
        </w:rPr>
        <w:t>MF</w:t>
      </w:r>
      <w:r w:rsidR="002E265C" w:rsidRPr="005149D7">
        <w:rPr>
          <w:rFonts w:asciiTheme="majorHAnsi" w:hAnsiTheme="majorHAnsi" w:cstheme="majorHAnsi"/>
          <w:bCs/>
          <w:iCs/>
          <w:sz w:val="24"/>
          <w:szCs w:val="24"/>
          <w:lang w:val="ro-MD"/>
        </w:rPr>
        <w:t xml:space="preserve"> (1 927,4 mil. lei)</w:t>
      </w:r>
      <w:r w:rsidR="00182A23" w:rsidRPr="005149D7">
        <w:rPr>
          <w:rFonts w:asciiTheme="majorHAnsi" w:hAnsiTheme="majorHAnsi" w:cstheme="majorHAnsi"/>
          <w:bCs/>
          <w:iCs/>
          <w:sz w:val="24"/>
          <w:szCs w:val="24"/>
          <w:lang w:val="ro-MD"/>
        </w:rPr>
        <w:t>, ca urmare</w:t>
      </w:r>
      <w:r w:rsidR="008325F8" w:rsidRPr="005149D7">
        <w:rPr>
          <w:rFonts w:asciiTheme="majorHAnsi" w:hAnsiTheme="majorHAnsi" w:cstheme="majorHAnsi"/>
          <w:bCs/>
          <w:iCs/>
          <w:sz w:val="24"/>
          <w:szCs w:val="24"/>
          <w:lang w:val="ro-MD"/>
        </w:rPr>
        <w:t xml:space="preserve"> în Raportul narativ privind executarea BS în anul 2021 au fost raportate doar restanțele la plățile adm</w:t>
      </w:r>
      <w:r w:rsidR="003277D4" w:rsidRPr="005149D7">
        <w:rPr>
          <w:rFonts w:asciiTheme="majorHAnsi" w:hAnsiTheme="majorHAnsi" w:cstheme="majorHAnsi"/>
          <w:bCs/>
          <w:iCs/>
          <w:sz w:val="24"/>
          <w:szCs w:val="24"/>
          <w:lang w:val="ro-MD"/>
        </w:rPr>
        <w:t>inistrate de SFS și SV. Examinările</w:t>
      </w:r>
      <w:r w:rsidR="008325F8" w:rsidRPr="005149D7">
        <w:rPr>
          <w:rFonts w:asciiTheme="majorHAnsi" w:hAnsiTheme="majorHAnsi" w:cstheme="majorHAnsi"/>
          <w:bCs/>
          <w:iCs/>
          <w:sz w:val="24"/>
          <w:szCs w:val="24"/>
          <w:lang w:val="ro-MD"/>
        </w:rPr>
        <w:t xml:space="preserve"> auditul</w:t>
      </w:r>
      <w:r w:rsidR="003277D4" w:rsidRPr="005149D7">
        <w:rPr>
          <w:rFonts w:asciiTheme="majorHAnsi" w:hAnsiTheme="majorHAnsi" w:cstheme="majorHAnsi"/>
          <w:bCs/>
          <w:iCs/>
          <w:sz w:val="24"/>
          <w:szCs w:val="24"/>
          <w:lang w:val="ro-MD"/>
        </w:rPr>
        <w:t>ui</w:t>
      </w:r>
      <w:r w:rsidR="008325F8" w:rsidRPr="005149D7">
        <w:rPr>
          <w:rFonts w:asciiTheme="majorHAnsi" w:hAnsiTheme="majorHAnsi" w:cstheme="majorHAnsi"/>
          <w:bCs/>
          <w:iCs/>
          <w:sz w:val="24"/>
          <w:szCs w:val="24"/>
          <w:lang w:val="ro-MD"/>
        </w:rPr>
        <w:t xml:space="preserve"> a</w:t>
      </w:r>
      <w:r w:rsidR="003277D4" w:rsidRPr="005149D7">
        <w:rPr>
          <w:rFonts w:asciiTheme="majorHAnsi" w:hAnsiTheme="majorHAnsi" w:cstheme="majorHAnsi"/>
          <w:bCs/>
          <w:iCs/>
          <w:sz w:val="24"/>
          <w:szCs w:val="24"/>
          <w:lang w:val="ro-MD"/>
        </w:rPr>
        <w:t>u</w:t>
      </w:r>
      <w:r w:rsidR="008325F8" w:rsidRPr="005149D7">
        <w:rPr>
          <w:rFonts w:asciiTheme="majorHAnsi" w:hAnsiTheme="majorHAnsi" w:cstheme="majorHAnsi"/>
          <w:bCs/>
          <w:iCs/>
          <w:sz w:val="24"/>
          <w:szCs w:val="24"/>
          <w:lang w:val="ro-MD"/>
        </w:rPr>
        <w:t xml:space="preserve"> constat</w:t>
      </w:r>
      <w:r w:rsidR="002433DF" w:rsidRPr="005149D7">
        <w:rPr>
          <w:rFonts w:asciiTheme="majorHAnsi" w:hAnsiTheme="majorHAnsi" w:cstheme="majorHAnsi"/>
          <w:bCs/>
          <w:iCs/>
          <w:sz w:val="24"/>
          <w:szCs w:val="24"/>
          <w:lang w:val="ro-MD"/>
        </w:rPr>
        <w:t>at</w:t>
      </w:r>
      <w:r w:rsidR="008325F8" w:rsidRPr="005149D7">
        <w:rPr>
          <w:rFonts w:asciiTheme="majorHAnsi" w:hAnsiTheme="majorHAnsi" w:cstheme="majorHAnsi"/>
          <w:bCs/>
          <w:iCs/>
          <w:sz w:val="24"/>
          <w:szCs w:val="24"/>
          <w:lang w:val="ro-MD"/>
        </w:rPr>
        <w:t xml:space="preserve"> că </w:t>
      </w:r>
      <w:r w:rsidR="00086781" w:rsidRPr="005149D7">
        <w:rPr>
          <w:rFonts w:asciiTheme="majorHAnsi" w:hAnsiTheme="majorHAnsi" w:cstheme="majorHAnsi"/>
          <w:bCs/>
          <w:iCs/>
          <w:sz w:val="24"/>
          <w:szCs w:val="24"/>
          <w:lang w:val="ro-MD"/>
        </w:rPr>
        <w:t>diferența de 85,2</w:t>
      </w:r>
      <w:r w:rsidR="003277D4" w:rsidRPr="005149D7">
        <w:rPr>
          <w:rFonts w:asciiTheme="majorHAnsi" w:hAnsiTheme="majorHAnsi" w:cstheme="majorHAnsi"/>
          <w:bCs/>
          <w:iCs/>
          <w:sz w:val="24"/>
          <w:szCs w:val="24"/>
          <w:lang w:val="ro-MD"/>
        </w:rPr>
        <w:t xml:space="preserve"> mil. lei constituie </w:t>
      </w:r>
      <w:r w:rsidR="008325F8" w:rsidRPr="005149D7">
        <w:rPr>
          <w:rFonts w:asciiTheme="majorHAnsi" w:hAnsiTheme="majorHAnsi" w:cstheme="majorHAnsi"/>
          <w:bCs/>
          <w:iCs/>
          <w:sz w:val="24"/>
          <w:szCs w:val="24"/>
          <w:lang w:val="ro-MD"/>
        </w:rPr>
        <w:t>creanțe</w:t>
      </w:r>
      <w:r w:rsidR="003277D4" w:rsidRPr="005149D7">
        <w:rPr>
          <w:rFonts w:asciiTheme="majorHAnsi" w:hAnsiTheme="majorHAnsi" w:cstheme="majorHAnsi"/>
          <w:bCs/>
          <w:iCs/>
          <w:sz w:val="24"/>
          <w:szCs w:val="24"/>
          <w:lang w:val="ro-MD"/>
        </w:rPr>
        <w:t>le</w:t>
      </w:r>
      <w:r w:rsidR="008325F8" w:rsidRPr="005149D7">
        <w:rPr>
          <w:rFonts w:asciiTheme="majorHAnsi" w:hAnsiTheme="majorHAnsi" w:cstheme="majorHAnsi"/>
          <w:bCs/>
          <w:iCs/>
          <w:sz w:val="24"/>
          <w:szCs w:val="24"/>
          <w:lang w:val="ro-MD"/>
        </w:rPr>
        <w:t xml:space="preserve"> contribuabililor</w:t>
      </w:r>
      <w:r w:rsidR="003277D4" w:rsidRPr="00606103">
        <w:rPr>
          <w:rFonts w:asciiTheme="majorHAnsi" w:hAnsiTheme="majorHAnsi" w:cstheme="majorHAnsi"/>
          <w:bCs/>
          <w:iCs/>
          <w:sz w:val="24"/>
          <w:szCs w:val="24"/>
          <w:lang w:val="ro-MD"/>
        </w:rPr>
        <w:t xml:space="preserve"> raportate de</w:t>
      </w:r>
      <w:r w:rsidR="00E95D93" w:rsidRPr="00606103">
        <w:rPr>
          <w:rFonts w:asciiTheme="majorHAnsi" w:hAnsiTheme="majorHAnsi" w:cstheme="majorHAnsi"/>
          <w:bCs/>
          <w:iCs/>
          <w:sz w:val="24"/>
          <w:szCs w:val="24"/>
          <w:lang w:val="ro-MD"/>
        </w:rPr>
        <w:t xml:space="preserve"> </w:t>
      </w:r>
      <w:r w:rsidR="003277D4" w:rsidRPr="00606103">
        <w:rPr>
          <w:rFonts w:asciiTheme="majorHAnsi" w:hAnsiTheme="majorHAnsi" w:cstheme="majorHAnsi"/>
          <w:bCs/>
          <w:iCs/>
          <w:sz w:val="24"/>
          <w:szCs w:val="24"/>
          <w:lang w:val="ro-MD"/>
        </w:rPr>
        <w:t>MIDR</w:t>
      </w:r>
      <w:r w:rsidR="008325F8" w:rsidRPr="00606103">
        <w:rPr>
          <w:rFonts w:asciiTheme="majorHAnsi" w:hAnsiTheme="majorHAnsi" w:cstheme="majorHAnsi"/>
          <w:bCs/>
          <w:iCs/>
          <w:sz w:val="24"/>
          <w:szCs w:val="24"/>
          <w:lang w:val="ro-MD"/>
        </w:rPr>
        <w:t xml:space="preserve"> </w:t>
      </w:r>
      <w:r w:rsidR="003277D4" w:rsidRPr="00606103">
        <w:rPr>
          <w:rFonts w:asciiTheme="majorHAnsi" w:hAnsiTheme="majorHAnsi" w:cstheme="majorHAnsi"/>
          <w:bCs/>
          <w:iCs/>
          <w:sz w:val="24"/>
          <w:szCs w:val="24"/>
          <w:lang w:val="ro-MD"/>
        </w:rPr>
        <w:t>(</w:t>
      </w:r>
      <w:r w:rsidR="008325F8" w:rsidRPr="00606103">
        <w:rPr>
          <w:rFonts w:asciiTheme="majorHAnsi" w:hAnsiTheme="majorHAnsi" w:cstheme="majorHAnsi"/>
          <w:bCs/>
          <w:iCs/>
          <w:sz w:val="24"/>
          <w:szCs w:val="24"/>
          <w:lang w:val="ro-MD"/>
        </w:rPr>
        <w:t>74,2 mil. lei</w:t>
      </w:r>
      <w:r w:rsidR="003277D4" w:rsidRPr="00606103">
        <w:rPr>
          <w:rFonts w:asciiTheme="majorHAnsi" w:hAnsiTheme="majorHAnsi" w:cstheme="majorHAnsi"/>
          <w:bCs/>
          <w:iCs/>
          <w:sz w:val="24"/>
          <w:szCs w:val="24"/>
          <w:lang w:val="ro-MD"/>
        </w:rPr>
        <w:t>)</w:t>
      </w:r>
      <w:r w:rsidR="009E5A77" w:rsidRPr="00606103">
        <w:rPr>
          <w:rStyle w:val="FootnoteReference"/>
          <w:rFonts w:asciiTheme="majorHAnsi" w:hAnsiTheme="majorHAnsi" w:cstheme="majorHAnsi"/>
          <w:bCs/>
          <w:iCs/>
          <w:sz w:val="24"/>
          <w:szCs w:val="24"/>
          <w:lang w:val="ro-MD"/>
        </w:rPr>
        <w:footnoteReference w:id="14"/>
      </w:r>
      <w:r w:rsidR="00086781" w:rsidRPr="00606103">
        <w:rPr>
          <w:rFonts w:asciiTheme="majorHAnsi" w:hAnsiTheme="majorHAnsi" w:cstheme="majorHAnsi"/>
          <w:bCs/>
          <w:iCs/>
          <w:sz w:val="24"/>
          <w:szCs w:val="24"/>
          <w:lang w:val="ro-MD"/>
        </w:rPr>
        <w:t xml:space="preserve">, MM (10,8 mil. lei) </w:t>
      </w:r>
      <w:r w:rsidR="003277D4" w:rsidRPr="00606103">
        <w:rPr>
          <w:rFonts w:asciiTheme="majorHAnsi" w:hAnsiTheme="majorHAnsi" w:cstheme="majorHAnsi"/>
          <w:bCs/>
          <w:iCs/>
          <w:sz w:val="24"/>
          <w:szCs w:val="24"/>
          <w:lang w:val="ro-MD"/>
        </w:rPr>
        <w:t>și AȘM (</w:t>
      </w:r>
      <w:r w:rsidR="008325F8" w:rsidRPr="00606103">
        <w:rPr>
          <w:rFonts w:asciiTheme="majorHAnsi" w:hAnsiTheme="majorHAnsi" w:cstheme="majorHAnsi"/>
          <w:bCs/>
          <w:iCs/>
          <w:sz w:val="24"/>
          <w:szCs w:val="24"/>
          <w:lang w:val="ro-MD"/>
        </w:rPr>
        <w:t>0,2 mil. lei</w:t>
      </w:r>
      <w:r w:rsidR="003277D4" w:rsidRPr="00606103">
        <w:rPr>
          <w:rFonts w:asciiTheme="majorHAnsi" w:hAnsiTheme="majorHAnsi" w:cstheme="majorHAnsi"/>
          <w:bCs/>
          <w:iCs/>
          <w:sz w:val="24"/>
          <w:szCs w:val="24"/>
          <w:lang w:val="ro-MD"/>
        </w:rPr>
        <w:t>)</w:t>
      </w:r>
      <w:r w:rsidR="008325F8" w:rsidRPr="00606103">
        <w:rPr>
          <w:rFonts w:asciiTheme="majorHAnsi" w:hAnsiTheme="majorHAnsi" w:cstheme="majorHAnsi"/>
          <w:bCs/>
          <w:iCs/>
          <w:sz w:val="24"/>
          <w:szCs w:val="24"/>
          <w:lang w:val="ro-MD"/>
        </w:rPr>
        <w:t xml:space="preserve">. </w:t>
      </w:r>
      <w:r w:rsidR="003277D4" w:rsidRPr="00606103">
        <w:rPr>
          <w:rFonts w:asciiTheme="majorHAnsi" w:hAnsiTheme="majorHAnsi" w:cstheme="majorHAnsi"/>
          <w:bCs/>
          <w:iCs/>
          <w:sz w:val="24"/>
          <w:szCs w:val="24"/>
          <w:lang w:val="ro-MD"/>
        </w:rPr>
        <w:t>Astfel, c</w:t>
      </w:r>
      <w:r w:rsidR="008325F8" w:rsidRPr="00606103">
        <w:rPr>
          <w:rFonts w:asciiTheme="majorHAnsi" w:hAnsiTheme="majorHAnsi" w:cstheme="majorHAnsi"/>
          <w:bCs/>
          <w:iCs/>
          <w:sz w:val="24"/>
          <w:szCs w:val="24"/>
          <w:lang w:val="ro-MD"/>
        </w:rPr>
        <w:t xml:space="preserve">onform Raportului </w:t>
      </w:r>
      <w:r w:rsidR="008325F8" w:rsidRPr="00606103">
        <w:rPr>
          <w:rFonts w:asciiTheme="majorHAnsi" w:hAnsiTheme="majorHAnsi" w:cstheme="majorHAnsi"/>
          <w:bCs/>
          <w:iCs/>
          <w:sz w:val="24"/>
          <w:szCs w:val="24"/>
          <w:lang w:val="ro-MD"/>
        </w:rPr>
        <w:lastRenderedPageBreak/>
        <w:t>MIDR prezentat MF, soldul total al creanțelor extrabilanțiere cuprinde sancțiunile economice (penalități legale, dobânzi pentru întârziere) calculate și înaintate debitorilor pentru nerespectarea termen</w:t>
      </w:r>
      <w:r w:rsidR="009F6F41" w:rsidRPr="00606103">
        <w:rPr>
          <w:rFonts w:asciiTheme="majorHAnsi" w:hAnsiTheme="majorHAnsi" w:cstheme="majorHAnsi"/>
          <w:bCs/>
          <w:iCs/>
          <w:sz w:val="24"/>
          <w:szCs w:val="24"/>
          <w:lang w:val="ro-MD"/>
        </w:rPr>
        <w:t>e</w:t>
      </w:r>
      <w:r w:rsidR="008325F8" w:rsidRPr="00606103">
        <w:rPr>
          <w:rFonts w:asciiTheme="majorHAnsi" w:hAnsiTheme="majorHAnsi" w:cstheme="majorHAnsi"/>
          <w:bCs/>
          <w:iCs/>
          <w:sz w:val="24"/>
          <w:szCs w:val="24"/>
          <w:lang w:val="ro-MD"/>
        </w:rPr>
        <w:t>lor de achitare a plăților de supraveghere, aflate în procedură de examinare în in</w:t>
      </w:r>
      <w:r w:rsidR="003277D4" w:rsidRPr="00606103">
        <w:rPr>
          <w:rFonts w:asciiTheme="majorHAnsi" w:hAnsiTheme="majorHAnsi" w:cstheme="majorHAnsi"/>
          <w:bCs/>
          <w:iCs/>
          <w:sz w:val="24"/>
          <w:szCs w:val="24"/>
          <w:lang w:val="ro-MD"/>
        </w:rPr>
        <w:t>stanțele de judecată (</w:t>
      </w:r>
      <w:r w:rsidR="008325F8" w:rsidRPr="00606103">
        <w:rPr>
          <w:rFonts w:asciiTheme="majorHAnsi" w:hAnsiTheme="majorHAnsi" w:cstheme="majorHAnsi"/>
          <w:bCs/>
          <w:iCs/>
          <w:sz w:val="24"/>
          <w:szCs w:val="24"/>
          <w:lang w:val="ro-MD"/>
        </w:rPr>
        <w:t>72,3 mil. lei</w:t>
      </w:r>
      <w:r w:rsidR="003277D4" w:rsidRPr="00606103">
        <w:rPr>
          <w:rFonts w:asciiTheme="majorHAnsi" w:hAnsiTheme="majorHAnsi" w:cstheme="majorHAnsi"/>
          <w:bCs/>
          <w:iCs/>
          <w:sz w:val="24"/>
          <w:szCs w:val="24"/>
          <w:lang w:val="ro-MD"/>
        </w:rPr>
        <w:t>)</w:t>
      </w:r>
      <w:r w:rsidR="008325F8" w:rsidRPr="00606103">
        <w:rPr>
          <w:rFonts w:asciiTheme="majorHAnsi" w:hAnsiTheme="majorHAnsi" w:cstheme="majorHAnsi"/>
          <w:bCs/>
          <w:iCs/>
          <w:sz w:val="24"/>
          <w:szCs w:val="24"/>
          <w:lang w:val="ro-MD"/>
        </w:rPr>
        <w:t xml:space="preserve"> și creanțele angajaților,</w:t>
      </w:r>
      <w:r w:rsidR="002F3529">
        <w:rPr>
          <w:rFonts w:asciiTheme="majorHAnsi" w:hAnsiTheme="majorHAnsi" w:cstheme="majorHAnsi"/>
          <w:bCs/>
          <w:iCs/>
          <w:sz w:val="24"/>
          <w:szCs w:val="24"/>
          <w:lang w:val="ro-MD"/>
        </w:rPr>
        <w:t xml:space="preserve"> a</w:t>
      </w:r>
      <w:r w:rsidR="008325F8" w:rsidRPr="00606103">
        <w:rPr>
          <w:rFonts w:asciiTheme="majorHAnsi" w:hAnsiTheme="majorHAnsi" w:cstheme="majorHAnsi"/>
          <w:bCs/>
          <w:iCs/>
          <w:sz w:val="24"/>
          <w:szCs w:val="24"/>
          <w:lang w:val="ro-MD"/>
        </w:rPr>
        <w:t xml:space="preserve"> foștilor angajați ai AAC, împreună cu impozitele aferente salariului, contabilizate în cadrul procedurii de executare a prescripției </w:t>
      </w:r>
      <w:r w:rsidR="003277D4" w:rsidRPr="00606103">
        <w:rPr>
          <w:rFonts w:asciiTheme="majorHAnsi" w:hAnsiTheme="majorHAnsi" w:cstheme="majorHAnsi"/>
          <w:bCs/>
          <w:iCs/>
          <w:sz w:val="24"/>
          <w:szCs w:val="24"/>
          <w:lang w:val="ro-MD"/>
        </w:rPr>
        <w:t>Inspecției Financiare (1,9 mil. lei).</w:t>
      </w:r>
      <w:r w:rsidR="009C61E7" w:rsidRPr="00606103">
        <w:rPr>
          <w:rFonts w:asciiTheme="majorHAnsi" w:hAnsiTheme="majorHAnsi" w:cstheme="majorHAnsi"/>
          <w:bCs/>
          <w:iCs/>
          <w:sz w:val="24"/>
          <w:szCs w:val="24"/>
          <w:lang w:val="ro-MD"/>
        </w:rPr>
        <w:t xml:space="preserve"> </w:t>
      </w:r>
      <w:r w:rsidR="008325F8" w:rsidRPr="00606103">
        <w:rPr>
          <w:rFonts w:asciiTheme="majorHAnsi" w:hAnsiTheme="majorHAnsi" w:cstheme="majorHAnsi"/>
          <w:bCs/>
          <w:iCs/>
          <w:sz w:val="24"/>
          <w:szCs w:val="24"/>
          <w:lang w:val="ro-MD"/>
        </w:rPr>
        <w:t>În acest context, auditul denotă lipsa clarității în normele metodologice</w:t>
      </w:r>
      <w:r w:rsidR="008325F8" w:rsidRPr="00606103">
        <w:rPr>
          <w:rFonts w:asciiTheme="majorHAnsi" w:hAnsiTheme="majorHAnsi" w:cstheme="majorHAnsi"/>
          <w:sz w:val="24"/>
          <w:szCs w:val="24"/>
          <w:vertAlign w:val="superscript"/>
          <w:lang w:val="ro-MD"/>
        </w:rPr>
        <w:footnoteReference w:id="15"/>
      </w:r>
      <w:r w:rsidR="005C70F1" w:rsidRPr="00606103">
        <w:rPr>
          <w:rFonts w:asciiTheme="majorHAnsi" w:hAnsiTheme="majorHAnsi" w:cstheme="majorHAnsi"/>
          <w:bCs/>
          <w:iCs/>
          <w:sz w:val="24"/>
          <w:szCs w:val="24"/>
          <w:lang w:val="ro-MD"/>
        </w:rPr>
        <w:t>, în condițiile în care Bilanțul respectiv urmează să asigure</w:t>
      </w:r>
      <w:r w:rsidR="008325F8" w:rsidRPr="00606103">
        <w:rPr>
          <w:rFonts w:asciiTheme="majorHAnsi" w:hAnsiTheme="majorHAnsi" w:cstheme="majorHAnsi"/>
          <w:bCs/>
          <w:iCs/>
          <w:sz w:val="24"/>
          <w:szCs w:val="24"/>
          <w:lang w:val="ro-MD"/>
        </w:rPr>
        <w:t xml:space="preserve"> </w:t>
      </w:r>
      <w:r w:rsidR="005C70F1" w:rsidRPr="00606103">
        <w:rPr>
          <w:rFonts w:asciiTheme="majorHAnsi" w:hAnsiTheme="majorHAnsi" w:cstheme="majorHAnsi"/>
          <w:bCs/>
          <w:iCs/>
          <w:sz w:val="24"/>
          <w:szCs w:val="24"/>
          <w:lang w:val="ro-MD"/>
        </w:rPr>
        <w:t xml:space="preserve">plenitudinea raportării tuturor </w:t>
      </w:r>
      <w:r w:rsidR="009F6F41" w:rsidRPr="00606103">
        <w:rPr>
          <w:rFonts w:asciiTheme="majorHAnsi" w:hAnsiTheme="majorHAnsi" w:cstheme="majorHAnsi"/>
          <w:bCs/>
          <w:iCs/>
          <w:sz w:val="24"/>
          <w:szCs w:val="24"/>
          <w:lang w:val="ro-MD"/>
        </w:rPr>
        <w:t>„</w:t>
      </w:r>
      <w:r w:rsidR="005C70F1" w:rsidRPr="00606103">
        <w:rPr>
          <w:rFonts w:asciiTheme="majorHAnsi" w:hAnsiTheme="majorHAnsi" w:cstheme="majorHAnsi"/>
          <w:bCs/>
          <w:i/>
          <w:iCs/>
          <w:sz w:val="24"/>
          <w:szCs w:val="24"/>
          <w:lang w:val="ro-MD"/>
        </w:rPr>
        <w:t>Creanțelor contribuabililor” față de BS (restanțe, creanțe, penalități etc.).</w:t>
      </w:r>
    </w:p>
    <w:p w:rsidR="002872B0" w:rsidRPr="00606103" w:rsidRDefault="00945EC9">
      <w:pPr>
        <w:spacing w:line="276" w:lineRule="auto"/>
        <w:rPr>
          <w:rFonts w:asciiTheme="majorHAnsi" w:eastAsia="Times New Roman" w:hAnsiTheme="majorHAnsi" w:cstheme="majorHAnsi"/>
          <w:sz w:val="24"/>
          <w:szCs w:val="24"/>
          <w:lang w:val="ro-MD"/>
        </w:rPr>
      </w:pPr>
      <w:r w:rsidRPr="00606103">
        <w:rPr>
          <w:rFonts w:asciiTheme="majorHAnsi" w:eastAsia="Times New Roman" w:hAnsiTheme="majorHAnsi" w:cstheme="majorHAnsi"/>
          <w:sz w:val="24"/>
          <w:szCs w:val="24"/>
          <w:lang w:val="ro-MD"/>
        </w:rPr>
        <w:t>Totodată, evidențiem situația</w:t>
      </w:r>
      <w:r w:rsidR="00543360" w:rsidRPr="00606103">
        <w:rPr>
          <w:rFonts w:asciiTheme="majorHAnsi" w:eastAsia="Times New Roman" w:hAnsiTheme="majorHAnsi" w:cstheme="majorHAnsi"/>
          <w:sz w:val="24"/>
          <w:szCs w:val="24"/>
          <w:lang w:val="ro-MD"/>
        </w:rPr>
        <w:t xml:space="preserve"> condiționată de încasările drepturilor de import-export achitate în avans de către agenții economici și persoanele fizice</w:t>
      </w:r>
      <w:r w:rsidR="00065125" w:rsidRPr="00606103">
        <w:rPr>
          <w:rFonts w:asciiTheme="majorHAnsi" w:eastAsia="Times New Roman" w:hAnsiTheme="majorHAnsi" w:cstheme="majorHAnsi"/>
          <w:sz w:val="24"/>
          <w:szCs w:val="24"/>
          <w:lang w:val="ro-MD"/>
        </w:rPr>
        <w:t xml:space="preserve"> </w:t>
      </w:r>
      <w:r w:rsidR="00543360" w:rsidRPr="00606103">
        <w:rPr>
          <w:rFonts w:asciiTheme="majorHAnsi" w:eastAsia="Times New Roman" w:hAnsiTheme="majorHAnsi" w:cstheme="majorHAnsi"/>
          <w:sz w:val="24"/>
          <w:szCs w:val="24"/>
          <w:lang w:val="ro-MD"/>
        </w:rPr>
        <w:t>în ultimele zile lucrătoare ale anului în curs, după închiderea operațiunilor prin sistemul trezorerial a</w:t>
      </w:r>
      <w:r w:rsidR="0039449A" w:rsidRPr="00606103">
        <w:rPr>
          <w:rFonts w:asciiTheme="majorHAnsi" w:eastAsia="Times New Roman" w:hAnsiTheme="majorHAnsi" w:cstheme="majorHAnsi"/>
          <w:sz w:val="24"/>
          <w:szCs w:val="24"/>
          <w:lang w:val="ro-MD"/>
        </w:rPr>
        <w:t>l</w:t>
      </w:r>
      <w:r w:rsidR="00543360" w:rsidRPr="00606103">
        <w:rPr>
          <w:rFonts w:asciiTheme="majorHAnsi" w:eastAsia="Times New Roman" w:hAnsiTheme="majorHAnsi" w:cstheme="majorHAnsi"/>
          <w:sz w:val="24"/>
          <w:szCs w:val="24"/>
          <w:lang w:val="ro-MD"/>
        </w:rPr>
        <w:t xml:space="preserve"> MF, sumele respective fiind înscrise cu prima zi a anului bugetar viitor.</w:t>
      </w:r>
      <w:r w:rsidRPr="00606103">
        <w:rPr>
          <w:rFonts w:asciiTheme="majorHAnsi" w:eastAsia="Times New Roman" w:hAnsiTheme="majorHAnsi" w:cstheme="majorHAnsi"/>
          <w:sz w:val="24"/>
          <w:szCs w:val="24"/>
          <w:lang w:val="ro-MD"/>
        </w:rPr>
        <w:t xml:space="preserve"> Astfel, </w:t>
      </w:r>
      <w:r w:rsidR="009F6F41" w:rsidRPr="00606103">
        <w:rPr>
          <w:rFonts w:asciiTheme="majorHAnsi" w:eastAsia="Times New Roman" w:hAnsiTheme="majorHAnsi" w:cstheme="majorHAnsi"/>
          <w:sz w:val="24"/>
          <w:szCs w:val="24"/>
          <w:lang w:val="ro-MD"/>
        </w:rPr>
        <w:t xml:space="preserve">ca </w:t>
      </w:r>
      <w:r w:rsidRPr="00606103">
        <w:rPr>
          <w:rFonts w:asciiTheme="majorHAnsi" w:eastAsia="Times New Roman" w:hAnsiTheme="majorHAnsi" w:cstheme="majorHAnsi"/>
          <w:sz w:val="24"/>
          <w:szCs w:val="24"/>
          <w:lang w:val="ro-MD"/>
        </w:rPr>
        <w:t xml:space="preserve">urmare </w:t>
      </w:r>
      <w:r w:rsidR="009F6F41" w:rsidRPr="00606103">
        <w:rPr>
          <w:rFonts w:asciiTheme="majorHAnsi" w:eastAsia="Times New Roman" w:hAnsiTheme="majorHAnsi" w:cstheme="majorHAnsi"/>
          <w:sz w:val="24"/>
          <w:szCs w:val="24"/>
          <w:lang w:val="ro-MD"/>
        </w:rPr>
        <w:t xml:space="preserve">a </w:t>
      </w:r>
      <w:r w:rsidRPr="00606103">
        <w:rPr>
          <w:rFonts w:asciiTheme="majorHAnsi" w:eastAsia="Times New Roman" w:hAnsiTheme="majorHAnsi" w:cstheme="majorHAnsi"/>
          <w:sz w:val="24"/>
          <w:szCs w:val="24"/>
          <w:lang w:val="ro-MD"/>
        </w:rPr>
        <w:t>colectării probelor privind administrarea veniturilor de către SV</w:t>
      </w:r>
      <w:r w:rsidR="009F6F41" w:rsidRPr="00606103">
        <w:rPr>
          <w:rFonts w:asciiTheme="majorHAnsi" w:eastAsia="Times New Roman" w:hAnsiTheme="majorHAnsi" w:cstheme="majorHAnsi"/>
          <w:sz w:val="24"/>
          <w:szCs w:val="24"/>
          <w:lang w:val="ro-MD"/>
        </w:rPr>
        <w:t>,</w:t>
      </w:r>
      <w:r w:rsidRPr="00606103">
        <w:rPr>
          <w:rFonts w:asciiTheme="majorHAnsi" w:eastAsia="Times New Roman" w:hAnsiTheme="majorHAnsi" w:cstheme="majorHAnsi"/>
          <w:sz w:val="24"/>
          <w:szCs w:val="24"/>
          <w:lang w:val="ro-MD"/>
        </w:rPr>
        <w:t xml:space="preserve"> s-a</w:t>
      </w:r>
      <w:r w:rsidR="009F6F41" w:rsidRPr="00606103">
        <w:rPr>
          <w:rFonts w:asciiTheme="majorHAnsi" w:eastAsia="Times New Roman" w:hAnsiTheme="majorHAnsi" w:cstheme="majorHAnsi"/>
          <w:sz w:val="24"/>
          <w:szCs w:val="24"/>
          <w:lang w:val="ro-MD"/>
        </w:rPr>
        <w:t>u</w:t>
      </w:r>
      <w:r w:rsidRPr="00606103">
        <w:rPr>
          <w:rFonts w:asciiTheme="majorHAnsi" w:eastAsia="Times New Roman" w:hAnsiTheme="majorHAnsi" w:cstheme="majorHAnsi"/>
          <w:sz w:val="24"/>
          <w:szCs w:val="24"/>
          <w:lang w:val="ro-MD"/>
        </w:rPr>
        <w:t xml:space="preserve"> constatat </w:t>
      </w:r>
      <w:r w:rsidRPr="00606103">
        <w:rPr>
          <w:rFonts w:asciiTheme="majorHAnsi" w:hAnsiTheme="majorHAnsi" w:cstheme="majorHAnsi"/>
          <w:sz w:val="24"/>
          <w:szCs w:val="24"/>
          <w:lang w:val="ro-MD"/>
        </w:rPr>
        <w:t>divergențe privind veniturile încasate la începutul și sfârșitul perioadei de gestiune</w:t>
      </w:r>
      <w:r w:rsidR="001D434B" w:rsidRPr="00606103">
        <w:rPr>
          <w:rFonts w:asciiTheme="majorHAnsi" w:hAnsiTheme="majorHAnsi" w:cstheme="majorHAnsi"/>
          <w:sz w:val="24"/>
          <w:szCs w:val="24"/>
          <w:lang w:val="ro-MD"/>
        </w:rPr>
        <w:t xml:space="preserve"> pentru anul 2021</w:t>
      </w:r>
      <w:r w:rsidR="009F6F41" w:rsidRPr="00606103">
        <w:rPr>
          <w:rFonts w:asciiTheme="majorHAnsi" w:hAnsiTheme="majorHAnsi" w:cstheme="majorHAnsi"/>
          <w:sz w:val="24"/>
          <w:szCs w:val="24"/>
          <w:lang w:val="ro-MD"/>
        </w:rPr>
        <w:t>,</w:t>
      </w:r>
      <w:r w:rsidR="001D434B" w:rsidRPr="00606103">
        <w:rPr>
          <w:rFonts w:asciiTheme="majorHAnsi" w:hAnsiTheme="majorHAnsi" w:cstheme="majorHAnsi"/>
          <w:sz w:val="24"/>
          <w:szCs w:val="24"/>
          <w:lang w:val="ro-MD"/>
        </w:rPr>
        <w:t xml:space="preserve"> în sumă de 3,7 mil. lei și, respectiv, 5,9</w:t>
      </w:r>
      <w:r w:rsidRPr="00606103">
        <w:rPr>
          <w:rFonts w:asciiTheme="majorHAnsi" w:hAnsiTheme="majorHAnsi" w:cstheme="majorHAnsi"/>
          <w:sz w:val="24"/>
          <w:szCs w:val="24"/>
          <w:lang w:val="ro-MD"/>
        </w:rPr>
        <w:t xml:space="preserve"> mil. lei </w:t>
      </w:r>
      <w:r w:rsidRPr="00606103">
        <w:rPr>
          <w:rFonts w:asciiTheme="majorHAnsi" w:eastAsia="Times New Roman" w:hAnsiTheme="majorHAnsi" w:cstheme="majorHAnsi"/>
          <w:sz w:val="24"/>
          <w:szCs w:val="24"/>
          <w:lang w:val="ro-MD"/>
        </w:rPr>
        <w:t>între datele din „Informația privind descifrarea sumelor achitate în avans a drepturilor de import/export (Form</w:t>
      </w:r>
      <w:r w:rsidR="00EF6F00" w:rsidRPr="00606103">
        <w:rPr>
          <w:rFonts w:asciiTheme="majorHAnsi" w:eastAsia="Times New Roman" w:hAnsiTheme="majorHAnsi" w:cstheme="majorHAnsi"/>
          <w:sz w:val="24"/>
          <w:szCs w:val="24"/>
          <w:lang w:val="ro-MD"/>
        </w:rPr>
        <w:t>ularul</w:t>
      </w:r>
      <w:r w:rsidRPr="00606103">
        <w:rPr>
          <w:rFonts w:asciiTheme="majorHAnsi" w:eastAsia="Times New Roman" w:hAnsiTheme="majorHAnsi" w:cstheme="majorHAnsi"/>
          <w:sz w:val="24"/>
          <w:szCs w:val="24"/>
          <w:lang w:val="ro-MD"/>
        </w:rPr>
        <w:t xml:space="preserve"> FI-002) prezentată MF și </w:t>
      </w:r>
      <w:r w:rsidRPr="00606103">
        <w:rPr>
          <w:rFonts w:asciiTheme="majorHAnsi" w:hAnsiTheme="majorHAnsi" w:cstheme="majorHAnsi"/>
          <w:sz w:val="24"/>
          <w:szCs w:val="24"/>
          <w:lang w:val="ro-MD"/>
        </w:rPr>
        <w:t>datele din SI „Economist” al SV</w:t>
      </w:r>
      <w:r w:rsidRPr="00606103">
        <w:rPr>
          <w:rFonts w:asciiTheme="majorHAnsi" w:eastAsia="Times New Roman" w:hAnsiTheme="majorHAnsi" w:cstheme="majorHAnsi"/>
          <w:sz w:val="24"/>
          <w:szCs w:val="24"/>
          <w:lang w:val="ro-MD"/>
        </w:rPr>
        <w:t>. Concomiten</w:t>
      </w:r>
      <w:r w:rsidR="002872B0" w:rsidRPr="00606103">
        <w:rPr>
          <w:rFonts w:asciiTheme="majorHAnsi" w:eastAsia="Times New Roman" w:hAnsiTheme="majorHAnsi" w:cstheme="majorHAnsi"/>
          <w:sz w:val="24"/>
          <w:szCs w:val="24"/>
          <w:lang w:val="ro-MD"/>
        </w:rPr>
        <w:t>t, analogic anilor precedenți</w:t>
      </w:r>
      <w:r w:rsidR="009F6F41" w:rsidRPr="00606103">
        <w:rPr>
          <w:rFonts w:asciiTheme="majorHAnsi" w:eastAsia="Times New Roman" w:hAnsiTheme="majorHAnsi" w:cstheme="majorHAnsi"/>
          <w:sz w:val="24"/>
          <w:szCs w:val="24"/>
          <w:lang w:val="ro-MD"/>
        </w:rPr>
        <w:t>,</w:t>
      </w:r>
      <w:r w:rsidR="002872B0" w:rsidRPr="00606103">
        <w:rPr>
          <w:rFonts w:asciiTheme="majorHAnsi" w:eastAsia="Times New Roman" w:hAnsiTheme="majorHAnsi" w:cstheme="majorHAnsi"/>
          <w:sz w:val="24"/>
          <w:szCs w:val="24"/>
          <w:lang w:val="ro-MD"/>
        </w:rPr>
        <w:t xml:space="preserve"> s</w:t>
      </w:r>
      <w:r w:rsidR="00F336B8" w:rsidRPr="00606103">
        <w:rPr>
          <w:rFonts w:asciiTheme="majorHAnsi" w:eastAsia="Times New Roman" w:hAnsiTheme="majorHAnsi" w:cstheme="majorHAnsi"/>
          <w:sz w:val="24"/>
          <w:szCs w:val="24"/>
          <w:lang w:val="ro-MD"/>
        </w:rPr>
        <w:t>e</w:t>
      </w:r>
      <w:r w:rsidR="002872B0" w:rsidRPr="00606103">
        <w:rPr>
          <w:rFonts w:asciiTheme="majorHAnsi" w:eastAsia="Times New Roman" w:hAnsiTheme="majorHAnsi" w:cstheme="majorHAnsi"/>
          <w:sz w:val="24"/>
          <w:szCs w:val="24"/>
          <w:lang w:val="ro-MD"/>
        </w:rPr>
        <w:t xml:space="preserve"> menți</w:t>
      </w:r>
      <w:r w:rsidR="00F336B8" w:rsidRPr="00606103">
        <w:rPr>
          <w:rFonts w:asciiTheme="majorHAnsi" w:eastAsia="Times New Roman" w:hAnsiTheme="majorHAnsi" w:cstheme="majorHAnsi"/>
          <w:sz w:val="24"/>
          <w:szCs w:val="24"/>
          <w:lang w:val="ro-MD"/>
        </w:rPr>
        <w:t xml:space="preserve">onează </w:t>
      </w:r>
      <w:r w:rsidR="00436214" w:rsidRPr="00606103">
        <w:rPr>
          <w:rFonts w:asciiTheme="majorHAnsi" w:eastAsia="Times New Roman" w:hAnsiTheme="majorHAnsi" w:cstheme="majorHAnsi"/>
          <w:sz w:val="24"/>
          <w:szCs w:val="24"/>
          <w:lang w:val="ro-MD"/>
        </w:rPr>
        <w:t xml:space="preserve">că </w:t>
      </w:r>
      <w:r w:rsidR="008325F8" w:rsidRPr="00606103">
        <w:rPr>
          <w:rFonts w:asciiTheme="majorHAnsi" w:eastAsia="Times New Roman" w:hAnsiTheme="majorHAnsi" w:cstheme="majorHAnsi"/>
          <w:sz w:val="24"/>
          <w:szCs w:val="24"/>
          <w:lang w:val="ro-MD"/>
        </w:rPr>
        <w:t xml:space="preserve">nefuncționalitatea modulului </w:t>
      </w:r>
      <w:r w:rsidR="009F6F41" w:rsidRPr="00606103">
        <w:rPr>
          <w:rFonts w:asciiTheme="majorHAnsi" w:eastAsia="Times New Roman" w:hAnsiTheme="majorHAnsi" w:cstheme="majorHAnsi"/>
          <w:sz w:val="24"/>
          <w:szCs w:val="24"/>
          <w:lang w:val="ro-MD"/>
        </w:rPr>
        <w:t xml:space="preserve">pentru calcularea majorărilor de întârziere la plățile de bază </w:t>
      </w:r>
      <w:r w:rsidR="008325F8" w:rsidRPr="00606103">
        <w:rPr>
          <w:rFonts w:asciiTheme="majorHAnsi" w:eastAsia="Times New Roman" w:hAnsiTheme="majorHAnsi" w:cstheme="majorHAnsi"/>
          <w:sz w:val="24"/>
          <w:szCs w:val="24"/>
          <w:lang w:val="ro-MD"/>
        </w:rPr>
        <w:t xml:space="preserve">din </w:t>
      </w:r>
      <w:r w:rsidR="008325F8" w:rsidRPr="00606103">
        <w:rPr>
          <w:rFonts w:asciiTheme="majorHAnsi" w:hAnsiTheme="majorHAnsi" w:cstheme="majorHAnsi"/>
          <w:sz w:val="24"/>
          <w:szCs w:val="24"/>
          <w:lang w:val="ro-MD"/>
        </w:rPr>
        <w:t>SI</w:t>
      </w:r>
      <w:r w:rsidR="008325F8" w:rsidRPr="00606103">
        <w:rPr>
          <w:rFonts w:asciiTheme="majorHAnsi" w:hAnsiTheme="majorHAnsi" w:cstheme="majorHAnsi"/>
          <w:sz w:val="24"/>
          <w:szCs w:val="24"/>
          <w:vertAlign w:val="superscript"/>
          <w:lang w:val="ro-MD"/>
        </w:rPr>
        <w:footnoteReference w:id="16"/>
      </w:r>
      <w:r w:rsidR="008325F8" w:rsidRPr="00606103">
        <w:rPr>
          <w:rFonts w:asciiTheme="majorHAnsi" w:hAnsiTheme="majorHAnsi" w:cstheme="majorHAnsi"/>
          <w:sz w:val="24"/>
          <w:szCs w:val="24"/>
          <w:lang w:val="ro-MD"/>
        </w:rPr>
        <w:t xml:space="preserve"> </w:t>
      </w:r>
      <w:r w:rsidR="008325F8" w:rsidRPr="00606103">
        <w:rPr>
          <w:rFonts w:asciiTheme="majorHAnsi" w:eastAsia="Times New Roman" w:hAnsiTheme="majorHAnsi" w:cstheme="majorHAnsi"/>
          <w:sz w:val="24"/>
          <w:szCs w:val="24"/>
          <w:lang w:val="ro-MD"/>
        </w:rPr>
        <w:t>al SV a condus la raportarea eronată la MF a „Raportului privind datoriile agenților economici și ale persoanelor fizice la data de 31.12</w:t>
      </w:r>
      <w:r w:rsidRPr="00606103">
        <w:rPr>
          <w:rFonts w:asciiTheme="majorHAnsi" w:eastAsia="Times New Roman" w:hAnsiTheme="majorHAnsi" w:cstheme="majorHAnsi"/>
          <w:sz w:val="24"/>
          <w:szCs w:val="24"/>
          <w:lang w:val="ro-MD"/>
        </w:rPr>
        <w:t>.2021”</w:t>
      </w:r>
      <w:r w:rsidR="00436214" w:rsidRPr="00606103">
        <w:rPr>
          <w:rFonts w:asciiTheme="majorHAnsi" w:eastAsia="Times New Roman" w:hAnsiTheme="majorHAnsi" w:cstheme="majorHAnsi"/>
          <w:sz w:val="24"/>
          <w:szCs w:val="24"/>
          <w:lang w:val="ro-MD"/>
        </w:rPr>
        <w:t>,</w:t>
      </w:r>
      <w:r w:rsidRPr="00606103">
        <w:rPr>
          <w:rFonts w:asciiTheme="majorHAnsi" w:eastAsia="Times New Roman" w:hAnsiTheme="majorHAnsi" w:cstheme="majorHAnsi"/>
          <w:sz w:val="24"/>
          <w:szCs w:val="24"/>
          <w:lang w:val="ro-MD"/>
        </w:rPr>
        <w:t xml:space="preserve"> cu suma de 47,7 mil. lei.</w:t>
      </w:r>
      <w:r w:rsidR="006A7DE4" w:rsidRPr="00606103">
        <w:rPr>
          <w:rFonts w:asciiTheme="majorHAnsi" w:eastAsia="Times New Roman" w:hAnsiTheme="majorHAnsi" w:cstheme="majorHAnsi"/>
          <w:sz w:val="24"/>
          <w:szCs w:val="24"/>
          <w:lang w:val="ro-MD"/>
        </w:rPr>
        <w:t xml:space="preserve"> </w:t>
      </w:r>
    </w:p>
    <w:p w:rsidR="00F625EF" w:rsidRPr="00606103" w:rsidRDefault="009F6F41">
      <w:pPr>
        <w:spacing w:line="276" w:lineRule="auto"/>
        <w:rPr>
          <w:rFonts w:asciiTheme="majorHAnsi" w:eastAsia="Times New Roman" w:hAnsiTheme="majorHAnsi" w:cstheme="majorHAnsi"/>
          <w:sz w:val="24"/>
          <w:szCs w:val="24"/>
          <w:lang w:val="ro-MD"/>
        </w:rPr>
      </w:pPr>
      <w:r w:rsidRPr="00606103">
        <w:rPr>
          <w:rFonts w:asciiTheme="majorHAnsi" w:hAnsiTheme="majorHAnsi" w:cstheme="majorHAnsi"/>
          <w:sz w:val="24"/>
          <w:szCs w:val="24"/>
          <w:lang w:val="ro-MD"/>
        </w:rPr>
        <w:t>Drept</w:t>
      </w:r>
      <w:r w:rsidR="00F625EF" w:rsidRPr="00606103">
        <w:rPr>
          <w:rFonts w:asciiTheme="majorHAnsi" w:hAnsiTheme="majorHAnsi" w:cstheme="majorHAnsi"/>
          <w:sz w:val="24"/>
          <w:szCs w:val="24"/>
          <w:lang w:val="ro-MD"/>
        </w:rPr>
        <w:t xml:space="preserve"> </w:t>
      </w:r>
      <w:r w:rsidR="002872B0" w:rsidRPr="00606103">
        <w:rPr>
          <w:rFonts w:asciiTheme="majorHAnsi" w:hAnsiTheme="majorHAnsi" w:cstheme="majorHAnsi"/>
          <w:sz w:val="24"/>
          <w:szCs w:val="24"/>
          <w:lang w:val="ro-MD"/>
        </w:rPr>
        <w:t xml:space="preserve">urmare </w:t>
      </w:r>
      <w:r w:rsidRPr="00606103">
        <w:rPr>
          <w:rFonts w:asciiTheme="majorHAnsi" w:hAnsiTheme="majorHAnsi" w:cstheme="majorHAnsi"/>
          <w:sz w:val="24"/>
          <w:szCs w:val="24"/>
          <w:lang w:val="ro-MD"/>
        </w:rPr>
        <w:t xml:space="preserve">a </w:t>
      </w:r>
      <w:r w:rsidR="002872B0" w:rsidRPr="00606103">
        <w:rPr>
          <w:rFonts w:asciiTheme="majorHAnsi" w:hAnsiTheme="majorHAnsi" w:cstheme="majorHAnsi"/>
          <w:sz w:val="24"/>
          <w:szCs w:val="24"/>
          <w:lang w:val="ro-MD"/>
        </w:rPr>
        <w:t xml:space="preserve">colectării probelor privind administrarea veniturilor de către </w:t>
      </w:r>
      <w:r w:rsidR="00F625EF" w:rsidRPr="00606103">
        <w:rPr>
          <w:rFonts w:asciiTheme="majorHAnsi" w:hAnsiTheme="majorHAnsi" w:cstheme="majorHAnsi"/>
          <w:sz w:val="24"/>
          <w:szCs w:val="24"/>
          <w:lang w:val="ro-MD"/>
        </w:rPr>
        <w:t>SFS</w:t>
      </w:r>
      <w:r w:rsidRPr="00606103">
        <w:rPr>
          <w:rFonts w:asciiTheme="majorHAnsi" w:hAnsiTheme="majorHAnsi" w:cstheme="majorHAnsi"/>
          <w:sz w:val="24"/>
          <w:szCs w:val="24"/>
          <w:lang w:val="ro-MD"/>
        </w:rPr>
        <w:t>,</w:t>
      </w:r>
      <w:r w:rsidR="00F625EF" w:rsidRPr="00606103">
        <w:rPr>
          <w:rFonts w:asciiTheme="majorHAnsi" w:hAnsiTheme="majorHAnsi" w:cstheme="majorHAnsi"/>
          <w:sz w:val="24"/>
          <w:szCs w:val="24"/>
          <w:lang w:val="ro-MD"/>
        </w:rPr>
        <w:t xml:space="preserve"> </w:t>
      </w:r>
      <w:r w:rsidR="002872B0" w:rsidRPr="00606103">
        <w:rPr>
          <w:rFonts w:asciiTheme="majorHAnsi" w:hAnsiTheme="majorHAnsi" w:cstheme="majorHAnsi"/>
          <w:sz w:val="24"/>
          <w:szCs w:val="24"/>
          <w:lang w:val="ro-MD"/>
        </w:rPr>
        <w:t xml:space="preserve">se </w:t>
      </w:r>
      <w:r w:rsidR="00F625EF" w:rsidRPr="00606103">
        <w:rPr>
          <w:rFonts w:asciiTheme="majorHAnsi" w:hAnsiTheme="majorHAnsi" w:cstheme="majorHAnsi"/>
          <w:sz w:val="24"/>
          <w:szCs w:val="24"/>
          <w:lang w:val="ro-MD"/>
        </w:rPr>
        <w:t>atestă aspecte problematice aferente plenitudinii datelor raportate de SFS, cauzate de neexercitarea pe deplin de către organul fiscal a rolului de administrator de venituri la unele coduri ECO</w:t>
      </w:r>
      <w:r w:rsidR="00F625EF" w:rsidRPr="00606103">
        <w:rPr>
          <w:rFonts w:asciiTheme="majorHAnsi" w:hAnsiTheme="majorHAnsi" w:cstheme="majorHAnsi"/>
          <w:sz w:val="24"/>
          <w:szCs w:val="24"/>
          <w:vertAlign w:val="superscript"/>
          <w:lang w:val="ro-MD"/>
        </w:rPr>
        <w:footnoteReference w:id="17"/>
      </w:r>
      <w:r w:rsidR="00F625EF" w:rsidRPr="00606103">
        <w:rPr>
          <w:rFonts w:asciiTheme="majorHAnsi" w:hAnsiTheme="majorHAnsi" w:cstheme="majorHAnsi"/>
          <w:sz w:val="24"/>
          <w:szCs w:val="24"/>
          <w:lang w:val="ro-MD"/>
        </w:rPr>
        <w:t>,</w:t>
      </w:r>
      <w:r w:rsidR="00E95D93" w:rsidRPr="00606103">
        <w:rPr>
          <w:rFonts w:asciiTheme="majorHAnsi" w:hAnsiTheme="majorHAnsi" w:cstheme="majorHAnsi"/>
          <w:sz w:val="24"/>
          <w:szCs w:val="24"/>
          <w:lang w:val="ro-MD"/>
        </w:rPr>
        <w:t xml:space="preserve"> </w:t>
      </w:r>
      <w:r w:rsidR="00F625EF" w:rsidRPr="00606103">
        <w:rPr>
          <w:rFonts w:asciiTheme="majorHAnsi" w:hAnsiTheme="majorHAnsi" w:cstheme="majorHAnsi"/>
          <w:sz w:val="24"/>
          <w:szCs w:val="24"/>
          <w:lang w:val="ro-MD"/>
        </w:rPr>
        <w:t>în așa mod nefiind</w:t>
      </w:r>
      <w:r w:rsidR="009B3D3B" w:rsidRPr="00606103">
        <w:rPr>
          <w:rFonts w:asciiTheme="majorHAnsi" w:hAnsiTheme="majorHAnsi" w:cstheme="majorHAnsi"/>
          <w:sz w:val="24"/>
          <w:szCs w:val="24"/>
          <w:lang w:val="ro-MD"/>
        </w:rPr>
        <w:t xml:space="preserve"> respectate </w:t>
      </w:r>
      <w:r w:rsidR="004454E0" w:rsidRPr="00606103">
        <w:rPr>
          <w:rFonts w:asciiTheme="majorHAnsi" w:hAnsiTheme="majorHAnsi" w:cstheme="majorHAnsi"/>
          <w:sz w:val="24"/>
          <w:szCs w:val="24"/>
          <w:lang w:val="ro-MD"/>
        </w:rPr>
        <w:t>integral</w:t>
      </w:r>
      <w:r w:rsidR="009B3D3B" w:rsidRPr="00606103">
        <w:rPr>
          <w:rFonts w:asciiTheme="majorHAnsi" w:hAnsiTheme="majorHAnsi" w:cstheme="majorHAnsi"/>
          <w:sz w:val="24"/>
          <w:szCs w:val="24"/>
          <w:lang w:val="ro-MD"/>
        </w:rPr>
        <w:t xml:space="preserve"> cerințele</w:t>
      </w:r>
      <w:r w:rsidR="00F625EF" w:rsidRPr="00606103">
        <w:rPr>
          <w:rFonts w:asciiTheme="majorHAnsi" w:hAnsiTheme="majorHAnsi" w:cstheme="majorHAnsi"/>
          <w:sz w:val="24"/>
          <w:szCs w:val="24"/>
          <w:lang w:val="ro-MD"/>
        </w:rPr>
        <w:t xml:space="preserve"> statuate în art.3 din Legea nr.181 din 25.05.2014</w:t>
      </w:r>
      <w:r w:rsidR="00F625EF" w:rsidRPr="00606103">
        <w:rPr>
          <w:rFonts w:asciiTheme="majorHAnsi" w:hAnsiTheme="majorHAnsi" w:cstheme="majorHAnsi"/>
          <w:sz w:val="24"/>
          <w:szCs w:val="24"/>
          <w:vertAlign w:val="superscript"/>
          <w:lang w:val="ro-MD"/>
        </w:rPr>
        <w:footnoteReference w:id="18"/>
      </w:r>
      <w:r w:rsidR="00F625EF" w:rsidRPr="00606103">
        <w:rPr>
          <w:rFonts w:asciiTheme="majorHAnsi" w:hAnsiTheme="majorHAnsi" w:cstheme="majorHAnsi"/>
          <w:sz w:val="24"/>
          <w:szCs w:val="24"/>
          <w:lang w:val="ro-MD"/>
        </w:rPr>
        <w:t xml:space="preserve">. Deși Curtea de Conturi a menționat </w:t>
      </w:r>
      <w:r w:rsidR="00436214" w:rsidRPr="00606103">
        <w:rPr>
          <w:rFonts w:asciiTheme="majorHAnsi" w:hAnsiTheme="majorHAnsi" w:cstheme="majorHAnsi"/>
          <w:sz w:val="24"/>
          <w:szCs w:val="24"/>
          <w:lang w:val="ro-MD"/>
        </w:rPr>
        <w:t xml:space="preserve">deficiențele respective </w:t>
      </w:r>
      <w:r w:rsidR="00F625EF" w:rsidRPr="00606103">
        <w:rPr>
          <w:rFonts w:asciiTheme="majorHAnsi" w:hAnsiTheme="majorHAnsi" w:cstheme="majorHAnsi"/>
          <w:sz w:val="24"/>
          <w:szCs w:val="24"/>
          <w:lang w:val="ro-MD"/>
        </w:rPr>
        <w:t xml:space="preserve">și în cadrul altor audituri, în anul 2021 nu au fost înregistrate progrese la componenta legată de instituirea unor mecanisme de conlucrare între SFS și instituțiile statului </w:t>
      </w:r>
      <w:r w:rsidR="00436214" w:rsidRPr="00606103">
        <w:rPr>
          <w:rFonts w:asciiTheme="majorHAnsi" w:hAnsiTheme="majorHAnsi" w:cstheme="majorHAnsi"/>
          <w:sz w:val="24"/>
          <w:szCs w:val="24"/>
          <w:lang w:val="ro-MD"/>
        </w:rPr>
        <w:t xml:space="preserve">privind </w:t>
      </w:r>
      <w:r w:rsidR="00F625EF" w:rsidRPr="00606103">
        <w:rPr>
          <w:rFonts w:asciiTheme="majorHAnsi" w:hAnsiTheme="majorHAnsi" w:cstheme="majorHAnsi"/>
          <w:sz w:val="24"/>
          <w:szCs w:val="24"/>
          <w:lang w:val="ro-MD"/>
        </w:rPr>
        <w:t xml:space="preserve">calcularea și raportarea taxelor, amenzilor, altor plăți la buget, </w:t>
      </w:r>
      <w:r w:rsidR="004454E0" w:rsidRPr="00606103">
        <w:rPr>
          <w:rFonts w:asciiTheme="majorHAnsi" w:hAnsiTheme="majorHAnsi" w:cstheme="majorHAnsi"/>
          <w:sz w:val="24"/>
          <w:szCs w:val="24"/>
          <w:lang w:val="ro-MD"/>
        </w:rPr>
        <w:t xml:space="preserve">a căror </w:t>
      </w:r>
      <w:r w:rsidR="00F625EF" w:rsidRPr="00606103">
        <w:rPr>
          <w:rFonts w:asciiTheme="majorHAnsi" w:hAnsiTheme="majorHAnsi" w:cstheme="majorHAnsi"/>
          <w:sz w:val="24"/>
          <w:szCs w:val="24"/>
          <w:lang w:val="ro-MD"/>
        </w:rPr>
        <w:t xml:space="preserve">administrare este pusă în seama SFS, </w:t>
      </w:r>
      <w:r w:rsidR="00436214" w:rsidRPr="00606103">
        <w:rPr>
          <w:rFonts w:asciiTheme="majorHAnsi" w:hAnsiTheme="majorHAnsi" w:cstheme="majorHAnsi"/>
          <w:sz w:val="24"/>
          <w:szCs w:val="24"/>
          <w:lang w:val="ro-MD"/>
        </w:rPr>
        <w:t>i</w:t>
      </w:r>
      <w:r w:rsidR="00F625EF" w:rsidRPr="00606103">
        <w:rPr>
          <w:rFonts w:asciiTheme="majorHAnsi" w:hAnsiTheme="majorHAnsi" w:cstheme="majorHAnsi"/>
          <w:sz w:val="24"/>
          <w:szCs w:val="24"/>
          <w:lang w:val="ro-MD"/>
        </w:rPr>
        <w:t>ar gestionarea efectivă a acestor surse – în responsabilitatea altor</w:t>
      </w:r>
      <w:r w:rsidR="00E95D93" w:rsidRPr="00606103">
        <w:rPr>
          <w:rFonts w:asciiTheme="majorHAnsi" w:hAnsiTheme="majorHAnsi" w:cstheme="majorHAnsi"/>
          <w:sz w:val="24"/>
          <w:szCs w:val="24"/>
          <w:lang w:val="ro-MD"/>
        </w:rPr>
        <w:t xml:space="preserve"> </w:t>
      </w:r>
      <w:r w:rsidR="00F625EF" w:rsidRPr="00606103">
        <w:rPr>
          <w:rFonts w:asciiTheme="majorHAnsi" w:hAnsiTheme="majorHAnsi" w:cstheme="majorHAnsi"/>
          <w:sz w:val="24"/>
          <w:szCs w:val="24"/>
          <w:lang w:val="ro-MD"/>
        </w:rPr>
        <w:t>instituții ale statului. În aceste condiții, la un șir de coduri ECO, în evidența SFS se reflectă doar încasările de casă, conform extraselor de la trezorerie, fără a fi reflectat în contul contribuabilului calculul plății și, după caz, restanțele la aceste plăți.</w:t>
      </w:r>
    </w:p>
    <w:p w:rsidR="00CB6A3A" w:rsidRPr="00606103" w:rsidRDefault="00E95D93">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Auditul denotă că, î</w:t>
      </w:r>
      <w:r w:rsidR="00CB6A3A" w:rsidRPr="00606103">
        <w:rPr>
          <w:rFonts w:asciiTheme="majorHAnsi" w:hAnsiTheme="majorHAnsi" w:cstheme="majorHAnsi"/>
          <w:sz w:val="24"/>
          <w:szCs w:val="24"/>
          <w:lang w:val="ro-MD"/>
        </w:rPr>
        <w:t>n scopul asigurării corectitudinii de întocmire a rapoartelor privind executarea BS, urmează să</w:t>
      </w:r>
      <w:r w:rsidR="00BC4454" w:rsidRPr="00606103">
        <w:rPr>
          <w:rFonts w:asciiTheme="majorHAnsi" w:hAnsiTheme="majorHAnsi" w:cstheme="majorHAnsi"/>
          <w:sz w:val="24"/>
          <w:szCs w:val="24"/>
          <w:lang w:val="ro-MD"/>
        </w:rPr>
        <w:t xml:space="preserve"> fie implementate</w:t>
      </w:r>
      <w:r w:rsidR="00CB6A3A" w:rsidRPr="00606103">
        <w:rPr>
          <w:rFonts w:asciiTheme="majorHAnsi" w:hAnsiTheme="majorHAnsi" w:cstheme="majorHAnsi"/>
          <w:sz w:val="24"/>
          <w:szCs w:val="24"/>
          <w:lang w:val="ro-MD"/>
        </w:rPr>
        <w:t xml:space="preserve"> activități </w:t>
      </w:r>
      <w:r w:rsidR="004454E0" w:rsidRPr="00606103">
        <w:rPr>
          <w:rFonts w:asciiTheme="majorHAnsi" w:hAnsiTheme="majorHAnsi" w:cstheme="majorHAnsi"/>
          <w:sz w:val="24"/>
          <w:szCs w:val="24"/>
          <w:lang w:val="ro-MD"/>
        </w:rPr>
        <w:t xml:space="preserve">suplimentare </w:t>
      </w:r>
      <w:r w:rsidR="00CB6A3A" w:rsidRPr="00606103">
        <w:rPr>
          <w:rFonts w:asciiTheme="majorHAnsi" w:hAnsiTheme="majorHAnsi" w:cstheme="majorHAnsi"/>
          <w:sz w:val="24"/>
          <w:szCs w:val="24"/>
          <w:lang w:val="ro-MD"/>
        </w:rPr>
        <w:t>de control intern pentru conformarea la normele aprobate</w:t>
      </w:r>
      <w:r w:rsidR="00CB6A3A" w:rsidRPr="00606103">
        <w:rPr>
          <w:rFonts w:asciiTheme="majorHAnsi" w:hAnsiTheme="majorHAnsi" w:cstheme="majorHAnsi"/>
          <w:sz w:val="24"/>
          <w:szCs w:val="24"/>
          <w:vertAlign w:val="superscript"/>
          <w:lang w:val="ro-MD"/>
        </w:rPr>
        <w:footnoteReference w:id="19"/>
      </w:r>
      <w:r w:rsidR="00CB6A3A" w:rsidRPr="00606103">
        <w:rPr>
          <w:rFonts w:asciiTheme="majorHAnsi" w:hAnsiTheme="majorHAnsi" w:cstheme="majorHAnsi"/>
          <w:sz w:val="24"/>
          <w:szCs w:val="24"/>
          <w:lang w:val="ro-MD"/>
        </w:rPr>
        <w:t>. Astfel, MF a perfectat și a prezentat doar la 2 administratori de venit (SFS</w:t>
      </w:r>
      <w:r w:rsidR="004454E0" w:rsidRPr="00606103">
        <w:rPr>
          <w:rFonts w:asciiTheme="majorHAnsi" w:hAnsiTheme="majorHAnsi" w:cstheme="majorHAnsi"/>
          <w:sz w:val="24"/>
          <w:szCs w:val="24"/>
          <w:lang w:val="ro-MD"/>
        </w:rPr>
        <w:t xml:space="preserve"> și</w:t>
      </w:r>
      <w:r w:rsidR="00CB6A3A" w:rsidRPr="00606103">
        <w:rPr>
          <w:rFonts w:asciiTheme="majorHAnsi" w:hAnsiTheme="majorHAnsi" w:cstheme="majorHAnsi"/>
          <w:sz w:val="24"/>
          <w:szCs w:val="24"/>
          <w:lang w:val="ro-MD"/>
        </w:rPr>
        <w:t xml:space="preserve"> SV) Registrele </w:t>
      </w:r>
      <w:r w:rsidR="00CB6A3A" w:rsidRPr="00606103">
        <w:rPr>
          <w:rFonts w:asciiTheme="majorHAnsi" w:hAnsiTheme="majorHAnsi" w:cstheme="majorHAnsi"/>
          <w:sz w:val="24"/>
          <w:szCs w:val="24"/>
          <w:lang w:val="ro-MD"/>
        </w:rPr>
        <w:lastRenderedPageBreak/>
        <w:t>veniturilor BS (Formularul FI-006), întocmite cumulativ pe tipuri de impozite și taxe de la începutul anului. Ca urmare a verificărilor de audit, s-a constatat că nu au fost confirmate toate veniturile executate în BS de către administratorii de venituri desemnați, iar în Registrele veniturilor semnate cu SFS sunt incluse impozite și taxe pe care nu le calculează/administrează SFS.</w:t>
      </w:r>
    </w:p>
    <w:p w:rsidR="00183A10" w:rsidRPr="00606103" w:rsidRDefault="002872B0">
      <w:pPr>
        <w:spacing w:line="276" w:lineRule="auto"/>
        <w:rPr>
          <w:rFonts w:asciiTheme="majorHAnsi" w:eastAsia="Times New Roman" w:hAnsiTheme="majorHAnsi" w:cstheme="majorHAnsi"/>
          <w:sz w:val="24"/>
          <w:szCs w:val="24"/>
          <w:lang w:val="ro-MD"/>
        </w:rPr>
      </w:pPr>
      <w:r w:rsidRPr="00606103">
        <w:rPr>
          <w:rFonts w:asciiTheme="majorHAnsi" w:eastAsia="Times New Roman" w:hAnsiTheme="majorHAnsi" w:cstheme="majorHAnsi"/>
          <w:sz w:val="24"/>
          <w:szCs w:val="24"/>
          <w:lang w:val="ro-MD"/>
        </w:rPr>
        <w:t xml:space="preserve">Deși aceste situații nu au impact asupra opiniei </w:t>
      </w:r>
      <w:r w:rsidR="004454E0" w:rsidRPr="00606103">
        <w:rPr>
          <w:rFonts w:asciiTheme="majorHAnsi" w:eastAsia="Times New Roman" w:hAnsiTheme="majorHAnsi" w:cstheme="majorHAnsi"/>
          <w:sz w:val="24"/>
          <w:szCs w:val="24"/>
          <w:lang w:val="ro-MD"/>
        </w:rPr>
        <w:t xml:space="preserve">privind </w:t>
      </w:r>
      <w:r w:rsidRPr="00606103">
        <w:rPr>
          <w:rFonts w:asciiTheme="majorHAnsi" w:eastAsia="Times New Roman" w:hAnsiTheme="majorHAnsi" w:cstheme="majorHAnsi"/>
          <w:sz w:val="24"/>
          <w:szCs w:val="24"/>
          <w:lang w:val="ro-MD"/>
        </w:rPr>
        <w:t>execut</w:t>
      </w:r>
      <w:r w:rsidR="004454E0" w:rsidRPr="00606103">
        <w:rPr>
          <w:rFonts w:asciiTheme="majorHAnsi" w:eastAsia="Times New Roman" w:hAnsiTheme="majorHAnsi" w:cstheme="majorHAnsi"/>
          <w:sz w:val="24"/>
          <w:szCs w:val="24"/>
          <w:lang w:val="ro-MD"/>
        </w:rPr>
        <w:t>area</w:t>
      </w:r>
      <w:r w:rsidRPr="00606103">
        <w:rPr>
          <w:rFonts w:asciiTheme="majorHAnsi" w:eastAsia="Times New Roman" w:hAnsiTheme="majorHAnsi" w:cstheme="majorHAnsi"/>
          <w:sz w:val="24"/>
          <w:szCs w:val="24"/>
          <w:lang w:val="ro-MD"/>
        </w:rPr>
        <w:t xml:space="preserve"> de casă a bugetului, auditul le prezintă în scopul instituirii activităților de control, determinării exhaustive a cadrului de raportare financiară și </w:t>
      </w:r>
      <w:r w:rsidR="00AA6A0C" w:rsidRPr="00606103">
        <w:rPr>
          <w:rFonts w:asciiTheme="majorHAnsi" w:eastAsia="Times New Roman" w:hAnsiTheme="majorHAnsi" w:cstheme="majorHAnsi"/>
          <w:sz w:val="24"/>
          <w:szCs w:val="24"/>
          <w:lang w:val="ro-MD"/>
        </w:rPr>
        <w:t xml:space="preserve">a celui de </w:t>
      </w:r>
      <w:r w:rsidRPr="00606103">
        <w:rPr>
          <w:rFonts w:asciiTheme="majorHAnsi" w:eastAsia="Times New Roman" w:hAnsiTheme="majorHAnsi" w:cstheme="majorHAnsi"/>
          <w:sz w:val="24"/>
          <w:szCs w:val="24"/>
          <w:lang w:val="ro-MD"/>
        </w:rPr>
        <w:t xml:space="preserve">reglementare în </w:t>
      </w:r>
      <w:r w:rsidR="005C41B5" w:rsidRPr="00606103">
        <w:rPr>
          <w:rFonts w:asciiTheme="majorHAnsi" w:eastAsia="Times New Roman" w:hAnsiTheme="majorHAnsi" w:cstheme="majorHAnsi"/>
          <w:sz w:val="24"/>
          <w:szCs w:val="24"/>
          <w:lang w:val="ro-MD"/>
        </w:rPr>
        <w:t xml:space="preserve">vederea </w:t>
      </w:r>
      <w:r w:rsidRPr="00606103">
        <w:rPr>
          <w:rFonts w:asciiTheme="majorHAnsi" w:eastAsia="Times New Roman" w:hAnsiTheme="majorHAnsi" w:cstheme="majorHAnsi"/>
          <w:sz w:val="24"/>
          <w:szCs w:val="24"/>
          <w:lang w:val="ro-MD"/>
        </w:rPr>
        <w:t xml:space="preserve">eliminării efectelor posibile asupra Bilanțului contabil, precum și </w:t>
      </w:r>
      <w:r w:rsidR="005C41B5" w:rsidRPr="00606103">
        <w:rPr>
          <w:rFonts w:asciiTheme="majorHAnsi" w:eastAsia="Times New Roman" w:hAnsiTheme="majorHAnsi" w:cstheme="majorHAnsi"/>
          <w:sz w:val="24"/>
          <w:szCs w:val="24"/>
          <w:lang w:val="ro-MD"/>
        </w:rPr>
        <w:t xml:space="preserve">asigurării </w:t>
      </w:r>
      <w:r w:rsidRPr="00606103">
        <w:rPr>
          <w:rFonts w:asciiTheme="majorHAnsi" w:eastAsia="Times New Roman" w:hAnsiTheme="majorHAnsi" w:cstheme="majorHAnsi"/>
          <w:sz w:val="24"/>
          <w:szCs w:val="24"/>
          <w:lang w:val="ro-MD"/>
        </w:rPr>
        <w:t>conformit</w:t>
      </w:r>
      <w:r w:rsidR="005C41B5" w:rsidRPr="00606103">
        <w:rPr>
          <w:rFonts w:asciiTheme="majorHAnsi" w:eastAsia="Times New Roman" w:hAnsiTheme="majorHAnsi" w:cstheme="majorHAnsi"/>
          <w:sz w:val="24"/>
          <w:szCs w:val="24"/>
          <w:lang w:val="ro-MD"/>
        </w:rPr>
        <w:t>ății</w:t>
      </w:r>
      <w:r w:rsidRPr="00606103">
        <w:rPr>
          <w:rFonts w:asciiTheme="majorHAnsi" w:eastAsia="Times New Roman" w:hAnsiTheme="majorHAnsi" w:cstheme="majorHAnsi"/>
          <w:sz w:val="24"/>
          <w:szCs w:val="24"/>
          <w:lang w:val="ro-MD"/>
        </w:rPr>
        <w:t xml:space="preserve"> raportării însumate a creanțelor contribuabililor față de BS de către toți administratorii.</w:t>
      </w:r>
    </w:p>
    <w:p w:rsidR="008325F8" w:rsidRPr="00606103" w:rsidRDefault="009C61E7">
      <w:pPr>
        <w:pStyle w:val="Heading2"/>
        <w:spacing w:line="276" w:lineRule="auto"/>
        <w:rPr>
          <w:rFonts w:eastAsia="Times New Roman" w:cstheme="majorHAnsi"/>
          <w:b/>
          <w:color w:val="auto"/>
          <w:sz w:val="24"/>
          <w:szCs w:val="24"/>
          <w:lang w:val="ro-MD"/>
        </w:rPr>
      </w:pPr>
      <w:r w:rsidRPr="00606103">
        <w:rPr>
          <w:rFonts w:eastAsia="Times New Roman" w:cstheme="majorHAnsi"/>
          <w:b/>
          <w:color w:val="auto"/>
          <w:sz w:val="24"/>
          <w:szCs w:val="24"/>
          <w:lang w:val="ro-MD"/>
        </w:rPr>
        <w:t xml:space="preserve">3.3. </w:t>
      </w:r>
      <w:r w:rsidR="00F85B53" w:rsidRPr="00606103">
        <w:rPr>
          <w:rFonts w:eastAsia="Times New Roman" w:cstheme="majorHAnsi"/>
          <w:b/>
          <w:color w:val="auto"/>
          <w:sz w:val="24"/>
          <w:szCs w:val="24"/>
          <w:lang w:val="ro-MD"/>
        </w:rPr>
        <w:t>Atragem atenția că procesul de r</w:t>
      </w:r>
      <w:r w:rsidR="008325F8" w:rsidRPr="00606103">
        <w:rPr>
          <w:rFonts w:eastAsia="Times New Roman" w:cstheme="majorHAnsi"/>
          <w:b/>
          <w:color w:val="auto"/>
          <w:sz w:val="24"/>
          <w:szCs w:val="24"/>
          <w:lang w:val="ro-MD"/>
        </w:rPr>
        <w:t>eorganizare</w:t>
      </w:r>
      <w:r w:rsidR="00F85B53" w:rsidRPr="00606103">
        <w:rPr>
          <w:rFonts w:eastAsia="Times New Roman" w:cstheme="majorHAnsi"/>
          <w:b/>
          <w:color w:val="auto"/>
          <w:sz w:val="24"/>
          <w:szCs w:val="24"/>
          <w:lang w:val="ro-MD"/>
        </w:rPr>
        <w:t xml:space="preserve"> </w:t>
      </w:r>
      <w:r w:rsidR="008325F8" w:rsidRPr="00606103">
        <w:rPr>
          <w:rFonts w:eastAsia="Times New Roman" w:cstheme="majorHAnsi"/>
          <w:b/>
          <w:color w:val="auto"/>
          <w:sz w:val="24"/>
          <w:szCs w:val="24"/>
          <w:lang w:val="ro-MD"/>
        </w:rPr>
        <w:t>a unor APC</w:t>
      </w:r>
      <w:r w:rsidR="00F85B53" w:rsidRPr="00606103">
        <w:rPr>
          <w:rFonts w:eastAsia="Times New Roman" w:cstheme="majorHAnsi"/>
          <w:b/>
          <w:color w:val="auto"/>
          <w:sz w:val="24"/>
          <w:szCs w:val="24"/>
          <w:lang w:val="ro-MD"/>
        </w:rPr>
        <w:t xml:space="preserve"> a generat</w:t>
      </w:r>
      <w:r w:rsidR="00E95D93" w:rsidRPr="00606103">
        <w:rPr>
          <w:rFonts w:eastAsia="Times New Roman" w:cstheme="majorHAnsi"/>
          <w:b/>
          <w:color w:val="auto"/>
          <w:sz w:val="24"/>
          <w:szCs w:val="24"/>
          <w:lang w:val="ro-MD"/>
        </w:rPr>
        <w:t xml:space="preserve"> </w:t>
      </w:r>
      <w:r w:rsidR="00065125" w:rsidRPr="00606103">
        <w:rPr>
          <w:rFonts w:eastAsia="Times New Roman" w:cstheme="majorHAnsi"/>
          <w:b/>
          <w:color w:val="auto"/>
          <w:sz w:val="24"/>
          <w:szCs w:val="24"/>
          <w:lang w:val="ro-MD"/>
        </w:rPr>
        <w:t>întârzieri</w:t>
      </w:r>
      <w:r w:rsidR="008325F8" w:rsidRPr="00606103">
        <w:rPr>
          <w:rFonts w:eastAsia="Times New Roman" w:cstheme="majorHAnsi"/>
          <w:b/>
          <w:color w:val="auto"/>
          <w:sz w:val="24"/>
          <w:szCs w:val="24"/>
          <w:lang w:val="ro-MD"/>
        </w:rPr>
        <w:t xml:space="preserve"> la raportarea </w:t>
      </w:r>
      <w:r w:rsidR="00F85B53" w:rsidRPr="00606103">
        <w:rPr>
          <w:rFonts w:eastAsia="Times New Roman" w:cstheme="majorHAnsi"/>
          <w:b/>
          <w:color w:val="auto"/>
          <w:sz w:val="24"/>
          <w:szCs w:val="24"/>
          <w:lang w:val="ro-MD"/>
        </w:rPr>
        <w:t xml:space="preserve">financiară a acestora, dar </w:t>
      </w:r>
      <w:r w:rsidR="005C41B5" w:rsidRPr="00606103">
        <w:rPr>
          <w:rFonts w:eastAsia="Times New Roman" w:cstheme="majorHAnsi"/>
          <w:b/>
          <w:color w:val="auto"/>
          <w:sz w:val="24"/>
          <w:szCs w:val="24"/>
          <w:lang w:val="ro-MD"/>
        </w:rPr>
        <w:t>fără</w:t>
      </w:r>
      <w:r w:rsidR="00F85B53" w:rsidRPr="00606103">
        <w:rPr>
          <w:rFonts w:eastAsia="Times New Roman" w:cstheme="majorHAnsi"/>
          <w:b/>
          <w:color w:val="auto"/>
          <w:sz w:val="24"/>
          <w:szCs w:val="24"/>
          <w:lang w:val="ro-MD"/>
        </w:rPr>
        <w:t xml:space="preserve"> </w:t>
      </w:r>
      <w:r w:rsidR="00313EBA" w:rsidRPr="00606103">
        <w:rPr>
          <w:rFonts w:eastAsia="Times New Roman" w:cstheme="majorHAnsi"/>
          <w:b/>
          <w:color w:val="auto"/>
          <w:sz w:val="24"/>
          <w:szCs w:val="24"/>
          <w:lang w:val="ro-MD"/>
        </w:rPr>
        <w:t xml:space="preserve">a cauza </w:t>
      </w:r>
      <w:r w:rsidR="00F85B53" w:rsidRPr="00606103">
        <w:rPr>
          <w:rFonts w:eastAsia="Times New Roman" w:cstheme="majorHAnsi"/>
          <w:b/>
          <w:color w:val="auto"/>
          <w:sz w:val="24"/>
          <w:szCs w:val="24"/>
          <w:lang w:val="ro-MD"/>
        </w:rPr>
        <w:t xml:space="preserve">impact asupra execuției de casă a BS. </w:t>
      </w:r>
    </w:p>
    <w:p w:rsidR="00B91269" w:rsidRPr="00606103" w:rsidRDefault="008325F8">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În anul 2021 a fost efectuată reforma administrației publice centrale, inițiate în conformitate cu Hotărârea Parlamentului nr.89 din 06.08.2021 „Pentru aprobarea listei ministerelor”. Procedura de reorganizare s-a efectuat în baza Hotărârii Guvernului nr.117 din 12.08.2021 „Cu privire la restructurarea administrației publice centrale de specialitate”. Astfel, 4 APC</w:t>
      </w:r>
      <w:r w:rsidR="00F25383" w:rsidRPr="00606103">
        <w:rPr>
          <w:rStyle w:val="FootnoteReference"/>
          <w:rFonts w:asciiTheme="majorHAnsi" w:hAnsiTheme="majorHAnsi" w:cstheme="majorHAnsi"/>
          <w:sz w:val="24"/>
          <w:szCs w:val="24"/>
          <w:lang w:val="ro-MD"/>
        </w:rPr>
        <w:footnoteReference w:id="20"/>
      </w:r>
      <w:r w:rsidRPr="00606103">
        <w:rPr>
          <w:rFonts w:asciiTheme="majorHAnsi" w:hAnsiTheme="majorHAnsi" w:cstheme="majorHAnsi"/>
          <w:sz w:val="24"/>
          <w:szCs w:val="24"/>
          <w:lang w:val="ro-MD"/>
        </w:rPr>
        <w:t xml:space="preserve"> au fost reorganizat</w:t>
      </w:r>
      <w:r w:rsidR="00C76200" w:rsidRPr="00606103">
        <w:rPr>
          <w:rFonts w:asciiTheme="majorHAnsi" w:hAnsiTheme="majorHAnsi" w:cstheme="majorHAnsi"/>
          <w:sz w:val="24"/>
          <w:szCs w:val="24"/>
          <w:lang w:val="ro-MD"/>
        </w:rPr>
        <w:t>e prin dezmembrare (separare).</w:t>
      </w:r>
      <w:r w:rsidR="00E95D93" w:rsidRPr="00606103">
        <w:rPr>
          <w:rFonts w:asciiTheme="majorHAnsi" w:hAnsiTheme="majorHAnsi" w:cstheme="majorHAnsi"/>
          <w:sz w:val="24"/>
          <w:szCs w:val="24"/>
          <w:lang w:val="ro-MD"/>
        </w:rPr>
        <w:t xml:space="preserve"> </w:t>
      </w:r>
    </w:p>
    <w:p w:rsidR="00B91269" w:rsidRPr="00606103" w:rsidRDefault="00B91269" w:rsidP="00552746">
      <w:pPr>
        <w:pStyle w:val="FootnoteText"/>
        <w:spacing w:line="276" w:lineRule="auto"/>
        <w:jc w:val="both"/>
        <w:rPr>
          <w:rFonts w:asciiTheme="majorHAnsi" w:hAnsiTheme="majorHAnsi" w:cstheme="majorHAnsi"/>
          <w:sz w:val="24"/>
          <w:szCs w:val="24"/>
          <w:lang w:val="ro-MD"/>
        </w:rPr>
      </w:pPr>
      <w:r w:rsidRPr="00606103">
        <w:rPr>
          <w:rFonts w:ascii="Calibri Light" w:hAnsi="Calibri Light" w:cs="Calibri Light"/>
          <w:sz w:val="24"/>
          <w:szCs w:val="24"/>
          <w:lang w:val="ro-MD"/>
        </w:rPr>
        <w:t>Pentru a asigura bun</w:t>
      </w:r>
      <w:r w:rsidR="00AA6A0C" w:rsidRPr="00606103">
        <w:rPr>
          <w:rFonts w:ascii="Calibri Light" w:hAnsi="Calibri Light" w:cs="Calibri Light"/>
          <w:sz w:val="24"/>
          <w:szCs w:val="24"/>
          <w:lang w:val="ro-MD"/>
        </w:rPr>
        <w:t>a</w:t>
      </w:r>
      <w:r w:rsidRPr="00606103">
        <w:rPr>
          <w:rFonts w:ascii="Calibri Light" w:hAnsi="Calibri Light" w:cs="Calibri Light"/>
          <w:sz w:val="24"/>
          <w:szCs w:val="24"/>
          <w:lang w:val="ro-MD"/>
        </w:rPr>
        <w:t xml:space="preserve"> desfășurare a procesului de reorganizare și pentru a evita potențialele deficiențe și neclarități ce țin de alinierea la regulile de raportare financiară stabilite prin </w:t>
      </w:r>
      <w:r w:rsidRPr="00606103">
        <w:rPr>
          <w:rFonts w:asciiTheme="majorHAnsi" w:hAnsiTheme="majorHAnsi" w:cstheme="majorHAnsi"/>
          <w:sz w:val="24"/>
          <w:szCs w:val="24"/>
          <w:lang w:val="ro-MD"/>
        </w:rPr>
        <w:t>Ordinul MF nr.216 din 28.12.2015</w:t>
      </w:r>
      <w:r w:rsidRPr="00606103">
        <w:rPr>
          <w:rFonts w:ascii="Calibri Light" w:hAnsi="Calibri Light" w:cs="Calibri Light"/>
          <w:sz w:val="24"/>
          <w:szCs w:val="24"/>
          <w:lang w:val="ro-MD"/>
        </w:rPr>
        <w:t xml:space="preserve">, MF a descris în actele interne (Circulare) etapele obligatorii de parcurs de către autoritățile reorganizate, precum și aspectele importante </w:t>
      </w:r>
      <w:r w:rsidR="00AA6A0C" w:rsidRPr="00606103">
        <w:rPr>
          <w:rFonts w:ascii="Calibri Light" w:hAnsi="Calibri Light" w:cs="Calibri Light"/>
          <w:sz w:val="24"/>
          <w:szCs w:val="24"/>
          <w:lang w:val="ro-MD"/>
        </w:rPr>
        <w:t>care trebuie</w:t>
      </w:r>
      <w:r w:rsidRPr="00606103">
        <w:rPr>
          <w:rFonts w:ascii="Calibri Light" w:hAnsi="Calibri Light" w:cs="Calibri Light"/>
          <w:sz w:val="24"/>
          <w:szCs w:val="24"/>
          <w:lang w:val="ro-MD"/>
        </w:rPr>
        <w:t xml:space="preserve"> respectat</w:t>
      </w:r>
      <w:r w:rsidR="00AA6A0C" w:rsidRPr="00606103">
        <w:rPr>
          <w:rFonts w:ascii="Calibri Light" w:hAnsi="Calibri Light" w:cs="Calibri Light"/>
          <w:sz w:val="24"/>
          <w:szCs w:val="24"/>
          <w:lang w:val="ro-MD"/>
        </w:rPr>
        <w:t>e</w:t>
      </w:r>
      <w:r w:rsidRPr="00606103">
        <w:rPr>
          <w:rFonts w:ascii="Calibri Light" w:hAnsi="Calibri Light" w:cs="Calibri Light"/>
          <w:sz w:val="24"/>
          <w:szCs w:val="24"/>
          <w:lang w:val="ro-MD"/>
        </w:rPr>
        <w:t xml:space="preserve"> de către managementul APC reorganizate. Astfel, procesul de reorganizare a APC ar fi trebuit să decurgă  într-un format bine organizat</w:t>
      </w:r>
      <w:r w:rsidR="00AA6A0C" w:rsidRPr="00606103">
        <w:rPr>
          <w:rFonts w:ascii="Calibri Light" w:hAnsi="Calibri Light" w:cs="Calibri Light"/>
          <w:sz w:val="24"/>
          <w:szCs w:val="24"/>
          <w:lang w:val="ro-MD"/>
        </w:rPr>
        <w:t>,</w:t>
      </w:r>
      <w:r w:rsidRPr="00606103">
        <w:rPr>
          <w:rFonts w:ascii="Calibri Light" w:hAnsi="Calibri Light" w:cs="Calibri Light"/>
          <w:sz w:val="24"/>
          <w:szCs w:val="24"/>
          <w:lang w:val="ro-MD"/>
        </w:rPr>
        <w:t xml:space="preserve"> cu termeni prestabiliți de prezentare a informațiilor și rapoartelor fi</w:t>
      </w:r>
      <w:r w:rsidR="000D52C1" w:rsidRPr="00606103">
        <w:rPr>
          <w:rFonts w:ascii="Calibri Light" w:hAnsi="Calibri Light" w:cs="Calibri Light"/>
          <w:sz w:val="24"/>
          <w:szCs w:val="24"/>
          <w:lang w:val="ro-MD"/>
        </w:rPr>
        <w:t xml:space="preserve">nanciare </w:t>
      </w:r>
      <w:r w:rsidR="000D6F57" w:rsidRPr="00606103">
        <w:rPr>
          <w:rFonts w:ascii="Calibri Light" w:hAnsi="Calibri Light" w:cs="Calibri Light"/>
          <w:sz w:val="24"/>
          <w:szCs w:val="24"/>
          <w:lang w:val="ro-MD"/>
        </w:rPr>
        <w:t xml:space="preserve">către </w:t>
      </w:r>
      <w:r w:rsidR="000D52C1" w:rsidRPr="00606103">
        <w:rPr>
          <w:rFonts w:ascii="Calibri Light" w:hAnsi="Calibri Light" w:cs="Calibri Light"/>
          <w:sz w:val="24"/>
          <w:szCs w:val="24"/>
          <w:lang w:val="ro-MD"/>
        </w:rPr>
        <w:t>MF</w:t>
      </w:r>
      <w:r w:rsidRPr="00606103">
        <w:rPr>
          <w:rFonts w:ascii="Calibri Light" w:hAnsi="Calibri Light" w:cs="Calibri Light"/>
          <w:sz w:val="24"/>
          <w:szCs w:val="24"/>
          <w:lang w:val="ro-MD"/>
        </w:rPr>
        <w:t xml:space="preserve">. Însă, auditul a constatat că, în circularele </w:t>
      </w:r>
      <w:r w:rsidRPr="005149D7">
        <w:rPr>
          <w:rFonts w:ascii="Calibri Light" w:hAnsi="Calibri Light" w:cs="Calibri Light"/>
          <w:sz w:val="24"/>
          <w:szCs w:val="24"/>
          <w:lang w:val="ro-MD"/>
        </w:rPr>
        <w:t>emise de MF nu a fost</w:t>
      </w:r>
      <w:r w:rsidR="000D52C1" w:rsidRPr="005149D7">
        <w:rPr>
          <w:rFonts w:ascii="Calibri Light" w:hAnsi="Calibri Light" w:cs="Calibri Light"/>
          <w:sz w:val="24"/>
          <w:szCs w:val="24"/>
          <w:lang w:val="ro-MD"/>
        </w:rPr>
        <w:t xml:space="preserve"> prevăzut</w:t>
      </w:r>
      <w:r w:rsidR="00AA6A0C" w:rsidRPr="005149D7">
        <w:rPr>
          <w:rFonts w:ascii="Calibri Light" w:hAnsi="Calibri Light" w:cs="Calibri Light"/>
          <w:sz w:val="24"/>
          <w:szCs w:val="24"/>
          <w:lang w:val="ro-MD"/>
        </w:rPr>
        <w:t>ă</w:t>
      </w:r>
      <w:r w:rsidRPr="005149D7">
        <w:rPr>
          <w:rFonts w:ascii="Calibri Light" w:hAnsi="Calibri Light" w:cs="Calibri Light"/>
          <w:sz w:val="24"/>
          <w:szCs w:val="24"/>
          <w:lang w:val="ro-MD"/>
        </w:rPr>
        <w:t xml:space="preserve"> respectarea prevederilor art. 34 din Legea </w:t>
      </w:r>
      <w:r w:rsidR="0013663F" w:rsidRPr="005149D7">
        <w:rPr>
          <w:rFonts w:ascii="Calibri Light" w:hAnsi="Calibri Light" w:cs="Calibri Light"/>
          <w:sz w:val="24"/>
          <w:szCs w:val="24"/>
          <w:lang w:val="ro-MD"/>
        </w:rPr>
        <w:t>contabilității</w:t>
      </w:r>
      <w:r w:rsidRPr="005149D7">
        <w:rPr>
          <w:rFonts w:ascii="Calibri Light" w:hAnsi="Calibri Light" w:cs="Calibri Light"/>
          <w:sz w:val="24"/>
          <w:szCs w:val="24"/>
          <w:lang w:val="ro-MD"/>
        </w:rPr>
        <w:t xml:space="preserve"> nr. 113 din </w:t>
      </w:r>
      <w:r w:rsidR="008A61E9" w:rsidRPr="005149D7">
        <w:rPr>
          <w:rFonts w:ascii="Calibri Light" w:hAnsi="Calibri Light" w:cs="Calibri Light"/>
          <w:sz w:val="24"/>
          <w:szCs w:val="24"/>
          <w:lang w:val="ro-MD"/>
        </w:rPr>
        <w:t>27.04.2007 privind c</w:t>
      </w:r>
      <w:r w:rsidRPr="005149D7">
        <w:rPr>
          <w:rFonts w:ascii="Calibri Light" w:hAnsi="Calibri Light" w:cs="Calibri Light"/>
          <w:sz w:val="24"/>
          <w:szCs w:val="24"/>
          <w:lang w:val="ro-MD"/>
        </w:rPr>
        <w:t>erințele de raportare în cazul reorganizării, și anume, întocmirea de către autoritățile reorganizate a bilanțului de repartiție,</w:t>
      </w:r>
      <w:r w:rsidR="000D52C1" w:rsidRPr="00606103">
        <w:rPr>
          <w:rFonts w:ascii="Calibri Light" w:hAnsi="Calibri Light" w:cs="Calibri Light"/>
          <w:sz w:val="24"/>
          <w:szCs w:val="24"/>
          <w:lang w:val="ro-MD"/>
        </w:rPr>
        <w:t xml:space="preserve"> care</w:t>
      </w:r>
      <w:r w:rsidR="00AA6A0C" w:rsidRPr="00606103">
        <w:rPr>
          <w:rFonts w:ascii="Calibri Light" w:hAnsi="Calibri Light" w:cs="Calibri Light"/>
          <w:sz w:val="24"/>
          <w:szCs w:val="24"/>
          <w:lang w:val="ro-MD"/>
        </w:rPr>
        <w:t>,</w:t>
      </w:r>
      <w:r w:rsidR="000D52C1" w:rsidRPr="00606103">
        <w:rPr>
          <w:rFonts w:ascii="Calibri Light" w:hAnsi="Calibri Light" w:cs="Calibri Light"/>
          <w:sz w:val="24"/>
          <w:szCs w:val="24"/>
          <w:lang w:val="ro-MD"/>
        </w:rPr>
        <w:t xml:space="preserve"> de comun </w:t>
      </w:r>
      <w:r w:rsidRPr="00606103">
        <w:rPr>
          <w:rFonts w:ascii="Calibri Light" w:hAnsi="Calibri Light" w:cs="Calibri Light"/>
          <w:sz w:val="24"/>
          <w:szCs w:val="24"/>
          <w:lang w:val="ro-MD"/>
        </w:rPr>
        <w:t xml:space="preserve">cu </w:t>
      </w:r>
      <w:r w:rsidRPr="00606103">
        <w:rPr>
          <w:rFonts w:ascii="Calibri Light" w:hAnsi="Calibri Light" w:cs="Calibri Light"/>
          <w:color w:val="000000"/>
          <w:sz w:val="24"/>
          <w:szCs w:val="24"/>
          <w:lang w:val="ro-MD"/>
        </w:rPr>
        <w:t>Actul de transmitere</w:t>
      </w:r>
      <w:r w:rsidR="00AA6A0C" w:rsidRPr="00606103">
        <w:rPr>
          <w:rFonts w:ascii="Calibri Light" w:hAnsi="Calibri Light" w:cs="Calibri Light"/>
          <w:color w:val="000000"/>
          <w:sz w:val="24"/>
          <w:szCs w:val="24"/>
          <w:lang w:val="ro-MD"/>
        </w:rPr>
        <w:t>,</w:t>
      </w:r>
      <w:r w:rsidRPr="00606103">
        <w:rPr>
          <w:rFonts w:ascii="Calibri Light" w:hAnsi="Calibri Light" w:cs="Calibri Light"/>
          <w:color w:val="000000"/>
          <w:sz w:val="24"/>
          <w:szCs w:val="24"/>
          <w:lang w:val="ro-MD"/>
        </w:rPr>
        <w:t xml:space="preserve"> sunt documentele prin care se confirmă transferul patrimoniului de la o persoană juridică la alta. Aceste acte servesc ca temei pentru o persoană juridică să scoată de la evidența sa, iar alta să pună la evidența sa anumite bunuri şi obligații.</w:t>
      </w:r>
      <w:r w:rsidRPr="00606103">
        <w:rPr>
          <w:rFonts w:cs="Times New Roman"/>
          <w:color w:val="000000" w:themeColor="text1"/>
          <w:sz w:val="26"/>
          <w:szCs w:val="26"/>
          <w:lang w:val="ro-MD"/>
        </w:rPr>
        <w:t xml:space="preserve"> </w:t>
      </w:r>
      <w:r w:rsidRPr="00606103">
        <w:rPr>
          <w:rFonts w:asciiTheme="majorHAnsi" w:hAnsiTheme="majorHAnsi" w:cstheme="majorHAnsi"/>
          <w:color w:val="000000" w:themeColor="text1"/>
          <w:sz w:val="24"/>
          <w:szCs w:val="24"/>
          <w:lang w:val="ro-MD"/>
        </w:rPr>
        <w:t>Conform cerințelor MF,</w:t>
      </w:r>
      <w:r w:rsidR="009D0E72">
        <w:rPr>
          <w:rFonts w:asciiTheme="majorHAnsi" w:hAnsiTheme="majorHAnsi" w:cstheme="majorHAnsi"/>
          <w:color w:val="000000" w:themeColor="text1"/>
          <w:sz w:val="24"/>
          <w:szCs w:val="24"/>
          <w:lang w:val="ro-MD"/>
        </w:rPr>
        <w:t xml:space="preserve"> </w:t>
      </w:r>
      <w:r w:rsidRPr="00606103">
        <w:rPr>
          <w:rFonts w:asciiTheme="majorHAnsi" w:hAnsiTheme="majorHAnsi" w:cstheme="majorHAnsi"/>
          <w:color w:val="000000" w:themeColor="text1"/>
          <w:sz w:val="24"/>
          <w:szCs w:val="24"/>
          <w:lang w:val="ro-MD"/>
        </w:rPr>
        <w:t xml:space="preserve">transmiterea/primirea activelor şi pasivelor, în cazul reorganizării autorităților/instituțiilor bugetare, se va reflecta la subcontul de nivelul II </w:t>
      </w:r>
      <w:r w:rsidRPr="00606103">
        <w:rPr>
          <w:rFonts w:asciiTheme="majorHAnsi" w:hAnsiTheme="majorHAnsi" w:cstheme="majorHAnsi"/>
          <w:i/>
          <w:color w:val="000000" w:themeColor="text1"/>
          <w:sz w:val="24"/>
          <w:szCs w:val="24"/>
          <w:lang w:val="ro-MD"/>
        </w:rPr>
        <w:t xml:space="preserve">723000 </w:t>
      </w:r>
      <w:r w:rsidR="000D6F57" w:rsidRPr="00606103">
        <w:rPr>
          <w:rFonts w:asciiTheme="majorHAnsi" w:hAnsiTheme="majorHAnsi" w:cstheme="majorHAnsi"/>
          <w:i/>
          <w:color w:val="000000" w:themeColor="text1"/>
          <w:sz w:val="24"/>
          <w:szCs w:val="24"/>
          <w:lang w:val="ro-MD"/>
        </w:rPr>
        <w:t>„</w:t>
      </w:r>
      <w:r w:rsidRPr="00606103">
        <w:rPr>
          <w:rFonts w:asciiTheme="majorHAnsi" w:hAnsiTheme="majorHAnsi" w:cstheme="majorHAnsi"/>
          <w:i/>
          <w:color w:val="000000" w:themeColor="text1"/>
          <w:sz w:val="24"/>
          <w:szCs w:val="24"/>
          <w:lang w:val="ro-MD"/>
        </w:rPr>
        <w:t xml:space="preserve">Corectarea rezultatelor anilor precedenți ale autorităților/instituțiilor bugetare". </w:t>
      </w:r>
      <w:r w:rsidRPr="00606103">
        <w:rPr>
          <w:rFonts w:ascii="Calibri Light" w:hAnsi="Calibri Light" w:cs="Calibri Light"/>
          <w:sz w:val="24"/>
          <w:szCs w:val="24"/>
          <w:lang w:val="ro-MD"/>
        </w:rPr>
        <w:t>Totodată, autoritățile reorganizate până la data de 15 decembrie 2021 erau obligate să transmită MF</w:t>
      </w:r>
      <w:r w:rsidR="000D6F57" w:rsidRPr="00606103">
        <w:rPr>
          <w:rFonts w:ascii="Calibri Light" w:hAnsi="Calibri Light" w:cs="Calibri Light"/>
          <w:sz w:val="24"/>
          <w:szCs w:val="24"/>
          <w:lang w:val="ro-MD"/>
        </w:rPr>
        <w:t>,</w:t>
      </w:r>
      <w:r w:rsidRPr="00606103">
        <w:rPr>
          <w:rFonts w:ascii="Calibri Light" w:hAnsi="Calibri Light" w:cs="Calibri Light"/>
          <w:sz w:val="24"/>
          <w:szCs w:val="24"/>
          <w:lang w:val="ro-MD"/>
        </w:rPr>
        <w:t xml:space="preserve"> pe suport de hârtie</w:t>
      </w:r>
      <w:r w:rsidR="000D6F57" w:rsidRPr="00606103">
        <w:rPr>
          <w:rFonts w:ascii="Calibri Light" w:hAnsi="Calibri Light" w:cs="Calibri Light"/>
          <w:sz w:val="24"/>
          <w:szCs w:val="24"/>
          <w:lang w:val="ro-MD"/>
        </w:rPr>
        <w:t>,</w:t>
      </w:r>
      <w:r w:rsidRPr="00606103">
        <w:rPr>
          <w:rFonts w:ascii="Calibri Light" w:hAnsi="Calibri Light" w:cs="Calibri Light"/>
          <w:sz w:val="24"/>
          <w:szCs w:val="24"/>
          <w:lang w:val="ro-MD"/>
        </w:rPr>
        <w:t xml:space="preserve"> un exemplar al raportului financiar la situația </w:t>
      </w:r>
      <w:r w:rsidR="00682C9F" w:rsidRPr="00606103">
        <w:rPr>
          <w:rFonts w:ascii="Calibri Light" w:hAnsi="Calibri Light" w:cs="Calibri Light"/>
          <w:sz w:val="24"/>
          <w:szCs w:val="24"/>
          <w:lang w:val="ro-MD"/>
        </w:rPr>
        <w:t xml:space="preserve">de </w:t>
      </w:r>
      <w:r w:rsidRPr="00606103">
        <w:rPr>
          <w:rFonts w:ascii="Calibri Light" w:hAnsi="Calibri Light" w:cs="Calibri Light"/>
          <w:sz w:val="24"/>
          <w:szCs w:val="24"/>
          <w:lang w:val="ro-MD"/>
        </w:rPr>
        <w:t>până la transmiterea activelor și pasivelor</w:t>
      </w:r>
      <w:r w:rsidR="000D6F57" w:rsidRPr="00606103">
        <w:rPr>
          <w:rFonts w:ascii="Calibri Light" w:hAnsi="Calibri Light" w:cs="Calibri Light"/>
          <w:sz w:val="24"/>
          <w:szCs w:val="24"/>
          <w:lang w:val="ro-MD"/>
        </w:rPr>
        <w:t>,</w:t>
      </w:r>
      <w:r w:rsidRPr="00606103">
        <w:rPr>
          <w:rFonts w:ascii="Calibri Light" w:hAnsi="Calibri Light" w:cs="Calibri Light"/>
          <w:sz w:val="24"/>
          <w:szCs w:val="24"/>
          <w:lang w:val="ro-MD"/>
        </w:rPr>
        <w:t xml:space="preserve"> împreună cu un exemplar al actelor de transmitere. Acest aspect nu a fost monitoriz</w:t>
      </w:r>
      <w:r w:rsidR="0013663F" w:rsidRPr="00606103">
        <w:rPr>
          <w:rFonts w:ascii="Calibri Light" w:hAnsi="Calibri Light" w:cs="Calibri Light"/>
          <w:sz w:val="24"/>
          <w:szCs w:val="24"/>
          <w:lang w:val="ro-MD"/>
        </w:rPr>
        <w:t xml:space="preserve">at suficient </w:t>
      </w:r>
      <w:r w:rsidRPr="00606103">
        <w:rPr>
          <w:rFonts w:ascii="Calibri Light" w:hAnsi="Calibri Light" w:cs="Calibri Light"/>
          <w:sz w:val="24"/>
          <w:szCs w:val="24"/>
          <w:lang w:val="ro-MD"/>
        </w:rPr>
        <w:t>de MF, astfel încât să</w:t>
      </w:r>
      <w:r w:rsidR="000D6F57" w:rsidRPr="00606103">
        <w:rPr>
          <w:rFonts w:ascii="Calibri Light" w:hAnsi="Calibri Light" w:cs="Calibri Light"/>
          <w:sz w:val="24"/>
          <w:szCs w:val="24"/>
          <w:lang w:val="ro-MD"/>
        </w:rPr>
        <w:t>-i</w:t>
      </w:r>
      <w:r w:rsidRPr="00606103">
        <w:rPr>
          <w:rFonts w:ascii="Calibri Light" w:hAnsi="Calibri Light" w:cs="Calibri Light"/>
          <w:sz w:val="24"/>
          <w:szCs w:val="24"/>
          <w:lang w:val="ro-MD"/>
        </w:rPr>
        <w:t xml:space="preserve"> fie prezentate aceste acte. </w:t>
      </w:r>
      <w:r w:rsidRPr="00606103">
        <w:rPr>
          <w:rFonts w:asciiTheme="majorHAnsi" w:hAnsiTheme="majorHAnsi" w:cstheme="majorHAnsi"/>
          <w:color w:val="000000" w:themeColor="text1"/>
          <w:sz w:val="24"/>
          <w:szCs w:val="24"/>
          <w:lang w:val="ro-MD"/>
        </w:rPr>
        <w:t>Fără întocmirea bilanțului până la transmitere și</w:t>
      </w:r>
      <w:r w:rsidR="00682C9F" w:rsidRPr="00606103">
        <w:rPr>
          <w:rFonts w:asciiTheme="majorHAnsi" w:hAnsiTheme="majorHAnsi" w:cstheme="majorHAnsi"/>
          <w:color w:val="000000" w:themeColor="text1"/>
          <w:sz w:val="24"/>
          <w:szCs w:val="24"/>
          <w:lang w:val="ro-MD"/>
        </w:rPr>
        <w:t xml:space="preserve"> a</w:t>
      </w:r>
      <w:r w:rsidRPr="00606103">
        <w:rPr>
          <w:rFonts w:asciiTheme="majorHAnsi" w:hAnsiTheme="majorHAnsi" w:cstheme="majorHAnsi"/>
          <w:color w:val="000000" w:themeColor="text1"/>
          <w:sz w:val="24"/>
          <w:szCs w:val="24"/>
          <w:lang w:val="ro-MD"/>
        </w:rPr>
        <w:t xml:space="preserve"> bilanțului de repartiție</w:t>
      </w:r>
      <w:r w:rsidR="000D52C1" w:rsidRPr="00606103">
        <w:rPr>
          <w:rFonts w:asciiTheme="majorHAnsi" w:hAnsiTheme="majorHAnsi" w:cstheme="majorHAnsi"/>
          <w:color w:val="000000" w:themeColor="text1"/>
          <w:sz w:val="24"/>
          <w:szCs w:val="24"/>
          <w:lang w:val="ro-MD"/>
        </w:rPr>
        <w:t xml:space="preserve"> există riscul</w:t>
      </w:r>
      <w:r w:rsidRPr="00606103">
        <w:rPr>
          <w:rFonts w:asciiTheme="majorHAnsi" w:hAnsiTheme="majorHAnsi" w:cstheme="majorHAnsi"/>
          <w:color w:val="000000" w:themeColor="text1"/>
          <w:sz w:val="24"/>
          <w:szCs w:val="24"/>
          <w:lang w:val="ro-MD"/>
        </w:rPr>
        <w:t xml:space="preserve"> raportării eronate ca urmare </w:t>
      </w:r>
      <w:r w:rsidRPr="00606103">
        <w:rPr>
          <w:rFonts w:asciiTheme="majorHAnsi" w:hAnsiTheme="majorHAnsi" w:cstheme="majorHAnsi"/>
          <w:sz w:val="24"/>
          <w:szCs w:val="24"/>
          <w:lang w:val="ro-MD"/>
        </w:rPr>
        <w:t>a activității contabile de reflectare a transmiterii</w:t>
      </w:r>
      <w:r w:rsidR="00F339E0"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lastRenderedPageBreak/>
        <w:t xml:space="preserve">primirii activelor și pasivelor prin </w:t>
      </w:r>
      <w:r w:rsidRPr="00606103">
        <w:rPr>
          <w:rFonts w:asciiTheme="majorHAnsi" w:hAnsiTheme="majorHAnsi" w:cstheme="majorHAnsi"/>
          <w:color w:val="000000" w:themeColor="text1"/>
          <w:sz w:val="24"/>
          <w:szCs w:val="24"/>
          <w:lang w:val="ro-MD"/>
        </w:rPr>
        <w:t xml:space="preserve">subcontul de nivelul II </w:t>
      </w:r>
      <w:r w:rsidRPr="00606103">
        <w:rPr>
          <w:rFonts w:asciiTheme="majorHAnsi" w:hAnsiTheme="majorHAnsi" w:cstheme="majorHAnsi"/>
          <w:i/>
          <w:color w:val="000000" w:themeColor="text1"/>
          <w:sz w:val="24"/>
          <w:szCs w:val="24"/>
          <w:lang w:val="ro-MD"/>
        </w:rPr>
        <w:t xml:space="preserve">723000 </w:t>
      </w:r>
      <w:r w:rsidR="00682C9F" w:rsidRPr="00606103">
        <w:rPr>
          <w:rFonts w:asciiTheme="majorHAnsi" w:hAnsiTheme="majorHAnsi" w:cstheme="majorHAnsi"/>
          <w:i/>
          <w:color w:val="000000" w:themeColor="text1"/>
          <w:sz w:val="24"/>
          <w:szCs w:val="24"/>
          <w:lang w:val="ro-MD"/>
        </w:rPr>
        <w:t>„</w:t>
      </w:r>
      <w:r w:rsidRPr="00606103">
        <w:rPr>
          <w:rFonts w:asciiTheme="majorHAnsi" w:hAnsiTheme="majorHAnsi" w:cstheme="majorHAnsi"/>
          <w:i/>
          <w:color w:val="000000" w:themeColor="text1"/>
          <w:sz w:val="24"/>
          <w:szCs w:val="24"/>
          <w:lang w:val="ro-MD"/>
        </w:rPr>
        <w:t xml:space="preserve">Corectarea rezultatelor anilor precedenți ale autorităților/instituțiilor bugetare". </w:t>
      </w:r>
      <w:r w:rsidRPr="00606103">
        <w:rPr>
          <w:rFonts w:asciiTheme="majorHAnsi" w:hAnsiTheme="majorHAnsi" w:cstheme="majorHAnsi"/>
          <w:sz w:val="24"/>
          <w:szCs w:val="24"/>
          <w:lang w:val="ro-MD"/>
        </w:rPr>
        <w:t xml:space="preserve"> </w:t>
      </w:r>
    </w:p>
    <w:p w:rsidR="00B91269" w:rsidRPr="00606103" w:rsidRDefault="00B91269" w:rsidP="00FE3F3B">
      <w:pPr>
        <w:spacing w:line="276" w:lineRule="auto"/>
        <w:rPr>
          <w:rFonts w:ascii="Calibri Light" w:hAnsi="Calibri Light" w:cs="Calibri Light"/>
          <w:sz w:val="24"/>
          <w:szCs w:val="24"/>
          <w:lang w:val="ro-MD"/>
        </w:rPr>
      </w:pPr>
      <w:r w:rsidRPr="00606103">
        <w:rPr>
          <w:rFonts w:ascii="Calibri" w:hAnsi="Calibri" w:cs="Calibri"/>
          <w:color w:val="000000"/>
          <w:sz w:val="22"/>
          <w:lang w:val="ro-MD"/>
        </w:rPr>
        <w:t xml:space="preserve"> </w:t>
      </w:r>
      <w:r w:rsidRPr="00606103">
        <w:rPr>
          <w:rFonts w:asciiTheme="majorHAnsi" w:hAnsiTheme="majorHAnsi" w:cstheme="majorHAnsi"/>
          <w:color w:val="000000"/>
          <w:sz w:val="24"/>
          <w:szCs w:val="24"/>
          <w:lang w:val="ro-MD"/>
        </w:rPr>
        <w:t>Un alt aspect important al desfășurării procesului de reorganizare a fost</w:t>
      </w:r>
      <w:r w:rsidRPr="00606103">
        <w:rPr>
          <w:rFonts w:asciiTheme="majorHAnsi" w:hAnsiTheme="majorHAnsi" w:cstheme="majorHAnsi"/>
          <w:sz w:val="24"/>
          <w:szCs w:val="24"/>
          <w:lang w:val="ro-MD"/>
        </w:rPr>
        <w:t xml:space="preserve"> parcurgerea cu o responsabilitate scăzută a managementului autorităților reorganizate a procesului de reorganizare. Aceasta a influențat semnificativ calitatea rapoartelor financiare consolidate și patrimoniale ale ministerelor. Astfel</w:t>
      </w:r>
      <w:r w:rsidRPr="00606103">
        <w:rPr>
          <w:rFonts w:ascii="Calibri Light" w:hAnsi="Calibri Light" w:cs="Calibri Light"/>
          <w:sz w:val="24"/>
          <w:szCs w:val="24"/>
          <w:lang w:val="ro-MD"/>
        </w:rPr>
        <w:t xml:space="preserve">, MECC a respectat parțial cerințele menționate în Circularele MF, </w:t>
      </w:r>
      <w:r w:rsidR="00F339E0" w:rsidRPr="00606103">
        <w:rPr>
          <w:rFonts w:ascii="Calibri Light" w:hAnsi="Calibri Light" w:cs="Calibri Light"/>
          <w:sz w:val="24"/>
          <w:szCs w:val="24"/>
          <w:lang w:val="ro-MD"/>
        </w:rPr>
        <w:t>ca</w:t>
      </w:r>
      <w:r w:rsidRPr="00606103">
        <w:rPr>
          <w:rFonts w:ascii="Calibri Light" w:hAnsi="Calibri Light" w:cs="Calibri Light"/>
          <w:sz w:val="24"/>
          <w:szCs w:val="24"/>
          <w:lang w:val="ro-MD"/>
        </w:rPr>
        <w:t xml:space="preserve"> rezultat a fost perturbat procesul de reorganizare a ministerului. Nu au fost transmise activele și pasivele între apar</w:t>
      </w:r>
      <w:r w:rsidR="003016CF" w:rsidRPr="00606103">
        <w:rPr>
          <w:rFonts w:ascii="Calibri Light" w:hAnsi="Calibri Light" w:cs="Calibri Light"/>
          <w:sz w:val="24"/>
          <w:szCs w:val="24"/>
          <w:lang w:val="ro-MD"/>
        </w:rPr>
        <w:t>atele centrale ale MECC și MC.</w:t>
      </w:r>
      <w:r w:rsidRPr="00606103">
        <w:rPr>
          <w:rFonts w:ascii="Calibri Light" w:hAnsi="Calibri Light" w:cs="Calibri Light"/>
          <w:sz w:val="24"/>
          <w:szCs w:val="24"/>
          <w:lang w:val="ro-MD"/>
        </w:rPr>
        <w:t xml:space="preserve"> Rapoartele financiare consolidate ale MECC, MEC și MC nu reflectă situația reală, acestea sunt denaturate semnificativ cu valoarea investițiilor în parți legate și nelegate, care au trecut în temeiul HG din subordinea MECC în subordinea MC. De facto, a trecut doar denumirea acestora în subordinea MC, pe când valoarea investițiilor în părți legate și nelegate a  acestora este reflectată în rapoartele financiare ale MEC. </w:t>
      </w:r>
    </w:p>
    <w:p w:rsidR="00B91269" w:rsidRPr="00606103" w:rsidRDefault="00B91269">
      <w:pPr>
        <w:spacing w:line="276" w:lineRule="auto"/>
        <w:rPr>
          <w:rFonts w:ascii="Calibri Light" w:hAnsi="Calibri Light" w:cs="Calibri Light"/>
          <w:sz w:val="24"/>
          <w:szCs w:val="24"/>
          <w:lang w:val="ro-MD"/>
        </w:rPr>
      </w:pPr>
      <w:r w:rsidRPr="00606103">
        <w:rPr>
          <w:rFonts w:ascii="Calibri Light" w:hAnsi="Calibri Light" w:cs="Calibri Light"/>
          <w:sz w:val="24"/>
          <w:szCs w:val="24"/>
          <w:lang w:val="ro-MD"/>
        </w:rPr>
        <w:t xml:space="preserve">Verificările auditului denotă că 3 APC (MEI, MADRM și MECC) nu s-au încadrat în termenul stabilit, fiind extinse la solicitare perioadele de raportare până la 22 de zile. Procesele respective de transmitere-predare sunt evaluate în cadrul auditurilor financiare obligatorii </w:t>
      </w:r>
      <w:r w:rsidR="00F339E0" w:rsidRPr="00606103">
        <w:rPr>
          <w:rFonts w:ascii="Calibri Light" w:hAnsi="Calibri Light" w:cs="Calibri Light"/>
          <w:sz w:val="24"/>
          <w:szCs w:val="24"/>
          <w:lang w:val="ro-MD"/>
        </w:rPr>
        <w:t>ale</w:t>
      </w:r>
      <w:r w:rsidRPr="00606103">
        <w:rPr>
          <w:rFonts w:ascii="Calibri Light" w:hAnsi="Calibri Light" w:cs="Calibri Light"/>
          <w:sz w:val="24"/>
          <w:szCs w:val="24"/>
          <w:lang w:val="ro-MD"/>
        </w:rPr>
        <w:t xml:space="preserve"> APC.</w:t>
      </w:r>
    </w:p>
    <w:p w:rsidR="00663F0E" w:rsidRPr="00606103" w:rsidRDefault="007D7E7F">
      <w:pPr>
        <w:pStyle w:val="Heading2"/>
        <w:spacing w:line="276" w:lineRule="auto"/>
        <w:rPr>
          <w:rFonts w:eastAsia="Times New Roman"/>
          <w:b/>
          <w:color w:val="auto"/>
          <w:sz w:val="24"/>
          <w:szCs w:val="24"/>
          <w:lang w:val="ro-MD"/>
        </w:rPr>
      </w:pPr>
      <w:r w:rsidRPr="00606103">
        <w:rPr>
          <w:rFonts w:eastAsia="Times New Roman"/>
          <w:b/>
          <w:color w:val="auto"/>
          <w:sz w:val="24"/>
          <w:szCs w:val="24"/>
          <w:lang w:val="ro-MD"/>
        </w:rPr>
        <w:t>3.4</w:t>
      </w:r>
      <w:r w:rsidR="00BC4454" w:rsidRPr="00606103">
        <w:rPr>
          <w:rFonts w:eastAsia="Times New Roman"/>
          <w:b/>
          <w:color w:val="auto"/>
          <w:sz w:val="24"/>
          <w:szCs w:val="24"/>
          <w:lang w:val="ro-MD"/>
        </w:rPr>
        <w:t xml:space="preserve">. </w:t>
      </w:r>
      <w:r w:rsidR="00E557A9" w:rsidRPr="005149D7">
        <w:rPr>
          <w:rFonts w:eastAsia="Times New Roman"/>
          <w:b/>
          <w:color w:val="auto"/>
          <w:sz w:val="24"/>
          <w:szCs w:val="24"/>
          <w:lang w:val="ro-MD"/>
        </w:rPr>
        <w:t xml:space="preserve">Atragem atenția că </w:t>
      </w:r>
      <w:r w:rsidR="006C41A3" w:rsidRPr="005149D7">
        <w:rPr>
          <w:rFonts w:eastAsia="Times New Roman"/>
          <w:b/>
          <w:color w:val="auto"/>
          <w:sz w:val="24"/>
          <w:szCs w:val="24"/>
          <w:lang w:val="ro-MD"/>
        </w:rPr>
        <w:t xml:space="preserve">nu toate </w:t>
      </w:r>
      <w:r w:rsidR="00E557A9" w:rsidRPr="005149D7">
        <w:rPr>
          <w:rFonts w:eastAsia="Times New Roman"/>
          <w:b/>
          <w:color w:val="auto"/>
          <w:sz w:val="24"/>
          <w:szCs w:val="24"/>
          <w:lang w:val="ro-MD"/>
        </w:rPr>
        <w:t>c</w:t>
      </w:r>
      <w:r w:rsidR="00663F0E" w:rsidRPr="005149D7">
        <w:rPr>
          <w:rFonts w:eastAsia="Times New Roman"/>
          <w:b/>
          <w:color w:val="auto"/>
          <w:sz w:val="24"/>
          <w:szCs w:val="24"/>
          <w:lang w:val="ro-MD"/>
        </w:rPr>
        <w:t>heltuielile</w:t>
      </w:r>
      <w:r w:rsidR="00E557A9" w:rsidRPr="005149D7">
        <w:rPr>
          <w:rFonts w:eastAsia="Times New Roman"/>
          <w:b/>
          <w:color w:val="auto"/>
          <w:sz w:val="24"/>
          <w:szCs w:val="24"/>
          <w:lang w:val="ro-MD"/>
        </w:rPr>
        <w:t xml:space="preserve"> executate din </w:t>
      </w:r>
      <w:r w:rsidR="00B87E1A" w:rsidRPr="005149D7">
        <w:rPr>
          <w:rFonts w:eastAsia="Times New Roman"/>
          <w:b/>
          <w:color w:val="auto"/>
          <w:sz w:val="24"/>
          <w:szCs w:val="24"/>
          <w:lang w:val="ro-MD"/>
        </w:rPr>
        <w:t>f</w:t>
      </w:r>
      <w:r w:rsidR="00E557A9" w:rsidRPr="005149D7">
        <w:rPr>
          <w:rFonts w:eastAsia="Times New Roman"/>
          <w:b/>
          <w:color w:val="auto"/>
          <w:sz w:val="24"/>
          <w:szCs w:val="24"/>
          <w:lang w:val="ro-MD"/>
        </w:rPr>
        <w:t>ondul de rezervă</w:t>
      </w:r>
      <w:r w:rsidR="00663F0E" w:rsidRPr="005149D7">
        <w:rPr>
          <w:rFonts w:eastAsia="Times New Roman"/>
          <w:b/>
          <w:color w:val="auto"/>
          <w:sz w:val="24"/>
          <w:szCs w:val="24"/>
          <w:lang w:val="ro-MD"/>
        </w:rPr>
        <w:t xml:space="preserve"> </w:t>
      </w:r>
      <w:r w:rsidR="00584815" w:rsidRPr="005149D7">
        <w:rPr>
          <w:rFonts w:eastAsia="Times New Roman"/>
          <w:b/>
          <w:color w:val="auto"/>
          <w:sz w:val="24"/>
          <w:szCs w:val="24"/>
          <w:lang w:val="ro-MD"/>
        </w:rPr>
        <w:t>a</w:t>
      </w:r>
      <w:r w:rsidR="004D0598" w:rsidRPr="005149D7">
        <w:rPr>
          <w:rFonts w:eastAsia="Times New Roman"/>
          <w:b/>
          <w:color w:val="auto"/>
          <w:sz w:val="24"/>
          <w:szCs w:val="24"/>
          <w:lang w:val="ro-MD"/>
        </w:rPr>
        <w:t>l</w:t>
      </w:r>
      <w:r w:rsidR="00584815" w:rsidRPr="005149D7">
        <w:rPr>
          <w:rFonts w:eastAsia="Times New Roman"/>
          <w:b/>
          <w:color w:val="auto"/>
          <w:sz w:val="24"/>
          <w:szCs w:val="24"/>
          <w:lang w:val="ro-MD"/>
        </w:rPr>
        <w:t xml:space="preserve"> Guvernului </w:t>
      </w:r>
      <w:r w:rsidR="00663F0E" w:rsidRPr="005149D7">
        <w:rPr>
          <w:rFonts w:eastAsia="Times New Roman"/>
          <w:b/>
          <w:color w:val="auto"/>
          <w:sz w:val="24"/>
          <w:szCs w:val="24"/>
          <w:lang w:val="ro-MD"/>
        </w:rPr>
        <w:t>întrunesc concomitent toate criteriile de eligibilitate stabilite de cadrul</w:t>
      </w:r>
      <w:r w:rsidR="00663F0E" w:rsidRPr="00606103">
        <w:rPr>
          <w:rFonts w:eastAsia="Times New Roman"/>
          <w:b/>
          <w:color w:val="auto"/>
          <w:sz w:val="24"/>
          <w:szCs w:val="24"/>
          <w:lang w:val="ro-MD"/>
        </w:rPr>
        <w:t xml:space="preserve"> normativ, având impact asupra </w:t>
      </w:r>
      <w:r w:rsidR="00E557A9" w:rsidRPr="00606103">
        <w:rPr>
          <w:rFonts w:eastAsia="Times New Roman"/>
          <w:b/>
          <w:color w:val="auto"/>
          <w:sz w:val="24"/>
          <w:szCs w:val="24"/>
          <w:lang w:val="ro-MD"/>
        </w:rPr>
        <w:t>conformității utilizării resurselor acestuia.</w:t>
      </w:r>
    </w:p>
    <w:p w:rsidR="000320B8" w:rsidRPr="00606103" w:rsidRDefault="008325F8">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Pentru anul 2021</w:t>
      </w:r>
      <w:r w:rsidRPr="00606103">
        <w:rPr>
          <w:rFonts w:asciiTheme="majorHAnsi" w:hAnsiTheme="majorHAnsi" w:cstheme="majorHAnsi"/>
          <w:sz w:val="24"/>
          <w:szCs w:val="24"/>
          <w:vertAlign w:val="superscript"/>
          <w:lang w:val="ro-MD"/>
        </w:rPr>
        <w:footnoteReference w:id="21"/>
      </w:r>
      <w:r w:rsidR="00E557A9" w:rsidRPr="00606103">
        <w:rPr>
          <w:rFonts w:asciiTheme="majorHAnsi" w:hAnsiTheme="majorHAnsi" w:cstheme="majorHAnsi"/>
          <w:sz w:val="24"/>
          <w:szCs w:val="24"/>
          <w:lang w:val="ro-MD"/>
        </w:rPr>
        <w:t>, fondurile</w:t>
      </w:r>
      <w:r w:rsidRPr="00606103">
        <w:rPr>
          <w:rFonts w:asciiTheme="majorHAnsi" w:hAnsiTheme="majorHAnsi" w:cstheme="majorHAnsi"/>
          <w:sz w:val="24"/>
          <w:szCs w:val="24"/>
          <w:lang w:val="ro-MD"/>
        </w:rPr>
        <w:t xml:space="preserve"> de </w:t>
      </w:r>
      <w:r w:rsidR="00E557A9" w:rsidRPr="00606103">
        <w:rPr>
          <w:rFonts w:asciiTheme="majorHAnsi" w:hAnsiTheme="majorHAnsi" w:cstheme="majorHAnsi"/>
          <w:sz w:val="24"/>
          <w:szCs w:val="24"/>
          <w:lang w:val="ro-MD"/>
        </w:rPr>
        <w:t>urgență ale Guvernului inițial au fost aprobate în sumă de</w:t>
      </w:r>
      <w:r w:rsidRPr="00606103">
        <w:rPr>
          <w:rFonts w:asciiTheme="majorHAnsi" w:hAnsiTheme="majorHAnsi" w:cstheme="majorHAnsi"/>
          <w:sz w:val="24"/>
          <w:szCs w:val="24"/>
          <w:lang w:val="ro-MD"/>
        </w:rPr>
        <w:t xml:space="preserve"> 277,8 mil. lei, inclusiv 161,5 mil. lei – </w:t>
      </w:r>
      <w:r w:rsidR="00E557A9" w:rsidRPr="00606103">
        <w:rPr>
          <w:rFonts w:asciiTheme="majorHAnsi" w:hAnsiTheme="majorHAnsi" w:cstheme="majorHAnsi"/>
          <w:sz w:val="24"/>
          <w:szCs w:val="24"/>
          <w:lang w:val="ro-MD"/>
        </w:rPr>
        <w:t>fondul de rezervă</w:t>
      </w:r>
      <w:r w:rsidR="00B87E1A" w:rsidRPr="00606103">
        <w:rPr>
          <w:rFonts w:asciiTheme="majorHAnsi" w:hAnsiTheme="majorHAnsi" w:cstheme="majorHAnsi"/>
          <w:sz w:val="24"/>
          <w:szCs w:val="24"/>
          <w:lang w:val="ro-MD"/>
        </w:rPr>
        <w:t>,</w:t>
      </w:r>
      <w:r w:rsidR="00E557A9"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și 116,3 mil. lei – fon</w:t>
      </w:r>
      <w:r w:rsidR="00E557A9" w:rsidRPr="00606103">
        <w:rPr>
          <w:rFonts w:asciiTheme="majorHAnsi" w:hAnsiTheme="majorHAnsi" w:cstheme="majorHAnsi"/>
          <w:sz w:val="24"/>
          <w:szCs w:val="24"/>
          <w:lang w:val="ro-MD"/>
        </w:rPr>
        <w:t>dul de intervenție</w:t>
      </w:r>
      <w:r w:rsidR="000320B8" w:rsidRPr="00606103">
        <w:rPr>
          <w:rFonts w:asciiTheme="majorHAnsi" w:hAnsiTheme="majorHAnsi" w:cstheme="majorHAnsi"/>
          <w:sz w:val="24"/>
          <w:szCs w:val="24"/>
          <w:lang w:val="ro-MD"/>
        </w:rPr>
        <w:t xml:space="preserve">. </w:t>
      </w:r>
      <w:r w:rsidR="00B87E1A" w:rsidRPr="00606103">
        <w:rPr>
          <w:rFonts w:asciiTheme="majorHAnsi" w:hAnsiTheme="majorHAnsi" w:cstheme="majorHAnsi"/>
          <w:sz w:val="24"/>
          <w:szCs w:val="24"/>
          <w:lang w:val="ro-MD"/>
        </w:rPr>
        <w:t>Ca u</w:t>
      </w:r>
      <w:r w:rsidR="000320B8" w:rsidRPr="00606103">
        <w:rPr>
          <w:rFonts w:asciiTheme="majorHAnsi" w:hAnsiTheme="majorHAnsi" w:cstheme="majorHAnsi"/>
          <w:sz w:val="24"/>
          <w:szCs w:val="24"/>
          <w:lang w:val="ro-MD"/>
        </w:rPr>
        <w:t>rmare</w:t>
      </w:r>
      <w:r w:rsidR="00B87E1A" w:rsidRPr="00606103">
        <w:rPr>
          <w:rFonts w:asciiTheme="majorHAnsi" w:hAnsiTheme="majorHAnsi" w:cstheme="majorHAnsi"/>
          <w:sz w:val="24"/>
          <w:szCs w:val="24"/>
          <w:lang w:val="ro-MD"/>
        </w:rPr>
        <w:t xml:space="preserve"> a</w:t>
      </w:r>
      <w:r w:rsidR="000320B8"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modificărilor operate, alocațiile pentru fondul de rezervă au fost majorate cu 338,5 mil. lei, constituind 500,0 mil. lei, iar pentru fondul de intervenție </w:t>
      </w:r>
      <w:r w:rsidR="00B87E1A"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cu 206,7 mil. lei, constituind 323,0 mil. lei, inclusiv </w:t>
      </w:r>
      <w:r w:rsidR="00B87E1A" w:rsidRPr="00606103">
        <w:rPr>
          <w:rFonts w:asciiTheme="majorHAnsi" w:hAnsiTheme="majorHAnsi" w:cstheme="majorHAnsi"/>
          <w:sz w:val="24"/>
          <w:szCs w:val="24"/>
          <w:lang w:val="ro-MD"/>
        </w:rPr>
        <w:t xml:space="preserve">0,6 mil. lei </w:t>
      </w:r>
      <w:r w:rsidRPr="00606103">
        <w:rPr>
          <w:rFonts w:asciiTheme="majorHAnsi" w:hAnsiTheme="majorHAnsi" w:cstheme="majorHAnsi"/>
          <w:sz w:val="24"/>
          <w:szCs w:val="24"/>
          <w:lang w:val="ro-MD"/>
        </w:rPr>
        <w:t xml:space="preserve">din contul donațiilor persoanelor fizice și juridice oferite pentru combaterea pandemiei COVID-19. </w:t>
      </w:r>
    </w:p>
    <w:p w:rsidR="009C61E7" w:rsidRDefault="0098048A">
      <w:pPr>
        <w:spacing w:after="0" w:line="276" w:lineRule="auto"/>
        <w:rPr>
          <w:rFonts w:asciiTheme="majorHAnsi" w:hAnsiTheme="majorHAnsi" w:cstheme="majorHAnsi"/>
          <w:i/>
          <w:sz w:val="24"/>
          <w:szCs w:val="24"/>
          <w:lang w:val="ro-MD"/>
        </w:rPr>
      </w:pPr>
      <w:r w:rsidRPr="00606103">
        <w:rPr>
          <w:rFonts w:asciiTheme="majorHAnsi" w:hAnsiTheme="majorHAnsi" w:cstheme="majorHAnsi"/>
          <w:sz w:val="24"/>
          <w:szCs w:val="24"/>
          <w:lang w:val="ro-MD"/>
        </w:rPr>
        <w:t xml:space="preserve">Pentru </w:t>
      </w:r>
      <w:r w:rsidR="008325F8" w:rsidRPr="00606103">
        <w:rPr>
          <w:rFonts w:asciiTheme="majorHAnsi" w:hAnsiTheme="majorHAnsi" w:cstheme="majorHAnsi"/>
          <w:sz w:val="24"/>
          <w:szCs w:val="24"/>
          <w:lang w:val="ro-MD"/>
        </w:rPr>
        <w:t>repartizarea mijloacelor din fondul de r</w:t>
      </w:r>
      <w:r w:rsidRPr="00606103">
        <w:rPr>
          <w:rFonts w:asciiTheme="majorHAnsi" w:hAnsiTheme="majorHAnsi" w:cstheme="majorHAnsi"/>
          <w:sz w:val="24"/>
          <w:szCs w:val="24"/>
          <w:lang w:val="ro-MD"/>
        </w:rPr>
        <w:t>ezervă,</w:t>
      </w:r>
      <w:r w:rsidR="008325F8" w:rsidRPr="00606103">
        <w:rPr>
          <w:rFonts w:asciiTheme="majorHAnsi" w:hAnsiTheme="majorHAnsi" w:cstheme="majorHAnsi"/>
          <w:sz w:val="24"/>
          <w:szCs w:val="24"/>
          <w:lang w:val="ro-MD"/>
        </w:rPr>
        <w:t xml:space="preserve"> au fost aprobate 11 Hotărâri de Guvern, în valoare de 181,3 mil. lei, și din fondul de intervenție – 9 Hotărâri de Guvern, în sumă de 199,8 mil. lei. Totodată, executarea chelt</w:t>
      </w:r>
      <w:r w:rsidRPr="00606103">
        <w:rPr>
          <w:rFonts w:asciiTheme="majorHAnsi" w:hAnsiTheme="majorHAnsi" w:cstheme="majorHAnsi"/>
          <w:sz w:val="24"/>
          <w:szCs w:val="24"/>
          <w:lang w:val="ro-MD"/>
        </w:rPr>
        <w:t>uielilor</w:t>
      </w:r>
      <w:r w:rsidR="008325F8" w:rsidRPr="00606103">
        <w:rPr>
          <w:rFonts w:asciiTheme="majorHAnsi" w:hAnsiTheme="majorHAnsi" w:cstheme="majorHAnsi"/>
          <w:sz w:val="24"/>
          <w:szCs w:val="24"/>
          <w:lang w:val="ro-MD"/>
        </w:rPr>
        <w:t xml:space="preserve"> a fost la nivel de 81,1%, sau 147,1 mil. lei din fondul de rezervă și, respectiv, de 98,</w:t>
      </w:r>
      <w:r w:rsidR="00C51A42" w:rsidRPr="00606103">
        <w:rPr>
          <w:rFonts w:asciiTheme="majorHAnsi" w:hAnsiTheme="majorHAnsi" w:cstheme="majorHAnsi"/>
          <w:sz w:val="24"/>
          <w:szCs w:val="24"/>
          <w:lang w:val="ro-MD"/>
        </w:rPr>
        <w:t>0</w:t>
      </w:r>
      <w:r w:rsidR="008325F8" w:rsidRPr="00606103">
        <w:rPr>
          <w:rFonts w:asciiTheme="majorHAnsi" w:hAnsiTheme="majorHAnsi" w:cstheme="majorHAnsi"/>
          <w:sz w:val="24"/>
          <w:szCs w:val="24"/>
          <w:lang w:val="ro-MD"/>
        </w:rPr>
        <w:t>%, sau 196,0 mil</w:t>
      </w:r>
      <w:r w:rsidRPr="00606103">
        <w:rPr>
          <w:rFonts w:asciiTheme="majorHAnsi" w:hAnsiTheme="majorHAnsi" w:cstheme="majorHAnsi"/>
          <w:sz w:val="24"/>
          <w:szCs w:val="24"/>
          <w:lang w:val="ro-MD"/>
        </w:rPr>
        <w:t>. lei</w:t>
      </w:r>
      <w:r w:rsidR="00B87E1A"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din fondul de intervenție, </w:t>
      </w:r>
      <w:r w:rsidRPr="00606103">
        <w:rPr>
          <w:rFonts w:asciiTheme="majorHAnsi" w:hAnsiTheme="majorHAnsi" w:cstheme="majorHAnsi"/>
          <w:i/>
          <w:sz w:val="24"/>
          <w:szCs w:val="24"/>
          <w:lang w:val="ro-MD"/>
        </w:rPr>
        <w:t xml:space="preserve">care în mod grafic </w:t>
      </w:r>
      <w:r w:rsidR="008325F8" w:rsidRPr="00606103">
        <w:rPr>
          <w:rFonts w:asciiTheme="majorHAnsi" w:hAnsiTheme="majorHAnsi" w:cstheme="majorHAnsi"/>
          <w:i/>
          <w:sz w:val="24"/>
          <w:szCs w:val="24"/>
          <w:lang w:val="ro-MD"/>
        </w:rPr>
        <w:t xml:space="preserve">se prezintă </w:t>
      </w:r>
      <w:r w:rsidR="007B556A" w:rsidRPr="00606103">
        <w:rPr>
          <w:rFonts w:asciiTheme="majorHAnsi" w:hAnsiTheme="majorHAnsi" w:cstheme="majorHAnsi"/>
          <w:i/>
          <w:sz w:val="24"/>
          <w:szCs w:val="24"/>
          <w:lang w:val="ro-MD"/>
        </w:rPr>
        <w:t>în Diagrama nr.1.</w:t>
      </w:r>
    </w:p>
    <w:p w:rsidR="00606103" w:rsidRDefault="00606103">
      <w:pPr>
        <w:spacing w:after="0" w:line="276" w:lineRule="auto"/>
        <w:rPr>
          <w:rFonts w:asciiTheme="majorHAnsi" w:hAnsiTheme="majorHAnsi" w:cstheme="majorHAnsi"/>
          <w:i/>
          <w:sz w:val="24"/>
          <w:szCs w:val="24"/>
          <w:lang w:val="ro-MD"/>
        </w:rPr>
      </w:pPr>
    </w:p>
    <w:p w:rsidR="00606103" w:rsidRDefault="00606103">
      <w:pPr>
        <w:spacing w:after="0" w:line="276" w:lineRule="auto"/>
        <w:rPr>
          <w:rFonts w:asciiTheme="majorHAnsi" w:hAnsiTheme="majorHAnsi" w:cstheme="majorHAnsi"/>
          <w:i/>
          <w:sz w:val="24"/>
          <w:szCs w:val="24"/>
          <w:lang w:val="ro-MD"/>
        </w:rPr>
      </w:pPr>
    </w:p>
    <w:p w:rsidR="005D235B" w:rsidRDefault="005D235B">
      <w:pPr>
        <w:spacing w:after="0" w:line="276" w:lineRule="auto"/>
        <w:rPr>
          <w:rFonts w:asciiTheme="majorHAnsi" w:hAnsiTheme="majorHAnsi" w:cstheme="majorHAnsi"/>
          <w:i/>
          <w:sz w:val="24"/>
          <w:szCs w:val="24"/>
          <w:lang w:val="ro-MD"/>
        </w:rPr>
      </w:pPr>
    </w:p>
    <w:p w:rsidR="005D235B" w:rsidRDefault="005D235B">
      <w:pPr>
        <w:spacing w:after="0" w:line="276" w:lineRule="auto"/>
        <w:rPr>
          <w:rFonts w:asciiTheme="majorHAnsi" w:hAnsiTheme="majorHAnsi" w:cstheme="majorHAnsi"/>
          <w:i/>
          <w:sz w:val="24"/>
          <w:szCs w:val="24"/>
          <w:lang w:val="ro-MD"/>
        </w:rPr>
      </w:pPr>
    </w:p>
    <w:p w:rsidR="005D235B" w:rsidRDefault="005D235B">
      <w:pPr>
        <w:spacing w:after="0" w:line="276" w:lineRule="auto"/>
        <w:rPr>
          <w:rFonts w:asciiTheme="majorHAnsi" w:hAnsiTheme="majorHAnsi" w:cstheme="majorHAnsi"/>
          <w:i/>
          <w:sz w:val="24"/>
          <w:szCs w:val="24"/>
          <w:lang w:val="ro-MD"/>
        </w:rPr>
      </w:pPr>
    </w:p>
    <w:p w:rsidR="005D235B" w:rsidRDefault="005D235B">
      <w:pPr>
        <w:spacing w:after="0" w:line="276" w:lineRule="auto"/>
        <w:rPr>
          <w:rFonts w:asciiTheme="majorHAnsi" w:hAnsiTheme="majorHAnsi" w:cstheme="majorHAnsi"/>
          <w:i/>
          <w:sz w:val="24"/>
          <w:szCs w:val="24"/>
          <w:lang w:val="ro-MD"/>
        </w:rPr>
      </w:pPr>
    </w:p>
    <w:p w:rsidR="005D235B" w:rsidRDefault="005D235B">
      <w:pPr>
        <w:spacing w:after="0" w:line="276" w:lineRule="auto"/>
        <w:rPr>
          <w:rFonts w:asciiTheme="majorHAnsi" w:hAnsiTheme="majorHAnsi" w:cstheme="majorHAnsi"/>
          <w:i/>
          <w:sz w:val="24"/>
          <w:szCs w:val="24"/>
          <w:lang w:val="ro-MD"/>
        </w:rPr>
      </w:pPr>
    </w:p>
    <w:p w:rsidR="00606103" w:rsidRDefault="00606103">
      <w:pPr>
        <w:spacing w:after="0" w:line="276" w:lineRule="auto"/>
        <w:rPr>
          <w:rFonts w:asciiTheme="majorHAnsi" w:hAnsiTheme="majorHAnsi" w:cstheme="majorHAnsi"/>
          <w:i/>
          <w:sz w:val="24"/>
          <w:szCs w:val="24"/>
          <w:lang w:val="ro-MD"/>
        </w:rPr>
      </w:pPr>
    </w:p>
    <w:p w:rsidR="00606103" w:rsidRPr="00606103" w:rsidRDefault="00606103">
      <w:pPr>
        <w:spacing w:after="0" w:line="276" w:lineRule="auto"/>
        <w:rPr>
          <w:rFonts w:asciiTheme="majorHAnsi" w:hAnsiTheme="majorHAnsi" w:cstheme="majorHAnsi"/>
          <w:i/>
          <w:sz w:val="24"/>
          <w:szCs w:val="24"/>
          <w:lang w:val="ro-MD"/>
        </w:rPr>
      </w:pPr>
    </w:p>
    <w:p w:rsidR="009C61E7" w:rsidRPr="00606103" w:rsidRDefault="009C61E7">
      <w:pPr>
        <w:spacing w:after="0" w:line="276" w:lineRule="auto"/>
        <w:jc w:val="right"/>
        <w:rPr>
          <w:rFonts w:asciiTheme="majorHAnsi" w:hAnsiTheme="majorHAnsi" w:cstheme="majorHAnsi"/>
          <w:b/>
          <w:i/>
          <w:sz w:val="24"/>
          <w:szCs w:val="24"/>
          <w:lang w:val="ro-MD"/>
        </w:rPr>
      </w:pPr>
      <w:r w:rsidRPr="00606103">
        <w:rPr>
          <w:rFonts w:asciiTheme="majorHAnsi" w:hAnsiTheme="majorHAnsi" w:cstheme="majorHAnsi"/>
          <w:b/>
          <w:i/>
          <w:sz w:val="24"/>
          <w:szCs w:val="24"/>
          <w:lang w:val="ro-MD"/>
        </w:rPr>
        <w:lastRenderedPageBreak/>
        <w:t>Diagrama nr. 1</w:t>
      </w:r>
    </w:p>
    <w:p w:rsidR="008325F8" w:rsidRPr="00606103" w:rsidRDefault="0002498E">
      <w:pPr>
        <w:spacing w:line="276" w:lineRule="auto"/>
        <w:ind w:left="-284" w:right="-235"/>
        <w:jc w:val="center"/>
        <w:rPr>
          <w:rFonts w:asciiTheme="majorHAnsi" w:hAnsiTheme="majorHAnsi" w:cstheme="majorHAnsi"/>
          <w:b/>
          <w:sz w:val="24"/>
          <w:szCs w:val="24"/>
          <w:lang w:val="ro-MD"/>
        </w:rPr>
      </w:pPr>
      <w:r w:rsidRPr="00606103">
        <w:rPr>
          <w:rFonts w:asciiTheme="majorHAnsi" w:hAnsiTheme="majorHAnsi" w:cstheme="majorHAnsi"/>
          <w:b/>
          <w:sz w:val="24"/>
          <w:szCs w:val="24"/>
          <w:lang w:val="ro-MD"/>
        </w:rPr>
        <w:t>Executarea m</w:t>
      </w:r>
      <w:r w:rsidR="008325F8" w:rsidRPr="00606103">
        <w:rPr>
          <w:rFonts w:asciiTheme="majorHAnsi" w:hAnsiTheme="majorHAnsi" w:cstheme="majorHAnsi"/>
          <w:b/>
          <w:sz w:val="24"/>
          <w:szCs w:val="24"/>
          <w:lang w:val="ro-MD"/>
        </w:rPr>
        <w:t>ijloacelor financiare din fondurile de rezervă ș</w:t>
      </w:r>
      <w:r w:rsidRPr="00606103">
        <w:rPr>
          <w:rFonts w:asciiTheme="majorHAnsi" w:hAnsiTheme="majorHAnsi" w:cstheme="majorHAnsi"/>
          <w:b/>
          <w:sz w:val="24"/>
          <w:szCs w:val="24"/>
          <w:lang w:val="ro-MD"/>
        </w:rPr>
        <w:t>i de intervenție ale Guvernului în anul 2021</w:t>
      </w:r>
    </w:p>
    <w:p w:rsidR="008325F8" w:rsidRPr="00606103" w:rsidRDefault="008325F8">
      <w:pPr>
        <w:spacing w:after="0" w:line="276" w:lineRule="auto"/>
        <w:ind w:right="1466"/>
        <w:jc w:val="right"/>
        <w:rPr>
          <w:rFonts w:asciiTheme="majorHAnsi" w:eastAsiaTheme="minorEastAsia" w:hAnsiTheme="majorHAnsi" w:cstheme="majorHAnsi"/>
          <w:bCs/>
          <w:i/>
          <w:iCs/>
          <w:sz w:val="24"/>
          <w:szCs w:val="24"/>
          <w:lang w:val="ro-MD" w:eastAsia="ru-RU"/>
        </w:rPr>
      </w:pPr>
      <w:r w:rsidRPr="00606103">
        <w:rPr>
          <w:rFonts w:asciiTheme="majorHAnsi" w:hAnsiTheme="majorHAnsi" w:cstheme="majorHAnsi"/>
          <w:i/>
          <w:sz w:val="24"/>
          <w:szCs w:val="24"/>
          <w:lang w:val="ro-MD"/>
        </w:rPr>
        <w:t xml:space="preserve">(mil. </w:t>
      </w:r>
      <w:r w:rsidR="0098048A" w:rsidRPr="00606103">
        <w:rPr>
          <w:rFonts w:asciiTheme="majorHAnsi" w:eastAsiaTheme="minorEastAsia" w:hAnsiTheme="majorHAnsi" w:cstheme="majorHAnsi"/>
          <w:bCs/>
          <w:i/>
          <w:iCs/>
          <w:sz w:val="24"/>
          <w:szCs w:val="24"/>
          <w:lang w:val="ro-MD" w:eastAsia="ru-RU"/>
        </w:rPr>
        <w:t>lei</w:t>
      </w:r>
      <w:r w:rsidRPr="00606103">
        <w:rPr>
          <w:rFonts w:asciiTheme="majorHAnsi" w:eastAsiaTheme="minorEastAsia" w:hAnsiTheme="majorHAnsi" w:cstheme="majorHAnsi"/>
          <w:bCs/>
          <w:i/>
          <w:iCs/>
          <w:sz w:val="24"/>
          <w:szCs w:val="24"/>
          <w:lang w:val="ro-MD" w:eastAsia="ru-RU"/>
        </w:rPr>
        <w:t>)</w:t>
      </w:r>
    </w:p>
    <w:p w:rsidR="00AB5203" w:rsidRPr="00606103" w:rsidRDefault="00AB5203">
      <w:pPr>
        <w:spacing w:after="0" w:line="276" w:lineRule="auto"/>
        <w:ind w:right="1466"/>
        <w:jc w:val="right"/>
        <w:rPr>
          <w:rFonts w:asciiTheme="majorHAnsi" w:eastAsiaTheme="minorEastAsia" w:hAnsiTheme="majorHAnsi" w:cstheme="majorHAnsi"/>
          <w:bCs/>
          <w:i/>
          <w:iCs/>
          <w:sz w:val="24"/>
          <w:szCs w:val="24"/>
          <w:lang w:val="ro-MD" w:eastAsia="ru-RU"/>
        </w:rPr>
      </w:pPr>
      <w:r w:rsidRPr="00606103">
        <w:rPr>
          <w:rFonts w:asciiTheme="majorHAnsi" w:eastAsia="Calibri" w:hAnsiTheme="majorHAnsi" w:cstheme="majorHAnsi"/>
          <w:b/>
          <w:noProof/>
          <w:color w:val="000000"/>
          <w:sz w:val="22"/>
          <w:highlight w:val="yellow"/>
          <w:shd w:val="clear" w:color="auto" w:fill="FFFFFF" w:themeFill="background1"/>
          <w:lang w:val="en-US"/>
        </w:rPr>
        <w:drawing>
          <wp:inline distT="0" distB="0" distL="0" distR="0" wp14:anchorId="4A59B702" wp14:editId="6ECE9786">
            <wp:extent cx="5539740" cy="1927860"/>
            <wp:effectExtent l="0" t="0" r="381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25F8" w:rsidRPr="00606103" w:rsidRDefault="008325F8">
      <w:pPr>
        <w:spacing w:after="0" w:line="276" w:lineRule="auto"/>
        <w:jc w:val="center"/>
        <w:rPr>
          <w:rFonts w:asciiTheme="majorHAnsi" w:eastAsia="Calibri" w:hAnsiTheme="majorHAnsi" w:cstheme="majorHAnsi"/>
          <w:color w:val="000000"/>
          <w:sz w:val="24"/>
          <w:szCs w:val="24"/>
          <w:lang w:val="ro-MD"/>
        </w:rPr>
      </w:pPr>
    </w:p>
    <w:p w:rsidR="008325F8" w:rsidRPr="00606103" w:rsidRDefault="008325F8">
      <w:pPr>
        <w:spacing w:line="276" w:lineRule="auto"/>
        <w:jc w:val="center"/>
        <w:rPr>
          <w:rFonts w:asciiTheme="majorHAnsi" w:eastAsia="Calibri" w:hAnsiTheme="majorHAnsi" w:cstheme="majorHAnsi"/>
          <w:color w:val="000000"/>
          <w:sz w:val="20"/>
          <w:szCs w:val="20"/>
          <w:lang w:val="ro-MD"/>
        </w:rPr>
      </w:pPr>
      <w:r w:rsidRPr="00606103">
        <w:rPr>
          <w:rFonts w:asciiTheme="majorHAnsi" w:hAnsiTheme="majorHAnsi" w:cstheme="majorHAnsi"/>
          <w:b/>
          <w:i/>
          <w:sz w:val="20"/>
          <w:szCs w:val="20"/>
          <w:lang w:val="ro-MD" w:eastAsia="ru-RU"/>
        </w:rPr>
        <w:t xml:space="preserve">Sursă: </w:t>
      </w:r>
      <w:r w:rsidRPr="00606103">
        <w:rPr>
          <w:rFonts w:asciiTheme="majorHAnsi" w:hAnsiTheme="majorHAnsi" w:cstheme="majorHAnsi"/>
          <w:i/>
          <w:sz w:val="20"/>
          <w:szCs w:val="20"/>
          <w:lang w:val="ro-MD" w:eastAsia="ru-RU"/>
        </w:rPr>
        <w:t xml:space="preserve">Date generalizate de echipa de audit conform informațiilor prezentate de </w:t>
      </w:r>
      <w:r w:rsidR="00D300CB" w:rsidRPr="00606103">
        <w:rPr>
          <w:rFonts w:asciiTheme="majorHAnsi" w:hAnsiTheme="majorHAnsi" w:cstheme="majorHAnsi"/>
          <w:i/>
          <w:sz w:val="20"/>
          <w:szCs w:val="20"/>
          <w:lang w:val="ro-MD" w:eastAsia="ru-RU"/>
        </w:rPr>
        <w:t>MF</w:t>
      </w:r>
      <w:r w:rsidRPr="00606103">
        <w:rPr>
          <w:rFonts w:asciiTheme="majorHAnsi" w:hAnsiTheme="majorHAnsi" w:cstheme="majorHAnsi"/>
          <w:i/>
          <w:sz w:val="20"/>
          <w:szCs w:val="20"/>
          <w:lang w:val="ro-MD" w:eastAsia="ru-RU"/>
        </w:rPr>
        <w:t>.</w:t>
      </w:r>
    </w:p>
    <w:p w:rsidR="00752B44" w:rsidRPr="00606103" w:rsidRDefault="00752B44">
      <w:pPr>
        <w:spacing w:line="276" w:lineRule="auto"/>
        <w:rPr>
          <w:rFonts w:asciiTheme="majorHAnsi" w:hAnsiTheme="majorHAnsi" w:cstheme="majorHAnsi"/>
          <w:bCs/>
          <w:sz w:val="24"/>
          <w:szCs w:val="24"/>
          <w:lang w:val="ro-MD"/>
        </w:rPr>
      </w:pPr>
      <w:r w:rsidRPr="00606103">
        <w:rPr>
          <w:rFonts w:asciiTheme="majorHAnsi" w:hAnsiTheme="majorHAnsi" w:cstheme="majorHAnsi"/>
          <w:sz w:val="24"/>
          <w:szCs w:val="24"/>
          <w:lang w:val="ro-MD"/>
        </w:rPr>
        <w:t>Cheltuielile din fondul de intervenție al Guvernului au fost executate în volum de 196,0 mil. lei, dintre care 41,</w:t>
      </w:r>
      <w:r w:rsidR="00C51A42" w:rsidRPr="00606103">
        <w:rPr>
          <w:rFonts w:asciiTheme="majorHAnsi" w:hAnsiTheme="majorHAnsi" w:cstheme="majorHAnsi"/>
          <w:sz w:val="24"/>
          <w:szCs w:val="24"/>
          <w:lang w:val="ro-MD"/>
        </w:rPr>
        <w:t>9</w:t>
      </w:r>
      <w:r w:rsidRPr="00606103">
        <w:rPr>
          <w:rFonts w:asciiTheme="majorHAnsi" w:hAnsiTheme="majorHAnsi" w:cstheme="majorHAnsi"/>
          <w:sz w:val="24"/>
          <w:szCs w:val="24"/>
          <w:lang w:val="ro-MD"/>
        </w:rPr>
        <w:t>% (8</w:t>
      </w:r>
      <w:r w:rsidR="00C51A42" w:rsidRPr="00606103">
        <w:rPr>
          <w:rFonts w:asciiTheme="majorHAnsi" w:hAnsiTheme="majorHAnsi" w:cstheme="majorHAnsi"/>
          <w:sz w:val="24"/>
          <w:szCs w:val="24"/>
          <w:lang w:val="ro-MD"/>
        </w:rPr>
        <w:t>2,2</w:t>
      </w:r>
      <w:r w:rsidRPr="00606103">
        <w:rPr>
          <w:rFonts w:asciiTheme="majorHAnsi" w:hAnsiTheme="majorHAnsi" w:cstheme="majorHAnsi"/>
          <w:sz w:val="24"/>
          <w:szCs w:val="24"/>
          <w:lang w:val="ro-MD"/>
        </w:rPr>
        <w:t xml:space="preserve"> mil. lei) de 1</w:t>
      </w:r>
      <w:r w:rsidR="00C51A42" w:rsidRPr="00606103">
        <w:rPr>
          <w:rFonts w:asciiTheme="majorHAnsi" w:hAnsiTheme="majorHAnsi" w:cstheme="majorHAnsi"/>
          <w:sz w:val="24"/>
          <w:szCs w:val="24"/>
          <w:lang w:val="ro-MD"/>
        </w:rPr>
        <w:t>9</w:t>
      </w:r>
      <w:r w:rsidRPr="00606103">
        <w:rPr>
          <w:rFonts w:asciiTheme="majorHAnsi" w:hAnsiTheme="majorHAnsi" w:cstheme="majorHAnsi"/>
          <w:sz w:val="24"/>
          <w:szCs w:val="24"/>
          <w:lang w:val="ro-MD"/>
        </w:rPr>
        <w:t xml:space="preserve"> APC</w:t>
      </w:r>
      <w:r w:rsidRPr="00606103">
        <w:rPr>
          <w:rFonts w:asciiTheme="majorHAnsi" w:hAnsiTheme="majorHAnsi" w:cstheme="majorHAnsi"/>
          <w:sz w:val="24"/>
          <w:szCs w:val="24"/>
          <w:vertAlign w:val="superscript"/>
          <w:lang w:val="ro-MD"/>
        </w:rPr>
        <w:footnoteReference w:id="22"/>
      </w:r>
      <w:r w:rsidRPr="00606103">
        <w:rPr>
          <w:rFonts w:asciiTheme="majorHAnsi" w:hAnsiTheme="majorHAnsi" w:cstheme="majorHAnsi"/>
          <w:sz w:val="24"/>
          <w:szCs w:val="24"/>
          <w:lang w:val="ro-MD"/>
        </w:rPr>
        <w:t>, iar 58,</w:t>
      </w:r>
      <w:r w:rsidR="00C51A42" w:rsidRPr="00606103">
        <w:rPr>
          <w:rFonts w:asciiTheme="majorHAnsi" w:hAnsiTheme="majorHAnsi" w:cstheme="majorHAnsi"/>
          <w:sz w:val="24"/>
          <w:szCs w:val="24"/>
          <w:lang w:val="ro-MD"/>
        </w:rPr>
        <w:t>1</w:t>
      </w:r>
      <w:r w:rsidRPr="00606103">
        <w:rPr>
          <w:rFonts w:asciiTheme="majorHAnsi" w:hAnsiTheme="majorHAnsi" w:cstheme="majorHAnsi"/>
          <w:sz w:val="24"/>
          <w:szCs w:val="24"/>
          <w:lang w:val="ro-MD"/>
        </w:rPr>
        <w:t>% (11</w:t>
      </w:r>
      <w:r w:rsidR="00C51A42" w:rsidRPr="00606103">
        <w:rPr>
          <w:rFonts w:asciiTheme="majorHAnsi" w:hAnsiTheme="majorHAnsi" w:cstheme="majorHAnsi"/>
          <w:sz w:val="24"/>
          <w:szCs w:val="24"/>
          <w:lang w:val="ro-MD"/>
        </w:rPr>
        <w:t>3,8</w:t>
      </w:r>
      <w:r w:rsidRPr="00606103">
        <w:rPr>
          <w:rFonts w:asciiTheme="majorHAnsi" w:hAnsiTheme="majorHAnsi" w:cstheme="majorHAnsi"/>
          <w:sz w:val="24"/>
          <w:szCs w:val="24"/>
          <w:lang w:val="ro-MD"/>
        </w:rPr>
        <w:t xml:space="preserve"> mil. lei) revin transferurilor către bugetele locale. Mijloacele repartizate din fondul de intervenție au fost utilizate pentru acordarea</w:t>
      </w:r>
      <w:r w:rsidR="00B87E1A"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indemnizațiilor unice angajaților infectați cu COVID-19 în timpul exercitării atribuțiilor de serviciu (18</w:t>
      </w:r>
      <w:r w:rsidR="00C51A42" w:rsidRPr="00606103">
        <w:rPr>
          <w:rFonts w:asciiTheme="majorHAnsi" w:hAnsiTheme="majorHAnsi" w:cstheme="majorHAnsi"/>
          <w:sz w:val="24"/>
          <w:szCs w:val="24"/>
          <w:lang w:val="ro-MD"/>
        </w:rPr>
        <w:t>2,56</w:t>
      </w:r>
      <w:r w:rsidRPr="00606103">
        <w:rPr>
          <w:rFonts w:asciiTheme="majorHAnsi" w:hAnsiTheme="majorHAnsi" w:cstheme="majorHAnsi"/>
          <w:sz w:val="24"/>
          <w:szCs w:val="24"/>
          <w:lang w:val="ro-MD"/>
        </w:rPr>
        <w:t xml:space="preserve"> mil. lei</w:t>
      </w:r>
      <w:r w:rsidR="00B87E1A"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sau 9</w:t>
      </w:r>
      <w:r w:rsidR="00C51A42" w:rsidRPr="00606103">
        <w:rPr>
          <w:rFonts w:asciiTheme="majorHAnsi" w:hAnsiTheme="majorHAnsi" w:cstheme="majorHAnsi"/>
          <w:sz w:val="24"/>
          <w:szCs w:val="24"/>
          <w:lang w:val="ro-MD"/>
        </w:rPr>
        <w:t>3,1</w:t>
      </w:r>
      <w:r w:rsidRPr="00606103">
        <w:rPr>
          <w:rFonts w:asciiTheme="majorHAnsi" w:hAnsiTheme="majorHAnsi" w:cstheme="majorHAnsi"/>
          <w:sz w:val="24"/>
          <w:szCs w:val="24"/>
          <w:lang w:val="ro-MD"/>
        </w:rPr>
        <w:t>%), indemnizațiilor unice personalului decedat din cadrul instituțiilor medico-sanitare publice în lupta cu COVID</w:t>
      </w:r>
      <w:r w:rsidR="00B87E1A"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19 (</w:t>
      </w:r>
      <w:r w:rsidR="00C51A42" w:rsidRPr="00606103">
        <w:rPr>
          <w:rFonts w:asciiTheme="majorHAnsi" w:hAnsiTheme="majorHAnsi" w:cstheme="majorHAnsi"/>
          <w:sz w:val="24"/>
          <w:szCs w:val="24"/>
          <w:lang w:val="ro-MD"/>
        </w:rPr>
        <w:t>7,0</w:t>
      </w:r>
      <w:r w:rsidRPr="00606103">
        <w:rPr>
          <w:rFonts w:asciiTheme="majorHAnsi" w:hAnsiTheme="majorHAnsi" w:cstheme="majorHAnsi"/>
          <w:sz w:val="24"/>
          <w:szCs w:val="24"/>
          <w:lang w:val="ro-MD"/>
        </w:rPr>
        <w:t xml:space="preserve"> mil. lei</w:t>
      </w:r>
      <w:r w:rsidR="00B87E1A"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sau </w:t>
      </w:r>
      <w:r w:rsidR="00C51A42" w:rsidRPr="00606103">
        <w:rPr>
          <w:rFonts w:asciiTheme="majorHAnsi" w:hAnsiTheme="majorHAnsi" w:cstheme="majorHAnsi"/>
          <w:sz w:val="24"/>
          <w:szCs w:val="24"/>
          <w:lang w:val="ro-MD"/>
        </w:rPr>
        <w:t>3,6</w:t>
      </w:r>
      <w:r w:rsidRPr="00606103">
        <w:rPr>
          <w:rFonts w:asciiTheme="majorHAnsi" w:hAnsiTheme="majorHAnsi" w:cstheme="majorHAnsi"/>
          <w:sz w:val="24"/>
          <w:szCs w:val="24"/>
          <w:lang w:val="ro-MD"/>
        </w:rPr>
        <w:t>%) și pentru lichidarea consecințelor calamităților naturale (6,4 mil. lei</w:t>
      </w:r>
      <w:r w:rsidR="00B87E1A"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sau 3,</w:t>
      </w:r>
      <w:r w:rsidR="00C51A42" w:rsidRPr="00606103">
        <w:rPr>
          <w:rFonts w:asciiTheme="majorHAnsi" w:hAnsiTheme="majorHAnsi" w:cstheme="majorHAnsi"/>
          <w:sz w:val="24"/>
          <w:szCs w:val="24"/>
          <w:lang w:val="ro-MD"/>
        </w:rPr>
        <w:t>2</w:t>
      </w:r>
      <w:r w:rsidRPr="00606103">
        <w:rPr>
          <w:rFonts w:asciiTheme="majorHAnsi" w:hAnsiTheme="majorHAnsi" w:cstheme="majorHAnsi"/>
          <w:sz w:val="24"/>
          <w:szCs w:val="24"/>
          <w:lang w:val="ro-MD"/>
        </w:rPr>
        <w:t>%).</w:t>
      </w:r>
      <w:r w:rsidR="00385AF1" w:rsidRPr="00606103">
        <w:rPr>
          <w:rFonts w:asciiTheme="majorHAnsi" w:hAnsiTheme="majorHAnsi" w:cstheme="majorHAnsi"/>
          <w:sz w:val="24"/>
          <w:szCs w:val="24"/>
          <w:lang w:val="ro-MD"/>
        </w:rPr>
        <w:t xml:space="preserve"> </w:t>
      </w:r>
      <w:r w:rsidR="00B87E1A" w:rsidRPr="00606103">
        <w:rPr>
          <w:rFonts w:asciiTheme="majorHAnsi" w:hAnsiTheme="majorHAnsi" w:cstheme="majorHAnsi"/>
          <w:sz w:val="24"/>
          <w:szCs w:val="24"/>
          <w:lang w:val="ro-MD"/>
        </w:rPr>
        <w:t>Î</w:t>
      </w:r>
      <w:r w:rsidRPr="00606103">
        <w:rPr>
          <w:rFonts w:asciiTheme="majorHAnsi" w:hAnsiTheme="majorHAnsi" w:cstheme="majorHAnsi"/>
          <w:sz w:val="24"/>
          <w:szCs w:val="24"/>
          <w:lang w:val="ro-MD"/>
        </w:rPr>
        <w:t>n scopul verificării corectitudinii</w:t>
      </w:r>
      <w:r w:rsidRPr="00606103">
        <w:rPr>
          <w:lang w:val="ro-MD"/>
        </w:rPr>
        <w:t xml:space="preserve"> </w:t>
      </w:r>
      <w:r w:rsidR="00794591" w:rsidRPr="00606103">
        <w:rPr>
          <w:rFonts w:asciiTheme="majorHAnsi" w:hAnsiTheme="majorHAnsi" w:cstheme="majorHAnsi"/>
          <w:sz w:val="24"/>
          <w:szCs w:val="24"/>
          <w:lang w:val="ro-MD"/>
        </w:rPr>
        <w:t>alocării</w:t>
      </w:r>
      <w:r w:rsidR="00B12723" w:rsidRPr="00606103">
        <w:rPr>
          <w:rFonts w:asciiTheme="majorHAnsi" w:hAnsiTheme="majorHAnsi" w:cstheme="majorHAnsi"/>
          <w:sz w:val="24"/>
          <w:szCs w:val="24"/>
          <w:lang w:val="ro-MD"/>
        </w:rPr>
        <w:t xml:space="preserve"> mijloacelor</w:t>
      </w:r>
      <w:r w:rsidRPr="00606103">
        <w:rPr>
          <w:rFonts w:asciiTheme="majorHAnsi" w:hAnsiTheme="majorHAnsi" w:cstheme="majorHAnsi"/>
          <w:sz w:val="24"/>
          <w:szCs w:val="24"/>
          <w:lang w:val="ro-MD"/>
        </w:rPr>
        <w:t xml:space="preserve"> din fond</w:t>
      </w:r>
      <w:r w:rsidR="00794591" w:rsidRPr="00606103">
        <w:rPr>
          <w:rFonts w:asciiTheme="majorHAnsi" w:hAnsiTheme="majorHAnsi" w:cstheme="majorHAnsi"/>
          <w:sz w:val="24"/>
          <w:szCs w:val="24"/>
          <w:lang w:val="ro-MD"/>
        </w:rPr>
        <w:t>ul de intervenție al Guvernului către</w:t>
      </w:r>
      <w:r w:rsidRPr="00606103">
        <w:rPr>
          <w:rFonts w:asciiTheme="majorHAnsi" w:hAnsiTheme="majorHAnsi" w:cstheme="majorHAnsi"/>
          <w:sz w:val="24"/>
          <w:szCs w:val="24"/>
          <w:lang w:val="ro-MD"/>
        </w:rPr>
        <w:t xml:space="preserve"> APC </w:t>
      </w:r>
      <w:r w:rsidR="00794591" w:rsidRPr="00606103">
        <w:rPr>
          <w:rFonts w:asciiTheme="majorHAnsi" w:hAnsiTheme="majorHAnsi" w:cstheme="majorHAnsi"/>
          <w:sz w:val="24"/>
          <w:szCs w:val="24"/>
          <w:lang w:val="ro-MD"/>
        </w:rPr>
        <w:t>și</w:t>
      </w:r>
      <w:r w:rsidRPr="00606103">
        <w:rPr>
          <w:rFonts w:asciiTheme="majorHAnsi" w:hAnsiTheme="majorHAnsi" w:cstheme="majorHAnsi"/>
          <w:sz w:val="24"/>
          <w:szCs w:val="24"/>
          <w:lang w:val="ro-MD"/>
        </w:rPr>
        <w:t xml:space="preserve"> APL pentru acordarea indemnizațiilor unice personalului medical infectat cu COVID-19, precum </w:t>
      </w:r>
      <w:r w:rsidR="00794591" w:rsidRPr="00606103">
        <w:rPr>
          <w:rFonts w:asciiTheme="majorHAnsi" w:hAnsiTheme="majorHAnsi" w:cstheme="majorHAnsi"/>
          <w:sz w:val="24"/>
          <w:szCs w:val="24"/>
          <w:lang w:val="ro-MD"/>
        </w:rPr>
        <w:t>și</w:t>
      </w:r>
      <w:r w:rsidRPr="00606103">
        <w:rPr>
          <w:rFonts w:asciiTheme="majorHAnsi" w:hAnsiTheme="majorHAnsi" w:cstheme="majorHAnsi"/>
          <w:sz w:val="24"/>
          <w:szCs w:val="24"/>
          <w:lang w:val="ro-MD"/>
        </w:rPr>
        <w:t xml:space="preserve"> altor angajați care au contractat infecția COVID-19 în timpul exercitării atribuțiilor de serviciu (co</w:t>
      </w:r>
      <w:r w:rsidR="00794591" w:rsidRPr="00606103">
        <w:rPr>
          <w:rFonts w:asciiTheme="majorHAnsi" w:hAnsiTheme="majorHAnsi" w:cstheme="majorHAnsi"/>
          <w:sz w:val="24"/>
          <w:szCs w:val="24"/>
          <w:lang w:val="ro-MD"/>
        </w:rPr>
        <w:t xml:space="preserve">nform anexelor </w:t>
      </w:r>
      <w:r w:rsidR="00B87E1A" w:rsidRPr="00606103">
        <w:rPr>
          <w:rFonts w:asciiTheme="majorHAnsi" w:hAnsiTheme="majorHAnsi" w:cstheme="majorHAnsi"/>
          <w:sz w:val="24"/>
          <w:szCs w:val="24"/>
          <w:lang w:val="ro-MD"/>
        </w:rPr>
        <w:t xml:space="preserve">la </w:t>
      </w:r>
      <w:r w:rsidR="00794591" w:rsidRPr="00606103">
        <w:rPr>
          <w:rFonts w:asciiTheme="majorHAnsi" w:hAnsiTheme="majorHAnsi" w:cstheme="majorHAnsi"/>
          <w:sz w:val="24"/>
          <w:szCs w:val="24"/>
          <w:lang w:val="ro-MD"/>
        </w:rPr>
        <w:t>HG</w:t>
      </w:r>
      <w:r w:rsidRPr="00606103">
        <w:rPr>
          <w:rFonts w:asciiTheme="majorHAnsi" w:hAnsiTheme="majorHAnsi" w:cstheme="majorHAnsi"/>
          <w:sz w:val="24"/>
          <w:szCs w:val="24"/>
          <w:lang w:val="ro-MD"/>
        </w:rPr>
        <w:t xml:space="preserve">), </w:t>
      </w:r>
      <w:r w:rsidR="00B87E1A" w:rsidRPr="00606103">
        <w:rPr>
          <w:rFonts w:asciiTheme="majorHAnsi" w:hAnsiTheme="majorHAnsi" w:cstheme="majorHAnsi"/>
          <w:sz w:val="24"/>
          <w:szCs w:val="24"/>
          <w:lang w:val="ro-MD"/>
        </w:rPr>
        <w:t xml:space="preserve">auditul </w:t>
      </w:r>
      <w:r w:rsidRPr="00606103">
        <w:rPr>
          <w:rFonts w:asciiTheme="majorHAnsi" w:hAnsiTheme="majorHAnsi" w:cstheme="majorHAnsi"/>
          <w:sz w:val="24"/>
          <w:szCs w:val="24"/>
          <w:lang w:val="ro-MD"/>
        </w:rPr>
        <w:t>a solicitat</w:t>
      </w:r>
      <w:r w:rsidRPr="00606103">
        <w:rPr>
          <w:rStyle w:val="FootnoteReference"/>
          <w:rFonts w:asciiTheme="majorHAnsi" w:hAnsiTheme="majorHAnsi" w:cstheme="majorHAnsi"/>
          <w:sz w:val="24"/>
          <w:szCs w:val="24"/>
          <w:lang w:val="ro-MD"/>
        </w:rPr>
        <w:footnoteReference w:id="23"/>
      </w:r>
      <w:r w:rsidR="00385AF1"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de la unele autorități publice nominalizate în anex</w:t>
      </w:r>
      <w:r w:rsidR="00794591" w:rsidRPr="00606103">
        <w:rPr>
          <w:rFonts w:asciiTheme="majorHAnsi" w:hAnsiTheme="majorHAnsi" w:cstheme="majorHAnsi"/>
          <w:sz w:val="24"/>
          <w:szCs w:val="24"/>
          <w:lang w:val="ro-MD"/>
        </w:rPr>
        <w:t>ele la HG</w:t>
      </w:r>
      <w:r w:rsidRPr="00606103">
        <w:rPr>
          <w:rFonts w:asciiTheme="majorHAnsi" w:hAnsiTheme="majorHAnsi" w:cstheme="majorHAnsi"/>
          <w:sz w:val="24"/>
          <w:szCs w:val="24"/>
          <w:lang w:val="ro-MD"/>
        </w:rPr>
        <w:t xml:space="preserve"> în calitate de beneficiari ai mijloacelor financiare alocate, documentele care au stat la baza finanțării cheltuielilor prin intermediul instituțiilor în care persoanele activează (</w:t>
      </w:r>
      <w:r w:rsidRPr="00606103">
        <w:rPr>
          <w:rFonts w:asciiTheme="majorHAnsi" w:hAnsiTheme="majorHAnsi" w:cstheme="majorHAnsi"/>
          <w:bCs/>
          <w:sz w:val="24"/>
          <w:szCs w:val="24"/>
          <w:lang w:val="ro-MD"/>
        </w:rPr>
        <w:t>HG nr. 11 din 27.01.2021</w:t>
      </w:r>
      <w:r w:rsidRPr="00606103">
        <w:rPr>
          <w:rFonts w:asciiTheme="majorHAnsi" w:hAnsiTheme="majorHAnsi" w:cstheme="majorHAnsi"/>
          <w:bCs/>
          <w:sz w:val="24"/>
          <w:szCs w:val="24"/>
          <w:vertAlign w:val="superscript"/>
          <w:lang w:val="ro-MD"/>
        </w:rPr>
        <w:footnoteReference w:id="24"/>
      </w:r>
      <w:r w:rsidR="00794591" w:rsidRPr="00606103">
        <w:rPr>
          <w:rFonts w:asciiTheme="majorHAnsi" w:hAnsiTheme="majorHAnsi" w:cstheme="majorHAnsi"/>
          <w:bCs/>
          <w:sz w:val="24"/>
          <w:szCs w:val="24"/>
          <w:lang w:val="ro-MD"/>
        </w:rPr>
        <w:t>,</w:t>
      </w:r>
      <w:r w:rsidRPr="00606103">
        <w:rPr>
          <w:rFonts w:asciiTheme="majorHAnsi" w:hAnsiTheme="majorHAnsi" w:cstheme="majorHAnsi"/>
          <w:bCs/>
          <w:sz w:val="24"/>
          <w:szCs w:val="24"/>
          <w:lang w:val="ro-MD"/>
        </w:rPr>
        <w:t xml:space="preserve"> HG nr. 411 din 14.12.2021</w:t>
      </w:r>
      <w:r w:rsidRPr="00606103">
        <w:rPr>
          <w:rFonts w:asciiTheme="majorHAnsi" w:hAnsiTheme="majorHAnsi" w:cstheme="majorHAnsi"/>
          <w:bCs/>
          <w:sz w:val="24"/>
          <w:szCs w:val="24"/>
          <w:vertAlign w:val="superscript"/>
          <w:lang w:val="ro-MD"/>
        </w:rPr>
        <w:footnoteReference w:id="25"/>
      </w:r>
      <w:r w:rsidRPr="00606103">
        <w:rPr>
          <w:rFonts w:asciiTheme="majorHAnsi" w:hAnsiTheme="majorHAnsi" w:cstheme="majorHAnsi"/>
          <w:bCs/>
          <w:sz w:val="24"/>
          <w:szCs w:val="24"/>
          <w:lang w:val="ro-MD"/>
        </w:rPr>
        <w:t xml:space="preserve"> și HG nr. 731 din 30.09.2020</w:t>
      </w:r>
      <w:r w:rsidRPr="00606103">
        <w:rPr>
          <w:rFonts w:asciiTheme="majorHAnsi" w:hAnsiTheme="majorHAnsi" w:cstheme="majorHAnsi"/>
          <w:bCs/>
          <w:sz w:val="24"/>
          <w:szCs w:val="24"/>
          <w:vertAlign w:val="superscript"/>
          <w:lang w:val="ro-MD"/>
        </w:rPr>
        <w:footnoteReference w:id="26"/>
      </w:r>
      <w:r w:rsidRPr="00606103">
        <w:rPr>
          <w:rFonts w:asciiTheme="majorHAnsi" w:hAnsiTheme="majorHAnsi" w:cstheme="majorHAnsi"/>
          <w:bCs/>
          <w:sz w:val="24"/>
          <w:szCs w:val="24"/>
          <w:lang w:val="ro-MD"/>
        </w:rPr>
        <w:t>).</w:t>
      </w:r>
    </w:p>
    <w:p w:rsidR="00752B44" w:rsidRPr="00606103" w:rsidRDefault="00B12723">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Ca u</w:t>
      </w:r>
      <w:r w:rsidR="00752B44" w:rsidRPr="00606103">
        <w:rPr>
          <w:rFonts w:asciiTheme="majorHAnsi" w:hAnsiTheme="majorHAnsi" w:cstheme="majorHAnsi"/>
          <w:sz w:val="24"/>
          <w:szCs w:val="24"/>
          <w:lang w:val="ro-MD"/>
        </w:rPr>
        <w:t xml:space="preserve">rmare </w:t>
      </w:r>
      <w:r w:rsidRPr="00606103">
        <w:rPr>
          <w:rFonts w:asciiTheme="majorHAnsi" w:hAnsiTheme="majorHAnsi" w:cstheme="majorHAnsi"/>
          <w:sz w:val="24"/>
          <w:szCs w:val="24"/>
          <w:lang w:val="ro-MD"/>
        </w:rPr>
        <w:t xml:space="preserve">a </w:t>
      </w:r>
      <w:r w:rsidR="00752B44" w:rsidRPr="00606103">
        <w:rPr>
          <w:rFonts w:asciiTheme="majorHAnsi" w:hAnsiTheme="majorHAnsi" w:cstheme="majorHAnsi"/>
          <w:sz w:val="24"/>
          <w:szCs w:val="24"/>
          <w:lang w:val="ro-MD"/>
        </w:rPr>
        <w:t>testării corectitudinii achitării indemnizațiilor unice angajaților infectați cu COVID-19 în timpul exercitării atribuțiilor de serviciu</w:t>
      </w:r>
      <w:r w:rsidR="00752B44" w:rsidRPr="00606103">
        <w:rPr>
          <w:rStyle w:val="FootnoteReference"/>
          <w:rFonts w:asciiTheme="majorHAnsi" w:hAnsiTheme="majorHAnsi" w:cstheme="majorHAnsi"/>
          <w:sz w:val="24"/>
          <w:szCs w:val="24"/>
          <w:lang w:val="ro-MD"/>
        </w:rPr>
        <w:footnoteReference w:id="27"/>
      </w:r>
      <w:r w:rsidR="00752B44" w:rsidRPr="00606103">
        <w:rPr>
          <w:rFonts w:asciiTheme="majorHAnsi" w:hAnsiTheme="majorHAnsi" w:cstheme="majorHAnsi"/>
          <w:sz w:val="24"/>
          <w:szCs w:val="24"/>
          <w:lang w:val="ro-MD"/>
        </w:rPr>
        <w:t xml:space="preserve">, </w:t>
      </w:r>
      <w:r w:rsidR="00794591" w:rsidRPr="00606103">
        <w:rPr>
          <w:rFonts w:asciiTheme="majorHAnsi" w:hAnsiTheme="majorHAnsi" w:cstheme="majorHAnsi"/>
          <w:sz w:val="24"/>
          <w:szCs w:val="24"/>
          <w:lang w:val="ro-MD"/>
        </w:rPr>
        <w:t xml:space="preserve">auditul </w:t>
      </w:r>
      <w:r w:rsidR="00752B44" w:rsidRPr="00606103">
        <w:rPr>
          <w:rFonts w:asciiTheme="majorHAnsi" w:hAnsiTheme="majorHAnsi" w:cstheme="majorHAnsi"/>
          <w:sz w:val="24"/>
          <w:szCs w:val="24"/>
          <w:lang w:val="ro-MD"/>
        </w:rPr>
        <w:t>relev</w:t>
      </w:r>
      <w:r w:rsidRPr="00606103">
        <w:rPr>
          <w:rFonts w:asciiTheme="majorHAnsi" w:hAnsiTheme="majorHAnsi" w:cstheme="majorHAnsi"/>
          <w:sz w:val="24"/>
          <w:szCs w:val="24"/>
          <w:lang w:val="ro-MD"/>
        </w:rPr>
        <w:t>ă</w:t>
      </w:r>
      <w:r w:rsidR="00752B44" w:rsidRPr="00606103">
        <w:rPr>
          <w:rFonts w:asciiTheme="majorHAnsi" w:hAnsiTheme="majorHAnsi" w:cstheme="majorHAnsi"/>
          <w:sz w:val="24"/>
          <w:szCs w:val="24"/>
          <w:lang w:val="ro-MD"/>
        </w:rPr>
        <w:t xml:space="preserve"> că, în cazul unei instituții bugetare</w:t>
      </w:r>
      <w:r w:rsidR="00794591" w:rsidRPr="00606103">
        <w:rPr>
          <w:rStyle w:val="FootnoteReference"/>
          <w:rFonts w:asciiTheme="majorHAnsi" w:hAnsiTheme="majorHAnsi" w:cstheme="majorHAnsi"/>
          <w:sz w:val="24"/>
          <w:szCs w:val="24"/>
          <w:lang w:val="ro-MD"/>
        </w:rPr>
        <w:footnoteReference w:id="28"/>
      </w:r>
      <w:r w:rsidR="00752B44" w:rsidRPr="00606103">
        <w:rPr>
          <w:rFonts w:asciiTheme="majorHAnsi" w:hAnsiTheme="majorHAnsi" w:cstheme="majorHAnsi"/>
          <w:sz w:val="24"/>
          <w:szCs w:val="24"/>
          <w:lang w:val="ro-MD"/>
        </w:rPr>
        <w:t xml:space="preserve">, deși pentru solicitarea alocațiilor au fost prezentate listele nominale ale persoanelor, </w:t>
      </w:r>
      <w:r w:rsidR="00794591" w:rsidRPr="00606103">
        <w:rPr>
          <w:rFonts w:asciiTheme="majorHAnsi" w:hAnsiTheme="majorHAnsi" w:cstheme="majorHAnsi"/>
          <w:sz w:val="24"/>
          <w:szCs w:val="24"/>
          <w:lang w:val="ro-MD"/>
        </w:rPr>
        <w:t xml:space="preserve">prin </w:t>
      </w:r>
      <w:r w:rsidR="00752B44" w:rsidRPr="00606103">
        <w:rPr>
          <w:rFonts w:asciiTheme="majorHAnsi" w:hAnsiTheme="majorHAnsi" w:cstheme="majorHAnsi"/>
          <w:sz w:val="24"/>
          <w:szCs w:val="24"/>
          <w:lang w:val="ro-MD"/>
        </w:rPr>
        <w:t>contrapunerea cu ordinele privind acordarea indemnizației, a</w:t>
      </w:r>
      <w:r w:rsidR="00794591" w:rsidRPr="00606103">
        <w:rPr>
          <w:rFonts w:asciiTheme="majorHAnsi" w:hAnsiTheme="majorHAnsi" w:cstheme="majorHAnsi"/>
          <w:sz w:val="24"/>
          <w:szCs w:val="24"/>
          <w:lang w:val="ro-MD"/>
        </w:rPr>
        <w:t>u fost</w:t>
      </w:r>
      <w:r w:rsidR="00752B44" w:rsidRPr="00606103">
        <w:rPr>
          <w:rFonts w:asciiTheme="majorHAnsi" w:hAnsiTheme="majorHAnsi" w:cstheme="majorHAnsi"/>
          <w:sz w:val="24"/>
          <w:szCs w:val="24"/>
          <w:lang w:val="ro-MD"/>
        </w:rPr>
        <w:t xml:space="preserve"> stabilit</w:t>
      </w:r>
      <w:r w:rsidR="00794591" w:rsidRPr="00606103">
        <w:rPr>
          <w:rFonts w:asciiTheme="majorHAnsi" w:hAnsiTheme="majorHAnsi" w:cstheme="majorHAnsi"/>
          <w:sz w:val="24"/>
          <w:szCs w:val="24"/>
          <w:lang w:val="ro-MD"/>
        </w:rPr>
        <w:t>e</w:t>
      </w:r>
      <w:r w:rsidR="00752B44" w:rsidRPr="00606103">
        <w:rPr>
          <w:rFonts w:asciiTheme="majorHAnsi" w:hAnsiTheme="majorHAnsi" w:cstheme="majorHAnsi"/>
          <w:sz w:val="24"/>
          <w:szCs w:val="24"/>
          <w:lang w:val="ro-MD"/>
        </w:rPr>
        <w:t xml:space="preserve"> unele neconcordanțe. Astfel, în ordinele </w:t>
      </w:r>
      <w:r w:rsidR="00752B44" w:rsidRPr="00606103">
        <w:rPr>
          <w:rFonts w:asciiTheme="majorHAnsi" w:hAnsiTheme="majorHAnsi" w:cstheme="majorHAnsi"/>
          <w:sz w:val="24"/>
          <w:szCs w:val="24"/>
          <w:lang w:val="ro-MD"/>
        </w:rPr>
        <w:lastRenderedPageBreak/>
        <w:t xml:space="preserve">emise </w:t>
      </w:r>
      <w:r w:rsidRPr="00606103">
        <w:rPr>
          <w:rFonts w:asciiTheme="majorHAnsi" w:hAnsiTheme="majorHAnsi" w:cstheme="majorHAnsi"/>
          <w:sz w:val="24"/>
          <w:szCs w:val="24"/>
          <w:lang w:val="ro-MD"/>
        </w:rPr>
        <w:t>nu au fost incluși</w:t>
      </w:r>
      <w:r w:rsidR="006271A9" w:rsidRPr="00606103">
        <w:rPr>
          <w:rFonts w:asciiTheme="majorHAnsi" w:hAnsiTheme="majorHAnsi" w:cstheme="majorHAnsi"/>
          <w:sz w:val="24"/>
          <w:szCs w:val="24"/>
          <w:lang w:val="ro-MD"/>
        </w:rPr>
        <w:t xml:space="preserve"> 7</w:t>
      </w:r>
      <w:r w:rsidR="00752B44" w:rsidRPr="00606103">
        <w:rPr>
          <w:rFonts w:asciiTheme="majorHAnsi" w:hAnsiTheme="majorHAnsi" w:cstheme="majorHAnsi"/>
          <w:sz w:val="24"/>
          <w:szCs w:val="24"/>
          <w:lang w:val="ro-MD"/>
        </w:rPr>
        <w:t xml:space="preserve"> angajați din listele prezentate MF</w:t>
      </w:r>
      <w:r w:rsidRPr="00606103">
        <w:rPr>
          <w:rFonts w:asciiTheme="majorHAnsi" w:hAnsiTheme="majorHAnsi" w:cstheme="majorHAnsi"/>
          <w:sz w:val="24"/>
          <w:szCs w:val="24"/>
          <w:lang w:val="ro-MD"/>
        </w:rPr>
        <w:t xml:space="preserve"> pentru acordarea indemnizației</w:t>
      </w:r>
      <w:r w:rsidR="00752B44" w:rsidRPr="00606103">
        <w:rPr>
          <w:rFonts w:asciiTheme="majorHAnsi" w:hAnsiTheme="majorHAnsi" w:cstheme="majorHAnsi"/>
          <w:sz w:val="24"/>
          <w:szCs w:val="24"/>
          <w:lang w:val="ro-MD"/>
        </w:rPr>
        <w:t xml:space="preserve"> cu valoarea de 16,0 mii lei</w:t>
      </w:r>
      <w:r w:rsidR="00794591" w:rsidRPr="00606103">
        <w:rPr>
          <w:rFonts w:asciiTheme="majorHAnsi" w:hAnsiTheme="majorHAnsi" w:cstheme="majorHAnsi"/>
          <w:sz w:val="24"/>
          <w:szCs w:val="24"/>
          <w:lang w:val="ro-MD"/>
        </w:rPr>
        <w:t xml:space="preserve"> per persoană</w:t>
      </w:r>
      <w:r w:rsidR="00752B44" w:rsidRPr="00606103">
        <w:rPr>
          <w:rFonts w:asciiTheme="majorHAnsi" w:hAnsiTheme="majorHAnsi" w:cstheme="majorHAnsi"/>
          <w:sz w:val="24"/>
          <w:szCs w:val="24"/>
          <w:lang w:val="ro-MD"/>
        </w:rPr>
        <w:t>.</w:t>
      </w:r>
    </w:p>
    <w:p w:rsidR="00926FAA" w:rsidRPr="005149D7" w:rsidRDefault="008325F8">
      <w:pPr>
        <w:spacing w:after="0"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Mijloacele din fondul de rezervă au fost repartizate la 7 APC</w:t>
      </w:r>
      <w:r w:rsidRPr="00606103">
        <w:rPr>
          <w:rFonts w:asciiTheme="majorHAnsi" w:hAnsiTheme="majorHAnsi" w:cstheme="majorHAnsi"/>
          <w:sz w:val="24"/>
          <w:szCs w:val="24"/>
          <w:vertAlign w:val="superscript"/>
          <w:lang w:val="ro-MD"/>
        </w:rPr>
        <w:footnoteReference w:id="29"/>
      </w:r>
      <w:r w:rsidR="00B12723"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în sumă totală de 160,2 mil. lei, fiind executate la nivel de 79,6% (127,5 mi</w:t>
      </w:r>
      <w:r w:rsidR="008C1E1B" w:rsidRPr="00606103">
        <w:rPr>
          <w:rFonts w:asciiTheme="majorHAnsi" w:hAnsiTheme="majorHAnsi" w:cstheme="majorHAnsi"/>
          <w:sz w:val="24"/>
          <w:szCs w:val="24"/>
          <w:lang w:val="ro-MD"/>
        </w:rPr>
        <w:t>l. lei). Prin urmare, auditul relevă</w:t>
      </w:r>
      <w:r w:rsidRPr="00606103">
        <w:rPr>
          <w:rFonts w:asciiTheme="majorHAnsi" w:hAnsiTheme="majorHAnsi" w:cstheme="majorHAnsi"/>
          <w:sz w:val="24"/>
          <w:szCs w:val="24"/>
          <w:lang w:val="ro-MD"/>
        </w:rPr>
        <w:t xml:space="preserve"> că din fondul de rezervă au fost repartizate mijloace f</w:t>
      </w:r>
      <w:r w:rsidR="008C1E1B" w:rsidRPr="00606103">
        <w:rPr>
          <w:rFonts w:asciiTheme="majorHAnsi" w:hAnsiTheme="majorHAnsi" w:cstheme="majorHAnsi"/>
          <w:sz w:val="24"/>
          <w:szCs w:val="24"/>
          <w:lang w:val="ro-MD"/>
        </w:rPr>
        <w:t>inanciare MS</w:t>
      </w:r>
      <w:r w:rsidRPr="00606103">
        <w:rPr>
          <w:rFonts w:asciiTheme="majorHAnsi" w:hAnsiTheme="majorHAnsi" w:cstheme="majorHAnsi"/>
          <w:sz w:val="24"/>
          <w:szCs w:val="24"/>
          <w:lang w:val="ro-MD"/>
        </w:rPr>
        <w:t>, în sumă de 32,3 mil</w:t>
      </w:r>
      <w:r w:rsidR="00B12723"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lei</w:t>
      </w:r>
      <w:r w:rsidR="00D12C8B"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pentru procurare</w:t>
      </w:r>
      <w:r w:rsidR="007D7E7F" w:rsidRPr="00606103">
        <w:rPr>
          <w:rFonts w:asciiTheme="majorHAnsi" w:hAnsiTheme="majorHAnsi" w:cstheme="majorHAnsi"/>
          <w:sz w:val="24"/>
          <w:szCs w:val="24"/>
          <w:lang w:val="ro-MD"/>
        </w:rPr>
        <w:t>a</w:t>
      </w:r>
      <w:r w:rsidRPr="00606103">
        <w:rPr>
          <w:rFonts w:asciiTheme="majorHAnsi" w:hAnsiTheme="majorHAnsi" w:cstheme="majorHAnsi"/>
          <w:sz w:val="24"/>
          <w:szCs w:val="24"/>
          <w:lang w:val="ro-MD"/>
        </w:rPr>
        <w:t xml:space="preserve"> vaccin</w:t>
      </w:r>
      <w:r w:rsidR="008C1E1B" w:rsidRPr="00606103">
        <w:rPr>
          <w:rFonts w:asciiTheme="majorHAnsi" w:hAnsiTheme="majorHAnsi" w:cstheme="majorHAnsi"/>
          <w:sz w:val="24"/>
          <w:szCs w:val="24"/>
          <w:lang w:val="ro-MD"/>
        </w:rPr>
        <w:t xml:space="preserve">ului împotriva COVID-19, </w:t>
      </w:r>
      <w:r w:rsidR="00B12723" w:rsidRPr="00606103">
        <w:rPr>
          <w:rFonts w:asciiTheme="majorHAnsi" w:hAnsiTheme="majorHAnsi" w:cstheme="majorHAnsi"/>
          <w:sz w:val="24"/>
          <w:szCs w:val="24"/>
          <w:lang w:val="ro-MD"/>
        </w:rPr>
        <w:t xml:space="preserve">acestea </w:t>
      </w:r>
      <w:r w:rsidR="008C1E1B" w:rsidRPr="00606103">
        <w:rPr>
          <w:rFonts w:asciiTheme="majorHAnsi" w:hAnsiTheme="majorHAnsi" w:cstheme="majorHAnsi"/>
          <w:sz w:val="24"/>
          <w:szCs w:val="24"/>
          <w:lang w:val="ro-MD"/>
        </w:rPr>
        <w:t>fiind</w:t>
      </w:r>
      <w:r w:rsidRPr="00606103">
        <w:rPr>
          <w:rFonts w:asciiTheme="majorHAnsi" w:hAnsiTheme="majorHAnsi" w:cstheme="majorHAnsi"/>
          <w:sz w:val="24"/>
          <w:szCs w:val="24"/>
          <w:lang w:val="ro-MD"/>
        </w:rPr>
        <w:t xml:space="preserve"> nevalorificate. Verificările auditului denotă că, în perioada auditată, o pondere semnificativă </w:t>
      </w:r>
      <w:r w:rsidRPr="005149D7">
        <w:rPr>
          <w:rFonts w:asciiTheme="majorHAnsi" w:hAnsiTheme="majorHAnsi" w:cstheme="majorHAnsi"/>
          <w:sz w:val="24"/>
          <w:szCs w:val="24"/>
          <w:lang w:val="ro-MD"/>
        </w:rPr>
        <w:t xml:space="preserve">de 46,7% (84,7 mil. lei) din fondul de rezervă </w:t>
      </w:r>
      <w:r w:rsidR="00D12C8B" w:rsidRPr="005149D7">
        <w:rPr>
          <w:rFonts w:asciiTheme="majorHAnsi" w:hAnsiTheme="majorHAnsi" w:cstheme="majorHAnsi"/>
          <w:sz w:val="24"/>
          <w:szCs w:val="24"/>
          <w:lang w:val="ro-MD"/>
        </w:rPr>
        <w:t xml:space="preserve">au </w:t>
      </w:r>
      <w:r w:rsidRPr="005149D7">
        <w:rPr>
          <w:rFonts w:asciiTheme="majorHAnsi" w:hAnsiTheme="majorHAnsi" w:cstheme="majorHAnsi"/>
          <w:sz w:val="24"/>
          <w:szCs w:val="24"/>
          <w:lang w:val="ro-MD"/>
        </w:rPr>
        <w:t>rev</w:t>
      </w:r>
      <w:r w:rsidR="00D12C8B" w:rsidRPr="005149D7">
        <w:rPr>
          <w:rFonts w:asciiTheme="majorHAnsi" w:hAnsiTheme="majorHAnsi" w:cstheme="majorHAnsi"/>
          <w:sz w:val="24"/>
          <w:szCs w:val="24"/>
          <w:lang w:val="ro-MD"/>
        </w:rPr>
        <w:t>enit</w:t>
      </w:r>
      <w:r w:rsidRPr="005149D7">
        <w:rPr>
          <w:rFonts w:asciiTheme="majorHAnsi" w:hAnsiTheme="majorHAnsi" w:cstheme="majorHAnsi"/>
          <w:sz w:val="24"/>
          <w:szCs w:val="24"/>
          <w:lang w:val="ro-MD"/>
        </w:rPr>
        <w:t xml:space="preserve"> alocării mijloacelor financiare pentru organizarea și desfășurarea alegerilor parlamentare anticipate, stabilite pentru </w:t>
      </w:r>
      <w:r w:rsidR="00DD6C38" w:rsidRPr="005149D7">
        <w:rPr>
          <w:rFonts w:asciiTheme="majorHAnsi" w:hAnsiTheme="majorHAnsi" w:cstheme="majorHAnsi"/>
          <w:sz w:val="24"/>
          <w:szCs w:val="24"/>
          <w:lang w:val="ro-MD"/>
        </w:rPr>
        <w:t xml:space="preserve">       </w:t>
      </w:r>
      <w:r w:rsidRPr="005149D7">
        <w:rPr>
          <w:rFonts w:asciiTheme="majorHAnsi" w:hAnsiTheme="majorHAnsi" w:cstheme="majorHAnsi"/>
          <w:sz w:val="24"/>
          <w:szCs w:val="24"/>
          <w:lang w:val="ro-MD"/>
        </w:rPr>
        <w:t>11 iulie 2021.</w:t>
      </w:r>
      <w:r w:rsidR="001C22D9" w:rsidRPr="005149D7">
        <w:t xml:space="preserve"> </w:t>
      </w:r>
      <w:r w:rsidR="001C22D9" w:rsidRPr="005149D7">
        <w:rPr>
          <w:rFonts w:asciiTheme="majorHAnsi" w:hAnsiTheme="majorHAnsi" w:cstheme="majorHAnsi"/>
          <w:sz w:val="24"/>
          <w:szCs w:val="24"/>
          <w:lang w:val="ro-MD"/>
        </w:rPr>
        <w:t xml:space="preserve">Aceste cheltuieli au fost auditate de către Curtea de Conturi, rezultatele fiind aprobate prin </w:t>
      </w:r>
      <w:r w:rsidR="005149D7" w:rsidRPr="005149D7">
        <w:rPr>
          <w:rFonts w:asciiTheme="majorHAnsi" w:hAnsiTheme="majorHAnsi" w:cstheme="majorHAnsi"/>
          <w:sz w:val="24"/>
          <w:szCs w:val="24"/>
          <w:lang w:val="ro-MD"/>
        </w:rPr>
        <w:t>Hotărârea</w:t>
      </w:r>
      <w:r w:rsidR="001C22D9" w:rsidRPr="005149D7">
        <w:rPr>
          <w:rFonts w:asciiTheme="majorHAnsi" w:hAnsiTheme="majorHAnsi" w:cstheme="majorHAnsi"/>
          <w:sz w:val="24"/>
          <w:szCs w:val="24"/>
          <w:lang w:val="ro-MD"/>
        </w:rPr>
        <w:t xml:space="preserve"> Curții de Conturi nr. 7 din  22.02.2022</w:t>
      </w:r>
      <w:r w:rsidR="00442F7E" w:rsidRPr="005149D7">
        <w:rPr>
          <w:rStyle w:val="FootnoteReference"/>
          <w:rFonts w:asciiTheme="majorHAnsi" w:hAnsiTheme="majorHAnsi" w:cstheme="majorHAnsi"/>
          <w:sz w:val="24"/>
          <w:szCs w:val="24"/>
          <w:lang w:val="ro-MD"/>
        </w:rPr>
        <w:footnoteReference w:id="30"/>
      </w:r>
      <w:r w:rsidR="001C22D9" w:rsidRPr="005149D7">
        <w:rPr>
          <w:rFonts w:asciiTheme="majorHAnsi" w:hAnsiTheme="majorHAnsi" w:cstheme="majorHAnsi"/>
          <w:sz w:val="24"/>
          <w:szCs w:val="24"/>
          <w:lang w:val="ro-MD"/>
        </w:rPr>
        <w:t>.</w:t>
      </w:r>
    </w:p>
    <w:p w:rsidR="0098048A" w:rsidRPr="00606103" w:rsidRDefault="008325F8">
      <w:pPr>
        <w:spacing w:after="0" w:line="276" w:lineRule="auto"/>
        <w:rPr>
          <w:rFonts w:asciiTheme="majorHAnsi" w:hAnsiTheme="majorHAnsi" w:cstheme="majorHAnsi"/>
          <w:lang w:val="ro-MD"/>
        </w:rPr>
      </w:pPr>
      <w:r w:rsidRPr="005149D7">
        <w:rPr>
          <w:rFonts w:asciiTheme="majorHAnsi" w:hAnsiTheme="majorHAnsi" w:cstheme="majorHAnsi"/>
          <w:sz w:val="24"/>
          <w:szCs w:val="24"/>
          <w:lang w:val="ro-MD"/>
        </w:rPr>
        <w:t>Totodată, din fondul de rezervă au fost executate mijloace pentru: procurare</w:t>
      </w:r>
      <w:r w:rsidR="0026730B" w:rsidRPr="005149D7">
        <w:rPr>
          <w:rFonts w:asciiTheme="majorHAnsi" w:hAnsiTheme="majorHAnsi" w:cstheme="majorHAnsi"/>
          <w:sz w:val="24"/>
          <w:szCs w:val="24"/>
          <w:lang w:val="ro-MD"/>
        </w:rPr>
        <w:t>a</w:t>
      </w:r>
      <w:r w:rsidRPr="005149D7">
        <w:rPr>
          <w:rFonts w:asciiTheme="majorHAnsi" w:hAnsiTheme="majorHAnsi" w:cstheme="majorHAnsi"/>
          <w:sz w:val="24"/>
          <w:szCs w:val="24"/>
          <w:lang w:val="ro-MD"/>
        </w:rPr>
        <w:t xml:space="preserve"> vaccinului împotriva COVID-19 (27,7 mil. lei), premierea sportivilor pentru</w:t>
      </w:r>
      <w:r w:rsidRPr="00606103">
        <w:rPr>
          <w:rFonts w:asciiTheme="majorHAnsi" w:hAnsiTheme="majorHAnsi" w:cstheme="majorHAnsi"/>
          <w:sz w:val="24"/>
          <w:szCs w:val="24"/>
          <w:lang w:val="ro-MD"/>
        </w:rPr>
        <w:t xml:space="preserve"> performanțele obținute la Jocurile</w:t>
      </w:r>
      <w:r w:rsidR="00511DDA" w:rsidRPr="00606103">
        <w:rPr>
          <w:rFonts w:asciiTheme="majorHAnsi" w:hAnsiTheme="majorHAnsi" w:cstheme="majorHAnsi"/>
          <w:sz w:val="24"/>
          <w:szCs w:val="24"/>
          <w:lang w:val="ro-MD"/>
        </w:rPr>
        <w:t xml:space="preserve"> Olimpice și </w:t>
      </w:r>
      <w:r w:rsidRPr="00606103">
        <w:rPr>
          <w:rFonts w:asciiTheme="majorHAnsi" w:hAnsiTheme="majorHAnsi" w:cstheme="majorHAnsi"/>
          <w:sz w:val="24"/>
          <w:szCs w:val="24"/>
          <w:lang w:val="ro-MD"/>
        </w:rPr>
        <w:t>Paralimpice</w:t>
      </w:r>
      <w:r w:rsidR="008C1E1B" w:rsidRPr="00606103">
        <w:rPr>
          <w:rFonts w:asciiTheme="majorHAnsi" w:hAnsiTheme="majorHAnsi" w:cstheme="majorHAnsi"/>
          <w:sz w:val="24"/>
          <w:szCs w:val="24"/>
          <w:lang w:val="ro-MD"/>
        </w:rPr>
        <w:t xml:space="preserve"> din anul </w:t>
      </w:r>
      <w:r w:rsidRPr="00606103">
        <w:rPr>
          <w:rFonts w:asciiTheme="majorHAnsi" w:hAnsiTheme="majorHAnsi" w:cstheme="majorHAnsi"/>
          <w:sz w:val="24"/>
          <w:szCs w:val="24"/>
          <w:lang w:val="ro-MD"/>
        </w:rPr>
        <w:t>2021 (10,8 mil. lei), plata onorariilor Birourilor Asociate de Avocați „Ceachir, Zamfir &amp;</w:t>
      </w:r>
      <w:r w:rsidR="00D12C8B"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Partenerii” și </w:t>
      </w:r>
      <w:r w:rsidR="001F41BE"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Burac și Asociații” (1,7 mil. lei) și cheltuieli aferente utilizării ajutorului umanitar acordat de către România pentru sprijinirea agricultorilor afectați de secetă</w:t>
      </w:r>
      <w:r w:rsidR="0098048A" w:rsidRPr="00606103">
        <w:rPr>
          <w:rFonts w:asciiTheme="majorHAnsi" w:hAnsiTheme="majorHAnsi" w:cstheme="majorHAnsi"/>
          <w:sz w:val="24"/>
          <w:szCs w:val="24"/>
          <w:lang w:val="ro-MD"/>
        </w:rPr>
        <w:t xml:space="preserve"> (2,8 mil</w:t>
      </w:r>
      <w:r w:rsidR="001F41BE" w:rsidRPr="00606103">
        <w:rPr>
          <w:rFonts w:asciiTheme="majorHAnsi" w:hAnsiTheme="majorHAnsi" w:cstheme="majorHAnsi"/>
          <w:sz w:val="24"/>
          <w:szCs w:val="24"/>
          <w:lang w:val="ro-MD"/>
        </w:rPr>
        <w:t>.</w:t>
      </w:r>
      <w:r w:rsidR="0098048A" w:rsidRPr="00606103">
        <w:rPr>
          <w:rFonts w:asciiTheme="majorHAnsi" w:hAnsiTheme="majorHAnsi" w:cstheme="majorHAnsi"/>
          <w:sz w:val="24"/>
          <w:szCs w:val="24"/>
          <w:lang w:val="ro-MD"/>
        </w:rPr>
        <w:t xml:space="preserve"> lei)</w:t>
      </w:r>
      <w:r w:rsidR="001F41BE" w:rsidRPr="00606103">
        <w:rPr>
          <w:rFonts w:asciiTheme="majorHAnsi" w:hAnsiTheme="majorHAnsi" w:cstheme="majorHAnsi"/>
          <w:sz w:val="24"/>
          <w:szCs w:val="24"/>
          <w:lang w:val="ro-MD"/>
        </w:rPr>
        <w:t>.</w:t>
      </w:r>
      <w:r w:rsidR="0098048A" w:rsidRPr="00606103">
        <w:rPr>
          <w:rFonts w:asciiTheme="majorHAnsi" w:hAnsiTheme="majorHAnsi" w:cstheme="majorHAnsi"/>
          <w:sz w:val="24"/>
          <w:szCs w:val="24"/>
          <w:lang w:val="ro-MD"/>
        </w:rPr>
        <w:t xml:space="preserve"> </w:t>
      </w:r>
      <w:r w:rsidR="001F41BE" w:rsidRPr="00926FAA">
        <w:rPr>
          <w:rFonts w:asciiTheme="majorHAnsi" w:hAnsiTheme="majorHAnsi" w:cstheme="majorHAnsi"/>
          <w:i/>
          <w:sz w:val="24"/>
          <w:szCs w:val="24"/>
          <w:lang w:val="ro-MD"/>
        </w:rPr>
        <w:t>D</w:t>
      </w:r>
      <w:r w:rsidR="0098048A" w:rsidRPr="00926FAA">
        <w:rPr>
          <w:rFonts w:asciiTheme="majorHAnsi" w:hAnsiTheme="majorHAnsi" w:cstheme="majorHAnsi"/>
          <w:i/>
          <w:sz w:val="24"/>
          <w:szCs w:val="24"/>
          <w:lang w:val="ro-MD"/>
        </w:rPr>
        <w:t>atele în aspectul</w:t>
      </w:r>
      <w:r w:rsidRPr="00926FAA">
        <w:rPr>
          <w:rFonts w:asciiTheme="majorHAnsi" w:hAnsiTheme="majorHAnsi" w:cstheme="majorHAnsi"/>
          <w:i/>
          <w:sz w:val="24"/>
          <w:szCs w:val="24"/>
          <w:lang w:val="ro-MD"/>
        </w:rPr>
        <w:t xml:space="preserve"> de utilizare</w:t>
      </w:r>
      <w:r w:rsidRPr="00606103">
        <w:rPr>
          <w:rFonts w:asciiTheme="majorHAnsi" w:hAnsiTheme="majorHAnsi" w:cstheme="majorHAnsi"/>
          <w:i/>
          <w:sz w:val="24"/>
          <w:szCs w:val="24"/>
          <w:lang w:val="ro-MD"/>
        </w:rPr>
        <w:t xml:space="preserve"> a mijloacelor fondului de rezervă al Guvernului î</w:t>
      </w:r>
      <w:r w:rsidR="0098048A" w:rsidRPr="00606103">
        <w:rPr>
          <w:rFonts w:asciiTheme="majorHAnsi" w:hAnsiTheme="majorHAnsi" w:cstheme="majorHAnsi"/>
          <w:i/>
          <w:sz w:val="24"/>
          <w:szCs w:val="24"/>
          <w:lang w:val="ro-MD"/>
        </w:rPr>
        <w:t xml:space="preserve">n anul </w:t>
      </w:r>
      <w:r w:rsidR="007B556A" w:rsidRPr="00606103">
        <w:rPr>
          <w:rFonts w:asciiTheme="majorHAnsi" w:hAnsiTheme="majorHAnsi" w:cstheme="majorHAnsi"/>
          <w:i/>
          <w:sz w:val="24"/>
          <w:szCs w:val="24"/>
          <w:lang w:val="ro-MD"/>
        </w:rPr>
        <w:t>2021 se prezintă în Tabelul nr.</w:t>
      </w:r>
      <w:r w:rsidR="0098048A" w:rsidRPr="00606103">
        <w:rPr>
          <w:rFonts w:asciiTheme="majorHAnsi" w:hAnsiTheme="majorHAnsi" w:cstheme="majorHAnsi"/>
          <w:i/>
          <w:sz w:val="24"/>
          <w:szCs w:val="24"/>
          <w:lang w:val="ro-MD"/>
        </w:rPr>
        <w:t>3.</w:t>
      </w:r>
      <w:r w:rsidR="00E95D93" w:rsidRPr="00606103">
        <w:rPr>
          <w:rFonts w:asciiTheme="majorHAnsi" w:hAnsiTheme="majorHAnsi" w:cstheme="majorHAnsi"/>
          <w:sz w:val="24"/>
          <w:szCs w:val="24"/>
          <w:lang w:val="ro-MD"/>
        </w:rPr>
        <w:t xml:space="preserve">            </w:t>
      </w:r>
      <w:r w:rsidR="00E95D93" w:rsidRPr="00606103">
        <w:rPr>
          <w:rFonts w:asciiTheme="majorHAnsi" w:hAnsiTheme="majorHAnsi" w:cstheme="majorHAnsi"/>
          <w:lang w:val="ro-MD"/>
        </w:rPr>
        <w:t xml:space="preserve"> </w:t>
      </w:r>
    </w:p>
    <w:p w:rsidR="008325F8" w:rsidRPr="00606103" w:rsidRDefault="00E95D93">
      <w:pPr>
        <w:spacing w:after="0" w:line="276" w:lineRule="auto"/>
        <w:ind w:firstLine="709"/>
        <w:jc w:val="right"/>
        <w:rPr>
          <w:rFonts w:asciiTheme="majorHAnsi" w:eastAsia="Times New Roman" w:hAnsiTheme="majorHAnsi" w:cstheme="majorHAnsi"/>
          <w:b/>
          <w:i/>
          <w:sz w:val="24"/>
          <w:szCs w:val="24"/>
          <w:lang w:val="ro-MD"/>
        </w:rPr>
      </w:pPr>
      <w:r w:rsidRPr="00606103">
        <w:rPr>
          <w:rFonts w:asciiTheme="majorHAnsi" w:eastAsia="Times New Roman" w:hAnsiTheme="majorHAnsi" w:cstheme="majorHAnsi"/>
          <w:sz w:val="24"/>
          <w:szCs w:val="24"/>
          <w:lang w:val="ro-MD"/>
        </w:rPr>
        <w:t xml:space="preserve">    </w:t>
      </w:r>
      <w:r w:rsidR="008325F8" w:rsidRPr="00606103">
        <w:rPr>
          <w:rFonts w:asciiTheme="majorHAnsi" w:eastAsia="Times New Roman" w:hAnsiTheme="majorHAnsi" w:cstheme="majorHAnsi"/>
          <w:sz w:val="24"/>
          <w:szCs w:val="24"/>
          <w:lang w:val="ro-MD"/>
        </w:rPr>
        <w:t xml:space="preserve"> </w:t>
      </w:r>
      <w:r w:rsidR="0098048A" w:rsidRPr="00606103">
        <w:rPr>
          <w:rFonts w:asciiTheme="majorHAnsi" w:eastAsia="Times New Roman" w:hAnsiTheme="majorHAnsi" w:cstheme="majorHAnsi"/>
          <w:b/>
          <w:i/>
          <w:sz w:val="24"/>
          <w:szCs w:val="24"/>
          <w:lang w:val="ro-MD"/>
        </w:rPr>
        <w:t>Tabelul nr. 3</w:t>
      </w:r>
    </w:p>
    <w:p w:rsidR="008325F8" w:rsidRPr="00606103" w:rsidRDefault="008325F8">
      <w:pPr>
        <w:spacing w:after="0" w:line="276" w:lineRule="auto"/>
        <w:jc w:val="center"/>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t>Direcțiile principale de utilizare a mijloacelor fondului de rezervă al Guvernului în anul 2021</w:t>
      </w:r>
    </w:p>
    <w:p w:rsidR="008C1E1B" w:rsidRPr="00606103" w:rsidRDefault="004D02C0">
      <w:pPr>
        <w:spacing w:after="0" w:line="276" w:lineRule="auto"/>
        <w:jc w:val="right"/>
        <w:rPr>
          <w:rFonts w:asciiTheme="majorHAnsi" w:eastAsia="Times New Roman" w:hAnsiTheme="majorHAnsi" w:cstheme="majorHAnsi"/>
          <w:i/>
          <w:szCs w:val="28"/>
          <w:lang w:val="ro-MD" w:eastAsia="ru-RU"/>
        </w:rPr>
      </w:pPr>
      <w:r w:rsidRPr="00606103">
        <w:rPr>
          <w:rFonts w:asciiTheme="majorHAnsi" w:eastAsia="Times New Roman" w:hAnsiTheme="majorHAnsi" w:cstheme="majorHAnsi"/>
          <w:i/>
          <w:sz w:val="24"/>
          <w:szCs w:val="24"/>
          <w:lang w:val="ro-MD"/>
        </w:rPr>
        <w:t>(</w:t>
      </w:r>
      <w:r w:rsidR="008C1E1B" w:rsidRPr="00606103">
        <w:rPr>
          <w:rFonts w:asciiTheme="majorHAnsi" w:eastAsia="Times New Roman" w:hAnsiTheme="majorHAnsi" w:cstheme="majorHAnsi"/>
          <w:i/>
          <w:sz w:val="24"/>
          <w:szCs w:val="24"/>
          <w:lang w:val="ro-MD"/>
        </w:rPr>
        <w:t>mil. lei</w:t>
      </w:r>
      <w:r w:rsidRPr="00606103">
        <w:rPr>
          <w:rFonts w:asciiTheme="majorHAnsi" w:eastAsia="Times New Roman" w:hAnsiTheme="majorHAnsi" w:cstheme="majorHAnsi"/>
          <w:i/>
          <w:sz w:val="24"/>
          <w:szCs w:val="24"/>
          <w:lang w:val="ro-MD"/>
        </w:rPr>
        <w:t>)</w:t>
      </w:r>
    </w:p>
    <w:tbl>
      <w:tblPr>
        <w:tblStyle w:val="GridTable1Light11"/>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993"/>
        <w:gridCol w:w="1032"/>
        <w:gridCol w:w="810"/>
        <w:gridCol w:w="993"/>
      </w:tblGrid>
      <w:tr w:rsidR="008325F8" w:rsidRPr="00606103" w:rsidTr="00DD6C38">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49" w:type="dxa"/>
            <w:vMerge w:val="restart"/>
            <w:tcBorders>
              <w:bottom w:val="none" w:sz="0" w:space="0" w:color="auto"/>
            </w:tcBorders>
            <w:vAlign w:val="center"/>
            <w:hideMark/>
          </w:tcPr>
          <w:p w:rsidR="008325F8" w:rsidRPr="00606103" w:rsidRDefault="008325F8">
            <w:pPr>
              <w:pStyle w:val="NoSpacing"/>
              <w:spacing w:line="276" w:lineRule="auto"/>
              <w:jc w:val="center"/>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Denumirea măsurii</w:t>
            </w:r>
          </w:p>
        </w:tc>
        <w:tc>
          <w:tcPr>
            <w:tcW w:w="2025" w:type="dxa"/>
            <w:gridSpan w:val="2"/>
            <w:tcBorders>
              <w:bottom w:val="none" w:sz="0" w:space="0" w:color="auto"/>
            </w:tcBorders>
            <w:vAlign w:val="center"/>
            <w:hideMark/>
          </w:tcPr>
          <w:p w:rsidR="008325F8" w:rsidRPr="00606103" w:rsidRDefault="008325F8">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Repartiz</w:t>
            </w:r>
            <w:r w:rsidR="00C556AC" w:rsidRPr="00606103">
              <w:rPr>
                <w:rFonts w:asciiTheme="majorHAnsi" w:hAnsiTheme="majorHAnsi" w:cstheme="majorHAnsi"/>
                <w:sz w:val="20"/>
                <w:szCs w:val="20"/>
                <w:lang w:val="ro-MD" w:eastAsia="ru-RU"/>
              </w:rPr>
              <w:t>at conform HG</w:t>
            </w:r>
          </w:p>
        </w:tc>
        <w:tc>
          <w:tcPr>
            <w:tcW w:w="1803" w:type="dxa"/>
            <w:gridSpan w:val="2"/>
            <w:tcBorders>
              <w:bottom w:val="none" w:sz="0" w:space="0" w:color="auto"/>
            </w:tcBorders>
            <w:vAlign w:val="center"/>
            <w:hideMark/>
          </w:tcPr>
          <w:p w:rsidR="008325F8" w:rsidRPr="00606103" w:rsidRDefault="008325F8">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Executat</w:t>
            </w:r>
          </w:p>
        </w:tc>
      </w:tr>
      <w:tr w:rsidR="008325F8" w:rsidRPr="00606103" w:rsidTr="00DD6C38">
        <w:trPr>
          <w:trHeight w:val="394"/>
        </w:trPr>
        <w:tc>
          <w:tcPr>
            <w:cnfStyle w:val="001000000000" w:firstRow="0" w:lastRow="0" w:firstColumn="1" w:lastColumn="0" w:oddVBand="0" w:evenVBand="0" w:oddHBand="0" w:evenHBand="0" w:firstRowFirstColumn="0" w:firstRowLastColumn="0" w:lastRowFirstColumn="0" w:lastRowLastColumn="0"/>
            <w:tcW w:w="5949" w:type="dxa"/>
            <w:vMerge/>
            <w:vAlign w:val="center"/>
            <w:hideMark/>
          </w:tcPr>
          <w:p w:rsidR="008325F8" w:rsidRPr="00606103" w:rsidRDefault="008325F8">
            <w:pPr>
              <w:pStyle w:val="NoSpacing"/>
              <w:spacing w:line="276" w:lineRule="auto"/>
              <w:rPr>
                <w:rFonts w:asciiTheme="majorHAnsi" w:hAnsiTheme="majorHAnsi" w:cstheme="majorHAnsi"/>
                <w:sz w:val="20"/>
                <w:szCs w:val="20"/>
                <w:lang w:val="ro-MD" w:eastAsia="ru-RU"/>
              </w:rPr>
            </w:pPr>
          </w:p>
        </w:tc>
        <w:tc>
          <w:tcPr>
            <w:tcW w:w="993" w:type="dxa"/>
            <w:vAlign w:val="center"/>
            <w:hideMark/>
          </w:tcPr>
          <w:p w:rsidR="008325F8" w:rsidRPr="00606103" w:rsidRDefault="008C1E1B">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Suma</w:t>
            </w:r>
          </w:p>
        </w:tc>
        <w:tc>
          <w:tcPr>
            <w:tcW w:w="1032" w:type="dxa"/>
            <w:vAlign w:val="center"/>
            <w:hideMark/>
          </w:tcPr>
          <w:p w:rsidR="008325F8" w:rsidRPr="00606103" w:rsidRDefault="008325F8">
            <w:pPr>
              <w:pStyle w:val="NoSpacing"/>
              <w:spacing w:line="276" w:lineRule="auto"/>
              <w:ind w:left="-109" w:right="-6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eastAsia="ru-RU"/>
              </w:rPr>
            </w:pPr>
            <w:r w:rsidRPr="00606103">
              <w:rPr>
                <w:rFonts w:asciiTheme="majorHAnsi" w:hAnsiTheme="majorHAnsi" w:cstheme="majorHAnsi"/>
                <w:i/>
                <w:iCs/>
                <w:sz w:val="20"/>
                <w:szCs w:val="20"/>
                <w:lang w:val="ro-MD" w:eastAsia="ru-RU"/>
              </w:rPr>
              <w:t>Ponderea în suma totală (%)</w:t>
            </w:r>
          </w:p>
        </w:tc>
        <w:tc>
          <w:tcPr>
            <w:tcW w:w="810" w:type="dxa"/>
            <w:vAlign w:val="center"/>
            <w:hideMark/>
          </w:tcPr>
          <w:p w:rsidR="008325F8" w:rsidRPr="00606103" w:rsidRDefault="00C556A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Suma</w:t>
            </w:r>
          </w:p>
        </w:tc>
        <w:tc>
          <w:tcPr>
            <w:tcW w:w="993" w:type="dxa"/>
            <w:vAlign w:val="center"/>
            <w:hideMark/>
          </w:tcPr>
          <w:p w:rsidR="008325F8" w:rsidRPr="00606103" w:rsidRDefault="008325F8">
            <w:pPr>
              <w:pStyle w:val="NoSpacing"/>
              <w:spacing w:line="276" w:lineRule="auto"/>
              <w:ind w:left="-106" w:right="-106"/>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eastAsia="ru-RU"/>
              </w:rPr>
            </w:pPr>
            <w:r w:rsidRPr="00606103">
              <w:rPr>
                <w:rFonts w:asciiTheme="majorHAnsi" w:hAnsiTheme="majorHAnsi" w:cstheme="majorHAnsi"/>
                <w:i/>
                <w:iCs/>
                <w:sz w:val="20"/>
                <w:szCs w:val="20"/>
                <w:lang w:val="ro-MD" w:eastAsia="ru-RU"/>
              </w:rPr>
              <w:t>Ponderea în suma totală (%)</w:t>
            </w:r>
          </w:p>
        </w:tc>
      </w:tr>
      <w:tr w:rsidR="008325F8" w:rsidRPr="00606103" w:rsidTr="00DD6C38">
        <w:trPr>
          <w:trHeight w:val="270"/>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rsidR="008325F8" w:rsidRPr="00606103" w:rsidRDefault="008325F8" w:rsidP="00552746">
            <w:pPr>
              <w:pStyle w:val="NoSpacing"/>
              <w:spacing w:line="276" w:lineRule="auto"/>
              <w:rPr>
                <w:rFonts w:asciiTheme="majorHAnsi" w:hAnsiTheme="majorHAnsi" w:cstheme="majorHAnsi"/>
                <w:sz w:val="20"/>
                <w:szCs w:val="20"/>
                <w:lang w:val="ro-MD" w:eastAsia="ru-RU"/>
              </w:rPr>
            </w:pPr>
            <w:r w:rsidRPr="00606103">
              <w:rPr>
                <w:rFonts w:asciiTheme="majorHAnsi" w:hAnsiTheme="majorHAnsi" w:cstheme="majorHAnsi"/>
                <w:sz w:val="20"/>
                <w:szCs w:val="20"/>
                <w:lang w:val="ro-MD"/>
              </w:rPr>
              <w:t>Pentru organizarea și desfășurarea alegerilor parlamentare anticipate, stabilite pentru 11 iulie 2021</w:t>
            </w:r>
          </w:p>
        </w:tc>
        <w:tc>
          <w:tcPr>
            <w:tcW w:w="993" w:type="dxa"/>
            <w:vAlign w:val="center"/>
            <w:hideMark/>
          </w:tcPr>
          <w:p w:rsidR="008325F8" w:rsidRPr="00606103" w:rsidRDefault="008325F8" w:rsidP="00FE3F3B">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sz w:val="20"/>
                <w:szCs w:val="20"/>
                <w:lang w:val="ro-MD" w:eastAsia="ru-RU"/>
              </w:rPr>
            </w:pPr>
            <w:r w:rsidRPr="00606103">
              <w:rPr>
                <w:rFonts w:asciiTheme="majorHAnsi" w:hAnsiTheme="majorHAnsi" w:cstheme="majorHAnsi"/>
                <w:sz w:val="20"/>
                <w:szCs w:val="20"/>
                <w:lang w:val="ro-MD" w:eastAsia="ru-RU"/>
              </w:rPr>
              <w:t>84,7</w:t>
            </w:r>
          </w:p>
        </w:tc>
        <w:tc>
          <w:tcPr>
            <w:tcW w:w="1032" w:type="dxa"/>
            <w:vAlign w:val="center"/>
            <w:hideMark/>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eastAsia="ru-RU"/>
              </w:rPr>
            </w:pPr>
            <w:r w:rsidRPr="00606103">
              <w:rPr>
                <w:rFonts w:asciiTheme="majorHAnsi" w:hAnsiTheme="majorHAnsi" w:cstheme="majorHAnsi"/>
                <w:i/>
                <w:iCs/>
                <w:sz w:val="20"/>
                <w:szCs w:val="20"/>
                <w:lang w:val="ro-MD" w:eastAsia="ru-RU"/>
              </w:rPr>
              <w:t>46,7</w:t>
            </w:r>
          </w:p>
        </w:tc>
        <w:tc>
          <w:tcPr>
            <w:tcW w:w="810" w:type="dxa"/>
            <w:vAlign w:val="center"/>
            <w:hideMark/>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84,5</w:t>
            </w:r>
          </w:p>
        </w:tc>
        <w:tc>
          <w:tcPr>
            <w:tcW w:w="993" w:type="dxa"/>
            <w:vAlign w:val="center"/>
            <w:hideMark/>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eastAsia="ru-RU"/>
              </w:rPr>
            </w:pPr>
            <w:r w:rsidRPr="00606103">
              <w:rPr>
                <w:rFonts w:asciiTheme="majorHAnsi" w:hAnsiTheme="majorHAnsi" w:cstheme="majorHAnsi"/>
                <w:i/>
                <w:iCs/>
                <w:sz w:val="20"/>
                <w:szCs w:val="20"/>
                <w:lang w:val="ro-MD" w:eastAsia="ru-RU"/>
              </w:rPr>
              <w:t>57,4</w:t>
            </w:r>
          </w:p>
        </w:tc>
      </w:tr>
      <w:tr w:rsidR="008325F8" w:rsidRPr="00606103" w:rsidTr="00DD6C38">
        <w:trPr>
          <w:trHeight w:val="191"/>
        </w:trPr>
        <w:tc>
          <w:tcPr>
            <w:cnfStyle w:val="001000000000" w:firstRow="0" w:lastRow="0" w:firstColumn="1" w:lastColumn="0" w:oddVBand="0" w:evenVBand="0" w:oddHBand="0" w:evenHBand="0" w:firstRowFirstColumn="0" w:firstRowLastColumn="0" w:lastRowFirstColumn="0" w:lastRowLastColumn="0"/>
            <w:tcW w:w="5949" w:type="dxa"/>
            <w:vAlign w:val="center"/>
          </w:tcPr>
          <w:p w:rsidR="008325F8" w:rsidRPr="00606103" w:rsidRDefault="008325F8" w:rsidP="00552746">
            <w:pPr>
              <w:pStyle w:val="NoSpacing"/>
              <w:spacing w:line="276" w:lineRule="auto"/>
              <w:jc w:val="both"/>
              <w:rPr>
                <w:rFonts w:asciiTheme="majorHAnsi" w:hAnsiTheme="majorHAnsi" w:cstheme="majorHAnsi"/>
                <w:sz w:val="20"/>
                <w:szCs w:val="20"/>
                <w:lang w:val="ro-MD" w:eastAsia="ru-RU"/>
              </w:rPr>
            </w:pPr>
            <w:r w:rsidRPr="00606103">
              <w:rPr>
                <w:rFonts w:asciiTheme="majorHAnsi" w:hAnsiTheme="majorHAnsi" w:cstheme="majorHAnsi"/>
                <w:sz w:val="20"/>
                <w:szCs w:val="20"/>
                <w:lang w:val="ro-MD"/>
              </w:rPr>
              <w:t>Procurare</w:t>
            </w:r>
            <w:r w:rsidR="001F41BE" w:rsidRPr="00606103">
              <w:rPr>
                <w:rFonts w:asciiTheme="majorHAnsi" w:hAnsiTheme="majorHAnsi" w:cstheme="majorHAnsi"/>
                <w:sz w:val="20"/>
                <w:szCs w:val="20"/>
                <w:lang w:val="ro-MD"/>
              </w:rPr>
              <w:t>a</w:t>
            </w:r>
            <w:r w:rsidRPr="00606103">
              <w:rPr>
                <w:rFonts w:asciiTheme="majorHAnsi" w:hAnsiTheme="majorHAnsi" w:cstheme="majorHAnsi"/>
                <w:sz w:val="20"/>
                <w:szCs w:val="20"/>
                <w:lang w:val="ro-MD"/>
              </w:rPr>
              <w:t xml:space="preserve"> vaccinului împotriva COVID-19</w:t>
            </w:r>
          </w:p>
        </w:tc>
        <w:tc>
          <w:tcPr>
            <w:tcW w:w="993" w:type="dxa"/>
            <w:vAlign w:val="center"/>
          </w:tcPr>
          <w:p w:rsidR="008325F8" w:rsidRPr="00606103" w:rsidRDefault="008325F8" w:rsidP="00FE3F3B">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60,0</w:t>
            </w:r>
          </w:p>
        </w:tc>
        <w:tc>
          <w:tcPr>
            <w:tcW w:w="1032"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eastAsia="ru-RU"/>
              </w:rPr>
            </w:pPr>
            <w:r w:rsidRPr="00606103">
              <w:rPr>
                <w:rFonts w:asciiTheme="majorHAnsi" w:hAnsiTheme="majorHAnsi" w:cstheme="majorHAnsi"/>
                <w:i/>
                <w:iCs/>
                <w:sz w:val="20"/>
                <w:szCs w:val="20"/>
                <w:lang w:val="ro-MD" w:eastAsia="ru-RU"/>
              </w:rPr>
              <w:t>33,1</w:t>
            </w:r>
          </w:p>
        </w:tc>
        <w:tc>
          <w:tcPr>
            <w:tcW w:w="810"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27,7</w:t>
            </w:r>
          </w:p>
        </w:tc>
        <w:tc>
          <w:tcPr>
            <w:tcW w:w="993"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eastAsia="ru-RU"/>
              </w:rPr>
            </w:pPr>
            <w:r w:rsidRPr="00606103">
              <w:rPr>
                <w:rFonts w:asciiTheme="majorHAnsi" w:hAnsiTheme="majorHAnsi" w:cstheme="majorHAnsi"/>
                <w:i/>
                <w:iCs/>
                <w:sz w:val="20"/>
                <w:szCs w:val="20"/>
                <w:lang w:val="ro-MD" w:eastAsia="ru-RU"/>
              </w:rPr>
              <w:t>18,8</w:t>
            </w:r>
          </w:p>
        </w:tc>
      </w:tr>
      <w:tr w:rsidR="008325F8" w:rsidRPr="00606103" w:rsidTr="00DD6C38">
        <w:trPr>
          <w:trHeight w:val="58"/>
        </w:trPr>
        <w:tc>
          <w:tcPr>
            <w:cnfStyle w:val="001000000000" w:firstRow="0" w:lastRow="0" w:firstColumn="1" w:lastColumn="0" w:oddVBand="0" w:evenVBand="0" w:oddHBand="0" w:evenHBand="0" w:firstRowFirstColumn="0" w:firstRowLastColumn="0" w:lastRowFirstColumn="0" w:lastRowLastColumn="0"/>
            <w:tcW w:w="5949" w:type="dxa"/>
            <w:vAlign w:val="center"/>
          </w:tcPr>
          <w:p w:rsidR="008325F8" w:rsidRPr="00606103" w:rsidRDefault="008325F8" w:rsidP="00552746">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sz w:val="20"/>
                <w:szCs w:val="20"/>
                <w:lang w:val="ro-MD"/>
              </w:rPr>
              <w:t xml:space="preserve">Compensații pentru Programul de stat </w:t>
            </w:r>
            <w:r w:rsidR="001F41BE" w:rsidRPr="00606103">
              <w:rPr>
                <w:rFonts w:asciiTheme="majorHAnsi" w:hAnsiTheme="majorHAnsi" w:cstheme="majorHAnsi"/>
                <w:sz w:val="20"/>
                <w:szCs w:val="20"/>
                <w:lang w:val="ro-MD"/>
              </w:rPr>
              <w:t>„</w:t>
            </w:r>
            <w:r w:rsidRPr="00606103">
              <w:rPr>
                <w:rFonts w:asciiTheme="majorHAnsi" w:hAnsiTheme="majorHAnsi" w:cstheme="majorHAnsi"/>
                <w:sz w:val="20"/>
                <w:szCs w:val="20"/>
                <w:lang w:val="ro-MD"/>
              </w:rPr>
              <w:t>Prima casă”</w:t>
            </w:r>
          </w:p>
        </w:tc>
        <w:tc>
          <w:tcPr>
            <w:tcW w:w="993" w:type="dxa"/>
            <w:vAlign w:val="center"/>
          </w:tcPr>
          <w:p w:rsidR="008325F8" w:rsidRPr="00606103" w:rsidRDefault="008325F8" w:rsidP="00FE3F3B">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21,1</w:t>
            </w:r>
          </w:p>
        </w:tc>
        <w:tc>
          <w:tcPr>
            <w:tcW w:w="1032"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eastAsia="ru-RU"/>
              </w:rPr>
            </w:pPr>
            <w:r w:rsidRPr="00606103">
              <w:rPr>
                <w:rFonts w:asciiTheme="majorHAnsi" w:hAnsiTheme="majorHAnsi" w:cstheme="majorHAnsi"/>
                <w:i/>
                <w:iCs/>
                <w:sz w:val="20"/>
                <w:szCs w:val="20"/>
                <w:lang w:val="ro-MD" w:eastAsia="ru-RU"/>
              </w:rPr>
              <w:t>11,6</w:t>
            </w:r>
          </w:p>
        </w:tc>
        <w:tc>
          <w:tcPr>
            <w:tcW w:w="810"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19,6</w:t>
            </w:r>
          </w:p>
        </w:tc>
        <w:tc>
          <w:tcPr>
            <w:tcW w:w="993"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eastAsia="ru-RU"/>
              </w:rPr>
            </w:pPr>
            <w:r w:rsidRPr="00606103">
              <w:rPr>
                <w:rFonts w:asciiTheme="majorHAnsi" w:hAnsiTheme="majorHAnsi" w:cstheme="majorHAnsi"/>
                <w:i/>
                <w:iCs/>
                <w:sz w:val="20"/>
                <w:szCs w:val="20"/>
                <w:lang w:val="ro-MD" w:eastAsia="ru-RU"/>
              </w:rPr>
              <w:t>13,3</w:t>
            </w:r>
          </w:p>
        </w:tc>
      </w:tr>
      <w:tr w:rsidR="008325F8" w:rsidRPr="00606103" w:rsidTr="00DD6C38">
        <w:trPr>
          <w:trHeight w:val="185"/>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rsidR="008325F8" w:rsidRPr="00606103" w:rsidRDefault="008325F8" w:rsidP="00552746">
            <w:pPr>
              <w:pStyle w:val="NoSpacing"/>
              <w:spacing w:line="276" w:lineRule="auto"/>
              <w:ind w:right="-110"/>
              <w:rPr>
                <w:rFonts w:asciiTheme="majorHAnsi" w:hAnsiTheme="majorHAnsi" w:cstheme="majorHAnsi"/>
                <w:sz w:val="20"/>
                <w:szCs w:val="20"/>
                <w:lang w:val="ro-MD" w:eastAsia="ru-RU"/>
              </w:rPr>
            </w:pPr>
            <w:r w:rsidRPr="00606103">
              <w:rPr>
                <w:rFonts w:asciiTheme="majorHAnsi" w:hAnsiTheme="majorHAnsi" w:cstheme="majorHAnsi"/>
                <w:sz w:val="20"/>
                <w:szCs w:val="20"/>
                <w:lang w:val="ro-MD"/>
              </w:rPr>
              <w:t xml:space="preserve">Premierea sportivilor pentru performanțele obținute la Jocurile </w:t>
            </w:r>
            <w:r w:rsidR="00511DDA" w:rsidRPr="00606103">
              <w:rPr>
                <w:rFonts w:asciiTheme="majorHAnsi" w:hAnsiTheme="majorHAnsi" w:cstheme="majorHAnsi"/>
                <w:sz w:val="20"/>
                <w:szCs w:val="20"/>
                <w:lang w:val="ro-MD"/>
              </w:rPr>
              <w:t xml:space="preserve">Olimpice și </w:t>
            </w:r>
            <w:r w:rsidR="001F41BE" w:rsidRPr="00606103">
              <w:rPr>
                <w:rFonts w:asciiTheme="majorHAnsi" w:hAnsiTheme="majorHAnsi" w:cstheme="majorHAnsi"/>
                <w:sz w:val="20"/>
                <w:szCs w:val="20"/>
                <w:lang w:val="ro-MD"/>
              </w:rPr>
              <w:t>Paralimpice</w:t>
            </w:r>
          </w:p>
        </w:tc>
        <w:tc>
          <w:tcPr>
            <w:tcW w:w="993" w:type="dxa"/>
            <w:vAlign w:val="center"/>
          </w:tcPr>
          <w:p w:rsidR="008325F8" w:rsidRPr="00606103" w:rsidRDefault="008325F8" w:rsidP="00FE3F3B">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10,8</w:t>
            </w:r>
          </w:p>
        </w:tc>
        <w:tc>
          <w:tcPr>
            <w:tcW w:w="1032"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themeColor="text1"/>
                <w:sz w:val="20"/>
                <w:szCs w:val="20"/>
                <w:lang w:val="ro-MD" w:eastAsia="ru-RU"/>
              </w:rPr>
            </w:pPr>
            <w:r w:rsidRPr="00606103">
              <w:rPr>
                <w:rFonts w:asciiTheme="majorHAnsi" w:hAnsiTheme="majorHAnsi" w:cstheme="majorHAnsi"/>
                <w:i/>
                <w:iCs/>
                <w:color w:val="000000" w:themeColor="text1"/>
                <w:sz w:val="20"/>
                <w:szCs w:val="20"/>
                <w:lang w:val="ro-MD" w:eastAsia="ru-RU"/>
              </w:rPr>
              <w:t>6,0</w:t>
            </w:r>
          </w:p>
        </w:tc>
        <w:tc>
          <w:tcPr>
            <w:tcW w:w="810"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ro-MD" w:eastAsia="ru-RU"/>
              </w:rPr>
            </w:pPr>
            <w:r w:rsidRPr="00606103">
              <w:rPr>
                <w:rFonts w:asciiTheme="majorHAnsi" w:hAnsiTheme="majorHAnsi" w:cstheme="majorHAnsi"/>
                <w:color w:val="000000" w:themeColor="text1"/>
                <w:sz w:val="20"/>
                <w:szCs w:val="20"/>
                <w:lang w:val="ro-MD" w:eastAsia="ru-RU"/>
              </w:rPr>
              <w:t>10,8</w:t>
            </w:r>
          </w:p>
        </w:tc>
        <w:tc>
          <w:tcPr>
            <w:tcW w:w="993"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themeColor="text1"/>
                <w:sz w:val="20"/>
                <w:szCs w:val="20"/>
                <w:lang w:val="ro-MD" w:eastAsia="ru-RU"/>
              </w:rPr>
            </w:pPr>
            <w:r w:rsidRPr="00606103">
              <w:rPr>
                <w:rFonts w:asciiTheme="majorHAnsi" w:hAnsiTheme="majorHAnsi" w:cstheme="majorHAnsi"/>
                <w:i/>
                <w:iCs/>
                <w:color w:val="000000" w:themeColor="text1"/>
                <w:sz w:val="20"/>
                <w:szCs w:val="20"/>
                <w:lang w:val="ro-MD" w:eastAsia="ru-RU"/>
              </w:rPr>
              <w:t>7,3</w:t>
            </w:r>
          </w:p>
        </w:tc>
      </w:tr>
      <w:tr w:rsidR="008325F8" w:rsidRPr="00606103" w:rsidTr="00DD6C38">
        <w:trPr>
          <w:trHeight w:val="316"/>
        </w:trPr>
        <w:tc>
          <w:tcPr>
            <w:cnfStyle w:val="001000000000" w:firstRow="0" w:lastRow="0" w:firstColumn="1" w:lastColumn="0" w:oddVBand="0" w:evenVBand="0" w:oddHBand="0" w:evenHBand="0" w:firstRowFirstColumn="0" w:firstRowLastColumn="0" w:lastRowFirstColumn="0" w:lastRowLastColumn="0"/>
            <w:tcW w:w="5949" w:type="dxa"/>
            <w:vAlign w:val="center"/>
          </w:tcPr>
          <w:p w:rsidR="008325F8" w:rsidRPr="00606103" w:rsidRDefault="008325F8" w:rsidP="00552746">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sz w:val="20"/>
                <w:szCs w:val="20"/>
                <w:lang w:val="ro-MD"/>
              </w:rPr>
              <w:t>Cheltuieli aferente utilizării ajutorului umanitar acordat de către România pentru sprijinirea agricultorilor afectați de secetă</w:t>
            </w:r>
          </w:p>
        </w:tc>
        <w:tc>
          <w:tcPr>
            <w:tcW w:w="993" w:type="dxa"/>
            <w:vAlign w:val="center"/>
          </w:tcPr>
          <w:p w:rsidR="008325F8" w:rsidRPr="00606103" w:rsidRDefault="008325F8" w:rsidP="00FE3F3B">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3,0</w:t>
            </w:r>
          </w:p>
        </w:tc>
        <w:tc>
          <w:tcPr>
            <w:tcW w:w="1032"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themeColor="text1"/>
                <w:sz w:val="20"/>
                <w:szCs w:val="20"/>
                <w:lang w:val="ro-MD" w:eastAsia="ru-RU"/>
              </w:rPr>
            </w:pPr>
            <w:r w:rsidRPr="00606103">
              <w:rPr>
                <w:rFonts w:asciiTheme="majorHAnsi" w:hAnsiTheme="majorHAnsi" w:cstheme="majorHAnsi"/>
                <w:i/>
                <w:iCs/>
                <w:color w:val="000000" w:themeColor="text1"/>
                <w:sz w:val="20"/>
                <w:szCs w:val="20"/>
                <w:lang w:val="ro-MD" w:eastAsia="ru-RU"/>
              </w:rPr>
              <w:t>1,7</w:t>
            </w:r>
          </w:p>
        </w:tc>
        <w:tc>
          <w:tcPr>
            <w:tcW w:w="810"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ro-MD" w:eastAsia="ru-RU"/>
              </w:rPr>
            </w:pPr>
            <w:r w:rsidRPr="00606103">
              <w:rPr>
                <w:rFonts w:asciiTheme="majorHAnsi" w:hAnsiTheme="majorHAnsi" w:cstheme="majorHAnsi"/>
                <w:color w:val="000000" w:themeColor="text1"/>
                <w:sz w:val="20"/>
                <w:szCs w:val="20"/>
                <w:lang w:val="ro-MD" w:eastAsia="ru-RU"/>
              </w:rPr>
              <w:t>2,8</w:t>
            </w:r>
          </w:p>
        </w:tc>
        <w:tc>
          <w:tcPr>
            <w:tcW w:w="993"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themeColor="text1"/>
                <w:sz w:val="20"/>
                <w:szCs w:val="20"/>
                <w:lang w:val="ro-MD" w:eastAsia="ru-RU"/>
              </w:rPr>
            </w:pPr>
            <w:r w:rsidRPr="00606103">
              <w:rPr>
                <w:rFonts w:asciiTheme="majorHAnsi" w:hAnsiTheme="majorHAnsi" w:cstheme="majorHAnsi"/>
                <w:i/>
                <w:iCs/>
                <w:color w:val="000000" w:themeColor="text1"/>
                <w:sz w:val="20"/>
                <w:szCs w:val="20"/>
                <w:lang w:val="ro-MD" w:eastAsia="ru-RU"/>
              </w:rPr>
              <w:t>2,0</w:t>
            </w:r>
          </w:p>
        </w:tc>
      </w:tr>
      <w:tr w:rsidR="008325F8" w:rsidRPr="00606103" w:rsidTr="00DD6C38">
        <w:trPr>
          <w:trHeight w:val="380"/>
        </w:trPr>
        <w:tc>
          <w:tcPr>
            <w:cnfStyle w:val="001000000000" w:firstRow="0" w:lastRow="0" w:firstColumn="1" w:lastColumn="0" w:oddVBand="0" w:evenVBand="0" w:oddHBand="0" w:evenHBand="0" w:firstRowFirstColumn="0" w:firstRowLastColumn="0" w:lastRowFirstColumn="0" w:lastRowLastColumn="0"/>
            <w:tcW w:w="5949" w:type="dxa"/>
            <w:vAlign w:val="center"/>
          </w:tcPr>
          <w:p w:rsidR="008325F8" w:rsidRPr="00606103" w:rsidRDefault="008325F8" w:rsidP="00552746">
            <w:pPr>
              <w:pStyle w:val="NoSpacing"/>
              <w:spacing w:line="276" w:lineRule="auto"/>
              <w:rPr>
                <w:rFonts w:asciiTheme="majorHAnsi" w:hAnsiTheme="majorHAnsi" w:cstheme="majorHAnsi"/>
                <w:sz w:val="20"/>
                <w:szCs w:val="20"/>
                <w:lang w:val="ro-MD" w:eastAsia="ru-RU"/>
              </w:rPr>
            </w:pPr>
            <w:r w:rsidRPr="00606103">
              <w:rPr>
                <w:rFonts w:asciiTheme="majorHAnsi" w:hAnsiTheme="majorHAnsi" w:cstheme="majorHAnsi"/>
                <w:sz w:val="20"/>
                <w:szCs w:val="20"/>
                <w:lang w:val="ro-MD"/>
              </w:rPr>
              <w:t xml:space="preserve">Plata onorariilor de avocatură </w:t>
            </w:r>
            <w:r w:rsidR="001F41BE" w:rsidRPr="00606103">
              <w:rPr>
                <w:rFonts w:asciiTheme="majorHAnsi" w:hAnsiTheme="majorHAnsi" w:cstheme="majorHAnsi"/>
                <w:sz w:val="20"/>
                <w:szCs w:val="20"/>
                <w:lang w:val="ro-MD"/>
              </w:rPr>
              <w:t>pe</w:t>
            </w:r>
            <w:r w:rsidRPr="00606103">
              <w:rPr>
                <w:rFonts w:asciiTheme="majorHAnsi" w:hAnsiTheme="majorHAnsi" w:cstheme="majorHAnsi"/>
                <w:sz w:val="20"/>
                <w:szCs w:val="20"/>
                <w:lang w:val="ro-MD"/>
              </w:rPr>
              <w:t>ntru reprezentarea intereselor Republicii Moldova în instanțele internaționale</w:t>
            </w:r>
          </w:p>
        </w:tc>
        <w:tc>
          <w:tcPr>
            <w:tcW w:w="993" w:type="dxa"/>
            <w:vAlign w:val="center"/>
          </w:tcPr>
          <w:p w:rsidR="008325F8" w:rsidRPr="00606103" w:rsidRDefault="008325F8" w:rsidP="00FE3F3B">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1,7</w:t>
            </w:r>
          </w:p>
        </w:tc>
        <w:tc>
          <w:tcPr>
            <w:tcW w:w="1032"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eastAsia="ru-RU"/>
              </w:rPr>
            </w:pPr>
            <w:r w:rsidRPr="00606103">
              <w:rPr>
                <w:rFonts w:asciiTheme="majorHAnsi" w:hAnsiTheme="majorHAnsi" w:cstheme="majorHAnsi"/>
                <w:i/>
                <w:iCs/>
                <w:sz w:val="20"/>
                <w:szCs w:val="20"/>
                <w:lang w:val="ro-MD" w:eastAsia="ru-RU"/>
              </w:rPr>
              <w:t>0,9</w:t>
            </w:r>
          </w:p>
        </w:tc>
        <w:tc>
          <w:tcPr>
            <w:tcW w:w="810"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eastAsia="ru-RU"/>
              </w:rPr>
            </w:pPr>
            <w:r w:rsidRPr="00606103">
              <w:rPr>
                <w:rFonts w:asciiTheme="majorHAnsi" w:hAnsiTheme="majorHAnsi" w:cstheme="majorHAnsi"/>
                <w:sz w:val="20"/>
                <w:szCs w:val="20"/>
                <w:lang w:val="ro-MD" w:eastAsia="ru-RU"/>
              </w:rPr>
              <w:t>1,7</w:t>
            </w:r>
          </w:p>
        </w:tc>
        <w:tc>
          <w:tcPr>
            <w:tcW w:w="993" w:type="dxa"/>
            <w:vAlign w:val="center"/>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lang w:val="ro-MD" w:eastAsia="ru-RU"/>
              </w:rPr>
            </w:pPr>
            <w:r w:rsidRPr="00606103">
              <w:rPr>
                <w:rFonts w:asciiTheme="majorHAnsi" w:hAnsiTheme="majorHAnsi" w:cstheme="majorHAnsi"/>
                <w:i/>
                <w:iCs/>
                <w:sz w:val="20"/>
                <w:szCs w:val="20"/>
                <w:lang w:val="ro-MD" w:eastAsia="ru-RU"/>
              </w:rPr>
              <w:t>1,2</w:t>
            </w:r>
          </w:p>
        </w:tc>
      </w:tr>
      <w:tr w:rsidR="008325F8" w:rsidRPr="00606103" w:rsidTr="00DD6C38">
        <w:trPr>
          <w:trHeight w:val="311"/>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rsidR="008325F8" w:rsidRPr="00606103" w:rsidRDefault="008325F8" w:rsidP="00FE3F3B">
            <w:pPr>
              <w:pStyle w:val="NoSpacing"/>
              <w:spacing w:line="276" w:lineRule="auto"/>
              <w:rPr>
                <w:rFonts w:asciiTheme="majorHAnsi" w:hAnsiTheme="majorHAnsi" w:cstheme="majorHAnsi"/>
                <w:sz w:val="20"/>
                <w:szCs w:val="20"/>
                <w:lang w:val="ro-MD" w:eastAsia="ru-RU"/>
              </w:rPr>
            </w:pPr>
            <w:r w:rsidRPr="00606103">
              <w:rPr>
                <w:rFonts w:asciiTheme="majorHAnsi" w:hAnsiTheme="majorHAnsi" w:cstheme="majorHAnsi"/>
                <w:iCs/>
                <w:sz w:val="20"/>
                <w:szCs w:val="20"/>
                <w:lang w:val="ro-MD" w:eastAsia="ru-RU"/>
              </w:rPr>
              <w:t>TOTAL</w:t>
            </w:r>
          </w:p>
        </w:tc>
        <w:tc>
          <w:tcPr>
            <w:tcW w:w="993" w:type="dxa"/>
            <w:vAlign w:val="center"/>
            <w:hideMark/>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eastAsia="ru-RU"/>
              </w:rPr>
            </w:pPr>
            <w:r w:rsidRPr="00606103">
              <w:rPr>
                <w:rFonts w:asciiTheme="majorHAnsi" w:hAnsiTheme="majorHAnsi" w:cstheme="majorHAnsi"/>
                <w:b/>
                <w:iCs/>
                <w:sz w:val="20"/>
                <w:szCs w:val="20"/>
                <w:lang w:val="ro-MD" w:eastAsia="ru-RU"/>
              </w:rPr>
              <w:t>181,3</w:t>
            </w:r>
          </w:p>
        </w:tc>
        <w:tc>
          <w:tcPr>
            <w:tcW w:w="1032" w:type="dxa"/>
            <w:vAlign w:val="center"/>
            <w:hideMark/>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Cs/>
                <w:sz w:val="20"/>
                <w:szCs w:val="20"/>
                <w:lang w:val="ro-MD" w:eastAsia="ru-RU"/>
              </w:rPr>
            </w:pPr>
            <w:r w:rsidRPr="00606103">
              <w:rPr>
                <w:rFonts w:asciiTheme="majorHAnsi" w:hAnsiTheme="majorHAnsi" w:cstheme="majorHAnsi"/>
                <w:b/>
                <w:iCs/>
                <w:sz w:val="20"/>
                <w:szCs w:val="20"/>
                <w:lang w:val="ro-MD" w:eastAsia="ru-RU"/>
              </w:rPr>
              <w:t>100,0</w:t>
            </w:r>
          </w:p>
        </w:tc>
        <w:tc>
          <w:tcPr>
            <w:tcW w:w="810" w:type="dxa"/>
            <w:vAlign w:val="center"/>
            <w:hideMark/>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eastAsia="ru-RU"/>
              </w:rPr>
            </w:pPr>
            <w:r w:rsidRPr="00606103">
              <w:rPr>
                <w:rFonts w:asciiTheme="majorHAnsi" w:hAnsiTheme="majorHAnsi" w:cstheme="majorHAnsi"/>
                <w:b/>
                <w:iCs/>
                <w:sz w:val="20"/>
                <w:szCs w:val="20"/>
                <w:lang w:val="ro-MD" w:eastAsia="ru-RU"/>
              </w:rPr>
              <w:t>147,1</w:t>
            </w:r>
          </w:p>
        </w:tc>
        <w:tc>
          <w:tcPr>
            <w:tcW w:w="993" w:type="dxa"/>
            <w:vAlign w:val="center"/>
            <w:hideMark/>
          </w:tcPr>
          <w:p w:rsidR="008325F8" w:rsidRPr="00606103" w:rsidRDefault="008325F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Cs/>
                <w:sz w:val="20"/>
                <w:szCs w:val="20"/>
                <w:lang w:val="ro-MD" w:eastAsia="ru-RU"/>
              </w:rPr>
            </w:pPr>
            <w:r w:rsidRPr="00606103">
              <w:rPr>
                <w:rFonts w:asciiTheme="majorHAnsi" w:hAnsiTheme="majorHAnsi" w:cstheme="majorHAnsi"/>
                <w:b/>
                <w:iCs/>
                <w:sz w:val="20"/>
                <w:szCs w:val="20"/>
                <w:lang w:val="ro-MD" w:eastAsia="ru-RU"/>
              </w:rPr>
              <w:t>100,0</w:t>
            </w:r>
          </w:p>
        </w:tc>
      </w:tr>
    </w:tbl>
    <w:p w:rsidR="008325F8" w:rsidRPr="00606103" w:rsidRDefault="008325F8" w:rsidP="00FE3F3B">
      <w:pPr>
        <w:tabs>
          <w:tab w:val="left" w:pos="0"/>
        </w:tabs>
        <w:spacing w:line="276" w:lineRule="auto"/>
        <w:rPr>
          <w:rFonts w:asciiTheme="majorHAnsi" w:eastAsia="Times New Roman" w:hAnsiTheme="majorHAnsi" w:cstheme="majorHAnsi"/>
          <w:i/>
          <w:sz w:val="20"/>
          <w:szCs w:val="20"/>
          <w:lang w:val="ro-MD"/>
        </w:rPr>
      </w:pPr>
      <w:r w:rsidRPr="00606103">
        <w:rPr>
          <w:rFonts w:asciiTheme="majorHAnsi" w:eastAsia="Times New Roman" w:hAnsiTheme="majorHAnsi" w:cstheme="majorHAnsi"/>
          <w:b/>
          <w:i/>
          <w:sz w:val="20"/>
          <w:szCs w:val="20"/>
          <w:lang w:val="ro-MD"/>
        </w:rPr>
        <w:t xml:space="preserve">Sursă: </w:t>
      </w:r>
      <w:r w:rsidR="0098048A" w:rsidRPr="00606103">
        <w:rPr>
          <w:rFonts w:asciiTheme="majorHAnsi" w:eastAsia="Times New Roman" w:hAnsiTheme="majorHAnsi" w:cstheme="majorHAnsi"/>
          <w:i/>
          <w:sz w:val="20"/>
          <w:szCs w:val="20"/>
          <w:lang w:val="ro-MD"/>
        </w:rPr>
        <w:t>Date sistematizate de echipa de audit în baza Informațiilor</w:t>
      </w:r>
      <w:r w:rsidRPr="00606103">
        <w:rPr>
          <w:rFonts w:asciiTheme="majorHAnsi" w:eastAsia="Times New Roman" w:hAnsiTheme="majorHAnsi" w:cstheme="majorHAnsi"/>
          <w:i/>
          <w:sz w:val="20"/>
          <w:szCs w:val="20"/>
          <w:lang w:val="ro-MD"/>
        </w:rPr>
        <w:t xml:space="preserve"> privind repartizarea și utilizarea mijloacelor din fondul de rezervă al Guvernului în ianuarie – decembrie 2021</w:t>
      </w:r>
      <w:r w:rsidR="001F41BE" w:rsidRPr="00606103">
        <w:rPr>
          <w:rFonts w:asciiTheme="majorHAnsi" w:eastAsia="Times New Roman" w:hAnsiTheme="majorHAnsi" w:cstheme="majorHAnsi"/>
          <w:i/>
          <w:sz w:val="20"/>
          <w:szCs w:val="20"/>
          <w:lang w:val="ro-MD"/>
        </w:rPr>
        <w:t>,</w:t>
      </w:r>
      <w:r w:rsidRPr="00606103">
        <w:rPr>
          <w:rFonts w:asciiTheme="majorHAnsi" w:eastAsia="Times New Roman" w:hAnsiTheme="majorHAnsi" w:cstheme="majorHAnsi"/>
          <w:i/>
          <w:sz w:val="20"/>
          <w:szCs w:val="20"/>
          <w:lang w:val="ro-MD"/>
        </w:rPr>
        <w:t xml:space="preserve"> prezentată de </w:t>
      </w:r>
      <w:r w:rsidR="00E15ECB" w:rsidRPr="00606103">
        <w:rPr>
          <w:rFonts w:asciiTheme="majorHAnsi" w:eastAsia="Times New Roman" w:hAnsiTheme="majorHAnsi" w:cstheme="majorHAnsi"/>
          <w:i/>
          <w:sz w:val="20"/>
          <w:szCs w:val="20"/>
          <w:lang w:val="ro-MD"/>
        </w:rPr>
        <w:t>MF</w:t>
      </w:r>
      <w:r w:rsidRPr="00606103">
        <w:rPr>
          <w:rFonts w:asciiTheme="majorHAnsi" w:eastAsia="Times New Roman" w:hAnsiTheme="majorHAnsi" w:cstheme="majorHAnsi"/>
          <w:i/>
          <w:sz w:val="20"/>
          <w:szCs w:val="20"/>
          <w:lang w:val="ro-MD"/>
        </w:rPr>
        <w:t>.</w:t>
      </w:r>
    </w:p>
    <w:p w:rsidR="00441C56" w:rsidRPr="00606103" w:rsidRDefault="00D00276">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S</w:t>
      </w:r>
      <w:r w:rsidR="00441C56" w:rsidRPr="00606103">
        <w:rPr>
          <w:rFonts w:asciiTheme="majorHAnsi" w:hAnsiTheme="majorHAnsi" w:cstheme="majorHAnsi"/>
          <w:sz w:val="24"/>
          <w:szCs w:val="24"/>
          <w:lang w:val="ro-MD"/>
        </w:rPr>
        <w:t>e atestă că</w:t>
      </w:r>
      <w:r w:rsidRPr="00606103">
        <w:rPr>
          <w:rFonts w:asciiTheme="majorHAnsi" w:hAnsiTheme="majorHAnsi" w:cstheme="majorHAnsi"/>
          <w:sz w:val="24"/>
          <w:szCs w:val="24"/>
          <w:lang w:val="ro-MD"/>
        </w:rPr>
        <w:t>,</w:t>
      </w:r>
      <w:r w:rsidR="00441C56" w:rsidRPr="00606103">
        <w:rPr>
          <w:rFonts w:asciiTheme="majorHAnsi" w:hAnsiTheme="majorHAnsi" w:cstheme="majorHAnsi"/>
          <w:sz w:val="24"/>
          <w:szCs w:val="24"/>
          <w:lang w:val="ro-MD"/>
        </w:rPr>
        <w:t xml:space="preserve"> prin Legea bugetului de stat pentru anul 2021, au fost prevăzu</w:t>
      </w:r>
      <w:r w:rsidR="001F41BE" w:rsidRPr="00606103">
        <w:rPr>
          <w:rFonts w:asciiTheme="majorHAnsi" w:hAnsiTheme="majorHAnsi" w:cstheme="majorHAnsi"/>
          <w:sz w:val="24"/>
          <w:szCs w:val="24"/>
          <w:lang w:val="ro-MD"/>
        </w:rPr>
        <w:t>te</w:t>
      </w:r>
      <w:r w:rsidR="00441C56" w:rsidRPr="00606103">
        <w:rPr>
          <w:rFonts w:asciiTheme="majorHAnsi" w:hAnsiTheme="majorHAnsi" w:cstheme="majorHAnsi"/>
          <w:sz w:val="24"/>
          <w:szCs w:val="24"/>
          <w:lang w:val="ro-MD"/>
        </w:rPr>
        <w:t xml:space="preserve"> inițial 70,0 mil. lei pentru implementarea Programului de stat </w:t>
      </w:r>
      <w:r w:rsidR="001F41BE" w:rsidRPr="00606103">
        <w:rPr>
          <w:rFonts w:asciiTheme="majorHAnsi" w:hAnsiTheme="majorHAnsi" w:cstheme="majorHAnsi"/>
          <w:sz w:val="24"/>
          <w:szCs w:val="24"/>
          <w:lang w:val="ro-MD"/>
        </w:rPr>
        <w:t>„</w:t>
      </w:r>
      <w:r w:rsidR="00441C56" w:rsidRPr="00606103">
        <w:rPr>
          <w:rFonts w:asciiTheme="majorHAnsi" w:hAnsiTheme="majorHAnsi" w:cstheme="majorHAnsi"/>
          <w:sz w:val="24"/>
          <w:szCs w:val="24"/>
          <w:lang w:val="ro-MD"/>
        </w:rPr>
        <w:t>Prima Casă”, inclusiv 5</w:t>
      </w:r>
      <w:r w:rsidR="00C106DC" w:rsidRPr="00606103">
        <w:rPr>
          <w:rFonts w:asciiTheme="majorHAnsi" w:hAnsiTheme="majorHAnsi" w:cstheme="majorHAnsi"/>
          <w:sz w:val="24"/>
          <w:szCs w:val="24"/>
          <w:lang w:val="ro-MD"/>
        </w:rPr>
        <w:t>0</w:t>
      </w:r>
      <w:r w:rsidR="00441C56" w:rsidRPr="00606103">
        <w:rPr>
          <w:rFonts w:asciiTheme="majorHAnsi" w:hAnsiTheme="majorHAnsi" w:cstheme="majorHAnsi"/>
          <w:sz w:val="24"/>
          <w:szCs w:val="24"/>
          <w:lang w:val="ro-MD"/>
        </w:rPr>
        <w:t>,0 mil. lei pentru onorarea garanțiilo</w:t>
      </w:r>
      <w:r w:rsidRPr="00606103">
        <w:rPr>
          <w:rFonts w:asciiTheme="majorHAnsi" w:hAnsiTheme="majorHAnsi" w:cstheme="majorHAnsi"/>
          <w:sz w:val="24"/>
          <w:szCs w:val="24"/>
          <w:lang w:val="ro-MD"/>
        </w:rPr>
        <w:t xml:space="preserve">r de </w:t>
      </w:r>
      <w:r w:rsidRPr="00606103">
        <w:rPr>
          <w:rFonts w:asciiTheme="majorHAnsi" w:hAnsiTheme="majorHAnsi" w:cstheme="majorHAnsi"/>
          <w:sz w:val="24"/>
          <w:szCs w:val="24"/>
          <w:lang w:val="ro-MD"/>
        </w:rPr>
        <w:lastRenderedPageBreak/>
        <w:t>stat în cadrul Programului.</w:t>
      </w:r>
      <w:r w:rsidR="00441C56"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U</w:t>
      </w:r>
      <w:r w:rsidR="00441C56" w:rsidRPr="00606103">
        <w:rPr>
          <w:rFonts w:asciiTheme="majorHAnsi" w:hAnsiTheme="majorHAnsi" w:cstheme="majorHAnsi"/>
          <w:sz w:val="24"/>
          <w:szCs w:val="24"/>
          <w:lang w:val="ro-MD"/>
        </w:rPr>
        <w:t>lterior</w:t>
      </w:r>
      <w:r w:rsidRPr="00606103">
        <w:rPr>
          <w:rFonts w:asciiTheme="majorHAnsi" w:hAnsiTheme="majorHAnsi" w:cstheme="majorHAnsi"/>
          <w:sz w:val="24"/>
          <w:szCs w:val="24"/>
          <w:lang w:val="ro-MD"/>
        </w:rPr>
        <w:t>,</w:t>
      </w:r>
      <w:r w:rsidR="00441C56" w:rsidRPr="00606103">
        <w:rPr>
          <w:rFonts w:asciiTheme="majorHAnsi" w:hAnsiTheme="majorHAnsi" w:cstheme="majorHAnsi"/>
          <w:sz w:val="24"/>
          <w:szCs w:val="24"/>
          <w:lang w:val="ro-MD"/>
        </w:rPr>
        <w:t xml:space="preserve"> </w:t>
      </w:r>
      <w:r w:rsidR="00CB7779" w:rsidRPr="00606103">
        <w:rPr>
          <w:rFonts w:asciiTheme="majorHAnsi" w:hAnsiTheme="majorHAnsi" w:cstheme="majorHAnsi"/>
          <w:sz w:val="24"/>
          <w:szCs w:val="24"/>
          <w:lang w:val="ro-MD"/>
        </w:rPr>
        <w:t xml:space="preserve">sursele de finanțare au fost diminuate până la 5,0 mil. lei pentru onorarea garanțiilor de stat în cadrul programului, iar în contextul creșterii semnificative a numărului solicitanților pe parcursul anului 2021, cheltuielile pentru programele de compensare au fost majorate cu 15,0 mil lei. </w:t>
      </w:r>
      <w:r w:rsidR="00417E99" w:rsidRPr="00606103">
        <w:rPr>
          <w:rFonts w:asciiTheme="majorHAnsi" w:hAnsiTheme="majorHAnsi" w:cstheme="majorHAnsi"/>
          <w:sz w:val="24"/>
          <w:szCs w:val="24"/>
          <w:lang w:val="ro-MD"/>
        </w:rPr>
        <w:t>Se atrage atenția că d</w:t>
      </w:r>
      <w:r w:rsidR="00EE08E8" w:rsidRPr="00606103">
        <w:rPr>
          <w:rFonts w:asciiTheme="majorHAnsi" w:hAnsiTheme="majorHAnsi" w:cstheme="majorHAnsi"/>
          <w:sz w:val="24"/>
          <w:szCs w:val="24"/>
          <w:lang w:val="ro-MD"/>
        </w:rPr>
        <w:t>iminuarea alocațiilor se datorează faptului că</w:t>
      </w:r>
      <w:r w:rsidR="00417E99" w:rsidRPr="00606103">
        <w:rPr>
          <w:rFonts w:asciiTheme="majorHAnsi" w:hAnsiTheme="majorHAnsi" w:cstheme="majorHAnsi"/>
          <w:sz w:val="24"/>
          <w:szCs w:val="24"/>
          <w:lang w:val="ro-MD"/>
        </w:rPr>
        <w:t>,</w:t>
      </w:r>
      <w:r w:rsidR="00EE08E8" w:rsidRPr="00606103">
        <w:rPr>
          <w:rFonts w:asciiTheme="majorHAnsi" w:hAnsiTheme="majorHAnsi" w:cstheme="majorHAnsi"/>
          <w:sz w:val="24"/>
          <w:szCs w:val="24"/>
          <w:lang w:val="ro-MD"/>
        </w:rPr>
        <w:t xml:space="preserve"> </w:t>
      </w:r>
      <w:r w:rsidR="00417E99" w:rsidRPr="00606103">
        <w:rPr>
          <w:rFonts w:asciiTheme="majorHAnsi" w:hAnsiTheme="majorHAnsi" w:cstheme="majorHAnsi"/>
          <w:sz w:val="24"/>
          <w:szCs w:val="24"/>
          <w:lang w:val="ro-MD"/>
        </w:rPr>
        <w:t>în vederea finanțării programelor de compensații demarate în cadrul Programul</w:t>
      </w:r>
      <w:r w:rsidR="00D12C8B" w:rsidRPr="00606103">
        <w:rPr>
          <w:rFonts w:asciiTheme="majorHAnsi" w:hAnsiTheme="majorHAnsi" w:cstheme="majorHAnsi"/>
          <w:sz w:val="24"/>
          <w:szCs w:val="24"/>
          <w:lang w:val="ro-MD"/>
        </w:rPr>
        <w:t>ui</w:t>
      </w:r>
      <w:r w:rsidR="00417E99" w:rsidRPr="00606103">
        <w:rPr>
          <w:rFonts w:asciiTheme="majorHAnsi" w:hAnsiTheme="majorHAnsi" w:cstheme="majorHAnsi"/>
          <w:sz w:val="24"/>
          <w:szCs w:val="24"/>
          <w:lang w:val="ro-MD"/>
        </w:rPr>
        <w:t xml:space="preserve"> de stat </w:t>
      </w:r>
      <w:r w:rsidR="001F41BE" w:rsidRPr="00606103">
        <w:rPr>
          <w:rFonts w:asciiTheme="majorHAnsi" w:hAnsiTheme="majorHAnsi" w:cstheme="majorHAnsi"/>
          <w:sz w:val="24"/>
          <w:szCs w:val="24"/>
          <w:lang w:val="ro-MD"/>
        </w:rPr>
        <w:t>„</w:t>
      </w:r>
      <w:r w:rsidR="00417E99" w:rsidRPr="00606103">
        <w:rPr>
          <w:rFonts w:asciiTheme="majorHAnsi" w:hAnsiTheme="majorHAnsi" w:cstheme="majorHAnsi"/>
          <w:sz w:val="24"/>
          <w:szCs w:val="24"/>
          <w:lang w:val="ro-MD"/>
        </w:rPr>
        <w:t>Prima casă”</w:t>
      </w:r>
      <w:r w:rsidR="00A82512" w:rsidRPr="00606103">
        <w:rPr>
          <w:rFonts w:asciiTheme="majorHAnsi" w:hAnsiTheme="majorHAnsi" w:cstheme="majorHAnsi"/>
          <w:sz w:val="24"/>
          <w:szCs w:val="24"/>
          <w:lang w:val="ro-MD"/>
        </w:rPr>
        <w:t>,</w:t>
      </w:r>
      <w:r w:rsidR="00417E99" w:rsidRPr="00606103">
        <w:rPr>
          <w:rFonts w:asciiTheme="majorHAnsi" w:hAnsiTheme="majorHAnsi" w:cstheme="majorHAnsi"/>
          <w:sz w:val="24"/>
          <w:szCs w:val="24"/>
          <w:lang w:val="ro-MD"/>
        </w:rPr>
        <w:t xml:space="preserve"> au fost repartizate </w:t>
      </w:r>
      <w:r w:rsidR="00925DAC" w:rsidRPr="00606103">
        <w:rPr>
          <w:rFonts w:asciiTheme="majorHAnsi" w:hAnsiTheme="majorHAnsi" w:cstheme="majorHAnsi"/>
          <w:sz w:val="24"/>
          <w:szCs w:val="24"/>
          <w:lang w:val="ro-MD"/>
        </w:rPr>
        <w:t xml:space="preserve">21,1 mil. lei </w:t>
      </w:r>
      <w:r w:rsidR="00EE08E8" w:rsidRPr="00606103">
        <w:rPr>
          <w:rFonts w:asciiTheme="majorHAnsi" w:hAnsiTheme="majorHAnsi" w:cstheme="majorHAnsi"/>
          <w:sz w:val="24"/>
          <w:szCs w:val="24"/>
          <w:lang w:val="ro-MD"/>
        </w:rPr>
        <w:t>din fondul de rezervă a</w:t>
      </w:r>
      <w:r w:rsidR="001F41BE" w:rsidRPr="00606103">
        <w:rPr>
          <w:rFonts w:asciiTheme="majorHAnsi" w:hAnsiTheme="majorHAnsi" w:cstheme="majorHAnsi"/>
          <w:sz w:val="24"/>
          <w:szCs w:val="24"/>
          <w:lang w:val="ro-MD"/>
        </w:rPr>
        <w:t>l</w:t>
      </w:r>
      <w:r w:rsidR="00925DAC" w:rsidRPr="00606103">
        <w:rPr>
          <w:rFonts w:asciiTheme="majorHAnsi" w:hAnsiTheme="majorHAnsi" w:cstheme="majorHAnsi"/>
          <w:sz w:val="24"/>
          <w:szCs w:val="24"/>
          <w:lang w:val="ro-MD"/>
        </w:rPr>
        <w:t xml:space="preserve"> Guvernului</w:t>
      </w:r>
      <w:r w:rsidR="00093C88" w:rsidRPr="00606103">
        <w:rPr>
          <w:rFonts w:asciiTheme="majorHAnsi" w:hAnsiTheme="majorHAnsi" w:cstheme="majorHAnsi"/>
          <w:sz w:val="24"/>
          <w:szCs w:val="24"/>
          <w:lang w:val="ro-MD"/>
        </w:rPr>
        <w:t xml:space="preserve">, deși </w:t>
      </w:r>
      <w:r w:rsidR="00441C56" w:rsidRPr="00606103">
        <w:rPr>
          <w:rFonts w:asciiTheme="majorHAnsi" w:hAnsiTheme="majorHAnsi" w:cstheme="majorHAnsi"/>
          <w:sz w:val="24"/>
          <w:szCs w:val="24"/>
          <w:lang w:val="ro-MD"/>
        </w:rPr>
        <w:t>cheltuielile respective nu întrunesc concomitent toate criteriile de eligibilitate stabilite de cadrul normativ</w:t>
      </w:r>
      <w:r w:rsidR="00441C56" w:rsidRPr="00606103">
        <w:rPr>
          <w:rFonts w:asciiTheme="majorHAnsi" w:hAnsiTheme="majorHAnsi" w:cstheme="majorHAnsi"/>
          <w:sz w:val="24"/>
          <w:szCs w:val="24"/>
          <w:vertAlign w:val="superscript"/>
          <w:lang w:val="ro-MD"/>
        </w:rPr>
        <w:footnoteReference w:id="31"/>
      </w:r>
      <w:r w:rsidR="00F53145" w:rsidRPr="00606103">
        <w:rPr>
          <w:rFonts w:asciiTheme="majorHAnsi" w:hAnsiTheme="majorHAnsi" w:cstheme="majorHAnsi"/>
          <w:sz w:val="24"/>
          <w:szCs w:val="24"/>
          <w:lang w:val="ro-MD"/>
        </w:rPr>
        <w:t>.</w:t>
      </w:r>
    </w:p>
    <w:p w:rsidR="00801660" w:rsidRPr="00606103" w:rsidRDefault="00901911">
      <w:pPr>
        <w:spacing w:after="0" w:line="276" w:lineRule="auto"/>
        <w:rPr>
          <w:rFonts w:asciiTheme="majorHAnsi" w:hAnsiTheme="majorHAnsi" w:cstheme="majorHAnsi"/>
          <w:i/>
          <w:sz w:val="24"/>
          <w:szCs w:val="24"/>
          <w:lang w:val="ro-MD"/>
        </w:rPr>
      </w:pPr>
      <w:r w:rsidRPr="00606103">
        <w:rPr>
          <w:rFonts w:asciiTheme="majorHAnsi" w:hAnsiTheme="majorHAnsi" w:cstheme="majorHAnsi"/>
          <w:sz w:val="24"/>
          <w:szCs w:val="24"/>
          <w:lang w:val="ro-MD"/>
        </w:rPr>
        <w:t>Totodată, auditul menționează că cheltuielile BS p</w:t>
      </w:r>
      <w:r w:rsidR="008325F8" w:rsidRPr="00606103">
        <w:rPr>
          <w:rFonts w:asciiTheme="majorHAnsi" w:hAnsiTheme="majorHAnsi" w:cstheme="majorHAnsi"/>
          <w:sz w:val="24"/>
          <w:szCs w:val="24"/>
          <w:lang w:val="ro-MD"/>
        </w:rPr>
        <w:t>entru programele de compensare, desfășurate</w:t>
      </w:r>
      <w:r w:rsidRPr="00606103">
        <w:rPr>
          <w:rFonts w:asciiTheme="majorHAnsi" w:hAnsiTheme="majorHAnsi" w:cstheme="majorHAnsi"/>
          <w:sz w:val="24"/>
          <w:szCs w:val="24"/>
          <w:lang w:val="ro-MD"/>
        </w:rPr>
        <w:t xml:space="preserve"> în cadrul Proiectului de stat </w:t>
      </w:r>
      <w:r w:rsidR="00A82512" w:rsidRPr="00606103">
        <w:rPr>
          <w:rFonts w:asciiTheme="majorHAnsi" w:hAnsiTheme="majorHAnsi" w:cstheme="majorHAnsi"/>
          <w:sz w:val="24"/>
          <w:szCs w:val="24"/>
          <w:lang w:val="ro-MD"/>
        </w:rPr>
        <w:t>„</w:t>
      </w:r>
      <w:r w:rsidR="008325F8" w:rsidRPr="00606103">
        <w:rPr>
          <w:rFonts w:asciiTheme="majorHAnsi" w:hAnsiTheme="majorHAnsi" w:cstheme="majorHAnsi"/>
          <w:sz w:val="24"/>
          <w:szCs w:val="24"/>
          <w:lang w:val="ro-MD"/>
        </w:rPr>
        <w:t>Prima casă”, au</w:t>
      </w:r>
      <w:r w:rsidRPr="00606103">
        <w:rPr>
          <w:rFonts w:asciiTheme="majorHAnsi" w:hAnsiTheme="majorHAnsi" w:cstheme="majorHAnsi"/>
          <w:sz w:val="24"/>
          <w:szCs w:val="24"/>
          <w:lang w:val="ro-MD"/>
        </w:rPr>
        <w:t xml:space="preserve"> însumat</w:t>
      </w:r>
      <w:r w:rsidR="00E95D93"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51,4 mil</w:t>
      </w:r>
      <w:r w:rsidR="00C556AC" w:rsidRPr="00606103">
        <w:rPr>
          <w:rFonts w:asciiTheme="majorHAnsi" w:hAnsiTheme="majorHAnsi" w:cstheme="majorHAnsi"/>
          <w:sz w:val="24"/>
          <w:szCs w:val="24"/>
          <w:lang w:val="ro-MD"/>
        </w:rPr>
        <w:t>. lei, inclusiv din contul</w:t>
      </w:r>
      <w:r w:rsidRPr="00606103">
        <w:rPr>
          <w:rFonts w:asciiTheme="majorHAnsi" w:hAnsiTheme="majorHAnsi" w:cstheme="majorHAnsi"/>
          <w:sz w:val="24"/>
          <w:szCs w:val="24"/>
          <w:lang w:val="ro-MD"/>
        </w:rPr>
        <w:t xml:space="preserve"> </w:t>
      </w:r>
      <w:r w:rsidR="00C556AC" w:rsidRPr="00606103">
        <w:rPr>
          <w:rFonts w:asciiTheme="majorHAnsi" w:hAnsiTheme="majorHAnsi" w:cstheme="majorHAnsi"/>
          <w:sz w:val="24"/>
          <w:szCs w:val="24"/>
          <w:lang w:val="ro-MD"/>
        </w:rPr>
        <w:t>alocațiilor</w:t>
      </w:r>
      <w:r w:rsidRPr="00606103">
        <w:rPr>
          <w:rFonts w:asciiTheme="majorHAnsi" w:hAnsiTheme="majorHAnsi" w:cstheme="majorHAnsi"/>
          <w:sz w:val="24"/>
          <w:szCs w:val="24"/>
          <w:lang w:val="ro-MD"/>
        </w:rPr>
        <w:t xml:space="preserve"> aprobate</w:t>
      </w:r>
      <w:r w:rsidR="00C556AC" w:rsidRPr="00606103">
        <w:rPr>
          <w:rFonts w:asciiTheme="majorHAnsi" w:hAnsiTheme="majorHAnsi" w:cstheme="majorHAnsi"/>
          <w:sz w:val="24"/>
          <w:szCs w:val="24"/>
          <w:lang w:val="ro-MD"/>
        </w:rPr>
        <w:t xml:space="preserve"> în Legea bugetului de stat</w:t>
      </w:r>
      <w:r w:rsidR="00A82512" w:rsidRPr="00606103">
        <w:rPr>
          <w:rFonts w:asciiTheme="majorHAnsi" w:hAnsiTheme="majorHAnsi" w:cstheme="majorHAnsi"/>
          <w:sz w:val="24"/>
          <w:szCs w:val="24"/>
          <w:lang w:val="ro-MD"/>
        </w:rPr>
        <w:t>, în sumă de</w:t>
      </w:r>
      <w:r w:rsidR="00C556AC" w:rsidRPr="00606103">
        <w:rPr>
          <w:rFonts w:asciiTheme="majorHAnsi" w:hAnsiTheme="majorHAnsi" w:cstheme="majorHAnsi"/>
          <w:sz w:val="24"/>
          <w:szCs w:val="24"/>
          <w:lang w:val="ro-MD"/>
        </w:rPr>
        <w:t xml:space="preserve"> 31,8</w:t>
      </w:r>
      <w:r w:rsidRPr="00606103">
        <w:rPr>
          <w:rFonts w:asciiTheme="majorHAnsi" w:hAnsiTheme="majorHAnsi" w:cstheme="majorHAnsi"/>
          <w:sz w:val="24"/>
          <w:szCs w:val="24"/>
          <w:lang w:val="ro-MD"/>
        </w:rPr>
        <w:t xml:space="preserve"> mil. lei</w:t>
      </w:r>
      <w:r w:rsidR="00A82512"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și din </w:t>
      </w:r>
      <w:r w:rsidR="006819FA" w:rsidRPr="00606103">
        <w:rPr>
          <w:rFonts w:asciiTheme="majorHAnsi" w:hAnsiTheme="majorHAnsi" w:cstheme="majorHAnsi"/>
          <w:sz w:val="24"/>
          <w:szCs w:val="24"/>
          <w:lang w:val="ro-MD"/>
        </w:rPr>
        <w:t>fon</w:t>
      </w:r>
      <w:r w:rsidR="002A4C86" w:rsidRPr="00606103">
        <w:rPr>
          <w:rFonts w:asciiTheme="majorHAnsi" w:hAnsiTheme="majorHAnsi" w:cstheme="majorHAnsi"/>
          <w:sz w:val="24"/>
          <w:szCs w:val="24"/>
          <w:lang w:val="ro-MD"/>
        </w:rPr>
        <w:t>d</w:t>
      </w:r>
      <w:r w:rsidR="006819FA" w:rsidRPr="00606103">
        <w:rPr>
          <w:rFonts w:asciiTheme="majorHAnsi" w:hAnsiTheme="majorHAnsi" w:cstheme="majorHAnsi"/>
          <w:sz w:val="24"/>
          <w:szCs w:val="24"/>
          <w:lang w:val="ro-MD"/>
        </w:rPr>
        <w:t>u</w:t>
      </w:r>
      <w:r w:rsidR="002A4C86" w:rsidRPr="00606103">
        <w:rPr>
          <w:rFonts w:asciiTheme="majorHAnsi" w:hAnsiTheme="majorHAnsi" w:cstheme="majorHAnsi"/>
          <w:sz w:val="24"/>
          <w:szCs w:val="24"/>
          <w:lang w:val="ro-MD"/>
        </w:rPr>
        <w:t xml:space="preserve">l </w:t>
      </w:r>
      <w:r w:rsidR="00C556AC" w:rsidRPr="00606103">
        <w:rPr>
          <w:rFonts w:asciiTheme="majorHAnsi" w:hAnsiTheme="majorHAnsi" w:cstheme="majorHAnsi"/>
          <w:sz w:val="24"/>
          <w:szCs w:val="24"/>
          <w:lang w:val="ro-MD"/>
        </w:rPr>
        <w:t xml:space="preserve">de rezervă </w:t>
      </w:r>
      <w:r w:rsidR="00A82512" w:rsidRPr="00606103">
        <w:rPr>
          <w:rFonts w:asciiTheme="majorHAnsi" w:hAnsiTheme="majorHAnsi" w:cstheme="majorHAnsi"/>
          <w:sz w:val="24"/>
          <w:szCs w:val="24"/>
          <w:lang w:val="ro-MD"/>
        </w:rPr>
        <w:t>–</w:t>
      </w:r>
      <w:r w:rsidR="00EE2A19" w:rsidRPr="00606103">
        <w:rPr>
          <w:rFonts w:asciiTheme="majorHAnsi" w:hAnsiTheme="majorHAnsi" w:cstheme="majorHAnsi"/>
          <w:sz w:val="24"/>
          <w:szCs w:val="24"/>
          <w:lang w:val="ro-MD"/>
        </w:rPr>
        <w:t xml:space="preserve"> </w:t>
      </w:r>
      <w:r w:rsidR="00A82512" w:rsidRPr="00606103">
        <w:rPr>
          <w:rFonts w:asciiTheme="majorHAnsi" w:hAnsiTheme="majorHAnsi" w:cstheme="majorHAnsi"/>
          <w:sz w:val="24"/>
          <w:szCs w:val="24"/>
          <w:lang w:val="ro-MD"/>
        </w:rPr>
        <w:t xml:space="preserve">de </w:t>
      </w:r>
      <w:r w:rsidR="00C556AC" w:rsidRPr="00606103">
        <w:rPr>
          <w:rFonts w:asciiTheme="majorHAnsi" w:hAnsiTheme="majorHAnsi" w:cstheme="majorHAnsi"/>
          <w:sz w:val="24"/>
          <w:szCs w:val="24"/>
          <w:lang w:val="ro-MD"/>
        </w:rPr>
        <w:t>19,6</w:t>
      </w:r>
      <w:r w:rsidR="002A4C86" w:rsidRPr="00606103">
        <w:rPr>
          <w:rFonts w:asciiTheme="majorHAnsi" w:hAnsiTheme="majorHAnsi" w:cstheme="majorHAnsi"/>
          <w:sz w:val="24"/>
          <w:szCs w:val="24"/>
          <w:lang w:val="ro-MD"/>
        </w:rPr>
        <w:t xml:space="preserve"> mil. lei</w:t>
      </w:r>
      <w:r w:rsidR="008325F8" w:rsidRPr="00606103">
        <w:rPr>
          <w:rFonts w:asciiTheme="majorHAnsi" w:hAnsiTheme="majorHAnsi" w:cstheme="majorHAnsi"/>
          <w:sz w:val="24"/>
          <w:szCs w:val="24"/>
          <w:lang w:val="ro-MD"/>
        </w:rPr>
        <w:t xml:space="preserve">. </w:t>
      </w:r>
      <w:r w:rsidR="002A4C86" w:rsidRPr="00606103">
        <w:rPr>
          <w:rFonts w:asciiTheme="majorHAnsi" w:hAnsiTheme="majorHAnsi" w:cstheme="majorHAnsi"/>
          <w:sz w:val="24"/>
          <w:szCs w:val="24"/>
          <w:lang w:val="ro-MD"/>
        </w:rPr>
        <w:t>Motivarea prezentată de MF pentru acordare</w:t>
      </w:r>
      <w:r w:rsidR="008325F8" w:rsidRPr="00606103">
        <w:rPr>
          <w:rFonts w:asciiTheme="majorHAnsi" w:hAnsiTheme="majorHAnsi" w:cstheme="majorHAnsi"/>
          <w:sz w:val="24"/>
          <w:szCs w:val="24"/>
          <w:lang w:val="ro-MD"/>
        </w:rPr>
        <w:t>a alocațiilor din fondul de rezervă</w:t>
      </w:r>
      <w:r w:rsidR="00C556AC" w:rsidRPr="00606103">
        <w:rPr>
          <w:rFonts w:asciiTheme="majorHAnsi" w:hAnsiTheme="majorHAnsi" w:cstheme="majorHAnsi"/>
          <w:sz w:val="24"/>
          <w:szCs w:val="24"/>
          <w:lang w:val="ro-MD"/>
        </w:rPr>
        <w:t xml:space="preserve"> a fost</w:t>
      </w:r>
      <w:r w:rsidR="008325F8" w:rsidRPr="00606103">
        <w:rPr>
          <w:rFonts w:asciiTheme="majorHAnsi" w:hAnsiTheme="majorHAnsi" w:cstheme="majorHAnsi"/>
          <w:sz w:val="24"/>
          <w:szCs w:val="24"/>
          <w:lang w:val="ro-MD"/>
        </w:rPr>
        <w:t xml:space="preserve"> creșterea numărului de beneficia</w:t>
      </w:r>
      <w:r w:rsidR="00C556AC" w:rsidRPr="00606103">
        <w:rPr>
          <w:rFonts w:asciiTheme="majorHAnsi" w:hAnsiTheme="majorHAnsi" w:cstheme="majorHAnsi"/>
          <w:sz w:val="24"/>
          <w:szCs w:val="24"/>
          <w:lang w:val="ro-MD"/>
        </w:rPr>
        <w:t>ri și execut</w:t>
      </w:r>
      <w:r w:rsidR="00A82512" w:rsidRPr="00606103">
        <w:rPr>
          <w:rFonts w:asciiTheme="majorHAnsi" w:hAnsiTheme="majorHAnsi" w:cstheme="majorHAnsi"/>
          <w:sz w:val="24"/>
          <w:szCs w:val="24"/>
          <w:lang w:val="ro-MD"/>
        </w:rPr>
        <w:t>area</w:t>
      </w:r>
      <w:r w:rsidR="002A4C86" w:rsidRPr="00606103">
        <w:rPr>
          <w:rFonts w:asciiTheme="majorHAnsi" w:hAnsiTheme="majorHAnsi" w:cstheme="majorHAnsi"/>
          <w:sz w:val="24"/>
          <w:szCs w:val="24"/>
          <w:lang w:val="ro-MD"/>
        </w:rPr>
        <w:t xml:space="preserve"> integral</w:t>
      </w:r>
      <w:r w:rsidR="00A82512" w:rsidRPr="00606103">
        <w:rPr>
          <w:rFonts w:asciiTheme="majorHAnsi" w:hAnsiTheme="majorHAnsi" w:cstheme="majorHAnsi"/>
          <w:sz w:val="24"/>
          <w:szCs w:val="24"/>
          <w:lang w:val="ro-MD"/>
        </w:rPr>
        <w:t>ă</w:t>
      </w:r>
      <w:r w:rsidR="002A4C86" w:rsidRPr="00606103">
        <w:rPr>
          <w:rFonts w:asciiTheme="majorHAnsi" w:hAnsiTheme="majorHAnsi" w:cstheme="majorHAnsi"/>
          <w:sz w:val="24"/>
          <w:szCs w:val="24"/>
          <w:lang w:val="ro-MD"/>
        </w:rPr>
        <w:t xml:space="preserve"> a alocațiilor aprobate</w:t>
      </w:r>
      <w:r w:rsidR="008325F8" w:rsidRPr="00606103">
        <w:rPr>
          <w:rFonts w:asciiTheme="majorHAnsi" w:hAnsiTheme="majorHAnsi" w:cstheme="majorHAnsi"/>
          <w:sz w:val="24"/>
          <w:szCs w:val="24"/>
          <w:lang w:val="ro-MD"/>
        </w:rPr>
        <w:t xml:space="preserve"> în</w:t>
      </w:r>
      <w:r w:rsidR="0015040C" w:rsidRPr="00606103">
        <w:rPr>
          <w:rFonts w:asciiTheme="majorHAnsi" w:hAnsiTheme="majorHAnsi" w:cstheme="majorHAnsi"/>
          <w:sz w:val="24"/>
          <w:szCs w:val="24"/>
          <w:lang w:val="ro-MD"/>
        </w:rPr>
        <w:t xml:space="preserve"> primele 6 luni ale anului, deși</w:t>
      </w:r>
      <w:r w:rsidR="00236BD7" w:rsidRPr="00606103">
        <w:rPr>
          <w:rFonts w:asciiTheme="majorHAnsi" w:hAnsiTheme="majorHAnsi" w:cstheme="majorHAnsi"/>
          <w:i/>
          <w:sz w:val="24"/>
          <w:szCs w:val="24"/>
          <w:lang w:val="ro-MD"/>
        </w:rPr>
        <w:t xml:space="preserve"> </w:t>
      </w:r>
      <w:r w:rsidR="00236BD7" w:rsidRPr="00606103">
        <w:rPr>
          <w:rFonts w:asciiTheme="majorHAnsi" w:hAnsiTheme="majorHAnsi" w:cstheme="majorHAnsi"/>
          <w:sz w:val="24"/>
          <w:szCs w:val="24"/>
          <w:lang w:val="ro-MD"/>
        </w:rPr>
        <w:t>Legea bugetului de stat</w:t>
      </w:r>
      <w:r w:rsidR="00E95D93" w:rsidRPr="00606103">
        <w:rPr>
          <w:rFonts w:asciiTheme="majorHAnsi" w:hAnsiTheme="majorHAnsi" w:cstheme="majorHAnsi"/>
          <w:sz w:val="24"/>
          <w:szCs w:val="24"/>
          <w:lang w:val="ro-MD"/>
        </w:rPr>
        <w:t xml:space="preserve"> </w:t>
      </w:r>
      <w:r w:rsidR="00236BD7" w:rsidRPr="00606103">
        <w:rPr>
          <w:rFonts w:asciiTheme="majorHAnsi" w:hAnsiTheme="majorHAnsi" w:cstheme="majorHAnsi"/>
          <w:sz w:val="24"/>
          <w:szCs w:val="24"/>
          <w:lang w:val="ro-MD"/>
        </w:rPr>
        <w:t>a fost modificată de 2 ori</w:t>
      </w:r>
      <w:r w:rsidR="00BF3633" w:rsidRPr="00606103">
        <w:rPr>
          <w:rStyle w:val="FootnoteReference"/>
          <w:rFonts w:asciiTheme="majorHAnsi" w:hAnsiTheme="majorHAnsi" w:cstheme="majorHAnsi"/>
          <w:sz w:val="24"/>
          <w:szCs w:val="24"/>
          <w:lang w:val="ro-MD"/>
        </w:rPr>
        <w:footnoteReference w:id="32"/>
      </w:r>
      <w:r w:rsidR="00236BD7" w:rsidRPr="00606103">
        <w:rPr>
          <w:rFonts w:asciiTheme="majorHAnsi" w:hAnsiTheme="majorHAnsi" w:cstheme="majorHAnsi"/>
          <w:sz w:val="24"/>
          <w:szCs w:val="24"/>
          <w:lang w:val="ro-MD"/>
        </w:rPr>
        <w:t xml:space="preserve"> până la aprobarea HG</w:t>
      </w:r>
      <w:r w:rsidR="00A82512" w:rsidRPr="00606103">
        <w:rPr>
          <w:rFonts w:asciiTheme="majorHAnsi" w:hAnsiTheme="majorHAnsi" w:cstheme="majorHAnsi"/>
          <w:sz w:val="24"/>
          <w:szCs w:val="24"/>
          <w:lang w:val="ro-MD"/>
        </w:rPr>
        <w:t xml:space="preserve"> respective</w:t>
      </w:r>
      <w:r w:rsidR="00236BD7" w:rsidRPr="00606103">
        <w:rPr>
          <w:rFonts w:asciiTheme="majorHAnsi" w:hAnsiTheme="majorHAnsi" w:cstheme="majorHAnsi"/>
          <w:sz w:val="24"/>
          <w:szCs w:val="24"/>
          <w:lang w:val="ro-MD"/>
        </w:rPr>
        <w:t>.</w:t>
      </w:r>
      <w:r w:rsidR="00E95D93" w:rsidRPr="00606103">
        <w:rPr>
          <w:rFonts w:asciiTheme="majorHAnsi" w:hAnsiTheme="majorHAnsi" w:cstheme="majorHAnsi"/>
          <w:sz w:val="24"/>
          <w:szCs w:val="24"/>
          <w:lang w:val="ro-MD"/>
        </w:rPr>
        <w:t xml:space="preserve"> </w:t>
      </w:r>
      <w:r w:rsidR="002A4C86" w:rsidRPr="00606103">
        <w:rPr>
          <w:rFonts w:asciiTheme="majorHAnsi" w:hAnsiTheme="majorHAnsi" w:cstheme="majorHAnsi"/>
          <w:sz w:val="24"/>
          <w:szCs w:val="24"/>
          <w:lang w:val="ro-MD"/>
        </w:rPr>
        <w:t xml:space="preserve">Astfel, în anul 2021 </w:t>
      </w:r>
      <w:r w:rsidR="008325F8" w:rsidRPr="00606103">
        <w:rPr>
          <w:rFonts w:asciiTheme="majorHAnsi" w:hAnsiTheme="majorHAnsi" w:cstheme="majorHAnsi"/>
          <w:sz w:val="24"/>
          <w:szCs w:val="24"/>
          <w:lang w:val="ro-MD"/>
        </w:rPr>
        <w:t>au fost acceptate 2</w:t>
      </w:r>
      <w:r w:rsidR="00A82512" w:rsidRPr="00606103">
        <w:rPr>
          <w:rFonts w:asciiTheme="majorHAnsi" w:hAnsiTheme="majorHAnsi" w:cstheme="majorHAnsi"/>
          <w:sz w:val="24"/>
          <w:szCs w:val="24"/>
          <w:lang w:val="ro-MD"/>
        </w:rPr>
        <w:t xml:space="preserve"> </w:t>
      </w:r>
      <w:r w:rsidR="008325F8" w:rsidRPr="00606103">
        <w:rPr>
          <w:rFonts w:asciiTheme="majorHAnsi" w:hAnsiTheme="majorHAnsi" w:cstheme="majorHAnsi"/>
          <w:sz w:val="24"/>
          <w:szCs w:val="24"/>
          <w:lang w:val="ro-MD"/>
        </w:rPr>
        <w:t xml:space="preserve">203 cereri, iar pentru 465 </w:t>
      </w:r>
      <w:r w:rsidR="00A82512" w:rsidRPr="00606103">
        <w:rPr>
          <w:rFonts w:asciiTheme="majorHAnsi" w:hAnsiTheme="majorHAnsi" w:cstheme="majorHAnsi"/>
          <w:sz w:val="24"/>
          <w:szCs w:val="24"/>
          <w:lang w:val="ro-MD"/>
        </w:rPr>
        <w:t xml:space="preserve">de </w:t>
      </w:r>
      <w:r w:rsidR="008325F8" w:rsidRPr="00606103">
        <w:rPr>
          <w:rFonts w:asciiTheme="majorHAnsi" w:hAnsiTheme="majorHAnsi" w:cstheme="majorHAnsi"/>
          <w:sz w:val="24"/>
          <w:szCs w:val="24"/>
          <w:lang w:val="ro-MD"/>
        </w:rPr>
        <w:t xml:space="preserve">beneficiari, cererile de acordare a compensațiilor au </w:t>
      </w:r>
      <w:r w:rsidR="002A4C86" w:rsidRPr="00606103">
        <w:rPr>
          <w:rFonts w:asciiTheme="majorHAnsi" w:hAnsiTheme="majorHAnsi" w:cstheme="majorHAnsi"/>
          <w:sz w:val="24"/>
          <w:szCs w:val="24"/>
          <w:lang w:val="ro-MD"/>
        </w:rPr>
        <w:t>fost respinse/refuzate, fiind</w:t>
      </w:r>
      <w:r w:rsidR="008325F8" w:rsidRPr="00606103">
        <w:rPr>
          <w:rFonts w:asciiTheme="majorHAnsi" w:hAnsiTheme="majorHAnsi" w:cstheme="majorHAnsi"/>
          <w:sz w:val="24"/>
          <w:szCs w:val="24"/>
          <w:lang w:val="ro-MD"/>
        </w:rPr>
        <w:t xml:space="preserve"> încheiate 2</w:t>
      </w:r>
      <w:r w:rsidR="00A82512" w:rsidRPr="00606103">
        <w:rPr>
          <w:rFonts w:asciiTheme="majorHAnsi" w:hAnsiTheme="majorHAnsi" w:cstheme="majorHAnsi"/>
          <w:sz w:val="24"/>
          <w:szCs w:val="24"/>
          <w:lang w:val="ro-MD"/>
        </w:rPr>
        <w:t xml:space="preserve"> </w:t>
      </w:r>
      <w:r w:rsidR="008325F8" w:rsidRPr="00606103">
        <w:rPr>
          <w:rFonts w:asciiTheme="majorHAnsi" w:hAnsiTheme="majorHAnsi" w:cstheme="majorHAnsi"/>
          <w:sz w:val="24"/>
          <w:szCs w:val="24"/>
          <w:lang w:val="ro-MD"/>
        </w:rPr>
        <w:t xml:space="preserve">292 </w:t>
      </w:r>
      <w:r w:rsidR="00A82512" w:rsidRPr="00606103">
        <w:rPr>
          <w:rFonts w:asciiTheme="majorHAnsi" w:hAnsiTheme="majorHAnsi" w:cstheme="majorHAnsi"/>
          <w:sz w:val="24"/>
          <w:szCs w:val="24"/>
          <w:lang w:val="ro-MD"/>
        </w:rPr>
        <w:t xml:space="preserve">de </w:t>
      </w:r>
      <w:r w:rsidR="008325F8" w:rsidRPr="00606103">
        <w:rPr>
          <w:rFonts w:asciiTheme="majorHAnsi" w:hAnsiTheme="majorHAnsi" w:cstheme="majorHAnsi"/>
          <w:sz w:val="24"/>
          <w:szCs w:val="24"/>
          <w:lang w:val="ro-MD"/>
        </w:rPr>
        <w:t>contra</w:t>
      </w:r>
      <w:r w:rsidR="0067382F" w:rsidRPr="00606103">
        <w:rPr>
          <w:rFonts w:asciiTheme="majorHAnsi" w:hAnsiTheme="majorHAnsi" w:cstheme="majorHAnsi"/>
          <w:sz w:val="24"/>
          <w:szCs w:val="24"/>
          <w:lang w:val="ro-MD"/>
        </w:rPr>
        <w:t>cte, în sumă de 1</w:t>
      </w:r>
      <w:r w:rsidR="00BF3633" w:rsidRPr="00606103">
        <w:rPr>
          <w:rFonts w:asciiTheme="majorHAnsi" w:hAnsiTheme="majorHAnsi" w:cstheme="majorHAnsi"/>
          <w:sz w:val="24"/>
          <w:szCs w:val="24"/>
          <w:lang w:val="ro-MD"/>
        </w:rPr>
        <w:t xml:space="preserve"> </w:t>
      </w:r>
      <w:r w:rsidR="0067382F" w:rsidRPr="00606103">
        <w:rPr>
          <w:rFonts w:asciiTheme="majorHAnsi" w:hAnsiTheme="majorHAnsi" w:cstheme="majorHAnsi"/>
          <w:sz w:val="24"/>
          <w:szCs w:val="24"/>
          <w:lang w:val="ro-MD"/>
        </w:rPr>
        <w:t xml:space="preserve">433,6 mil. lei, </w:t>
      </w:r>
      <w:r w:rsidR="0067382F" w:rsidRPr="00606103">
        <w:rPr>
          <w:rFonts w:asciiTheme="majorHAnsi" w:hAnsiTheme="majorHAnsi" w:cstheme="majorHAnsi"/>
          <w:i/>
          <w:sz w:val="24"/>
          <w:szCs w:val="24"/>
          <w:lang w:val="ro-MD"/>
        </w:rPr>
        <w:t>situația fiind prezentată în Tabelul nr. 4</w:t>
      </w:r>
      <w:r w:rsidR="007A7125" w:rsidRPr="00606103">
        <w:rPr>
          <w:rFonts w:asciiTheme="majorHAnsi" w:hAnsiTheme="majorHAnsi" w:cstheme="majorHAnsi"/>
          <w:i/>
          <w:sz w:val="24"/>
          <w:szCs w:val="24"/>
          <w:lang w:val="ro-MD"/>
        </w:rPr>
        <w:t>.</w:t>
      </w:r>
    </w:p>
    <w:p w:rsidR="00801660" w:rsidRPr="00606103" w:rsidRDefault="0067382F">
      <w:pPr>
        <w:spacing w:after="0" w:line="276" w:lineRule="auto"/>
        <w:jc w:val="right"/>
        <w:rPr>
          <w:rFonts w:asciiTheme="majorHAnsi" w:hAnsiTheme="majorHAnsi" w:cstheme="majorHAnsi"/>
          <w:b/>
          <w:i/>
          <w:sz w:val="24"/>
          <w:szCs w:val="24"/>
          <w:lang w:val="ro-MD"/>
        </w:rPr>
      </w:pPr>
      <w:r w:rsidRPr="00606103">
        <w:rPr>
          <w:rFonts w:asciiTheme="majorHAnsi" w:hAnsiTheme="majorHAnsi" w:cstheme="majorHAnsi"/>
          <w:b/>
          <w:i/>
          <w:sz w:val="24"/>
          <w:szCs w:val="24"/>
          <w:lang w:val="ro-MD"/>
        </w:rPr>
        <w:t>Tabelul nr. 4</w:t>
      </w:r>
    </w:p>
    <w:p w:rsidR="00801660" w:rsidRPr="00606103" w:rsidRDefault="00801660">
      <w:pPr>
        <w:spacing w:after="0" w:line="276" w:lineRule="auto"/>
        <w:jc w:val="center"/>
        <w:rPr>
          <w:rFonts w:asciiTheme="majorHAnsi" w:hAnsiTheme="majorHAnsi" w:cstheme="majorHAnsi"/>
          <w:b/>
          <w:sz w:val="24"/>
          <w:szCs w:val="24"/>
          <w:lang w:val="ro-MD"/>
        </w:rPr>
      </w:pPr>
      <w:r w:rsidRPr="00606103">
        <w:rPr>
          <w:rFonts w:asciiTheme="majorHAnsi" w:hAnsiTheme="majorHAnsi" w:cstheme="majorHAnsi"/>
          <w:b/>
          <w:sz w:val="24"/>
          <w:szCs w:val="24"/>
          <w:lang w:val="ro-MD"/>
        </w:rPr>
        <w:t xml:space="preserve">Sinteza repartizării alocațiilor aprobate pentru Programul </w:t>
      </w:r>
      <w:r w:rsidR="00A82512" w:rsidRPr="00606103">
        <w:rPr>
          <w:rFonts w:asciiTheme="majorHAnsi" w:hAnsiTheme="majorHAnsi" w:cstheme="majorHAnsi"/>
          <w:b/>
          <w:sz w:val="24"/>
          <w:szCs w:val="24"/>
          <w:lang w:val="ro-MD"/>
        </w:rPr>
        <w:t>„</w:t>
      </w:r>
      <w:r w:rsidRPr="00606103">
        <w:rPr>
          <w:rFonts w:asciiTheme="majorHAnsi" w:hAnsiTheme="majorHAnsi" w:cstheme="majorHAnsi"/>
          <w:b/>
          <w:sz w:val="24"/>
          <w:szCs w:val="24"/>
          <w:lang w:val="ro-MD"/>
        </w:rPr>
        <w:t>Prima casă” pentru compensații bănești pe categorii de beneficiari în anul 2021</w:t>
      </w:r>
    </w:p>
    <w:p w:rsidR="008325F8" w:rsidRPr="00606103" w:rsidRDefault="007A7125">
      <w:pPr>
        <w:spacing w:after="0" w:line="276" w:lineRule="auto"/>
        <w:jc w:val="right"/>
        <w:rPr>
          <w:rFonts w:asciiTheme="majorHAnsi" w:hAnsiTheme="majorHAnsi" w:cstheme="majorHAnsi"/>
          <w:i/>
          <w:sz w:val="24"/>
          <w:szCs w:val="24"/>
          <w:lang w:val="ro-MD"/>
        </w:rPr>
      </w:pPr>
      <w:r w:rsidRPr="00606103">
        <w:rPr>
          <w:rFonts w:asciiTheme="majorHAnsi" w:hAnsiTheme="majorHAnsi" w:cstheme="majorHAnsi"/>
          <w:i/>
          <w:sz w:val="24"/>
          <w:szCs w:val="24"/>
          <w:lang w:val="ro-MD"/>
        </w:rPr>
        <w:t>(</w:t>
      </w:r>
      <w:r w:rsidR="008325F8" w:rsidRPr="00606103">
        <w:rPr>
          <w:rFonts w:asciiTheme="majorHAnsi" w:hAnsiTheme="majorHAnsi" w:cstheme="majorHAnsi"/>
          <w:i/>
          <w:sz w:val="24"/>
          <w:szCs w:val="24"/>
          <w:lang w:val="ro-MD"/>
        </w:rPr>
        <w:t>mil. lei</w:t>
      </w:r>
      <w:r w:rsidRPr="00606103">
        <w:rPr>
          <w:rFonts w:asciiTheme="majorHAnsi" w:hAnsiTheme="majorHAnsi" w:cstheme="majorHAnsi"/>
          <w:i/>
          <w:sz w:val="24"/>
          <w:szCs w:val="24"/>
          <w:lang w:val="ro-MD"/>
        </w:rPr>
        <w:t>)</w:t>
      </w:r>
    </w:p>
    <w:tbl>
      <w:tblPr>
        <w:tblStyle w:val="TableGrid211"/>
        <w:tblW w:w="9711" w:type="dxa"/>
        <w:jc w:val="center"/>
        <w:tblLook w:val="04A0" w:firstRow="1" w:lastRow="0" w:firstColumn="1" w:lastColumn="0" w:noHBand="0" w:noVBand="1"/>
      </w:tblPr>
      <w:tblGrid>
        <w:gridCol w:w="1696"/>
        <w:gridCol w:w="1418"/>
        <w:gridCol w:w="1939"/>
        <w:gridCol w:w="1251"/>
        <w:gridCol w:w="972"/>
        <w:gridCol w:w="1020"/>
        <w:gridCol w:w="1415"/>
      </w:tblGrid>
      <w:tr w:rsidR="00BF3633" w:rsidRPr="00606103" w:rsidTr="00DD6C38">
        <w:trPr>
          <w:trHeight w:val="517"/>
          <w:jc w:val="center"/>
        </w:trPr>
        <w:tc>
          <w:tcPr>
            <w:tcW w:w="1696" w:type="dxa"/>
            <w:vMerge w:val="restart"/>
            <w:vAlign w:val="center"/>
          </w:tcPr>
          <w:p w:rsidR="00BF3633" w:rsidRPr="00606103" w:rsidRDefault="00BF3633">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Programul</w:t>
            </w:r>
          </w:p>
        </w:tc>
        <w:tc>
          <w:tcPr>
            <w:tcW w:w="1418" w:type="dxa"/>
            <w:vMerge w:val="restart"/>
            <w:vAlign w:val="center"/>
          </w:tcPr>
          <w:p w:rsidR="00BF3633" w:rsidRPr="00606103" w:rsidRDefault="00BF3633">
            <w:pPr>
              <w:pStyle w:val="NoSpacing"/>
              <w:spacing w:line="276" w:lineRule="auto"/>
              <w:jc w:val="center"/>
              <w:rPr>
                <w:rFonts w:asciiTheme="majorHAnsi" w:hAnsiTheme="majorHAnsi" w:cstheme="majorHAnsi"/>
                <w:b/>
                <w:color w:val="000000" w:themeColor="text1"/>
                <w:sz w:val="20"/>
                <w:szCs w:val="20"/>
                <w:lang w:val="ro-MD"/>
              </w:rPr>
            </w:pPr>
            <w:r w:rsidRPr="00606103">
              <w:rPr>
                <w:rFonts w:asciiTheme="majorHAnsi" w:hAnsiTheme="majorHAnsi" w:cstheme="majorHAnsi"/>
                <w:b/>
                <w:color w:val="000000" w:themeColor="text1"/>
                <w:sz w:val="20"/>
                <w:szCs w:val="20"/>
                <w:lang w:val="ro-MD"/>
              </w:rPr>
              <w:t>Numărul de cereri depuse</w:t>
            </w:r>
          </w:p>
        </w:tc>
        <w:tc>
          <w:tcPr>
            <w:tcW w:w="1939" w:type="dxa"/>
            <w:vMerge w:val="restart"/>
            <w:vAlign w:val="center"/>
          </w:tcPr>
          <w:p w:rsidR="00BF3633" w:rsidRPr="00606103" w:rsidRDefault="00BF3633">
            <w:pPr>
              <w:pStyle w:val="NoSpacing"/>
              <w:spacing w:line="276" w:lineRule="auto"/>
              <w:jc w:val="center"/>
              <w:rPr>
                <w:rFonts w:asciiTheme="majorHAnsi" w:hAnsiTheme="majorHAnsi" w:cstheme="majorHAnsi"/>
                <w:b/>
                <w:color w:val="000000" w:themeColor="text1"/>
                <w:sz w:val="20"/>
                <w:szCs w:val="20"/>
                <w:lang w:val="ro-MD"/>
              </w:rPr>
            </w:pPr>
            <w:r w:rsidRPr="00606103">
              <w:rPr>
                <w:rFonts w:asciiTheme="majorHAnsi" w:hAnsiTheme="majorHAnsi" w:cstheme="majorHAnsi"/>
                <w:b/>
                <w:color w:val="000000" w:themeColor="text1"/>
                <w:sz w:val="20"/>
                <w:szCs w:val="20"/>
                <w:lang w:val="ro-MD"/>
              </w:rPr>
              <w:t>Numărul de beneficiari acceptați</w:t>
            </w:r>
          </w:p>
        </w:tc>
        <w:tc>
          <w:tcPr>
            <w:tcW w:w="1251" w:type="dxa"/>
            <w:vMerge w:val="restart"/>
          </w:tcPr>
          <w:p w:rsidR="00BF3633" w:rsidRPr="00606103" w:rsidRDefault="00BF3633">
            <w:pPr>
              <w:pStyle w:val="NoSpacing"/>
              <w:spacing w:line="276" w:lineRule="auto"/>
              <w:jc w:val="center"/>
              <w:rPr>
                <w:rFonts w:asciiTheme="majorHAnsi" w:hAnsiTheme="majorHAnsi" w:cstheme="majorHAnsi"/>
                <w:b/>
                <w:color w:val="000000" w:themeColor="text1"/>
                <w:sz w:val="20"/>
                <w:szCs w:val="20"/>
                <w:lang w:val="ro-MD"/>
              </w:rPr>
            </w:pPr>
            <w:r w:rsidRPr="00606103">
              <w:rPr>
                <w:rFonts w:asciiTheme="majorHAnsi" w:hAnsiTheme="majorHAnsi" w:cstheme="majorHAnsi"/>
                <w:b/>
                <w:color w:val="000000" w:themeColor="text1"/>
                <w:sz w:val="20"/>
                <w:szCs w:val="20"/>
                <w:lang w:val="ro-MD"/>
              </w:rPr>
              <w:t>Numărul de beneficiari refuzați</w:t>
            </w:r>
          </w:p>
        </w:tc>
        <w:tc>
          <w:tcPr>
            <w:tcW w:w="1992" w:type="dxa"/>
            <w:gridSpan w:val="2"/>
            <w:vAlign w:val="center"/>
          </w:tcPr>
          <w:p w:rsidR="00BF3633" w:rsidRPr="00606103" w:rsidRDefault="00BF3633">
            <w:pPr>
              <w:pStyle w:val="NoSpacing"/>
              <w:spacing w:line="276" w:lineRule="auto"/>
              <w:jc w:val="center"/>
              <w:rPr>
                <w:rFonts w:asciiTheme="majorHAnsi" w:hAnsiTheme="majorHAnsi" w:cstheme="majorHAnsi"/>
                <w:b/>
                <w:color w:val="000000" w:themeColor="text1"/>
                <w:sz w:val="20"/>
                <w:szCs w:val="20"/>
                <w:lang w:val="ro-MD"/>
              </w:rPr>
            </w:pPr>
            <w:r w:rsidRPr="00606103">
              <w:rPr>
                <w:rFonts w:asciiTheme="majorHAnsi" w:hAnsiTheme="majorHAnsi" w:cstheme="majorHAnsi"/>
                <w:b/>
                <w:color w:val="000000" w:themeColor="text1"/>
                <w:sz w:val="20"/>
                <w:szCs w:val="20"/>
                <w:lang w:val="ro-MD"/>
              </w:rPr>
              <w:t>Contracte încheiate</w:t>
            </w:r>
          </w:p>
        </w:tc>
        <w:tc>
          <w:tcPr>
            <w:tcW w:w="1415" w:type="dxa"/>
            <w:vMerge w:val="restart"/>
            <w:vAlign w:val="center"/>
          </w:tcPr>
          <w:p w:rsidR="00BF3633" w:rsidRPr="00606103" w:rsidRDefault="00BF3633">
            <w:pPr>
              <w:pStyle w:val="NoSpacing"/>
              <w:spacing w:line="276" w:lineRule="auto"/>
              <w:jc w:val="center"/>
              <w:rPr>
                <w:rFonts w:asciiTheme="majorHAnsi" w:hAnsiTheme="majorHAnsi" w:cstheme="majorHAnsi"/>
                <w:b/>
                <w:color w:val="000000" w:themeColor="text1"/>
                <w:sz w:val="20"/>
                <w:szCs w:val="20"/>
                <w:lang w:val="ro-MD"/>
              </w:rPr>
            </w:pPr>
            <w:r w:rsidRPr="00606103">
              <w:rPr>
                <w:rFonts w:asciiTheme="majorHAnsi" w:hAnsiTheme="majorHAnsi" w:cstheme="majorHAnsi"/>
                <w:b/>
                <w:color w:val="000000" w:themeColor="text1"/>
                <w:sz w:val="20"/>
                <w:szCs w:val="20"/>
                <w:lang w:val="ro-MD"/>
              </w:rPr>
              <w:t>Suma compensațiilor acordate</w:t>
            </w:r>
          </w:p>
        </w:tc>
      </w:tr>
      <w:tr w:rsidR="00BF3633" w:rsidRPr="00606103" w:rsidTr="00DD6C38">
        <w:trPr>
          <w:trHeight w:val="234"/>
          <w:jc w:val="center"/>
        </w:trPr>
        <w:tc>
          <w:tcPr>
            <w:tcW w:w="1696" w:type="dxa"/>
            <w:vMerge/>
            <w:vAlign w:val="center"/>
          </w:tcPr>
          <w:p w:rsidR="00BF3633" w:rsidRPr="00606103" w:rsidRDefault="00BF3633">
            <w:pPr>
              <w:pStyle w:val="NoSpacing"/>
              <w:spacing w:line="276" w:lineRule="auto"/>
              <w:jc w:val="center"/>
              <w:rPr>
                <w:rFonts w:asciiTheme="majorHAnsi" w:hAnsiTheme="majorHAnsi" w:cstheme="majorHAnsi"/>
                <w:color w:val="000000" w:themeColor="text1"/>
                <w:sz w:val="20"/>
                <w:szCs w:val="20"/>
                <w:lang w:val="ro-MD"/>
              </w:rPr>
            </w:pPr>
          </w:p>
        </w:tc>
        <w:tc>
          <w:tcPr>
            <w:tcW w:w="1418" w:type="dxa"/>
            <w:vMerge/>
            <w:vAlign w:val="center"/>
          </w:tcPr>
          <w:p w:rsidR="00BF3633" w:rsidRPr="00606103" w:rsidRDefault="00BF3633">
            <w:pPr>
              <w:pStyle w:val="NoSpacing"/>
              <w:spacing w:line="276" w:lineRule="auto"/>
              <w:jc w:val="center"/>
              <w:rPr>
                <w:rFonts w:asciiTheme="majorHAnsi" w:hAnsiTheme="majorHAnsi" w:cstheme="majorHAnsi"/>
                <w:color w:val="000000" w:themeColor="text1"/>
                <w:sz w:val="20"/>
                <w:szCs w:val="20"/>
                <w:lang w:val="ro-MD"/>
              </w:rPr>
            </w:pPr>
          </w:p>
        </w:tc>
        <w:tc>
          <w:tcPr>
            <w:tcW w:w="1939" w:type="dxa"/>
            <w:vMerge/>
            <w:vAlign w:val="center"/>
          </w:tcPr>
          <w:p w:rsidR="00BF3633" w:rsidRPr="00606103" w:rsidRDefault="00BF3633">
            <w:pPr>
              <w:pStyle w:val="NoSpacing"/>
              <w:spacing w:line="276" w:lineRule="auto"/>
              <w:jc w:val="center"/>
              <w:rPr>
                <w:rFonts w:asciiTheme="majorHAnsi" w:hAnsiTheme="majorHAnsi" w:cstheme="majorHAnsi"/>
                <w:color w:val="000000" w:themeColor="text1"/>
                <w:sz w:val="20"/>
                <w:szCs w:val="20"/>
                <w:lang w:val="ro-MD"/>
              </w:rPr>
            </w:pPr>
          </w:p>
        </w:tc>
        <w:tc>
          <w:tcPr>
            <w:tcW w:w="1251" w:type="dxa"/>
            <w:vMerge/>
          </w:tcPr>
          <w:p w:rsidR="00BF3633" w:rsidRPr="00606103" w:rsidRDefault="00BF3633">
            <w:pPr>
              <w:pStyle w:val="NoSpacing"/>
              <w:spacing w:line="276" w:lineRule="auto"/>
              <w:jc w:val="center"/>
              <w:rPr>
                <w:rFonts w:asciiTheme="majorHAnsi" w:hAnsiTheme="majorHAnsi" w:cstheme="majorHAnsi"/>
                <w:b/>
                <w:color w:val="000000" w:themeColor="text1"/>
                <w:sz w:val="20"/>
                <w:szCs w:val="20"/>
                <w:lang w:val="ro-MD"/>
              </w:rPr>
            </w:pPr>
          </w:p>
        </w:tc>
        <w:tc>
          <w:tcPr>
            <w:tcW w:w="972" w:type="dxa"/>
            <w:vAlign w:val="center"/>
          </w:tcPr>
          <w:p w:rsidR="00BF3633" w:rsidRPr="00606103" w:rsidRDefault="00BF3633">
            <w:pPr>
              <w:pStyle w:val="NoSpacing"/>
              <w:spacing w:line="276" w:lineRule="auto"/>
              <w:jc w:val="center"/>
              <w:rPr>
                <w:rFonts w:asciiTheme="majorHAnsi" w:hAnsiTheme="majorHAnsi" w:cstheme="majorHAnsi"/>
                <w:b/>
                <w:color w:val="000000" w:themeColor="text1"/>
                <w:sz w:val="20"/>
                <w:szCs w:val="20"/>
                <w:lang w:val="ro-MD"/>
              </w:rPr>
            </w:pPr>
            <w:r w:rsidRPr="00606103">
              <w:rPr>
                <w:rFonts w:asciiTheme="majorHAnsi" w:hAnsiTheme="majorHAnsi" w:cstheme="majorHAnsi"/>
                <w:b/>
                <w:color w:val="000000" w:themeColor="text1"/>
                <w:sz w:val="20"/>
                <w:szCs w:val="20"/>
                <w:lang w:val="ro-MD"/>
              </w:rPr>
              <w:t>Număr</w:t>
            </w:r>
          </w:p>
        </w:tc>
        <w:tc>
          <w:tcPr>
            <w:tcW w:w="1020" w:type="dxa"/>
            <w:vAlign w:val="center"/>
          </w:tcPr>
          <w:p w:rsidR="00BF3633" w:rsidRPr="00606103" w:rsidRDefault="00BF3633">
            <w:pPr>
              <w:pStyle w:val="NoSpacing"/>
              <w:spacing w:line="276" w:lineRule="auto"/>
              <w:jc w:val="center"/>
              <w:rPr>
                <w:rFonts w:asciiTheme="majorHAnsi" w:hAnsiTheme="majorHAnsi" w:cstheme="majorHAnsi"/>
                <w:b/>
                <w:color w:val="000000" w:themeColor="text1"/>
                <w:sz w:val="20"/>
                <w:szCs w:val="20"/>
                <w:lang w:val="ro-MD"/>
              </w:rPr>
            </w:pPr>
            <w:r w:rsidRPr="00606103">
              <w:rPr>
                <w:rFonts w:asciiTheme="majorHAnsi" w:hAnsiTheme="majorHAnsi" w:cstheme="majorHAnsi"/>
                <w:b/>
                <w:color w:val="000000" w:themeColor="text1"/>
                <w:sz w:val="20"/>
                <w:szCs w:val="20"/>
                <w:lang w:val="ro-MD"/>
              </w:rPr>
              <w:t>Suma</w:t>
            </w:r>
          </w:p>
        </w:tc>
        <w:tc>
          <w:tcPr>
            <w:tcW w:w="1415" w:type="dxa"/>
            <w:vMerge/>
            <w:vAlign w:val="center"/>
          </w:tcPr>
          <w:p w:rsidR="00BF3633" w:rsidRPr="00606103" w:rsidRDefault="00BF3633">
            <w:pPr>
              <w:pStyle w:val="NoSpacing"/>
              <w:spacing w:line="276" w:lineRule="auto"/>
              <w:jc w:val="center"/>
              <w:rPr>
                <w:rFonts w:asciiTheme="majorHAnsi" w:hAnsiTheme="majorHAnsi" w:cstheme="majorHAnsi"/>
                <w:color w:val="000000" w:themeColor="text1"/>
                <w:sz w:val="20"/>
                <w:szCs w:val="20"/>
                <w:lang w:val="ro-MD"/>
              </w:rPr>
            </w:pPr>
          </w:p>
        </w:tc>
      </w:tr>
      <w:tr w:rsidR="007760CE" w:rsidRPr="00606103" w:rsidTr="00DD6C38">
        <w:trPr>
          <w:trHeight w:val="227"/>
          <w:jc w:val="center"/>
        </w:trPr>
        <w:tc>
          <w:tcPr>
            <w:tcW w:w="1696" w:type="dxa"/>
          </w:tcPr>
          <w:p w:rsidR="007760CE" w:rsidRPr="00606103" w:rsidRDefault="007760CE" w:rsidP="00FE3F3B">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Prima casă 2</w:t>
            </w:r>
          </w:p>
        </w:tc>
        <w:tc>
          <w:tcPr>
            <w:tcW w:w="1418"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639</w:t>
            </w:r>
          </w:p>
        </w:tc>
        <w:tc>
          <w:tcPr>
            <w:tcW w:w="1939"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509</w:t>
            </w:r>
          </w:p>
        </w:tc>
        <w:tc>
          <w:tcPr>
            <w:tcW w:w="1251"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130</w:t>
            </w:r>
          </w:p>
        </w:tc>
        <w:tc>
          <w:tcPr>
            <w:tcW w:w="972" w:type="dxa"/>
            <w:vMerge w:val="restart"/>
          </w:tcPr>
          <w:p w:rsidR="007760CE" w:rsidRPr="00606103" w:rsidRDefault="007760CE">
            <w:pPr>
              <w:pStyle w:val="NoSpacing"/>
              <w:spacing w:line="276" w:lineRule="auto"/>
              <w:jc w:val="center"/>
              <w:rPr>
                <w:rFonts w:asciiTheme="majorHAnsi" w:hAnsiTheme="majorHAnsi" w:cstheme="majorHAnsi"/>
                <w:sz w:val="20"/>
                <w:szCs w:val="20"/>
                <w:lang w:val="ro-MD"/>
              </w:rPr>
            </w:pPr>
          </w:p>
        </w:tc>
        <w:tc>
          <w:tcPr>
            <w:tcW w:w="1020" w:type="dxa"/>
            <w:vMerge w:val="restart"/>
          </w:tcPr>
          <w:p w:rsidR="007760CE" w:rsidRPr="00606103" w:rsidRDefault="007760CE">
            <w:pPr>
              <w:pStyle w:val="NoSpacing"/>
              <w:spacing w:line="276" w:lineRule="auto"/>
              <w:jc w:val="center"/>
              <w:rPr>
                <w:rFonts w:asciiTheme="majorHAnsi" w:hAnsiTheme="majorHAnsi" w:cstheme="majorHAnsi"/>
                <w:sz w:val="20"/>
                <w:szCs w:val="20"/>
                <w:lang w:val="ro-MD"/>
              </w:rPr>
            </w:pPr>
          </w:p>
        </w:tc>
        <w:tc>
          <w:tcPr>
            <w:tcW w:w="1415"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9,5</w:t>
            </w:r>
          </w:p>
        </w:tc>
      </w:tr>
      <w:tr w:rsidR="007760CE" w:rsidRPr="00606103" w:rsidTr="00DD6C38">
        <w:trPr>
          <w:trHeight w:val="233"/>
          <w:jc w:val="center"/>
        </w:trPr>
        <w:tc>
          <w:tcPr>
            <w:tcW w:w="1696" w:type="dxa"/>
          </w:tcPr>
          <w:p w:rsidR="007760CE" w:rsidRPr="00606103" w:rsidRDefault="007760CE" w:rsidP="00FE3F3B">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Prima casă 3</w:t>
            </w:r>
          </w:p>
        </w:tc>
        <w:tc>
          <w:tcPr>
            <w:tcW w:w="1418"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1 263</w:t>
            </w:r>
          </w:p>
        </w:tc>
        <w:tc>
          <w:tcPr>
            <w:tcW w:w="1939"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1 075</w:t>
            </w:r>
          </w:p>
        </w:tc>
        <w:tc>
          <w:tcPr>
            <w:tcW w:w="1251"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188</w:t>
            </w:r>
          </w:p>
        </w:tc>
        <w:tc>
          <w:tcPr>
            <w:tcW w:w="972" w:type="dxa"/>
            <w:vMerge/>
          </w:tcPr>
          <w:p w:rsidR="007760CE" w:rsidRPr="00606103" w:rsidRDefault="007760CE">
            <w:pPr>
              <w:pStyle w:val="NoSpacing"/>
              <w:spacing w:line="276" w:lineRule="auto"/>
              <w:jc w:val="center"/>
              <w:rPr>
                <w:rFonts w:asciiTheme="majorHAnsi" w:hAnsiTheme="majorHAnsi" w:cstheme="majorHAnsi"/>
                <w:sz w:val="20"/>
                <w:szCs w:val="20"/>
                <w:lang w:val="ro-MD"/>
              </w:rPr>
            </w:pPr>
          </w:p>
        </w:tc>
        <w:tc>
          <w:tcPr>
            <w:tcW w:w="1020" w:type="dxa"/>
            <w:vMerge/>
          </w:tcPr>
          <w:p w:rsidR="007760CE" w:rsidRPr="00606103" w:rsidRDefault="007760CE">
            <w:pPr>
              <w:pStyle w:val="NoSpacing"/>
              <w:spacing w:line="276" w:lineRule="auto"/>
              <w:jc w:val="center"/>
              <w:rPr>
                <w:rFonts w:asciiTheme="majorHAnsi" w:hAnsiTheme="majorHAnsi" w:cstheme="majorHAnsi"/>
                <w:sz w:val="20"/>
                <w:szCs w:val="20"/>
                <w:lang w:val="ro-MD"/>
              </w:rPr>
            </w:pPr>
          </w:p>
        </w:tc>
        <w:tc>
          <w:tcPr>
            <w:tcW w:w="1415"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34,8</w:t>
            </w:r>
          </w:p>
        </w:tc>
      </w:tr>
      <w:tr w:rsidR="007760CE" w:rsidRPr="00606103" w:rsidTr="00DD6C38">
        <w:trPr>
          <w:trHeight w:val="227"/>
          <w:jc w:val="center"/>
        </w:trPr>
        <w:tc>
          <w:tcPr>
            <w:tcW w:w="1696" w:type="dxa"/>
          </w:tcPr>
          <w:p w:rsidR="007760CE" w:rsidRPr="00606103" w:rsidRDefault="007760CE" w:rsidP="00FE3F3B">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Prima casă 4</w:t>
            </w:r>
          </w:p>
        </w:tc>
        <w:tc>
          <w:tcPr>
            <w:tcW w:w="1418"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739</w:t>
            </w:r>
          </w:p>
        </w:tc>
        <w:tc>
          <w:tcPr>
            <w:tcW w:w="1939"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613</w:t>
            </w:r>
          </w:p>
        </w:tc>
        <w:tc>
          <w:tcPr>
            <w:tcW w:w="1251"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126</w:t>
            </w:r>
          </w:p>
        </w:tc>
        <w:tc>
          <w:tcPr>
            <w:tcW w:w="972" w:type="dxa"/>
            <w:vMerge/>
          </w:tcPr>
          <w:p w:rsidR="007760CE" w:rsidRPr="00606103" w:rsidRDefault="007760CE">
            <w:pPr>
              <w:pStyle w:val="NoSpacing"/>
              <w:spacing w:line="276" w:lineRule="auto"/>
              <w:jc w:val="center"/>
              <w:rPr>
                <w:rFonts w:asciiTheme="majorHAnsi" w:hAnsiTheme="majorHAnsi" w:cstheme="majorHAnsi"/>
                <w:sz w:val="20"/>
                <w:szCs w:val="20"/>
                <w:lang w:val="ro-MD"/>
              </w:rPr>
            </w:pPr>
          </w:p>
        </w:tc>
        <w:tc>
          <w:tcPr>
            <w:tcW w:w="1020" w:type="dxa"/>
            <w:vMerge/>
          </w:tcPr>
          <w:p w:rsidR="007760CE" w:rsidRPr="00606103" w:rsidRDefault="007760CE">
            <w:pPr>
              <w:pStyle w:val="NoSpacing"/>
              <w:spacing w:line="276" w:lineRule="auto"/>
              <w:jc w:val="center"/>
              <w:rPr>
                <w:rFonts w:asciiTheme="majorHAnsi" w:hAnsiTheme="majorHAnsi" w:cstheme="majorHAnsi"/>
                <w:sz w:val="20"/>
                <w:szCs w:val="20"/>
                <w:lang w:val="ro-MD"/>
              </w:rPr>
            </w:pPr>
          </w:p>
        </w:tc>
        <w:tc>
          <w:tcPr>
            <w:tcW w:w="1415"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7,1</w:t>
            </w:r>
          </w:p>
        </w:tc>
      </w:tr>
      <w:tr w:rsidR="007760CE" w:rsidRPr="00606103" w:rsidTr="00DD6C38">
        <w:trPr>
          <w:trHeight w:val="227"/>
          <w:jc w:val="center"/>
        </w:trPr>
        <w:tc>
          <w:tcPr>
            <w:tcW w:w="1696" w:type="dxa"/>
          </w:tcPr>
          <w:p w:rsidR="007760CE" w:rsidRPr="00606103" w:rsidRDefault="007760CE" w:rsidP="00FE3F3B">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Prima casă 5</w:t>
            </w:r>
          </w:p>
        </w:tc>
        <w:tc>
          <w:tcPr>
            <w:tcW w:w="1418"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27</w:t>
            </w:r>
          </w:p>
        </w:tc>
        <w:tc>
          <w:tcPr>
            <w:tcW w:w="1939"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6</w:t>
            </w:r>
          </w:p>
        </w:tc>
        <w:tc>
          <w:tcPr>
            <w:tcW w:w="1251"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21</w:t>
            </w:r>
          </w:p>
        </w:tc>
        <w:tc>
          <w:tcPr>
            <w:tcW w:w="972" w:type="dxa"/>
            <w:vMerge/>
          </w:tcPr>
          <w:p w:rsidR="007760CE" w:rsidRPr="00606103" w:rsidRDefault="007760CE">
            <w:pPr>
              <w:pStyle w:val="NoSpacing"/>
              <w:spacing w:line="276" w:lineRule="auto"/>
              <w:jc w:val="center"/>
              <w:rPr>
                <w:rFonts w:asciiTheme="majorHAnsi" w:hAnsiTheme="majorHAnsi" w:cstheme="majorHAnsi"/>
                <w:sz w:val="20"/>
                <w:szCs w:val="20"/>
                <w:lang w:val="ro-MD"/>
              </w:rPr>
            </w:pPr>
          </w:p>
        </w:tc>
        <w:tc>
          <w:tcPr>
            <w:tcW w:w="1020" w:type="dxa"/>
            <w:vMerge/>
          </w:tcPr>
          <w:p w:rsidR="007760CE" w:rsidRPr="00606103" w:rsidRDefault="007760CE">
            <w:pPr>
              <w:pStyle w:val="NoSpacing"/>
              <w:spacing w:line="276" w:lineRule="auto"/>
              <w:jc w:val="center"/>
              <w:rPr>
                <w:rFonts w:asciiTheme="majorHAnsi" w:hAnsiTheme="majorHAnsi" w:cstheme="majorHAnsi"/>
                <w:sz w:val="20"/>
                <w:szCs w:val="20"/>
                <w:lang w:val="ro-MD"/>
              </w:rPr>
            </w:pPr>
          </w:p>
        </w:tc>
        <w:tc>
          <w:tcPr>
            <w:tcW w:w="1415" w:type="dxa"/>
          </w:tcPr>
          <w:p w:rsidR="007760CE" w:rsidRPr="00606103" w:rsidRDefault="007760CE">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0,01</w:t>
            </w:r>
          </w:p>
        </w:tc>
      </w:tr>
      <w:tr w:rsidR="008325F8" w:rsidRPr="00606103" w:rsidTr="00DD6C38">
        <w:trPr>
          <w:trHeight w:val="227"/>
          <w:jc w:val="center"/>
        </w:trPr>
        <w:tc>
          <w:tcPr>
            <w:tcW w:w="1696" w:type="dxa"/>
          </w:tcPr>
          <w:p w:rsidR="008325F8" w:rsidRPr="00606103" w:rsidRDefault="008325F8" w:rsidP="00FE3F3B">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Total, inclusiv:</w:t>
            </w:r>
          </w:p>
        </w:tc>
        <w:tc>
          <w:tcPr>
            <w:tcW w:w="1418" w:type="dxa"/>
          </w:tcPr>
          <w:p w:rsidR="008325F8" w:rsidRPr="00606103" w:rsidRDefault="008325F8">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2 668</w:t>
            </w:r>
          </w:p>
        </w:tc>
        <w:tc>
          <w:tcPr>
            <w:tcW w:w="1939" w:type="dxa"/>
          </w:tcPr>
          <w:p w:rsidR="008325F8" w:rsidRPr="00606103" w:rsidRDefault="008325F8">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2 203</w:t>
            </w:r>
          </w:p>
        </w:tc>
        <w:tc>
          <w:tcPr>
            <w:tcW w:w="1251" w:type="dxa"/>
          </w:tcPr>
          <w:p w:rsidR="008325F8" w:rsidRPr="00606103" w:rsidRDefault="008325F8">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465</w:t>
            </w:r>
          </w:p>
        </w:tc>
        <w:tc>
          <w:tcPr>
            <w:tcW w:w="972" w:type="dxa"/>
          </w:tcPr>
          <w:p w:rsidR="008325F8" w:rsidRPr="00606103" w:rsidRDefault="008325F8">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2 292</w:t>
            </w:r>
          </w:p>
        </w:tc>
        <w:tc>
          <w:tcPr>
            <w:tcW w:w="1020" w:type="dxa"/>
          </w:tcPr>
          <w:p w:rsidR="008325F8" w:rsidRPr="00606103" w:rsidRDefault="00992F65">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1 433,6</w:t>
            </w:r>
          </w:p>
        </w:tc>
        <w:tc>
          <w:tcPr>
            <w:tcW w:w="1415" w:type="dxa"/>
          </w:tcPr>
          <w:p w:rsidR="008325F8" w:rsidRPr="00606103" w:rsidRDefault="008325F8">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51,4</w:t>
            </w:r>
          </w:p>
        </w:tc>
      </w:tr>
    </w:tbl>
    <w:p w:rsidR="008325F8" w:rsidRPr="00606103" w:rsidRDefault="007760CE" w:rsidP="00FE3F3B">
      <w:pPr>
        <w:spacing w:line="276" w:lineRule="auto"/>
        <w:rPr>
          <w:rFonts w:asciiTheme="majorHAnsi" w:hAnsiTheme="majorHAnsi" w:cstheme="majorHAnsi"/>
          <w:i/>
          <w:sz w:val="18"/>
          <w:szCs w:val="18"/>
          <w:lang w:val="ro-MD"/>
        </w:rPr>
      </w:pPr>
      <w:r w:rsidRPr="00606103">
        <w:rPr>
          <w:rFonts w:asciiTheme="majorHAnsi" w:eastAsia="Times New Roman" w:hAnsiTheme="majorHAnsi" w:cstheme="majorHAnsi"/>
          <w:b/>
          <w:i/>
          <w:sz w:val="18"/>
          <w:szCs w:val="18"/>
          <w:lang w:val="ro-MD"/>
        </w:rPr>
        <w:t>Sursă</w:t>
      </w:r>
      <w:r w:rsidR="008325F8" w:rsidRPr="00606103">
        <w:rPr>
          <w:rFonts w:asciiTheme="majorHAnsi" w:eastAsia="Times New Roman" w:hAnsiTheme="majorHAnsi" w:cstheme="majorHAnsi"/>
          <w:b/>
          <w:i/>
          <w:sz w:val="18"/>
          <w:szCs w:val="18"/>
          <w:lang w:val="ro-MD"/>
        </w:rPr>
        <w:t>:</w:t>
      </w:r>
      <w:r w:rsidR="008325F8" w:rsidRPr="00606103">
        <w:rPr>
          <w:rFonts w:asciiTheme="majorHAnsi" w:eastAsia="Times New Roman" w:hAnsiTheme="majorHAnsi" w:cstheme="majorHAnsi"/>
          <w:i/>
          <w:sz w:val="18"/>
          <w:szCs w:val="18"/>
          <w:lang w:val="ro-MD"/>
        </w:rPr>
        <w:t xml:space="preserve"> Informați</w:t>
      </w:r>
      <w:r w:rsidR="00A82512" w:rsidRPr="00606103">
        <w:rPr>
          <w:rFonts w:asciiTheme="majorHAnsi" w:eastAsia="Times New Roman" w:hAnsiTheme="majorHAnsi" w:cstheme="majorHAnsi"/>
          <w:i/>
          <w:sz w:val="18"/>
          <w:szCs w:val="18"/>
          <w:lang w:val="ro-MD"/>
        </w:rPr>
        <w:t>i</w:t>
      </w:r>
      <w:r w:rsidR="008325F8" w:rsidRPr="00606103">
        <w:rPr>
          <w:rFonts w:asciiTheme="majorHAnsi" w:eastAsia="Times New Roman" w:hAnsiTheme="majorHAnsi" w:cstheme="majorHAnsi"/>
          <w:i/>
          <w:sz w:val="18"/>
          <w:szCs w:val="18"/>
          <w:lang w:val="ro-MD"/>
        </w:rPr>
        <w:t xml:space="preserve"> prezentat</w:t>
      </w:r>
      <w:r w:rsidR="00A82512" w:rsidRPr="00606103">
        <w:rPr>
          <w:rFonts w:asciiTheme="majorHAnsi" w:eastAsia="Times New Roman" w:hAnsiTheme="majorHAnsi" w:cstheme="majorHAnsi"/>
          <w:i/>
          <w:sz w:val="18"/>
          <w:szCs w:val="18"/>
          <w:lang w:val="ro-MD"/>
        </w:rPr>
        <w:t>e</w:t>
      </w:r>
      <w:r w:rsidR="0067382F" w:rsidRPr="00606103">
        <w:rPr>
          <w:rFonts w:asciiTheme="majorHAnsi" w:eastAsia="Times New Roman" w:hAnsiTheme="majorHAnsi" w:cstheme="majorHAnsi"/>
          <w:i/>
          <w:sz w:val="18"/>
          <w:szCs w:val="18"/>
          <w:lang w:val="ro-MD"/>
        </w:rPr>
        <w:t xml:space="preserve"> de Ministerul Finanțelor, la solicitarea echipei de audit.</w:t>
      </w:r>
    </w:p>
    <w:p w:rsidR="00A67B0A" w:rsidRDefault="008325F8">
      <w:pPr>
        <w:spacing w:line="276" w:lineRule="auto"/>
        <w:rPr>
          <w:rFonts w:asciiTheme="majorHAnsi" w:hAnsiTheme="majorHAnsi" w:cstheme="majorHAnsi"/>
          <w:sz w:val="24"/>
          <w:szCs w:val="24"/>
          <w:lang w:val="ro-MD" w:eastAsia="ru-RU"/>
        </w:rPr>
      </w:pPr>
      <w:r w:rsidRPr="00606103">
        <w:rPr>
          <w:rFonts w:asciiTheme="majorHAnsi" w:hAnsiTheme="majorHAnsi" w:cstheme="majorHAnsi"/>
          <w:sz w:val="24"/>
          <w:szCs w:val="24"/>
          <w:lang w:val="ro-MD" w:eastAsia="ru-RU"/>
        </w:rPr>
        <w:t xml:space="preserve">La situația din 31 decembrie 2021 soldul creditelor garantate acordate în cadrul Programului de stat </w:t>
      </w:r>
      <w:r w:rsidR="00A82512" w:rsidRPr="00606103">
        <w:rPr>
          <w:rFonts w:asciiTheme="majorHAnsi" w:hAnsiTheme="majorHAnsi" w:cstheme="majorHAnsi"/>
          <w:sz w:val="24"/>
          <w:szCs w:val="24"/>
          <w:lang w:val="ro-MD" w:eastAsia="ru-RU"/>
        </w:rPr>
        <w:t>„</w:t>
      </w:r>
      <w:r w:rsidRPr="00606103">
        <w:rPr>
          <w:rFonts w:asciiTheme="majorHAnsi" w:hAnsiTheme="majorHAnsi" w:cstheme="majorHAnsi"/>
          <w:sz w:val="24"/>
          <w:szCs w:val="24"/>
          <w:lang w:val="ro-MD" w:eastAsia="ru-RU"/>
        </w:rPr>
        <w:t>Prima casă” a constituit 1 834,5 mil. lei (0,8% din PIB pentru anul 2021)</w:t>
      </w:r>
      <w:r w:rsidR="00A82512" w:rsidRPr="00606103">
        <w:rPr>
          <w:rFonts w:asciiTheme="majorHAnsi" w:hAnsiTheme="majorHAnsi" w:cstheme="majorHAnsi"/>
          <w:sz w:val="24"/>
          <w:szCs w:val="24"/>
          <w:lang w:val="ro-MD" w:eastAsia="ru-RU"/>
        </w:rPr>
        <w:t>,</w:t>
      </w:r>
      <w:r w:rsidRPr="00606103">
        <w:rPr>
          <w:rFonts w:asciiTheme="majorHAnsi" w:hAnsiTheme="majorHAnsi" w:cstheme="majorHAnsi"/>
          <w:sz w:val="24"/>
          <w:szCs w:val="24"/>
          <w:lang w:val="ro-MD" w:eastAsia="ru-RU"/>
        </w:rPr>
        <w:t xml:space="preserve"> sau cu 600,6 mil. lei mai mult comparativ cu situația de la începutul anului 2021.</w:t>
      </w:r>
    </w:p>
    <w:p w:rsidR="008325F8" w:rsidRPr="00606103" w:rsidRDefault="008325F8">
      <w:pPr>
        <w:spacing w:line="276" w:lineRule="auto"/>
        <w:rPr>
          <w:rFonts w:asciiTheme="majorHAnsi" w:hAnsiTheme="majorHAnsi" w:cstheme="majorHAnsi"/>
          <w:sz w:val="24"/>
          <w:szCs w:val="24"/>
          <w:lang w:val="ro-MD" w:eastAsia="ru-RU"/>
        </w:rPr>
      </w:pPr>
      <w:r w:rsidRPr="00606103">
        <w:rPr>
          <w:rFonts w:asciiTheme="majorHAnsi" w:hAnsiTheme="majorHAnsi" w:cstheme="majorHAnsi"/>
          <w:sz w:val="24"/>
          <w:szCs w:val="24"/>
          <w:lang w:val="ro-MD" w:eastAsia="ru-RU"/>
        </w:rPr>
        <w:t xml:space="preserve"> </w:t>
      </w:r>
      <w:r w:rsidR="00A67B0A" w:rsidRPr="00A67B0A">
        <w:rPr>
          <w:rFonts w:asciiTheme="majorHAnsi" w:hAnsiTheme="majorHAnsi" w:cstheme="majorHAnsi"/>
          <w:sz w:val="24"/>
          <w:szCs w:val="24"/>
          <w:lang w:val="ro-MD" w:eastAsia="ru-RU"/>
        </w:rPr>
        <w:t>În anul 2021 în bugetul de stat au fost restituite mijloacele dezafectate în anul 2020 din bugetul de stat în urma onorării garanției de stat în cadrul Programului de stat „Prima casă”, în sumă de 167,7 mii lei.</w:t>
      </w:r>
    </w:p>
    <w:p w:rsidR="008325F8" w:rsidRPr="00606103" w:rsidRDefault="0067382F">
      <w:pPr>
        <w:spacing w:line="276" w:lineRule="auto"/>
        <w:rPr>
          <w:rFonts w:asciiTheme="majorHAnsi" w:hAnsiTheme="majorHAnsi" w:cstheme="majorHAnsi"/>
          <w:sz w:val="24"/>
          <w:szCs w:val="24"/>
          <w:lang w:val="ro-MD" w:eastAsia="ru-RU"/>
        </w:rPr>
      </w:pPr>
      <w:r w:rsidRPr="00606103">
        <w:rPr>
          <w:rFonts w:asciiTheme="majorHAnsi" w:hAnsiTheme="majorHAnsi" w:cstheme="majorHAnsi"/>
          <w:sz w:val="24"/>
          <w:szCs w:val="24"/>
          <w:lang w:val="ro-MD"/>
        </w:rPr>
        <w:lastRenderedPageBreak/>
        <w:t xml:space="preserve">Totodată, </w:t>
      </w:r>
      <w:r w:rsidR="00BF3633" w:rsidRPr="00606103">
        <w:rPr>
          <w:rFonts w:asciiTheme="majorHAnsi" w:hAnsiTheme="majorHAnsi" w:cstheme="majorHAnsi"/>
          <w:sz w:val="24"/>
          <w:szCs w:val="24"/>
          <w:lang w:val="ro-MD"/>
        </w:rPr>
        <w:t>în baza scrisorii ODIMM</w:t>
      </w:r>
      <w:r w:rsidR="008953B3" w:rsidRPr="00606103">
        <w:rPr>
          <w:rFonts w:asciiTheme="majorHAnsi" w:hAnsiTheme="majorHAnsi" w:cstheme="majorHAnsi"/>
          <w:sz w:val="24"/>
          <w:szCs w:val="24"/>
          <w:vertAlign w:val="superscript"/>
          <w:lang w:val="ro-MD"/>
        </w:rPr>
        <w:footnoteReference w:id="33"/>
      </w:r>
      <w:r w:rsidR="008953B3" w:rsidRPr="00606103">
        <w:rPr>
          <w:rFonts w:asciiTheme="majorHAnsi" w:hAnsiTheme="majorHAnsi" w:cstheme="majorHAnsi"/>
          <w:sz w:val="24"/>
          <w:szCs w:val="24"/>
          <w:lang w:val="ro-MD"/>
        </w:rPr>
        <w:t xml:space="preserve"> au fost transferate 0,2 mil. lei pentru onorarea unei garanții de stat</w:t>
      </w:r>
      <w:r w:rsidR="008953B3" w:rsidRPr="00606103">
        <w:rPr>
          <w:rStyle w:val="FootnoteReference"/>
          <w:rFonts w:asciiTheme="majorHAnsi" w:hAnsiTheme="majorHAnsi" w:cstheme="majorHAnsi"/>
          <w:sz w:val="24"/>
          <w:szCs w:val="24"/>
          <w:lang w:val="ro-MD"/>
        </w:rPr>
        <w:footnoteReference w:id="34"/>
      </w:r>
      <w:r w:rsidR="008953B3" w:rsidRPr="00606103">
        <w:rPr>
          <w:rFonts w:asciiTheme="majorHAnsi" w:hAnsiTheme="majorHAnsi" w:cstheme="majorHAnsi"/>
          <w:sz w:val="24"/>
          <w:szCs w:val="24"/>
          <w:lang w:val="ro-MD"/>
        </w:rPr>
        <w:t xml:space="preserve">. Analogic anilor precedenți, auditul relevă riscul activării garanțiilor de stat interne care </w:t>
      </w:r>
      <w:r w:rsidR="008325F8" w:rsidRPr="00606103">
        <w:rPr>
          <w:rFonts w:asciiTheme="majorHAnsi" w:hAnsiTheme="majorHAnsi" w:cstheme="majorHAnsi"/>
          <w:sz w:val="24"/>
          <w:szCs w:val="24"/>
          <w:lang w:val="ro-MD"/>
        </w:rPr>
        <w:t xml:space="preserve">poate genera presiuni adiționale asupra BS </w:t>
      </w:r>
      <w:r w:rsidR="008325F8" w:rsidRPr="00606103">
        <w:rPr>
          <w:rFonts w:asciiTheme="majorHAnsi" w:hAnsiTheme="majorHAnsi" w:cstheme="majorHAnsi"/>
          <w:color w:val="000000" w:themeColor="text1"/>
          <w:sz w:val="24"/>
          <w:szCs w:val="24"/>
          <w:lang w:val="ro-MD"/>
        </w:rPr>
        <w:t xml:space="preserve">și </w:t>
      </w:r>
      <w:r w:rsidR="00A82512" w:rsidRPr="00606103">
        <w:rPr>
          <w:rFonts w:asciiTheme="majorHAnsi" w:hAnsiTheme="majorHAnsi" w:cstheme="majorHAnsi"/>
          <w:color w:val="000000" w:themeColor="text1"/>
          <w:sz w:val="24"/>
          <w:szCs w:val="24"/>
          <w:lang w:val="ro-MD"/>
        </w:rPr>
        <w:t xml:space="preserve">poate </w:t>
      </w:r>
      <w:r w:rsidR="008325F8" w:rsidRPr="00606103">
        <w:rPr>
          <w:rFonts w:asciiTheme="majorHAnsi" w:hAnsiTheme="majorHAnsi" w:cstheme="majorHAnsi"/>
          <w:color w:val="000000" w:themeColor="text1"/>
          <w:sz w:val="24"/>
          <w:szCs w:val="24"/>
          <w:lang w:val="ro-MD"/>
        </w:rPr>
        <w:t>majora</w:t>
      </w:r>
      <w:r w:rsidR="00D81904" w:rsidRPr="00606103">
        <w:rPr>
          <w:rFonts w:asciiTheme="majorHAnsi" w:hAnsiTheme="majorHAnsi" w:cstheme="majorHAnsi"/>
          <w:color w:val="000000" w:themeColor="text1"/>
          <w:sz w:val="24"/>
          <w:szCs w:val="24"/>
          <w:lang w:val="ro-MD"/>
        </w:rPr>
        <w:t xml:space="preserve"> volumul</w:t>
      </w:r>
      <w:r w:rsidR="008325F8" w:rsidRPr="00606103">
        <w:rPr>
          <w:rFonts w:asciiTheme="majorHAnsi" w:hAnsiTheme="majorHAnsi" w:cstheme="majorHAnsi"/>
          <w:color w:val="000000" w:themeColor="text1"/>
          <w:sz w:val="24"/>
          <w:szCs w:val="24"/>
          <w:lang w:val="ro-MD"/>
        </w:rPr>
        <w:t xml:space="preserve"> datoriei de stat interne și costuril</w:t>
      </w:r>
      <w:r w:rsidR="00A82512" w:rsidRPr="00606103">
        <w:rPr>
          <w:rFonts w:asciiTheme="majorHAnsi" w:hAnsiTheme="majorHAnsi" w:cstheme="majorHAnsi"/>
          <w:color w:val="000000" w:themeColor="text1"/>
          <w:sz w:val="24"/>
          <w:szCs w:val="24"/>
          <w:lang w:val="ro-MD"/>
        </w:rPr>
        <w:t>e</w:t>
      </w:r>
      <w:r w:rsidR="008325F8" w:rsidRPr="00606103">
        <w:rPr>
          <w:rFonts w:asciiTheme="majorHAnsi" w:hAnsiTheme="majorHAnsi" w:cstheme="majorHAnsi"/>
          <w:color w:val="000000" w:themeColor="text1"/>
          <w:sz w:val="24"/>
          <w:szCs w:val="24"/>
          <w:lang w:val="ro-MD"/>
        </w:rPr>
        <w:t xml:space="preserve"> de deservire a acesteia.</w:t>
      </w:r>
    </w:p>
    <w:p w:rsidR="008A61E9" w:rsidRDefault="00AF5014" w:rsidP="00D30ECF">
      <w:pPr>
        <w:pStyle w:val="Heading2"/>
        <w:numPr>
          <w:ilvl w:val="1"/>
          <w:numId w:val="3"/>
        </w:numPr>
        <w:spacing w:line="276" w:lineRule="auto"/>
        <w:ind w:left="0" w:firstLine="0"/>
        <w:rPr>
          <w:rFonts w:cstheme="majorHAnsi"/>
          <w:b/>
          <w:sz w:val="24"/>
          <w:szCs w:val="24"/>
          <w:lang w:val="ro-MD"/>
        </w:rPr>
      </w:pPr>
      <w:r w:rsidRPr="00606103">
        <w:rPr>
          <w:rFonts w:eastAsia="Times New Roman" w:cstheme="majorHAnsi"/>
          <w:b/>
          <w:bCs/>
          <w:iCs/>
          <w:color w:val="auto"/>
          <w:sz w:val="24"/>
          <w:szCs w:val="24"/>
          <w:lang w:val="ro-MD"/>
        </w:rPr>
        <w:t xml:space="preserve">Atragem atenția asupra faptului că </w:t>
      </w:r>
      <w:r w:rsidR="00D30ECF" w:rsidRPr="00606103">
        <w:rPr>
          <w:rFonts w:eastAsia="Times New Roman" w:cstheme="majorHAnsi"/>
          <w:b/>
          <w:bCs/>
          <w:iCs/>
          <w:color w:val="auto"/>
          <w:sz w:val="24"/>
          <w:szCs w:val="24"/>
          <w:lang w:val="ro-MD"/>
        </w:rPr>
        <w:t xml:space="preserve">la </w:t>
      </w:r>
      <w:r w:rsidRPr="00606103">
        <w:rPr>
          <w:rFonts w:eastAsia="Times New Roman" w:cstheme="majorHAnsi"/>
          <w:b/>
          <w:bCs/>
          <w:iCs/>
          <w:color w:val="auto"/>
          <w:sz w:val="24"/>
          <w:szCs w:val="24"/>
          <w:lang w:val="ro-MD"/>
        </w:rPr>
        <w:t>p</w:t>
      </w:r>
      <w:r w:rsidR="009C7C61" w:rsidRPr="00606103">
        <w:rPr>
          <w:rFonts w:eastAsia="Times New Roman" w:cstheme="majorHAnsi"/>
          <w:b/>
          <w:color w:val="auto"/>
          <w:sz w:val="24"/>
          <w:szCs w:val="24"/>
          <w:lang w:val="ro-MD"/>
        </w:rPr>
        <w:t>lanificarea</w:t>
      </w:r>
      <w:r w:rsidR="00D30ECF" w:rsidRPr="00606103">
        <w:rPr>
          <w:rFonts w:eastAsia="Times New Roman" w:cstheme="majorHAnsi"/>
          <w:b/>
          <w:color w:val="auto"/>
          <w:sz w:val="24"/>
          <w:szCs w:val="24"/>
          <w:lang w:val="ro-MD"/>
        </w:rPr>
        <w:t xml:space="preserve"> și executarea cheltuielilor </w:t>
      </w:r>
      <w:r w:rsidR="009C7C61" w:rsidRPr="00606103">
        <w:rPr>
          <w:rFonts w:eastAsia="Times New Roman" w:cstheme="majorHAnsi"/>
          <w:b/>
          <w:color w:val="auto"/>
          <w:sz w:val="24"/>
          <w:szCs w:val="24"/>
          <w:lang w:val="ro-MD"/>
        </w:rPr>
        <w:t xml:space="preserve">Org1 </w:t>
      </w:r>
      <w:r w:rsidR="00646656" w:rsidRPr="00606103">
        <w:rPr>
          <w:rFonts w:eastAsia="Times New Roman" w:cstheme="majorHAnsi"/>
          <w:b/>
          <w:color w:val="auto"/>
          <w:sz w:val="24"/>
          <w:szCs w:val="24"/>
          <w:lang w:val="ro-MD"/>
        </w:rPr>
        <w:t>„</w:t>
      </w:r>
      <w:r w:rsidR="009C7C61" w:rsidRPr="00606103">
        <w:rPr>
          <w:rFonts w:eastAsia="Times New Roman" w:cstheme="majorHAnsi"/>
          <w:b/>
          <w:color w:val="auto"/>
          <w:sz w:val="24"/>
          <w:szCs w:val="24"/>
          <w:lang w:val="ro-MD"/>
        </w:rPr>
        <w:t xml:space="preserve">Acțiuni generale” </w:t>
      </w:r>
      <w:r w:rsidR="00D30ECF" w:rsidRPr="00606103">
        <w:rPr>
          <w:rFonts w:eastAsia="Times New Roman" w:cstheme="majorHAnsi"/>
          <w:b/>
          <w:color w:val="auto"/>
          <w:sz w:val="24"/>
          <w:szCs w:val="24"/>
          <w:lang w:val="ro-MD"/>
        </w:rPr>
        <w:t>sunt incluse cheltuielile care nu pot fi atribuite unor autorități/instituții bugetare concrete.</w:t>
      </w:r>
    </w:p>
    <w:p w:rsidR="00852537" w:rsidRPr="008A61E9" w:rsidRDefault="009C7C61" w:rsidP="008A61E9">
      <w:pPr>
        <w:rPr>
          <w:rFonts w:asciiTheme="majorHAnsi" w:hAnsiTheme="majorHAnsi" w:cstheme="majorHAnsi"/>
          <w:b/>
          <w:color w:val="2E74B5" w:themeColor="accent1" w:themeShade="BF"/>
          <w:sz w:val="24"/>
          <w:szCs w:val="24"/>
          <w:lang w:val="ro-MD"/>
        </w:rPr>
      </w:pPr>
      <w:r w:rsidRPr="008A61E9">
        <w:rPr>
          <w:rFonts w:asciiTheme="majorHAnsi" w:eastAsia="Times New Roman" w:hAnsiTheme="majorHAnsi" w:cstheme="majorHAnsi"/>
          <w:sz w:val="24"/>
          <w:szCs w:val="24"/>
          <w:lang w:val="ro-MD"/>
        </w:rPr>
        <w:t>Potrivit cadrului regulamentar</w:t>
      </w:r>
      <w:r w:rsidRPr="008A61E9">
        <w:rPr>
          <w:rStyle w:val="FootnoteReference"/>
          <w:rFonts w:asciiTheme="majorHAnsi" w:eastAsia="Times New Roman" w:hAnsiTheme="majorHAnsi" w:cstheme="majorHAnsi"/>
          <w:sz w:val="24"/>
          <w:szCs w:val="24"/>
          <w:lang w:val="ro-MD"/>
        </w:rPr>
        <w:footnoteReference w:id="35"/>
      </w:r>
      <w:r w:rsidR="00646656" w:rsidRPr="008A61E9">
        <w:rPr>
          <w:rFonts w:asciiTheme="majorHAnsi" w:eastAsia="Times New Roman" w:hAnsiTheme="majorHAnsi" w:cstheme="majorHAnsi"/>
          <w:sz w:val="24"/>
          <w:szCs w:val="24"/>
          <w:lang w:val="ro-MD"/>
        </w:rPr>
        <w:t>,</w:t>
      </w:r>
      <w:r w:rsidRPr="008A61E9">
        <w:rPr>
          <w:rFonts w:asciiTheme="majorHAnsi" w:eastAsia="Times New Roman" w:hAnsiTheme="majorHAnsi" w:cstheme="majorHAnsi"/>
          <w:sz w:val="24"/>
          <w:szCs w:val="24"/>
          <w:lang w:val="ro-MD"/>
        </w:rPr>
        <w:t xml:space="preserve"> la Org1 </w:t>
      </w:r>
      <w:r w:rsidR="00646656" w:rsidRPr="008A61E9">
        <w:rPr>
          <w:rFonts w:asciiTheme="majorHAnsi" w:eastAsia="Times New Roman" w:hAnsiTheme="majorHAnsi" w:cstheme="majorHAnsi"/>
          <w:sz w:val="24"/>
          <w:szCs w:val="24"/>
          <w:lang w:val="ro-MD"/>
        </w:rPr>
        <w:t>„</w:t>
      </w:r>
      <w:r w:rsidRPr="008A61E9">
        <w:rPr>
          <w:rFonts w:asciiTheme="majorHAnsi" w:eastAsia="Times New Roman" w:hAnsiTheme="majorHAnsi" w:cstheme="majorHAnsi"/>
          <w:sz w:val="24"/>
          <w:szCs w:val="24"/>
          <w:lang w:val="ro-MD"/>
        </w:rPr>
        <w:t xml:space="preserve">Acțiuni generale” </w:t>
      </w:r>
      <w:r w:rsidRPr="008A61E9">
        <w:rPr>
          <w:rFonts w:asciiTheme="majorHAnsi" w:hAnsiTheme="majorHAnsi" w:cstheme="majorHAnsi"/>
          <w:sz w:val="24"/>
          <w:szCs w:val="24"/>
          <w:lang w:val="ro-MD"/>
        </w:rPr>
        <w:t>se reflectă resursele generale și chel</w:t>
      </w:r>
      <w:r w:rsidR="0089559F" w:rsidRPr="008A61E9">
        <w:rPr>
          <w:rFonts w:asciiTheme="majorHAnsi" w:hAnsiTheme="majorHAnsi" w:cstheme="majorHAnsi"/>
          <w:sz w:val="24"/>
          <w:szCs w:val="24"/>
          <w:lang w:val="ro-MD"/>
        </w:rPr>
        <w:t>tuielile generale care nu pot f</w:t>
      </w:r>
      <w:r w:rsidRPr="008A61E9">
        <w:rPr>
          <w:rFonts w:asciiTheme="majorHAnsi" w:hAnsiTheme="majorHAnsi" w:cstheme="majorHAnsi"/>
          <w:sz w:val="24"/>
          <w:szCs w:val="24"/>
          <w:lang w:val="ro-MD"/>
        </w:rPr>
        <w:t xml:space="preserve">i atribuite unor autorități/instituții bugetare concrete. Ministerul Finanțelor, în calitate de administrator de buget, lansează procedura de elaborare a proiectului bugetului de stat și asigură elaborarea propunerii de buget pentru veniturile generale ale bugetului de stat, sursele de finanțare </w:t>
      </w:r>
      <w:r w:rsidR="00CC1FE5" w:rsidRPr="008A61E9">
        <w:rPr>
          <w:rFonts w:asciiTheme="majorHAnsi" w:hAnsiTheme="majorHAnsi" w:cstheme="majorHAnsi"/>
          <w:sz w:val="24"/>
          <w:szCs w:val="24"/>
          <w:lang w:val="ro-MD"/>
        </w:rPr>
        <w:t xml:space="preserve">ale deficitului bugetului de stat </w:t>
      </w:r>
      <w:r w:rsidRPr="008A61E9">
        <w:rPr>
          <w:rFonts w:asciiTheme="majorHAnsi" w:hAnsiTheme="majorHAnsi" w:cstheme="majorHAnsi"/>
          <w:sz w:val="24"/>
          <w:szCs w:val="24"/>
          <w:lang w:val="ro-MD"/>
        </w:rPr>
        <w:t xml:space="preserve">și alți indicatori bugetari aferenți poziției </w:t>
      </w:r>
      <w:r w:rsidR="00646656" w:rsidRPr="008A61E9">
        <w:rPr>
          <w:rFonts w:asciiTheme="majorHAnsi" w:hAnsiTheme="majorHAnsi" w:cstheme="majorHAnsi"/>
          <w:sz w:val="24"/>
          <w:szCs w:val="24"/>
          <w:lang w:val="ro-MD"/>
        </w:rPr>
        <w:t>„</w:t>
      </w:r>
      <w:r w:rsidRPr="008A61E9">
        <w:rPr>
          <w:rFonts w:asciiTheme="majorHAnsi" w:hAnsiTheme="majorHAnsi" w:cstheme="majorHAnsi"/>
          <w:sz w:val="24"/>
          <w:szCs w:val="24"/>
          <w:lang w:val="ro-MD"/>
        </w:rPr>
        <w:t>Org1 – Acțiuni generale” din clasificația organizațională (de exemplu, veniturile generale, transferurile interbugetare). Estimarea resurselor generale ale bugetului de stat se efectuează în conformitate</w:t>
      </w:r>
      <w:r w:rsidR="00BE7E2B" w:rsidRPr="008A61E9">
        <w:rPr>
          <w:rFonts w:asciiTheme="majorHAnsi" w:hAnsiTheme="majorHAnsi" w:cstheme="majorHAnsi"/>
          <w:sz w:val="24"/>
          <w:szCs w:val="24"/>
          <w:lang w:val="ro-MD"/>
        </w:rPr>
        <w:t xml:space="preserve"> cu</w:t>
      </w:r>
      <w:r w:rsidRPr="008A61E9">
        <w:rPr>
          <w:rFonts w:asciiTheme="majorHAnsi" w:hAnsiTheme="majorHAnsi" w:cstheme="majorHAnsi"/>
          <w:sz w:val="24"/>
          <w:szCs w:val="24"/>
          <w:lang w:val="ro-MD"/>
        </w:rPr>
        <w:t xml:space="preserve"> metodologia de estimare a veniturilor și a surselor de finanțare. </w:t>
      </w:r>
    </w:p>
    <w:p w:rsidR="00852537" w:rsidRPr="00606103" w:rsidRDefault="009C7C61">
      <w:pPr>
        <w:spacing w:line="276" w:lineRule="auto"/>
        <w:rPr>
          <w:rFonts w:asciiTheme="majorHAnsi" w:hAnsiTheme="majorHAnsi" w:cstheme="majorHAnsi"/>
          <w:sz w:val="24"/>
          <w:szCs w:val="24"/>
          <w:lang w:val="ro-MD"/>
        </w:rPr>
      </w:pPr>
      <w:r w:rsidRPr="00606103">
        <w:rPr>
          <w:rFonts w:asciiTheme="majorHAnsi" w:eastAsia="Times New Roman" w:hAnsiTheme="majorHAnsi" w:cstheme="majorHAnsi"/>
          <w:bCs/>
          <w:iCs/>
          <w:sz w:val="24"/>
          <w:szCs w:val="24"/>
          <w:lang w:val="ro-MD"/>
        </w:rPr>
        <w:t xml:space="preserve">Astfel, </w:t>
      </w:r>
      <w:r w:rsidRPr="00606103">
        <w:rPr>
          <w:rFonts w:asciiTheme="majorHAnsi" w:eastAsia="Times New Roman" w:hAnsiTheme="majorHAnsi" w:cstheme="majorHAnsi"/>
          <w:sz w:val="24"/>
          <w:szCs w:val="24"/>
          <w:lang w:val="ro-MD"/>
        </w:rPr>
        <w:t xml:space="preserve">potrivit Legii BS pentru anul 2021, la Org1 </w:t>
      </w:r>
      <w:r w:rsidRPr="00606103">
        <w:rPr>
          <w:rFonts w:asciiTheme="majorHAnsi" w:hAnsiTheme="majorHAnsi" w:cstheme="majorHAnsi"/>
          <w:sz w:val="24"/>
          <w:szCs w:val="24"/>
          <w:lang w:val="ro-MD"/>
        </w:rPr>
        <w:t>„Acțiuni generale” (</w:t>
      </w:r>
      <w:r w:rsidRPr="00606103">
        <w:rPr>
          <w:rFonts w:asciiTheme="majorHAnsi" w:eastAsia="Times New Roman" w:hAnsiTheme="majorHAnsi" w:cstheme="majorHAnsi"/>
          <w:sz w:val="24"/>
          <w:szCs w:val="24"/>
          <w:lang w:val="ro-MD"/>
        </w:rPr>
        <w:t xml:space="preserve">0799) </w:t>
      </w:r>
      <w:r w:rsidRPr="00606103">
        <w:rPr>
          <w:rFonts w:asciiTheme="majorHAnsi" w:hAnsiTheme="majorHAnsi" w:cstheme="majorHAnsi"/>
          <w:sz w:val="24"/>
          <w:szCs w:val="24"/>
          <w:lang w:val="ro-MD"/>
        </w:rPr>
        <w:t>au fost aprobate venituri în sumă de 21 561, 6 mil. lei,</w:t>
      </w:r>
      <w:r w:rsidR="00E95D93"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fiind precizate </w:t>
      </w:r>
      <w:r w:rsidR="00646656" w:rsidRPr="00606103">
        <w:rPr>
          <w:rFonts w:asciiTheme="majorHAnsi" w:hAnsiTheme="majorHAnsi" w:cstheme="majorHAnsi"/>
          <w:sz w:val="24"/>
          <w:szCs w:val="24"/>
          <w:lang w:val="ro-MD"/>
        </w:rPr>
        <w:t xml:space="preserve">în sumă de </w:t>
      </w:r>
      <w:r w:rsidRPr="00606103">
        <w:rPr>
          <w:rFonts w:asciiTheme="majorHAnsi" w:hAnsiTheme="majorHAnsi" w:cstheme="majorHAnsi"/>
          <w:sz w:val="24"/>
          <w:szCs w:val="24"/>
          <w:lang w:val="ro-MD"/>
        </w:rPr>
        <w:t xml:space="preserve">25 601,1 </w:t>
      </w:r>
      <w:r w:rsidR="00852537" w:rsidRPr="00606103">
        <w:rPr>
          <w:rFonts w:asciiTheme="majorHAnsi" w:hAnsiTheme="majorHAnsi" w:cstheme="majorHAnsi"/>
          <w:sz w:val="24"/>
          <w:szCs w:val="24"/>
          <w:lang w:val="ro-MD"/>
        </w:rPr>
        <w:t>mil. lei</w:t>
      </w:r>
      <w:r w:rsidRPr="00606103">
        <w:rPr>
          <w:rFonts w:asciiTheme="majorHAnsi" w:hAnsiTheme="majorHAnsi" w:cstheme="majorHAnsi"/>
          <w:sz w:val="24"/>
          <w:szCs w:val="24"/>
          <w:lang w:val="ro-MD"/>
        </w:rPr>
        <w:t xml:space="preserve"> și executate 30 322,3 mil. lei, </w:t>
      </w:r>
      <w:r w:rsidR="0026730B" w:rsidRPr="00606103">
        <w:rPr>
          <w:rFonts w:asciiTheme="majorHAnsi" w:hAnsiTheme="majorHAnsi" w:cstheme="majorHAnsi"/>
          <w:sz w:val="24"/>
          <w:szCs w:val="24"/>
          <w:lang w:val="ro-MD"/>
        </w:rPr>
        <w:t>care</w:t>
      </w:r>
      <w:r w:rsidRPr="00606103">
        <w:rPr>
          <w:rFonts w:asciiTheme="majorHAnsi" w:hAnsiTheme="majorHAnsi" w:cstheme="majorHAnsi"/>
          <w:sz w:val="24"/>
          <w:szCs w:val="24"/>
          <w:lang w:val="ro-MD"/>
        </w:rPr>
        <w:t xml:space="preserve"> față de anul precedent </w:t>
      </w:r>
      <w:r w:rsidR="00100035" w:rsidRPr="00606103">
        <w:rPr>
          <w:rFonts w:asciiTheme="majorHAnsi" w:hAnsiTheme="majorHAnsi" w:cstheme="majorHAnsi"/>
          <w:sz w:val="24"/>
          <w:szCs w:val="24"/>
          <w:lang w:val="ro-MD"/>
        </w:rPr>
        <w:t>au crescut cu 11 131,8</w:t>
      </w:r>
      <w:r w:rsidRPr="00606103">
        <w:rPr>
          <w:rFonts w:asciiTheme="majorHAnsi" w:hAnsiTheme="majorHAnsi" w:cstheme="majorHAnsi"/>
          <w:sz w:val="24"/>
          <w:szCs w:val="24"/>
          <w:lang w:val="ro-MD"/>
        </w:rPr>
        <w:t xml:space="preserve"> mil. lei (58,0%). Totodată, au fost aprobate cheltuieli și active nefinanciare în sumă de 33 234,8 mil. lei, precizate</w:t>
      </w:r>
      <w:r w:rsidR="00E95D93" w:rsidRPr="00606103">
        <w:rPr>
          <w:rFonts w:asciiTheme="majorHAnsi" w:hAnsiTheme="majorHAnsi" w:cstheme="majorHAnsi"/>
          <w:sz w:val="24"/>
          <w:szCs w:val="24"/>
          <w:lang w:val="ro-MD"/>
        </w:rPr>
        <w:t xml:space="preserve"> </w:t>
      </w:r>
      <w:r w:rsidR="00792FB3" w:rsidRPr="00606103">
        <w:rPr>
          <w:rFonts w:asciiTheme="majorHAnsi" w:hAnsiTheme="majorHAnsi" w:cstheme="majorHAnsi"/>
          <w:sz w:val="24"/>
          <w:szCs w:val="24"/>
          <w:lang w:val="ro-MD"/>
        </w:rPr>
        <w:t>34 308</w:t>
      </w:r>
      <w:r w:rsidRPr="00606103">
        <w:rPr>
          <w:rFonts w:asciiTheme="majorHAnsi" w:hAnsiTheme="majorHAnsi" w:cstheme="majorHAnsi"/>
          <w:sz w:val="24"/>
          <w:szCs w:val="24"/>
          <w:lang w:val="ro-MD"/>
        </w:rPr>
        <w:t>,2 mil. lei, fiind executa</w:t>
      </w:r>
      <w:r w:rsidR="00792FB3" w:rsidRPr="00606103">
        <w:rPr>
          <w:rFonts w:asciiTheme="majorHAnsi" w:hAnsiTheme="majorHAnsi" w:cstheme="majorHAnsi"/>
          <w:sz w:val="24"/>
          <w:szCs w:val="24"/>
          <w:lang w:val="ro-MD"/>
        </w:rPr>
        <w:t>te 33 124,7</w:t>
      </w:r>
      <w:r w:rsidR="00BE7E2B" w:rsidRPr="00606103">
        <w:rPr>
          <w:rFonts w:asciiTheme="majorHAnsi" w:hAnsiTheme="majorHAnsi" w:cstheme="majorHAnsi"/>
          <w:sz w:val="24"/>
          <w:szCs w:val="24"/>
          <w:lang w:val="ro-MD"/>
        </w:rPr>
        <w:t xml:space="preserve"> mil. lei, cu 4 364,1</w:t>
      </w:r>
      <w:r w:rsidRPr="00606103">
        <w:rPr>
          <w:rFonts w:asciiTheme="majorHAnsi" w:hAnsiTheme="majorHAnsi" w:cstheme="majorHAnsi"/>
          <w:sz w:val="24"/>
          <w:szCs w:val="24"/>
          <w:lang w:val="ro-MD"/>
        </w:rPr>
        <w:t xml:space="preserve"> mil. lei mai mult față de anul precedent. </w:t>
      </w:r>
    </w:p>
    <w:p w:rsidR="00ED5E11" w:rsidRPr="006E4371" w:rsidRDefault="00EC0946">
      <w:pPr>
        <w:spacing w:line="276" w:lineRule="auto"/>
        <w:rPr>
          <w:rFonts w:asciiTheme="majorHAnsi" w:hAnsiTheme="majorHAnsi" w:cstheme="majorHAnsi"/>
          <w:sz w:val="24"/>
          <w:szCs w:val="24"/>
          <w:lang w:val="ro-MD"/>
        </w:rPr>
      </w:pPr>
      <w:r w:rsidRPr="006E4371">
        <w:rPr>
          <w:rFonts w:asciiTheme="majorHAnsi" w:hAnsiTheme="majorHAnsi" w:cstheme="majorHAnsi"/>
          <w:sz w:val="24"/>
          <w:szCs w:val="24"/>
          <w:lang w:val="ro-MD"/>
        </w:rPr>
        <w:t xml:space="preserve">MF în calitate de administrator de buget gestionează cheltuielile generale. </w:t>
      </w:r>
      <w:r w:rsidR="00ED5E11" w:rsidRPr="006E4371">
        <w:rPr>
          <w:rFonts w:asciiTheme="majorHAnsi" w:hAnsiTheme="majorHAnsi" w:cstheme="majorHAnsi"/>
          <w:sz w:val="24"/>
          <w:szCs w:val="24"/>
          <w:lang w:val="ro-MD"/>
        </w:rPr>
        <w:t>Analiza auditului</w:t>
      </w:r>
      <w:r w:rsidR="00084C2A" w:rsidRPr="006E4371">
        <w:rPr>
          <w:rFonts w:asciiTheme="majorHAnsi" w:hAnsiTheme="majorHAnsi" w:cstheme="majorHAnsi"/>
          <w:sz w:val="24"/>
          <w:szCs w:val="24"/>
          <w:lang w:val="ro-MD"/>
        </w:rPr>
        <w:t xml:space="preserve"> relevă că cheltuielile precizate</w:t>
      </w:r>
      <w:r w:rsidR="00ED5E11" w:rsidRPr="006E4371">
        <w:rPr>
          <w:rFonts w:asciiTheme="majorHAnsi" w:hAnsiTheme="majorHAnsi" w:cstheme="majorHAnsi"/>
          <w:sz w:val="24"/>
          <w:szCs w:val="24"/>
          <w:lang w:val="ro-MD"/>
        </w:rPr>
        <w:t xml:space="preserve"> la acțiuni generale reprezintă circa 59,5% din totalul cheltuielilor și activelor nefinanciare </w:t>
      </w:r>
      <w:r w:rsidR="0013663F" w:rsidRPr="006E4371">
        <w:rPr>
          <w:rFonts w:asciiTheme="majorHAnsi" w:hAnsiTheme="majorHAnsi" w:cstheme="majorHAnsi"/>
          <w:sz w:val="24"/>
          <w:szCs w:val="24"/>
          <w:lang w:val="ro-MD"/>
        </w:rPr>
        <w:t>(57 656,8</w:t>
      </w:r>
      <w:r w:rsidR="00ED5E11" w:rsidRPr="006E4371">
        <w:rPr>
          <w:rFonts w:asciiTheme="majorHAnsi" w:hAnsiTheme="majorHAnsi" w:cstheme="majorHAnsi"/>
          <w:sz w:val="24"/>
          <w:szCs w:val="24"/>
          <w:lang w:val="ro-MD"/>
        </w:rPr>
        <w:t xml:space="preserve"> mil. lei), </w:t>
      </w:r>
      <w:r w:rsidR="002D1625" w:rsidRPr="006E4371">
        <w:rPr>
          <w:rFonts w:asciiTheme="majorHAnsi" w:hAnsiTheme="majorHAnsi" w:cstheme="majorHAnsi"/>
          <w:sz w:val="24"/>
          <w:szCs w:val="24"/>
          <w:lang w:val="ro-MD"/>
        </w:rPr>
        <w:t xml:space="preserve">ce este </w:t>
      </w:r>
      <w:r w:rsidR="00ED5E11" w:rsidRPr="006E4371">
        <w:rPr>
          <w:rFonts w:asciiTheme="majorHAnsi" w:hAnsiTheme="majorHAnsi" w:cstheme="majorHAnsi"/>
          <w:sz w:val="24"/>
          <w:szCs w:val="24"/>
          <w:lang w:val="ro-MD"/>
        </w:rPr>
        <w:t xml:space="preserve">cu 2,6 p.p mai mult decât în anul 2020. </w:t>
      </w:r>
    </w:p>
    <w:p w:rsidR="003C4E55" w:rsidRPr="00606103" w:rsidRDefault="00ED5E11" w:rsidP="003C4E55">
      <w:pPr>
        <w:rPr>
          <w:rFonts w:asciiTheme="majorHAnsi" w:hAnsiTheme="majorHAnsi" w:cstheme="majorHAnsi"/>
          <w:sz w:val="24"/>
          <w:szCs w:val="24"/>
          <w:lang w:val="ro-MD"/>
        </w:rPr>
      </w:pPr>
      <w:r w:rsidRPr="006E4371">
        <w:rPr>
          <w:rFonts w:asciiTheme="majorHAnsi" w:hAnsiTheme="majorHAnsi" w:cstheme="majorHAnsi"/>
          <w:sz w:val="24"/>
          <w:szCs w:val="24"/>
          <w:lang w:val="ro-MD"/>
        </w:rPr>
        <w:t>Astfel, în aspectul economic al cheltuielilor, acestea reprezintă: transferuri în cadrul</w:t>
      </w:r>
      <w:r w:rsidRPr="00606103">
        <w:rPr>
          <w:rFonts w:asciiTheme="majorHAnsi" w:hAnsiTheme="majorHAnsi" w:cstheme="majorHAnsi"/>
          <w:sz w:val="24"/>
          <w:szCs w:val="24"/>
          <w:lang w:val="ro-MD"/>
        </w:rPr>
        <w:t xml:space="preserve"> BPN – 30 566,0 mil. lei, dobânzi achitate și alte plăți aferente datoriei – 1 897,3 mil. lei, bunuri și servicii – 31,7 mil. lei, subvenții – 14,1 mil. lei, alte cheltuieli – 587,0 mil. lei. Totodată, sursele de finanțare ale BS de asemenea se reflectă la Org1</w:t>
      </w:r>
      <w:r w:rsidR="00962C27"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Acțiuni generale”, și anume: creanțele interne </w:t>
      </w:r>
      <w:r w:rsidR="00962C27"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1 410,5 mil. lei, datoriile interne – 3 764,6 mil. lei</w:t>
      </w:r>
      <w:r w:rsidR="00962C27"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și împrumuturile externe – 4 829,2 mil. lei. </w:t>
      </w:r>
    </w:p>
    <w:p w:rsidR="0011514A" w:rsidRDefault="00477FDF" w:rsidP="003C4E55">
      <w:pPr>
        <w:rPr>
          <w:rFonts w:asciiTheme="majorHAnsi" w:hAnsiTheme="majorHAnsi" w:cstheme="majorHAnsi"/>
          <w:sz w:val="24"/>
          <w:szCs w:val="24"/>
          <w:lang w:val="ro-MD"/>
        </w:rPr>
      </w:pPr>
      <w:r w:rsidRPr="00606103">
        <w:rPr>
          <w:rFonts w:asciiTheme="majorHAnsi" w:hAnsiTheme="majorHAnsi" w:cstheme="majorHAnsi"/>
          <w:sz w:val="24"/>
          <w:szCs w:val="24"/>
          <w:lang w:val="ro-MD"/>
        </w:rPr>
        <w:t>În acest context, atragem atenția că, deși prevederile regulamentare</w:t>
      </w:r>
      <w:r w:rsidRPr="00606103">
        <w:rPr>
          <w:rStyle w:val="FootnoteReference"/>
          <w:rFonts w:asciiTheme="majorHAnsi" w:hAnsiTheme="majorHAnsi" w:cstheme="majorHAnsi"/>
          <w:sz w:val="24"/>
          <w:szCs w:val="24"/>
          <w:lang w:val="ro-MD"/>
        </w:rPr>
        <w:footnoteReference w:id="36"/>
      </w:r>
      <w:r w:rsidR="0078681C" w:rsidRPr="00606103">
        <w:rPr>
          <w:rFonts w:asciiTheme="majorHAnsi" w:hAnsiTheme="majorHAnsi" w:cstheme="majorHAnsi"/>
          <w:sz w:val="24"/>
          <w:szCs w:val="24"/>
          <w:lang w:val="ro-MD"/>
        </w:rPr>
        <w:t xml:space="preserve"> prevăd că </w:t>
      </w:r>
      <w:r w:rsidRPr="00606103">
        <w:rPr>
          <w:rFonts w:asciiTheme="majorHAnsi" w:hAnsiTheme="majorHAnsi" w:cstheme="majorHAnsi"/>
          <w:sz w:val="24"/>
          <w:szCs w:val="24"/>
          <w:lang w:val="ro-MD"/>
        </w:rPr>
        <w:t xml:space="preserve">cheltuielile bugetare se efectuează doar prin intermediul </w:t>
      </w:r>
      <w:r w:rsidR="0026730B" w:rsidRPr="00606103">
        <w:rPr>
          <w:rFonts w:asciiTheme="majorHAnsi" w:hAnsiTheme="majorHAnsi" w:cstheme="majorHAnsi"/>
          <w:sz w:val="24"/>
          <w:szCs w:val="24"/>
          <w:lang w:val="ro-MD"/>
        </w:rPr>
        <w:t>autorităților</w:t>
      </w:r>
      <w:r w:rsidRPr="00606103">
        <w:rPr>
          <w:rFonts w:asciiTheme="majorHAnsi" w:hAnsiTheme="majorHAnsi" w:cstheme="majorHAnsi"/>
          <w:sz w:val="24"/>
          <w:szCs w:val="24"/>
          <w:lang w:val="ro-MD"/>
        </w:rPr>
        <w:t>/</w:t>
      </w:r>
      <w:r w:rsidR="0026730B" w:rsidRPr="00606103">
        <w:rPr>
          <w:rFonts w:asciiTheme="majorHAnsi" w:hAnsiTheme="majorHAnsi" w:cstheme="majorHAnsi"/>
          <w:sz w:val="24"/>
          <w:szCs w:val="24"/>
          <w:lang w:val="ro-MD"/>
        </w:rPr>
        <w:t>instituțiilor</w:t>
      </w:r>
      <w:r w:rsidRPr="00606103">
        <w:rPr>
          <w:rFonts w:asciiTheme="majorHAnsi" w:hAnsiTheme="majorHAnsi" w:cstheme="majorHAnsi"/>
          <w:sz w:val="24"/>
          <w:szCs w:val="24"/>
          <w:lang w:val="ro-MD"/>
        </w:rPr>
        <w:t xml:space="preserve"> bugetare,</w:t>
      </w:r>
      <w:r w:rsidR="0078681C" w:rsidRPr="00606103">
        <w:rPr>
          <w:rFonts w:asciiTheme="majorHAnsi" w:hAnsiTheme="majorHAnsi" w:cstheme="majorHAnsi"/>
          <w:sz w:val="24"/>
          <w:szCs w:val="24"/>
          <w:lang w:val="ro-MD"/>
        </w:rPr>
        <w:t xml:space="preserve"> auditul relevă că</w:t>
      </w:r>
      <w:r w:rsidR="00CB7779" w:rsidRPr="00606103">
        <w:rPr>
          <w:rFonts w:asciiTheme="majorHAnsi" w:hAnsiTheme="majorHAnsi" w:cstheme="majorHAnsi"/>
          <w:sz w:val="24"/>
          <w:szCs w:val="24"/>
          <w:lang w:val="ro-MD"/>
        </w:rPr>
        <w:t xml:space="preserve"> direct</w:t>
      </w:r>
      <w:r w:rsidRPr="00606103">
        <w:rPr>
          <w:rFonts w:asciiTheme="majorHAnsi" w:hAnsiTheme="majorHAnsi" w:cstheme="majorHAnsi"/>
          <w:sz w:val="24"/>
          <w:szCs w:val="24"/>
          <w:lang w:val="ro-MD"/>
        </w:rPr>
        <w:t xml:space="preserve"> </w:t>
      </w:r>
      <w:r w:rsidR="00CB7779" w:rsidRPr="00606103">
        <w:rPr>
          <w:rFonts w:asciiTheme="majorHAnsi" w:hAnsiTheme="majorHAnsi" w:cstheme="majorHAnsi"/>
          <w:sz w:val="24"/>
          <w:szCs w:val="24"/>
          <w:lang w:val="ro-MD"/>
        </w:rPr>
        <w:t xml:space="preserve">din bugetul de stat </w:t>
      </w:r>
      <w:r w:rsidR="00931952" w:rsidRPr="00606103">
        <w:rPr>
          <w:rFonts w:asciiTheme="majorHAnsi" w:hAnsiTheme="majorHAnsi" w:cstheme="majorHAnsi"/>
          <w:sz w:val="24"/>
          <w:szCs w:val="24"/>
          <w:lang w:val="ro-MD"/>
        </w:rPr>
        <w:t>„</w:t>
      </w:r>
      <w:r w:rsidR="00CB7779" w:rsidRPr="00606103">
        <w:rPr>
          <w:rFonts w:asciiTheme="majorHAnsi" w:hAnsiTheme="majorHAnsi" w:cstheme="majorHAnsi"/>
          <w:sz w:val="24"/>
          <w:szCs w:val="24"/>
          <w:lang w:val="ro-MD"/>
        </w:rPr>
        <w:t xml:space="preserve">Org1 – Acțiuni generale” </w:t>
      </w:r>
      <w:r w:rsidRPr="00606103">
        <w:rPr>
          <w:rFonts w:asciiTheme="majorHAnsi" w:hAnsiTheme="majorHAnsi" w:cstheme="majorHAnsi"/>
          <w:sz w:val="24"/>
          <w:szCs w:val="24"/>
          <w:lang w:val="ro-MD"/>
        </w:rPr>
        <w:t>sunt executate unele che</w:t>
      </w:r>
      <w:r w:rsidR="0078681C" w:rsidRPr="00606103">
        <w:rPr>
          <w:rFonts w:asciiTheme="majorHAnsi" w:hAnsiTheme="majorHAnsi" w:cstheme="majorHAnsi"/>
          <w:sz w:val="24"/>
          <w:szCs w:val="24"/>
          <w:lang w:val="ro-MD"/>
        </w:rPr>
        <w:t xml:space="preserve">ltuieli, precum: </w:t>
      </w:r>
      <w:r w:rsidRPr="00606103">
        <w:rPr>
          <w:rFonts w:asciiTheme="majorHAnsi" w:hAnsiTheme="majorHAnsi" w:cstheme="majorHAnsi"/>
          <w:sz w:val="24"/>
          <w:szCs w:val="24"/>
          <w:lang w:val="ro-MD"/>
        </w:rPr>
        <w:t>bunuri și servicii – 31,</w:t>
      </w:r>
      <w:r w:rsidR="00BD408E" w:rsidRPr="00606103">
        <w:rPr>
          <w:rFonts w:asciiTheme="majorHAnsi" w:hAnsiTheme="majorHAnsi" w:cstheme="majorHAnsi"/>
          <w:sz w:val="24"/>
          <w:szCs w:val="24"/>
          <w:lang w:val="ro-MD"/>
        </w:rPr>
        <w:t>7</w:t>
      </w:r>
      <w:r w:rsidRPr="00606103">
        <w:rPr>
          <w:rFonts w:asciiTheme="majorHAnsi" w:hAnsiTheme="majorHAnsi" w:cstheme="majorHAnsi"/>
          <w:sz w:val="24"/>
          <w:szCs w:val="24"/>
          <w:lang w:val="ro-MD"/>
        </w:rPr>
        <w:t xml:space="preserve"> mil. lei, subvenții – 14,1 mi</w:t>
      </w:r>
      <w:r w:rsidR="00ED5E11" w:rsidRPr="00606103">
        <w:rPr>
          <w:rFonts w:asciiTheme="majorHAnsi" w:hAnsiTheme="majorHAnsi" w:cstheme="majorHAnsi"/>
          <w:sz w:val="24"/>
          <w:szCs w:val="24"/>
          <w:lang w:val="ro-MD"/>
        </w:rPr>
        <w:t xml:space="preserve">l. lei, alte cheltuieli – 587,0 </w:t>
      </w:r>
      <w:r w:rsidRPr="00606103">
        <w:rPr>
          <w:rFonts w:asciiTheme="majorHAnsi" w:hAnsiTheme="majorHAnsi" w:cstheme="majorHAnsi"/>
          <w:sz w:val="24"/>
          <w:szCs w:val="24"/>
          <w:lang w:val="ro-MD"/>
        </w:rPr>
        <w:t>mil. lei</w:t>
      </w:r>
      <w:r w:rsidR="0078681C" w:rsidRPr="00606103">
        <w:rPr>
          <w:rFonts w:asciiTheme="majorHAnsi" w:hAnsiTheme="majorHAnsi" w:cstheme="majorHAnsi"/>
          <w:sz w:val="24"/>
          <w:szCs w:val="24"/>
          <w:lang w:val="ro-MD"/>
        </w:rPr>
        <w:t xml:space="preserve">. </w:t>
      </w:r>
      <w:r w:rsidR="0036686D" w:rsidRPr="00606103">
        <w:rPr>
          <w:rFonts w:asciiTheme="majorHAnsi" w:hAnsiTheme="majorHAnsi" w:cstheme="majorHAnsi"/>
          <w:sz w:val="24"/>
          <w:szCs w:val="24"/>
          <w:lang w:val="ro-MD"/>
        </w:rPr>
        <w:t>Astfel,</w:t>
      </w:r>
      <w:r w:rsidR="00084C2A">
        <w:rPr>
          <w:rFonts w:asciiTheme="majorHAnsi" w:hAnsiTheme="majorHAnsi" w:cstheme="majorHAnsi"/>
          <w:sz w:val="24"/>
          <w:szCs w:val="24"/>
          <w:lang w:val="ro-MD"/>
        </w:rPr>
        <w:t xml:space="preserve"> 61,4% din veniturile BS și </w:t>
      </w:r>
      <w:r w:rsidR="00084C2A" w:rsidRPr="006E4371">
        <w:rPr>
          <w:rFonts w:asciiTheme="majorHAnsi" w:hAnsiTheme="majorHAnsi" w:cstheme="majorHAnsi"/>
          <w:sz w:val="24"/>
          <w:szCs w:val="24"/>
          <w:lang w:val="ro-MD"/>
        </w:rPr>
        <w:t>61,2</w:t>
      </w:r>
      <w:r w:rsidR="009C7C61" w:rsidRPr="006E4371">
        <w:rPr>
          <w:rFonts w:asciiTheme="majorHAnsi" w:hAnsiTheme="majorHAnsi" w:cstheme="majorHAnsi"/>
          <w:sz w:val="24"/>
          <w:szCs w:val="24"/>
          <w:lang w:val="ro-MD"/>
        </w:rPr>
        <w:t>% din cheltuieli</w:t>
      </w:r>
      <w:r w:rsidR="00646656" w:rsidRPr="006E4371">
        <w:rPr>
          <w:rFonts w:asciiTheme="majorHAnsi" w:hAnsiTheme="majorHAnsi" w:cstheme="majorHAnsi"/>
          <w:sz w:val="24"/>
          <w:szCs w:val="24"/>
          <w:lang w:val="ro-MD"/>
        </w:rPr>
        <w:t>le</w:t>
      </w:r>
      <w:r w:rsidR="009C7C61" w:rsidRPr="006E4371">
        <w:rPr>
          <w:rFonts w:asciiTheme="majorHAnsi" w:hAnsiTheme="majorHAnsi" w:cstheme="majorHAnsi"/>
          <w:sz w:val="24"/>
          <w:szCs w:val="24"/>
          <w:lang w:val="ro-MD"/>
        </w:rPr>
        <w:t xml:space="preserve"> și active</w:t>
      </w:r>
      <w:r w:rsidR="00646656" w:rsidRPr="006E4371">
        <w:rPr>
          <w:rFonts w:asciiTheme="majorHAnsi" w:hAnsiTheme="majorHAnsi" w:cstheme="majorHAnsi"/>
          <w:sz w:val="24"/>
          <w:szCs w:val="24"/>
          <w:lang w:val="ro-MD"/>
        </w:rPr>
        <w:t>le</w:t>
      </w:r>
      <w:r w:rsidR="009C7C61" w:rsidRPr="00606103">
        <w:rPr>
          <w:rFonts w:asciiTheme="majorHAnsi" w:hAnsiTheme="majorHAnsi" w:cstheme="majorHAnsi"/>
          <w:sz w:val="24"/>
          <w:szCs w:val="24"/>
          <w:lang w:val="ro-MD"/>
        </w:rPr>
        <w:t xml:space="preserve"> nefinanciare sunt executate </w:t>
      </w:r>
      <w:r w:rsidRPr="00606103">
        <w:rPr>
          <w:rFonts w:asciiTheme="majorHAnsi" w:hAnsiTheme="majorHAnsi" w:cstheme="majorHAnsi"/>
          <w:sz w:val="24"/>
          <w:szCs w:val="24"/>
          <w:lang w:val="ro-MD"/>
        </w:rPr>
        <w:t>direct de MF</w:t>
      </w:r>
      <w:r w:rsidR="00A668AF" w:rsidRPr="00606103">
        <w:rPr>
          <w:rFonts w:asciiTheme="majorHAnsi" w:hAnsiTheme="majorHAnsi" w:cstheme="majorHAnsi"/>
          <w:sz w:val="24"/>
          <w:szCs w:val="24"/>
          <w:lang w:val="ro-MD"/>
        </w:rPr>
        <w:t xml:space="preserve"> la</w:t>
      </w:r>
      <w:r w:rsidRPr="00606103">
        <w:rPr>
          <w:rFonts w:asciiTheme="majorHAnsi" w:hAnsiTheme="majorHAnsi" w:cstheme="majorHAnsi"/>
          <w:sz w:val="24"/>
          <w:szCs w:val="24"/>
          <w:lang w:val="ro-MD"/>
        </w:rPr>
        <w:t xml:space="preserve"> componenta </w:t>
      </w:r>
      <w:r w:rsidR="00852537" w:rsidRPr="00606103">
        <w:rPr>
          <w:rFonts w:asciiTheme="majorHAnsi" w:hAnsiTheme="majorHAnsi" w:cstheme="majorHAnsi"/>
          <w:sz w:val="24"/>
          <w:szCs w:val="24"/>
          <w:lang w:val="ro-MD"/>
        </w:rPr>
        <w:t xml:space="preserve">Org1 </w:t>
      </w:r>
      <w:r w:rsidR="00646656" w:rsidRPr="00606103">
        <w:rPr>
          <w:rFonts w:asciiTheme="majorHAnsi" w:hAnsiTheme="majorHAnsi" w:cstheme="majorHAnsi"/>
          <w:sz w:val="24"/>
          <w:szCs w:val="24"/>
          <w:lang w:val="ro-MD"/>
        </w:rPr>
        <w:t>„</w:t>
      </w:r>
      <w:r w:rsidR="0026730B" w:rsidRPr="00606103">
        <w:rPr>
          <w:rFonts w:asciiTheme="majorHAnsi" w:hAnsiTheme="majorHAnsi" w:cstheme="majorHAnsi"/>
          <w:sz w:val="24"/>
          <w:szCs w:val="24"/>
          <w:lang w:val="ro-MD"/>
        </w:rPr>
        <w:t>Acțiuni</w:t>
      </w:r>
      <w:r w:rsidR="00852537" w:rsidRPr="00606103">
        <w:rPr>
          <w:rFonts w:asciiTheme="majorHAnsi" w:hAnsiTheme="majorHAnsi" w:cstheme="majorHAnsi"/>
          <w:sz w:val="24"/>
          <w:szCs w:val="24"/>
          <w:lang w:val="ro-MD"/>
        </w:rPr>
        <w:t xml:space="preserve"> generale”, </w:t>
      </w:r>
      <w:r w:rsidR="00A668AF" w:rsidRPr="00606103">
        <w:rPr>
          <w:rFonts w:asciiTheme="majorHAnsi" w:hAnsiTheme="majorHAnsi" w:cstheme="majorHAnsi"/>
          <w:sz w:val="24"/>
          <w:szCs w:val="24"/>
          <w:lang w:val="ro-MD"/>
        </w:rPr>
        <w:t xml:space="preserve">la </w:t>
      </w:r>
      <w:r w:rsidR="00852537" w:rsidRPr="00606103">
        <w:rPr>
          <w:rFonts w:asciiTheme="majorHAnsi" w:hAnsiTheme="majorHAnsi" w:cstheme="majorHAnsi"/>
          <w:sz w:val="24"/>
          <w:szCs w:val="24"/>
          <w:lang w:val="ro-MD"/>
        </w:rPr>
        <w:t>evidența execută</w:t>
      </w:r>
      <w:r w:rsidR="00A668AF" w:rsidRPr="00606103">
        <w:rPr>
          <w:rFonts w:asciiTheme="majorHAnsi" w:hAnsiTheme="majorHAnsi" w:cstheme="majorHAnsi"/>
          <w:sz w:val="24"/>
          <w:szCs w:val="24"/>
          <w:lang w:val="ro-MD"/>
        </w:rPr>
        <w:t>rii și raportării</w:t>
      </w:r>
      <w:r w:rsidR="00E95D93" w:rsidRPr="00606103">
        <w:rPr>
          <w:rFonts w:asciiTheme="majorHAnsi" w:hAnsiTheme="majorHAnsi" w:cstheme="majorHAnsi"/>
          <w:sz w:val="24"/>
          <w:szCs w:val="24"/>
          <w:lang w:val="ro-MD"/>
        </w:rPr>
        <w:t xml:space="preserve"> </w:t>
      </w:r>
      <w:r w:rsidR="00A668AF" w:rsidRPr="00606103">
        <w:rPr>
          <w:rFonts w:asciiTheme="majorHAnsi" w:hAnsiTheme="majorHAnsi" w:cstheme="majorHAnsi"/>
          <w:sz w:val="24"/>
          <w:szCs w:val="24"/>
          <w:lang w:val="ro-MD"/>
        </w:rPr>
        <w:t>acestora fiind aplicată e</w:t>
      </w:r>
      <w:r w:rsidR="00852537" w:rsidRPr="00606103">
        <w:rPr>
          <w:rFonts w:asciiTheme="majorHAnsi" w:hAnsiTheme="majorHAnsi" w:cstheme="majorHAnsi"/>
          <w:sz w:val="24"/>
          <w:szCs w:val="24"/>
          <w:lang w:val="ro-MD"/>
        </w:rPr>
        <w:t>xclusiv</w:t>
      </w:r>
      <w:r w:rsidR="00A668AF" w:rsidRPr="00606103">
        <w:rPr>
          <w:rFonts w:asciiTheme="majorHAnsi" w:hAnsiTheme="majorHAnsi" w:cstheme="majorHAnsi"/>
          <w:sz w:val="24"/>
          <w:szCs w:val="24"/>
          <w:lang w:val="ro-MD"/>
        </w:rPr>
        <w:t xml:space="preserve"> doar</w:t>
      </w:r>
      <w:r w:rsidR="00852537" w:rsidRPr="00606103">
        <w:rPr>
          <w:rFonts w:asciiTheme="majorHAnsi" w:hAnsiTheme="majorHAnsi" w:cstheme="majorHAnsi"/>
          <w:sz w:val="24"/>
          <w:szCs w:val="24"/>
          <w:lang w:val="ro-MD"/>
        </w:rPr>
        <w:t xml:space="preserve"> metoda de casă. </w:t>
      </w:r>
    </w:p>
    <w:p w:rsidR="005D235B" w:rsidRPr="00606103" w:rsidRDefault="005D235B" w:rsidP="003C4E55">
      <w:pPr>
        <w:rPr>
          <w:rFonts w:asciiTheme="majorHAnsi" w:hAnsiTheme="majorHAnsi" w:cstheme="majorHAnsi"/>
          <w:sz w:val="24"/>
          <w:szCs w:val="24"/>
          <w:lang w:val="ro-MD"/>
        </w:rPr>
      </w:pPr>
    </w:p>
    <w:p w:rsidR="00C26645" w:rsidRPr="00606103" w:rsidRDefault="00C26645" w:rsidP="00552746">
      <w:pPr>
        <w:pStyle w:val="ListParagraph"/>
        <w:numPr>
          <w:ilvl w:val="0"/>
          <w:numId w:val="1"/>
        </w:numPr>
        <w:tabs>
          <w:tab w:val="left" w:pos="142"/>
          <w:tab w:val="left" w:pos="426"/>
        </w:tabs>
        <w:spacing w:after="0" w:line="276" w:lineRule="auto"/>
        <w:ind w:left="0" w:firstLine="0"/>
        <w:jc w:val="left"/>
        <w:outlineLvl w:val="0"/>
        <w:rPr>
          <w:rFonts w:asciiTheme="majorHAnsi" w:eastAsia="Times New Roman" w:hAnsiTheme="majorHAnsi" w:cstheme="majorHAnsi"/>
          <w:b/>
          <w:bCs/>
          <w:szCs w:val="28"/>
          <w:lang w:val="ro-MD"/>
        </w:rPr>
      </w:pPr>
      <w:r w:rsidRPr="00606103">
        <w:rPr>
          <w:rFonts w:asciiTheme="majorHAnsi" w:eastAsia="Times New Roman" w:hAnsiTheme="majorHAnsi" w:cstheme="majorHAnsi"/>
          <w:b/>
          <w:color w:val="000000" w:themeColor="text1"/>
          <w:szCs w:val="28"/>
          <w:lang w:val="ro-MD"/>
        </w:rPr>
        <w:lastRenderedPageBreak/>
        <w:t>ASPECTE-CHEIE DE AUDIT</w:t>
      </w:r>
    </w:p>
    <w:p w:rsidR="00C26645" w:rsidRPr="00606103" w:rsidRDefault="00C26645">
      <w:pPr>
        <w:tabs>
          <w:tab w:val="left" w:pos="720"/>
        </w:tabs>
        <w:spacing w:after="0" w:line="276" w:lineRule="auto"/>
        <w:ind w:right="49"/>
        <w:rPr>
          <w:rFonts w:asciiTheme="majorHAnsi" w:eastAsia="Calibri" w:hAnsiTheme="majorHAnsi" w:cstheme="majorHAnsi"/>
          <w:sz w:val="24"/>
          <w:szCs w:val="24"/>
          <w:lang w:val="ro-MD" w:eastAsia="zh-CN"/>
        </w:rPr>
      </w:pPr>
      <w:r w:rsidRPr="00606103">
        <w:rPr>
          <w:rFonts w:asciiTheme="majorHAnsi" w:eastAsia="Calibri" w:hAnsiTheme="majorHAnsi" w:cstheme="majorHAnsi"/>
          <w:sz w:val="24"/>
          <w:szCs w:val="24"/>
          <w:lang w:val="ro-MD"/>
        </w:rPr>
        <w:t xml:space="preserve">Aspectele-cheie de audit sunt acele aspecte care, în baza raționamentului nostru profesional, au avut cea mai mare importanță pentru auditul </w:t>
      </w:r>
      <w:r w:rsidRPr="00606103">
        <w:rPr>
          <w:rFonts w:asciiTheme="majorHAnsi" w:hAnsiTheme="majorHAnsi" w:cstheme="majorHAnsi"/>
          <w:sz w:val="24"/>
          <w:szCs w:val="24"/>
          <w:lang w:val="ro-MD"/>
        </w:rPr>
        <w:t>Raportului privind executarea bugetului de stat pe anul de gestiune încheiat la 31 decembrie 2021</w:t>
      </w:r>
      <w:r w:rsidRPr="00606103">
        <w:rPr>
          <w:rFonts w:asciiTheme="majorHAnsi" w:eastAsia="Calibri" w:hAnsiTheme="majorHAnsi" w:cstheme="majorHAnsi"/>
          <w:sz w:val="24"/>
          <w:szCs w:val="24"/>
          <w:lang w:val="ro-MD"/>
        </w:rPr>
        <w:t xml:space="preserve">. Aceste aspecte au fost abordate în contextul auditului Raportului în ansamblu și în formarea opiniei noastre asupra acestuia, și nu oferim o opinie separată cu privire la aceste aspecte. </w:t>
      </w:r>
    </w:p>
    <w:p w:rsidR="00183A10" w:rsidRPr="00606103" w:rsidRDefault="00183A10">
      <w:pPr>
        <w:tabs>
          <w:tab w:val="left" w:pos="720"/>
        </w:tabs>
        <w:spacing w:after="0" w:line="276" w:lineRule="auto"/>
        <w:ind w:right="49"/>
        <w:rPr>
          <w:rFonts w:asciiTheme="majorHAnsi" w:eastAsia="Calibri" w:hAnsiTheme="majorHAnsi" w:cstheme="majorHAnsi"/>
          <w:sz w:val="24"/>
          <w:szCs w:val="24"/>
          <w:lang w:val="ro-MD" w:eastAsia="zh-CN"/>
        </w:rPr>
      </w:pPr>
    </w:p>
    <w:p w:rsidR="00C26645" w:rsidRPr="00606103" w:rsidRDefault="00C26645" w:rsidP="00552746">
      <w:pPr>
        <w:numPr>
          <w:ilvl w:val="0"/>
          <w:numId w:val="1"/>
        </w:numPr>
        <w:tabs>
          <w:tab w:val="left" w:pos="142"/>
          <w:tab w:val="left" w:pos="426"/>
        </w:tabs>
        <w:spacing w:after="0" w:line="276" w:lineRule="auto"/>
        <w:ind w:left="0" w:firstLine="0"/>
        <w:contextualSpacing/>
        <w:jc w:val="left"/>
        <w:outlineLvl w:val="0"/>
        <w:rPr>
          <w:rFonts w:asciiTheme="majorHAnsi" w:eastAsia="Times New Roman" w:hAnsiTheme="majorHAnsi" w:cstheme="majorHAnsi"/>
          <w:b/>
          <w:bCs/>
          <w:szCs w:val="28"/>
          <w:lang w:val="ro-MD"/>
        </w:rPr>
      </w:pPr>
      <w:r w:rsidRPr="00606103">
        <w:rPr>
          <w:rFonts w:asciiTheme="majorHAnsi" w:eastAsia="Times New Roman" w:hAnsiTheme="majorHAnsi" w:cstheme="majorHAnsi"/>
          <w:b/>
          <w:color w:val="000000" w:themeColor="text1"/>
          <w:szCs w:val="28"/>
          <w:lang w:val="ro-MD"/>
        </w:rPr>
        <w:t>ALTE INFORMAȚII</w:t>
      </w:r>
    </w:p>
    <w:p w:rsidR="0043437E" w:rsidRPr="00606103" w:rsidRDefault="00686AE4">
      <w:pPr>
        <w:pStyle w:val="Heading2"/>
        <w:spacing w:line="276" w:lineRule="auto"/>
        <w:rPr>
          <w:rFonts w:cstheme="majorHAnsi"/>
          <w:b/>
          <w:color w:val="auto"/>
          <w:sz w:val="24"/>
          <w:szCs w:val="24"/>
          <w:lang w:val="ro-MD"/>
        </w:rPr>
      </w:pPr>
      <w:r w:rsidRPr="00606103">
        <w:rPr>
          <w:rFonts w:eastAsia="Times New Roman" w:cstheme="majorHAnsi"/>
          <w:b/>
          <w:color w:val="auto"/>
          <w:sz w:val="24"/>
          <w:szCs w:val="24"/>
          <w:lang w:val="ro-MD"/>
        </w:rPr>
        <w:t>5.1</w:t>
      </w:r>
      <w:r w:rsidR="00871263" w:rsidRPr="00606103">
        <w:rPr>
          <w:rFonts w:eastAsia="Times New Roman" w:cstheme="majorHAnsi"/>
          <w:b/>
          <w:color w:val="auto"/>
          <w:sz w:val="24"/>
          <w:szCs w:val="24"/>
          <w:lang w:val="ro-MD"/>
        </w:rPr>
        <w:t xml:space="preserve">. </w:t>
      </w:r>
      <w:r w:rsidR="00851999" w:rsidRPr="00606103">
        <w:rPr>
          <w:rFonts w:eastAsia="Times New Roman" w:cstheme="majorHAnsi"/>
          <w:b/>
          <w:color w:val="auto"/>
          <w:sz w:val="24"/>
          <w:szCs w:val="24"/>
          <w:lang w:val="ro-MD"/>
        </w:rPr>
        <w:t>Se atestă tendința creșterii transferurilor de la BS</w:t>
      </w:r>
      <w:r w:rsidR="0043437E" w:rsidRPr="00606103">
        <w:rPr>
          <w:rFonts w:cstheme="majorHAnsi"/>
          <w:b/>
          <w:color w:val="auto"/>
          <w:sz w:val="24"/>
          <w:szCs w:val="24"/>
          <w:lang w:val="ro-MD"/>
        </w:rPr>
        <w:t xml:space="preserve"> către </w:t>
      </w:r>
      <w:r w:rsidR="007D7A63" w:rsidRPr="00606103">
        <w:rPr>
          <w:rFonts w:cstheme="majorHAnsi"/>
          <w:b/>
          <w:color w:val="auto"/>
          <w:sz w:val="24"/>
          <w:szCs w:val="24"/>
          <w:lang w:val="ro-MD"/>
        </w:rPr>
        <w:t>bugetele de alt nivel,</w:t>
      </w:r>
      <w:r w:rsidR="00851999" w:rsidRPr="00606103">
        <w:rPr>
          <w:rFonts w:cstheme="majorHAnsi"/>
          <w:b/>
          <w:color w:val="auto"/>
          <w:sz w:val="24"/>
          <w:szCs w:val="24"/>
          <w:lang w:val="ro-MD"/>
        </w:rPr>
        <w:t xml:space="preserve"> în anul 2021 </w:t>
      </w:r>
      <w:r w:rsidR="007D7A63" w:rsidRPr="00606103">
        <w:rPr>
          <w:rFonts w:cstheme="majorHAnsi"/>
          <w:b/>
          <w:color w:val="auto"/>
          <w:sz w:val="24"/>
          <w:szCs w:val="24"/>
          <w:lang w:val="ro-MD"/>
        </w:rPr>
        <w:t>constituind</w:t>
      </w:r>
      <w:r w:rsidR="0043437E" w:rsidRPr="00606103">
        <w:rPr>
          <w:rFonts w:cstheme="majorHAnsi"/>
          <w:b/>
          <w:color w:val="auto"/>
          <w:sz w:val="24"/>
          <w:szCs w:val="24"/>
          <w:lang w:val="ro-MD"/>
        </w:rPr>
        <w:t xml:space="preserve"> 57,6</w:t>
      </w:r>
      <w:r w:rsidR="007D7A63" w:rsidRPr="00606103">
        <w:rPr>
          <w:rFonts w:cstheme="majorHAnsi"/>
          <w:b/>
          <w:color w:val="auto"/>
          <w:sz w:val="24"/>
          <w:szCs w:val="24"/>
          <w:lang w:val="ro-MD"/>
        </w:rPr>
        <w:t xml:space="preserve">% din totalul cheltuielilor BS. </w:t>
      </w:r>
    </w:p>
    <w:p w:rsidR="0043437E" w:rsidRPr="00606103" w:rsidRDefault="0043437E">
      <w:pPr>
        <w:spacing w:line="276" w:lineRule="auto"/>
        <w:rPr>
          <w:rFonts w:asciiTheme="majorHAnsi" w:hAnsiTheme="majorHAnsi" w:cstheme="majorHAnsi"/>
          <w:sz w:val="24"/>
          <w:szCs w:val="24"/>
          <w:lang w:val="ro-MD" w:eastAsia="ja-JP"/>
        </w:rPr>
      </w:pPr>
      <w:r w:rsidRPr="00606103">
        <w:rPr>
          <w:rFonts w:asciiTheme="majorHAnsi" w:hAnsiTheme="majorHAnsi" w:cstheme="majorHAnsi"/>
          <w:sz w:val="24"/>
          <w:szCs w:val="24"/>
          <w:lang w:val="ro-MD" w:eastAsia="ja-JP"/>
        </w:rPr>
        <w:t>Prin legea bugetară anuală</w:t>
      </w:r>
      <w:r w:rsidRPr="00606103">
        <w:rPr>
          <w:rFonts w:asciiTheme="majorHAnsi" w:hAnsiTheme="majorHAnsi" w:cstheme="majorHAnsi"/>
          <w:sz w:val="24"/>
          <w:szCs w:val="24"/>
          <w:vertAlign w:val="superscript"/>
          <w:lang w:val="ro-MD" w:eastAsia="ja-JP"/>
        </w:rPr>
        <w:footnoteReference w:id="37"/>
      </w:r>
      <w:r w:rsidRPr="00606103">
        <w:rPr>
          <w:rFonts w:asciiTheme="majorHAnsi" w:hAnsiTheme="majorHAnsi" w:cstheme="majorHAnsi"/>
          <w:sz w:val="24"/>
          <w:szCs w:val="24"/>
          <w:lang w:val="ro-MD" w:eastAsia="ja-JP"/>
        </w:rPr>
        <w:t>,</w:t>
      </w:r>
      <w:r w:rsidR="00E95D93" w:rsidRPr="00606103">
        <w:rPr>
          <w:rFonts w:asciiTheme="majorHAnsi" w:hAnsiTheme="majorHAnsi" w:cstheme="majorHAnsi"/>
          <w:sz w:val="24"/>
          <w:szCs w:val="24"/>
          <w:lang w:val="ro-MD" w:eastAsia="ja-JP"/>
        </w:rPr>
        <w:t xml:space="preserve"> </w:t>
      </w:r>
      <w:r w:rsidR="005F76C5" w:rsidRPr="00606103">
        <w:rPr>
          <w:rFonts w:asciiTheme="majorHAnsi" w:hAnsiTheme="majorHAnsi" w:cstheme="majorHAnsi"/>
          <w:sz w:val="24"/>
          <w:szCs w:val="24"/>
          <w:lang w:val="ro-MD" w:eastAsia="ja-JP"/>
        </w:rPr>
        <w:t xml:space="preserve">cu modificările </w:t>
      </w:r>
      <w:r w:rsidR="00F1686D" w:rsidRPr="00606103">
        <w:rPr>
          <w:rFonts w:asciiTheme="majorHAnsi" w:hAnsiTheme="majorHAnsi" w:cstheme="majorHAnsi"/>
          <w:sz w:val="24"/>
          <w:szCs w:val="24"/>
          <w:lang w:val="ro-MD" w:eastAsia="ja-JP"/>
        </w:rPr>
        <w:t>ulterioare</w:t>
      </w:r>
      <w:r w:rsidR="005F76C5" w:rsidRPr="00606103">
        <w:rPr>
          <w:rFonts w:asciiTheme="majorHAnsi" w:hAnsiTheme="majorHAnsi" w:cstheme="majorHAnsi"/>
          <w:sz w:val="24"/>
          <w:szCs w:val="24"/>
          <w:lang w:val="ro-MD" w:eastAsia="ja-JP"/>
        </w:rPr>
        <w:t>,</w:t>
      </w:r>
      <w:r w:rsidRPr="00606103">
        <w:rPr>
          <w:rFonts w:asciiTheme="majorHAnsi" w:hAnsiTheme="majorHAnsi" w:cstheme="majorHAnsi"/>
          <w:sz w:val="24"/>
          <w:szCs w:val="24"/>
          <w:lang w:val="ro-MD" w:eastAsia="ja-JP"/>
        </w:rPr>
        <w:t xml:space="preserve"> volumul</w:t>
      </w:r>
      <w:r w:rsidR="00F1686D" w:rsidRPr="00606103">
        <w:rPr>
          <w:rFonts w:asciiTheme="majorHAnsi" w:hAnsiTheme="majorHAnsi" w:cstheme="majorHAnsi"/>
          <w:sz w:val="24"/>
          <w:szCs w:val="24"/>
          <w:lang w:val="ro-MD" w:eastAsia="ja-JP"/>
        </w:rPr>
        <w:t xml:space="preserve"> precizat</w:t>
      </w:r>
      <w:r w:rsidRPr="00606103">
        <w:rPr>
          <w:rFonts w:asciiTheme="majorHAnsi" w:hAnsiTheme="majorHAnsi" w:cstheme="majorHAnsi"/>
          <w:sz w:val="24"/>
          <w:szCs w:val="24"/>
          <w:lang w:val="ro-MD" w:eastAsia="ja-JP"/>
        </w:rPr>
        <w:t xml:space="preserve"> </w:t>
      </w:r>
      <w:r w:rsidR="008D086A" w:rsidRPr="00606103">
        <w:rPr>
          <w:rFonts w:asciiTheme="majorHAnsi" w:hAnsiTheme="majorHAnsi" w:cstheme="majorHAnsi"/>
          <w:sz w:val="24"/>
          <w:szCs w:val="24"/>
          <w:lang w:val="ro-MD" w:eastAsia="ja-JP"/>
        </w:rPr>
        <w:t xml:space="preserve">al </w:t>
      </w:r>
      <w:r w:rsidRPr="00606103">
        <w:rPr>
          <w:rFonts w:asciiTheme="majorHAnsi" w:hAnsiTheme="majorHAnsi" w:cstheme="majorHAnsi"/>
          <w:sz w:val="24"/>
          <w:szCs w:val="24"/>
          <w:lang w:val="ro-MD" w:eastAsia="ja-JP"/>
        </w:rPr>
        <w:t>transferurilor a însumat 31 790,0 mil. lei, majorându-se cu 1 297,9 mil. lei</w:t>
      </w:r>
      <w:r w:rsidR="00490D4D" w:rsidRPr="00606103">
        <w:rPr>
          <w:rFonts w:asciiTheme="majorHAnsi" w:hAnsiTheme="majorHAnsi" w:cstheme="majorHAnsi"/>
          <w:sz w:val="24"/>
          <w:szCs w:val="24"/>
          <w:lang w:val="ro-MD" w:eastAsia="ja-JP"/>
        </w:rPr>
        <w:t xml:space="preserve"> față de planul aprobat</w:t>
      </w:r>
      <w:r w:rsidRPr="00606103">
        <w:rPr>
          <w:rFonts w:asciiTheme="majorHAnsi" w:hAnsiTheme="majorHAnsi" w:cstheme="majorHAnsi"/>
          <w:sz w:val="24"/>
          <w:szCs w:val="24"/>
          <w:lang w:val="ro-MD" w:eastAsia="ja-JP"/>
        </w:rPr>
        <w:t>, inclusiv transferurile către BASS – cu 614,5 mil. lei (11 069,1 mil. lei)</w:t>
      </w:r>
      <w:r w:rsidR="00646656" w:rsidRPr="00606103">
        <w:rPr>
          <w:rFonts w:asciiTheme="majorHAnsi" w:hAnsiTheme="majorHAnsi" w:cstheme="majorHAnsi"/>
          <w:sz w:val="24"/>
          <w:szCs w:val="24"/>
          <w:lang w:val="ro-MD" w:eastAsia="ja-JP"/>
        </w:rPr>
        <w:t>,</w:t>
      </w:r>
      <w:r w:rsidRPr="00606103">
        <w:rPr>
          <w:rFonts w:asciiTheme="majorHAnsi" w:hAnsiTheme="majorHAnsi" w:cstheme="majorHAnsi"/>
          <w:sz w:val="24"/>
          <w:szCs w:val="24"/>
          <w:lang w:val="ro-MD" w:eastAsia="ja-JP"/>
        </w:rPr>
        <w:t xml:space="preserve"> și către BUAT – cu 683,4 mil. lei (14 885,9 mil. lei), </w:t>
      </w:r>
      <w:r w:rsidR="008D086A" w:rsidRPr="00606103">
        <w:rPr>
          <w:rFonts w:asciiTheme="majorHAnsi" w:hAnsiTheme="majorHAnsi" w:cstheme="majorHAnsi"/>
          <w:sz w:val="24"/>
          <w:szCs w:val="24"/>
          <w:lang w:val="ro-MD" w:eastAsia="ja-JP"/>
        </w:rPr>
        <w:t>inclusiv</w:t>
      </w:r>
      <w:r w:rsidRPr="00606103">
        <w:rPr>
          <w:rFonts w:asciiTheme="majorHAnsi" w:hAnsiTheme="majorHAnsi" w:cstheme="majorHAnsi"/>
          <w:sz w:val="24"/>
          <w:szCs w:val="24"/>
          <w:lang w:val="ro-MD" w:eastAsia="ja-JP"/>
        </w:rPr>
        <w:t xml:space="preserve"> 394,6 mil.lei din fondurile centralizate și 135,9 mil. lei aprobate prin </w:t>
      </w:r>
      <w:r w:rsidR="008D086A" w:rsidRPr="00606103">
        <w:rPr>
          <w:rFonts w:asciiTheme="majorHAnsi" w:hAnsiTheme="majorHAnsi" w:cstheme="majorHAnsi"/>
          <w:sz w:val="24"/>
          <w:szCs w:val="24"/>
          <w:lang w:val="ro-MD" w:eastAsia="ja-JP"/>
        </w:rPr>
        <w:t>HG</w:t>
      </w:r>
      <w:r w:rsidRPr="00606103">
        <w:rPr>
          <w:rFonts w:asciiTheme="majorHAnsi" w:hAnsiTheme="majorHAnsi" w:cstheme="majorHAnsi"/>
          <w:sz w:val="24"/>
          <w:szCs w:val="24"/>
          <w:lang w:val="ro-MD" w:eastAsia="ja-JP"/>
        </w:rPr>
        <w:t>.</w:t>
      </w:r>
    </w:p>
    <w:p w:rsidR="00412E39" w:rsidRPr="00606103" w:rsidRDefault="0043437E">
      <w:pPr>
        <w:spacing w:after="0" w:line="276" w:lineRule="auto"/>
        <w:rPr>
          <w:rFonts w:asciiTheme="majorHAnsi" w:hAnsiTheme="majorHAnsi" w:cstheme="majorHAnsi"/>
          <w:i/>
          <w:sz w:val="24"/>
          <w:szCs w:val="24"/>
          <w:lang w:val="ro-MD" w:eastAsia="ja-JP"/>
        </w:rPr>
      </w:pPr>
      <w:r w:rsidRPr="00606103">
        <w:rPr>
          <w:rFonts w:asciiTheme="majorHAnsi" w:hAnsiTheme="majorHAnsi" w:cstheme="majorHAnsi"/>
          <w:sz w:val="24"/>
          <w:szCs w:val="24"/>
          <w:lang w:val="ro-MD" w:eastAsia="ja-JP"/>
        </w:rPr>
        <w:t>Volumul transferurilor de la BS către alte bugete a fost executat la nivel de 98,0% față de volumul precizat, constituind 31 168,8 mil. lei, inclusiv către</w:t>
      </w:r>
      <w:r w:rsidR="003F3358" w:rsidRPr="00606103">
        <w:rPr>
          <w:rFonts w:asciiTheme="majorHAnsi" w:hAnsiTheme="majorHAnsi" w:cstheme="majorHAnsi"/>
          <w:sz w:val="24"/>
          <w:szCs w:val="24"/>
          <w:lang w:val="ro-MD" w:eastAsia="ja-JP"/>
        </w:rPr>
        <w:t>: BASS – 10 724,7 mil. lei (</w:t>
      </w:r>
      <w:r w:rsidRPr="00606103">
        <w:rPr>
          <w:rFonts w:asciiTheme="majorHAnsi" w:hAnsiTheme="majorHAnsi" w:cstheme="majorHAnsi"/>
          <w:sz w:val="24"/>
          <w:szCs w:val="24"/>
          <w:lang w:val="ro-MD" w:eastAsia="ja-JP"/>
        </w:rPr>
        <w:t>96,9%</w:t>
      </w:r>
      <w:r w:rsidR="003F3358" w:rsidRPr="00606103">
        <w:rPr>
          <w:rFonts w:asciiTheme="majorHAnsi" w:hAnsiTheme="majorHAnsi" w:cstheme="majorHAnsi"/>
          <w:sz w:val="24"/>
          <w:szCs w:val="24"/>
          <w:lang w:val="ro-MD" w:eastAsia="ja-JP"/>
        </w:rPr>
        <w:t>), FAOAM – 5 835,0 mil. lei (</w:t>
      </w:r>
      <w:r w:rsidRPr="00606103">
        <w:rPr>
          <w:rFonts w:asciiTheme="majorHAnsi" w:hAnsiTheme="majorHAnsi" w:cstheme="majorHAnsi"/>
          <w:sz w:val="24"/>
          <w:szCs w:val="24"/>
          <w:shd w:val="clear" w:color="auto" w:fill="FFFFFF" w:themeFill="background1"/>
          <w:lang w:val="ro-MD" w:eastAsia="ja-JP"/>
        </w:rPr>
        <w:t>100,0%</w:t>
      </w:r>
      <w:r w:rsidR="003F3358" w:rsidRPr="00606103">
        <w:rPr>
          <w:rFonts w:asciiTheme="majorHAnsi" w:hAnsiTheme="majorHAnsi" w:cstheme="majorHAnsi"/>
          <w:sz w:val="24"/>
          <w:szCs w:val="24"/>
          <w:shd w:val="clear" w:color="auto" w:fill="FFFFFF" w:themeFill="background1"/>
          <w:lang w:val="ro-MD" w:eastAsia="ja-JP"/>
        </w:rPr>
        <w:t>)</w:t>
      </w:r>
      <w:r w:rsidRPr="00606103">
        <w:rPr>
          <w:rFonts w:asciiTheme="majorHAnsi" w:hAnsiTheme="majorHAnsi" w:cstheme="majorHAnsi"/>
          <w:sz w:val="24"/>
          <w:szCs w:val="24"/>
          <w:shd w:val="clear" w:color="auto" w:fill="FFFFFF" w:themeFill="background1"/>
          <w:lang w:val="ro-MD" w:eastAsia="ja-JP"/>
        </w:rPr>
        <w:t xml:space="preserve">, și </w:t>
      </w:r>
      <w:r w:rsidR="003F3358" w:rsidRPr="00606103">
        <w:rPr>
          <w:rFonts w:asciiTheme="majorHAnsi" w:hAnsiTheme="majorHAnsi" w:cstheme="majorHAnsi"/>
          <w:sz w:val="24"/>
          <w:szCs w:val="24"/>
          <w:lang w:val="ro-MD" w:eastAsia="ja-JP"/>
        </w:rPr>
        <w:t>BUAT – 14 609,1 mil. lei</w:t>
      </w:r>
      <w:r w:rsidRPr="00606103">
        <w:rPr>
          <w:rFonts w:asciiTheme="majorHAnsi" w:hAnsiTheme="majorHAnsi" w:cstheme="majorHAnsi"/>
          <w:sz w:val="24"/>
          <w:szCs w:val="24"/>
          <w:lang w:val="ro-MD" w:eastAsia="ja-JP"/>
        </w:rPr>
        <w:t xml:space="preserve"> </w:t>
      </w:r>
      <w:r w:rsidR="003F3358" w:rsidRPr="00606103">
        <w:rPr>
          <w:rFonts w:asciiTheme="majorHAnsi" w:hAnsiTheme="majorHAnsi" w:cstheme="majorHAnsi"/>
          <w:sz w:val="24"/>
          <w:szCs w:val="24"/>
          <w:lang w:val="ro-MD" w:eastAsia="ja-JP"/>
        </w:rPr>
        <w:t>(</w:t>
      </w:r>
      <w:r w:rsidRPr="00606103">
        <w:rPr>
          <w:rFonts w:asciiTheme="majorHAnsi" w:hAnsiTheme="majorHAnsi" w:cstheme="majorHAnsi"/>
          <w:sz w:val="24"/>
          <w:szCs w:val="24"/>
          <w:lang w:val="ro-MD" w:eastAsia="ja-JP"/>
        </w:rPr>
        <w:t>98,1%</w:t>
      </w:r>
      <w:r w:rsidR="003F3358" w:rsidRPr="00606103">
        <w:rPr>
          <w:rFonts w:asciiTheme="majorHAnsi" w:hAnsiTheme="majorHAnsi" w:cstheme="majorHAnsi"/>
          <w:sz w:val="24"/>
          <w:szCs w:val="24"/>
          <w:lang w:val="ro-MD" w:eastAsia="ja-JP"/>
        </w:rPr>
        <w:t>)</w:t>
      </w:r>
      <w:r w:rsidR="00646656" w:rsidRPr="00606103">
        <w:rPr>
          <w:rFonts w:asciiTheme="majorHAnsi" w:hAnsiTheme="majorHAnsi" w:cstheme="majorHAnsi"/>
          <w:sz w:val="24"/>
          <w:szCs w:val="24"/>
          <w:lang w:val="ro-MD" w:eastAsia="ja-JP"/>
        </w:rPr>
        <w:t>.</w:t>
      </w:r>
      <w:r w:rsidR="000D7A75" w:rsidRPr="00606103">
        <w:rPr>
          <w:rFonts w:asciiTheme="majorHAnsi" w:hAnsiTheme="majorHAnsi" w:cstheme="majorHAnsi"/>
          <w:sz w:val="24"/>
          <w:szCs w:val="24"/>
          <w:lang w:val="ro-MD" w:eastAsia="ja-JP"/>
        </w:rPr>
        <w:t xml:space="preserve"> </w:t>
      </w:r>
      <w:r w:rsidR="00646656" w:rsidRPr="00606103">
        <w:rPr>
          <w:rFonts w:asciiTheme="majorHAnsi" w:hAnsiTheme="majorHAnsi" w:cstheme="majorHAnsi"/>
          <w:i/>
          <w:sz w:val="24"/>
          <w:szCs w:val="24"/>
          <w:lang w:val="ro-MD" w:eastAsia="ja-JP"/>
        </w:rPr>
        <w:t>S</w:t>
      </w:r>
      <w:r w:rsidR="000D7A75" w:rsidRPr="00606103">
        <w:rPr>
          <w:rFonts w:asciiTheme="majorHAnsi" w:hAnsiTheme="majorHAnsi" w:cstheme="majorHAnsi"/>
          <w:i/>
          <w:sz w:val="24"/>
          <w:szCs w:val="24"/>
          <w:lang w:val="ro-MD" w:eastAsia="ja-JP"/>
        </w:rPr>
        <w:t>inteza</w:t>
      </w:r>
      <w:r w:rsidR="003F3358" w:rsidRPr="00606103">
        <w:rPr>
          <w:rFonts w:asciiTheme="majorHAnsi" w:hAnsiTheme="majorHAnsi" w:cstheme="majorHAnsi"/>
          <w:i/>
          <w:sz w:val="24"/>
          <w:szCs w:val="24"/>
          <w:lang w:val="ro-MD" w:eastAsia="ja-JP"/>
        </w:rPr>
        <w:t xml:space="preserve"> </w:t>
      </w:r>
      <w:r w:rsidR="00EA66FB" w:rsidRPr="00606103">
        <w:rPr>
          <w:rFonts w:asciiTheme="majorHAnsi" w:hAnsiTheme="majorHAnsi" w:cstheme="majorHAnsi"/>
          <w:i/>
          <w:sz w:val="24"/>
          <w:szCs w:val="24"/>
          <w:lang w:val="ro-MD" w:eastAsia="ja-JP"/>
        </w:rPr>
        <w:t>executării</w:t>
      </w:r>
      <w:r w:rsidR="003F3358" w:rsidRPr="00606103">
        <w:rPr>
          <w:rFonts w:asciiTheme="majorHAnsi" w:hAnsiTheme="majorHAnsi" w:cstheme="majorHAnsi"/>
          <w:i/>
          <w:sz w:val="24"/>
          <w:szCs w:val="24"/>
          <w:lang w:val="ro-MD" w:eastAsia="ja-JP"/>
        </w:rPr>
        <w:t xml:space="preserve"> acestora se prezintă în Tabelul nr.5</w:t>
      </w:r>
      <w:r w:rsidRPr="00606103">
        <w:rPr>
          <w:rFonts w:asciiTheme="majorHAnsi" w:hAnsiTheme="majorHAnsi" w:cstheme="majorHAnsi"/>
          <w:i/>
          <w:sz w:val="24"/>
          <w:szCs w:val="24"/>
          <w:lang w:val="ro-MD" w:eastAsia="ja-JP"/>
        </w:rPr>
        <w:t>.</w:t>
      </w:r>
    </w:p>
    <w:p w:rsidR="0043437E" w:rsidRPr="00606103" w:rsidRDefault="003F3358">
      <w:pPr>
        <w:spacing w:after="0" w:line="276" w:lineRule="auto"/>
        <w:jc w:val="right"/>
        <w:rPr>
          <w:rFonts w:asciiTheme="majorHAnsi" w:eastAsia="MS Mincho" w:hAnsiTheme="majorHAnsi" w:cstheme="majorHAnsi"/>
          <w:b/>
          <w:i/>
          <w:sz w:val="24"/>
          <w:szCs w:val="24"/>
          <w:lang w:val="ro-MD" w:eastAsia="ja-JP"/>
        </w:rPr>
      </w:pPr>
      <w:r w:rsidRPr="00606103">
        <w:rPr>
          <w:rFonts w:asciiTheme="majorHAnsi" w:eastAsia="MS Mincho" w:hAnsiTheme="majorHAnsi" w:cstheme="majorHAnsi"/>
          <w:b/>
          <w:i/>
          <w:sz w:val="24"/>
          <w:szCs w:val="24"/>
          <w:lang w:val="ro-MD" w:eastAsia="ja-JP"/>
        </w:rPr>
        <w:t>Tabelul nr.5</w:t>
      </w:r>
    </w:p>
    <w:p w:rsidR="0043437E" w:rsidRPr="00606103" w:rsidRDefault="0043437E">
      <w:pPr>
        <w:shd w:val="clear" w:color="auto" w:fill="FFFFFF" w:themeFill="background1"/>
        <w:spacing w:after="0" w:line="276" w:lineRule="auto"/>
        <w:ind w:right="1"/>
        <w:jc w:val="center"/>
        <w:rPr>
          <w:rFonts w:asciiTheme="majorHAnsi" w:eastAsia="MS Mincho" w:hAnsiTheme="majorHAnsi" w:cstheme="majorHAnsi"/>
          <w:b/>
          <w:sz w:val="24"/>
          <w:szCs w:val="24"/>
          <w:lang w:val="ro-MD" w:eastAsia="ja-JP"/>
        </w:rPr>
      </w:pPr>
      <w:r w:rsidRPr="00606103">
        <w:rPr>
          <w:rFonts w:asciiTheme="majorHAnsi" w:eastAsia="MS Mincho" w:hAnsiTheme="majorHAnsi" w:cstheme="majorHAnsi"/>
          <w:b/>
          <w:sz w:val="24"/>
          <w:szCs w:val="24"/>
          <w:lang w:val="ro-MD" w:eastAsia="ja-JP"/>
        </w:rPr>
        <w:t>Sinteza executării transferurilor de la bugetul de stat către alte bugete pentru anul 2021</w:t>
      </w:r>
    </w:p>
    <w:p w:rsidR="0043437E" w:rsidRPr="00606103" w:rsidRDefault="0043437E">
      <w:pPr>
        <w:spacing w:after="0" w:line="276" w:lineRule="auto"/>
        <w:ind w:right="1"/>
        <w:jc w:val="right"/>
        <w:rPr>
          <w:rFonts w:asciiTheme="majorHAnsi" w:eastAsia="Times New Roman" w:hAnsiTheme="majorHAnsi" w:cstheme="majorHAnsi"/>
          <w:strike/>
          <w:sz w:val="24"/>
          <w:szCs w:val="24"/>
          <w:lang w:val="ro-MD"/>
        </w:rPr>
      </w:pPr>
      <w:r w:rsidRPr="00606103">
        <w:rPr>
          <w:rFonts w:asciiTheme="majorHAnsi" w:eastAsia="MS Mincho" w:hAnsiTheme="majorHAnsi" w:cstheme="majorHAnsi"/>
          <w:i/>
          <w:sz w:val="24"/>
          <w:szCs w:val="24"/>
          <w:lang w:val="ro-MD" w:eastAsia="ja-JP"/>
        </w:rPr>
        <w:t>(mil. lei)</w:t>
      </w:r>
    </w:p>
    <w:tbl>
      <w:tblPr>
        <w:tblStyle w:val="GridTable1Light"/>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83"/>
        <w:gridCol w:w="966"/>
        <w:gridCol w:w="1005"/>
        <w:gridCol w:w="1160"/>
        <w:gridCol w:w="1203"/>
        <w:gridCol w:w="1046"/>
        <w:gridCol w:w="1012"/>
        <w:gridCol w:w="1097"/>
      </w:tblGrid>
      <w:tr w:rsidR="0043437E" w:rsidRPr="00606103" w:rsidTr="00DD6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Borders>
              <w:bottom w:val="none" w:sz="0" w:space="0" w:color="auto"/>
            </w:tcBorders>
          </w:tcPr>
          <w:p w:rsidR="0043437E" w:rsidRPr="00606103" w:rsidRDefault="0043437E">
            <w:pPr>
              <w:spacing w:line="276" w:lineRule="auto"/>
              <w:ind w:right="1"/>
              <w:jc w:val="center"/>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Bugetul</w:t>
            </w:r>
          </w:p>
        </w:tc>
        <w:tc>
          <w:tcPr>
            <w:tcW w:w="983" w:type="dxa"/>
            <w:vMerge w:val="restart"/>
            <w:tcBorders>
              <w:bottom w:val="none" w:sz="0" w:space="0" w:color="auto"/>
            </w:tcBorders>
          </w:tcPr>
          <w:p w:rsidR="0043437E" w:rsidRPr="00606103" w:rsidRDefault="0043437E">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Aprobat</w:t>
            </w:r>
          </w:p>
        </w:tc>
        <w:tc>
          <w:tcPr>
            <w:tcW w:w="966" w:type="dxa"/>
            <w:vMerge w:val="restart"/>
            <w:tcBorders>
              <w:bottom w:val="none" w:sz="0" w:space="0" w:color="auto"/>
            </w:tcBorders>
          </w:tcPr>
          <w:p w:rsidR="0043437E" w:rsidRPr="00606103" w:rsidRDefault="0043437E">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Precizat</w:t>
            </w:r>
          </w:p>
        </w:tc>
        <w:tc>
          <w:tcPr>
            <w:tcW w:w="1005" w:type="dxa"/>
            <w:vMerge w:val="restart"/>
            <w:tcBorders>
              <w:bottom w:val="none" w:sz="0" w:space="0" w:color="auto"/>
            </w:tcBorders>
          </w:tcPr>
          <w:p w:rsidR="0043437E" w:rsidRPr="00606103" w:rsidRDefault="0043437E">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Executat</w:t>
            </w:r>
          </w:p>
        </w:tc>
        <w:tc>
          <w:tcPr>
            <w:tcW w:w="2363" w:type="dxa"/>
            <w:gridSpan w:val="2"/>
            <w:tcBorders>
              <w:bottom w:val="none" w:sz="0" w:space="0" w:color="auto"/>
            </w:tcBorders>
          </w:tcPr>
          <w:p w:rsidR="0043437E" w:rsidRPr="00606103" w:rsidRDefault="0043437E">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Executat față de precizat</w:t>
            </w:r>
          </w:p>
        </w:tc>
        <w:tc>
          <w:tcPr>
            <w:tcW w:w="1046" w:type="dxa"/>
            <w:vMerge w:val="restart"/>
            <w:tcBorders>
              <w:bottom w:val="none" w:sz="0" w:space="0" w:color="auto"/>
            </w:tcBorders>
          </w:tcPr>
          <w:p w:rsidR="0043437E" w:rsidRPr="00606103" w:rsidRDefault="0043437E">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Executat anul precedent</w:t>
            </w:r>
          </w:p>
        </w:tc>
        <w:tc>
          <w:tcPr>
            <w:tcW w:w="2109" w:type="dxa"/>
            <w:gridSpan w:val="2"/>
            <w:tcBorders>
              <w:bottom w:val="none" w:sz="0" w:space="0" w:color="auto"/>
            </w:tcBorders>
          </w:tcPr>
          <w:p w:rsidR="0043437E" w:rsidRPr="00606103" w:rsidRDefault="0043437E">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Executat 2021 față de anul precedent</w:t>
            </w:r>
          </w:p>
        </w:tc>
      </w:tr>
      <w:tr w:rsidR="0043437E" w:rsidRPr="00606103" w:rsidTr="00DD6C38">
        <w:tc>
          <w:tcPr>
            <w:cnfStyle w:val="001000000000" w:firstRow="0" w:lastRow="0" w:firstColumn="1" w:lastColumn="0" w:oddVBand="0" w:evenVBand="0" w:oddHBand="0" w:evenHBand="0" w:firstRowFirstColumn="0" w:firstRowLastColumn="0" w:lastRowFirstColumn="0" w:lastRowLastColumn="0"/>
            <w:tcW w:w="1129" w:type="dxa"/>
            <w:vMerge/>
          </w:tcPr>
          <w:p w:rsidR="0043437E" w:rsidRPr="00606103" w:rsidRDefault="0043437E">
            <w:pPr>
              <w:spacing w:line="276" w:lineRule="auto"/>
              <w:ind w:right="1"/>
              <w:jc w:val="center"/>
              <w:rPr>
                <w:rFonts w:asciiTheme="majorHAnsi" w:eastAsia="MS Mincho" w:hAnsiTheme="majorHAnsi" w:cstheme="majorHAnsi"/>
                <w:sz w:val="20"/>
                <w:lang w:val="ro-MD" w:eastAsia="ja-JP"/>
              </w:rPr>
            </w:pPr>
          </w:p>
        </w:tc>
        <w:tc>
          <w:tcPr>
            <w:tcW w:w="983" w:type="dxa"/>
            <w:vMerge/>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p>
        </w:tc>
        <w:tc>
          <w:tcPr>
            <w:tcW w:w="966" w:type="dxa"/>
            <w:vMerge/>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p>
        </w:tc>
        <w:tc>
          <w:tcPr>
            <w:tcW w:w="1005" w:type="dxa"/>
            <w:vMerge/>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p>
        </w:tc>
        <w:tc>
          <w:tcPr>
            <w:tcW w:w="1160" w:type="dxa"/>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w:t>
            </w:r>
          </w:p>
        </w:tc>
        <w:tc>
          <w:tcPr>
            <w:tcW w:w="1203" w:type="dxa"/>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w:t>
            </w:r>
          </w:p>
        </w:tc>
        <w:tc>
          <w:tcPr>
            <w:tcW w:w="1046" w:type="dxa"/>
            <w:vMerge/>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p>
        </w:tc>
        <w:tc>
          <w:tcPr>
            <w:tcW w:w="1012" w:type="dxa"/>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w:t>
            </w:r>
          </w:p>
        </w:tc>
        <w:tc>
          <w:tcPr>
            <w:tcW w:w="1097" w:type="dxa"/>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w:t>
            </w:r>
          </w:p>
        </w:tc>
      </w:tr>
      <w:tr w:rsidR="0043437E" w:rsidRPr="00606103" w:rsidTr="00DD6C38">
        <w:trPr>
          <w:trHeight w:val="64"/>
        </w:trPr>
        <w:tc>
          <w:tcPr>
            <w:cnfStyle w:val="001000000000" w:firstRow="0" w:lastRow="0" w:firstColumn="1" w:lastColumn="0" w:oddVBand="0" w:evenVBand="0" w:oddHBand="0" w:evenHBand="0" w:firstRowFirstColumn="0" w:firstRowLastColumn="0" w:lastRowFirstColumn="0" w:lastRowLastColumn="0"/>
            <w:tcW w:w="1129" w:type="dxa"/>
          </w:tcPr>
          <w:p w:rsidR="0043437E" w:rsidRPr="00606103" w:rsidRDefault="0043437E" w:rsidP="00FE3F3B">
            <w:pPr>
              <w:spacing w:line="276" w:lineRule="auto"/>
              <w:ind w:right="1"/>
              <w:jc w:val="center"/>
              <w:rPr>
                <w:rFonts w:asciiTheme="majorHAnsi" w:eastAsia="MS Mincho" w:hAnsiTheme="majorHAnsi" w:cstheme="majorHAnsi"/>
                <w:i/>
                <w:sz w:val="16"/>
                <w:szCs w:val="16"/>
                <w:lang w:val="ro-MD" w:eastAsia="ja-JP"/>
              </w:rPr>
            </w:pPr>
            <w:r w:rsidRPr="00606103">
              <w:rPr>
                <w:rFonts w:asciiTheme="majorHAnsi" w:eastAsia="MS Mincho" w:hAnsiTheme="majorHAnsi" w:cstheme="majorHAnsi"/>
                <w:i/>
                <w:sz w:val="16"/>
                <w:szCs w:val="16"/>
                <w:lang w:val="ro-MD" w:eastAsia="ja-JP"/>
              </w:rPr>
              <w:t>1</w:t>
            </w:r>
          </w:p>
        </w:tc>
        <w:tc>
          <w:tcPr>
            <w:tcW w:w="983" w:type="dxa"/>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MD" w:eastAsia="ja-JP"/>
              </w:rPr>
            </w:pPr>
            <w:r w:rsidRPr="00606103">
              <w:rPr>
                <w:rFonts w:asciiTheme="majorHAnsi" w:eastAsia="MS Mincho" w:hAnsiTheme="majorHAnsi" w:cstheme="majorHAnsi"/>
                <w:i/>
                <w:sz w:val="16"/>
                <w:szCs w:val="16"/>
                <w:lang w:val="ro-MD" w:eastAsia="ja-JP"/>
              </w:rPr>
              <w:t>2</w:t>
            </w:r>
          </w:p>
        </w:tc>
        <w:tc>
          <w:tcPr>
            <w:tcW w:w="966" w:type="dxa"/>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MD" w:eastAsia="ja-JP"/>
              </w:rPr>
            </w:pPr>
            <w:r w:rsidRPr="00606103">
              <w:rPr>
                <w:rFonts w:asciiTheme="majorHAnsi" w:eastAsia="MS Mincho" w:hAnsiTheme="majorHAnsi" w:cstheme="majorHAnsi"/>
                <w:i/>
                <w:sz w:val="16"/>
                <w:szCs w:val="16"/>
                <w:lang w:val="ro-MD" w:eastAsia="ja-JP"/>
              </w:rPr>
              <w:t>3</w:t>
            </w:r>
          </w:p>
        </w:tc>
        <w:tc>
          <w:tcPr>
            <w:tcW w:w="1005" w:type="dxa"/>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MD" w:eastAsia="ja-JP"/>
              </w:rPr>
            </w:pPr>
            <w:r w:rsidRPr="00606103">
              <w:rPr>
                <w:rFonts w:asciiTheme="majorHAnsi" w:eastAsia="MS Mincho" w:hAnsiTheme="majorHAnsi" w:cstheme="majorHAnsi"/>
                <w:i/>
                <w:sz w:val="16"/>
                <w:szCs w:val="16"/>
                <w:lang w:val="ro-MD" w:eastAsia="ja-JP"/>
              </w:rPr>
              <w:t>4</w:t>
            </w:r>
          </w:p>
        </w:tc>
        <w:tc>
          <w:tcPr>
            <w:tcW w:w="1160" w:type="dxa"/>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MD" w:eastAsia="ja-JP"/>
              </w:rPr>
            </w:pPr>
            <w:r w:rsidRPr="00606103">
              <w:rPr>
                <w:rFonts w:asciiTheme="majorHAnsi" w:eastAsia="MS Mincho" w:hAnsiTheme="majorHAnsi" w:cstheme="majorHAnsi"/>
                <w:i/>
                <w:sz w:val="16"/>
                <w:szCs w:val="16"/>
                <w:lang w:val="ro-MD" w:eastAsia="ja-JP"/>
              </w:rPr>
              <w:t>5=4-3</w:t>
            </w:r>
          </w:p>
        </w:tc>
        <w:tc>
          <w:tcPr>
            <w:tcW w:w="1203" w:type="dxa"/>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MD" w:eastAsia="ja-JP"/>
              </w:rPr>
            </w:pPr>
            <w:r w:rsidRPr="00606103">
              <w:rPr>
                <w:rFonts w:asciiTheme="majorHAnsi" w:eastAsia="MS Mincho" w:hAnsiTheme="majorHAnsi" w:cstheme="majorHAnsi"/>
                <w:i/>
                <w:sz w:val="16"/>
                <w:szCs w:val="16"/>
                <w:lang w:val="ro-MD" w:eastAsia="ja-JP"/>
              </w:rPr>
              <w:t>6=4/3*100</w:t>
            </w:r>
          </w:p>
        </w:tc>
        <w:tc>
          <w:tcPr>
            <w:tcW w:w="1046" w:type="dxa"/>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MD" w:eastAsia="ja-JP"/>
              </w:rPr>
            </w:pPr>
            <w:r w:rsidRPr="00606103">
              <w:rPr>
                <w:rFonts w:asciiTheme="majorHAnsi" w:eastAsia="MS Mincho" w:hAnsiTheme="majorHAnsi" w:cstheme="majorHAnsi"/>
                <w:i/>
                <w:sz w:val="16"/>
                <w:szCs w:val="16"/>
                <w:lang w:val="ro-MD" w:eastAsia="ja-JP"/>
              </w:rPr>
              <w:t>7</w:t>
            </w:r>
          </w:p>
        </w:tc>
        <w:tc>
          <w:tcPr>
            <w:tcW w:w="1012" w:type="dxa"/>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MD" w:eastAsia="ja-JP"/>
              </w:rPr>
            </w:pPr>
            <w:r w:rsidRPr="00606103">
              <w:rPr>
                <w:rFonts w:asciiTheme="majorHAnsi" w:eastAsia="MS Mincho" w:hAnsiTheme="majorHAnsi" w:cstheme="majorHAnsi"/>
                <w:i/>
                <w:sz w:val="16"/>
                <w:szCs w:val="16"/>
                <w:lang w:val="ro-MD" w:eastAsia="ja-JP"/>
              </w:rPr>
              <w:t>8=4-7</w:t>
            </w:r>
          </w:p>
        </w:tc>
        <w:tc>
          <w:tcPr>
            <w:tcW w:w="1097" w:type="dxa"/>
          </w:tcPr>
          <w:p w:rsidR="0043437E" w:rsidRPr="00606103" w:rsidRDefault="0043437E">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16"/>
                <w:lang w:val="ro-MD" w:eastAsia="ja-JP"/>
              </w:rPr>
            </w:pPr>
            <w:r w:rsidRPr="00606103">
              <w:rPr>
                <w:rFonts w:asciiTheme="majorHAnsi" w:eastAsia="MS Mincho" w:hAnsiTheme="majorHAnsi" w:cstheme="majorHAnsi"/>
                <w:i/>
                <w:sz w:val="16"/>
                <w:szCs w:val="16"/>
                <w:lang w:val="ro-MD" w:eastAsia="ja-JP"/>
              </w:rPr>
              <w:t>9=4/7*100</w:t>
            </w:r>
          </w:p>
        </w:tc>
      </w:tr>
      <w:tr w:rsidR="0043437E" w:rsidRPr="00606103" w:rsidTr="00DD6C38">
        <w:tc>
          <w:tcPr>
            <w:cnfStyle w:val="001000000000" w:firstRow="0" w:lastRow="0" w:firstColumn="1" w:lastColumn="0" w:oddVBand="0" w:evenVBand="0" w:oddHBand="0" w:evenHBand="0" w:firstRowFirstColumn="0" w:firstRowLastColumn="0" w:lastRowFirstColumn="0" w:lastRowLastColumn="0"/>
            <w:tcW w:w="1129" w:type="dxa"/>
          </w:tcPr>
          <w:p w:rsidR="0043437E" w:rsidRPr="00606103" w:rsidRDefault="0043437E" w:rsidP="00FE3F3B">
            <w:pPr>
              <w:spacing w:line="276" w:lineRule="auto"/>
              <w:ind w:right="1"/>
              <w:jc w:val="center"/>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BASS</w:t>
            </w:r>
          </w:p>
        </w:tc>
        <w:tc>
          <w:tcPr>
            <w:tcW w:w="983"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10 454,6</w:t>
            </w:r>
          </w:p>
        </w:tc>
        <w:tc>
          <w:tcPr>
            <w:tcW w:w="966"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11 069,1</w:t>
            </w:r>
          </w:p>
        </w:tc>
        <w:tc>
          <w:tcPr>
            <w:tcW w:w="1005"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10 724,7</w:t>
            </w:r>
          </w:p>
        </w:tc>
        <w:tc>
          <w:tcPr>
            <w:tcW w:w="1160"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-344,4</w:t>
            </w:r>
          </w:p>
        </w:tc>
        <w:tc>
          <w:tcPr>
            <w:tcW w:w="1203"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96,9</w:t>
            </w:r>
          </w:p>
        </w:tc>
        <w:tc>
          <w:tcPr>
            <w:tcW w:w="1046"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9 769,4</w:t>
            </w:r>
          </w:p>
        </w:tc>
        <w:tc>
          <w:tcPr>
            <w:tcW w:w="1012"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+955,3</w:t>
            </w:r>
          </w:p>
        </w:tc>
        <w:tc>
          <w:tcPr>
            <w:tcW w:w="1097"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109,8</w:t>
            </w:r>
          </w:p>
        </w:tc>
      </w:tr>
      <w:tr w:rsidR="0043437E" w:rsidRPr="00606103" w:rsidTr="00DD6C38">
        <w:tc>
          <w:tcPr>
            <w:cnfStyle w:val="001000000000" w:firstRow="0" w:lastRow="0" w:firstColumn="1" w:lastColumn="0" w:oddVBand="0" w:evenVBand="0" w:oddHBand="0" w:evenHBand="0" w:firstRowFirstColumn="0" w:firstRowLastColumn="0" w:lastRowFirstColumn="0" w:lastRowLastColumn="0"/>
            <w:tcW w:w="1129" w:type="dxa"/>
          </w:tcPr>
          <w:p w:rsidR="0043437E" w:rsidRPr="00606103" w:rsidRDefault="0043437E" w:rsidP="00FE3F3B">
            <w:pPr>
              <w:spacing w:line="276" w:lineRule="auto"/>
              <w:ind w:right="1"/>
              <w:jc w:val="center"/>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FAOAM</w:t>
            </w:r>
          </w:p>
        </w:tc>
        <w:tc>
          <w:tcPr>
            <w:tcW w:w="983"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5 835,0</w:t>
            </w:r>
          </w:p>
        </w:tc>
        <w:tc>
          <w:tcPr>
            <w:tcW w:w="966"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5 835,0</w:t>
            </w:r>
          </w:p>
        </w:tc>
        <w:tc>
          <w:tcPr>
            <w:tcW w:w="1005"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5 835,0</w:t>
            </w:r>
          </w:p>
        </w:tc>
        <w:tc>
          <w:tcPr>
            <w:tcW w:w="1160"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0,0</w:t>
            </w:r>
          </w:p>
        </w:tc>
        <w:tc>
          <w:tcPr>
            <w:tcW w:w="1203"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100,0</w:t>
            </w:r>
          </w:p>
        </w:tc>
        <w:tc>
          <w:tcPr>
            <w:tcW w:w="1046"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3 533,7</w:t>
            </w:r>
          </w:p>
        </w:tc>
        <w:tc>
          <w:tcPr>
            <w:tcW w:w="1012"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+2 301,3</w:t>
            </w:r>
          </w:p>
        </w:tc>
        <w:tc>
          <w:tcPr>
            <w:tcW w:w="1097"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165,1</w:t>
            </w:r>
          </w:p>
        </w:tc>
      </w:tr>
      <w:tr w:rsidR="0043437E" w:rsidRPr="00606103" w:rsidTr="00DD6C38">
        <w:tc>
          <w:tcPr>
            <w:cnfStyle w:val="001000000000" w:firstRow="0" w:lastRow="0" w:firstColumn="1" w:lastColumn="0" w:oddVBand="0" w:evenVBand="0" w:oddHBand="0" w:evenHBand="0" w:firstRowFirstColumn="0" w:firstRowLastColumn="0" w:lastRowFirstColumn="0" w:lastRowLastColumn="0"/>
            <w:tcW w:w="1129" w:type="dxa"/>
          </w:tcPr>
          <w:p w:rsidR="0043437E" w:rsidRPr="00606103" w:rsidRDefault="0043437E" w:rsidP="00FE3F3B">
            <w:pPr>
              <w:spacing w:line="276" w:lineRule="auto"/>
              <w:ind w:right="1"/>
              <w:jc w:val="center"/>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BUAT</w:t>
            </w:r>
          </w:p>
        </w:tc>
        <w:tc>
          <w:tcPr>
            <w:tcW w:w="983"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14 202,5</w:t>
            </w:r>
          </w:p>
        </w:tc>
        <w:tc>
          <w:tcPr>
            <w:tcW w:w="966"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14 885,9</w:t>
            </w:r>
          </w:p>
        </w:tc>
        <w:tc>
          <w:tcPr>
            <w:tcW w:w="1005"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14 609,1</w:t>
            </w:r>
          </w:p>
        </w:tc>
        <w:tc>
          <w:tcPr>
            <w:tcW w:w="1160"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-276,8</w:t>
            </w:r>
          </w:p>
        </w:tc>
        <w:tc>
          <w:tcPr>
            <w:tcW w:w="1203"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98,1</w:t>
            </w:r>
          </w:p>
        </w:tc>
        <w:tc>
          <w:tcPr>
            <w:tcW w:w="1046"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13 617,9</w:t>
            </w:r>
          </w:p>
        </w:tc>
        <w:tc>
          <w:tcPr>
            <w:tcW w:w="1012"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+991,2</w:t>
            </w:r>
          </w:p>
        </w:tc>
        <w:tc>
          <w:tcPr>
            <w:tcW w:w="1097"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107,3</w:t>
            </w:r>
          </w:p>
        </w:tc>
      </w:tr>
      <w:tr w:rsidR="0043437E" w:rsidRPr="00606103" w:rsidTr="00DD6C38">
        <w:tc>
          <w:tcPr>
            <w:cnfStyle w:val="001000000000" w:firstRow="0" w:lastRow="0" w:firstColumn="1" w:lastColumn="0" w:oddVBand="0" w:evenVBand="0" w:oddHBand="0" w:evenHBand="0" w:firstRowFirstColumn="0" w:firstRowLastColumn="0" w:lastRowFirstColumn="0" w:lastRowLastColumn="0"/>
            <w:tcW w:w="1129" w:type="dxa"/>
          </w:tcPr>
          <w:p w:rsidR="0043437E" w:rsidRPr="00606103" w:rsidRDefault="0043437E" w:rsidP="00FE3F3B">
            <w:pPr>
              <w:spacing w:line="276" w:lineRule="auto"/>
              <w:ind w:right="1"/>
              <w:jc w:val="center"/>
              <w:rPr>
                <w:rFonts w:asciiTheme="majorHAnsi" w:eastAsia="MS Mincho" w:hAnsiTheme="majorHAnsi" w:cstheme="majorHAnsi"/>
                <w:sz w:val="20"/>
                <w:lang w:val="ro-MD" w:eastAsia="ja-JP"/>
              </w:rPr>
            </w:pPr>
            <w:r w:rsidRPr="00606103">
              <w:rPr>
                <w:rFonts w:asciiTheme="majorHAnsi" w:eastAsia="MS Mincho" w:hAnsiTheme="majorHAnsi" w:cstheme="majorHAnsi"/>
                <w:sz w:val="20"/>
                <w:lang w:val="ro-MD" w:eastAsia="ja-JP"/>
              </w:rPr>
              <w:t>Total</w:t>
            </w:r>
          </w:p>
        </w:tc>
        <w:tc>
          <w:tcPr>
            <w:tcW w:w="983"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MD" w:eastAsia="ja-JP"/>
              </w:rPr>
            </w:pPr>
            <w:r w:rsidRPr="00606103">
              <w:rPr>
                <w:rFonts w:asciiTheme="majorHAnsi" w:eastAsia="MS Mincho" w:hAnsiTheme="majorHAnsi" w:cstheme="majorHAnsi"/>
                <w:b/>
                <w:sz w:val="20"/>
                <w:lang w:val="ro-MD" w:eastAsia="ja-JP"/>
              </w:rPr>
              <w:t>30 492,1</w:t>
            </w:r>
          </w:p>
        </w:tc>
        <w:tc>
          <w:tcPr>
            <w:tcW w:w="966"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MD" w:eastAsia="ja-JP"/>
              </w:rPr>
            </w:pPr>
            <w:r w:rsidRPr="00606103">
              <w:rPr>
                <w:rFonts w:asciiTheme="majorHAnsi" w:eastAsia="MS Mincho" w:hAnsiTheme="majorHAnsi" w:cstheme="majorHAnsi"/>
                <w:b/>
                <w:sz w:val="20"/>
                <w:lang w:val="ro-MD" w:eastAsia="ja-JP"/>
              </w:rPr>
              <w:t>31 790,0</w:t>
            </w:r>
          </w:p>
        </w:tc>
        <w:tc>
          <w:tcPr>
            <w:tcW w:w="1005"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MD" w:eastAsia="ja-JP"/>
              </w:rPr>
            </w:pPr>
            <w:r w:rsidRPr="00606103">
              <w:rPr>
                <w:rFonts w:asciiTheme="majorHAnsi" w:eastAsia="MS Mincho" w:hAnsiTheme="majorHAnsi" w:cstheme="majorHAnsi"/>
                <w:b/>
                <w:sz w:val="20"/>
                <w:lang w:val="ro-MD" w:eastAsia="ja-JP"/>
              </w:rPr>
              <w:t>31 168,8</w:t>
            </w:r>
          </w:p>
        </w:tc>
        <w:tc>
          <w:tcPr>
            <w:tcW w:w="1160"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MD" w:eastAsia="ja-JP"/>
              </w:rPr>
            </w:pPr>
            <w:r w:rsidRPr="00606103">
              <w:rPr>
                <w:rFonts w:asciiTheme="majorHAnsi" w:eastAsia="MS Mincho" w:hAnsiTheme="majorHAnsi" w:cstheme="majorHAnsi"/>
                <w:b/>
                <w:sz w:val="20"/>
                <w:lang w:val="ro-MD" w:eastAsia="ja-JP"/>
              </w:rPr>
              <w:t>-621,2</w:t>
            </w:r>
          </w:p>
        </w:tc>
        <w:tc>
          <w:tcPr>
            <w:tcW w:w="1203"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MD" w:eastAsia="ja-JP"/>
              </w:rPr>
            </w:pPr>
            <w:r w:rsidRPr="00606103">
              <w:rPr>
                <w:rFonts w:asciiTheme="majorHAnsi" w:eastAsia="MS Mincho" w:hAnsiTheme="majorHAnsi" w:cstheme="majorHAnsi"/>
                <w:b/>
                <w:sz w:val="20"/>
                <w:lang w:val="ro-MD" w:eastAsia="ja-JP"/>
              </w:rPr>
              <w:t>98,0</w:t>
            </w:r>
          </w:p>
        </w:tc>
        <w:tc>
          <w:tcPr>
            <w:tcW w:w="1046"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MD" w:eastAsia="ja-JP"/>
              </w:rPr>
            </w:pPr>
            <w:r w:rsidRPr="00606103">
              <w:rPr>
                <w:rFonts w:asciiTheme="majorHAnsi" w:eastAsia="MS Mincho" w:hAnsiTheme="majorHAnsi" w:cstheme="majorHAnsi"/>
                <w:b/>
                <w:sz w:val="20"/>
                <w:lang w:val="ro-MD" w:eastAsia="ja-JP"/>
              </w:rPr>
              <w:t>26 921,0</w:t>
            </w:r>
          </w:p>
        </w:tc>
        <w:tc>
          <w:tcPr>
            <w:tcW w:w="1012"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MD" w:eastAsia="ja-JP"/>
              </w:rPr>
            </w:pPr>
            <w:r w:rsidRPr="00606103">
              <w:rPr>
                <w:rFonts w:asciiTheme="majorHAnsi" w:eastAsia="MS Mincho" w:hAnsiTheme="majorHAnsi" w:cstheme="majorHAnsi"/>
                <w:b/>
                <w:sz w:val="20"/>
                <w:lang w:val="ro-MD" w:eastAsia="ja-JP"/>
              </w:rPr>
              <w:t>+4 247,8</w:t>
            </w:r>
          </w:p>
        </w:tc>
        <w:tc>
          <w:tcPr>
            <w:tcW w:w="1097" w:type="dxa"/>
          </w:tcPr>
          <w:p w:rsidR="0043437E" w:rsidRPr="00606103" w:rsidRDefault="0043437E">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0"/>
                <w:lang w:val="ro-MD" w:eastAsia="ja-JP"/>
              </w:rPr>
            </w:pPr>
            <w:r w:rsidRPr="00606103">
              <w:rPr>
                <w:rFonts w:asciiTheme="majorHAnsi" w:eastAsia="MS Mincho" w:hAnsiTheme="majorHAnsi" w:cstheme="majorHAnsi"/>
                <w:b/>
                <w:sz w:val="20"/>
                <w:lang w:val="ro-MD" w:eastAsia="ja-JP"/>
              </w:rPr>
              <w:t>115,8</w:t>
            </w:r>
          </w:p>
        </w:tc>
      </w:tr>
    </w:tbl>
    <w:p w:rsidR="0043437E" w:rsidRPr="00606103" w:rsidRDefault="0043437E" w:rsidP="00FE3F3B">
      <w:pPr>
        <w:spacing w:after="120" w:line="276" w:lineRule="auto"/>
        <w:ind w:right="1"/>
        <w:rPr>
          <w:rFonts w:asciiTheme="majorHAnsi" w:eastAsia="MS Mincho" w:hAnsiTheme="majorHAnsi" w:cstheme="majorHAnsi"/>
          <w:i/>
          <w:sz w:val="20"/>
          <w:szCs w:val="20"/>
          <w:lang w:val="ro-MD" w:eastAsia="ja-JP"/>
        </w:rPr>
      </w:pPr>
      <w:r w:rsidRPr="00606103">
        <w:rPr>
          <w:rFonts w:asciiTheme="majorHAnsi" w:eastAsia="MS Mincho" w:hAnsiTheme="majorHAnsi" w:cstheme="majorHAnsi"/>
          <w:b/>
          <w:i/>
          <w:sz w:val="20"/>
          <w:szCs w:val="20"/>
          <w:lang w:val="ro-MD" w:eastAsia="ja-JP"/>
        </w:rPr>
        <w:t>Sursă:</w:t>
      </w:r>
      <w:r w:rsidRPr="00606103">
        <w:rPr>
          <w:rFonts w:asciiTheme="majorHAnsi" w:eastAsia="MS Mincho" w:hAnsiTheme="majorHAnsi" w:cstheme="majorHAnsi"/>
          <w:b/>
          <w:sz w:val="20"/>
          <w:szCs w:val="20"/>
          <w:lang w:val="ro-MD" w:eastAsia="ja-JP"/>
        </w:rPr>
        <w:t xml:space="preserve"> </w:t>
      </w:r>
      <w:r w:rsidRPr="00606103">
        <w:rPr>
          <w:rFonts w:asciiTheme="majorHAnsi" w:eastAsia="MS Mincho" w:hAnsiTheme="majorHAnsi" w:cstheme="majorHAnsi"/>
          <w:i/>
          <w:sz w:val="20"/>
          <w:szCs w:val="20"/>
          <w:lang w:val="ro-MD" w:eastAsia="ja-JP"/>
        </w:rPr>
        <w:t xml:space="preserve">Informații generalizate de echipa de audit în baza datelor prezentate de </w:t>
      </w:r>
      <w:r w:rsidR="00371CAE" w:rsidRPr="00606103">
        <w:rPr>
          <w:rFonts w:asciiTheme="majorHAnsi" w:eastAsia="MS Mincho" w:hAnsiTheme="majorHAnsi" w:cstheme="majorHAnsi"/>
          <w:i/>
          <w:sz w:val="20"/>
          <w:szCs w:val="20"/>
          <w:lang w:val="ro-MD" w:eastAsia="ja-JP"/>
        </w:rPr>
        <w:t>MF</w:t>
      </w:r>
      <w:r w:rsidRPr="00606103">
        <w:rPr>
          <w:rFonts w:asciiTheme="majorHAnsi" w:eastAsia="MS Mincho" w:hAnsiTheme="majorHAnsi" w:cstheme="majorHAnsi"/>
          <w:i/>
          <w:sz w:val="20"/>
          <w:szCs w:val="20"/>
          <w:lang w:val="ro-MD" w:eastAsia="ja-JP"/>
        </w:rPr>
        <w:t>.</w:t>
      </w:r>
    </w:p>
    <w:p w:rsidR="00DD6C38" w:rsidRPr="00414C69" w:rsidRDefault="00871263">
      <w:pPr>
        <w:spacing w:after="0" w:line="276" w:lineRule="auto"/>
        <w:rPr>
          <w:rFonts w:asciiTheme="majorHAnsi" w:hAnsiTheme="majorHAnsi" w:cstheme="majorHAnsi"/>
          <w:i/>
          <w:sz w:val="24"/>
          <w:szCs w:val="24"/>
          <w:lang w:val="ro-MD" w:eastAsia="ja-JP"/>
        </w:rPr>
      </w:pPr>
      <w:r w:rsidRPr="00606103">
        <w:rPr>
          <w:rFonts w:asciiTheme="majorHAnsi" w:hAnsiTheme="majorHAnsi" w:cstheme="majorHAnsi"/>
          <w:sz w:val="24"/>
          <w:szCs w:val="24"/>
          <w:lang w:val="ro-MD" w:eastAsia="ja-JP"/>
        </w:rPr>
        <w:t xml:space="preserve">Auditul public extern relevă creșterea </w:t>
      </w:r>
      <w:r w:rsidR="00D4428E" w:rsidRPr="00606103">
        <w:rPr>
          <w:rFonts w:asciiTheme="majorHAnsi" w:hAnsiTheme="majorHAnsi" w:cstheme="majorHAnsi"/>
          <w:sz w:val="24"/>
          <w:szCs w:val="24"/>
          <w:lang w:val="ro-MD" w:eastAsia="ja-JP"/>
        </w:rPr>
        <w:t xml:space="preserve">în continuare a </w:t>
      </w:r>
      <w:r w:rsidRPr="00606103">
        <w:rPr>
          <w:rFonts w:asciiTheme="majorHAnsi" w:hAnsiTheme="majorHAnsi" w:cstheme="majorHAnsi"/>
          <w:sz w:val="24"/>
          <w:szCs w:val="24"/>
          <w:lang w:val="ro-MD" w:eastAsia="ja-JP"/>
        </w:rPr>
        <w:t>gradului de dependență financiară a bugetelor de alt nivel față de finanțarea de la bugetul de stat. Astfel, p</w:t>
      </w:r>
      <w:r w:rsidRPr="00606103">
        <w:rPr>
          <w:rFonts w:asciiTheme="majorHAnsi" w:hAnsiTheme="majorHAnsi" w:cstheme="majorHAnsi"/>
          <w:sz w:val="24"/>
          <w:szCs w:val="24"/>
          <w:shd w:val="clear" w:color="auto" w:fill="FFFFFF" w:themeFill="background1"/>
          <w:lang w:val="ro-MD" w:eastAsia="ja-JP"/>
        </w:rPr>
        <w:t xml:space="preserve">onderea transferurilor executate de la BS în totalul veniturilor BASS </w:t>
      </w:r>
      <w:r w:rsidR="00EA66FB" w:rsidRPr="00606103">
        <w:rPr>
          <w:rFonts w:asciiTheme="majorHAnsi" w:hAnsiTheme="majorHAnsi" w:cstheme="majorHAnsi"/>
          <w:sz w:val="24"/>
          <w:szCs w:val="24"/>
          <w:shd w:val="clear" w:color="auto" w:fill="FFFFFF" w:themeFill="background1"/>
          <w:lang w:val="ro-MD" w:eastAsia="ja-JP"/>
        </w:rPr>
        <w:t>constituie</w:t>
      </w:r>
      <w:r w:rsidR="008D086A" w:rsidRPr="00606103">
        <w:rPr>
          <w:rFonts w:asciiTheme="majorHAnsi" w:hAnsiTheme="majorHAnsi" w:cstheme="majorHAnsi"/>
          <w:sz w:val="24"/>
          <w:szCs w:val="24"/>
          <w:shd w:val="clear" w:color="auto" w:fill="FFFFFF" w:themeFill="background1"/>
          <w:lang w:val="ro-MD" w:eastAsia="ja-JP"/>
        </w:rPr>
        <w:t xml:space="preserve"> </w:t>
      </w:r>
      <w:r w:rsidRPr="00606103">
        <w:rPr>
          <w:rFonts w:asciiTheme="majorHAnsi" w:hAnsiTheme="majorHAnsi" w:cstheme="majorHAnsi"/>
          <w:sz w:val="24"/>
          <w:szCs w:val="24"/>
          <w:shd w:val="clear" w:color="auto" w:fill="FFFFFF" w:themeFill="background1"/>
          <w:lang w:val="ro-MD" w:eastAsia="ja-JP"/>
        </w:rPr>
        <w:t xml:space="preserve">39,4%, </w:t>
      </w:r>
      <w:r w:rsidR="008D086A" w:rsidRPr="00606103">
        <w:rPr>
          <w:rFonts w:asciiTheme="majorHAnsi" w:hAnsiTheme="majorHAnsi" w:cstheme="majorHAnsi"/>
          <w:sz w:val="24"/>
          <w:szCs w:val="24"/>
          <w:shd w:val="clear" w:color="auto" w:fill="FFFFFF" w:themeFill="background1"/>
          <w:lang w:val="ro-MD" w:eastAsia="ja-JP"/>
        </w:rPr>
        <w:t xml:space="preserve">FAOAM – </w:t>
      </w:r>
      <w:r w:rsidRPr="00606103">
        <w:rPr>
          <w:rFonts w:asciiTheme="majorHAnsi" w:hAnsiTheme="majorHAnsi" w:cstheme="majorHAnsi"/>
          <w:sz w:val="24"/>
          <w:szCs w:val="24"/>
          <w:shd w:val="clear" w:color="auto" w:fill="FFFFFF" w:themeFill="background1"/>
          <w:lang w:val="ro-MD" w:eastAsia="ja-JP"/>
        </w:rPr>
        <w:t>50,6%</w:t>
      </w:r>
      <w:r w:rsidR="00D323A5" w:rsidRPr="00606103">
        <w:rPr>
          <w:rFonts w:asciiTheme="majorHAnsi" w:hAnsiTheme="majorHAnsi" w:cstheme="majorHAnsi"/>
          <w:sz w:val="24"/>
          <w:szCs w:val="24"/>
          <w:shd w:val="clear" w:color="auto" w:fill="FFFFFF" w:themeFill="background1"/>
          <w:lang w:val="ro-MD" w:eastAsia="ja-JP"/>
        </w:rPr>
        <w:t>,</w:t>
      </w:r>
      <w:r w:rsidRPr="00606103">
        <w:rPr>
          <w:rFonts w:asciiTheme="majorHAnsi" w:hAnsiTheme="majorHAnsi" w:cstheme="majorHAnsi"/>
          <w:sz w:val="24"/>
          <w:szCs w:val="24"/>
          <w:shd w:val="clear" w:color="auto" w:fill="FFFFFF" w:themeFill="background1"/>
          <w:lang w:val="ro-MD" w:eastAsia="ja-JP"/>
        </w:rPr>
        <w:t xml:space="preserve"> și </w:t>
      </w:r>
      <w:r w:rsidR="00D323A5" w:rsidRPr="00606103">
        <w:rPr>
          <w:rFonts w:asciiTheme="majorHAnsi" w:hAnsiTheme="majorHAnsi" w:cstheme="majorHAnsi"/>
          <w:sz w:val="24"/>
          <w:szCs w:val="24"/>
          <w:shd w:val="clear" w:color="auto" w:fill="FFFFFF" w:themeFill="background1"/>
          <w:lang w:val="ro-MD" w:eastAsia="ja-JP"/>
        </w:rPr>
        <w:t xml:space="preserve">la </w:t>
      </w:r>
      <w:r w:rsidR="008D086A" w:rsidRPr="00606103">
        <w:rPr>
          <w:rFonts w:asciiTheme="majorHAnsi" w:hAnsiTheme="majorHAnsi" w:cstheme="majorHAnsi"/>
          <w:sz w:val="24"/>
          <w:szCs w:val="24"/>
          <w:shd w:val="clear" w:color="auto" w:fill="FFFFFF" w:themeFill="background1"/>
          <w:lang w:val="ro-MD" w:eastAsia="ja-JP"/>
        </w:rPr>
        <w:t xml:space="preserve">BUAT – </w:t>
      </w:r>
      <w:r w:rsidRPr="00606103">
        <w:rPr>
          <w:rFonts w:asciiTheme="majorHAnsi" w:hAnsiTheme="majorHAnsi" w:cstheme="majorHAnsi"/>
          <w:sz w:val="24"/>
          <w:szCs w:val="24"/>
          <w:shd w:val="clear" w:color="auto" w:fill="FFFFFF" w:themeFill="background1"/>
          <w:lang w:val="ro-MD" w:eastAsia="ja-JP"/>
        </w:rPr>
        <w:t xml:space="preserve">71,7%. </w:t>
      </w:r>
      <w:r w:rsidRPr="00606103">
        <w:rPr>
          <w:rFonts w:asciiTheme="majorHAnsi" w:hAnsiTheme="majorHAnsi" w:cstheme="majorHAnsi"/>
          <w:i/>
          <w:sz w:val="24"/>
          <w:szCs w:val="24"/>
          <w:lang w:val="ro-MD" w:eastAsia="ja-JP"/>
        </w:rPr>
        <w:t xml:space="preserve">Sinteza executării transferurilor de la bugetul de stat în </w:t>
      </w:r>
      <w:r w:rsidR="00D323A5" w:rsidRPr="00606103">
        <w:rPr>
          <w:rFonts w:asciiTheme="majorHAnsi" w:hAnsiTheme="majorHAnsi" w:cstheme="majorHAnsi"/>
          <w:i/>
          <w:sz w:val="24"/>
          <w:szCs w:val="24"/>
          <w:lang w:val="ro-MD" w:eastAsia="ja-JP"/>
        </w:rPr>
        <w:t xml:space="preserve">raport </w:t>
      </w:r>
      <w:r w:rsidRPr="00606103">
        <w:rPr>
          <w:rFonts w:asciiTheme="majorHAnsi" w:hAnsiTheme="majorHAnsi" w:cstheme="majorHAnsi"/>
          <w:i/>
          <w:sz w:val="24"/>
          <w:szCs w:val="24"/>
          <w:lang w:val="ro-MD" w:eastAsia="ja-JP"/>
        </w:rPr>
        <w:t>cu veniturile proprii ale bugetelor componente ale BPN în perioada 2019-2021 se prezintă în Diagrama nr.</w:t>
      </w:r>
      <w:r w:rsidR="00BA4527" w:rsidRPr="00606103">
        <w:rPr>
          <w:rFonts w:asciiTheme="majorHAnsi" w:hAnsiTheme="majorHAnsi" w:cstheme="majorHAnsi"/>
          <w:i/>
          <w:sz w:val="24"/>
          <w:szCs w:val="24"/>
          <w:lang w:val="ro-MD" w:eastAsia="ja-JP"/>
        </w:rPr>
        <w:t>2</w:t>
      </w:r>
      <w:r w:rsidRPr="00606103">
        <w:rPr>
          <w:rFonts w:asciiTheme="majorHAnsi" w:hAnsiTheme="majorHAnsi" w:cstheme="majorHAnsi"/>
          <w:i/>
          <w:sz w:val="24"/>
          <w:szCs w:val="24"/>
          <w:lang w:val="ro-MD" w:eastAsia="ja-JP"/>
        </w:rPr>
        <w:t>.</w:t>
      </w:r>
    </w:p>
    <w:p w:rsidR="008F1AAA" w:rsidRDefault="008F1AAA">
      <w:pPr>
        <w:spacing w:after="0" w:line="276" w:lineRule="auto"/>
        <w:ind w:right="1" w:firstLine="630"/>
        <w:jc w:val="right"/>
        <w:rPr>
          <w:rFonts w:asciiTheme="majorHAnsi" w:eastAsia="Times New Roman" w:hAnsiTheme="majorHAnsi" w:cstheme="majorHAnsi"/>
          <w:b/>
          <w:i/>
          <w:sz w:val="24"/>
          <w:szCs w:val="24"/>
          <w:lang w:val="ro-MD"/>
        </w:rPr>
      </w:pPr>
    </w:p>
    <w:p w:rsidR="005D235B" w:rsidRDefault="005D235B">
      <w:pPr>
        <w:spacing w:after="0" w:line="276" w:lineRule="auto"/>
        <w:ind w:right="1" w:firstLine="630"/>
        <w:jc w:val="right"/>
        <w:rPr>
          <w:rFonts w:asciiTheme="majorHAnsi" w:eastAsia="Times New Roman" w:hAnsiTheme="majorHAnsi" w:cstheme="majorHAnsi"/>
          <w:b/>
          <w:i/>
          <w:sz w:val="24"/>
          <w:szCs w:val="24"/>
          <w:lang w:val="ro-MD"/>
        </w:rPr>
      </w:pPr>
    </w:p>
    <w:p w:rsidR="005D235B" w:rsidRDefault="005D235B">
      <w:pPr>
        <w:spacing w:after="0" w:line="276" w:lineRule="auto"/>
        <w:ind w:right="1" w:firstLine="630"/>
        <w:jc w:val="right"/>
        <w:rPr>
          <w:rFonts w:asciiTheme="majorHAnsi" w:eastAsia="Times New Roman" w:hAnsiTheme="majorHAnsi" w:cstheme="majorHAnsi"/>
          <w:b/>
          <w:i/>
          <w:sz w:val="24"/>
          <w:szCs w:val="24"/>
          <w:lang w:val="ro-MD"/>
        </w:rPr>
      </w:pPr>
    </w:p>
    <w:p w:rsidR="005D235B" w:rsidRDefault="005D235B">
      <w:pPr>
        <w:spacing w:after="0" w:line="276" w:lineRule="auto"/>
        <w:ind w:right="1" w:firstLine="630"/>
        <w:jc w:val="right"/>
        <w:rPr>
          <w:rFonts w:asciiTheme="majorHAnsi" w:eastAsia="Times New Roman" w:hAnsiTheme="majorHAnsi" w:cstheme="majorHAnsi"/>
          <w:b/>
          <w:i/>
          <w:sz w:val="24"/>
          <w:szCs w:val="24"/>
          <w:lang w:val="ro-MD"/>
        </w:rPr>
      </w:pPr>
    </w:p>
    <w:p w:rsidR="005D235B" w:rsidRDefault="005D235B">
      <w:pPr>
        <w:spacing w:after="0" w:line="276" w:lineRule="auto"/>
        <w:ind w:right="1" w:firstLine="630"/>
        <w:jc w:val="right"/>
        <w:rPr>
          <w:rFonts w:asciiTheme="majorHAnsi" w:eastAsia="Times New Roman" w:hAnsiTheme="majorHAnsi" w:cstheme="majorHAnsi"/>
          <w:b/>
          <w:i/>
          <w:sz w:val="24"/>
          <w:szCs w:val="24"/>
          <w:lang w:val="ro-MD"/>
        </w:rPr>
      </w:pPr>
    </w:p>
    <w:p w:rsidR="00871263" w:rsidRPr="00606103" w:rsidRDefault="00871263">
      <w:pPr>
        <w:spacing w:after="0" w:line="276" w:lineRule="auto"/>
        <w:ind w:right="1" w:firstLine="630"/>
        <w:jc w:val="right"/>
        <w:rPr>
          <w:rFonts w:asciiTheme="majorHAnsi" w:eastAsia="MS Mincho" w:hAnsiTheme="majorHAnsi" w:cstheme="majorHAnsi"/>
          <w:b/>
          <w:i/>
          <w:sz w:val="24"/>
          <w:szCs w:val="24"/>
          <w:lang w:val="ro-MD" w:eastAsia="ja-JP"/>
        </w:rPr>
      </w:pPr>
      <w:r w:rsidRPr="00606103">
        <w:rPr>
          <w:rFonts w:asciiTheme="majorHAnsi" w:eastAsia="Times New Roman" w:hAnsiTheme="majorHAnsi" w:cstheme="majorHAnsi"/>
          <w:b/>
          <w:i/>
          <w:sz w:val="24"/>
          <w:szCs w:val="24"/>
          <w:lang w:val="ro-MD"/>
        </w:rPr>
        <w:lastRenderedPageBreak/>
        <w:t>Diagrama nr.</w:t>
      </w:r>
      <w:r w:rsidR="00BA4527" w:rsidRPr="00606103">
        <w:rPr>
          <w:rFonts w:asciiTheme="majorHAnsi" w:eastAsia="Times New Roman" w:hAnsiTheme="majorHAnsi" w:cstheme="majorHAnsi"/>
          <w:b/>
          <w:i/>
          <w:sz w:val="24"/>
          <w:szCs w:val="24"/>
          <w:lang w:val="ro-MD"/>
        </w:rPr>
        <w:t>2</w:t>
      </w:r>
    </w:p>
    <w:p w:rsidR="00871263" w:rsidRDefault="00871263">
      <w:pPr>
        <w:shd w:val="clear" w:color="auto" w:fill="FFFFFF" w:themeFill="background1"/>
        <w:spacing w:after="0" w:line="276" w:lineRule="auto"/>
        <w:ind w:right="1"/>
        <w:jc w:val="center"/>
        <w:rPr>
          <w:rFonts w:asciiTheme="majorHAnsi" w:eastAsia="MS Mincho" w:hAnsiTheme="majorHAnsi" w:cstheme="majorHAnsi"/>
          <w:b/>
          <w:sz w:val="24"/>
          <w:szCs w:val="24"/>
          <w:lang w:val="ro-MD" w:eastAsia="ja-JP"/>
        </w:rPr>
      </w:pPr>
      <w:r w:rsidRPr="00606103">
        <w:rPr>
          <w:rFonts w:asciiTheme="majorHAnsi" w:eastAsia="MS Mincho" w:hAnsiTheme="majorHAnsi" w:cstheme="majorHAnsi"/>
          <w:b/>
          <w:sz w:val="24"/>
          <w:szCs w:val="24"/>
          <w:lang w:val="ro-MD" w:eastAsia="ja-JP"/>
        </w:rPr>
        <w:t xml:space="preserve">Sinteza executării transferurilor de la bugetul de stat în </w:t>
      </w:r>
      <w:r w:rsidR="00D323A5" w:rsidRPr="00606103">
        <w:rPr>
          <w:rFonts w:asciiTheme="majorHAnsi" w:eastAsia="MS Mincho" w:hAnsiTheme="majorHAnsi" w:cstheme="majorHAnsi"/>
          <w:b/>
          <w:sz w:val="24"/>
          <w:szCs w:val="24"/>
          <w:lang w:val="ro-MD" w:eastAsia="ja-JP"/>
        </w:rPr>
        <w:t>raport</w:t>
      </w:r>
      <w:r w:rsidRPr="00606103">
        <w:rPr>
          <w:rFonts w:asciiTheme="majorHAnsi" w:eastAsia="MS Mincho" w:hAnsiTheme="majorHAnsi" w:cstheme="majorHAnsi"/>
          <w:b/>
          <w:sz w:val="24"/>
          <w:szCs w:val="24"/>
          <w:lang w:val="ro-MD" w:eastAsia="ja-JP"/>
        </w:rPr>
        <w:t xml:space="preserve"> cu veniturile proprii ale bugetelor componente ale BPN în perioada 2019-2021</w:t>
      </w:r>
    </w:p>
    <w:p w:rsidR="00414C69" w:rsidRPr="00355FE3" w:rsidRDefault="00414C69" w:rsidP="00414C69">
      <w:pPr>
        <w:spacing w:after="0" w:line="276" w:lineRule="auto"/>
        <w:ind w:right="332"/>
        <w:jc w:val="right"/>
        <w:rPr>
          <w:rFonts w:asciiTheme="majorHAnsi" w:eastAsia="Times New Roman" w:hAnsiTheme="majorHAnsi" w:cstheme="majorHAnsi"/>
          <w:strike/>
          <w:sz w:val="24"/>
          <w:szCs w:val="24"/>
          <w:lang w:val="ro-MD"/>
        </w:rPr>
      </w:pPr>
      <w:r w:rsidRPr="00355FE3">
        <w:rPr>
          <w:rFonts w:asciiTheme="majorHAnsi" w:eastAsia="MS Mincho" w:hAnsiTheme="majorHAnsi" w:cstheme="majorHAnsi"/>
          <w:i/>
          <w:sz w:val="24"/>
          <w:szCs w:val="24"/>
          <w:lang w:val="ro-MD" w:eastAsia="ja-JP"/>
        </w:rPr>
        <w:t xml:space="preserve"> (mil. lei)</w:t>
      </w:r>
    </w:p>
    <w:p w:rsidR="00414C69" w:rsidRPr="00355FE3" w:rsidRDefault="00414C69" w:rsidP="00414C69">
      <w:pPr>
        <w:spacing w:after="0" w:line="276" w:lineRule="auto"/>
        <w:ind w:right="1"/>
        <w:rPr>
          <w:rFonts w:asciiTheme="majorHAnsi" w:eastAsia="MS Mincho" w:hAnsiTheme="majorHAnsi" w:cstheme="majorHAnsi"/>
          <w:b/>
          <w:sz w:val="24"/>
          <w:szCs w:val="24"/>
          <w:lang w:val="ro-MD" w:eastAsia="ja-JP"/>
        </w:rPr>
      </w:pPr>
      <w:r w:rsidRPr="00355FE3">
        <w:rPr>
          <w:rFonts w:asciiTheme="majorHAnsi" w:eastAsia="Times New Roman" w:hAnsiTheme="majorHAnsi" w:cstheme="majorHAnsi"/>
          <w:b/>
          <w:strike/>
          <w:noProof/>
          <w:sz w:val="24"/>
          <w:szCs w:val="24"/>
          <w:lang w:val="en-US"/>
        </w:rPr>
        <w:drawing>
          <wp:inline distT="0" distB="0" distL="0" distR="0" wp14:anchorId="15C7D94D" wp14:editId="2EE80D0E">
            <wp:extent cx="1997613" cy="1751330"/>
            <wp:effectExtent l="0" t="0" r="3175"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55FE3">
        <w:rPr>
          <w:rFonts w:asciiTheme="majorHAnsi" w:eastAsia="Times New Roman" w:hAnsiTheme="majorHAnsi" w:cstheme="majorHAnsi"/>
          <w:b/>
          <w:strike/>
          <w:noProof/>
          <w:sz w:val="24"/>
          <w:szCs w:val="24"/>
          <w:lang w:val="en-US"/>
        </w:rPr>
        <w:drawing>
          <wp:inline distT="0" distB="0" distL="0" distR="0" wp14:anchorId="1749A0C3" wp14:editId="7EA92809">
            <wp:extent cx="1885950" cy="1751330"/>
            <wp:effectExtent l="0" t="0" r="0"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55FE3">
        <w:rPr>
          <w:rFonts w:asciiTheme="majorHAnsi" w:eastAsia="Times New Roman" w:hAnsiTheme="majorHAnsi" w:cstheme="majorHAnsi"/>
          <w:b/>
          <w:strike/>
          <w:noProof/>
          <w:sz w:val="24"/>
          <w:szCs w:val="24"/>
          <w:lang w:val="en-US"/>
        </w:rPr>
        <w:drawing>
          <wp:inline distT="0" distB="0" distL="0" distR="0" wp14:anchorId="3A71E13F" wp14:editId="3DDB1104">
            <wp:extent cx="2028825" cy="1751330"/>
            <wp:effectExtent l="0" t="0" r="9525"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4C69" w:rsidRPr="00355FE3" w:rsidRDefault="00414C69" w:rsidP="00414C69">
      <w:pPr>
        <w:spacing w:after="120" w:line="276" w:lineRule="auto"/>
        <w:ind w:right="1"/>
        <w:rPr>
          <w:rFonts w:asciiTheme="majorHAnsi" w:eastAsia="MS Mincho" w:hAnsiTheme="majorHAnsi" w:cstheme="majorHAnsi"/>
          <w:i/>
          <w:sz w:val="20"/>
          <w:szCs w:val="20"/>
          <w:lang w:val="ro-MD" w:eastAsia="ja-JP"/>
        </w:rPr>
      </w:pPr>
      <w:r w:rsidRPr="00355FE3">
        <w:rPr>
          <w:rFonts w:asciiTheme="majorHAnsi" w:eastAsia="MS Mincho" w:hAnsiTheme="majorHAnsi" w:cstheme="majorHAnsi"/>
          <w:b/>
          <w:i/>
          <w:sz w:val="20"/>
          <w:szCs w:val="20"/>
          <w:lang w:val="ro-MD" w:eastAsia="ja-JP"/>
        </w:rPr>
        <w:t>Sursă:</w:t>
      </w:r>
      <w:r w:rsidRPr="00355FE3">
        <w:rPr>
          <w:rFonts w:asciiTheme="majorHAnsi" w:eastAsia="MS Mincho" w:hAnsiTheme="majorHAnsi" w:cstheme="majorHAnsi"/>
          <w:b/>
          <w:sz w:val="20"/>
          <w:szCs w:val="20"/>
          <w:lang w:val="ro-MD" w:eastAsia="ja-JP"/>
        </w:rPr>
        <w:t xml:space="preserve"> </w:t>
      </w:r>
      <w:r w:rsidRPr="00355FE3">
        <w:rPr>
          <w:rFonts w:asciiTheme="majorHAnsi" w:eastAsia="MS Mincho" w:hAnsiTheme="majorHAnsi" w:cstheme="majorHAnsi"/>
          <w:i/>
          <w:sz w:val="20"/>
          <w:szCs w:val="20"/>
          <w:lang w:val="ro-MD" w:eastAsia="ja-JP"/>
        </w:rPr>
        <w:t>Informații generalizate de echipa de audit din Rapoartele privind executarea BS pentru anii 2019, 2020 și 2021.</w:t>
      </w:r>
    </w:p>
    <w:p w:rsidR="00EA66FB" w:rsidRPr="00606103" w:rsidRDefault="00871263">
      <w:pPr>
        <w:pStyle w:val="NoSpacing"/>
        <w:spacing w:line="276" w:lineRule="auto"/>
        <w:jc w:val="both"/>
        <w:rPr>
          <w:rFonts w:asciiTheme="majorHAnsi" w:hAnsiTheme="majorHAnsi"/>
          <w:sz w:val="24"/>
          <w:szCs w:val="24"/>
          <w:lang w:val="ro-MD" w:eastAsia="ja-JP"/>
        </w:rPr>
      </w:pPr>
      <w:r w:rsidRPr="00606103">
        <w:rPr>
          <w:rFonts w:asciiTheme="majorHAnsi" w:hAnsiTheme="majorHAnsi"/>
          <w:sz w:val="24"/>
          <w:szCs w:val="24"/>
          <w:shd w:val="clear" w:color="auto" w:fill="FFFFFF" w:themeFill="background1"/>
          <w:lang w:val="ro-MD" w:eastAsia="ja-JP"/>
        </w:rPr>
        <w:t xml:space="preserve">Se atestă că </w:t>
      </w:r>
      <w:r w:rsidRPr="00606103">
        <w:rPr>
          <w:rFonts w:asciiTheme="majorHAnsi" w:hAnsiTheme="majorHAnsi"/>
          <w:sz w:val="24"/>
          <w:szCs w:val="24"/>
          <w:lang w:val="ro-MD" w:eastAsia="ja-JP"/>
        </w:rPr>
        <w:t>veniturile proprii ale BUAT în anul 2021 au însumat 5 778,0</w:t>
      </w:r>
      <w:r w:rsidR="00E95D93" w:rsidRPr="00606103">
        <w:rPr>
          <w:rFonts w:asciiTheme="majorHAnsi" w:hAnsiTheme="majorHAnsi"/>
          <w:sz w:val="24"/>
          <w:szCs w:val="24"/>
          <w:lang w:val="ro-MD" w:eastAsia="ja-JP"/>
        </w:rPr>
        <w:t xml:space="preserve"> </w:t>
      </w:r>
      <w:r w:rsidRPr="00606103">
        <w:rPr>
          <w:rFonts w:asciiTheme="majorHAnsi" w:hAnsiTheme="majorHAnsi"/>
          <w:sz w:val="24"/>
          <w:szCs w:val="24"/>
          <w:lang w:val="ro-MD" w:eastAsia="ja-JP"/>
        </w:rPr>
        <w:t>mil. lei, în timp ce transferurile de la bugetul de stat au constituit 14 609,1 mil. lei, devansând de circa 2,5 ori veniturile proprii încasate. Astfel, volumul transferuril</w:t>
      </w:r>
      <w:r w:rsidR="00EA66FB" w:rsidRPr="00606103">
        <w:rPr>
          <w:rFonts w:asciiTheme="majorHAnsi" w:hAnsiTheme="majorHAnsi"/>
          <w:sz w:val="24"/>
          <w:szCs w:val="24"/>
          <w:lang w:val="ro-MD" w:eastAsia="ja-JP"/>
        </w:rPr>
        <w:t>or executate se constituie din:</w:t>
      </w:r>
    </w:p>
    <w:p w:rsidR="00871263" w:rsidRPr="00606103" w:rsidRDefault="00871263" w:rsidP="00552746">
      <w:pPr>
        <w:pStyle w:val="NoSpacing"/>
        <w:numPr>
          <w:ilvl w:val="0"/>
          <w:numId w:val="4"/>
        </w:numPr>
        <w:tabs>
          <w:tab w:val="left" w:pos="142"/>
        </w:tabs>
        <w:spacing w:line="276" w:lineRule="auto"/>
        <w:ind w:left="0" w:firstLine="0"/>
        <w:jc w:val="both"/>
        <w:rPr>
          <w:rFonts w:asciiTheme="majorHAnsi" w:hAnsiTheme="majorHAnsi"/>
          <w:sz w:val="24"/>
          <w:szCs w:val="24"/>
          <w:lang w:val="ro-MD" w:eastAsia="ja-JP"/>
        </w:rPr>
      </w:pPr>
      <w:r w:rsidRPr="00606103">
        <w:rPr>
          <w:rFonts w:asciiTheme="majorHAnsi" w:hAnsiTheme="majorHAnsi"/>
          <w:sz w:val="24"/>
          <w:szCs w:val="24"/>
          <w:lang w:val="ro-MD" w:eastAsia="ja-JP"/>
        </w:rPr>
        <w:t>transferuri repartizate conform Anexei nr.7 la Legea BS</w:t>
      </w:r>
      <w:r w:rsidRPr="00606103">
        <w:rPr>
          <w:rFonts w:asciiTheme="majorHAnsi" w:hAnsiTheme="majorHAnsi"/>
          <w:sz w:val="24"/>
          <w:szCs w:val="24"/>
          <w:vertAlign w:val="superscript"/>
          <w:lang w:val="ro-MD" w:eastAsia="ja-JP"/>
        </w:rPr>
        <w:footnoteReference w:id="38"/>
      </w:r>
      <w:r w:rsidRPr="00606103">
        <w:rPr>
          <w:rFonts w:asciiTheme="majorHAnsi" w:hAnsiTheme="majorHAnsi"/>
          <w:sz w:val="24"/>
          <w:szCs w:val="24"/>
          <w:lang w:val="ro-MD" w:eastAsia="ja-JP"/>
        </w:rPr>
        <w:t xml:space="preserve"> – 14 137,5 mil.lei;</w:t>
      </w:r>
    </w:p>
    <w:p w:rsidR="00871263" w:rsidRPr="00606103" w:rsidRDefault="00871263" w:rsidP="00552746">
      <w:pPr>
        <w:pStyle w:val="NoSpacing"/>
        <w:numPr>
          <w:ilvl w:val="0"/>
          <w:numId w:val="4"/>
        </w:numPr>
        <w:tabs>
          <w:tab w:val="left" w:pos="142"/>
        </w:tabs>
        <w:spacing w:line="276" w:lineRule="auto"/>
        <w:ind w:left="0" w:firstLine="0"/>
        <w:jc w:val="both"/>
        <w:rPr>
          <w:rFonts w:asciiTheme="majorHAnsi" w:hAnsiTheme="majorHAnsi"/>
          <w:sz w:val="24"/>
          <w:szCs w:val="24"/>
          <w:lang w:val="ro-MD" w:eastAsia="ja-JP"/>
        </w:rPr>
      </w:pPr>
      <w:r w:rsidRPr="00606103">
        <w:rPr>
          <w:rFonts w:asciiTheme="majorHAnsi" w:hAnsiTheme="majorHAnsi"/>
          <w:sz w:val="24"/>
          <w:szCs w:val="24"/>
          <w:lang w:val="ro-MD" w:eastAsia="ja-JP"/>
        </w:rPr>
        <w:t xml:space="preserve">transferuri executate pentru scopuri specifice din fondurile centralizate – 340,4 mil. lei, dintre care: </w:t>
      </w:r>
      <w:r w:rsidRPr="00606103">
        <w:rPr>
          <w:rFonts w:asciiTheme="majorHAnsi" w:hAnsiTheme="majorHAnsi"/>
          <w:i/>
          <w:sz w:val="24"/>
          <w:szCs w:val="24"/>
          <w:lang w:val="ro-MD" w:eastAsia="ja-JP"/>
        </w:rPr>
        <w:t>(i)</w:t>
      </w:r>
      <w:r w:rsidRPr="00606103">
        <w:rPr>
          <w:rFonts w:asciiTheme="majorHAnsi" w:hAnsiTheme="majorHAnsi"/>
          <w:sz w:val="24"/>
          <w:szCs w:val="24"/>
          <w:lang w:val="ro-MD" w:eastAsia="ja-JP"/>
        </w:rPr>
        <w:t xml:space="preserve"> </w:t>
      </w:r>
      <w:r w:rsidRPr="00606103">
        <w:rPr>
          <w:rFonts w:asciiTheme="majorHAnsi" w:hAnsiTheme="majorHAnsi"/>
          <w:sz w:val="24"/>
          <w:szCs w:val="24"/>
          <w:lang w:val="ro-MD"/>
        </w:rPr>
        <w:t xml:space="preserve">Fondul Ecologic Național – 260,8 mil. lei, </w:t>
      </w:r>
      <w:r w:rsidRPr="00606103">
        <w:rPr>
          <w:rFonts w:asciiTheme="majorHAnsi" w:hAnsiTheme="majorHAnsi"/>
          <w:i/>
          <w:sz w:val="24"/>
          <w:szCs w:val="24"/>
          <w:lang w:val="ro-MD" w:eastAsia="ja-JP"/>
        </w:rPr>
        <w:t>(ii)</w:t>
      </w:r>
      <w:r w:rsidRPr="00606103">
        <w:rPr>
          <w:rFonts w:asciiTheme="majorHAnsi" w:hAnsiTheme="majorHAnsi"/>
          <w:sz w:val="24"/>
          <w:szCs w:val="24"/>
          <w:lang w:val="ro-MD" w:eastAsia="ja-JP"/>
        </w:rPr>
        <w:t xml:space="preserve"> </w:t>
      </w:r>
      <w:r w:rsidRPr="00606103">
        <w:rPr>
          <w:rFonts w:asciiTheme="majorHAnsi" w:hAnsiTheme="majorHAnsi"/>
          <w:sz w:val="24"/>
          <w:szCs w:val="24"/>
          <w:lang w:val="ro-MD"/>
        </w:rPr>
        <w:t xml:space="preserve">Fondul de eficiență în energetică – 20,7 mil. lei, </w:t>
      </w:r>
      <w:r w:rsidRPr="00606103">
        <w:rPr>
          <w:rFonts w:asciiTheme="majorHAnsi" w:hAnsiTheme="majorHAnsi"/>
          <w:i/>
          <w:sz w:val="24"/>
          <w:szCs w:val="24"/>
          <w:lang w:val="ro-MD" w:eastAsia="ja-JP"/>
        </w:rPr>
        <w:t>(iii)</w:t>
      </w:r>
      <w:r w:rsidRPr="00606103">
        <w:rPr>
          <w:rFonts w:asciiTheme="majorHAnsi" w:hAnsiTheme="majorHAnsi"/>
          <w:sz w:val="24"/>
          <w:szCs w:val="24"/>
          <w:lang w:val="ro-MD" w:eastAsia="ja-JP"/>
        </w:rPr>
        <w:t xml:space="preserve"> </w:t>
      </w:r>
      <w:r w:rsidRPr="00606103">
        <w:rPr>
          <w:rFonts w:asciiTheme="majorHAnsi" w:hAnsiTheme="majorHAnsi"/>
          <w:sz w:val="24"/>
          <w:szCs w:val="24"/>
          <w:lang w:val="ro-MD"/>
        </w:rPr>
        <w:t>Fondul național de dezvoltare a agriculturii și mediului rural – 55,1 mil. lei</w:t>
      </w:r>
      <w:r w:rsidR="00A30451" w:rsidRPr="00606103">
        <w:rPr>
          <w:rFonts w:asciiTheme="majorHAnsi" w:hAnsiTheme="majorHAnsi"/>
          <w:sz w:val="24"/>
          <w:szCs w:val="24"/>
          <w:lang w:val="ro-MD"/>
        </w:rPr>
        <w:t>,</w:t>
      </w:r>
      <w:r w:rsidRPr="00606103">
        <w:rPr>
          <w:rFonts w:asciiTheme="majorHAnsi" w:hAnsiTheme="majorHAnsi"/>
          <w:sz w:val="24"/>
          <w:szCs w:val="24"/>
          <w:lang w:val="ro-MD"/>
        </w:rPr>
        <w:t xml:space="preserve"> și </w:t>
      </w:r>
      <w:r w:rsidRPr="00606103">
        <w:rPr>
          <w:rFonts w:asciiTheme="majorHAnsi" w:hAnsiTheme="majorHAnsi"/>
          <w:i/>
          <w:sz w:val="24"/>
          <w:szCs w:val="24"/>
          <w:lang w:val="ro-MD" w:eastAsia="ja-JP"/>
        </w:rPr>
        <w:t>(iv)</w:t>
      </w:r>
      <w:r w:rsidRPr="00606103">
        <w:rPr>
          <w:rFonts w:asciiTheme="majorHAnsi" w:hAnsiTheme="majorHAnsi"/>
          <w:sz w:val="24"/>
          <w:szCs w:val="24"/>
          <w:lang w:val="ro-MD" w:eastAsia="ja-JP"/>
        </w:rPr>
        <w:t xml:space="preserve"> </w:t>
      </w:r>
      <w:r w:rsidRPr="00606103">
        <w:rPr>
          <w:rFonts w:asciiTheme="majorHAnsi" w:hAnsiTheme="majorHAnsi"/>
          <w:sz w:val="24"/>
          <w:szCs w:val="24"/>
          <w:lang w:val="ro-MD"/>
        </w:rPr>
        <w:t>proiectul „Programul rural de reziliență economico-climatică incluzivă (IFAD VI)” – 3,8 mil. lei;</w:t>
      </w:r>
    </w:p>
    <w:p w:rsidR="00871263" w:rsidRPr="00606103" w:rsidRDefault="00871263" w:rsidP="00552746">
      <w:pPr>
        <w:pStyle w:val="NoSpacing"/>
        <w:numPr>
          <w:ilvl w:val="0"/>
          <w:numId w:val="4"/>
        </w:numPr>
        <w:tabs>
          <w:tab w:val="left" w:pos="142"/>
        </w:tabs>
        <w:spacing w:line="276" w:lineRule="auto"/>
        <w:ind w:left="0" w:firstLine="0"/>
        <w:jc w:val="both"/>
        <w:rPr>
          <w:rFonts w:asciiTheme="majorHAnsi" w:hAnsiTheme="majorHAnsi"/>
          <w:sz w:val="24"/>
          <w:szCs w:val="24"/>
          <w:lang w:val="ro-MD" w:eastAsia="ja-JP"/>
        </w:rPr>
      </w:pPr>
      <w:r w:rsidRPr="00606103">
        <w:rPr>
          <w:rFonts w:asciiTheme="majorHAnsi" w:hAnsiTheme="majorHAnsi"/>
          <w:sz w:val="24"/>
          <w:szCs w:val="24"/>
          <w:lang w:val="ro-MD" w:eastAsia="ja-JP"/>
        </w:rPr>
        <w:t xml:space="preserve">transferuri cu destinație specială repartizate prin Hotărâri de Guvern – 131,2 mil. lei, din care: </w:t>
      </w:r>
      <w:r w:rsidRPr="00606103">
        <w:rPr>
          <w:rFonts w:asciiTheme="majorHAnsi" w:hAnsiTheme="majorHAnsi"/>
          <w:i/>
          <w:sz w:val="24"/>
          <w:szCs w:val="24"/>
          <w:lang w:val="ro-MD" w:eastAsia="ja-JP"/>
        </w:rPr>
        <w:t>(i)</w:t>
      </w:r>
      <w:r w:rsidRPr="00606103">
        <w:rPr>
          <w:rFonts w:asciiTheme="majorHAnsi" w:hAnsiTheme="majorHAnsi"/>
          <w:sz w:val="24"/>
          <w:szCs w:val="24"/>
          <w:lang w:val="ro-MD" w:eastAsia="ja-JP"/>
        </w:rPr>
        <w:t xml:space="preserve"> din fondurile de urgență ale Guvernului – 113,8 mil. lei (</w:t>
      </w:r>
      <w:r w:rsidRPr="00606103">
        <w:rPr>
          <w:rFonts w:asciiTheme="majorHAnsi" w:hAnsiTheme="majorHAnsi"/>
          <w:sz w:val="24"/>
          <w:szCs w:val="24"/>
          <w:lang w:val="ro-MD"/>
        </w:rPr>
        <w:t>inclusiv</w:t>
      </w:r>
      <w:r w:rsidRPr="00606103">
        <w:rPr>
          <w:rFonts w:asciiTheme="majorHAnsi" w:hAnsiTheme="majorHAnsi"/>
          <w:sz w:val="24"/>
          <w:szCs w:val="24"/>
          <w:lang w:val="ro-MD" w:eastAsia="ja-JP"/>
        </w:rPr>
        <w:t xml:space="preserve"> 107,8 mil. lei pentru acordarea indemnizațiilor unice angajaților din sistemul medical infectați cu COVID-19), </w:t>
      </w:r>
      <w:r w:rsidRPr="00606103">
        <w:rPr>
          <w:rFonts w:asciiTheme="majorHAnsi" w:hAnsiTheme="majorHAnsi"/>
          <w:i/>
          <w:sz w:val="24"/>
          <w:szCs w:val="24"/>
          <w:lang w:val="ro-MD" w:eastAsia="ja-JP"/>
        </w:rPr>
        <w:t>(ii)</w:t>
      </w:r>
      <w:r w:rsidRPr="00606103">
        <w:rPr>
          <w:rFonts w:asciiTheme="majorHAnsi" w:hAnsiTheme="majorHAnsi"/>
          <w:sz w:val="24"/>
          <w:szCs w:val="24"/>
          <w:lang w:val="ro-MD" w:eastAsia="ja-JP"/>
        </w:rPr>
        <w:t xml:space="preserve"> pentru Programul de reintegrare a țării – 8,1 mil. lei, </w:t>
      </w:r>
      <w:r w:rsidRPr="00606103">
        <w:rPr>
          <w:rFonts w:asciiTheme="majorHAnsi" w:hAnsiTheme="majorHAnsi"/>
          <w:i/>
          <w:sz w:val="24"/>
          <w:szCs w:val="24"/>
          <w:lang w:val="ro-MD" w:eastAsia="ja-JP"/>
        </w:rPr>
        <w:t>(iii)</w:t>
      </w:r>
      <w:r w:rsidRPr="00606103">
        <w:rPr>
          <w:rFonts w:asciiTheme="majorHAnsi" w:hAnsiTheme="majorHAnsi"/>
          <w:sz w:val="24"/>
          <w:szCs w:val="24"/>
          <w:lang w:val="ro-MD" w:eastAsia="ja-JP"/>
        </w:rPr>
        <w:t xml:space="preserve"> pentru Programul Diaspora Acasă Reușește „DAR 1+3” – 4,9 mil. lei, și </w:t>
      </w:r>
      <w:r w:rsidRPr="00606103">
        <w:rPr>
          <w:rFonts w:asciiTheme="majorHAnsi" w:hAnsiTheme="majorHAnsi"/>
          <w:i/>
          <w:sz w:val="24"/>
          <w:szCs w:val="24"/>
          <w:lang w:val="ro-MD" w:eastAsia="ja-JP"/>
        </w:rPr>
        <w:t>(iv)</w:t>
      </w:r>
      <w:r w:rsidRPr="00606103">
        <w:rPr>
          <w:rFonts w:asciiTheme="majorHAnsi" w:hAnsiTheme="majorHAnsi"/>
          <w:sz w:val="24"/>
          <w:szCs w:val="24"/>
          <w:lang w:val="ro-MD" w:eastAsia="ja-JP"/>
        </w:rPr>
        <w:t xml:space="preserve"> pentru alte activități</w:t>
      </w:r>
      <w:r w:rsidRPr="00606103">
        <w:rPr>
          <w:rFonts w:asciiTheme="majorHAnsi" w:hAnsiTheme="majorHAnsi"/>
          <w:sz w:val="24"/>
          <w:szCs w:val="24"/>
          <w:vertAlign w:val="superscript"/>
          <w:lang w:val="ro-MD" w:eastAsia="ja-JP"/>
        </w:rPr>
        <w:footnoteReference w:id="39"/>
      </w:r>
      <w:r w:rsidRPr="00606103">
        <w:rPr>
          <w:rFonts w:asciiTheme="majorHAnsi" w:hAnsiTheme="majorHAnsi"/>
          <w:sz w:val="24"/>
          <w:szCs w:val="24"/>
          <w:lang w:val="ro-MD" w:eastAsia="ja-JP"/>
        </w:rPr>
        <w:t xml:space="preserve"> – 4,4 mil. lei.</w:t>
      </w:r>
    </w:p>
    <w:p w:rsidR="00871263" w:rsidRPr="00606103" w:rsidRDefault="00506AAD">
      <w:pPr>
        <w:spacing w:line="276" w:lineRule="auto"/>
        <w:rPr>
          <w:rFonts w:asciiTheme="majorHAnsi" w:hAnsiTheme="majorHAnsi" w:cstheme="majorHAnsi"/>
          <w:sz w:val="24"/>
          <w:szCs w:val="24"/>
          <w:lang w:val="ro-MD" w:eastAsia="ja-JP"/>
        </w:rPr>
      </w:pPr>
      <w:r w:rsidRPr="00606103">
        <w:rPr>
          <w:rFonts w:asciiTheme="majorHAnsi" w:eastAsia="MS Mincho" w:hAnsiTheme="majorHAnsi" w:cstheme="majorHAnsi"/>
          <w:sz w:val="24"/>
          <w:szCs w:val="24"/>
          <w:lang w:val="ro-MD" w:eastAsia="ja-JP"/>
        </w:rPr>
        <w:t>Ca</w:t>
      </w:r>
      <w:r w:rsidR="00DD6FFE" w:rsidRPr="00606103">
        <w:rPr>
          <w:rFonts w:asciiTheme="majorHAnsi" w:eastAsia="MS Mincho" w:hAnsiTheme="majorHAnsi" w:cstheme="majorHAnsi"/>
          <w:sz w:val="24"/>
          <w:szCs w:val="24"/>
          <w:lang w:val="ro-MD" w:eastAsia="ja-JP"/>
        </w:rPr>
        <w:t xml:space="preserve"> rezultat</w:t>
      </w:r>
      <w:r w:rsidRPr="00606103">
        <w:rPr>
          <w:rFonts w:asciiTheme="majorHAnsi" w:eastAsia="MS Mincho" w:hAnsiTheme="majorHAnsi" w:cstheme="majorHAnsi"/>
          <w:sz w:val="24"/>
          <w:szCs w:val="24"/>
          <w:lang w:val="ro-MD" w:eastAsia="ja-JP"/>
        </w:rPr>
        <w:t xml:space="preserve"> a</w:t>
      </w:r>
      <w:r w:rsidR="00DD6FFE" w:rsidRPr="00606103">
        <w:rPr>
          <w:rFonts w:asciiTheme="majorHAnsi" w:eastAsia="MS Mincho" w:hAnsiTheme="majorHAnsi" w:cstheme="majorHAnsi"/>
          <w:sz w:val="24"/>
          <w:szCs w:val="24"/>
          <w:lang w:val="ro-MD" w:eastAsia="ja-JP"/>
        </w:rPr>
        <w:t>l acceptării amendamentelor deputaților</w:t>
      </w:r>
      <w:r w:rsidR="00DD6FFE" w:rsidRPr="00606103">
        <w:rPr>
          <w:rFonts w:asciiTheme="majorHAnsi" w:hAnsiTheme="majorHAnsi" w:cstheme="majorHAnsi"/>
          <w:sz w:val="24"/>
          <w:szCs w:val="24"/>
          <w:vertAlign w:val="superscript"/>
          <w:lang w:val="ro-MD" w:eastAsia="ja-JP"/>
        </w:rPr>
        <w:footnoteReference w:id="40"/>
      </w:r>
      <w:r w:rsidR="00DD6FFE" w:rsidRPr="00606103">
        <w:rPr>
          <w:rFonts w:asciiTheme="majorHAnsi" w:hAnsiTheme="majorHAnsi" w:cstheme="majorHAnsi"/>
          <w:sz w:val="24"/>
          <w:szCs w:val="24"/>
          <w:lang w:val="ro-MD" w:eastAsia="ja-JP"/>
        </w:rPr>
        <w:t xml:space="preserve">, </w:t>
      </w:r>
      <w:r w:rsidR="00DD6FFE" w:rsidRPr="00606103">
        <w:rPr>
          <w:rFonts w:asciiTheme="majorHAnsi" w:eastAsia="MS Mincho" w:hAnsiTheme="majorHAnsi" w:cstheme="majorHAnsi"/>
          <w:sz w:val="24"/>
          <w:szCs w:val="24"/>
          <w:lang w:val="ro-MD" w:eastAsia="ja-JP"/>
        </w:rPr>
        <w:t xml:space="preserve">transferurile către bugetele locale au fost majorate </w:t>
      </w:r>
      <w:r w:rsidRPr="00606103">
        <w:rPr>
          <w:rFonts w:asciiTheme="majorHAnsi" w:eastAsia="MS Mincho" w:hAnsiTheme="majorHAnsi" w:cstheme="majorHAnsi"/>
          <w:sz w:val="24"/>
          <w:szCs w:val="24"/>
          <w:lang w:val="ro-MD" w:eastAsia="ja-JP"/>
        </w:rPr>
        <w:t xml:space="preserve">cu 356,8 mil. lei, </w:t>
      </w:r>
      <w:r w:rsidR="00DD6FFE" w:rsidRPr="00606103">
        <w:rPr>
          <w:rFonts w:asciiTheme="majorHAnsi" w:eastAsia="MS Mincho" w:hAnsiTheme="majorHAnsi" w:cstheme="majorHAnsi"/>
          <w:sz w:val="24"/>
          <w:szCs w:val="24"/>
          <w:lang w:val="ro-MD" w:eastAsia="ja-JP"/>
        </w:rPr>
        <w:t xml:space="preserve">comparativ cu cele aprobate de către Guvern în proiectul legii bugetului de stat pentru anul </w:t>
      </w:r>
      <w:r w:rsidR="00DD6FFE" w:rsidRPr="00606103">
        <w:rPr>
          <w:rFonts w:asciiTheme="majorHAnsi" w:hAnsiTheme="majorHAnsi" w:cstheme="majorHAnsi"/>
          <w:sz w:val="24"/>
          <w:szCs w:val="24"/>
          <w:lang w:val="ro-MD" w:eastAsia="ja-JP"/>
        </w:rPr>
        <w:t>2021</w:t>
      </w:r>
      <w:r w:rsidR="00DD6FFE" w:rsidRPr="00606103">
        <w:rPr>
          <w:rFonts w:asciiTheme="majorHAnsi" w:hAnsiTheme="majorHAnsi" w:cstheme="majorHAnsi"/>
          <w:sz w:val="24"/>
          <w:szCs w:val="24"/>
          <w:vertAlign w:val="superscript"/>
          <w:lang w:val="ro-MD" w:eastAsia="ja-JP"/>
        </w:rPr>
        <w:footnoteReference w:id="41"/>
      </w:r>
      <w:r w:rsidR="00DD6FFE" w:rsidRPr="00606103">
        <w:rPr>
          <w:rFonts w:asciiTheme="majorHAnsi" w:eastAsia="MS Mincho" w:hAnsiTheme="majorHAnsi" w:cstheme="majorHAnsi"/>
          <w:sz w:val="24"/>
          <w:szCs w:val="24"/>
          <w:lang w:val="ro-MD" w:eastAsia="ja-JP"/>
        </w:rPr>
        <w:t xml:space="preserve">, </w:t>
      </w:r>
      <w:r w:rsidRPr="00606103">
        <w:rPr>
          <w:rFonts w:asciiTheme="majorHAnsi" w:eastAsia="MS Mincho" w:hAnsiTheme="majorHAnsi" w:cstheme="majorHAnsi"/>
          <w:sz w:val="24"/>
          <w:szCs w:val="24"/>
          <w:lang w:val="ro-MD" w:eastAsia="ja-JP"/>
        </w:rPr>
        <w:t xml:space="preserve">fiind </w:t>
      </w:r>
      <w:r w:rsidR="00DD6FFE" w:rsidRPr="00606103">
        <w:rPr>
          <w:rFonts w:asciiTheme="majorHAnsi" w:eastAsia="MS Mincho" w:hAnsiTheme="majorHAnsi" w:cstheme="majorHAnsi"/>
          <w:sz w:val="24"/>
          <w:szCs w:val="24"/>
          <w:lang w:val="ro-MD" w:eastAsia="ja-JP"/>
        </w:rPr>
        <w:t>destinate cheltuielilor capitale.</w:t>
      </w:r>
    </w:p>
    <w:p w:rsidR="00871263" w:rsidRPr="00606103" w:rsidRDefault="00871263">
      <w:pPr>
        <w:spacing w:line="276" w:lineRule="auto"/>
        <w:rPr>
          <w:rFonts w:asciiTheme="majorHAnsi" w:hAnsiTheme="majorHAnsi" w:cstheme="majorHAnsi"/>
          <w:sz w:val="24"/>
          <w:szCs w:val="24"/>
          <w:lang w:val="ro-MD" w:eastAsia="ja-JP"/>
        </w:rPr>
      </w:pPr>
      <w:r w:rsidRPr="00606103">
        <w:rPr>
          <w:rFonts w:asciiTheme="majorHAnsi" w:hAnsiTheme="majorHAnsi" w:cstheme="majorHAnsi"/>
          <w:sz w:val="24"/>
          <w:szCs w:val="24"/>
          <w:lang w:val="ro-MD" w:eastAsia="ja-JP"/>
        </w:rPr>
        <w:t>Conform Legii BS pentru anul 2021, la BUAT au fost precizate transferuri cu destinație generală</w:t>
      </w:r>
      <w:r w:rsidRPr="00606103">
        <w:rPr>
          <w:rFonts w:asciiTheme="majorHAnsi" w:hAnsiTheme="majorHAnsi" w:cstheme="majorHAnsi"/>
          <w:sz w:val="24"/>
          <w:szCs w:val="24"/>
          <w:vertAlign w:val="superscript"/>
          <w:lang w:val="ro-MD" w:eastAsia="ja-JP"/>
        </w:rPr>
        <w:footnoteReference w:id="42"/>
      </w:r>
      <w:r w:rsidRPr="00606103">
        <w:rPr>
          <w:rFonts w:asciiTheme="majorHAnsi" w:hAnsiTheme="majorHAnsi" w:cstheme="majorHAnsi"/>
          <w:sz w:val="24"/>
          <w:szCs w:val="24"/>
          <w:lang w:val="ro-MD" w:eastAsia="ja-JP"/>
        </w:rPr>
        <w:t xml:space="preserve"> în sumă de 2 038,2 mil. lei, transferuri cu destinație specială</w:t>
      </w:r>
      <w:r w:rsidRPr="00606103">
        <w:rPr>
          <w:rFonts w:asciiTheme="majorHAnsi" w:hAnsiTheme="majorHAnsi" w:cstheme="majorHAnsi"/>
          <w:sz w:val="24"/>
          <w:szCs w:val="24"/>
          <w:vertAlign w:val="superscript"/>
          <w:lang w:val="ro-MD" w:eastAsia="ja-JP"/>
        </w:rPr>
        <w:footnoteReference w:id="43"/>
      </w:r>
      <w:r w:rsidR="001B6617" w:rsidRPr="00606103">
        <w:rPr>
          <w:rFonts w:asciiTheme="majorHAnsi" w:hAnsiTheme="majorHAnsi" w:cstheme="majorHAnsi"/>
          <w:sz w:val="24"/>
          <w:szCs w:val="24"/>
          <w:lang w:val="ro-MD" w:eastAsia="ja-JP"/>
        </w:rPr>
        <w:t xml:space="preserve"> </w:t>
      </w:r>
      <w:r w:rsidR="00A30451" w:rsidRPr="00606103">
        <w:rPr>
          <w:rFonts w:asciiTheme="majorHAnsi" w:hAnsiTheme="majorHAnsi"/>
          <w:sz w:val="24"/>
          <w:szCs w:val="24"/>
          <w:lang w:val="ro-MD" w:eastAsia="ja-JP"/>
        </w:rPr>
        <w:t>–</w:t>
      </w:r>
      <w:r w:rsidRPr="00606103">
        <w:rPr>
          <w:rFonts w:asciiTheme="majorHAnsi" w:hAnsiTheme="majorHAnsi" w:cstheme="majorHAnsi"/>
          <w:sz w:val="24"/>
          <w:szCs w:val="24"/>
          <w:lang w:val="ro-MD" w:eastAsia="ja-JP"/>
        </w:rPr>
        <w:t xml:space="preserve"> </w:t>
      </w:r>
      <w:r w:rsidR="00A30451" w:rsidRPr="00606103">
        <w:rPr>
          <w:rFonts w:asciiTheme="majorHAnsi" w:hAnsiTheme="majorHAnsi" w:cstheme="majorHAnsi"/>
          <w:sz w:val="24"/>
          <w:szCs w:val="24"/>
          <w:lang w:val="ro-MD" w:eastAsia="ja-JP"/>
        </w:rPr>
        <w:t xml:space="preserve">de </w:t>
      </w:r>
      <w:r w:rsidRPr="00606103">
        <w:rPr>
          <w:rFonts w:asciiTheme="majorHAnsi" w:hAnsiTheme="majorHAnsi" w:cstheme="majorHAnsi"/>
          <w:sz w:val="24"/>
          <w:szCs w:val="24"/>
          <w:lang w:val="ro-MD" w:eastAsia="ja-JP"/>
        </w:rPr>
        <w:t>12 076,0 mil. lei, inclusiv 134,5 mil. lei din contul redistribuirii alocațiilor</w:t>
      </w:r>
      <w:r w:rsidRPr="00606103">
        <w:rPr>
          <w:rFonts w:asciiTheme="majorHAnsi" w:hAnsiTheme="majorHAnsi" w:cstheme="majorHAnsi"/>
          <w:sz w:val="24"/>
          <w:szCs w:val="24"/>
          <w:vertAlign w:val="superscript"/>
          <w:lang w:val="ro-MD" w:eastAsia="ja-JP"/>
        </w:rPr>
        <w:footnoteReference w:id="44"/>
      </w:r>
      <w:r w:rsidRPr="00606103">
        <w:rPr>
          <w:rFonts w:asciiTheme="majorHAnsi" w:hAnsiTheme="majorHAnsi" w:cstheme="majorHAnsi"/>
          <w:sz w:val="24"/>
          <w:szCs w:val="24"/>
          <w:lang w:val="ro-MD" w:eastAsia="ja-JP"/>
        </w:rPr>
        <w:t xml:space="preserve"> în scopul acoperirii parțiale a cheltuielilor pentru asigurarea prevederilor cadrului normativ privind salarizarea în sectorul bugetar, alocații pentru acoperirea </w:t>
      </w:r>
      <w:r w:rsidRPr="00606103">
        <w:rPr>
          <w:rFonts w:asciiTheme="majorHAnsi" w:hAnsiTheme="majorHAnsi" w:cstheme="majorHAnsi"/>
          <w:sz w:val="24"/>
          <w:szCs w:val="24"/>
          <w:lang w:val="ro-MD" w:eastAsia="ja-JP"/>
        </w:rPr>
        <w:lastRenderedPageBreak/>
        <w:t xml:space="preserve">insuficienței costurilor salariale aferente domeniilor proprii de activitate – 241,0 mil. lei, repartizate pe </w:t>
      </w:r>
      <w:r w:rsidRPr="00606103">
        <w:rPr>
          <w:rFonts w:asciiTheme="majorHAnsi" w:eastAsia="Times New Roman" w:hAnsiTheme="majorHAnsi" w:cstheme="majorHAnsi"/>
          <w:sz w:val="24"/>
          <w:szCs w:val="24"/>
          <w:lang w:val="ro-MD"/>
        </w:rPr>
        <w:t>fiecare unitate administrativ-teritorială</w:t>
      </w:r>
      <w:r w:rsidRPr="00606103">
        <w:rPr>
          <w:rFonts w:asciiTheme="majorHAnsi" w:hAnsiTheme="majorHAnsi" w:cstheme="majorHAnsi"/>
          <w:sz w:val="24"/>
          <w:szCs w:val="24"/>
          <w:lang w:val="ro-MD" w:eastAsia="ja-JP"/>
        </w:rPr>
        <w:t xml:space="preserve"> conform Anexei nr.7 la Legea bugetară anuală</w:t>
      </w:r>
      <w:r w:rsidRPr="00606103">
        <w:rPr>
          <w:rFonts w:asciiTheme="majorHAnsi" w:hAnsiTheme="majorHAnsi" w:cstheme="majorHAnsi"/>
          <w:sz w:val="24"/>
          <w:szCs w:val="24"/>
          <w:vertAlign w:val="superscript"/>
          <w:lang w:val="ro-MD" w:eastAsia="ja-JP"/>
        </w:rPr>
        <w:footnoteReference w:id="45"/>
      </w:r>
      <w:r w:rsidRPr="00606103">
        <w:rPr>
          <w:rFonts w:asciiTheme="majorHAnsi" w:hAnsiTheme="majorHAnsi" w:cstheme="majorHAnsi"/>
          <w:sz w:val="24"/>
          <w:szCs w:val="24"/>
          <w:lang w:val="ro-MD" w:eastAsia="ja-JP"/>
        </w:rPr>
        <w:t xml:space="preserve">. Totodată, la </w:t>
      </w:r>
      <w:r w:rsidR="00BD408E" w:rsidRPr="00606103">
        <w:rPr>
          <w:rFonts w:asciiTheme="majorHAnsi" w:hAnsiTheme="majorHAnsi" w:cstheme="majorHAnsi"/>
          <w:sz w:val="24"/>
          <w:szCs w:val="24"/>
          <w:lang w:val="ro-MD" w:eastAsia="ja-JP"/>
        </w:rPr>
        <w:t>modificare</w:t>
      </w:r>
      <w:r w:rsidR="00506AAD" w:rsidRPr="00606103">
        <w:rPr>
          <w:rFonts w:asciiTheme="majorHAnsi" w:hAnsiTheme="majorHAnsi" w:cstheme="majorHAnsi"/>
          <w:sz w:val="24"/>
          <w:szCs w:val="24"/>
          <w:lang w:val="ro-MD" w:eastAsia="ja-JP"/>
        </w:rPr>
        <w:t>a</w:t>
      </w:r>
      <w:r w:rsidRPr="00606103">
        <w:rPr>
          <w:rFonts w:asciiTheme="majorHAnsi" w:hAnsiTheme="majorHAnsi" w:cstheme="majorHAnsi"/>
          <w:sz w:val="24"/>
          <w:szCs w:val="24"/>
          <w:lang w:val="ro-MD" w:eastAsia="ja-JP"/>
        </w:rPr>
        <w:t xml:space="preserve"> bugetului</w:t>
      </w:r>
      <w:r w:rsidRPr="00606103">
        <w:rPr>
          <w:rFonts w:asciiTheme="majorHAnsi" w:hAnsiTheme="majorHAnsi" w:cstheme="majorHAnsi"/>
          <w:sz w:val="24"/>
          <w:szCs w:val="24"/>
          <w:vertAlign w:val="superscript"/>
          <w:lang w:val="ro-MD" w:eastAsia="ja-JP"/>
        </w:rPr>
        <w:footnoteReference w:id="46"/>
      </w:r>
      <w:r w:rsidRPr="00606103">
        <w:rPr>
          <w:rFonts w:asciiTheme="majorHAnsi" w:hAnsiTheme="majorHAnsi" w:cstheme="majorHAnsi"/>
          <w:sz w:val="24"/>
          <w:szCs w:val="24"/>
          <w:lang w:val="ro-MD" w:eastAsia="ja-JP"/>
        </w:rPr>
        <w:t xml:space="preserve"> au fost alocate și alte transferuri cu destinație generală</w:t>
      </w:r>
      <w:r w:rsidRPr="00606103">
        <w:rPr>
          <w:rFonts w:asciiTheme="majorHAnsi" w:hAnsiTheme="majorHAnsi" w:cstheme="majorHAnsi"/>
          <w:sz w:val="24"/>
          <w:szCs w:val="24"/>
          <w:vertAlign w:val="superscript"/>
          <w:lang w:val="ro-MD" w:eastAsia="ja-JP"/>
        </w:rPr>
        <w:footnoteReference w:id="47"/>
      </w:r>
      <w:r w:rsidR="00506AAD" w:rsidRPr="00606103">
        <w:rPr>
          <w:rFonts w:asciiTheme="majorHAnsi" w:hAnsiTheme="majorHAnsi" w:cstheme="majorHAnsi"/>
          <w:sz w:val="24"/>
          <w:szCs w:val="24"/>
          <w:lang w:val="ro-MD" w:eastAsia="ja-JP"/>
        </w:rPr>
        <w:t>,</w:t>
      </w:r>
      <w:r w:rsidRPr="00606103">
        <w:rPr>
          <w:rFonts w:asciiTheme="majorHAnsi" w:hAnsiTheme="majorHAnsi" w:cstheme="majorHAnsi"/>
          <w:sz w:val="24"/>
          <w:szCs w:val="24"/>
          <w:lang w:val="ro-MD" w:eastAsia="ja-JP"/>
        </w:rPr>
        <w:t xml:space="preserve"> pentru acoperirea cheltuielilor efectuate în anul precedent din contul veniturilor proprii ale bugetelor locale pentru cheltuieli capitale, finanțate din contul transferurilor cu destinație specială de la BS. Toate transferurile cu destinație generală au fost executate integral, iar transferurile cu destinație specială – în sumă de 11 858,1 mil. lei, sau 98,2%. </w:t>
      </w:r>
      <w:r w:rsidRPr="00606103">
        <w:rPr>
          <w:rFonts w:asciiTheme="majorHAnsi" w:hAnsiTheme="majorHAnsi" w:cstheme="majorHAnsi"/>
          <w:i/>
          <w:sz w:val="24"/>
          <w:szCs w:val="24"/>
          <w:lang w:val="ro-MD" w:eastAsia="ja-JP"/>
        </w:rPr>
        <w:t>Sinteza executării transferurilor de la BS către BUAT în anul 2021 (conform Anexei nr.7 la Legea bugetului de stat pentru anul 2021) se prezintă în Anexa nr.</w:t>
      </w:r>
      <w:r w:rsidR="00D70932">
        <w:rPr>
          <w:rFonts w:asciiTheme="majorHAnsi" w:hAnsiTheme="majorHAnsi" w:cstheme="majorHAnsi"/>
          <w:i/>
          <w:sz w:val="24"/>
          <w:szCs w:val="24"/>
          <w:lang w:val="ro-MD" w:eastAsia="ja-JP"/>
        </w:rPr>
        <w:t>2</w:t>
      </w:r>
      <w:r w:rsidR="00D17012" w:rsidRPr="00606103">
        <w:rPr>
          <w:rFonts w:asciiTheme="majorHAnsi" w:hAnsiTheme="majorHAnsi" w:cstheme="majorHAnsi"/>
          <w:i/>
          <w:sz w:val="24"/>
          <w:szCs w:val="24"/>
          <w:lang w:val="ro-MD" w:eastAsia="ja-JP"/>
        </w:rPr>
        <w:t xml:space="preserve"> </w:t>
      </w:r>
      <w:r w:rsidR="00D70932">
        <w:rPr>
          <w:rFonts w:asciiTheme="majorHAnsi" w:hAnsiTheme="majorHAnsi" w:cstheme="majorHAnsi"/>
          <w:i/>
          <w:sz w:val="24"/>
          <w:szCs w:val="24"/>
          <w:lang w:val="ro-MD" w:eastAsia="ja-JP"/>
        </w:rPr>
        <w:t>(</w:t>
      </w:r>
      <w:r w:rsidR="00D17012" w:rsidRPr="00606103">
        <w:rPr>
          <w:rFonts w:asciiTheme="majorHAnsi" w:hAnsiTheme="majorHAnsi" w:cstheme="majorHAnsi"/>
          <w:i/>
          <w:sz w:val="24"/>
          <w:szCs w:val="24"/>
          <w:lang w:val="ro-MD" w:eastAsia="ja-JP"/>
        </w:rPr>
        <w:t>Tabelul nr. 1</w:t>
      </w:r>
      <w:r w:rsidR="00D70932">
        <w:rPr>
          <w:rFonts w:asciiTheme="majorHAnsi" w:hAnsiTheme="majorHAnsi" w:cstheme="majorHAnsi"/>
          <w:i/>
          <w:sz w:val="24"/>
          <w:szCs w:val="24"/>
          <w:lang w:val="ro-MD" w:eastAsia="ja-JP"/>
        </w:rPr>
        <w:t>)</w:t>
      </w:r>
      <w:r w:rsidRPr="00606103">
        <w:rPr>
          <w:rFonts w:asciiTheme="majorHAnsi" w:hAnsiTheme="majorHAnsi" w:cstheme="majorHAnsi"/>
          <w:i/>
          <w:sz w:val="24"/>
          <w:szCs w:val="24"/>
          <w:lang w:val="ro-MD" w:eastAsia="ja-JP"/>
        </w:rPr>
        <w:t xml:space="preserve"> la prezentul Raport de audit.</w:t>
      </w:r>
    </w:p>
    <w:p w:rsidR="00871263" w:rsidRPr="00606103" w:rsidRDefault="00871263">
      <w:pPr>
        <w:spacing w:line="276" w:lineRule="auto"/>
        <w:rPr>
          <w:rFonts w:asciiTheme="majorHAnsi" w:hAnsiTheme="majorHAnsi" w:cstheme="majorHAnsi"/>
          <w:sz w:val="24"/>
          <w:szCs w:val="24"/>
          <w:lang w:val="ro-MD" w:eastAsia="ja-JP"/>
        </w:rPr>
      </w:pPr>
      <w:r w:rsidRPr="00606103">
        <w:rPr>
          <w:rFonts w:asciiTheme="majorHAnsi" w:hAnsiTheme="majorHAnsi" w:cstheme="majorHAnsi"/>
          <w:sz w:val="24"/>
          <w:szCs w:val="24"/>
          <w:lang w:val="ro-MD" w:eastAsia="ja-JP"/>
        </w:rPr>
        <w:t>Examinările auditului relevă că</w:t>
      </w:r>
      <w:r w:rsidR="00506AAD" w:rsidRPr="00606103">
        <w:rPr>
          <w:rFonts w:asciiTheme="majorHAnsi" w:hAnsiTheme="majorHAnsi" w:cstheme="majorHAnsi"/>
          <w:sz w:val="24"/>
          <w:szCs w:val="24"/>
          <w:lang w:val="ro-MD" w:eastAsia="ja-JP"/>
        </w:rPr>
        <w:t>,</w:t>
      </w:r>
      <w:r w:rsidRPr="00606103">
        <w:rPr>
          <w:rFonts w:asciiTheme="majorHAnsi" w:hAnsiTheme="majorHAnsi" w:cstheme="majorHAnsi"/>
          <w:sz w:val="24"/>
          <w:szCs w:val="24"/>
          <w:lang w:val="ro-MD" w:eastAsia="ja-JP"/>
        </w:rPr>
        <w:t xml:space="preserve"> în anul 2021, </w:t>
      </w:r>
      <w:r w:rsidR="00197993" w:rsidRPr="00606103">
        <w:rPr>
          <w:rFonts w:asciiTheme="majorHAnsi" w:hAnsiTheme="majorHAnsi" w:cstheme="majorHAnsi"/>
          <w:sz w:val="24"/>
          <w:szCs w:val="24"/>
          <w:lang w:val="ro-MD" w:eastAsia="ja-JP"/>
        </w:rPr>
        <w:t xml:space="preserve">ca </w:t>
      </w:r>
      <w:r w:rsidRPr="00606103">
        <w:rPr>
          <w:rFonts w:asciiTheme="majorHAnsi" w:hAnsiTheme="majorHAnsi" w:cstheme="majorHAnsi"/>
          <w:sz w:val="24"/>
          <w:szCs w:val="24"/>
          <w:lang w:val="ro-MD" w:eastAsia="ja-JP"/>
        </w:rPr>
        <w:t xml:space="preserve">urmare </w:t>
      </w:r>
      <w:r w:rsidR="00197993" w:rsidRPr="00606103">
        <w:rPr>
          <w:rFonts w:asciiTheme="majorHAnsi" w:hAnsiTheme="majorHAnsi" w:cstheme="majorHAnsi"/>
          <w:sz w:val="24"/>
          <w:szCs w:val="24"/>
          <w:lang w:val="ro-MD" w:eastAsia="ja-JP"/>
        </w:rPr>
        <w:t xml:space="preserve">a </w:t>
      </w:r>
      <w:r w:rsidRPr="00606103">
        <w:rPr>
          <w:rFonts w:asciiTheme="majorHAnsi" w:hAnsiTheme="majorHAnsi" w:cstheme="majorHAnsi"/>
          <w:sz w:val="24"/>
          <w:szCs w:val="24"/>
          <w:lang w:val="ro-MD" w:eastAsia="ja-JP"/>
        </w:rPr>
        <w:t>calculelor efectuate de MF, insuficiența mijloacelor financiare pentru acoperirea integrală a costurilor aferente implementării sistemului de salarizare ce țin de domeniile proprii de activitate ale APL a fost acoperită cu transferuri de compensare în sumă de 241,0 mil. lei. Auditul atestă că aceste alocații cresc semnificativ de la an la an. Astfel, față de anul 2020, acestea s-au majorat cu 124,7 mil. lei, i</w:t>
      </w:r>
      <w:r w:rsidR="00CB6A3A" w:rsidRPr="00606103">
        <w:rPr>
          <w:rFonts w:asciiTheme="majorHAnsi" w:hAnsiTheme="majorHAnsi" w:cstheme="majorHAnsi"/>
          <w:sz w:val="24"/>
          <w:szCs w:val="24"/>
          <w:lang w:val="ro-MD" w:eastAsia="ja-JP"/>
        </w:rPr>
        <w:t xml:space="preserve">ar față de anul 2019 – cu </w:t>
      </w:r>
      <w:r w:rsidR="00ED0BD6" w:rsidRPr="00606103">
        <w:rPr>
          <w:rFonts w:asciiTheme="majorHAnsi" w:hAnsiTheme="majorHAnsi" w:cstheme="majorHAnsi"/>
          <w:sz w:val="24"/>
          <w:szCs w:val="24"/>
          <w:lang w:val="ro-MD" w:eastAsia="ja-JP"/>
        </w:rPr>
        <w:t>233,1 mil. lei, BUAT</w:t>
      </w:r>
      <w:r w:rsidRPr="00606103">
        <w:rPr>
          <w:rFonts w:asciiTheme="majorHAnsi" w:hAnsiTheme="majorHAnsi" w:cstheme="majorHAnsi"/>
          <w:sz w:val="24"/>
          <w:szCs w:val="24"/>
          <w:lang w:val="ro-MD" w:eastAsia="ja-JP"/>
        </w:rPr>
        <w:t xml:space="preserve"> fiind în imposibilitatea acoperirii discrepanței dintre costurile salariale generate și suplimentarea părții de venituri din defalcări de la </w:t>
      </w:r>
      <w:r w:rsidRPr="00606103">
        <w:rPr>
          <w:rFonts w:asciiTheme="majorHAnsi" w:hAnsiTheme="majorHAnsi" w:cstheme="majorHAnsi"/>
          <w:sz w:val="24"/>
          <w:szCs w:val="24"/>
          <w:shd w:val="clear" w:color="auto" w:fill="FFFFFF"/>
          <w:lang w:val="ro-MD"/>
        </w:rPr>
        <w:t>impozitul pe venitul persoanelor fizice și transferuri generale.</w:t>
      </w:r>
    </w:p>
    <w:p w:rsidR="00871263" w:rsidRPr="00606103" w:rsidRDefault="00871263">
      <w:pPr>
        <w:spacing w:line="276" w:lineRule="auto"/>
        <w:rPr>
          <w:rFonts w:asciiTheme="majorHAnsi" w:hAnsiTheme="majorHAnsi" w:cstheme="majorHAnsi"/>
          <w:sz w:val="24"/>
          <w:szCs w:val="24"/>
          <w:lang w:val="ro-MD" w:eastAsia="ja-JP"/>
        </w:rPr>
      </w:pPr>
      <w:r w:rsidRPr="00606103">
        <w:rPr>
          <w:rFonts w:asciiTheme="majorHAnsi" w:hAnsiTheme="majorHAnsi" w:cstheme="majorHAnsi"/>
          <w:sz w:val="24"/>
          <w:szCs w:val="24"/>
          <w:lang w:val="ro-MD" w:eastAsia="ja-JP"/>
        </w:rPr>
        <w:t xml:space="preserve">Transferurile cu destinație specială neexecutate au constituit 217,9 mil. lei, dintre care nu au fost executate transferuri pentru învățământul general </w:t>
      </w:r>
      <w:r w:rsidR="00197993" w:rsidRPr="00606103">
        <w:rPr>
          <w:rFonts w:asciiTheme="majorHAnsi" w:hAnsiTheme="majorHAnsi" w:cstheme="majorHAnsi"/>
          <w:sz w:val="24"/>
          <w:szCs w:val="24"/>
          <w:lang w:val="ro-MD" w:eastAsia="ja-JP"/>
        </w:rPr>
        <w:t xml:space="preserve">în sumă de </w:t>
      </w:r>
      <w:r w:rsidRPr="00606103">
        <w:rPr>
          <w:rFonts w:asciiTheme="majorHAnsi" w:hAnsiTheme="majorHAnsi" w:cstheme="majorHAnsi"/>
          <w:sz w:val="24"/>
          <w:szCs w:val="24"/>
          <w:lang w:val="ro-MD" w:eastAsia="ja-JP"/>
        </w:rPr>
        <w:t>138,5 mil. lei, pentru asistența socială – 49,4 mil. lei, pentru infrastructura drumurilor publice locale – 13,4 mil. lei etc.</w:t>
      </w:r>
      <w:r w:rsidRPr="00606103">
        <w:rPr>
          <w:rFonts w:asciiTheme="majorHAnsi" w:eastAsia="Times New Roman" w:hAnsiTheme="majorHAnsi" w:cstheme="majorHAnsi"/>
          <w:sz w:val="24"/>
          <w:szCs w:val="24"/>
          <w:lang w:val="ro-MD"/>
        </w:rPr>
        <w:t xml:space="preserve"> Cauzele de nefinanțare invocate de către MF </w:t>
      </w:r>
      <w:r w:rsidR="00197993" w:rsidRPr="00606103">
        <w:rPr>
          <w:rFonts w:asciiTheme="majorHAnsi" w:eastAsia="Times New Roman" w:hAnsiTheme="majorHAnsi" w:cstheme="majorHAnsi"/>
          <w:sz w:val="24"/>
          <w:szCs w:val="24"/>
          <w:lang w:val="ro-MD"/>
        </w:rPr>
        <w:t>au fost</w:t>
      </w:r>
      <w:r w:rsidRPr="00606103">
        <w:rPr>
          <w:rFonts w:asciiTheme="majorHAnsi" w:eastAsia="Times New Roman" w:hAnsiTheme="majorHAnsi" w:cstheme="majorHAnsi"/>
          <w:sz w:val="24"/>
          <w:szCs w:val="24"/>
          <w:lang w:val="ro-MD"/>
        </w:rPr>
        <w:t xml:space="preserve"> diminuarea numărului de beneficiari și finanțarea alocațiilor pe bază de necesități.</w:t>
      </w:r>
      <w:r w:rsidRPr="00606103">
        <w:rPr>
          <w:rFonts w:asciiTheme="majorHAnsi" w:hAnsiTheme="majorHAnsi" w:cstheme="majorHAnsi"/>
          <w:sz w:val="24"/>
          <w:szCs w:val="24"/>
          <w:lang w:val="ro-MD" w:eastAsia="ja-JP"/>
        </w:rPr>
        <w:t xml:space="preserve"> </w:t>
      </w:r>
      <w:r w:rsidRPr="00606103">
        <w:rPr>
          <w:rFonts w:asciiTheme="majorHAnsi" w:eastAsia="Times New Roman" w:hAnsiTheme="majorHAnsi" w:cstheme="majorHAnsi"/>
          <w:i/>
          <w:sz w:val="24"/>
          <w:szCs w:val="24"/>
          <w:lang w:val="ro-MD"/>
        </w:rPr>
        <w:t>Sinteza executării transferurilor cu destinație specială de la BS către BUAT în anul 2021 se prezintă în</w:t>
      </w:r>
      <w:r w:rsidRPr="00606103">
        <w:rPr>
          <w:rFonts w:asciiTheme="majorHAnsi" w:hAnsiTheme="majorHAnsi" w:cstheme="majorHAnsi"/>
          <w:sz w:val="24"/>
          <w:szCs w:val="24"/>
          <w:lang w:val="ro-MD" w:eastAsia="ja-JP"/>
        </w:rPr>
        <w:t xml:space="preserve"> </w:t>
      </w:r>
      <w:r w:rsidRPr="00606103">
        <w:rPr>
          <w:rFonts w:asciiTheme="majorHAnsi" w:eastAsia="Times New Roman" w:hAnsiTheme="majorHAnsi" w:cstheme="majorHAnsi"/>
          <w:i/>
          <w:sz w:val="24"/>
          <w:szCs w:val="24"/>
          <w:lang w:val="ro-MD"/>
        </w:rPr>
        <w:t>Anexa nr.</w:t>
      </w:r>
      <w:r w:rsidR="00D70932">
        <w:rPr>
          <w:rFonts w:asciiTheme="majorHAnsi" w:eastAsia="Times New Roman" w:hAnsiTheme="majorHAnsi" w:cstheme="majorHAnsi"/>
          <w:i/>
          <w:sz w:val="24"/>
          <w:szCs w:val="24"/>
          <w:lang w:val="ro-MD"/>
        </w:rPr>
        <w:t>2 (</w:t>
      </w:r>
      <w:r w:rsidR="00BA5CD1" w:rsidRPr="00606103">
        <w:rPr>
          <w:rFonts w:asciiTheme="majorHAnsi" w:eastAsia="Times New Roman" w:hAnsiTheme="majorHAnsi" w:cstheme="majorHAnsi"/>
          <w:i/>
          <w:sz w:val="24"/>
          <w:szCs w:val="24"/>
          <w:lang w:val="ro-MD"/>
        </w:rPr>
        <w:t>Tabelul nr.2</w:t>
      </w:r>
      <w:r w:rsidR="00D70932">
        <w:rPr>
          <w:rFonts w:asciiTheme="majorHAnsi" w:eastAsia="Times New Roman" w:hAnsiTheme="majorHAnsi" w:cstheme="majorHAnsi"/>
          <w:i/>
          <w:sz w:val="24"/>
          <w:szCs w:val="24"/>
          <w:lang w:val="ro-MD"/>
        </w:rPr>
        <w:t>)</w:t>
      </w:r>
      <w:r w:rsidRPr="00606103">
        <w:rPr>
          <w:rFonts w:asciiTheme="majorHAnsi" w:eastAsia="Times New Roman" w:hAnsiTheme="majorHAnsi" w:cstheme="majorHAnsi"/>
          <w:i/>
          <w:sz w:val="24"/>
          <w:szCs w:val="24"/>
          <w:lang w:val="ro-MD"/>
        </w:rPr>
        <w:t xml:space="preserve"> la prezentul Raport de audit.</w:t>
      </w:r>
    </w:p>
    <w:p w:rsidR="00871263" w:rsidRPr="00606103" w:rsidRDefault="00871263">
      <w:pPr>
        <w:spacing w:line="276" w:lineRule="auto"/>
        <w:rPr>
          <w:rFonts w:asciiTheme="majorHAnsi" w:hAnsiTheme="majorHAnsi" w:cstheme="majorHAnsi"/>
          <w:sz w:val="24"/>
          <w:szCs w:val="24"/>
          <w:lang w:val="ro-MD" w:eastAsia="ja-JP"/>
        </w:rPr>
      </w:pPr>
      <w:r w:rsidRPr="00606103">
        <w:rPr>
          <w:rFonts w:asciiTheme="majorHAnsi" w:hAnsiTheme="majorHAnsi" w:cstheme="majorHAnsi"/>
          <w:sz w:val="24"/>
          <w:szCs w:val="24"/>
          <w:lang w:val="ro-MD" w:eastAsia="ja-JP"/>
        </w:rPr>
        <w:t>Analiza componenței transferurilor cu destinație specială denotă că alocațiile cele mai semnificative aferente TDS revin celor pentru învățământul general, constituind 83,1% (9</w:t>
      </w:r>
      <w:r w:rsidR="00197993" w:rsidRPr="00606103">
        <w:rPr>
          <w:rFonts w:asciiTheme="majorHAnsi" w:hAnsiTheme="majorHAnsi" w:cstheme="majorHAnsi"/>
          <w:sz w:val="24"/>
          <w:szCs w:val="24"/>
          <w:lang w:val="ro-MD" w:eastAsia="ja-JP"/>
        </w:rPr>
        <w:t xml:space="preserve"> </w:t>
      </w:r>
      <w:r w:rsidRPr="00606103">
        <w:rPr>
          <w:rFonts w:asciiTheme="majorHAnsi" w:hAnsiTheme="majorHAnsi" w:cstheme="majorHAnsi"/>
          <w:sz w:val="24"/>
          <w:szCs w:val="24"/>
          <w:lang w:val="ro-MD" w:eastAsia="ja-JP"/>
        </w:rPr>
        <w:t>857,5 mil. lei) din totalul TDS la volumul executat. Transferurile pentru finanțarea învățământului preșcolar, primar, secundar general, special și extrașcolar se alocă BL de nivelul respectiv, în corespundere cu competențele stabilite APL conform legislați</w:t>
      </w:r>
      <w:r w:rsidR="005C4B1A" w:rsidRPr="00606103">
        <w:rPr>
          <w:rFonts w:asciiTheme="majorHAnsi" w:hAnsiTheme="majorHAnsi" w:cstheme="majorHAnsi"/>
          <w:sz w:val="24"/>
          <w:szCs w:val="24"/>
          <w:lang w:val="ro-MD" w:eastAsia="ja-JP"/>
        </w:rPr>
        <w:t>ei</w:t>
      </w:r>
      <w:r w:rsidRPr="00606103">
        <w:rPr>
          <w:rFonts w:asciiTheme="majorHAnsi" w:hAnsiTheme="majorHAnsi" w:cstheme="majorHAnsi"/>
          <w:sz w:val="24"/>
          <w:szCs w:val="24"/>
          <w:lang w:val="ro-MD" w:eastAsia="ja-JP"/>
        </w:rPr>
        <w:t xml:space="preserve"> privind descentralizarea administrativă</w:t>
      </w:r>
      <w:r w:rsidRPr="00606103">
        <w:rPr>
          <w:rFonts w:asciiTheme="majorHAnsi" w:hAnsiTheme="majorHAnsi" w:cstheme="majorHAnsi"/>
          <w:sz w:val="24"/>
          <w:szCs w:val="24"/>
          <w:vertAlign w:val="superscript"/>
          <w:lang w:val="ro-MD" w:eastAsia="ja-JP"/>
        </w:rPr>
        <w:footnoteReference w:id="48"/>
      </w:r>
      <w:r w:rsidRPr="00606103">
        <w:rPr>
          <w:rFonts w:asciiTheme="majorHAnsi" w:hAnsiTheme="majorHAnsi" w:cstheme="majorHAnsi"/>
          <w:sz w:val="24"/>
          <w:szCs w:val="24"/>
          <w:lang w:val="ro-MD" w:eastAsia="ja-JP"/>
        </w:rPr>
        <w:t>.</w:t>
      </w:r>
    </w:p>
    <w:p w:rsidR="00871263" w:rsidRPr="00606103" w:rsidRDefault="00EC0FBA">
      <w:pPr>
        <w:spacing w:line="276" w:lineRule="auto"/>
        <w:rPr>
          <w:rFonts w:asciiTheme="majorHAnsi" w:hAnsiTheme="majorHAnsi" w:cstheme="majorHAnsi"/>
          <w:i/>
          <w:sz w:val="24"/>
          <w:szCs w:val="24"/>
          <w:lang w:val="ro-MD" w:eastAsia="ja-JP"/>
        </w:rPr>
      </w:pPr>
      <w:r w:rsidRPr="00606103">
        <w:rPr>
          <w:rFonts w:asciiTheme="majorHAnsi" w:hAnsiTheme="majorHAnsi" w:cstheme="majorHAnsi"/>
          <w:sz w:val="24"/>
          <w:szCs w:val="24"/>
          <w:lang w:val="ro-MD" w:eastAsia="ja-JP"/>
        </w:rPr>
        <w:t>Din totalul TDS pentru învățământul general, c</w:t>
      </w:r>
      <w:r w:rsidR="00871263" w:rsidRPr="00606103">
        <w:rPr>
          <w:rFonts w:asciiTheme="majorHAnsi" w:hAnsiTheme="majorHAnsi" w:cstheme="majorHAnsi"/>
          <w:sz w:val="24"/>
          <w:szCs w:val="24"/>
          <w:lang w:val="ro-MD" w:eastAsia="ja-JP"/>
        </w:rPr>
        <w:t>ele mai însemnate constituie transferurile pentru înv</w:t>
      </w:r>
      <w:r w:rsidR="00F04DF7" w:rsidRPr="00606103">
        <w:rPr>
          <w:rFonts w:asciiTheme="majorHAnsi" w:hAnsiTheme="majorHAnsi" w:cstheme="majorHAnsi"/>
          <w:sz w:val="24"/>
          <w:szCs w:val="24"/>
          <w:lang w:val="ro-MD" w:eastAsia="ja-JP"/>
        </w:rPr>
        <w:t>ățământul preșcolar –</w:t>
      </w:r>
      <w:r w:rsidR="00ED0BD6" w:rsidRPr="00606103">
        <w:rPr>
          <w:rFonts w:asciiTheme="majorHAnsi" w:hAnsiTheme="majorHAnsi" w:cstheme="majorHAnsi"/>
          <w:sz w:val="24"/>
          <w:szCs w:val="24"/>
          <w:lang w:val="ro-MD" w:eastAsia="ja-JP"/>
        </w:rPr>
        <w:t xml:space="preserve"> 3</w:t>
      </w:r>
      <w:r w:rsidR="00871263" w:rsidRPr="00606103">
        <w:rPr>
          <w:rFonts w:asciiTheme="majorHAnsi" w:hAnsiTheme="majorHAnsi" w:cstheme="majorHAnsi"/>
          <w:sz w:val="24"/>
          <w:szCs w:val="24"/>
          <w:lang w:val="ro-MD" w:eastAsia="ja-JP"/>
        </w:rPr>
        <w:t xml:space="preserve">524,3 mil. lei, </w:t>
      </w:r>
      <w:r w:rsidRPr="00606103">
        <w:rPr>
          <w:rFonts w:asciiTheme="majorHAnsi" w:hAnsiTheme="majorHAnsi" w:cstheme="majorHAnsi"/>
          <w:sz w:val="24"/>
          <w:szCs w:val="24"/>
          <w:lang w:val="ro-MD" w:eastAsia="ja-JP"/>
        </w:rPr>
        <w:t>(</w:t>
      </w:r>
      <w:r w:rsidR="00871263" w:rsidRPr="00606103">
        <w:rPr>
          <w:rFonts w:asciiTheme="majorHAnsi" w:hAnsiTheme="majorHAnsi" w:cstheme="majorHAnsi"/>
          <w:sz w:val="24"/>
          <w:szCs w:val="24"/>
          <w:lang w:val="ro-MD" w:eastAsia="ja-JP"/>
        </w:rPr>
        <w:t>35,7%</w:t>
      </w:r>
      <w:r w:rsidRPr="00606103">
        <w:rPr>
          <w:rFonts w:asciiTheme="majorHAnsi" w:hAnsiTheme="majorHAnsi" w:cstheme="majorHAnsi"/>
          <w:sz w:val="24"/>
          <w:szCs w:val="24"/>
          <w:lang w:val="ro-MD" w:eastAsia="ja-JP"/>
        </w:rPr>
        <w:t>)</w:t>
      </w:r>
      <w:r w:rsidR="00871263" w:rsidRPr="00606103">
        <w:rPr>
          <w:rFonts w:asciiTheme="majorHAnsi" w:hAnsiTheme="majorHAnsi" w:cstheme="majorHAnsi"/>
          <w:sz w:val="24"/>
          <w:szCs w:val="24"/>
          <w:lang w:val="ro-MD" w:eastAsia="ja-JP"/>
        </w:rPr>
        <w:t xml:space="preserve">, </w:t>
      </w:r>
      <w:r w:rsidRPr="00606103">
        <w:rPr>
          <w:rFonts w:asciiTheme="majorHAnsi" w:hAnsiTheme="majorHAnsi" w:cstheme="majorHAnsi"/>
          <w:sz w:val="24"/>
          <w:szCs w:val="24"/>
          <w:lang w:val="ro-MD" w:eastAsia="ja-JP"/>
        </w:rPr>
        <w:t>învăță</w:t>
      </w:r>
      <w:r w:rsidR="005C4B1A" w:rsidRPr="00606103">
        <w:rPr>
          <w:rFonts w:asciiTheme="majorHAnsi" w:hAnsiTheme="majorHAnsi" w:cstheme="majorHAnsi"/>
          <w:sz w:val="24"/>
          <w:szCs w:val="24"/>
          <w:lang w:val="ro-MD" w:eastAsia="ja-JP"/>
        </w:rPr>
        <w:t>m</w:t>
      </w:r>
      <w:r w:rsidRPr="00606103">
        <w:rPr>
          <w:rFonts w:asciiTheme="majorHAnsi" w:hAnsiTheme="majorHAnsi" w:cstheme="majorHAnsi"/>
          <w:sz w:val="24"/>
          <w:szCs w:val="24"/>
          <w:lang w:val="ro-MD" w:eastAsia="ja-JP"/>
        </w:rPr>
        <w:t xml:space="preserve">ântul </w:t>
      </w:r>
      <w:r w:rsidR="00871263" w:rsidRPr="00606103">
        <w:rPr>
          <w:rFonts w:asciiTheme="majorHAnsi" w:hAnsiTheme="majorHAnsi" w:cstheme="majorHAnsi"/>
          <w:sz w:val="24"/>
          <w:szCs w:val="24"/>
          <w:lang w:val="ro-MD" w:eastAsia="ja-JP"/>
        </w:rPr>
        <w:t xml:space="preserve"> lice</w:t>
      </w:r>
      <w:r w:rsidRPr="00606103">
        <w:rPr>
          <w:rFonts w:asciiTheme="majorHAnsi" w:hAnsiTheme="majorHAnsi" w:cstheme="majorHAnsi"/>
          <w:sz w:val="24"/>
          <w:szCs w:val="24"/>
          <w:lang w:val="ro-MD" w:eastAsia="ja-JP"/>
        </w:rPr>
        <w:t>al</w:t>
      </w:r>
      <w:r w:rsidR="00871263" w:rsidRPr="00606103">
        <w:rPr>
          <w:rFonts w:asciiTheme="majorHAnsi" w:hAnsiTheme="majorHAnsi" w:cstheme="majorHAnsi"/>
          <w:sz w:val="24"/>
          <w:szCs w:val="24"/>
          <w:lang w:val="ro-MD" w:eastAsia="ja-JP"/>
        </w:rPr>
        <w:t xml:space="preserve"> –</w:t>
      </w:r>
      <w:r w:rsidR="00E95D93" w:rsidRPr="00606103">
        <w:rPr>
          <w:rFonts w:asciiTheme="majorHAnsi" w:hAnsiTheme="majorHAnsi" w:cstheme="majorHAnsi"/>
          <w:sz w:val="24"/>
          <w:szCs w:val="24"/>
          <w:lang w:val="ro-MD" w:eastAsia="ja-JP"/>
        </w:rPr>
        <w:t xml:space="preserve"> </w:t>
      </w:r>
      <w:r w:rsidR="00871263" w:rsidRPr="00606103">
        <w:rPr>
          <w:rFonts w:asciiTheme="majorHAnsi" w:hAnsiTheme="majorHAnsi" w:cstheme="majorHAnsi"/>
          <w:sz w:val="24"/>
          <w:szCs w:val="24"/>
          <w:lang w:val="ro-MD" w:eastAsia="ja-JP"/>
        </w:rPr>
        <w:t>3 034,3,2 mil. lei (30,8%)</w:t>
      </w:r>
      <w:r w:rsidR="00197993" w:rsidRPr="00606103">
        <w:rPr>
          <w:rFonts w:asciiTheme="majorHAnsi" w:hAnsiTheme="majorHAnsi" w:cstheme="majorHAnsi"/>
          <w:sz w:val="24"/>
          <w:szCs w:val="24"/>
          <w:lang w:val="ro-MD" w:eastAsia="ja-JP"/>
        </w:rPr>
        <w:t>,</w:t>
      </w:r>
      <w:r w:rsidR="00871263" w:rsidRPr="00606103">
        <w:rPr>
          <w:rFonts w:asciiTheme="majorHAnsi" w:hAnsiTheme="majorHAnsi" w:cstheme="majorHAnsi"/>
          <w:sz w:val="24"/>
          <w:szCs w:val="24"/>
          <w:lang w:val="ro-MD" w:eastAsia="ja-JP"/>
        </w:rPr>
        <w:t xml:space="preserve"> și </w:t>
      </w:r>
      <w:r w:rsidR="00D0409C" w:rsidRPr="00606103">
        <w:rPr>
          <w:rFonts w:asciiTheme="majorHAnsi" w:hAnsiTheme="majorHAnsi" w:cstheme="majorHAnsi"/>
          <w:sz w:val="24"/>
          <w:szCs w:val="24"/>
          <w:lang w:val="ro-MD" w:eastAsia="ja-JP"/>
        </w:rPr>
        <w:t xml:space="preserve">învățământul </w:t>
      </w:r>
      <w:r w:rsidR="00F04DF7" w:rsidRPr="00606103">
        <w:rPr>
          <w:rFonts w:asciiTheme="majorHAnsi" w:hAnsiTheme="majorHAnsi" w:cstheme="majorHAnsi"/>
          <w:sz w:val="24"/>
          <w:szCs w:val="24"/>
          <w:lang w:val="ro-MD" w:eastAsia="ja-JP"/>
        </w:rPr>
        <w:t>gimnazi</w:t>
      </w:r>
      <w:r w:rsidR="00D0409C" w:rsidRPr="00606103">
        <w:rPr>
          <w:rFonts w:asciiTheme="majorHAnsi" w:hAnsiTheme="majorHAnsi" w:cstheme="majorHAnsi"/>
          <w:sz w:val="24"/>
          <w:szCs w:val="24"/>
          <w:lang w:val="ro-MD" w:eastAsia="ja-JP"/>
        </w:rPr>
        <w:t>al</w:t>
      </w:r>
      <w:r w:rsidR="00F04DF7" w:rsidRPr="00606103">
        <w:rPr>
          <w:rFonts w:asciiTheme="majorHAnsi" w:hAnsiTheme="majorHAnsi" w:cstheme="majorHAnsi"/>
          <w:sz w:val="24"/>
          <w:szCs w:val="24"/>
          <w:lang w:val="ro-MD" w:eastAsia="ja-JP"/>
        </w:rPr>
        <w:t xml:space="preserve"> –</w:t>
      </w:r>
      <w:r w:rsidR="00E95D93" w:rsidRPr="00606103">
        <w:rPr>
          <w:rFonts w:asciiTheme="majorHAnsi" w:hAnsiTheme="majorHAnsi" w:cstheme="majorHAnsi"/>
          <w:sz w:val="24"/>
          <w:szCs w:val="24"/>
          <w:lang w:val="ro-MD" w:eastAsia="ja-JP"/>
        </w:rPr>
        <w:t xml:space="preserve"> </w:t>
      </w:r>
      <w:r w:rsidR="00871263" w:rsidRPr="00606103">
        <w:rPr>
          <w:rFonts w:asciiTheme="majorHAnsi" w:hAnsiTheme="majorHAnsi" w:cstheme="majorHAnsi"/>
          <w:sz w:val="24"/>
          <w:szCs w:val="24"/>
          <w:lang w:val="ro-MD" w:eastAsia="ja-JP"/>
        </w:rPr>
        <w:t xml:space="preserve">2 536,2 mil. lei (25,7%). </w:t>
      </w:r>
      <w:r w:rsidR="00871263" w:rsidRPr="00606103">
        <w:rPr>
          <w:rFonts w:asciiTheme="majorHAnsi" w:hAnsiTheme="majorHAnsi" w:cstheme="majorHAnsi"/>
          <w:i/>
          <w:sz w:val="24"/>
          <w:szCs w:val="24"/>
          <w:lang w:val="ro-MD" w:eastAsia="ja-JP"/>
        </w:rPr>
        <w:t>Sinteza executării transferurilor sub diferite aspecte se prezintă în Anexa nr.</w:t>
      </w:r>
      <w:r w:rsidR="00D70932">
        <w:rPr>
          <w:rFonts w:asciiTheme="majorHAnsi" w:hAnsiTheme="majorHAnsi" w:cstheme="majorHAnsi"/>
          <w:i/>
          <w:sz w:val="24"/>
          <w:szCs w:val="24"/>
          <w:lang w:val="ro-MD" w:eastAsia="ja-JP"/>
        </w:rPr>
        <w:t>2(</w:t>
      </w:r>
      <w:r w:rsidR="00B0606E" w:rsidRPr="00606103">
        <w:rPr>
          <w:rFonts w:asciiTheme="majorHAnsi" w:hAnsiTheme="majorHAnsi" w:cstheme="majorHAnsi"/>
          <w:i/>
          <w:sz w:val="24"/>
          <w:szCs w:val="24"/>
          <w:lang w:val="ro-MD" w:eastAsia="ja-JP"/>
        </w:rPr>
        <w:t xml:space="preserve"> Tabel</w:t>
      </w:r>
      <w:r w:rsidR="00197993" w:rsidRPr="00606103">
        <w:rPr>
          <w:rFonts w:asciiTheme="majorHAnsi" w:hAnsiTheme="majorHAnsi" w:cstheme="majorHAnsi"/>
          <w:i/>
          <w:sz w:val="24"/>
          <w:szCs w:val="24"/>
          <w:lang w:val="ro-MD" w:eastAsia="ja-JP"/>
        </w:rPr>
        <w:t>e</w:t>
      </w:r>
      <w:r w:rsidR="00B0606E" w:rsidRPr="00606103">
        <w:rPr>
          <w:rFonts w:asciiTheme="majorHAnsi" w:hAnsiTheme="majorHAnsi" w:cstheme="majorHAnsi"/>
          <w:i/>
          <w:sz w:val="24"/>
          <w:szCs w:val="24"/>
          <w:lang w:val="ro-MD" w:eastAsia="ja-JP"/>
        </w:rPr>
        <w:t>l</w:t>
      </w:r>
      <w:r w:rsidR="00197993" w:rsidRPr="00606103">
        <w:rPr>
          <w:rFonts w:asciiTheme="majorHAnsi" w:hAnsiTheme="majorHAnsi" w:cstheme="majorHAnsi"/>
          <w:i/>
          <w:sz w:val="24"/>
          <w:szCs w:val="24"/>
          <w:lang w:val="ro-MD" w:eastAsia="ja-JP"/>
        </w:rPr>
        <w:t>e</w:t>
      </w:r>
      <w:r w:rsidR="00B0606E" w:rsidRPr="00606103">
        <w:rPr>
          <w:rFonts w:asciiTheme="majorHAnsi" w:hAnsiTheme="majorHAnsi" w:cstheme="majorHAnsi"/>
          <w:i/>
          <w:sz w:val="24"/>
          <w:szCs w:val="24"/>
          <w:lang w:val="ro-MD" w:eastAsia="ja-JP"/>
        </w:rPr>
        <w:t xml:space="preserve"> nr. 3 și nr.4</w:t>
      </w:r>
      <w:r w:rsidR="00D70932">
        <w:rPr>
          <w:rFonts w:asciiTheme="majorHAnsi" w:hAnsiTheme="majorHAnsi" w:cstheme="majorHAnsi"/>
          <w:i/>
          <w:sz w:val="24"/>
          <w:szCs w:val="24"/>
          <w:lang w:val="ro-MD" w:eastAsia="ja-JP"/>
        </w:rPr>
        <w:t>)</w:t>
      </w:r>
      <w:r w:rsidR="00B0606E" w:rsidRPr="00606103">
        <w:rPr>
          <w:rFonts w:asciiTheme="majorHAnsi" w:hAnsiTheme="majorHAnsi" w:cstheme="majorHAnsi"/>
          <w:i/>
          <w:sz w:val="24"/>
          <w:szCs w:val="24"/>
          <w:lang w:val="ro-MD" w:eastAsia="ja-JP"/>
        </w:rPr>
        <w:t xml:space="preserve"> la prezentul Raport de audit.</w:t>
      </w:r>
      <w:r w:rsidR="00871263" w:rsidRPr="00606103">
        <w:rPr>
          <w:rFonts w:asciiTheme="majorHAnsi" w:hAnsiTheme="majorHAnsi" w:cstheme="majorHAnsi"/>
          <w:i/>
          <w:sz w:val="24"/>
          <w:szCs w:val="24"/>
          <w:lang w:val="ro-MD" w:eastAsia="ja-JP"/>
        </w:rPr>
        <w:t xml:space="preserve"> </w:t>
      </w:r>
    </w:p>
    <w:p w:rsidR="00F04DF7" w:rsidRPr="00606103" w:rsidRDefault="00871263">
      <w:pPr>
        <w:spacing w:line="276" w:lineRule="auto"/>
        <w:rPr>
          <w:rFonts w:asciiTheme="majorHAnsi" w:hAnsiTheme="majorHAnsi" w:cstheme="majorHAnsi"/>
          <w:sz w:val="24"/>
          <w:szCs w:val="24"/>
          <w:lang w:val="ro-MD" w:eastAsia="ja-JP"/>
        </w:rPr>
      </w:pPr>
      <w:r w:rsidRPr="00606103">
        <w:rPr>
          <w:rFonts w:asciiTheme="majorHAnsi" w:hAnsiTheme="majorHAnsi" w:cstheme="majorHAnsi"/>
          <w:sz w:val="24"/>
          <w:szCs w:val="24"/>
          <w:lang w:val="ro-MD" w:eastAsia="ja-JP"/>
        </w:rPr>
        <w:t>Conform cadrului legal</w:t>
      </w:r>
      <w:r w:rsidRPr="00606103">
        <w:rPr>
          <w:rFonts w:asciiTheme="majorHAnsi" w:hAnsiTheme="majorHAnsi" w:cstheme="majorHAnsi"/>
          <w:sz w:val="24"/>
          <w:szCs w:val="24"/>
          <w:vertAlign w:val="superscript"/>
          <w:lang w:val="ro-MD" w:eastAsia="ja-JP"/>
        </w:rPr>
        <w:footnoteReference w:id="49"/>
      </w:r>
      <w:r w:rsidRPr="00606103">
        <w:rPr>
          <w:rFonts w:asciiTheme="majorHAnsi" w:hAnsiTheme="majorHAnsi" w:cstheme="majorHAnsi"/>
          <w:sz w:val="24"/>
          <w:szCs w:val="24"/>
          <w:lang w:val="ro-MD" w:eastAsia="ja-JP"/>
        </w:rPr>
        <w:t xml:space="preserve">, TDS pentru finanțarea învățământului sunt efectuate de MF, în conformitate cu formula de alocare propusă anual de MEC și aprobată de Guvern. Totodată, în baza plafonului de cheltuieli estimat de MF, MEC calculează transferurile categoriale de la BS la BUAT pentru finanțarea </w:t>
      </w:r>
      <w:r w:rsidRPr="00606103">
        <w:rPr>
          <w:rFonts w:asciiTheme="majorHAnsi" w:hAnsiTheme="majorHAnsi" w:cstheme="majorHAnsi"/>
          <w:sz w:val="24"/>
          <w:szCs w:val="24"/>
          <w:lang w:val="ro-MD" w:eastAsia="ja-JP"/>
        </w:rPr>
        <w:lastRenderedPageBreak/>
        <w:t>instituțiilor de învățământ</w:t>
      </w:r>
      <w:r w:rsidRPr="00606103">
        <w:rPr>
          <w:rFonts w:asciiTheme="majorHAnsi" w:hAnsiTheme="majorHAnsi" w:cstheme="majorHAnsi"/>
          <w:sz w:val="24"/>
          <w:szCs w:val="24"/>
          <w:vertAlign w:val="superscript"/>
          <w:lang w:val="ro-MD" w:eastAsia="ja-JP"/>
        </w:rPr>
        <w:footnoteReference w:id="50"/>
      </w:r>
      <w:r w:rsidRPr="00606103">
        <w:rPr>
          <w:rFonts w:asciiTheme="majorHAnsi" w:hAnsiTheme="majorHAnsi" w:cstheme="majorHAnsi"/>
          <w:sz w:val="24"/>
          <w:szCs w:val="24"/>
          <w:lang w:val="ro-MD" w:eastAsia="ja-JP"/>
        </w:rPr>
        <w:t>, ulterior MEC prezint</w:t>
      </w:r>
      <w:r w:rsidR="00656183" w:rsidRPr="00606103">
        <w:rPr>
          <w:rFonts w:asciiTheme="majorHAnsi" w:hAnsiTheme="majorHAnsi" w:cstheme="majorHAnsi"/>
          <w:sz w:val="24"/>
          <w:szCs w:val="24"/>
          <w:lang w:val="ro-MD" w:eastAsia="ja-JP"/>
        </w:rPr>
        <w:t>ă</w:t>
      </w:r>
      <w:r w:rsidRPr="00606103">
        <w:rPr>
          <w:rFonts w:asciiTheme="majorHAnsi" w:hAnsiTheme="majorHAnsi" w:cstheme="majorHAnsi"/>
          <w:sz w:val="24"/>
          <w:szCs w:val="24"/>
          <w:lang w:val="ro-MD" w:eastAsia="ja-JP"/>
        </w:rPr>
        <w:t xml:space="preserve"> MF, în termenele stabilite, în scris și în format electronic</w:t>
      </w:r>
      <w:r w:rsidR="005E55A6" w:rsidRPr="00606103">
        <w:rPr>
          <w:rFonts w:asciiTheme="majorHAnsi" w:hAnsiTheme="majorHAnsi" w:cstheme="majorHAnsi"/>
          <w:sz w:val="24"/>
          <w:szCs w:val="24"/>
          <w:lang w:val="ro-MD" w:eastAsia="ja-JP"/>
        </w:rPr>
        <w:t>,</w:t>
      </w:r>
      <w:r w:rsidRPr="00606103">
        <w:rPr>
          <w:rFonts w:asciiTheme="majorHAnsi" w:hAnsiTheme="majorHAnsi" w:cstheme="majorHAnsi"/>
          <w:sz w:val="24"/>
          <w:szCs w:val="24"/>
          <w:lang w:val="ro-MD" w:eastAsia="ja-JP"/>
        </w:rPr>
        <w:t xml:space="preserve"> calculele normativelor valorice pentru un „elev ponderat” și pentru o instituție de învățământ și calculele transferurilor categoriale pentru fiecare unitate administrativ-teritorială</w:t>
      </w:r>
      <w:r w:rsidRPr="00606103">
        <w:rPr>
          <w:rFonts w:asciiTheme="majorHAnsi" w:hAnsiTheme="majorHAnsi" w:cstheme="majorHAnsi"/>
          <w:sz w:val="24"/>
          <w:szCs w:val="24"/>
          <w:vertAlign w:val="superscript"/>
          <w:lang w:val="ro-MD" w:eastAsia="ja-JP"/>
        </w:rPr>
        <w:footnoteReference w:id="51"/>
      </w:r>
      <w:r w:rsidRPr="00606103">
        <w:rPr>
          <w:rFonts w:asciiTheme="majorHAnsi" w:hAnsiTheme="majorHAnsi" w:cstheme="majorHAnsi"/>
          <w:sz w:val="24"/>
          <w:szCs w:val="24"/>
          <w:lang w:val="ro-MD" w:eastAsia="ja-JP"/>
        </w:rPr>
        <w:t xml:space="preserve">. </w:t>
      </w:r>
    </w:p>
    <w:p w:rsidR="00871263" w:rsidRPr="00606103" w:rsidRDefault="00871263">
      <w:pPr>
        <w:spacing w:line="276" w:lineRule="auto"/>
        <w:rPr>
          <w:rFonts w:asciiTheme="majorHAnsi" w:hAnsiTheme="majorHAnsi" w:cstheme="majorHAnsi"/>
          <w:sz w:val="24"/>
          <w:szCs w:val="24"/>
          <w:lang w:val="ro-MD" w:eastAsia="ja-JP"/>
        </w:rPr>
      </w:pPr>
      <w:r w:rsidRPr="00606103">
        <w:rPr>
          <w:rFonts w:asciiTheme="majorHAnsi" w:hAnsiTheme="majorHAnsi" w:cstheme="majorHAnsi"/>
          <w:sz w:val="24"/>
          <w:szCs w:val="24"/>
          <w:lang w:val="ro-MD" w:eastAsia="ja-JP"/>
        </w:rPr>
        <w:t>Verificările de audit au constatat că MEC nu efectuează și nu prezintă MF calculele respective, acestea fiind efectuate de către MF. Totodată, potrivit metodologiei aprobate</w:t>
      </w:r>
      <w:r w:rsidRPr="00606103">
        <w:rPr>
          <w:rFonts w:asciiTheme="majorHAnsi" w:hAnsiTheme="majorHAnsi" w:cstheme="majorHAnsi"/>
          <w:sz w:val="24"/>
          <w:szCs w:val="24"/>
          <w:vertAlign w:val="superscript"/>
          <w:lang w:val="ro-MD" w:eastAsia="ja-JP"/>
        </w:rPr>
        <w:footnoteReference w:id="52"/>
      </w:r>
      <w:r w:rsidRPr="00606103">
        <w:rPr>
          <w:rFonts w:asciiTheme="majorHAnsi" w:hAnsiTheme="majorHAnsi" w:cstheme="majorHAnsi"/>
          <w:sz w:val="24"/>
          <w:szCs w:val="24"/>
          <w:lang w:val="ro-MD" w:eastAsia="ja-JP"/>
        </w:rPr>
        <w:t xml:space="preserve">, calculele cheltuielilor pentru instituțiile de învățământ primar și învățământ secundar general se efectuează conform formulei unice în baza numărului mediu de elevi în anul bugetar </w:t>
      </w:r>
      <w:r w:rsidRPr="00606103">
        <w:rPr>
          <w:rFonts w:asciiTheme="majorHAnsi" w:hAnsiTheme="majorHAnsi" w:cstheme="majorHAnsi"/>
          <w:sz w:val="24"/>
          <w:szCs w:val="24"/>
          <w:shd w:val="clear" w:color="auto" w:fill="FFFFFF" w:themeFill="background1"/>
          <w:lang w:val="ro-MD" w:eastAsia="ja-JP"/>
        </w:rPr>
        <w:t>precedent</w:t>
      </w:r>
      <w:r w:rsidRPr="00606103">
        <w:rPr>
          <w:rFonts w:asciiTheme="majorHAnsi" w:hAnsiTheme="majorHAnsi" w:cstheme="majorHAnsi"/>
          <w:color w:val="FF0000"/>
          <w:sz w:val="24"/>
          <w:szCs w:val="24"/>
          <w:shd w:val="clear" w:color="auto" w:fill="FFFFFF" w:themeFill="background1"/>
          <w:lang w:val="ro-MD" w:eastAsia="ja-JP"/>
        </w:rPr>
        <w:t xml:space="preserve"> </w:t>
      </w:r>
      <w:r w:rsidRPr="00606103">
        <w:rPr>
          <w:rFonts w:asciiTheme="majorHAnsi" w:hAnsiTheme="majorHAnsi" w:cstheme="majorHAnsi"/>
          <w:sz w:val="24"/>
          <w:szCs w:val="24"/>
          <w:shd w:val="clear" w:color="auto" w:fill="FFFFFF" w:themeFill="background1"/>
          <w:lang w:val="ro-MD" w:eastAsia="ja-JP"/>
        </w:rPr>
        <w:t xml:space="preserve">și a numărului de instituții de învățământ </w:t>
      </w:r>
      <w:r w:rsidRPr="00606103">
        <w:rPr>
          <w:rFonts w:asciiTheme="majorHAnsi" w:hAnsiTheme="majorHAnsi" w:cstheme="majorHAnsi"/>
          <w:color w:val="000000"/>
          <w:sz w:val="24"/>
          <w:szCs w:val="24"/>
          <w:shd w:val="clear" w:color="auto" w:fill="FFFFFF" w:themeFill="background1"/>
          <w:lang w:val="ro-MD"/>
        </w:rPr>
        <w:t xml:space="preserve">în anul </w:t>
      </w:r>
      <w:r w:rsidRPr="00606103">
        <w:rPr>
          <w:rFonts w:asciiTheme="majorHAnsi" w:hAnsiTheme="majorHAnsi" w:cstheme="majorHAnsi"/>
          <w:sz w:val="24"/>
          <w:szCs w:val="24"/>
          <w:shd w:val="clear" w:color="auto" w:fill="FFFFFF" w:themeFill="background1"/>
          <w:lang w:val="ro-MD" w:eastAsia="ja-JP"/>
        </w:rPr>
        <w:t>2007 („p</w:t>
      </w:r>
      <w:r w:rsidRPr="00606103">
        <w:rPr>
          <w:rFonts w:asciiTheme="majorHAnsi" w:hAnsiTheme="majorHAnsi" w:cstheme="majorHAnsi"/>
          <w:color w:val="000000"/>
          <w:sz w:val="24"/>
          <w:szCs w:val="24"/>
          <w:shd w:val="clear" w:color="auto" w:fill="FFFFFF" w:themeFill="background1"/>
          <w:lang w:val="ro-MD"/>
        </w:rPr>
        <w:t>entru stimularea raționalizării rețelei de instituții de învățământ”)</w:t>
      </w:r>
      <w:r w:rsidRPr="00606103">
        <w:rPr>
          <w:rFonts w:asciiTheme="majorHAnsi" w:hAnsiTheme="majorHAnsi" w:cstheme="majorHAnsi"/>
          <w:sz w:val="24"/>
          <w:szCs w:val="24"/>
          <w:shd w:val="clear" w:color="auto" w:fill="FFFFFF" w:themeFill="background1"/>
          <w:lang w:val="ro-MD" w:eastAsia="ja-JP"/>
        </w:rPr>
        <w:t xml:space="preserve">. Astfel, auditul </w:t>
      </w:r>
      <w:r w:rsidR="00F04DF7" w:rsidRPr="00606103">
        <w:rPr>
          <w:rFonts w:asciiTheme="majorHAnsi" w:hAnsiTheme="majorHAnsi" w:cstheme="majorHAnsi"/>
          <w:sz w:val="24"/>
          <w:szCs w:val="24"/>
          <w:shd w:val="clear" w:color="auto" w:fill="FFFFFF" w:themeFill="background1"/>
          <w:lang w:val="ro-MD" w:eastAsia="ja-JP"/>
        </w:rPr>
        <w:t xml:space="preserve">public extern </w:t>
      </w:r>
      <w:r w:rsidRPr="00606103">
        <w:rPr>
          <w:rFonts w:asciiTheme="majorHAnsi" w:hAnsiTheme="majorHAnsi" w:cstheme="majorHAnsi"/>
          <w:sz w:val="24"/>
          <w:szCs w:val="24"/>
          <w:shd w:val="clear" w:color="auto" w:fill="FFFFFF" w:themeFill="background1"/>
          <w:lang w:val="ro-MD" w:eastAsia="ja-JP"/>
        </w:rPr>
        <w:t>în continuare consideră necesară elaborarea de către Ministerul Educației și Cercetării a metodologiilor de calcul pentru TDS la finanțarea instituțiilor de învățământ (instituții preșcolare, licee-internat cu profil sportiv, școli de tip internat, centre de educație extrașcolară etc.), precum și completarea</w:t>
      </w:r>
      <w:r w:rsidR="00806497" w:rsidRPr="00606103">
        <w:rPr>
          <w:rFonts w:asciiTheme="majorHAnsi" w:hAnsiTheme="majorHAnsi" w:cstheme="majorHAnsi"/>
          <w:sz w:val="24"/>
          <w:szCs w:val="24"/>
          <w:shd w:val="clear" w:color="auto" w:fill="FFFFFF" w:themeFill="background1"/>
          <w:lang w:val="ro-MD" w:eastAsia="ja-JP"/>
        </w:rPr>
        <w:t>/modificarea cadrului</w:t>
      </w:r>
      <w:r w:rsidRPr="00606103">
        <w:rPr>
          <w:rFonts w:asciiTheme="majorHAnsi" w:hAnsiTheme="majorHAnsi" w:cstheme="majorHAnsi"/>
          <w:sz w:val="24"/>
          <w:szCs w:val="24"/>
          <w:shd w:val="clear" w:color="auto" w:fill="FFFFFF" w:themeFill="background1"/>
          <w:lang w:val="ro-MD" w:eastAsia="ja-JP"/>
        </w:rPr>
        <w:t xml:space="preserve"> norm</w:t>
      </w:r>
      <w:r w:rsidR="00806497" w:rsidRPr="00606103">
        <w:rPr>
          <w:rFonts w:asciiTheme="majorHAnsi" w:hAnsiTheme="majorHAnsi" w:cstheme="majorHAnsi"/>
          <w:sz w:val="24"/>
          <w:szCs w:val="24"/>
          <w:shd w:val="clear" w:color="auto" w:fill="FFFFFF" w:themeFill="background1"/>
          <w:lang w:val="ro-MD" w:eastAsia="ja-JP"/>
        </w:rPr>
        <w:t>ativ</w:t>
      </w:r>
      <w:r w:rsidRPr="00606103">
        <w:rPr>
          <w:rFonts w:asciiTheme="majorHAnsi" w:hAnsiTheme="majorHAnsi" w:cstheme="majorHAnsi"/>
          <w:sz w:val="24"/>
          <w:szCs w:val="24"/>
          <w:shd w:val="clear" w:color="auto" w:fill="FFFFFF" w:themeFill="background1"/>
          <w:lang w:val="ro-MD" w:eastAsia="ja-JP"/>
        </w:rPr>
        <w:t xml:space="preserve"> cu referire la determinarea transferurilor destinate școlilor primare, gimnaziilor și liceelor, care va permite alocarea transparentă și echitabilă a transferurilor cu destinație specială c</w:t>
      </w:r>
      <w:r w:rsidR="00ED0BD6" w:rsidRPr="00606103">
        <w:rPr>
          <w:rFonts w:asciiTheme="majorHAnsi" w:hAnsiTheme="majorHAnsi" w:cstheme="majorHAnsi"/>
          <w:sz w:val="24"/>
          <w:szCs w:val="24"/>
          <w:shd w:val="clear" w:color="auto" w:fill="FFFFFF" w:themeFill="background1"/>
          <w:lang w:val="ro-MD" w:eastAsia="ja-JP"/>
        </w:rPr>
        <w:t>ătre APL</w:t>
      </w:r>
      <w:r w:rsidR="00656183" w:rsidRPr="00606103">
        <w:rPr>
          <w:rFonts w:asciiTheme="majorHAnsi" w:hAnsiTheme="majorHAnsi" w:cstheme="majorHAnsi"/>
          <w:sz w:val="24"/>
          <w:szCs w:val="24"/>
          <w:shd w:val="clear" w:color="auto" w:fill="FFFFFF" w:themeFill="background1"/>
          <w:lang w:val="ro-MD" w:eastAsia="ja-JP"/>
        </w:rPr>
        <w:t>,</w:t>
      </w:r>
      <w:r w:rsidRPr="00606103">
        <w:rPr>
          <w:rFonts w:asciiTheme="majorHAnsi" w:hAnsiTheme="majorHAnsi" w:cstheme="majorHAnsi"/>
          <w:sz w:val="24"/>
          <w:szCs w:val="24"/>
          <w:shd w:val="clear" w:color="auto" w:fill="FFFFFF" w:themeFill="background1"/>
          <w:lang w:val="ro-MD" w:eastAsia="ja-JP"/>
        </w:rPr>
        <w:t xml:space="preserve"> ținând cont de numărul de copii/elevi.</w:t>
      </w:r>
    </w:p>
    <w:p w:rsidR="00871263" w:rsidRPr="00606103" w:rsidRDefault="00871263">
      <w:pPr>
        <w:spacing w:line="276" w:lineRule="auto"/>
        <w:rPr>
          <w:rFonts w:asciiTheme="majorHAnsi" w:hAnsiTheme="majorHAnsi" w:cstheme="majorHAnsi"/>
          <w:sz w:val="24"/>
          <w:szCs w:val="24"/>
          <w:lang w:val="ro-MD" w:eastAsia="ja-JP"/>
        </w:rPr>
      </w:pPr>
      <w:r w:rsidRPr="00606103">
        <w:rPr>
          <w:rFonts w:asciiTheme="majorHAnsi" w:hAnsiTheme="majorHAnsi" w:cstheme="majorHAnsi"/>
          <w:sz w:val="24"/>
          <w:szCs w:val="24"/>
          <w:lang w:val="ro-MD" w:eastAsia="ja-JP"/>
        </w:rPr>
        <w:t>La 31.12.2021 soldurile mijloacelor neutilizate ale bugetelor locale primite din contul transferurilor cu destinație s</w:t>
      </w:r>
      <w:r w:rsidR="000F4A31" w:rsidRPr="00606103">
        <w:rPr>
          <w:rFonts w:asciiTheme="majorHAnsi" w:hAnsiTheme="majorHAnsi" w:cstheme="majorHAnsi"/>
          <w:sz w:val="24"/>
          <w:szCs w:val="24"/>
          <w:lang w:val="ro-MD" w:eastAsia="ja-JP"/>
        </w:rPr>
        <w:t>pecială</w:t>
      </w:r>
      <w:r w:rsidRPr="00606103">
        <w:rPr>
          <w:rFonts w:asciiTheme="majorHAnsi" w:hAnsiTheme="majorHAnsi" w:cstheme="majorHAnsi"/>
          <w:sz w:val="24"/>
          <w:szCs w:val="24"/>
          <w:lang w:val="ro-MD" w:eastAsia="ja-JP"/>
        </w:rPr>
        <w:t xml:space="preserve"> s-au înregistrat în sumă totală de 8,3 mil. lei, dintre care: la UTA Găgăuzia – 1,3 mil. lei, mun. Bălți – 1,2 mil. lei, Florești – 0,7 mil. lei, Briceni – 0,5 mil. lei etc., ponderea cea mai mare fiind la învățământ (67,5%). </w:t>
      </w:r>
    </w:p>
    <w:p w:rsidR="0043437E" w:rsidRPr="00606103" w:rsidRDefault="00686AE4">
      <w:pPr>
        <w:pStyle w:val="Heading2"/>
        <w:spacing w:line="276" w:lineRule="auto"/>
        <w:rPr>
          <w:rFonts w:eastAsia="Times New Roman" w:cstheme="majorHAnsi"/>
          <w:b/>
          <w:color w:val="auto"/>
          <w:sz w:val="24"/>
          <w:szCs w:val="24"/>
          <w:lang w:val="ro-MD"/>
        </w:rPr>
      </w:pPr>
      <w:r w:rsidRPr="00606103">
        <w:rPr>
          <w:rFonts w:eastAsia="Times New Roman" w:cstheme="majorHAnsi"/>
          <w:b/>
          <w:color w:val="auto"/>
          <w:sz w:val="24"/>
          <w:szCs w:val="24"/>
          <w:lang w:val="ro-MD"/>
        </w:rPr>
        <w:t>5.2</w:t>
      </w:r>
      <w:r w:rsidR="003C5028" w:rsidRPr="00606103">
        <w:rPr>
          <w:rFonts w:eastAsia="Times New Roman" w:cstheme="majorHAnsi"/>
          <w:b/>
          <w:color w:val="auto"/>
          <w:sz w:val="24"/>
          <w:szCs w:val="24"/>
          <w:lang w:val="ro-MD"/>
        </w:rPr>
        <w:t xml:space="preserve">. </w:t>
      </w:r>
      <w:r w:rsidR="0043437E" w:rsidRPr="00606103">
        <w:rPr>
          <w:rFonts w:eastAsia="Times New Roman" w:cstheme="majorHAnsi"/>
          <w:b/>
          <w:color w:val="auto"/>
          <w:sz w:val="24"/>
          <w:szCs w:val="24"/>
          <w:lang w:val="ro-MD"/>
        </w:rPr>
        <w:t>Se atestă o creștere semnificativă a cheltuielilor privind plățile aferente documentelor executorii.</w:t>
      </w:r>
    </w:p>
    <w:p w:rsidR="0043437E" w:rsidRPr="000A1798" w:rsidRDefault="0043437E">
      <w:pPr>
        <w:spacing w:after="0" w:line="276" w:lineRule="auto"/>
        <w:rPr>
          <w:rFonts w:asciiTheme="majorHAnsi" w:hAnsiTheme="majorHAnsi" w:cstheme="majorHAnsi"/>
          <w:i/>
          <w:sz w:val="24"/>
          <w:szCs w:val="24"/>
          <w:lang w:val="ro-MD"/>
        </w:rPr>
      </w:pPr>
      <w:r w:rsidRPr="00606103">
        <w:rPr>
          <w:rFonts w:asciiTheme="majorHAnsi" w:hAnsiTheme="majorHAnsi" w:cstheme="majorHAnsi"/>
          <w:sz w:val="24"/>
          <w:szCs w:val="24"/>
          <w:lang w:val="ro-MD"/>
        </w:rPr>
        <w:t>Prin Legea bugetului de stat pentru anul 2021</w:t>
      </w:r>
      <w:r w:rsidRPr="00606103">
        <w:rPr>
          <w:rFonts w:asciiTheme="majorHAnsi" w:hAnsiTheme="majorHAnsi" w:cstheme="majorHAnsi"/>
          <w:sz w:val="24"/>
          <w:szCs w:val="24"/>
          <w:vertAlign w:val="superscript"/>
          <w:lang w:val="ro-MD"/>
        </w:rPr>
        <w:footnoteReference w:id="53"/>
      </w:r>
      <w:r w:rsidRPr="00606103">
        <w:rPr>
          <w:rFonts w:asciiTheme="majorHAnsi" w:hAnsiTheme="majorHAnsi" w:cstheme="majorHAnsi"/>
          <w:sz w:val="24"/>
          <w:szCs w:val="24"/>
          <w:lang w:val="ro-MD"/>
        </w:rPr>
        <w:t xml:space="preserve">, </w:t>
      </w:r>
      <w:r w:rsidRPr="00606103">
        <w:rPr>
          <w:rFonts w:asciiTheme="majorHAnsi" w:hAnsiTheme="majorHAnsi" w:cstheme="majorHAnsi"/>
          <w:color w:val="000000"/>
          <w:sz w:val="24"/>
          <w:szCs w:val="24"/>
          <w:lang w:val="ro-MD"/>
        </w:rPr>
        <w:t>pentru executarea cheltuielilor privind plățile aferente documentelor executori</w:t>
      </w:r>
      <w:r w:rsidR="00995E14" w:rsidRPr="00606103">
        <w:rPr>
          <w:rFonts w:asciiTheme="majorHAnsi" w:hAnsiTheme="majorHAnsi" w:cstheme="majorHAnsi"/>
          <w:color w:val="000000"/>
          <w:sz w:val="24"/>
          <w:szCs w:val="24"/>
          <w:lang w:val="ro-MD"/>
        </w:rPr>
        <w:t>i</w:t>
      </w:r>
      <w:r w:rsidRPr="00606103">
        <w:rPr>
          <w:rFonts w:asciiTheme="majorHAnsi" w:hAnsiTheme="majorHAnsi" w:cstheme="majorHAnsi"/>
          <w:sz w:val="24"/>
          <w:szCs w:val="24"/>
          <w:lang w:val="ro-MD"/>
        </w:rPr>
        <w:t xml:space="preserve"> au fost aprobate 33,7 mil. lei. Ulterior, </w:t>
      </w:r>
      <w:r w:rsidR="00995E14" w:rsidRPr="00606103">
        <w:rPr>
          <w:rFonts w:asciiTheme="majorHAnsi" w:hAnsiTheme="majorHAnsi" w:cstheme="majorHAnsi"/>
          <w:sz w:val="24"/>
          <w:szCs w:val="24"/>
          <w:lang w:val="ro-MD"/>
        </w:rPr>
        <w:t xml:space="preserve">ca </w:t>
      </w:r>
      <w:r w:rsidRPr="00606103">
        <w:rPr>
          <w:rFonts w:asciiTheme="majorHAnsi" w:hAnsiTheme="majorHAnsi" w:cstheme="majorHAnsi"/>
          <w:sz w:val="24"/>
          <w:szCs w:val="24"/>
          <w:lang w:val="ro-MD"/>
        </w:rPr>
        <w:t>urmare a modificărilor operate pe parcursul anului, volumul alocațiilor precizate a fost majorat semnificativ până la 207,6 mil. lei, sau de 6,2 ori, fiind executate 189,2 mil. lei, ceea ce constituie 91,1% comparativ cu indicatorul precizat.</w:t>
      </w:r>
      <w:r w:rsidR="004D074C" w:rsidRPr="00606103">
        <w:rPr>
          <w:rFonts w:asciiTheme="majorHAnsi" w:hAnsiTheme="majorHAnsi" w:cstheme="majorHAnsi"/>
          <w:sz w:val="24"/>
          <w:szCs w:val="24"/>
          <w:lang w:val="ro-MD"/>
        </w:rPr>
        <w:t xml:space="preserve"> </w:t>
      </w:r>
      <w:r w:rsidR="004D074C" w:rsidRPr="000A1798">
        <w:rPr>
          <w:rFonts w:asciiTheme="majorHAnsi" w:hAnsiTheme="majorHAnsi" w:cstheme="majorHAnsi"/>
          <w:i/>
          <w:sz w:val="24"/>
          <w:szCs w:val="24"/>
          <w:lang w:val="ro-MD"/>
        </w:rPr>
        <w:t>Analiza auditului privind e</w:t>
      </w:r>
      <w:r w:rsidRPr="000A1798">
        <w:rPr>
          <w:rFonts w:asciiTheme="majorHAnsi" w:hAnsiTheme="majorHAnsi" w:cstheme="majorHAnsi"/>
          <w:i/>
          <w:sz w:val="24"/>
          <w:szCs w:val="24"/>
          <w:lang w:val="ro-MD"/>
        </w:rPr>
        <w:t xml:space="preserve">voluția </w:t>
      </w:r>
      <w:r w:rsidR="004D074C" w:rsidRPr="000A1798">
        <w:rPr>
          <w:rFonts w:asciiTheme="majorHAnsi" w:hAnsiTheme="majorHAnsi" w:cstheme="majorHAnsi"/>
          <w:i/>
          <w:sz w:val="24"/>
          <w:szCs w:val="24"/>
          <w:lang w:val="ro-MD"/>
        </w:rPr>
        <w:t xml:space="preserve">acestor </w:t>
      </w:r>
      <w:r w:rsidRPr="000A1798">
        <w:rPr>
          <w:rFonts w:asciiTheme="majorHAnsi" w:hAnsiTheme="majorHAnsi" w:cstheme="majorHAnsi"/>
          <w:i/>
          <w:sz w:val="24"/>
          <w:szCs w:val="24"/>
          <w:lang w:val="ro-MD"/>
        </w:rPr>
        <w:t>pl</w:t>
      </w:r>
      <w:r w:rsidR="00F04DF7" w:rsidRPr="000A1798">
        <w:rPr>
          <w:rFonts w:asciiTheme="majorHAnsi" w:hAnsiTheme="majorHAnsi" w:cstheme="majorHAnsi"/>
          <w:i/>
          <w:sz w:val="24"/>
          <w:szCs w:val="24"/>
          <w:lang w:val="ro-MD"/>
        </w:rPr>
        <w:t>ăți se prezintă în Diagrama nr.</w:t>
      </w:r>
      <w:r w:rsidR="00BA4527" w:rsidRPr="000A1798">
        <w:rPr>
          <w:rFonts w:asciiTheme="majorHAnsi" w:hAnsiTheme="majorHAnsi" w:cstheme="majorHAnsi"/>
          <w:i/>
          <w:sz w:val="24"/>
          <w:szCs w:val="24"/>
          <w:lang w:val="ro-MD"/>
        </w:rPr>
        <w:t>3</w:t>
      </w:r>
      <w:r w:rsidRPr="000A1798">
        <w:rPr>
          <w:rFonts w:asciiTheme="majorHAnsi" w:hAnsiTheme="majorHAnsi" w:cstheme="majorHAnsi"/>
          <w:i/>
          <w:sz w:val="24"/>
          <w:szCs w:val="24"/>
          <w:lang w:val="ro-MD"/>
        </w:rPr>
        <w:t>.</w:t>
      </w:r>
    </w:p>
    <w:p w:rsidR="00DD6C38" w:rsidRPr="000A1798" w:rsidRDefault="00DD6C38">
      <w:pPr>
        <w:spacing w:after="0" w:line="276" w:lineRule="auto"/>
        <w:rPr>
          <w:rFonts w:asciiTheme="majorHAnsi" w:hAnsiTheme="majorHAnsi" w:cstheme="majorHAnsi"/>
          <w:i/>
          <w:sz w:val="24"/>
          <w:szCs w:val="24"/>
          <w:lang w:val="ro-MD"/>
        </w:rPr>
      </w:pPr>
    </w:p>
    <w:p w:rsidR="00DD6C38" w:rsidRPr="000A1798" w:rsidRDefault="00DD6C38">
      <w:pPr>
        <w:spacing w:after="0" w:line="276" w:lineRule="auto"/>
        <w:rPr>
          <w:rFonts w:asciiTheme="majorHAnsi" w:hAnsiTheme="majorHAnsi" w:cstheme="majorHAnsi"/>
          <w:i/>
          <w:sz w:val="24"/>
          <w:szCs w:val="24"/>
          <w:lang w:val="ro-MD"/>
        </w:rPr>
      </w:pPr>
    </w:p>
    <w:p w:rsidR="00DD6C38" w:rsidRDefault="00DD6C38">
      <w:pPr>
        <w:spacing w:after="0" w:line="276" w:lineRule="auto"/>
        <w:rPr>
          <w:rFonts w:asciiTheme="majorHAnsi" w:hAnsiTheme="majorHAnsi" w:cstheme="majorHAnsi"/>
          <w:i/>
          <w:sz w:val="24"/>
          <w:szCs w:val="24"/>
          <w:lang w:val="ro-MD"/>
        </w:rPr>
      </w:pPr>
    </w:p>
    <w:p w:rsidR="005D235B" w:rsidRDefault="005D235B">
      <w:pPr>
        <w:spacing w:after="0" w:line="276" w:lineRule="auto"/>
        <w:rPr>
          <w:rFonts w:asciiTheme="majorHAnsi" w:hAnsiTheme="majorHAnsi" w:cstheme="majorHAnsi"/>
          <w:i/>
          <w:sz w:val="24"/>
          <w:szCs w:val="24"/>
          <w:lang w:val="ro-MD"/>
        </w:rPr>
      </w:pPr>
    </w:p>
    <w:p w:rsidR="005D235B" w:rsidRDefault="005D235B">
      <w:pPr>
        <w:spacing w:after="0" w:line="276" w:lineRule="auto"/>
        <w:rPr>
          <w:rFonts w:asciiTheme="majorHAnsi" w:hAnsiTheme="majorHAnsi" w:cstheme="majorHAnsi"/>
          <w:i/>
          <w:sz w:val="24"/>
          <w:szCs w:val="24"/>
          <w:lang w:val="ro-MD"/>
        </w:rPr>
      </w:pPr>
    </w:p>
    <w:p w:rsidR="005D235B" w:rsidRDefault="005D235B">
      <w:pPr>
        <w:spacing w:after="0" w:line="276" w:lineRule="auto"/>
        <w:rPr>
          <w:rFonts w:asciiTheme="majorHAnsi" w:hAnsiTheme="majorHAnsi" w:cstheme="majorHAnsi"/>
          <w:i/>
          <w:sz w:val="24"/>
          <w:szCs w:val="24"/>
          <w:lang w:val="ro-MD"/>
        </w:rPr>
      </w:pPr>
    </w:p>
    <w:p w:rsidR="005D235B" w:rsidRDefault="005D235B">
      <w:pPr>
        <w:spacing w:after="0" w:line="276" w:lineRule="auto"/>
        <w:rPr>
          <w:rFonts w:asciiTheme="majorHAnsi" w:hAnsiTheme="majorHAnsi" w:cstheme="majorHAnsi"/>
          <w:i/>
          <w:sz w:val="24"/>
          <w:szCs w:val="24"/>
          <w:lang w:val="ro-MD"/>
        </w:rPr>
      </w:pPr>
    </w:p>
    <w:p w:rsidR="005D235B" w:rsidRDefault="005D235B">
      <w:pPr>
        <w:spacing w:after="0" w:line="276" w:lineRule="auto"/>
        <w:rPr>
          <w:rFonts w:asciiTheme="majorHAnsi" w:hAnsiTheme="majorHAnsi" w:cstheme="majorHAnsi"/>
          <w:i/>
          <w:sz w:val="24"/>
          <w:szCs w:val="24"/>
          <w:lang w:val="ro-MD"/>
        </w:rPr>
      </w:pPr>
    </w:p>
    <w:p w:rsidR="005D235B" w:rsidRDefault="005D235B">
      <w:pPr>
        <w:spacing w:after="0" w:line="276" w:lineRule="auto"/>
        <w:rPr>
          <w:rFonts w:asciiTheme="majorHAnsi" w:hAnsiTheme="majorHAnsi" w:cstheme="majorHAnsi"/>
          <w:i/>
          <w:sz w:val="24"/>
          <w:szCs w:val="24"/>
          <w:lang w:val="ro-MD"/>
        </w:rPr>
      </w:pPr>
    </w:p>
    <w:p w:rsidR="00DD6C38" w:rsidRDefault="00DD6C38">
      <w:pPr>
        <w:spacing w:after="0" w:line="276" w:lineRule="auto"/>
        <w:rPr>
          <w:rFonts w:asciiTheme="majorHAnsi" w:hAnsiTheme="majorHAnsi" w:cstheme="majorHAnsi"/>
          <w:i/>
          <w:sz w:val="24"/>
          <w:szCs w:val="24"/>
          <w:lang w:val="ro-MD"/>
        </w:rPr>
      </w:pPr>
    </w:p>
    <w:p w:rsidR="00926FAA" w:rsidRDefault="00926FAA">
      <w:pPr>
        <w:spacing w:after="0" w:line="276" w:lineRule="auto"/>
        <w:rPr>
          <w:rFonts w:asciiTheme="majorHAnsi" w:hAnsiTheme="majorHAnsi" w:cstheme="majorHAnsi"/>
          <w:i/>
          <w:sz w:val="24"/>
          <w:szCs w:val="24"/>
          <w:lang w:val="ro-MD"/>
        </w:rPr>
      </w:pPr>
    </w:p>
    <w:p w:rsidR="00DD6C38" w:rsidRPr="00606103" w:rsidRDefault="00DD6C38">
      <w:pPr>
        <w:spacing w:after="0" w:line="276" w:lineRule="auto"/>
        <w:rPr>
          <w:rFonts w:asciiTheme="majorHAnsi" w:hAnsiTheme="majorHAnsi" w:cstheme="majorHAnsi"/>
          <w:b/>
          <w:color w:val="000000" w:themeColor="text1"/>
          <w:sz w:val="24"/>
          <w:szCs w:val="24"/>
          <w:lang w:val="ro-MD"/>
        </w:rPr>
      </w:pPr>
    </w:p>
    <w:p w:rsidR="0043437E" w:rsidRPr="00606103" w:rsidRDefault="004D074C">
      <w:pPr>
        <w:spacing w:after="0" w:line="276" w:lineRule="auto"/>
        <w:jc w:val="right"/>
        <w:rPr>
          <w:rFonts w:asciiTheme="majorHAnsi" w:eastAsia="Times New Roman" w:hAnsiTheme="majorHAnsi" w:cstheme="majorHAnsi"/>
          <w:b/>
          <w:sz w:val="24"/>
          <w:szCs w:val="24"/>
          <w:lang w:val="ro-MD"/>
        </w:rPr>
      </w:pPr>
      <w:r w:rsidRPr="00606103">
        <w:rPr>
          <w:rFonts w:asciiTheme="majorHAnsi" w:eastAsia="Times New Roman" w:hAnsiTheme="majorHAnsi" w:cstheme="majorHAnsi"/>
          <w:b/>
          <w:i/>
          <w:sz w:val="24"/>
          <w:szCs w:val="24"/>
          <w:lang w:val="ro-MD"/>
        </w:rPr>
        <w:t>Diagrama nr.</w:t>
      </w:r>
      <w:r w:rsidR="00BA4527" w:rsidRPr="00606103">
        <w:rPr>
          <w:rFonts w:asciiTheme="majorHAnsi" w:eastAsia="Times New Roman" w:hAnsiTheme="majorHAnsi" w:cstheme="majorHAnsi"/>
          <w:b/>
          <w:i/>
          <w:sz w:val="24"/>
          <w:szCs w:val="24"/>
          <w:lang w:val="ro-MD"/>
        </w:rPr>
        <w:t>3</w:t>
      </w:r>
      <w:r w:rsidR="0043437E" w:rsidRPr="00606103">
        <w:rPr>
          <w:rFonts w:asciiTheme="majorHAnsi" w:eastAsia="Times New Roman" w:hAnsiTheme="majorHAnsi" w:cstheme="majorHAnsi"/>
          <w:b/>
          <w:i/>
          <w:sz w:val="24"/>
          <w:szCs w:val="24"/>
          <w:lang w:val="ro-MD"/>
        </w:rPr>
        <w:t>.</w:t>
      </w:r>
    </w:p>
    <w:p w:rsidR="0043437E" w:rsidRPr="00606103" w:rsidRDefault="0043437E">
      <w:pPr>
        <w:spacing w:after="0" w:line="276" w:lineRule="auto"/>
        <w:jc w:val="center"/>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t>Evoluția plăților aferente documentelor executorii în perioada 2019-2021</w:t>
      </w:r>
    </w:p>
    <w:p w:rsidR="0043437E" w:rsidRPr="00606103" w:rsidRDefault="0043437E">
      <w:pPr>
        <w:spacing w:after="0" w:line="276" w:lineRule="auto"/>
        <w:ind w:right="332"/>
        <w:jc w:val="right"/>
        <w:rPr>
          <w:rFonts w:asciiTheme="majorHAnsi" w:eastAsia="Times New Roman" w:hAnsiTheme="majorHAnsi" w:cstheme="majorHAnsi"/>
          <w:i/>
          <w:sz w:val="24"/>
          <w:szCs w:val="24"/>
          <w:lang w:val="ro-MD"/>
        </w:rPr>
      </w:pPr>
      <w:r w:rsidRPr="00606103">
        <w:rPr>
          <w:rFonts w:asciiTheme="majorHAnsi" w:eastAsia="Times New Roman" w:hAnsiTheme="majorHAnsi" w:cstheme="majorHAnsi"/>
          <w:i/>
          <w:sz w:val="24"/>
          <w:szCs w:val="24"/>
          <w:lang w:val="ro-MD"/>
        </w:rPr>
        <w:t>(mil.lei)</w:t>
      </w:r>
    </w:p>
    <w:p w:rsidR="0043437E" w:rsidRPr="00606103" w:rsidRDefault="0043437E">
      <w:pPr>
        <w:spacing w:line="276" w:lineRule="auto"/>
        <w:contextualSpacing/>
        <w:jc w:val="center"/>
        <w:rPr>
          <w:rFonts w:asciiTheme="majorHAnsi" w:eastAsiaTheme="minorEastAsia" w:hAnsiTheme="majorHAnsi" w:cstheme="majorHAnsi"/>
          <w:bCs/>
          <w:iCs/>
          <w:szCs w:val="28"/>
          <w:lang w:val="ro-MD" w:eastAsia="ru-RU"/>
        </w:rPr>
      </w:pPr>
      <w:r w:rsidRPr="00606103">
        <w:rPr>
          <w:rFonts w:asciiTheme="majorHAnsi" w:eastAsiaTheme="minorEastAsia" w:hAnsiTheme="majorHAnsi" w:cstheme="majorHAnsi"/>
          <w:bCs/>
          <w:iCs/>
          <w:noProof/>
          <w:szCs w:val="28"/>
          <w:lang w:val="en-US"/>
        </w:rPr>
        <w:drawing>
          <wp:inline distT="0" distB="0" distL="0" distR="0" wp14:anchorId="59732F9E" wp14:editId="32F6B0CB">
            <wp:extent cx="5207000" cy="184785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437E" w:rsidRPr="00606103" w:rsidRDefault="0043437E">
      <w:pPr>
        <w:spacing w:line="276" w:lineRule="auto"/>
        <w:ind w:firstLine="426"/>
        <w:contextualSpacing/>
        <w:jc w:val="left"/>
        <w:rPr>
          <w:rFonts w:asciiTheme="majorHAnsi" w:eastAsiaTheme="minorEastAsia" w:hAnsiTheme="majorHAnsi" w:cstheme="majorHAnsi"/>
          <w:bCs/>
          <w:i/>
          <w:iCs/>
          <w:szCs w:val="28"/>
          <w:lang w:val="ro-MD" w:eastAsia="ru-RU"/>
        </w:rPr>
      </w:pPr>
      <w:r w:rsidRPr="00606103">
        <w:rPr>
          <w:rFonts w:asciiTheme="majorHAnsi" w:eastAsiaTheme="minorEastAsia" w:hAnsiTheme="majorHAnsi" w:cstheme="majorHAnsi"/>
          <w:b/>
          <w:bCs/>
          <w:i/>
          <w:iCs/>
          <w:sz w:val="20"/>
          <w:szCs w:val="28"/>
          <w:lang w:val="ro-MD" w:eastAsia="ru-RU"/>
        </w:rPr>
        <w:t>Sursă:</w:t>
      </w:r>
      <w:r w:rsidR="004D074C" w:rsidRPr="00606103">
        <w:rPr>
          <w:rFonts w:asciiTheme="majorHAnsi" w:eastAsiaTheme="minorEastAsia" w:hAnsiTheme="majorHAnsi" w:cstheme="majorHAnsi"/>
          <w:b/>
          <w:bCs/>
          <w:i/>
          <w:iCs/>
          <w:sz w:val="20"/>
          <w:szCs w:val="28"/>
          <w:lang w:val="ro-MD" w:eastAsia="ru-RU"/>
        </w:rPr>
        <w:t xml:space="preserve"> </w:t>
      </w:r>
      <w:r w:rsidR="004D074C" w:rsidRPr="00606103">
        <w:rPr>
          <w:rFonts w:asciiTheme="majorHAnsi" w:eastAsiaTheme="minorEastAsia" w:hAnsiTheme="majorHAnsi" w:cstheme="majorHAnsi"/>
          <w:bCs/>
          <w:i/>
          <w:iCs/>
          <w:sz w:val="20"/>
          <w:szCs w:val="28"/>
          <w:lang w:val="ro-MD" w:eastAsia="ru-RU"/>
        </w:rPr>
        <w:t>Datele selectate de către echipa de audit din</w:t>
      </w:r>
      <w:r w:rsidRPr="00606103">
        <w:rPr>
          <w:rFonts w:asciiTheme="majorHAnsi" w:eastAsiaTheme="minorEastAsia" w:hAnsiTheme="majorHAnsi" w:cstheme="majorHAnsi"/>
          <w:bCs/>
          <w:i/>
          <w:iCs/>
          <w:sz w:val="20"/>
          <w:szCs w:val="28"/>
          <w:lang w:val="ro-MD" w:eastAsia="ru-RU"/>
        </w:rPr>
        <w:t xml:space="preserve"> </w:t>
      </w:r>
      <w:r w:rsidRPr="00606103">
        <w:rPr>
          <w:rFonts w:asciiTheme="majorHAnsi" w:hAnsiTheme="majorHAnsi" w:cstheme="majorHAnsi"/>
          <w:i/>
          <w:sz w:val="20"/>
          <w:szCs w:val="24"/>
          <w:lang w:val="ro-MD"/>
        </w:rPr>
        <w:t>Rapoartele privind executarea bugetului de stat pentru anii 2019, 2020 și 2021.</w:t>
      </w:r>
    </w:p>
    <w:p w:rsidR="0043437E" w:rsidRPr="00606103" w:rsidRDefault="0043437E">
      <w:pPr>
        <w:spacing w:before="240" w:line="276" w:lineRule="auto"/>
        <w:rPr>
          <w:rFonts w:asciiTheme="majorHAnsi" w:hAnsiTheme="majorHAnsi" w:cstheme="majorHAnsi"/>
          <w:color w:val="000000" w:themeColor="text1"/>
          <w:sz w:val="24"/>
          <w:szCs w:val="24"/>
          <w:lang w:val="ro-MD"/>
        </w:rPr>
      </w:pPr>
      <w:r w:rsidRPr="00606103">
        <w:rPr>
          <w:rFonts w:asciiTheme="majorHAnsi" w:hAnsiTheme="majorHAnsi" w:cstheme="majorHAnsi"/>
          <w:sz w:val="24"/>
          <w:szCs w:val="24"/>
          <w:lang w:val="ro-MD"/>
        </w:rPr>
        <w:t xml:space="preserve">Astfel, </w:t>
      </w:r>
      <w:r w:rsidRPr="00606103">
        <w:rPr>
          <w:rFonts w:asciiTheme="majorHAnsi" w:hAnsiTheme="majorHAnsi" w:cstheme="majorHAnsi"/>
          <w:color w:val="000000"/>
          <w:sz w:val="24"/>
          <w:szCs w:val="24"/>
          <w:lang w:val="ro-MD"/>
        </w:rPr>
        <w:t xml:space="preserve">analiza auditului denotă </w:t>
      </w:r>
      <w:r w:rsidRPr="00606103">
        <w:rPr>
          <w:rFonts w:asciiTheme="majorHAnsi" w:hAnsiTheme="majorHAnsi" w:cstheme="majorHAnsi"/>
          <w:sz w:val="24"/>
          <w:szCs w:val="24"/>
          <w:lang w:val="ro-MD"/>
        </w:rPr>
        <w:t>creșterea cheltuielilor privind plățile aferente documentelor executorii</w:t>
      </w:r>
      <w:r w:rsidR="00995E14"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față de anii precedenți cu 131,0 mil.lei, s</w:t>
      </w:r>
      <w:r w:rsidR="004D074C" w:rsidRPr="00606103">
        <w:rPr>
          <w:rFonts w:asciiTheme="majorHAnsi" w:hAnsiTheme="majorHAnsi" w:cstheme="majorHAnsi"/>
          <w:sz w:val="24"/>
          <w:szCs w:val="24"/>
          <w:lang w:val="ro-MD"/>
        </w:rPr>
        <w:t xml:space="preserve">au de 3,3 ori față de anul 2020. </w:t>
      </w:r>
      <w:r w:rsidRPr="00606103">
        <w:rPr>
          <w:rFonts w:asciiTheme="majorHAnsi" w:hAnsiTheme="majorHAnsi" w:cstheme="majorHAnsi"/>
          <w:sz w:val="24"/>
          <w:szCs w:val="24"/>
          <w:lang w:val="ro-MD"/>
        </w:rPr>
        <w:t>În anul 2021, din totalul cheltuielilor executate în sumă de 189,2 mil. lei, 106,2 mil. lei (56,1%) au fost achitate direct de către MF, iar 83,0 mil.lei (43,9%) – de către executorii de buget</w:t>
      </w:r>
      <w:r w:rsidRPr="00606103">
        <w:rPr>
          <w:rFonts w:asciiTheme="majorHAnsi" w:hAnsiTheme="majorHAnsi" w:cstheme="majorHAnsi"/>
          <w:color w:val="000000" w:themeColor="text1"/>
          <w:sz w:val="24"/>
          <w:szCs w:val="24"/>
          <w:lang w:val="ro-MD"/>
        </w:rPr>
        <w:t>.</w:t>
      </w:r>
    </w:p>
    <w:p w:rsidR="0043437E" w:rsidRPr="00606103" w:rsidRDefault="0043437E">
      <w:pPr>
        <w:spacing w:after="0" w:line="276" w:lineRule="auto"/>
        <w:rPr>
          <w:rFonts w:asciiTheme="majorHAnsi" w:hAnsiTheme="majorHAnsi" w:cstheme="majorHAnsi"/>
          <w:i/>
          <w:sz w:val="24"/>
          <w:szCs w:val="24"/>
          <w:lang w:val="ro-MD"/>
        </w:rPr>
      </w:pPr>
      <w:r w:rsidRPr="00606103">
        <w:rPr>
          <w:rFonts w:asciiTheme="majorHAnsi" w:hAnsiTheme="majorHAnsi" w:cstheme="majorHAnsi"/>
          <w:color w:val="000000" w:themeColor="text1"/>
          <w:sz w:val="24"/>
          <w:szCs w:val="24"/>
          <w:lang w:val="ro-MD"/>
        </w:rPr>
        <w:t>Verificările auditului relevă că în anul 2021 a fost introdus</w:t>
      </w:r>
      <w:r w:rsidRPr="00606103">
        <w:rPr>
          <w:rFonts w:asciiTheme="majorHAnsi" w:hAnsiTheme="majorHAnsi" w:cstheme="majorHAnsi"/>
          <w:color w:val="000000" w:themeColor="text1"/>
          <w:sz w:val="24"/>
          <w:szCs w:val="24"/>
          <w:vertAlign w:val="superscript"/>
          <w:lang w:val="ro-MD"/>
        </w:rPr>
        <w:footnoteReference w:id="54"/>
      </w:r>
      <w:r w:rsidRPr="00606103">
        <w:rPr>
          <w:rFonts w:asciiTheme="majorHAnsi" w:hAnsiTheme="majorHAnsi" w:cstheme="majorHAnsi"/>
          <w:color w:val="000000" w:themeColor="text1"/>
          <w:sz w:val="24"/>
          <w:szCs w:val="24"/>
          <w:lang w:val="ro-MD"/>
        </w:rPr>
        <w:t xml:space="preserve"> un nou cod</w:t>
      </w:r>
      <w:r w:rsidR="00656183" w:rsidRPr="00606103">
        <w:rPr>
          <w:rFonts w:asciiTheme="majorHAnsi" w:hAnsiTheme="majorHAnsi" w:cstheme="majorHAnsi"/>
          <w:color w:val="000000" w:themeColor="text1"/>
          <w:sz w:val="24"/>
          <w:szCs w:val="24"/>
          <w:lang w:val="ro-MD"/>
        </w:rPr>
        <w:t>,</w:t>
      </w:r>
      <w:r w:rsidRPr="00606103">
        <w:rPr>
          <w:rFonts w:asciiTheme="majorHAnsi" w:hAnsiTheme="majorHAnsi" w:cstheme="majorHAnsi"/>
          <w:color w:val="000000" w:themeColor="text1"/>
          <w:sz w:val="24"/>
          <w:szCs w:val="24"/>
          <w:lang w:val="ro-MD"/>
        </w:rPr>
        <w:t xml:space="preserve"> ECO 281363 </w:t>
      </w:r>
      <w:r w:rsidRPr="00606103">
        <w:rPr>
          <w:rFonts w:asciiTheme="majorHAnsi" w:hAnsiTheme="majorHAnsi" w:cstheme="majorHAnsi"/>
          <w:i/>
          <w:color w:val="000000" w:themeColor="text1"/>
          <w:sz w:val="24"/>
          <w:szCs w:val="24"/>
          <w:lang w:val="ro-MD"/>
        </w:rPr>
        <w:t>„Plăți aferente documentelor executorii în baza hotărârilor și deciziilor Curții Europene a Drepturilor Omului”</w:t>
      </w:r>
      <w:r w:rsidRPr="00606103">
        <w:rPr>
          <w:rFonts w:asciiTheme="majorHAnsi" w:hAnsiTheme="majorHAnsi" w:cstheme="majorHAnsi"/>
          <w:color w:val="000000" w:themeColor="text1"/>
          <w:sz w:val="24"/>
          <w:szCs w:val="24"/>
          <w:lang w:val="ro-MD"/>
        </w:rPr>
        <w:t xml:space="preserve">. Astfel, plățile respective au fost înregistrate la </w:t>
      </w:r>
      <w:r w:rsidR="00995E14" w:rsidRPr="00606103">
        <w:rPr>
          <w:rFonts w:asciiTheme="majorHAnsi" w:hAnsiTheme="majorHAnsi" w:cstheme="majorHAnsi"/>
          <w:color w:val="000000" w:themeColor="text1"/>
          <w:sz w:val="24"/>
          <w:szCs w:val="24"/>
          <w:lang w:val="ro-MD"/>
        </w:rPr>
        <w:t xml:space="preserve">un </w:t>
      </w:r>
      <w:r w:rsidRPr="00606103">
        <w:rPr>
          <w:rFonts w:asciiTheme="majorHAnsi" w:hAnsiTheme="majorHAnsi" w:cstheme="majorHAnsi"/>
          <w:color w:val="000000" w:themeColor="text1"/>
          <w:sz w:val="24"/>
          <w:szCs w:val="24"/>
          <w:lang w:val="ro-MD"/>
        </w:rPr>
        <w:t xml:space="preserve">cont separat. </w:t>
      </w:r>
      <w:r w:rsidRPr="00606103">
        <w:rPr>
          <w:rFonts w:asciiTheme="majorHAnsi" w:hAnsiTheme="majorHAnsi" w:cstheme="majorHAnsi"/>
          <w:sz w:val="24"/>
          <w:szCs w:val="24"/>
          <w:lang w:val="ro-MD"/>
        </w:rPr>
        <w:t xml:space="preserve">Pe parcursul anului 2021, MF i-au fost prezentate 303 documente executorii în sumă de 106,2 mil. lei, din care: 230 de titluri executorii emise de instanțele judecătorești din RM (8,6 mil. lei) și 73 </w:t>
      </w:r>
      <w:r w:rsidR="00656183" w:rsidRPr="00606103">
        <w:rPr>
          <w:rFonts w:asciiTheme="majorHAnsi" w:hAnsiTheme="majorHAnsi" w:cstheme="majorHAnsi"/>
          <w:sz w:val="24"/>
          <w:szCs w:val="24"/>
          <w:lang w:val="ro-MD"/>
        </w:rPr>
        <w:t xml:space="preserve">de </w:t>
      </w:r>
      <w:r w:rsidRPr="00606103">
        <w:rPr>
          <w:rFonts w:asciiTheme="majorHAnsi" w:hAnsiTheme="majorHAnsi" w:cstheme="majorHAnsi"/>
          <w:sz w:val="24"/>
          <w:szCs w:val="24"/>
          <w:lang w:val="ro-MD"/>
        </w:rPr>
        <w:t>hotărâri</w:t>
      </w:r>
      <w:r w:rsidR="004D074C" w:rsidRPr="00606103">
        <w:rPr>
          <w:rFonts w:asciiTheme="majorHAnsi" w:hAnsiTheme="majorHAnsi" w:cstheme="majorHAnsi"/>
          <w:sz w:val="24"/>
          <w:szCs w:val="24"/>
          <w:lang w:val="ro-MD"/>
        </w:rPr>
        <w:t xml:space="preserve"> emise de CEDO (97,6 mil. lei), </w:t>
      </w:r>
      <w:r w:rsidR="004D074C" w:rsidRPr="00606103">
        <w:rPr>
          <w:rFonts w:asciiTheme="majorHAnsi" w:hAnsiTheme="majorHAnsi" w:cstheme="majorHAnsi"/>
          <w:i/>
          <w:sz w:val="24"/>
          <w:szCs w:val="24"/>
          <w:lang w:val="ro-MD"/>
        </w:rPr>
        <w:t>a</w:t>
      </w:r>
      <w:r w:rsidRPr="00606103">
        <w:rPr>
          <w:rFonts w:asciiTheme="majorHAnsi" w:hAnsiTheme="majorHAnsi" w:cstheme="majorHAnsi"/>
          <w:i/>
          <w:sz w:val="24"/>
          <w:szCs w:val="24"/>
          <w:lang w:val="ro-MD"/>
        </w:rPr>
        <w:t xml:space="preserve">naliza </w:t>
      </w:r>
      <w:r w:rsidR="00ED0BD6" w:rsidRPr="00606103">
        <w:rPr>
          <w:rFonts w:asciiTheme="majorHAnsi" w:hAnsiTheme="majorHAnsi" w:cstheme="majorHAnsi"/>
          <w:i/>
          <w:sz w:val="24"/>
          <w:szCs w:val="24"/>
          <w:lang w:val="ro-MD"/>
        </w:rPr>
        <w:t xml:space="preserve">auditului </w:t>
      </w:r>
      <w:r w:rsidR="00995E14" w:rsidRPr="00606103">
        <w:rPr>
          <w:rFonts w:asciiTheme="majorHAnsi" w:hAnsiTheme="majorHAnsi" w:cstheme="majorHAnsi"/>
          <w:i/>
          <w:sz w:val="24"/>
          <w:szCs w:val="24"/>
          <w:lang w:val="ro-MD"/>
        </w:rPr>
        <w:t xml:space="preserve">în acest sens </w:t>
      </w:r>
      <w:r w:rsidR="00ED0BD6" w:rsidRPr="00606103">
        <w:rPr>
          <w:rFonts w:asciiTheme="majorHAnsi" w:hAnsiTheme="majorHAnsi" w:cstheme="majorHAnsi"/>
          <w:i/>
          <w:sz w:val="24"/>
          <w:szCs w:val="24"/>
          <w:lang w:val="ro-MD"/>
        </w:rPr>
        <w:t>fiind preze</w:t>
      </w:r>
      <w:r w:rsidR="004D074C" w:rsidRPr="00606103">
        <w:rPr>
          <w:rFonts w:asciiTheme="majorHAnsi" w:hAnsiTheme="majorHAnsi" w:cstheme="majorHAnsi"/>
          <w:i/>
          <w:sz w:val="24"/>
          <w:szCs w:val="24"/>
          <w:lang w:val="ro-MD"/>
        </w:rPr>
        <w:t>ntată</w:t>
      </w:r>
      <w:r w:rsidRPr="00606103">
        <w:rPr>
          <w:rFonts w:asciiTheme="majorHAnsi" w:hAnsiTheme="majorHAnsi" w:cstheme="majorHAnsi"/>
          <w:i/>
          <w:sz w:val="24"/>
          <w:szCs w:val="24"/>
          <w:lang w:val="ro-MD"/>
        </w:rPr>
        <w:t xml:space="preserve"> în Tabelul nr.</w:t>
      </w:r>
      <w:r w:rsidR="001F7B42" w:rsidRPr="00606103">
        <w:rPr>
          <w:rFonts w:asciiTheme="majorHAnsi" w:hAnsiTheme="majorHAnsi" w:cstheme="majorHAnsi"/>
          <w:i/>
          <w:sz w:val="24"/>
          <w:szCs w:val="24"/>
          <w:lang w:val="ro-MD"/>
        </w:rPr>
        <w:t>6</w:t>
      </w:r>
      <w:r w:rsidRPr="00606103">
        <w:rPr>
          <w:rFonts w:asciiTheme="majorHAnsi" w:hAnsiTheme="majorHAnsi" w:cstheme="majorHAnsi"/>
          <w:i/>
          <w:sz w:val="24"/>
          <w:szCs w:val="24"/>
          <w:lang w:val="ro-MD"/>
        </w:rPr>
        <w:t>.</w:t>
      </w:r>
    </w:p>
    <w:p w:rsidR="0043437E" w:rsidRPr="00606103" w:rsidRDefault="001F7B42">
      <w:pPr>
        <w:spacing w:after="0" w:line="276" w:lineRule="auto"/>
        <w:jc w:val="right"/>
        <w:rPr>
          <w:rFonts w:asciiTheme="majorHAnsi" w:eastAsia="Times New Roman" w:hAnsiTheme="majorHAnsi" w:cstheme="majorHAnsi"/>
          <w:b/>
          <w:i/>
          <w:sz w:val="24"/>
          <w:szCs w:val="24"/>
          <w:lang w:val="ro-MD"/>
        </w:rPr>
      </w:pPr>
      <w:r w:rsidRPr="00606103">
        <w:rPr>
          <w:rFonts w:asciiTheme="majorHAnsi" w:eastAsia="Times New Roman" w:hAnsiTheme="majorHAnsi" w:cstheme="majorHAnsi"/>
          <w:b/>
          <w:i/>
          <w:sz w:val="24"/>
          <w:szCs w:val="24"/>
          <w:lang w:val="ro-MD"/>
        </w:rPr>
        <w:t>Tabelul nr.6</w:t>
      </w:r>
    </w:p>
    <w:p w:rsidR="0043437E" w:rsidRPr="00606103" w:rsidRDefault="0043437E">
      <w:pPr>
        <w:spacing w:after="0" w:line="276" w:lineRule="auto"/>
        <w:jc w:val="center"/>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t>Analiza privind executarea de către MF a documentelor executorii în anul 2021</w:t>
      </w:r>
    </w:p>
    <w:p w:rsidR="0043437E" w:rsidRPr="00606103" w:rsidRDefault="0043437E">
      <w:pPr>
        <w:spacing w:after="0" w:line="276" w:lineRule="auto"/>
        <w:jc w:val="right"/>
        <w:rPr>
          <w:rFonts w:asciiTheme="majorHAnsi" w:eastAsia="Times New Roman" w:hAnsiTheme="majorHAnsi" w:cstheme="majorHAnsi"/>
          <w:i/>
          <w:sz w:val="24"/>
          <w:szCs w:val="24"/>
          <w:lang w:val="ro-MD"/>
        </w:rPr>
      </w:pPr>
      <w:r w:rsidRPr="00606103">
        <w:rPr>
          <w:rFonts w:asciiTheme="majorHAnsi" w:eastAsia="Times New Roman" w:hAnsiTheme="majorHAnsi" w:cstheme="majorHAnsi"/>
          <w:i/>
          <w:sz w:val="24"/>
          <w:szCs w:val="24"/>
          <w:lang w:val="ro-MD"/>
        </w:rPr>
        <w:t>(mil. lei)</w:t>
      </w:r>
    </w:p>
    <w:tbl>
      <w:tblPr>
        <w:tblStyle w:val="GridTable1Light13"/>
        <w:tblW w:w="0" w:type="auto"/>
        <w:jc w:val="center"/>
        <w:tblLayout w:type="fixed"/>
        <w:tblLook w:val="04A0" w:firstRow="1" w:lastRow="0" w:firstColumn="1" w:lastColumn="0" w:noHBand="0" w:noVBand="1"/>
      </w:tblPr>
      <w:tblGrid>
        <w:gridCol w:w="605"/>
        <w:gridCol w:w="1942"/>
        <w:gridCol w:w="1275"/>
        <w:gridCol w:w="1135"/>
        <w:gridCol w:w="1125"/>
        <w:gridCol w:w="1130"/>
        <w:gridCol w:w="1111"/>
        <w:gridCol w:w="1111"/>
      </w:tblGrid>
      <w:tr w:rsidR="0043437E" w:rsidRPr="00606103" w:rsidTr="00F24F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 w:type="dxa"/>
            <w:vMerge w:val="restart"/>
            <w:vAlign w:val="center"/>
          </w:tcPr>
          <w:p w:rsidR="0043437E" w:rsidRPr="00606103" w:rsidRDefault="0043437E">
            <w:pPr>
              <w:spacing w:line="276" w:lineRule="auto"/>
              <w:jc w:val="center"/>
              <w:rPr>
                <w:rFonts w:asciiTheme="majorHAnsi" w:eastAsia="Times New Roman" w:hAnsiTheme="majorHAnsi" w:cstheme="majorHAnsi"/>
                <w:sz w:val="20"/>
                <w:szCs w:val="20"/>
                <w:lang w:val="ro-MD"/>
              </w:rPr>
            </w:pPr>
          </w:p>
          <w:p w:rsidR="0043437E" w:rsidRPr="00606103" w:rsidRDefault="0043437E">
            <w:pPr>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Nr.</w:t>
            </w:r>
          </w:p>
          <w:p w:rsidR="0043437E" w:rsidRPr="00606103" w:rsidRDefault="0043437E">
            <w:pPr>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d/o</w:t>
            </w:r>
          </w:p>
        </w:tc>
        <w:tc>
          <w:tcPr>
            <w:tcW w:w="1942" w:type="dxa"/>
            <w:vMerge w:val="restart"/>
            <w:vAlign w:val="center"/>
          </w:tcPr>
          <w:p w:rsidR="0043437E" w:rsidRPr="00606103" w:rsidRDefault="0043437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p>
          <w:p w:rsidR="0043437E" w:rsidRPr="00606103" w:rsidRDefault="0043437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Beneficiari</w:t>
            </w:r>
          </w:p>
        </w:tc>
        <w:tc>
          <w:tcPr>
            <w:tcW w:w="4665" w:type="dxa"/>
            <w:gridSpan w:val="4"/>
            <w:vAlign w:val="center"/>
          </w:tcPr>
          <w:p w:rsidR="0043437E" w:rsidRPr="00606103" w:rsidRDefault="0043437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Documente executorii emise de:</w:t>
            </w:r>
          </w:p>
        </w:tc>
        <w:tc>
          <w:tcPr>
            <w:tcW w:w="2222" w:type="dxa"/>
            <w:gridSpan w:val="2"/>
            <w:vMerge w:val="restart"/>
            <w:vAlign w:val="center"/>
          </w:tcPr>
          <w:p w:rsidR="0043437E" w:rsidRPr="00606103" w:rsidRDefault="0043437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p>
          <w:p w:rsidR="0043437E" w:rsidRPr="00606103" w:rsidRDefault="0043437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Total</w:t>
            </w:r>
          </w:p>
        </w:tc>
      </w:tr>
      <w:tr w:rsidR="0043437E" w:rsidRPr="00606103" w:rsidTr="00F24FB0">
        <w:trPr>
          <w:jc w:val="center"/>
        </w:trPr>
        <w:tc>
          <w:tcPr>
            <w:cnfStyle w:val="001000000000" w:firstRow="0" w:lastRow="0" w:firstColumn="1" w:lastColumn="0" w:oddVBand="0" w:evenVBand="0" w:oddHBand="0" w:evenHBand="0" w:firstRowFirstColumn="0" w:firstRowLastColumn="0" w:lastRowFirstColumn="0" w:lastRowLastColumn="0"/>
            <w:tcW w:w="605" w:type="dxa"/>
            <w:vMerge/>
            <w:vAlign w:val="center"/>
          </w:tcPr>
          <w:p w:rsidR="0043437E" w:rsidRPr="00606103" w:rsidRDefault="0043437E">
            <w:pPr>
              <w:spacing w:line="276" w:lineRule="auto"/>
              <w:jc w:val="center"/>
              <w:rPr>
                <w:rFonts w:asciiTheme="majorHAnsi" w:eastAsia="Times New Roman" w:hAnsiTheme="majorHAnsi" w:cstheme="majorHAnsi"/>
                <w:sz w:val="20"/>
                <w:szCs w:val="20"/>
                <w:lang w:val="ro-MD"/>
              </w:rPr>
            </w:pPr>
          </w:p>
        </w:tc>
        <w:tc>
          <w:tcPr>
            <w:tcW w:w="1942" w:type="dxa"/>
            <w:vMerge/>
            <w:vAlign w:val="center"/>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p>
        </w:tc>
        <w:tc>
          <w:tcPr>
            <w:tcW w:w="2410" w:type="dxa"/>
            <w:gridSpan w:val="2"/>
            <w:vAlign w:val="center"/>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Instanțele judecătorești din RM</w:t>
            </w:r>
          </w:p>
        </w:tc>
        <w:tc>
          <w:tcPr>
            <w:tcW w:w="2253" w:type="dxa"/>
            <w:gridSpan w:val="2"/>
            <w:vAlign w:val="center"/>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CEDO</w:t>
            </w:r>
          </w:p>
        </w:tc>
        <w:tc>
          <w:tcPr>
            <w:tcW w:w="2222" w:type="dxa"/>
            <w:gridSpan w:val="2"/>
            <w:vMerge/>
            <w:vAlign w:val="center"/>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p>
        </w:tc>
      </w:tr>
      <w:tr w:rsidR="0043437E" w:rsidRPr="00606103" w:rsidTr="00F24FB0">
        <w:trPr>
          <w:jc w:val="center"/>
        </w:trPr>
        <w:tc>
          <w:tcPr>
            <w:cnfStyle w:val="001000000000" w:firstRow="0" w:lastRow="0" w:firstColumn="1" w:lastColumn="0" w:oddVBand="0" w:evenVBand="0" w:oddHBand="0" w:evenHBand="0" w:firstRowFirstColumn="0" w:firstRowLastColumn="0" w:lastRowFirstColumn="0" w:lastRowLastColumn="0"/>
            <w:tcW w:w="605" w:type="dxa"/>
            <w:vMerge/>
            <w:vAlign w:val="center"/>
          </w:tcPr>
          <w:p w:rsidR="0043437E" w:rsidRPr="00606103" w:rsidRDefault="0043437E">
            <w:pPr>
              <w:spacing w:line="276" w:lineRule="auto"/>
              <w:jc w:val="center"/>
              <w:rPr>
                <w:rFonts w:asciiTheme="majorHAnsi" w:eastAsia="Times New Roman" w:hAnsiTheme="majorHAnsi" w:cstheme="majorHAnsi"/>
                <w:sz w:val="20"/>
                <w:szCs w:val="20"/>
                <w:lang w:val="ro-MD"/>
              </w:rPr>
            </w:pPr>
          </w:p>
        </w:tc>
        <w:tc>
          <w:tcPr>
            <w:tcW w:w="1942" w:type="dxa"/>
            <w:vMerge/>
            <w:vAlign w:val="center"/>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p>
        </w:tc>
        <w:tc>
          <w:tcPr>
            <w:tcW w:w="1275" w:type="dxa"/>
            <w:vAlign w:val="center"/>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Numărul</w:t>
            </w:r>
          </w:p>
        </w:tc>
        <w:tc>
          <w:tcPr>
            <w:tcW w:w="1135" w:type="dxa"/>
            <w:vAlign w:val="center"/>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Suma</w:t>
            </w:r>
          </w:p>
        </w:tc>
        <w:tc>
          <w:tcPr>
            <w:tcW w:w="1125" w:type="dxa"/>
            <w:vAlign w:val="center"/>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Numărul</w:t>
            </w:r>
          </w:p>
        </w:tc>
        <w:tc>
          <w:tcPr>
            <w:tcW w:w="1128" w:type="dxa"/>
            <w:vAlign w:val="center"/>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Suma</w:t>
            </w:r>
          </w:p>
        </w:tc>
        <w:tc>
          <w:tcPr>
            <w:tcW w:w="1111" w:type="dxa"/>
            <w:vAlign w:val="center"/>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Numărul</w:t>
            </w:r>
          </w:p>
        </w:tc>
        <w:tc>
          <w:tcPr>
            <w:tcW w:w="1111" w:type="dxa"/>
            <w:vAlign w:val="center"/>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Suma</w:t>
            </w:r>
          </w:p>
        </w:tc>
      </w:tr>
      <w:tr w:rsidR="0043437E" w:rsidRPr="00606103" w:rsidTr="00F24FB0">
        <w:trPr>
          <w:jc w:val="center"/>
        </w:trPr>
        <w:tc>
          <w:tcPr>
            <w:cnfStyle w:val="001000000000" w:firstRow="0" w:lastRow="0" w:firstColumn="1" w:lastColumn="0" w:oddVBand="0" w:evenVBand="0" w:oddHBand="0" w:evenHBand="0" w:firstRowFirstColumn="0" w:firstRowLastColumn="0" w:lastRowFirstColumn="0" w:lastRowLastColumn="0"/>
            <w:tcW w:w="605" w:type="dxa"/>
          </w:tcPr>
          <w:p w:rsidR="0043437E" w:rsidRPr="00606103" w:rsidRDefault="0043437E" w:rsidP="00FE3F3B">
            <w:pPr>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w:t>
            </w:r>
          </w:p>
        </w:tc>
        <w:tc>
          <w:tcPr>
            <w:tcW w:w="1942" w:type="dxa"/>
          </w:tcPr>
          <w:p w:rsidR="0043437E" w:rsidRPr="00606103" w:rsidRDefault="0043437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Persoane fizice</w:t>
            </w:r>
          </w:p>
        </w:tc>
        <w:tc>
          <w:tcPr>
            <w:tcW w:w="1275"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225</w:t>
            </w:r>
          </w:p>
        </w:tc>
        <w:tc>
          <w:tcPr>
            <w:tcW w:w="1135"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8,1</w:t>
            </w:r>
          </w:p>
        </w:tc>
        <w:tc>
          <w:tcPr>
            <w:tcW w:w="1125"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59</w:t>
            </w:r>
          </w:p>
        </w:tc>
        <w:tc>
          <w:tcPr>
            <w:tcW w:w="1128"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5,9</w:t>
            </w:r>
          </w:p>
        </w:tc>
        <w:tc>
          <w:tcPr>
            <w:tcW w:w="1111" w:type="dxa"/>
            <w:shd w:val="clear" w:color="auto" w:fill="auto"/>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284</w:t>
            </w:r>
          </w:p>
        </w:tc>
        <w:tc>
          <w:tcPr>
            <w:tcW w:w="1111"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14,0</w:t>
            </w:r>
          </w:p>
        </w:tc>
      </w:tr>
      <w:tr w:rsidR="0043437E" w:rsidRPr="00606103" w:rsidTr="00F24FB0">
        <w:trPr>
          <w:jc w:val="center"/>
        </w:trPr>
        <w:tc>
          <w:tcPr>
            <w:cnfStyle w:val="001000000000" w:firstRow="0" w:lastRow="0" w:firstColumn="1" w:lastColumn="0" w:oddVBand="0" w:evenVBand="0" w:oddHBand="0" w:evenHBand="0" w:firstRowFirstColumn="0" w:firstRowLastColumn="0" w:lastRowFirstColumn="0" w:lastRowLastColumn="0"/>
            <w:tcW w:w="605" w:type="dxa"/>
          </w:tcPr>
          <w:p w:rsidR="0043437E" w:rsidRPr="00606103" w:rsidRDefault="0043437E" w:rsidP="00FE3F3B">
            <w:pPr>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2</w:t>
            </w:r>
          </w:p>
        </w:tc>
        <w:tc>
          <w:tcPr>
            <w:tcW w:w="1942" w:type="dxa"/>
          </w:tcPr>
          <w:p w:rsidR="0043437E" w:rsidRPr="00606103" w:rsidRDefault="0043437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Persoane juridice</w:t>
            </w:r>
          </w:p>
        </w:tc>
        <w:tc>
          <w:tcPr>
            <w:tcW w:w="1275"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5</w:t>
            </w:r>
          </w:p>
        </w:tc>
        <w:tc>
          <w:tcPr>
            <w:tcW w:w="1135"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0,5</w:t>
            </w:r>
          </w:p>
        </w:tc>
        <w:tc>
          <w:tcPr>
            <w:tcW w:w="1125"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14</w:t>
            </w:r>
          </w:p>
        </w:tc>
        <w:tc>
          <w:tcPr>
            <w:tcW w:w="1128"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91,7</w:t>
            </w:r>
          </w:p>
        </w:tc>
        <w:tc>
          <w:tcPr>
            <w:tcW w:w="1111"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19</w:t>
            </w:r>
          </w:p>
        </w:tc>
        <w:tc>
          <w:tcPr>
            <w:tcW w:w="1111"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92,2</w:t>
            </w:r>
          </w:p>
        </w:tc>
      </w:tr>
      <w:tr w:rsidR="0043437E" w:rsidRPr="00606103" w:rsidTr="00F24FB0">
        <w:trPr>
          <w:jc w:val="center"/>
        </w:trPr>
        <w:tc>
          <w:tcPr>
            <w:cnfStyle w:val="001000000000" w:firstRow="0" w:lastRow="0" w:firstColumn="1" w:lastColumn="0" w:oddVBand="0" w:evenVBand="0" w:oddHBand="0" w:evenHBand="0" w:firstRowFirstColumn="0" w:firstRowLastColumn="0" w:lastRowFirstColumn="0" w:lastRowLastColumn="0"/>
            <w:tcW w:w="2547" w:type="dxa"/>
            <w:gridSpan w:val="2"/>
          </w:tcPr>
          <w:p w:rsidR="0043437E" w:rsidRPr="00606103" w:rsidRDefault="0043437E" w:rsidP="00FE3F3B">
            <w:pPr>
              <w:spacing w:line="276" w:lineRule="auto"/>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Total</w:t>
            </w:r>
          </w:p>
        </w:tc>
        <w:tc>
          <w:tcPr>
            <w:tcW w:w="1275"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230</w:t>
            </w:r>
          </w:p>
        </w:tc>
        <w:tc>
          <w:tcPr>
            <w:tcW w:w="1135"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8,6</w:t>
            </w:r>
          </w:p>
        </w:tc>
        <w:tc>
          <w:tcPr>
            <w:tcW w:w="1125"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73</w:t>
            </w:r>
          </w:p>
        </w:tc>
        <w:tc>
          <w:tcPr>
            <w:tcW w:w="1128"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97,6</w:t>
            </w:r>
          </w:p>
        </w:tc>
        <w:tc>
          <w:tcPr>
            <w:tcW w:w="1111"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303</w:t>
            </w:r>
          </w:p>
        </w:tc>
        <w:tc>
          <w:tcPr>
            <w:tcW w:w="1111" w:type="dxa"/>
          </w:tcPr>
          <w:p w:rsidR="0043437E" w:rsidRPr="00606103" w:rsidRDefault="0043437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rPr>
            </w:pPr>
            <w:r w:rsidRPr="00606103">
              <w:rPr>
                <w:rFonts w:asciiTheme="majorHAnsi" w:eastAsia="Times New Roman" w:hAnsiTheme="majorHAnsi" w:cstheme="majorHAnsi"/>
                <w:b/>
                <w:sz w:val="20"/>
                <w:szCs w:val="20"/>
                <w:lang w:val="ro-MD"/>
              </w:rPr>
              <w:t>106,2</w:t>
            </w:r>
          </w:p>
        </w:tc>
      </w:tr>
    </w:tbl>
    <w:p w:rsidR="0043437E" w:rsidRPr="00606103" w:rsidRDefault="0043437E" w:rsidP="00FE3F3B">
      <w:pPr>
        <w:spacing w:line="276" w:lineRule="auto"/>
        <w:rPr>
          <w:rFonts w:asciiTheme="majorHAnsi" w:eastAsia="Times New Roman" w:hAnsiTheme="majorHAnsi" w:cstheme="majorHAnsi"/>
          <w:i/>
          <w:sz w:val="20"/>
          <w:szCs w:val="20"/>
          <w:lang w:val="ro-MD"/>
        </w:rPr>
      </w:pPr>
      <w:r w:rsidRPr="00606103">
        <w:rPr>
          <w:rFonts w:asciiTheme="majorHAnsi" w:eastAsia="Times New Roman" w:hAnsiTheme="majorHAnsi" w:cstheme="majorHAnsi"/>
          <w:b/>
          <w:i/>
          <w:sz w:val="20"/>
          <w:szCs w:val="20"/>
          <w:lang w:val="ro-MD"/>
        </w:rPr>
        <w:t>Sursă:</w:t>
      </w:r>
      <w:r w:rsidRPr="00606103">
        <w:rPr>
          <w:rFonts w:asciiTheme="majorHAnsi" w:eastAsia="Times New Roman" w:hAnsiTheme="majorHAnsi" w:cstheme="majorHAnsi"/>
          <w:i/>
          <w:sz w:val="20"/>
          <w:szCs w:val="20"/>
          <w:lang w:val="ro-MD"/>
        </w:rPr>
        <w:t xml:space="preserve"> Informație generalizată de către echipa de audit conform informații</w:t>
      </w:r>
      <w:r w:rsidR="00656183" w:rsidRPr="00606103">
        <w:rPr>
          <w:rFonts w:asciiTheme="majorHAnsi" w:eastAsia="Times New Roman" w:hAnsiTheme="majorHAnsi" w:cstheme="majorHAnsi"/>
          <w:i/>
          <w:sz w:val="20"/>
          <w:szCs w:val="20"/>
          <w:lang w:val="ro-MD"/>
        </w:rPr>
        <w:t>lor</w:t>
      </w:r>
      <w:r w:rsidRPr="00606103">
        <w:rPr>
          <w:rFonts w:asciiTheme="majorHAnsi" w:eastAsia="Times New Roman" w:hAnsiTheme="majorHAnsi" w:cstheme="majorHAnsi"/>
          <w:i/>
          <w:sz w:val="20"/>
          <w:szCs w:val="20"/>
          <w:lang w:val="ro-MD"/>
        </w:rPr>
        <w:t xml:space="preserve"> privind achitarea documentelor executorii din contul bugetului de stat la situația din 30.12.2021.</w:t>
      </w:r>
    </w:p>
    <w:p w:rsidR="0043437E" w:rsidRPr="00606103" w:rsidRDefault="0043437E">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 xml:space="preserve">Verificările auditului asupra achitării titlurilor executorii </w:t>
      </w:r>
      <w:r w:rsidRPr="00606103">
        <w:rPr>
          <w:rFonts w:asciiTheme="majorHAnsi" w:hAnsiTheme="majorHAnsi" w:cstheme="majorHAnsi"/>
          <w:i/>
          <w:sz w:val="24"/>
          <w:szCs w:val="24"/>
          <w:lang w:val="ro-MD"/>
        </w:rPr>
        <w:t>emise de instanțele judecătorești din RM</w:t>
      </w:r>
      <w:r w:rsidRPr="00606103">
        <w:rPr>
          <w:rFonts w:asciiTheme="majorHAnsi" w:hAnsiTheme="majorHAnsi" w:cstheme="majorHAnsi"/>
          <w:sz w:val="24"/>
          <w:szCs w:val="24"/>
          <w:lang w:val="ro-MD"/>
        </w:rPr>
        <w:t xml:space="preserve"> </w:t>
      </w:r>
      <w:r w:rsidR="00926FAA">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(8,6 mil. lei) denotă că ponderea majoră în totalul plăților o deține plata efectuată pentru achitarea </w:t>
      </w:r>
      <w:r w:rsidRPr="00606103">
        <w:rPr>
          <w:rFonts w:asciiTheme="majorHAnsi" w:hAnsiTheme="majorHAnsi" w:cstheme="majorHAnsi"/>
          <w:sz w:val="24"/>
          <w:szCs w:val="24"/>
          <w:lang w:val="ro-MD"/>
        </w:rPr>
        <w:lastRenderedPageBreak/>
        <w:t xml:space="preserve">titlului executoriu prin care s-a dispus încasarea din BS a sumei de 0,5 mil. lei pentru repararea prejudiciului moral și material cauzat prin acțiunile ilicite ale organelor de drept. </w:t>
      </w:r>
    </w:p>
    <w:p w:rsidR="002940EB" w:rsidRPr="00606103" w:rsidRDefault="00E164A3">
      <w:pPr>
        <w:spacing w:line="276" w:lineRule="auto"/>
        <w:rPr>
          <w:rFonts w:asciiTheme="majorHAnsi" w:eastAsia="Times New Roman" w:hAnsiTheme="majorHAnsi" w:cstheme="majorHAnsi"/>
          <w:sz w:val="24"/>
          <w:szCs w:val="24"/>
          <w:lang w:val="ro-MD"/>
        </w:rPr>
      </w:pPr>
      <w:r w:rsidRPr="00606103">
        <w:rPr>
          <w:rFonts w:asciiTheme="majorHAnsi" w:eastAsia="Times New Roman" w:hAnsiTheme="majorHAnsi" w:cstheme="majorHAnsi"/>
          <w:sz w:val="24"/>
          <w:szCs w:val="24"/>
          <w:lang w:val="ro-MD"/>
        </w:rPr>
        <w:t xml:space="preserve">Analiza achitării Hotărârilor </w:t>
      </w:r>
      <w:r w:rsidRPr="00606103">
        <w:rPr>
          <w:rFonts w:asciiTheme="majorHAnsi" w:eastAsia="Times New Roman" w:hAnsiTheme="majorHAnsi" w:cstheme="majorHAnsi"/>
          <w:i/>
          <w:sz w:val="24"/>
          <w:szCs w:val="24"/>
          <w:lang w:val="ro-MD"/>
        </w:rPr>
        <w:t>emise de CEDO</w:t>
      </w:r>
      <w:r w:rsidRPr="00606103">
        <w:rPr>
          <w:rFonts w:asciiTheme="majorHAnsi" w:eastAsia="Times New Roman" w:hAnsiTheme="majorHAnsi" w:cstheme="majorHAnsi"/>
          <w:sz w:val="24"/>
          <w:szCs w:val="24"/>
          <w:lang w:val="ro-MD"/>
        </w:rPr>
        <w:t xml:space="preserve"> (97,6 mil. lei) denotă că ponderea majoră în totalul plăților o deține plata titlului executoriu în sumă de 47,4 mil. lei (2</w:t>
      </w:r>
      <w:r w:rsidR="00B1447F" w:rsidRPr="00606103">
        <w:rPr>
          <w:rFonts w:asciiTheme="majorHAnsi" w:eastAsia="Times New Roman" w:hAnsiTheme="majorHAnsi" w:cstheme="majorHAnsi"/>
          <w:sz w:val="24"/>
          <w:szCs w:val="24"/>
          <w:lang w:val="ro-MD"/>
        </w:rPr>
        <w:t xml:space="preserve"> </w:t>
      </w:r>
      <w:r w:rsidRPr="00606103">
        <w:rPr>
          <w:rFonts w:asciiTheme="majorHAnsi" w:eastAsia="Times New Roman" w:hAnsiTheme="majorHAnsi" w:cstheme="majorHAnsi"/>
          <w:sz w:val="24"/>
          <w:szCs w:val="24"/>
          <w:lang w:val="ro-MD"/>
        </w:rPr>
        <w:t>190</w:t>
      </w:r>
      <w:r w:rsidR="00B1447F" w:rsidRPr="00606103">
        <w:rPr>
          <w:rFonts w:asciiTheme="majorHAnsi" w:eastAsia="Times New Roman" w:hAnsiTheme="majorHAnsi" w:cstheme="majorHAnsi"/>
          <w:sz w:val="24"/>
          <w:szCs w:val="24"/>
          <w:lang w:val="ro-MD"/>
        </w:rPr>
        <w:t xml:space="preserve"> </w:t>
      </w:r>
      <w:r w:rsidRPr="00606103">
        <w:rPr>
          <w:rFonts w:asciiTheme="majorHAnsi" w:eastAsia="Times New Roman" w:hAnsiTheme="majorHAnsi" w:cstheme="majorHAnsi"/>
          <w:sz w:val="24"/>
          <w:szCs w:val="24"/>
          <w:lang w:val="ro-MD"/>
        </w:rPr>
        <w:t xml:space="preserve">410,21 </w:t>
      </w:r>
      <w:r w:rsidR="007E32B6" w:rsidRPr="00606103">
        <w:rPr>
          <w:rFonts w:asciiTheme="majorHAnsi" w:eastAsia="Times New Roman" w:hAnsiTheme="majorHAnsi" w:cstheme="majorHAnsi"/>
          <w:sz w:val="24"/>
          <w:szCs w:val="24"/>
          <w:lang w:val="ro-MD"/>
        </w:rPr>
        <w:t>euro</w:t>
      </w:r>
      <w:r w:rsidRPr="00606103">
        <w:rPr>
          <w:rFonts w:asciiTheme="majorHAnsi" w:eastAsia="Times New Roman" w:hAnsiTheme="majorHAnsi" w:cstheme="majorHAnsi"/>
          <w:sz w:val="24"/>
          <w:szCs w:val="24"/>
          <w:lang w:val="ro-MD"/>
        </w:rPr>
        <w:t xml:space="preserve">) pentru </w:t>
      </w:r>
      <w:r w:rsidRPr="00606103">
        <w:rPr>
          <w:rFonts w:asciiTheme="majorHAnsi" w:hAnsiTheme="majorHAnsi" w:cstheme="majorHAnsi"/>
          <w:sz w:val="24"/>
          <w:szCs w:val="24"/>
          <w:lang w:val="ro-MD"/>
        </w:rPr>
        <w:t>achitarea prejudiciului conform hotărârii CEDO nr.1988/06 din 18.02.2020. Auditul constată că</w:t>
      </w:r>
      <w:r w:rsidR="00CB576F"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w:t>
      </w:r>
      <w:r w:rsidR="00CB576F" w:rsidRPr="00606103">
        <w:rPr>
          <w:rFonts w:asciiTheme="majorHAnsi" w:hAnsiTheme="majorHAnsi" w:cstheme="majorHAnsi"/>
          <w:sz w:val="24"/>
          <w:szCs w:val="24"/>
          <w:lang w:val="ro-MD"/>
        </w:rPr>
        <w:t>pe</w:t>
      </w:r>
      <w:r w:rsidRPr="00606103">
        <w:rPr>
          <w:rFonts w:asciiTheme="majorHAnsi" w:hAnsiTheme="majorHAnsi" w:cstheme="majorHAnsi"/>
          <w:sz w:val="24"/>
          <w:szCs w:val="24"/>
          <w:lang w:val="ro-MD"/>
        </w:rPr>
        <w:t>ntru executarea hotărârii menționate</w:t>
      </w:r>
      <w:r w:rsidR="005D68EB" w:rsidRPr="00606103">
        <w:rPr>
          <w:rFonts w:asciiTheme="majorHAnsi" w:hAnsiTheme="majorHAnsi" w:cstheme="majorHAnsi"/>
          <w:sz w:val="24"/>
          <w:szCs w:val="24"/>
          <w:lang w:val="ro-MD"/>
        </w:rPr>
        <w:t>, de către Guvern</w:t>
      </w:r>
      <w:r w:rsidRPr="00606103">
        <w:rPr>
          <w:rFonts w:asciiTheme="majorHAnsi" w:hAnsiTheme="majorHAnsi" w:cstheme="majorHAnsi"/>
          <w:sz w:val="24"/>
          <w:szCs w:val="24"/>
          <w:lang w:val="ro-MD"/>
        </w:rPr>
        <w:t xml:space="preserve"> a fost emisă Decizia protocolară</w:t>
      </w:r>
      <w:r w:rsidRPr="00606103">
        <w:rPr>
          <w:rStyle w:val="FootnoteReference"/>
          <w:rFonts w:asciiTheme="majorHAnsi" w:eastAsia="Times New Roman" w:hAnsiTheme="majorHAnsi" w:cstheme="majorHAnsi"/>
          <w:sz w:val="24"/>
          <w:szCs w:val="24"/>
          <w:lang w:val="ro-MD"/>
        </w:rPr>
        <w:footnoteReference w:id="55"/>
      </w:r>
      <w:r w:rsidRPr="00606103">
        <w:rPr>
          <w:rFonts w:asciiTheme="majorHAnsi" w:eastAsia="Times New Roman" w:hAnsiTheme="majorHAnsi" w:cstheme="majorHAnsi"/>
          <w:sz w:val="24"/>
          <w:szCs w:val="24"/>
          <w:lang w:val="ro-MD"/>
        </w:rPr>
        <w:t xml:space="preserve">, prin care a fost </w:t>
      </w:r>
      <w:r w:rsidR="009E387E" w:rsidRPr="00606103">
        <w:rPr>
          <w:rFonts w:asciiTheme="majorHAnsi" w:eastAsia="Times New Roman" w:hAnsiTheme="majorHAnsi" w:cstheme="majorHAnsi"/>
          <w:sz w:val="24"/>
          <w:szCs w:val="24"/>
          <w:lang w:val="ro-MD"/>
        </w:rPr>
        <w:t>aprobat</w:t>
      </w:r>
      <w:r w:rsidR="00502C0A" w:rsidRPr="00606103">
        <w:rPr>
          <w:rFonts w:asciiTheme="majorHAnsi" w:eastAsia="Times New Roman" w:hAnsiTheme="majorHAnsi" w:cstheme="majorHAnsi"/>
          <w:sz w:val="24"/>
          <w:szCs w:val="24"/>
          <w:lang w:val="ro-MD"/>
        </w:rPr>
        <w:t xml:space="preserve"> textul/prevederile contractului </w:t>
      </w:r>
      <w:r w:rsidR="009E387E" w:rsidRPr="00606103">
        <w:rPr>
          <w:rFonts w:asciiTheme="majorHAnsi" w:eastAsia="Times New Roman" w:hAnsiTheme="majorHAnsi" w:cstheme="majorHAnsi"/>
          <w:sz w:val="24"/>
          <w:szCs w:val="24"/>
          <w:lang w:val="ro-MD"/>
        </w:rPr>
        <w:t>d</w:t>
      </w:r>
      <w:r w:rsidR="00502C0A" w:rsidRPr="00606103">
        <w:rPr>
          <w:rFonts w:asciiTheme="majorHAnsi" w:eastAsia="Times New Roman" w:hAnsiTheme="majorHAnsi" w:cstheme="majorHAnsi"/>
          <w:sz w:val="24"/>
          <w:szCs w:val="24"/>
          <w:lang w:val="ro-MD"/>
        </w:rPr>
        <w:t>e tranzacție</w:t>
      </w:r>
      <w:r w:rsidR="009E387E" w:rsidRPr="00606103">
        <w:rPr>
          <w:rFonts w:asciiTheme="majorHAnsi" w:eastAsia="Times New Roman" w:hAnsiTheme="majorHAnsi" w:cstheme="majorHAnsi"/>
          <w:sz w:val="24"/>
          <w:szCs w:val="24"/>
          <w:lang w:val="ro-MD"/>
        </w:rPr>
        <w:t xml:space="preserve"> (de împăcare) dintre Guvernul RM și </w:t>
      </w:r>
      <w:r w:rsidR="00327DE0">
        <w:rPr>
          <w:rFonts w:asciiTheme="majorHAnsi" w:eastAsia="Times New Roman" w:hAnsiTheme="majorHAnsi" w:cstheme="majorHAnsi"/>
          <w:sz w:val="24"/>
          <w:szCs w:val="24"/>
          <w:lang w:val="ro-MD"/>
        </w:rPr>
        <w:t xml:space="preserve">      </w:t>
      </w:r>
      <w:r w:rsidR="00B1447F" w:rsidRPr="00606103">
        <w:rPr>
          <w:rFonts w:asciiTheme="majorHAnsi" w:eastAsia="Times New Roman" w:hAnsiTheme="majorHAnsi" w:cstheme="majorHAnsi"/>
          <w:sz w:val="24"/>
          <w:szCs w:val="24"/>
          <w:lang w:val="ro-MD"/>
        </w:rPr>
        <w:t>„</w:t>
      </w:r>
      <w:r w:rsidR="009E387E" w:rsidRPr="00606103">
        <w:rPr>
          <w:rFonts w:asciiTheme="majorHAnsi" w:eastAsia="Times New Roman" w:hAnsiTheme="majorHAnsi" w:cstheme="majorHAnsi"/>
          <w:sz w:val="24"/>
          <w:szCs w:val="24"/>
          <w:lang w:val="ro-MD"/>
        </w:rPr>
        <w:t xml:space="preserve">Gemeni” S.A. și </w:t>
      </w:r>
      <w:r w:rsidR="001F6C08" w:rsidRPr="00606103">
        <w:rPr>
          <w:rFonts w:asciiTheme="majorHAnsi" w:eastAsia="Times New Roman" w:hAnsiTheme="majorHAnsi" w:cstheme="majorHAnsi"/>
          <w:sz w:val="24"/>
          <w:szCs w:val="24"/>
          <w:lang w:val="ro-MD"/>
        </w:rPr>
        <w:t>dispusă transferarea de către MF, în termen de trei zile bancare de la primirea plății integrale de 2</w:t>
      </w:r>
      <w:r w:rsidR="00B1447F" w:rsidRPr="00606103">
        <w:rPr>
          <w:rFonts w:asciiTheme="majorHAnsi" w:eastAsia="Times New Roman" w:hAnsiTheme="majorHAnsi" w:cstheme="majorHAnsi"/>
          <w:sz w:val="24"/>
          <w:szCs w:val="24"/>
          <w:lang w:val="ro-MD"/>
        </w:rPr>
        <w:t xml:space="preserve"> </w:t>
      </w:r>
      <w:r w:rsidR="001F6C08" w:rsidRPr="00606103">
        <w:rPr>
          <w:rFonts w:asciiTheme="majorHAnsi" w:eastAsia="Times New Roman" w:hAnsiTheme="majorHAnsi" w:cstheme="majorHAnsi"/>
          <w:sz w:val="24"/>
          <w:szCs w:val="24"/>
          <w:lang w:val="ro-MD"/>
        </w:rPr>
        <w:t xml:space="preserve">148 504,27 </w:t>
      </w:r>
      <w:r w:rsidR="007E32B6" w:rsidRPr="00606103">
        <w:rPr>
          <w:rFonts w:asciiTheme="majorHAnsi" w:eastAsia="Times New Roman" w:hAnsiTheme="majorHAnsi" w:cstheme="majorHAnsi"/>
          <w:sz w:val="24"/>
          <w:szCs w:val="24"/>
          <w:lang w:val="ro-MD"/>
        </w:rPr>
        <w:t xml:space="preserve">euro </w:t>
      </w:r>
      <w:r w:rsidR="001F6C08" w:rsidRPr="00606103">
        <w:rPr>
          <w:rFonts w:asciiTheme="majorHAnsi" w:eastAsia="Times New Roman" w:hAnsiTheme="majorHAnsi" w:cstheme="majorHAnsi"/>
          <w:sz w:val="24"/>
          <w:szCs w:val="24"/>
          <w:lang w:val="ro-MD"/>
        </w:rPr>
        <w:t xml:space="preserve">de la </w:t>
      </w:r>
      <w:r w:rsidR="00B1447F" w:rsidRPr="00606103">
        <w:rPr>
          <w:rFonts w:asciiTheme="majorHAnsi" w:eastAsia="Times New Roman" w:hAnsiTheme="majorHAnsi" w:cstheme="majorHAnsi"/>
          <w:sz w:val="24"/>
          <w:szCs w:val="24"/>
          <w:lang w:val="ro-MD"/>
        </w:rPr>
        <w:t>„</w:t>
      </w:r>
      <w:r w:rsidR="001F6C08" w:rsidRPr="00606103">
        <w:rPr>
          <w:rFonts w:asciiTheme="majorHAnsi" w:eastAsia="Times New Roman" w:hAnsiTheme="majorHAnsi" w:cstheme="majorHAnsi"/>
          <w:sz w:val="24"/>
          <w:szCs w:val="24"/>
          <w:lang w:val="ro-MD"/>
        </w:rPr>
        <w:t>Gemeni” S.A</w:t>
      </w:r>
      <w:r w:rsidR="00B1447F" w:rsidRPr="00606103">
        <w:rPr>
          <w:rFonts w:asciiTheme="majorHAnsi" w:eastAsia="Times New Roman" w:hAnsiTheme="majorHAnsi" w:cstheme="majorHAnsi"/>
          <w:sz w:val="24"/>
          <w:szCs w:val="24"/>
          <w:lang w:val="ro-MD"/>
        </w:rPr>
        <w:t>.</w:t>
      </w:r>
      <w:r w:rsidR="002940EB" w:rsidRPr="00606103">
        <w:rPr>
          <w:rFonts w:asciiTheme="majorHAnsi" w:eastAsia="Times New Roman" w:hAnsiTheme="majorHAnsi" w:cstheme="majorHAnsi"/>
          <w:sz w:val="24"/>
          <w:szCs w:val="24"/>
          <w:lang w:val="ro-MD"/>
        </w:rPr>
        <w:t xml:space="preserve"> pe contul reclamanților în cauza </w:t>
      </w:r>
      <w:r w:rsidR="00B1447F" w:rsidRPr="00606103">
        <w:rPr>
          <w:rFonts w:asciiTheme="majorHAnsi" w:eastAsia="Times New Roman" w:hAnsiTheme="majorHAnsi" w:cstheme="majorHAnsi"/>
          <w:sz w:val="24"/>
          <w:szCs w:val="24"/>
          <w:lang w:val="ro-MD"/>
        </w:rPr>
        <w:t>„</w:t>
      </w:r>
      <w:r w:rsidR="002940EB" w:rsidRPr="00606103">
        <w:rPr>
          <w:rFonts w:asciiTheme="majorHAnsi" w:eastAsia="Times New Roman" w:hAnsiTheme="majorHAnsi" w:cstheme="majorHAnsi"/>
          <w:sz w:val="24"/>
          <w:szCs w:val="24"/>
          <w:lang w:val="ro-MD"/>
        </w:rPr>
        <w:t>Ojog și alții v. RM</w:t>
      </w:r>
      <w:r w:rsidR="005D68EB" w:rsidRPr="00606103">
        <w:rPr>
          <w:rFonts w:asciiTheme="majorHAnsi" w:eastAsia="Times New Roman" w:hAnsiTheme="majorHAnsi" w:cstheme="majorHAnsi"/>
          <w:sz w:val="24"/>
          <w:szCs w:val="24"/>
          <w:lang w:val="ro-MD"/>
        </w:rPr>
        <w:t>”</w:t>
      </w:r>
      <w:r w:rsidR="00B1447F" w:rsidRPr="00606103">
        <w:rPr>
          <w:rFonts w:asciiTheme="majorHAnsi" w:eastAsia="Times New Roman" w:hAnsiTheme="majorHAnsi" w:cstheme="majorHAnsi"/>
          <w:sz w:val="24"/>
          <w:szCs w:val="24"/>
          <w:lang w:val="ro-MD"/>
        </w:rPr>
        <w:t>,</w:t>
      </w:r>
      <w:r w:rsidR="001F6C08" w:rsidRPr="00606103">
        <w:rPr>
          <w:rFonts w:asciiTheme="majorHAnsi" w:eastAsia="Times New Roman" w:hAnsiTheme="majorHAnsi" w:cstheme="majorHAnsi"/>
          <w:sz w:val="24"/>
          <w:szCs w:val="24"/>
          <w:lang w:val="ro-MD"/>
        </w:rPr>
        <w:t xml:space="preserve"> în condițiile stabil</w:t>
      </w:r>
      <w:r w:rsidR="002940EB" w:rsidRPr="00606103">
        <w:rPr>
          <w:rFonts w:asciiTheme="majorHAnsi" w:eastAsia="Times New Roman" w:hAnsiTheme="majorHAnsi" w:cstheme="majorHAnsi"/>
          <w:sz w:val="24"/>
          <w:szCs w:val="24"/>
          <w:lang w:val="ro-MD"/>
        </w:rPr>
        <w:t>ite de contractul de tranzacție</w:t>
      </w:r>
      <w:r w:rsidR="00502C0A" w:rsidRPr="00606103">
        <w:rPr>
          <w:rFonts w:asciiTheme="majorHAnsi" w:eastAsia="Times New Roman" w:hAnsiTheme="majorHAnsi" w:cstheme="majorHAnsi"/>
          <w:sz w:val="24"/>
          <w:szCs w:val="24"/>
          <w:lang w:val="ro-MD"/>
        </w:rPr>
        <w:t>.</w:t>
      </w:r>
      <w:r w:rsidR="002940EB" w:rsidRPr="00606103">
        <w:rPr>
          <w:rFonts w:asciiTheme="majorHAnsi" w:eastAsia="Times New Roman" w:hAnsiTheme="majorHAnsi" w:cstheme="majorHAnsi"/>
          <w:sz w:val="24"/>
          <w:szCs w:val="24"/>
          <w:lang w:val="ro-MD"/>
        </w:rPr>
        <w:t xml:space="preserve"> </w:t>
      </w:r>
    </w:p>
    <w:p w:rsidR="00773DA4" w:rsidRPr="00606103" w:rsidRDefault="002940EB">
      <w:pPr>
        <w:spacing w:line="276" w:lineRule="auto"/>
        <w:rPr>
          <w:rFonts w:asciiTheme="majorHAnsi" w:eastAsia="Times New Roman" w:hAnsiTheme="majorHAnsi" w:cstheme="majorHAnsi"/>
          <w:sz w:val="24"/>
          <w:szCs w:val="24"/>
          <w:lang w:val="ro-MD"/>
        </w:rPr>
      </w:pPr>
      <w:r w:rsidRPr="00606103">
        <w:rPr>
          <w:rFonts w:asciiTheme="majorHAnsi" w:eastAsia="Times New Roman" w:hAnsiTheme="majorHAnsi" w:cstheme="majorHAnsi"/>
          <w:sz w:val="24"/>
          <w:szCs w:val="24"/>
          <w:lang w:val="ro-MD"/>
        </w:rPr>
        <w:t>Agentul guvernamental urma să depună în contextul procesului de revizuire nr. 2rh-1/21, aflat pe rolul Curții Supreme de Justiție</w:t>
      </w:r>
      <w:r w:rsidR="00AB3141" w:rsidRPr="00606103">
        <w:rPr>
          <w:rFonts w:asciiTheme="majorHAnsi" w:eastAsia="Times New Roman" w:hAnsiTheme="majorHAnsi" w:cstheme="majorHAnsi"/>
          <w:sz w:val="24"/>
          <w:szCs w:val="24"/>
          <w:lang w:val="ro-MD"/>
        </w:rPr>
        <w:t>,</w:t>
      </w:r>
      <w:r w:rsidRPr="00606103">
        <w:rPr>
          <w:rFonts w:asciiTheme="majorHAnsi" w:eastAsia="Times New Roman" w:hAnsiTheme="majorHAnsi" w:cstheme="majorHAnsi"/>
          <w:sz w:val="24"/>
          <w:szCs w:val="24"/>
          <w:lang w:val="ro-MD"/>
        </w:rPr>
        <w:t xml:space="preserve"> o cerere de renunțare la cererea sa de revizuire și să solicite confirmarea contractului de tranzacție încheiat cu </w:t>
      </w:r>
      <w:r w:rsidR="00AB3141" w:rsidRPr="00606103">
        <w:rPr>
          <w:rFonts w:asciiTheme="majorHAnsi" w:eastAsia="Times New Roman" w:hAnsiTheme="majorHAnsi" w:cstheme="majorHAnsi"/>
          <w:sz w:val="24"/>
          <w:szCs w:val="24"/>
          <w:lang w:val="ro-MD"/>
        </w:rPr>
        <w:t>„</w:t>
      </w:r>
      <w:r w:rsidRPr="00606103">
        <w:rPr>
          <w:rFonts w:asciiTheme="majorHAnsi" w:eastAsia="Times New Roman" w:hAnsiTheme="majorHAnsi" w:cstheme="majorHAnsi"/>
          <w:sz w:val="24"/>
          <w:szCs w:val="24"/>
          <w:lang w:val="ro-MD"/>
        </w:rPr>
        <w:t>Gemeni”</w:t>
      </w:r>
      <w:r w:rsidR="00502C0A" w:rsidRPr="00606103">
        <w:rPr>
          <w:rFonts w:asciiTheme="majorHAnsi" w:eastAsia="Times New Roman" w:hAnsiTheme="majorHAnsi" w:cstheme="majorHAnsi"/>
          <w:sz w:val="24"/>
          <w:szCs w:val="24"/>
          <w:lang w:val="ro-MD"/>
        </w:rPr>
        <w:t xml:space="preserve"> </w:t>
      </w:r>
      <w:r w:rsidRPr="00606103">
        <w:rPr>
          <w:rFonts w:asciiTheme="majorHAnsi" w:eastAsia="Times New Roman" w:hAnsiTheme="majorHAnsi" w:cstheme="majorHAnsi"/>
          <w:sz w:val="24"/>
          <w:szCs w:val="24"/>
          <w:lang w:val="ro-MD"/>
        </w:rPr>
        <w:t>S.A. în scopul executării depline a hotărârii Curții Europene a Dreptului Omului</w:t>
      </w:r>
      <w:r w:rsidRPr="00606103">
        <w:rPr>
          <w:rStyle w:val="FootnoteReference"/>
          <w:rFonts w:asciiTheme="majorHAnsi" w:eastAsia="Times New Roman" w:hAnsiTheme="majorHAnsi" w:cstheme="majorHAnsi"/>
          <w:sz w:val="24"/>
          <w:szCs w:val="24"/>
          <w:lang w:val="ro-MD"/>
        </w:rPr>
        <w:footnoteReference w:id="56"/>
      </w:r>
      <w:r w:rsidRPr="00606103">
        <w:rPr>
          <w:rFonts w:asciiTheme="majorHAnsi" w:eastAsia="Times New Roman" w:hAnsiTheme="majorHAnsi" w:cstheme="majorHAnsi"/>
          <w:sz w:val="24"/>
          <w:szCs w:val="24"/>
          <w:lang w:val="ro-MD"/>
        </w:rPr>
        <w:t xml:space="preserve">. </w:t>
      </w:r>
      <w:r w:rsidR="00502C0A" w:rsidRPr="00606103">
        <w:rPr>
          <w:rFonts w:asciiTheme="majorHAnsi" w:eastAsia="Times New Roman" w:hAnsiTheme="majorHAnsi" w:cstheme="majorHAnsi"/>
          <w:sz w:val="24"/>
          <w:szCs w:val="24"/>
          <w:lang w:val="ro-MD"/>
        </w:rPr>
        <w:t>Astfel, la data de 26.05.2021, în baza ordinului d</w:t>
      </w:r>
      <w:r w:rsidR="00D96E50" w:rsidRPr="00606103">
        <w:rPr>
          <w:rFonts w:asciiTheme="majorHAnsi" w:eastAsia="Times New Roman" w:hAnsiTheme="majorHAnsi" w:cstheme="majorHAnsi"/>
          <w:sz w:val="24"/>
          <w:szCs w:val="24"/>
          <w:lang w:val="ro-MD"/>
        </w:rPr>
        <w:t>e plată nr.</w:t>
      </w:r>
      <w:r w:rsidR="00976A12" w:rsidRPr="00606103">
        <w:rPr>
          <w:rFonts w:asciiTheme="majorHAnsi" w:eastAsia="Times New Roman" w:hAnsiTheme="majorHAnsi" w:cstheme="majorHAnsi"/>
          <w:sz w:val="24"/>
          <w:szCs w:val="24"/>
          <w:lang w:val="ro-MD"/>
        </w:rPr>
        <w:t xml:space="preserve">1122 din 25.05.2021, </w:t>
      </w:r>
      <w:r w:rsidR="00AB3141" w:rsidRPr="00606103">
        <w:rPr>
          <w:rFonts w:asciiTheme="majorHAnsi" w:eastAsia="Times New Roman" w:hAnsiTheme="majorHAnsi" w:cstheme="majorHAnsi"/>
          <w:sz w:val="24"/>
          <w:szCs w:val="24"/>
          <w:lang w:val="ro-MD"/>
        </w:rPr>
        <w:t>„</w:t>
      </w:r>
      <w:r w:rsidR="00502C0A" w:rsidRPr="00606103">
        <w:rPr>
          <w:rFonts w:asciiTheme="majorHAnsi" w:eastAsia="Times New Roman" w:hAnsiTheme="majorHAnsi" w:cstheme="majorHAnsi"/>
          <w:sz w:val="24"/>
          <w:szCs w:val="24"/>
          <w:lang w:val="ro-MD"/>
        </w:rPr>
        <w:t>G</w:t>
      </w:r>
      <w:r w:rsidR="00976A12" w:rsidRPr="00606103">
        <w:rPr>
          <w:rFonts w:asciiTheme="majorHAnsi" w:eastAsia="Times New Roman" w:hAnsiTheme="majorHAnsi" w:cstheme="majorHAnsi"/>
          <w:sz w:val="24"/>
          <w:szCs w:val="24"/>
          <w:lang w:val="ro-MD"/>
        </w:rPr>
        <w:t>emeni”</w:t>
      </w:r>
      <w:r w:rsidR="00502C0A" w:rsidRPr="00606103">
        <w:rPr>
          <w:rFonts w:asciiTheme="majorHAnsi" w:eastAsia="Times New Roman" w:hAnsiTheme="majorHAnsi" w:cstheme="majorHAnsi"/>
          <w:sz w:val="24"/>
          <w:szCs w:val="24"/>
          <w:lang w:val="ro-MD"/>
        </w:rPr>
        <w:t xml:space="preserve"> </w:t>
      </w:r>
      <w:r w:rsidR="00976A12" w:rsidRPr="00606103">
        <w:rPr>
          <w:rFonts w:asciiTheme="majorHAnsi" w:eastAsia="Times New Roman" w:hAnsiTheme="majorHAnsi" w:cstheme="majorHAnsi"/>
          <w:sz w:val="24"/>
          <w:szCs w:val="24"/>
          <w:lang w:val="ro-MD"/>
        </w:rPr>
        <w:t>S.A</w:t>
      </w:r>
      <w:r w:rsidR="00D96E50" w:rsidRPr="00606103">
        <w:rPr>
          <w:rFonts w:asciiTheme="majorHAnsi" w:eastAsia="Times New Roman" w:hAnsiTheme="majorHAnsi" w:cstheme="majorHAnsi"/>
          <w:sz w:val="24"/>
          <w:szCs w:val="24"/>
          <w:lang w:val="ro-MD"/>
        </w:rPr>
        <w:t>.</w:t>
      </w:r>
      <w:r w:rsidR="00976A12" w:rsidRPr="00606103">
        <w:rPr>
          <w:rFonts w:asciiTheme="majorHAnsi" w:eastAsia="Times New Roman" w:hAnsiTheme="majorHAnsi" w:cstheme="majorHAnsi"/>
          <w:sz w:val="24"/>
          <w:szCs w:val="24"/>
          <w:lang w:val="ro-MD"/>
        </w:rPr>
        <w:t xml:space="preserve"> </w:t>
      </w:r>
      <w:r w:rsidR="00502C0A" w:rsidRPr="00606103">
        <w:rPr>
          <w:rFonts w:asciiTheme="majorHAnsi" w:eastAsia="Times New Roman" w:hAnsiTheme="majorHAnsi" w:cstheme="majorHAnsi"/>
          <w:sz w:val="24"/>
          <w:szCs w:val="24"/>
          <w:lang w:val="ro-MD"/>
        </w:rPr>
        <w:t>a transferat la BS suma de 46,5 mil. lei. În aceeași zi, MF, în baza ordinului de plată nr. 2 din 26.05.2021</w:t>
      </w:r>
      <w:r w:rsidR="00AB3141" w:rsidRPr="00606103">
        <w:rPr>
          <w:rFonts w:asciiTheme="majorHAnsi" w:eastAsia="Times New Roman" w:hAnsiTheme="majorHAnsi" w:cstheme="majorHAnsi"/>
          <w:sz w:val="24"/>
          <w:szCs w:val="24"/>
          <w:lang w:val="ro-MD"/>
        </w:rPr>
        <w:t>,</w:t>
      </w:r>
      <w:r w:rsidR="00502C0A" w:rsidRPr="00606103">
        <w:rPr>
          <w:rFonts w:asciiTheme="majorHAnsi" w:eastAsia="Times New Roman" w:hAnsiTheme="majorHAnsi" w:cstheme="majorHAnsi"/>
          <w:sz w:val="24"/>
          <w:szCs w:val="24"/>
          <w:lang w:val="ro-MD"/>
        </w:rPr>
        <w:t xml:space="preserve"> a transferat B.A.A. </w:t>
      </w:r>
      <w:r w:rsidR="00995E14" w:rsidRPr="00606103">
        <w:rPr>
          <w:rFonts w:asciiTheme="majorHAnsi" w:eastAsia="Times New Roman" w:hAnsiTheme="majorHAnsi" w:cstheme="majorHAnsi"/>
          <w:sz w:val="24"/>
          <w:szCs w:val="24"/>
          <w:lang w:val="ro-MD"/>
        </w:rPr>
        <w:t>„</w:t>
      </w:r>
      <w:r w:rsidR="00502C0A" w:rsidRPr="00606103">
        <w:rPr>
          <w:rFonts w:asciiTheme="majorHAnsi" w:eastAsia="Times New Roman" w:hAnsiTheme="majorHAnsi" w:cstheme="majorHAnsi"/>
          <w:sz w:val="24"/>
          <w:szCs w:val="24"/>
          <w:lang w:val="ro-MD"/>
        </w:rPr>
        <w:t>Reforme penale</w:t>
      </w:r>
      <w:r w:rsidR="00A7727F" w:rsidRPr="00606103">
        <w:rPr>
          <w:rFonts w:asciiTheme="majorHAnsi" w:eastAsia="Times New Roman" w:hAnsiTheme="majorHAnsi" w:cstheme="majorHAnsi"/>
          <w:sz w:val="24"/>
          <w:szCs w:val="24"/>
          <w:lang w:val="ro-MD"/>
        </w:rPr>
        <w:t>”</w:t>
      </w:r>
      <w:r w:rsidR="00502C0A" w:rsidRPr="00606103">
        <w:rPr>
          <w:rFonts w:asciiTheme="majorHAnsi" w:eastAsia="Times New Roman" w:hAnsiTheme="majorHAnsi" w:cstheme="majorHAnsi"/>
          <w:sz w:val="24"/>
          <w:szCs w:val="24"/>
          <w:lang w:val="ro-MD"/>
        </w:rPr>
        <w:t xml:space="preserve"> </w:t>
      </w:r>
      <w:r w:rsidR="00E164A3" w:rsidRPr="00606103">
        <w:rPr>
          <w:rFonts w:asciiTheme="majorHAnsi" w:eastAsia="Times New Roman" w:hAnsiTheme="majorHAnsi" w:cstheme="majorHAnsi"/>
          <w:sz w:val="24"/>
          <w:szCs w:val="24"/>
          <w:lang w:val="ro-MD"/>
        </w:rPr>
        <w:t>suma</w:t>
      </w:r>
      <w:r w:rsidR="00502C0A" w:rsidRPr="00606103">
        <w:rPr>
          <w:rFonts w:asciiTheme="majorHAnsi" w:eastAsia="Times New Roman" w:hAnsiTheme="majorHAnsi" w:cstheme="majorHAnsi"/>
          <w:sz w:val="24"/>
          <w:szCs w:val="24"/>
          <w:lang w:val="ro-MD"/>
        </w:rPr>
        <w:t xml:space="preserve"> de 47,4 mil. lei, fiind inclusă și </w:t>
      </w:r>
      <w:r w:rsidR="00E164A3" w:rsidRPr="00606103">
        <w:rPr>
          <w:rFonts w:asciiTheme="majorHAnsi" w:eastAsia="Times New Roman" w:hAnsiTheme="majorHAnsi" w:cstheme="majorHAnsi"/>
          <w:sz w:val="24"/>
          <w:szCs w:val="24"/>
          <w:lang w:val="ro-MD"/>
        </w:rPr>
        <w:t>dobânda prevăzută</w:t>
      </w:r>
      <w:r w:rsidR="00E164A3" w:rsidRPr="00606103">
        <w:rPr>
          <w:rStyle w:val="FootnoteReference"/>
          <w:rFonts w:asciiTheme="majorHAnsi" w:eastAsia="Times New Roman" w:hAnsiTheme="majorHAnsi" w:cstheme="majorHAnsi"/>
          <w:sz w:val="24"/>
          <w:szCs w:val="24"/>
          <w:lang w:val="ro-MD"/>
        </w:rPr>
        <w:footnoteReference w:id="57"/>
      </w:r>
      <w:r w:rsidR="00E164A3" w:rsidRPr="00606103">
        <w:rPr>
          <w:rFonts w:asciiTheme="majorHAnsi" w:eastAsia="Times New Roman" w:hAnsiTheme="majorHAnsi" w:cstheme="majorHAnsi"/>
          <w:sz w:val="24"/>
          <w:szCs w:val="24"/>
          <w:lang w:val="ro-MD"/>
        </w:rPr>
        <w:t xml:space="preserve"> pentru perioada începând cu 17 octombrie 2020 până la efectuarea</w:t>
      </w:r>
      <w:r w:rsidR="00502C0A" w:rsidRPr="00606103">
        <w:rPr>
          <w:rFonts w:asciiTheme="majorHAnsi" w:eastAsia="Times New Roman" w:hAnsiTheme="majorHAnsi" w:cstheme="majorHAnsi"/>
          <w:sz w:val="24"/>
          <w:szCs w:val="24"/>
          <w:lang w:val="ro-MD"/>
        </w:rPr>
        <w:t xml:space="preserve"> plății</w:t>
      </w:r>
      <w:r w:rsidR="00E164A3" w:rsidRPr="00606103">
        <w:rPr>
          <w:rFonts w:asciiTheme="majorHAnsi" w:eastAsia="Times New Roman" w:hAnsiTheme="majorHAnsi" w:cstheme="majorHAnsi"/>
          <w:sz w:val="24"/>
          <w:szCs w:val="24"/>
          <w:lang w:val="ro-MD"/>
        </w:rPr>
        <w:t xml:space="preserve">. </w:t>
      </w:r>
      <w:r w:rsidR="00CB76D0" w:rsidRPr="00606103">
        <w:rPr>
          <w:rFonts w:asciiTheme="majorHAnsi" w:eastAsia="Times New Roman" w:hAnsiTheme="majorHAnsi" w:cstheme="majorHAnsi"/>
          <w:sz w:val="24"/>
          <w:szCs w:val="24"/>
          <w:lang w:val="ro-MD"/>
        </w:rPr>
        <w:t>Totodată, v</w:t>
      </w:r>
      <w:r w:rsidR="00E164A3" w:rsidRPr="00606103">
        <w:rPr>
          <w:rFonts w:asciiTheme="majorHAnsi" w:eastAsia="Times New Roman" w:hAnsiTheme="majorHAnsi" w:cstheme="majorHAnsi"/>
          <w:sz w:val="24"/>
          <w:szCs w:val="24"/>
          <w:lang w:val="ro-MD"/>
        </w:rPr>
        <w:t xml:space="preserve">erificările auditului relevă că MF </w:t>
      </w:r>
      <w:r w:rsidR="00B062B5" w:rsidRPr="00606103">
        <w:rPr>
          <w:rFonts w:asciiTheme="majorHAnsi" w:eastAsia="Times New Roman" w:hAnsiTheme="majorHAnsi" w:cstheme="majorHAnsi"/>
          <w:sz w:val="24"/>
          <w:szCs w:val="24"/>
          <w:lang w:val="ro-MD"/>
        </w:rPr>
        <w:t xml:space="preserve">a </w:t>
      </w:r>
      <w:r w:rsidR="00E164A3" w:rsidRPr="00606103">
        <w:rPr>
          <w:rFonts w:asciiTheme="majorHAnsi" w:eastAsia="Times New Roman" w:hAnsiTheme="majorHAnsi" w:cstheme="majorHAnsi"/>
          <w:sz w:val="24"/>
          <w:szCs w:val="24"/>
          <w:lang w:val="ro-MD"/>
        </w:rPr>
        <w:t>achit</w:t>
      </w:r>
      <w:r w:rsidR="00B062B5" w:rsidRPr="00606103">
        <w:rPr>
          <w:rFonts w:asciiTheme="majorHAnsi" w:eastAsia="Times New Roman" w:hAnsiTheme="majorHAnsi" w:cstheme="majorHAnsi"/>
          <w:sz w:val="24"/>
          <w:szCs w:val="24"/>
          <w:lang w:val="ro-MD"/>
        </w:rPr>
        <w:t>at</w:t>
      </w:r>
      <w:r w:rsidR="00E164A3" w:rsidRPr="00606103">
        <w:rPr>
          <w:rFonts w:asciiTheme="majorHAnsi" w:eastAsia="Times New Roman" w:hAnsiTheme="majorHAnsi" w:cstheme="majorHAnsi"/>
          <w:sz w:val="24"/>
          <w:szCs w:val="24"/>
          <w:lang w:val="ro-MD"/>
        </w:rPr>
        <w:t xml:space="preserve"> dobânda prevăzută în sumă de 0,9 mil. lei (41</w:t>
      </w:r>
      <w:r w:rsidR="00AB3141" w:rsidRPr="00606103">
        <w:rPr>
          <w:rFonts w:asciiTheme="majorHAnsi" w:eastAsia="Times New Roman" w:hAnsiTheme="majorHAnsi" w:cstheme="majorHAnsi"/>
          <w:sz w:val="24"/>
          <w:szCs w:val="24"/>
          <w:lang w:val="ro-MD"/>
        </w:rPr>
        <w:t xml:space="preserve"> </w:t>
      </w:r>
      <w:r w:rsidR="00E164A3" w:rsidRPr="00606103">
        <w:rPr>
          <w:rFonts w:asciiTheme="majorHAnsi" w:eastAsia="Times New Roman" w:hAnsiTheme="majorHAnsi" w:cstheme="majorHAnsi"/>
          <w:sz w:val="24"/>
          <w:szCs w:val="24"/>
          <w:lang w:val="ro-MD"/>
        </w:rPr>
        <w:t xml:space="preserve">905,94 </w:t>
      </w:r>
      <w:r w:rsidR="007E32B6" w:rsidRPr="00606103">
        <w:rPr>
          <w:rFonts w:asciiTheme="majorHAnsi" w:eastAsia="Times New Roman" w:hAnsiTheme="majorHAnsi" w:cstheme="majorHAnsi"/>
          <w:sz w:val="24"/>
          <w:szCs w:val="24"/>
          <w:lang w:val="ro-MD"/>
        </w:rPr>
        <w:t>euro</w:t>
      </w:r>
      <w:r w:rsidR="005D68EB" w:rsidRPr="00606103">
        <w:rPr>
          <w:rFonts w:asciiTheme="majorHAnsi" w:eastAsia="Times New Roman" w:hAnsiTheme="majorHAnsi" w:cstheme="majorHAnsi"/>
          <w:sz w:val="24"/>
          <w:szCs w:val="24"/>
          <w:lang w:val="ro-MD"/>
        </w:rPr>
        <w:t xml:space="preserve">) pentru 222 </w:t>
      </w:r>
      <w:r w:rsidR="00AB3141" w:rsidRPr="00606103">
        <w:rPr>
          <w:rFonts w:asciiTheme="majorHAnsi" w:eastAsia="Times New Roman" w:hAnsiTheme="majorHAnsi" w:cstheme="majorHAnsi"/>
          <w:sz w:val="24"/>
          <w:szCs w:val="24"/>
          <w:lang w:val="ro-MD"/>
        </w:rPr>
        <w:t xml:space="preserve">de </w:t>
      </w:r>
      <w:r w:rsidR="005D68EB" w:rsidRPr="00606103">
        <w:rPr>
          <w:rFonts w:asciiTheme="majorHAnsi" w:eastAsia="Times New Roman" w:hAnsiTheme="majorHAnsi" w:cstheme="majorHAnsi"/>
          <w:sz w:val="24"/>
          <w:szCs w:val="24"/>
          <w:lang w:val="ro-MD"/>
        </w:rPr>
        <w:t xml:space="preserve">zile, sau cu </w:t>
      </w:r>
      <w:r w:rsidR="00E164A3" w:rsidRPr="00606103">
        <w:rPr>
          <w:rFonts w:asciiTheme="majorHAnsi" w:eastAsia="Times New Roman" w:hAnsiTheme="majorHAnsi" w:cstheme="majorHAnsi"/>
          <w:sz w:val="24"/>
          <w:szCs w:val="24"/>
          <w:lang w:val="ro-MD"/>
        </w:rPr>
        <w:t>1</w:t>
      </w:r>
      <w:r w:rsidR="005D68EB" w:rsidRPr="00606103">
        <w:rPr>
          <w:rFonts w:asciiTheme="majorHAnsi" w:eastAsia="Times New Roman" w:hAnsiTheme="majorHAnsi" w:cstheme="majorHAnsi"/>
          <w:sz w:val="24"/>
          <w:szCs w:val="24"/>
          <w:lang w:val="ro-MD"/>
        </w:rPr>
        <w:t>4 zile (2</w:t>
      </w:r>
      <w:r w:rsidR="00AB3141" w:rsidRPr="00606103">
        <w:rPr>
          <w:rFonts w:asciiTheme="majorHAnsi" w:eastAsia="Times New Roman" w:hAnsiTheme="majorHAnsi" w:cstheme="majorHAnsi"/>
          <w:sz w:val="24"/>
          <w:szCs w:val="24"/>
          <w:lang w:val="ro-MD"/>
        </w:rPr>
        <w:t xml:space="preserve"> </w:t>
      </w:r>
      <w:r w:rsidR="005D68EB" w:rsidRPr="00606103">
        <w:rPr>
          <w:rFonts w:asciiTheme="majorHAnsi" w:eastAsia="Times New Roman" w:hAnsiTheme="majorHAnsi" w:cstheme="majorHAnsi"/>
          <w:sz w:val="24"/>
          <w:szCs w:val="24"/>
          <w:lang w:val="ro-MD"/>
        </w:rPr>
        <w:t xml:space="preserve">642,78 </w:t>
      </w:r>
      <w:r w:rsidR="007E32B6" w:rsidRPr="00606103">
        <w:rPr>
          <w:rFonts w:asciiTheme="majorHAnsi" w:eastAsia="Times New Roman" w:hAnsiTheme="majorHAnsi" w:cstheme="majorHAnsi"/>
          <w:sz w:val="24"/>
          <w:szCs w:val="24"/>
          <w:lang w:val="ro-MD"/>
        </w:rPr>
        <w:t>euro</w:t>
      </w:r>
      <w:r w:rsidR="00B062B5" w:rsidRPr="00606103">
        <w:rPr>
          <w:rFonts w:asciiTheme="majorHAnsi" w:eastAsia="Times New Roman" w:hAnsiTheme="majorHAnsi" w:cstheme="majorHAnsi"/>
          <w:sz w:val="24"/>
          <w:szCs w:val="24"/>
          <w:lang w:val="ro-MD"/>
        </w:rPr>
        <w:t>) mai mult</w:t>
      </w:r>
      <w:r w:rsidR="005D68EB" w:rsidRPr="00606103">
        <w:rPr>
          <w:rFonts w:asciiTheme="majorHAnsi" w:eastAsia="Times New Roman" w:hAnsiTheme="majorHAnsi" w:cstheme="majorHAnsi"/>
          <w:sz w:val="24"/>
          <w:szCs w:val="24"/>
          <w:lang w:val="ro-MD"/>
        </w:rPr>
        <w:t xml:space="preserve"> față de termenul stabilit</w:t>
      </w:r>
      <w:r w:rsidR="00CB76D0" w:rsidRPr="00606103">
        <w:rPr>
          <w:rFonts w:asciiTheme="majorHAnsi" w:eastAsia="Times New Roman" w:hAnsiTheme="majorHAnsi" w:cstheme="majorHAnsi"/>
          <w:sz w:val="24"/>
          <w:szCs w:val="24"/>
          <w:lang w:val="ro-MD"/>
        </w:rPr>
        <w:t xml:space="preserve">, </w:t>
      </w:r>
      <w:r w:rsidR="00AB3141" w:rsidRPr="00606103">
        <w:rPr>
          <w:rFonts w:asciiTheme="majorHAnsi" w:eastAsia="Times New Roman" w:hAnsiTheme="majorHAnsi" w:cstheme="majorHAnsi"/>
          <w:sz w:val="24"/>
          <w:szCs w:val="24"/>
          <w:lang w:val="ro-MD"/>
        </w:rPr>
        <w:t>din cauza</w:t>
      </w:r>
      <w:r w:rsidR="00CB76D0" w:rsidRPr="00606103">
        <w:rPr>
          <w:rFonts w:asciiTheme="majorHAnsi" w:eastAsia="Times New Roman" w:hAnsiTheme="majorHAnsi" w:cstheme="majorHAnsi"/>
          <w:sz w:val="24"/>
          <w:szCs w:val="24"/>
          <w:lang w:val="ro-MD"/>
        </w:rPr>
        <w:t xml:space="preserve"> încasării întârziate de la „Gemenii” S.A.</w:t>
      </w:r>
    </w:p>
    <w:p w:rsidR="00E164A3" w:rsidRPr="00606103" w:rsidRDefault="00135FB7">
      <w:pPr>
        <w:spacing w:line="276" w:lineRule="auto"/>
        <w:rPr>
          <w:rFonts w:asciiTheme="majorHAnsi" w:eastAsia="Times New Roman" w:hAnsiTheme="majorHAnsi" w:cstheme="majorHAnsi"/>
          <w:sz w:val="24"/>
          <w:szCs w:val="24"/>
          <w:lang w:val="ro-MD"/>
        </w:rPr>
      </w:pPr>
      <w:r w:rsidRPr="00606103">
        <w:rPr>
          <w:rFonts w:asciiTheme="majorHAnsi" w:eastAsia="Times New Roman" w:hAnsiTheme="majorHAnsi" w:cstheme="majorHAnsi"/>
          <w:sz w:val="24"/>
          <w:szCs w:val="24"/>
          <w:lang w:val="ro-MD"/>
        </w:rPr>
        <w:t xml:space="preserve">Auditul </w:t>
      </w:r>
      <w:r w:rsidR="00773DA4" w:rsidRPr="00606103">
        <w:rPr>
          <w:rFonts w:asciiTheme="majorHAnsi" w:eastAsia="Times New Roman" w:hAnsiTheme="majorHAnsi" w:cstheme="majorHAnsi"/>
          <w:sz w:val="24"/>
          <w:szCs w:val="24"/>
          <w:lang w:val="ro-MD"/>
        </w:rPr>
        <w:t xml:space="preserve">menționează că, </w:t>
      </w:r>
      <w:r w:rsidR="00D96E50" w:rsidRPr="00606103">
        <w:rPr>
          <w:rFonts w:asciiTheme="majorHAnsi" w:eastAsia="Times New Roman" w:hAnsiTheme="majorHAnsi" w:cstheme="majorHAnsi"/>
          <w:sz w:val="24"/>
          <w:szCs w:val="24"/>
          <w:lang w:val="ro-MD"/>
        </w:rPr>
        <w:t>la solicitarea nr.</w:t>
      </w:r>
      <w:r w:rsidRPr="00606103">
        <w:rPr>
          <w:rFonts w:asciiTheme="majorHAnsi" w:eastAsia="Times New Roman" w:hAnsiTheme="majorHAnsi" w:cstheme="majorHAnsi"/>
          <w:sz w:val="24"/>
          <w:szCs w:val="24"/>
          <w:lang w:val="ro-MD"/>
        </w:rPr>
        <w:t xml:space="preserve">18 din 11.05.2022, </w:t>
      </w:r>
      <w:r w:rsidR="00773DA4" w:rsidRPr="00606103">
        <w:rPr>
          <w:rFonts w:asciiTheme="majorHAnsi" w:eastAsia="Times New Roman" w:hAnsiTheme="majorHAnsi" w:cstheme="majorHAnsi"/>
          <w:sz w:val="24"/>
          <w:szCs w:val="24"/>
          <w:lang w:val="ro-MD"/>
        </w:rPr>
        <w:t xml:space="preserve">MF </w:t>
      </w:r>
      <w:r w:rsidRPr="00606103">
        <w:rPr>
          <w:rFonts w:asciiTheme="majorHAnsi" w:eastAsia="Times New Roman" w:hAnsiTheme="majorHAnsi" w:cstheme="majorHAnsi"/>
          <w:sz w:val="24"/>
          <w:szCs w:val="24"/>
          <w:lang w:val="ro-MD"/>
        </w:rPr>
        <w:t>nu a prezentat</w:t>
      </w:r>
      <w:r w:rsidR="00773DA4" w:rsidRPr="00606103">
        <w:rPr>
          <w:rFonts w:asciiTheme="majorHAnsi" w:eastAsia="Times New Roman" w:hAnsiTheme="majorHAnsi" w:cstheme="majorHAnsi"/>
          <w:sz w:val="24"/>
          <w:szCs w:val="24"/>
          <w:lang w:val="ro-MD"/>
        </w:rPr>
        <w:t xml:space="preserve"> toate documentele confirmative aferente plăților încasate și achitate </w:t>
      </w:r>
      <w:r w:rsidR="00AB3141" w:rsidRPr="00606103">
        <w:rPr>
          <w:rFonts w:asciiTheme="majorHAnsi" w:eastAsia="Times New Roman" w:hAnsiTheme="majorHAnsi" w:cstheme="majorHAnsi"/>
          <w:sz w:val="24"/>
          <w:szCs w:val="24"/>
          <w:lang w:val="ro-MD"/>
        </w:rPr>
        <w:t>pe</w:t>
      </w:r>
      <w:r w:rsidR="00773DA4" w:rsidRPr="00606103">
        <w:rPr>
          <w:rFonts w:asciiTheme="majorHAnsi" w:eastAsia="Times New Roman" w:hAnsiTheme="majorHAnsi" w:cstheme="majorHAnsi"/>
          <w:sz w:val="24"/>
          <w:szCs w:val="24"/>
          <w:lang w:val="ro-MD"/>
        </w:rPr>
        <w:t>ntru executarea Deciziei protocolare nr. 8-7dp din 29.04.2021</w:t>
      </w:r>
      <w:r w:rsidR="00D96E50" w:rsidRPr="00606103">
        <w:rPr>
          <w:rFonts w:asciiTheme="majorHAnsi" w:eastAsia="Times New Roman" w:hAnsiTheme="majorHAnsi" w:cstheme="majorHAnsi"/>
          <w:sz w:val="24"/>
          <w:szCs w:val="24"/>
          <w:lang w:val="ro-MD"/>
        </w:rPr>
        <w:t xml:space="preserve"> </w:t>
      </w:r>
      <w:r w:rsidR="00AB3141" w:rsidRPr="00606103">
        <w:rPr>
          <w:rFonts w:asciiTheme="majorHAnsi" w:eastAsia="Times New Roman" w:hAnsiTheme="majorHAnsi" w:cstheme="majorHAnsi"/>
          <w:sz w:val="24"/>
          <w:szCs w:val="24"/>
          <w:lang w:val="ro-MD"/>
        </w:rPr>
        <w:t>„</w:t>
      </w:r>
      <w:r w:rsidR="00773DA4" w:rsidRPr="00606103">
        <w:rPr>
          <w:rFonts w:asciiTheme="majorHAnsi" w:eastAsia="Times New Roman" w:hAnsiTheme="majorHAnsi" w:cstheme="majorHAnsi"/>
          <w:sz w:val="24"/>
          <w:szCs w:val="24"/>
          <w:lang w:val="ro-MD"/>
        </w:rPr>
        <w:t>Cu privire la executarea hotărârii Curții Europene a Drepturilor Omului în cauza Ojog și alții v. Republica Moldova</w:t>
      </w:r>
      <w:r w:rsidR="00C34A18" w:rsidRPr="00606103">
        <w:rPr>
          <w:rFonts w:asciiTheme="majorHAnsi" w:eastAsia="Times New Roman" w:hAnsiTheme="majorHAnsi" w:cstheme="majorHAnsi"/>
          <w:sz w:val="24"/>
          <w:szCs w:val="24"/>
          <w:lang w:val="ro-MD"/>
        </w:rPr>
        <w:t>”</w:t>
      </w:r>
      <w:r w:rsidR="00773DA4" w:rsidRPr="00606103">
        <w:rPr>
          <w:rFonts w:asciiTheme="majorHAnsi" w:eastAsia="Times New Roman" w:hAnsiTheme="majorHAnsi" w:cstheme="majorHAnsi"/>
          <w:sz w:val="24"/>
          <w:szCs w:val="24"/>
          <w:lang w:val="ro-MD"/>
        </w:rPr>
        <w:t xml:space="preserve"> (nr. 1988/06) din 18.02.2020 (satisfacția echitabilă), semnate de toate pă</w:t>
      </w:r>
      <w:r w:rsidR="00D96E50" w:rsidRPr="00606103">
        <w:rPr>
          <w:rFonts w:asciiTheme="majorHAnsi" w:eastAsia="Times New Roman" w:hAnsiTheme="majorHAnsi" w:cstheme="majorHAnsi"/>
          <w:sz w:val="24"/>
          <w:szCs w:val="24"/>
          <w:lang w:val="ro-MD"/>
        </w:rPr>
        <w:t>r</w:t>
      </w:r>
      <w:r w:rsidR="00773DA4" w:rsidRPr="00606103">
        <w:rPr>
          <w:rFonts w:asciiTheme="majorHAnsi" w:eastAsia="Times New Roman" w:hAnsiTheme="majorHAnsi" w:cstheme="majorHAnsi"/>
          <w:sz w:val="24"/>
          <w:szCs w:val="24"/>
          <w:lang w:val="ro-MD"/>
        </w:rPr>
        <w:t>țile implicate</w:t>
      </w:r>
      <w:r w:rsidR="00580ECA" w:rsidRPr="00606103">
        <w:rPr>
          <w:rFonts w:asciiTheme="majorHAnsi" w:eastAsia="Times New Roman" w:hAnsiTheme="majorHAnsi" w:cstheme="majorHAnsi"/>
          <w:sz w:val="24"/>
          <w:szCs w:val="24"/>
          <w:lang w:val="ro-MD"/>
        </w:rPr>
        <w:t>. În aceste c</w:t>
      </w:r>
      <w:r w:rsidR="00860BEC" w:rsidRPr="00606103">
        <w:rPr>
          <w:rFonts w:asciiTheme="majorHAnsi" w:eastAsia="Times New Roman" w:hAnsiTheme="majorHAnsi" w:cstheme="majorHAnsi"/>
          <w:sz w:val="24"/>
          <w:szCs w:val="24"/>
          <w:lang w:val="ro-MD"/>
        </w:rPr>
        <w:t>ircumstanț</w:t>
      </w:r>
      <w:r w:rsidR="00580ECA" w:rsidRPr="00606103">
        <w:rPr>
          <w:rFonts w:asciiTheme="majorHAnsi" w:eastAsia="Times New Roman" w:hAnsiTheme="majorHAnsi" w:cstheme="majorHAnsi"/>
          <w:sz w:val="24"/>
          <w:szCs w:val="24"/>
          <w:lang w:val="ro-MD"/>
        </w:rPr>
        <w:t>e</w:t>
      </w:r>
      <w:r w:rsidR="00C34A18" w:rsidRPr="00606103">
        <w:rPr>
          <w:rFonts w:asciiTheme="majorHAnsi" w:eastAsia="Times New Roman" w:hAnsiTheme="majorHAnsi" w:cstheme="majorHAnsi"/>
          <w:sz w:val="24"/>
          <w:szCs w:val="24"/>
          <w:lang w:val="ro-MD"/>
        </w:rPr>
        <w:t>,</w:t>
      </w:r>
      <w:r w:rsidR="00860BEC" w:rsidRPr="00606103">
        <w:rPr>
          <w:rFonts w:asciiTheme="majorHAnsi" w:eastAsia="Times New Roman" w:hAnsiTheme="majorHAnsi" w:cstheme="majorHAnsi"/>
          <w:sz w:val="24"/>
          <w:szCs w:val="24"/>
          <w:lang w:val="ro-MD"/>
        </w:rPr>
        <w:t xml:space="preserve"> a</w:t>
      </w:r>
      <w:r w:rsidR="00A7727F" w:rsidRPr="00606103">
        <w:rPr>
          <w:rFonts w:asciiTheme="majorHAnsi" w:eastAsia="Times New Roman" w:hAnsiTheme="majorHAnsi" w:cstheme="majorHAnsi"/>
          <w:sz w:val="24"/>
          <w:szCs w:val="24"/>
          <w:lang w:val="ro-MD"/>
        </w:rPr>
        <w:t xml:space="preserve">uditul </w:t>
      </w:r>
      <w:r w:rsidR="00C34A18" w:rsidRPr="00606103">
        <w:rPr>
          <w:rFonts w:asciiTheme="majorHAnsi" w:eastAsia="Times New Roman" w:hAnsiTheme="majorHAnsi" w:cstheme="majorHAnsi"/>
          <w:sz w:val="24"/>
          <w:szCs w:val="24"/>
          <w:lang w:val="ro-MD"/>
        </w:rPr>
        <w:t>a fost</w:t>
      </w:r>
      <w:r w:rsidR="00A7727F" w:rsidRPr="00606103">
        <w:rPr>
          <w:rFonts w:asciiTheme="majorHAnsi" w:eastAsia="Times New Roman" w:hAnsiTheme="majorHAnsi" w:cstheme="majorHAnsi"/>
          <w:sz w:val="24"/>
          <w:szCs w:val="24"/>
          <w:lang w:val="ro-MD"/>
        </w:rPr>
        <w:t xml:space="preserve"> în imposibilitatea </w:t>
      </w:r>
      <w:r w:rsidR="00580ECA" w:rsidRPr="00606103">
        <w:rPr>
          <w:rFonts w:asciiTheme="majorHAnsi" w:eastAsia="Times New Roman" w:hAnsiTheme="majorHAnsi" w:cstheme="majorHAnsi"/>
          <w:sz w:val="24"/>
          <w:szCs w:val="24"/>
          <w:lang w:val="ro-MD"/>
        </w:rPr>
        <w:t xml:space="preserve">de a se expune </w:t>
      </w:r>
      <w:r w:rsidR="00A7727F" w:rsidRPr="00606103">
        <w:rPr>
          <w:rFonts w:asciiTheme="majorHAnsi" w:eastAsia="Times New Roman" w:hAnsiTheme="majorHAnsi" w:cstheme="majorHAnsi"/>
          <w:sz w:val="24"/>
          <w:szCs w:val="24"/>
          <w:lang w:val="ro-MD"/>
        </w:rPr>
        <w:t xml:space="preserve">asupra finalizării tranzacției, </w:t>
      </w:r>
      <w:r w:rsidR="00860BEC" w:rsidRPr="00606103">
        <w:rPr>
          <w:rFonts w:asciiTheme="majorHAnsi" w:eastAsia="Times New Roman" w:hAnsiTheme="majorHAnsi" w:cstheme="majorHAnsi"/>
          <w:sz w:val="24"/>
          <w:szCs w:val="24"/>
          <w:lang w:val="ro-MD"/>
        </w:rPr>
        <w:t>identificând prezența unui</w:t>
      </w:r>
      <w:r w:rsidR="00F514AC" w:rsidRPr="00606103">
        <w:rPr>
          <w:rFonts w:asciiTheme="majorHAnsi" w:eastAsia="Times New Roman" w:hAnsiTheme="majorHAnsi" w:cstheme="majorHAnsi"/>
          <w:sz w:val="24"/>
          <w:szCs w:val="24"/>
          <w:lang w:val="ro-MD"/>
        </w:rPr>
        <w:t xml:space="preserve"> posibil risc asupra</w:t>
      </w:r>
      <w:r w:rsidR="00860BEC" w:rsidRPr="00606103">
        <w:rPr>
          <w:rFonts w:asciiTheme="majorHAnsi" w:eastAsia="Times New Roman" w:hAnsiTheme="majorHAnsi" w:cstheme="majorHAnsi"/>
          <w:sz w:val="24"/>
          <w:szCs w:val="24"/>
          <w:lang w:val="ro-MD"/>
        </w:rPr>
        <w:t xml:space="preserve"> b</w:t>
      </w:r>
      <w:r w:rsidR="00F514AC" w:rsidRPr="00606103">
        <w:rPr>
          <w:rFonts w:asciiTheme="majorHAnsi" w:eastAsia="Times New Roman" w:hAnsiTheme="majorHAnsi" w:cstheme="majorHAnsi"/>
          <w:sz w:val="24"/>
          <w:szCs w:val="24"/>
          <w:lang w:val="ro-MD"/>
        </w:rPr>
        <w:t>ugetelor ulterioare.</w:t>
      </w:r>
      <w:r w:rsidR="005D68EB" w:rsidRPr="00606103">
        <w:rPr>
          <w:rFonts w:asciiTheme="majorHAnsi" w:eastAsia="Times New Roman" w:hAnsiTheme="majorHAnsi" w:cstheme="majorHAnsi"/>
          <w:sz w:val="24"/>
          <w:szCs w:val="24"/>
          <w:lang w:val="ro-MD"/>
        </w:rPr>
        <w:t xml:space="preserve"> Concomitent, se relevă că CS a informat despre desecretizarea acestora</w:t>
      </w:r>
      <w:r w:rsidR="005D68EB" w:rsidRPr="00606103">
        <w:rPr>
          <w:rStyle w:val="FootnoteReference"/>
          <w:rFonts w:asciiTheme="majorHAnsi" w:eastAsia="Times New Roman" w:hAnsiTheme="majorHAnsi" w:cstheme="majorHAnsi"/>
          <w:sz w:val="24"/>
          <w:szCs w:val="24"/>
          <w:lang w:val="ro-MD"/>
        </w:rPr>
        <w:footnoteReference w:id="58"/>
      </w:r>
      <w:r w:rsidR="005D68EB" w:rsidRPr="00606103">
        <w:rPr>
          <w:rFonts w:asciiTheme="majorHAnsi" w:eastAsia="Times New Roman" w:hAnsiTheme="majorHAnsi" w:cstheme="majorHAnsi"/>
          <w:sz w:val="24"/>
          <w:szCs w:val="24"/>
          <w:lang w:val="ro-MD"/>
        </w:rPr>
        <w:t>.</w:t>
      </w:r>
    </w:p>
    <w:p w:rsidR="00E164A3" w:rsidRPr="00606103" w:rsidRDefault="00E164A3">
      <w:pPr>
        <w:spacing w:line="276" w:lineRule="auto"/>
        <w:rPr>
          <w:rFonts w:asciiTheme="majorHAnsi" w:eastAsia="Times New Roman" w:hAnsiTheme="majorHAnsi" w:cstheme="majorHAnsi"/>
          <w:sz w:val="24"/>
          <w:szCs w:val="24"/>
          <w:lang w:val="ro-MD"/>
        </w:rPr>
      </w:pPr>
      <w:r w:rsidRPr="00606103">
        <w:rPr>
          <w:rFonts w:asciiTheme="majorHAnsi" w:eastAsia="Times New Roman" w:hAnsiTheme="majorHAnsi" w:cstheme="majorHAnsi"/>
          <w:sz w:val="24"/>
          <w:szCs w:val="24"/>
          <w:lang w:val="ro-MD"/>
        </w:rPr>
        <w:t xml:space="preserve">Totodată, o </w:t>
      </w:r>
      <w:r w:rsidR="005D68EB" w:rsidRPr="00606103">
        <w:rPr>
          <w:rFonts w:asciiTheme="majorHAnsi" w:eastAsia="Times New Roman" w:hAnsiTheme="majorHAnsi" w:cstheme="majorHAnsi"/>
          <w:sz w:val="24"/>
          <w:szCs w:val="24"/>
          <w:lang w:val="ro-MD"/>
        </w:rPr>
        <w:t xml:space="preserve">altă </w:t>
      </w:r>
      <w:r w:rsidRPr="00606103">
        <w:rPr>
          <w:rFonts w:asciiTheme="majorHAnsi" w:eastAsia="Times New Roman" w:hAnsiTheme="majorHAnsi" w:cstheme="majorHAnsi"/>
          <w:sz w:val="24"/>
          <w:szCs w:val="24"/>
          <w:lang w:val="ro-MD"/>
        </w:rPr>
        <w:t>plată semnificativă o constituie achitarea titlului executoriu</w:t>
      </w:r>
      <w:r w:rsidR="007639FD" w:rsidRPr="00606103">
        <w:rPr>
          <w:lang w:val="ro-MD"/>
        </w:rPr>
        <w:t xml:space="preserve"> </w:t>
      </w:r>
      <w:r w:rsidR="00AB3141" w:rsidRPr="00606103">
        <w:rPr>
          <w:rFonts w:asciiTheme="majorHAnsi" w:eastAsia="Times New Roman" w:hAnsiTheme="majorHAnsi" w:cstheme="majorHAnsi"/>
          <w:sz w:val="24"/>
          <w:szCs w:val="24"/>
          <w:lang w:val="ro-MD"/>
        </w:rPr>
        <w:t>pe</w:t>
      </w:r>
      <w:r w:rsidR="007639FD" w:rsidRPr="00606103">
        <w:rPr>
          <w:rFonts w:asciiTheme="majorHAnsi" w:eastAsia="Times New Roman" w:hAnsiTheme="majorHAnsi" w:cstheme="majorHAnsi"/>
          <w:sz w:val="24"/>
          <w:szCs w:val="24"/>
          <w:lang w:val="ro-MD"/>
        </w:rPr>
        <w:t>ntru executarea hotărârii CEDO din 27.04.2021</w:t>
      </w:r>
      <w:r w:rsidR="00C34A18" w:rsidRPr="00606103">
        <w:rPr>
          <w:rFonts w:asciiTheme="majorHAnsi" w:eastAsia="Times New Roman" w:hAnsiTheme="majorHAnsi" w:cstheme="majorHAnsi"/>
          <w:sz w:val="24"/>
          <w:szCs w:val="24"/>
          <w:lang w:val="ro-MD"/>
        </w:rPr>
        <w:t>,</w:t>
      </w:r>
      <w:r w:rsidRPr="00606103">
        <w:rPr>
          <w:rFonts w:asciiTheme="majorHAnsi" w:eastAsia="Times New Roman" w:hAnsiTheme="majorHAnsi" w:cstheme="majorHAnsi"/>
          <w:sz w:val="24"/>
          <w:szCs w:val="24"/>
          <w:lang w:val="ro-MD"/>
        </w:rPr>
        <w:t xml:space="preserve"> în sumă de 42,5 mil. lei (2,0 mil. </w:t>
      </w:r>
      <w:r w:rsidR="007E32B6" w:rsidRPr="00606103">
        <w:rPr>
          <w:rFonts w:asciiTheme="majorHAnsi" w:eastAsia="Times New Roman" w:hAnsiTheme="majorHAnsi" w:cstheme="majorHAnsi"/>
          <w:sz w:val="24"/>
          <w:szCs w:val="24"/>
          <w:lang w:val="ro-MD"/>
        </w:rPr>
        <w:t>euro</w:t>
      </w:r>
      <w:r w:rsidRPr="00606103">
        <w:rPr>
          <w:rFonts w:asciiTheme="majorHAnsi" w:eastAsia="Times New Roman" w:hAnsiTheme="majorHAnsi" w:cstheme="majorHAnsi"/>
          <w:sz w:val="24"/>
          <w:szCs w:val="24"/>
          <w:lang w:val="ro-MD"/>
        </w:rPr>
        <w:t>)</w:t>
      </w:r>
      <w:r w:rsidR="00C34A18" w:rsidRPr="00606103">
        <w:rPr>
          <w:rFonts w:asciiTheme="majorHAnsi" w:eastAsia="Times New Roman" w:hAnsiTheme="majorHAnsi" w:cstheme="majorHAnsi"/>
          <w:sz w:val="24"/>
          <w:szCs w:val="24"/>
          <w:lang w:val="ro-MD"/>
        </w:rPr>
        <w:t>,</w:t>
      </w:r>
      <w:r w:rsidRPr="00606103">
        <w:rPr>
          <w:rFonts w:asciiTheme="majorHAnsi" w:eastAsia="Times New Roman" w:hAnsiTheme="majorHAnsi" w:cstheme="majorHAnsi"/>
          <w:sz w:val="24"/>
          <w:szCs w:val="24"/>
          <w:lang w:val="ro-MD"/>
        </w:rPr>
        <w:t xml:space="preserve"> pentru achitarea prejudiciului material în urma încălcării drepturilor </w:t>
      </w:r>
      <w:r w:rsidR="00D96E50" w:rsidRPr="00606103">
        <w:rPr>
          <w:rFonts w:asciiTheme="majorHAnsi" w:eastAsia="Times New Roman" w:hAnsiTheme="majorHAnsi" w:cstheme="majorHAnsi"/>
          <w:sz w:val="24"/>
          <w:szCs w:val="24"/>
          <w:lang w:val="ro-MD"/>
        </w:rPr>
        <w:t>„</w:t>
      </w:r>
      <w:r w:rsidR="00B350A8" w:rsidRPr="00606103">
        <w:rPr>
          <w:rFonts w:asciiTheme="majorHAnsi" w:eastAsia="Times New Roman" w:hAnsiTheme="majorHAnsi" w:cstheme="majorHAnsi"/>
          <w:sz w:val="24"/>
          <w:szCs w:val="24"/>
          <w:lang w:val="ro-MD"/>
        </w:rPr>
        <w:t>Fabrica de Zahăr din Ghindești</w:t>
      </w:r>
      <w:r w:rsidR="00D96E50" w:rsidRPr="00606103">
        <w:rPr>
          <w:rFonts w:asciiTheme="majorHAnsi" w:eastAsia="Times New Roman" w:hAnsiTheme="majorHAnsi" w:cstheme="majorHAnsi"/>
          <w:sz w:val="24"/>
          <w:szCs w:val="24"/>
          <w:lang w:val="ro-MD"/>
        </w:rPr>
        <w:t>”</w:t>
      </w:r>
      <w:r w:rsidR="00B350A8" w:rsidRPr="00606103">
        <w:rPr>
          <w:rFonts w:asciiTheme="majorHAnsi" w:eastAsia="Times New Roman" w:hAnsiTheme="majorHAnsi" w:cstheme="majorHAnsi"/>
          <w:sz w:val="24"/>
          <w:szCs w:val="24"/>
          <w:lang w:val="ro-MD"/>
        </w:rPr>
        <w:t xml:space="preserve"> </w:t>
      </w:r>
      <w:r w:rsidRPr="00606103">
        <w:rPr>
          <w:rFonts w:asciiTheme="majorHAnsi" w:eastAsia="Times New Roman" w:hAnsiTheme="majorHAnsi" w:cstheme="majorHAnsi"/>
          <w:sz w:val="24"/>
          <w:szCs w:val="24"/>
          <w:lang w:val="ro-MD"/>
        </w:rPr>
        <w:t>S.A.</w:t>
      </w:r>
      <w:r w:rsidR="005D68EB" w:rsidRPr="00606103">
        <w:rPr>
          <w:rFonts w:asciiTheme="majorHAnsi" w:eastAsia="Times New Roman" w:hAnsiTheme="majorHAnsi" w:cstheme="majorHAnsi"/>
          <w:sz w:val="24"/>
          <w:szCs w:val="24"/>
          <w:lang w:val="ro-MD"/>
        </w:rPr>
        <w:t xml:space="preserve"> </w:t>
      </w:r>
      <w:r w:rsidRPr="00606103">
        <w:rPr>
          <w:rFonts w:asciiTheme="majorHAnsi" w:eastAsia="Times New Roman" w:hAnsiTheme="majorHAnsi" w:cstheme="majorHAnsi"/>
          <w:sz w:val="24"/>
          <w:szCs w:val="24"/>
          <w:lang w:val="ro-MD"/>
        </w:rPr>
        <w:t>reclamantă privind controlul asupra bunurilor sale și a posibilităților acesteia de a utiliza bunurile respective pentru o perioadă de 13 ani.</w:t>
      </w:r>
    </w:p>
    <w:p w:rsidR="00E164A3" w:rsidRPr="00606103" w:rsidRDefault="00E164A3">
      <w:pPr>
        <w:spacing w:line="276" w:lineRule="auto"/>
        <w:rPr>
          <w:rFonts w:asciiTheme="majorHAnsi" w:eastAsia="Times New Roman" w:hAnsiTheme="majorHAnsi" w:cstheme="majorHAnsi"/>
          <w:sz w:val="24"/>
          <w:szCs w:val="24"/>
          <w:lang w:val="ro-MD"/>
        </w:rPr>
      </w:pPr>
      <w:r w:rsidRPr="00606103">
        <w:rPr>
          <w:rFonts w:asciiTheme="majorHAnsi" w:eastAsia="Times New Roman" w:hAnsiTheme="majorHAnsi" w:cstheme="majorHAnsi"/>
          <w:sz w:val="24"/>
          <w:szCs w:val="24"/>
          <w:lang w:val="ro-MD"/>
        </w:rPr>
        <w:t xml:space="preserve">Totodată, analizând respectarea ordinii cronologice de achitare a documentelor executorii după data înregistrării setului de documente la Trezoreria de Stat și data achitării, auditul a constatat 14 cazuri, </w:t>
      </w:r>
      <w:r w:rsidRPr="00606103">
        <w:rPr>
          <w:rFonts w:asciiTheme="majorHAnsi" w:eastAsia="Times New Roman" w:hAnsiTheme="majorHAnsi" w:cstheme="majorHAnsi"/>
          <w:sz w:val="24"/>
          <w:szCs w:val="24"/>
          <w:lang w:val="ro-MD"/>
        </w:rPr>
        <w:lastRenderedPageBreak/>
        <w:t>în sumă totală de 0,6 mil.lei, în care nu s-a respectat cronologia de achitare î</w:t>
      </w:r>
      <w:r w:rsidR="009C3E6E" w:rsidRPr="00606103">
        <w:rPr>
          <w:rFonts w:asciiTheme="majorHAnsi" w:eastAsia="Times New Roman" w:hAnsiTheme="majorHAnsi" w:cstheme="majorHAnsi"/>
          <w:sz w:val="24"/>
          <w:szCs w:val="24"/>
          <w:lang w:val="ro-MD"/>
        </w:rPr>
        <w:t>n ordinea de intrare a acestora, motivul fiind prezentarea incompletă/ incorectă a datelor bancare ale ben</w:t>
      </w:r>
      <w:r w:rsidR="003520CF" w:rsidRPr="00606103">
        <w:rPr>
          <w:rFonts w:asciiTheme="majorHAnsi" w:eastAsia="Times New Roman" w:hAnsiTheme="majorHAnsi" w:cstheme="majorHAnsi"/>
          <w:sz w:val="24"/>
          <w:szCs w:val="24"/>
          <w:lang w:val="ro-MD"/>
        </w:rPr>
        <w:t>e</w:t>
      </w:r>
      <w:r w:rsidR="009C3E6E" w:rsidRPr="00606103">
        <w:rPr>
          <w:rFonts w:asciiTheme="majorHAnsi" w:eastAsia="Times New Roman" w:hAnsiTheme="majorHAnsi" w:cstheme="majorHAnsi"/>
          <w:sz w:val="24"/>
          <w:szCs w:val="24"/>
          <w:lang w:val="ro-MD"/>
        </w:rPr>
        <w:t>fic</w:t>
      </w:r>
      <w:r w:rsidR="003520CF" w:rsidRPr="00606103">
        <w:rPr>
          <w:rFonts w:asciiTheme="majorHAnsi" w:eastAsia="Times New Roman" w:hAnsiTheme="majorHAnsi" w:cstheme="majorHAnsi"/>
          <w:sz w:val="24"/>
          <w:szCs w:val="24"/>
          <w:lang w:val="ro-MD"/>
        </w:rPr>
        <w:t>i</w:t>
      </w:r>
      <w:r w:rsidR="009C3E6E" w:rsidRPr="00606103">
        <w:rPr>
          <w:rFonts w:asciiTheme="majorHAnsi" w:eastAsia="Times New Roman" w:hAnsiTheme="majorHAnsi" w:cstheme="majorHAnsi"/>
          <w:sz w:val="24"/>
          <w:szCs w:val="24"/>
          <w:lang w:val="ro-MD"/>
        </w:rPr>
        <w:t>arilor.</w:t>
      </w:r>
    </w:p>
    <w:p w:rsidR="005F6C72" w:rsidRPr="00606103" w:rsidRDefault="00E164A3">
      <w:pPr>
        <w:spacing w:line="276" w:lineRule="auto"/>
        <w:rPr>
          <w:rFonts w:asciiTheme="majorHAnsi" w:eastAsia="Times New Roman" w:hAnsiTheme="majorHAnsi" w:cstheme="majorHAnsi"/>
          <w:i/>
          <w:sz w:val="24"/>
          <w:szCs w:val="24"/>
          <w:lang w:val="ro-MD"/>
        </w:rPr>
      </w:pPr>
      <w:r w:rsidRPr="00606103">
        <w:rPr>
          <w:rFonts w:asciiTheme="majorHAnsi" w:eastAsia="Times New Roman" w:hAnsiTheme="majorHAnsi" w:cstheme="majorHAnsi"/>
          <w:sz w:val="24"/>
          <w:szCs w:val="24"/>
          <w:lang w:val="ro-MD"/>
        </w:rPr>
        <w:t xml:space="preserve">Achitarea documentelor executorii prin intermediul </w:t>
      </w:r>
      <w:r w:rsidRPr="00606103">
        <w:rPr>
          <w:rFonts w:asciiTheme="majorHAnsi" w:eastAsia="Times New Roman" w:hAnsiTheme="majorHAnsi" w:cstheme="majorHAnsi"/>
          <w:b/>
          <w:i/>
          <w:sz w:val="24"/>
          <w:szCs w:val="24"/>
          <w:lang w:val="ro-MD"/>
        </w:rPr>
        <w:t>executorilor de buget</w:t>
      </w:r>
      <w:r w:rsidRPr="00606103">
        <w:rPr>
          <w:rFonts w:asciiTheme="majorHAnsi" w:eastAsia="Times New Roman" w:hAnsiTheme="majorHAnsi" w:cstheme="majorHAnsi"/>
          <w:sz w:val="24"/>
          <w:szCs w:val="24"/>
          <w:lang w:val="ro-MD"/>
        </w:rPr>
        <w:t xml:space="preserve"> în anul 2021 a constituit 83,0 mil.lei (sau 43,9%), cu 76,3 mil.lei mai mult comparativ cu plățile achitate în anul 2020. Se atestă că cea mai semnificativă plată este înregistrată la MIDR, și anume Î.S. „Administrația de Stat a Drumurilor”, aferentă titlului executoriu emis de către Tribunalul arbitral de </w:t>
      </w:r>
      <w:r w:rsidR="003520CF" w:rsidRPr="00606103">
        <w:rPr>
          <w:rFonts w:asciiTheme="majorHAnsi" w:eastAsia="Times New Roman" w:hAnsiTheme="majorHAnsi" w:cstheme="majorHAnsi"/>
          <w:sz w:val="24"/>
          <w:szCs w:val="24"/>
          <w:lang w:val="ro-MD"/>
        </w:rPr>
        <w:t>la</w:t>
      </w:r>
      <w:r w:rsidRPr="00606103">
        <w:rPr>
          <w:rFonts w:asciiTheme="majorHAnsi" w:eastAsia="Times New Roman" w:hAnsiTheme="majorHAnsi" w:cstheme="majorHAnsi"/>
          <w:sz w:val="24"/>
          <w:szCs w:val="24"/>
          <w:lang w:val="ro-MD"/>
        </w:rPr>
        <w:t xml:space="preserve"> Haga – 74,4 mil. lei </w:t>
      </w:r>
      <w:r w:rsidR="00926FAA">
        <w:rPr>
          <w:rFonts w:asciiTheme="majorHAnsi" w:eastAsia="Times New Roman" w:hAnsiTheme="majorHAnsi" w:cstheme="majorHAnsi"/>
          <w:sz w:val="24"/>
          <w:szCs w:val="24"/>
          <w:lang w:val="ro-MD"/>
        </w:rPr>
        <w:t xml:space="preserve">     </w:t>
      </w:r>
      <w:r w:rsidRPr="00606103">
        <w:rPr>
          <w:rFonts w:asciiTheme="majorHAnsi" w:eastAsia="Times New Roman" w:hAnsiTheme="majorHAnsi" w:cstheme="majorHAnsi"/>
          <w:sz w:val="24"/>
          <w:szCs w:val="24"/>
          <w:lang w:val="ro-MD"/>
        </w:rPr>
        <w:t>(3</w:t>
      </w:r>
      <w:r w:rsidR="009D6848" w:rsidRPr="00606103">
        <w:rPr>
          <w:rFonts w:asciiTheme="majorHAnsi" w:eastAsia="Times New Roman" w:hAnsiTheme="majorHAnsi" w:cstheme="majorHAnsi"/>
          <w:sz w:val="24"/>
          <w:szCs w:val="24"/>
          <w:lang w:val="ro-MD"/>
        </w:rPr>
        <w:t xml:space="preserve"> </w:t>
      </w:r>
      <w:r w:rsidRPr="00606103">
        <w:rPr>
          <w:rFonts w:asciiTheme="majorHAnsi" w:eastAsia="Times New Roman" w:hAnsiTheme="majorHAnsi" w:cstheme="majorHAnsi"/>
          <w:sz w:val="24"/>
          <w:szCs w:val="24"/>
          <w:lang w:val="ro-MD"/>
        </w:rPr>
        <w:t>662</w:t>
      </w:r>
      <w:r w:rsidR="009D6848" w:rsidRPr="00606103">
        <w:rPr>
          <w:rFonts w:asciiTheme="majorHAnsi" w:eastAsia="Times New Roman" w:hAnsiTheme="majorHAnsi" w:cstheme="majorHAnsi"/>
          <w:sz w:val="24"/>
          <w:szCs w:val="24"/>
          <w:lang w:val="ro-MD"/>
        </w:rPr>
        <w:t xml:space="preserve"> </w:t>
      </w:r>
      <w:r w:rsidRPr="00606103">
        <w:rPr>
          <w:rFonts w:asciiTheme="majorHAnsi" w:eastAsia="Times New Roman" w:hAnsiTheme="majorHAnsi" w:cstheme="majorHAnsi"/>
          <w:sz w:val="24"/>
          <w:szCs w:val="24"/>
          <w:lang w:val="ro-MD"/>
        </w:rPr>
        <w:t xml:space="preserve">989,79 </w:t>
      </w:r>
      <w:r w:rsidR="009D6848" w:rsidRPr="00606103">
        <w:rPr>
          <w:rFonts w:asciiTheme="majorHAnsi" w:eastAsia="Times New Roman" w:hAnsiTheme="majorHAnsi" w:cstheme="majorHAnsi"/>
          <w:sz w:val="24"/>
          <w:szCs w:val="24"/>
          <w:lang w:val="ro-MD"/>
        </w:rPr>
        <w:t>euro</w:t>
      </w:r>
      <w:r w:rsidRPr="00606103">
        <w:rPr>
          <w:rFonts w:asciiTheme="majorHAnsi" w:eastAsia="Times New Roman" w:hAnsiTheme="majorHAnsi" w:cstheme="majorHAnsi"/>
          <w:sz w:val="24"/>
          <w:szCs w:val="24"/>
          <w:lang w:val="ro-MD"/>
        </w:rPr>
        <w:t>), în calitate de datorie de bază privind executarea prevederilor contractului de efectuare a lucrărilor de reabilitare a unui segment de drum față de o companie străină</w:t>
      </w:r>
      <w:r w:rsidRPr="00606103">
        <w:rPr>
          <w:rFonts w:asciiTheme="majorHAnsi" w:eastAsia="Times New Roman" w:hAnsiTheme="majorHAnsi" w:cstheme="majorHAnsi"/>
          <w:sz w:val="24"/>
          <w:szCs w:val="24"/>
          <w:vertAlign w:val="superscript"/>
          <w:lang w:val="ro-MD"/>
        </w:rPr>
        <w:footnoteReference w:id="59"/>
      </w:r>
      <w:r w:rsidRPr="00606103">
        <w:rPr>
          <w:rFonts w:asciiTheme="majorHAnsi" w:eastAsia="Times New Roman" w:hAnsiTheme="majorHAnsi" w:cstheme="majorHAnsi"/>
          <w:sz w:val="24"/>
          <w:szCs w:val="24"/>
          <w:lang w:val="ro-MD"/>
        </w:rPr>
        <w:t xml:space="preserve">. </w:t>
      </w:r>
      <w:r w:rsidRPr="00606103">
        <w:rPr>
          <w:rFonts w:asciiTheme="majorHAnsi" w:eastAsia="Times New Roman" w:hAnsiTheme="majorHAnsi" w:cstheme="majorHAnsi"/>
          <w:i/>
          <w:sz w:val="24"/>
          <w:szCs w:val="24"/>
          <w:lang w:val="ro-MD"/>
        </w:rPr>
        <w:t>Informația privind executarea prin intermediul executorilor de buget a documentelor executorii în anul 2021 se prezintă în Anexa nr.</w:t>
      </w:r>
      <w:r w:rsidR="00B0606E" w:rsidRPr="00606103">
        <w:rPr>
          <w:rFonts w:asciiTheme="majorHAnsi" w:eastAsia="Times New Roman" w:hAnsiTheme="majorHAnsi" w:cstheme="majorHAnsi"/>
          <w:i/>
          <w:sz w:val="24"/>
          <w:szCs w:val="24"/>
          <w:lang w:val="ro-MD"/>
        </w:rPr>
        <w:t>3</w:t>
      </w:r>
      <w:r w:rsidRPr="00606103">
        <w:rPr>
          <w:rFonts w:asciiTheme="majorHAnsi" w:eastAsia="Times New Roman" w:hAnsiTheme="majorHAnsi" w:cstheme="majorHAnsi"/>
          <w:i/>
          <w:sz w:val="24"/>
          <w:szCs w:val="24"/>
          <w:lang w:val="ro-MD"/>
        </w:rPr>
        <w:t xml:space="preserve"> la prezentul Raport de audit.</w:t>
      </w:r>
    </w:p>
    <w:p w:rsidR="00E164A3" w:rsidRPr="00606103" w:rsidRDefault="005F6C72">
      <w:pPr>
        <w:spacing w:line="276" w:lineRule="auto"/>
        <w:rPr>
          <w:rFonts w:asciiTheme="majorHAnsi" w:eastAsia="Times New Roman" w:hAnsiTheme="majorHAnsi" w:cstheme="majorHAnsi"/>
          <w:i/>
          <w:sz w:val="24"/>
          <w:szCs w:val="24"/>
          <w:lang w:val="ro-MD"/>
        </w:rPr>
      </w:pPr>
      <w:r w:rsidRPr="00606103">
        <w:rPr>
          <w:rFonts w:asciiTheme="majorHAnsi" w:eastAsia="Times New Roman" w:hAnsiTheme="majorHAnsi" w:cstheme="majorHAnsi"/>
          <w:sz w:val="24"/>
          <w:szCs w:val="24"/>
          <w:lang w:val="ro-MD"/>
        </w:rPr>
        <w:t>Creșterea semnificativă a cheltuielilor pentru achitarea documentelor executorii sporește povara bugetului de stat, banii publici fiind dezafectați de la</w:t>
      </w:r>
      <w:r w:rsidR="0011514A" w:rsidRPr="00606103">
        <w:rPr>
          <w:rFonts w:asciiTheme="majorHAnsi" w:eastAsia="Times New Roman" w:hAnsiTheme="majorHAnsi" w:cstheme="majorHAnsi"/>
          <w:sz w:val="24"/>
          <w:szCs w:val="24"/>
          <w:lang w:val="ro-MD"/>
        </w:rPr>
        <w:t xml:space="preserve"> </w:t>
      </w:r>
      <w:r w:rsidRPr="00606103">
        <w:rPr>
          <w:rFonts w:asciiTheme="majorHAnsi" w:eastAsia="Times New Roman" w:hAnsiTheme="majorHAnsi" w:cstheme="majorHAnsi"/>
          <w:sz w:val="24"/>
          <w:szCs w:val="24"/>
          <w:lang w:val="ro-MD"/>
        </w:rPr>
        <w:t xml:space="preserve">necesitățile stringente ale statului. </w:t>
      </w:r>
    </w:p>
    <w:p w:rsidR="00837309" w:rsidRPr="00606103" w:rsidRDefault="009D6848" w:rsidP="00552746">
      <w:pPr>
        <w:pStyle w:val="Heading2"/>
        <w:numPr>
          <w:ilvl w:val="1"/>
          <w:numId w:val="6"/>
        </w:numPr>
        <w:tabs>
          <w:tab w:val="left" w:pos="567"/>
        </w:tabs>
        <w:spacing w:line="276" w:lineRule="auto"/>
        <w:ind w:left="0" w:firstLine="0"/>
        <w:rPr>
          <w:rFonts w:cstheme="majorHAnsi"/>
          <w:b/>
          <w:color w:val="auto"/>
          <w:sz w:val="24"/>
          <w:szCs w:val="24"/>
          <w:lang w:val="ro-MD"/>
        </w:rPr>
      </w:pPr>
      <w:r w:rsidRPr="00606103">
        <w:rPr>
          <w:rFonts w:cstheme="majorHAnsi"/>
          <w:b/>
          <w:color w:val="auto"/>
          <w:sz w:val="24"/>
          <w:szCs w:val="24"/>
          <w:lang w:val="ro-MD"/>
        </w:rPr>
        <w:t>Se atestă un n</w:t>
      </w:r>
      <w:r w:rsidR="00367EA7" w:rsidRPr="00606103">
        <w:rPr>
          <w:rFonts w:cstheme="majorHAnsi"/>
          <w:b/>
          <w:color w:val="auto"/>
          <w:sz w:val="24"/>
          <w:szCs w:val="24"/>
          <w:lang w:val="ro-MD"/>
        </w:rPr>
        <w:t>ivel scăzut de implementare a proiectelor finanțate din surse externe.</w:t>
      </w:r>
    </w:p>
    <w:p w:rsidR="00837309" w:rsidRPr="00606103" w:rsidRDefault="00837309">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Pe parcursul anului 2021 au fost debursate granturi pentru susțin</w:t>
      </w:r>
      <w:r w:rsidR="00E35359" w:rsidRPr="00606103">
        <w:rPr>
          <w:rFonts w:asciiTheme="majorHAnsi" w:hAnsiTheme="majorHAnsi" w:cstheme="majorHAnsi"/>
          <w:sz w:val="24"/>
          <w:szCs w:val="24"/>
          <w:lang w:val="ro-MD"/>
        </w:rPr>
        <w:t>erea bugetului</w:t>
      </w:r>
      <w:r w:rsidRPr="00606103">
        <w:rPr>
          <w:rFonts w:asciiTheme="majorHAnsi" w:hAnsiTheme="majorHAnsi" w:cstheme="majorHAnsi"/>
          <w:sz w:val="24"/>
          <w:szCs w:val="24"/>
          <w:lang w:val="ro-MD"/>
        </w:rPr>
        <w:t xml:space="preserve"> în sumă de 2 013,4 mil. lei, iar granturile pentru proiecte fin</w:t>
      </w:r>
      <w:r w:rsidR="00B64659" w:rsidRPr="00606103">
        <w:rPr>
          <w:rFonts w:asciiTheme="majorHAnsi" w:hAnsiTheme="majorHAnsi" w:cstheme="majorHAnsi"/>
          <w:sz w:val="24"/>
          <w:szCs w:val="24"/>
          <w:lang w:val="ro-MD"/>
        </w:rPr>
        <w:t xml:space="preserve">anțate din surse externe </w:t>
      </w:r>
      <w:r w:rsidR="00A95C5A" w:rsidRPr="00606103">
        <w:rPr>
          <w:rFonts w:asciiTheme="majorHAnsi" w:hAnsiTheme="majorHAnsi" w:cstheme="majorHAnsi"/>
          <w:sz w:val="24"/>
          <w:szCs w:val="24"/>
          <w:lang w:val="ro-MD"/>
        </w:rPr>
        <w:t>au constituit</w:t>
      </w:r>
      <w:r w:rsidR="00B64659" w:rsidRPr="00606103">
        <w:rPr>
          <w:rFonts w:asciiTheme="majorHAnsi" w:hAnsiTheme="majorHAnsi" w:cstheme="majorHAnsi"/>
          <w:sz w:val="24"/>
          <w:szCs w:val="24"/>
          <w:lang w:val="ro-MD"/>
        </w:rPr>
        <w:t xml:space="preserve"> 277,2</w:t>
      </w:r>
      <w:r w:rsidRPr="00606103">
        <w:rPr>
          <w:rFonts w:asciiTheme="majorHAnsi" w:hAnsiTheme="majorHAnsi" w:cstheme="majorHAnsi"/>
          <w:sz w:val="24"/>
          <w:szCs w:val="24"/>
          <w:lang w:val="ro-MD"/>
        </w:rPr>
        <w:t xml:space="preserve"> mil. lei (în total</w:t>
      </w:r>
      <w:r w:rsidR="00926FAA">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 2 290,6 mil. lei</w:t>
      </w:r>
      <w:r w:rsidR="0082229C" w:rsidRPr="00606103">
        <w:rPr>
          <w:rFonts w:asciiTheme="majorHAnsi" w:hAnsiTheme="majorHAnsi" w:cstheme="majorHAnsi"/>
          <w:sz w:val="24"/>
          <w:szCs w:val="24"/>
          <w:lang w:val="ro-MD"/>
        </w:rPr>
        <w:t>).</w:t>
      </w:r>
    </w:p>
    <w:p w:rsidR="00837309" w:rsidRPr="00606103" w:rsidRDefault="00982599">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Astfel, g</w:t>
      </w:r>
      <w:r w:rsidR="00837309" w:rsidRPr="00606103">
        <w:rPr>
          <w:rFonts w:asciiTheme="majorHAnsi" w:hAnsiTheme="majorHAnsi" w:cstheme="majorHAnsi"/>
          <w:sz w:val="24"/>
          <w:szCs w:val="24"/>
          <w:lang w:val="ro-MD"/>
        </w:rPr>
        <w:t>ranturi</w:t>
      </w:r>
      <w:r w:rsidRPr="00606103">
        <w:rPr>
          <w:rFonts w:asciiTheme="majorHAnsi" w:hAnsiTheme="majorHAnsi" w:cstheme="majorHAnsi"/>
          <w:sz w:val="24"/>
          <w:szCs w:val="24"/>
          <w:lang w:val="ro-MD"/>
        </w:rPr>
        <w:t>le</w:t>
      </w:r>
      <w:r w:rsidR="00837309" w:rsidRPr="00606103">
        <w:rPr>
          <w:rFonts w:asciiTheme="majorHAnsi" w:hAnsiTheme="majorHAnsi" w:cstheme="majorHAnsi"/>
          <w:sz w:val="24"/>
          <w:szCs w:val="24"/>
          <w:lang w:val="ro-MD"/>
        </w:rPr>
        <w:t xml:space="preserve"> pentru susținerea bugetului din partea Comisiei Europene au fost debursate în sumă de 1</w:t>
      </w:r>
      <w:r w:rsidRPr="00606103">
        <w:rPr>
          <w:rFonts w:asciiTheme="majorHAnsi" w:hAnsiTheme="majorHAnsi" w:cstheme="majorHAnsi"/>
          <w:sz w:val="24"/>
          <w:szCs w:val="24"/>
          <w:lang w:val="ro-MD"/>
        </w:rPr>
        <w:t xml:space="preserve"> </w:t>
      </w:r>
      <w:r w:rsidR="00837309" w:rsidRPr="00606103">
        <w:rPr>
          <w:rFonts w:asciiTheme="majorHAnsi" w:hAnsiTheme="majorHAnsi" w:cstheme="majorHAnsi"/>
          <w:sz w:val="24"/>
          <w:szCs w:val="24"/>
          <w:lang w:val="ro-MD"/>
        </w:rPr>
        <w:t>952,8 mil. lei, dintre care:</w:t>
      </w:r>
      <w:r w:rsidR="004B4B8E" w:rsidRPr="00606103">
        <w:rPr>
          <w:rFonts w:asciiTheme="majorHAnsi" w:hAnsiTheme="majorHAnsi" w:cstheme="majorHAnsi"/>
          <w:sz w:val="24"/>
          <w:szCs w:val="24"/>
          <w:lang w:val="ro-MD"/>
        </w:rPr>
        <w:t xml:space="preserve"> Contractul de </w:t>
      </w:r>
      <w:r w:rsidRPr="00606103">
        <w:rPr>
          <w:rFonts w:asciiTheme="majorHAnsi" w:hAnsiTheme="majorHAnsi" w:cstheme="majorHAnsi"/>
          <w:sz w:val="24"/>
          <w:szCs w:val="24"/>
          <w:lang w:val="ro-MD"/>
        </w:rPr>
        <w:t>rezilienț</w:t>
      </w:r>
      <w:r w:rsidR="00A95C5A" w:rsidRPr="00606103">
        <w:rPr>
          <w:rFonts w:asciiTheme="majorHAnsi" w:hAnsiTheme="majorHAnsi" w:cstheme="majorHAnsi"/>
          <w:sz w:val="24"/>
          <w:szCs w:val="24"/>
          <w:lang w:val="ro-MD"/>
        </w:rPr>
        <w:t>ă</w:t>
      </w:r>
      <w:r w:rsidRPr="00606103">
        <w:rPr>
          <w:rFonts w:asciiTheme="majorHAnsi" w:hAnsiTheme="majorHAnsi" w:cstheme="majorHAnsi"/>
          <w:sz w:val="24"/>
          <w:szCs w:val="24"/>
          <w:lang w:val="ro-MD"/>
        </w:rPr>
        <w:t xml:space="preserve"> COVID-19 </w:t>
      </w:r>
      <w:r w:rsidR="009D6848" w:rsidRPr="00606103">
        <w:rPr>
          <w:rFonts w:asciiTheme="majorHAnsi" w:hAnsiTheme="majorHAnsi"/>
          <w:sz w:val="24"/>
          <w:szCs w:val="24"/>
          <w:lang w:val="ro-MD" w:eastAsia="ja-JP"/>
        </w:rPr>
        <w:t>–</w:t>
      </w:r>
      <w:r w:rsidR="00837309" w:rsidRPr="00606103">
        <w:rPr>
          <w:rFonts w:asciiTheme="majorHAnsi" w:hAnsiTheme="majorHAnsi" w:cstheme="majorHAnsi"/>
          <w:sz w:val="24"/>
          <w:szCs w:val="24"/>
          <w:lang w:val="ro-MD"/>
        </w:rPr>
        <w:t xml:space="preserve"> 305,9</w:t>
      </w:r>
      <w:r w:rsidRPr="00606103">
        <w:rPr>
          <w:rFonts w:asciiTheme="majorHAnsi" w:hAnsiTheme="majorHAnsi" w:cstheme="majorHAnsi"/>
          <w:sz w:val="24"/>
          <w:szCs w:val="24"/>
          <w:lang w:val="ro-MD"/>
        </w:rPr>
        <w:t xml:space="preserve"> mil. lei</w:t>
      </w:r>
      <w:r w:rsidR="00837309" w:rsidRPr="00606103">
        <w:rPr>
          <w:rFonts w:asciiTheme="majorHAnsi" w:hAnsiTheme="majorHAnsi" w:cstheme="majorHAnsi"/>
          <w:sz w:val="24"/>
          <w:szCs w:val="24"/>
          <w:lang w:val="ro-MD"/>
        </w:rPr>
        <w:t xml:space="preserve">, </w:t>
      </w:r>
      <w:r w:rsidR="004B4B8E" w:rsidRPr="00606103">
        <w:rPr>
          <w:rFonts w:asciiTheme="majorHAnsi" w:hAnsiTheme="majorHAnsi" w:cstheme="majorHAnsi"/>
          <w:sz w:val="24"/>
          <w:szCs w:val="24"/>
          <w:lang w:val="ro-MD"/>
        </w:rPr>
        <w:t>suport pentru reforma</w:t>
      </w:r>
      <w:r w:rsidR="00837309" w:rsidRPr="00606103">
        <w:rPr>
          <w:rFonts w:asciiTheme="majorHAnsi" w:hAnsiTheme="majorHAnsi" w:cstheme="majorHAnsi"/>
          <w:sz w:val="24"/>
          <w:szCs w:val="24"/>
          <w:lang w:val="ro-MD"/>
        </w:rPr>
        <w:t xml:space="preserve"> po</w:t>
      </w:r>
      <w:r w:rsidR="004B4B8E" w:rsidRPr="00606103">
        <w:rPr>
          <w:rFonts w:asciiTheme="majorHAnsi" w:hAnsiTheme="majorHAnsi" w:cstheme="majorHAnsi"/>
          <w:sz w:val="24"/>
          <w:szCs w:val="24"/>
          <w:lang w:val="ro-MD"/>
        </w:rPr>
        <w:t>liției – 436,4 mil. lei, C</w:t>
      </w:r>
      <w:r w:rsidR="00837309" w:rsidRPr="00606103">
        <w:rPr>
          <w:rFonts w:asciiTheme="majorHAnsi" w:hAnsiTheme="majorHAnsi" w:cstheme="majorHAnsi"/>
          <w:sz w:val="24"/>
          <w:szCs w:val="24"/>
          <w:lang w:val="ro-MD"/>
        </w:rPr>
        <w:t>ontractul de consolidare a statului și reziliență pentru RM – 1 210,5 mil. lei</w:t>
      </w:r>
      <w:r w:rsidR="009D6848" w:rsidRPr="00606103">
        <w:rPr>
          <w:rFonts w:asciiTheme="majorHAnsi" w:hAnsiTheme="majorHAnsi" w:cstheme="majorHAnsi"/>
          <w:sz w:val="24"/>
          <w:szCs w:val="24"/>
          <w:lang w:val="ro-MD"/>
        </w:rPr>
        <w:t>,</w:t>
      </w:r>
      <w:r w:rsidR="004B4B8E" w:rsidRPr="00606103">
        <w:rPr>
          <w:rFonts w:asciiTheme="majorHAnsi" w:hAnsiTheme="majorHAnsi" w:cstheme="majorHAnsi"/>
          <w:sz w:val="24"/>
          <w:szCs w:val="24"/>
          <w:lang w:val="ro-MD"/>
        </w:rPr>
        <w:t xml:space="preserve"> iar </w:t>
      </w:r>
      <w:r w:rsidR="00837309" w:rsidRPr="00606103">
        <w:rPr>
          <w:rFonts w:asciiTheme="majorHAnsi" w:hAnsiTheme="majorHAnsi" w:cstheme="majorHAnsi"/>
          <w:sz w:val="24"/>
          <w:szCs w:val="24"/>
          <w:lang w:val="ro-MD"/>
        </w:rPr>
        <w:t>din partea Băncii Mondiale</w:t>
      </w:r>
      <w:r w:rsidRPr="00606103">
        <w:rPr>
          <w:rFonts w:asciiTheme="majorHAnsi" w:hAnsiTheme="majorHAnsi" w:cstheme="majorHAnsi"/>
          <w:sz w:val="24"/>
          <w:szCs w:val="24"/>
          <w:lang w:val="ro-MD"/>
        </w:rPr>
        <w:t xml:space="preserve"> </w:t>
      </w:r>
      <w:r w:rsidR="009D6848" w:rsidRPr="00606103">
        <w:rPr>
          <w:rFonts w:asciiTheme="majorHAnsi" w:hAnsiTheme="majorHAnsi"/>
          <w:sz w:val="24"/>
          <w:szCs w:val="24"/>
          <w:lang w:val="ro-MD" w:eastAsia="ja-JP"/>
        </w:rPr>
        <w:t>–</w:t>
      </w:r>
      <w:r w:rsidR="00E95D93" w:rsidRPr="00606103">
        <w:rPr>
          <w:rFonts w:asciiTheme="majorHAnsi" w:hAnsiTheme="majorHAnsi" w:cstheme="majorHAnsi"/>
          <w:sz w:val="24"/>
          <w:szCs w:val="24"/>
          <w:lang w:val="ro-MD"/>
        </w:rPr>
        <w:t xml:space="preserve"> </w:t>
      </w:r>
      <w:r w:rsidR="00837309" w:rsidRPr="00606103">
        <w:rPr>
          <w:rFonts w:asciiTheme="majorHAnsi" w:hAnsiTheme="majorHAnsi" w:cstheme="majorHAnsi"/>
          <w:sz w:val="24"/>
          <w:szCs w:val="24"/>
          <w:lang w:val="ro-MD"/>
        </w:rPr>
        <w:t>în sumă de 60,6 mil.lei.</w:t>
      </w:r>
    </w:p>
    <w:p w:rsidR="00837309" w:rsidRPr="00606103" w:rsidRDefault="00837309">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Deși per ansamblu debursarea granturilor a fost realizat</w:t>
      </w:r>
      <w:r w:rsidR="009D6848" w:rsidRPr="00606103">
        <w:rPr>
          <w:rFonts w:asciiTheme="majorHAnsi" w:hAnsiTheme="majorHAnsi" w:cstheme="majorHAnsi"/>
          <w:sz w:val="24"/>
          <w:szCs w:val="24"/>
          <w:lang w:val="ro-MD"/>
        </w:rPr>
        <w:t xml:space="preserve">ă </w:t>
      </w:r>
      <w:r w:rsidRPr="00606103">
        <w:rPr>
          <w:rFonts w:asciiTheme="majorHAnsi" w:hAnsiTheme="majorHAnsi" w:cstheme="majorHAnsi"/>
          <w:sz w:val="24"/>
          <w:szCs w:val="24"/>
          <w:lang w:val="ro-MD"/>
        </w:rPr>
        <w:t>la nivel de 162,4 la sută, auditul relevă că ace</w:t>
      </w:r>
      <w:r w:rsidR="009D6848" w:rsidRPr="00606103">
        <w:rPr>
          <w:rFonts w:asciiTheme="majorHAnsi" w:hAnsiTheme="majorHAnsi" w:cstheme="majorHAnsi"/>
          <w:sz w:val="24"/>
          <w:szCs w:val="24"/>
          <w:lang w:val="ro-MD"/>
        </w:rPr>
        <w:t>a</w:t>
      </w:r>
      <w:r w:rsidRPr="00606103">
        <w:rPr>
          <w:rFonts w:asciiTheme="majorHAnsi" w:hAnsiTheme="majorHAnsi" w:cstheme="majorHAnsi"/>
          <w:sz w:val="24"/>
          <w:szCs w:val="24"/>
          <w:lang w:val="ro-MD"/>
        </w:rPr>
        <w:t>sta se datorează debursării unui grant neplanificat pentru susținerea bugetului, și anume</w:t>
      </w:r>
      <w:r w:rsidRPr="00606103">
        <w:rPr>
          <w:rFonts w:asciiTheme="majorHAnsi" w:hAnsiTheme="majorHAnsi" w:cstheme="majorHAnsi"/>
          <w:lang w:val="ro-MD"/>
        </w:rPr>
        <w:t xml:space="preserve"> </w:t>
      </w:r>
      <w:r w:rsidR="009D6848" w:rsidRPr="00606103">
        <w:rPr>
          <w:rFonts w:asciiTheme="majorHAnsi" w:hAnsiTheme="majorHAnsi" w:cstheme="majorHAnsi"/>
          <w:lang w:val="ro-MD"/>
        </w:rPr>
        <w:t>„</w:t>
      </w:r>
      <w:r w:rsidR="009D6848" w:rsidRPr="00606103">
        <w:rPr>
          <w:rFonts w:asciiTheme="majorHAnsi" w:hAnsiTheme="majorHAnsi" w:cstheme="majorHAnsi"/>
          <w:sz w:val="24"/>
          <w:szCs w:val="24"/>
          <w:lang w:val="ro-MD"/>
        </w:rPr>
        <w:t>C</w:t>
      </w:r>
      <w:r w:rsidRPr="00606103">
        <w:rPr>
          <w:rFonts w:asciiTheme="majorHAnsi" w:hAnsiTheme="majorHAnsi" w:cstheme="majorHAnsi"/>
          <w:sz w:val="24"/>
          <w:szCs w:val="24"/>
          <w:lang w:val="ro-MD"/>
        </w:rPr>
        <w:t>ontractul de consolidare a statului și reziliență pentru R</w:t>
      </w:r>
      <w:r w:rsidR="009D6848" w:rsidRPr="00606103">
        <w:rPr>
          <w:rFonts w:asciiTheme="majorHAnsi" w:hAnsiTheme="majorHAnsi" w:cstheme="majorHAnsi"/>
          <w:sz w:val="24"/>
          <w:szCs w:val="24"/>
          <w:lang w:val="ro-MD"/>
        </w:rPr>
        <w:t xml:space="preserve">epublica </w:t>
      </w:r>
      <w:r w:rsidRPr="00606103">
        <w:rPr>
          <w:rFonts w:asciiTheme="majorHAnsi" w:hAnsiTheme="majorHAnsi" w:cstheme="majorHAnsi"/>
          <w:sz w:val="24"/>
          <w:szCs w:val="24"/>
          <w:lang w:val="ro-MD"/>
        </w:rPr>
        <w:t>M</w:t>
      </w:r>
      <w:r w:rsidR="009D6848" w:rsidRPr="00606103">
        <w:rPr>
          <w:rFonts w:asciiTheme="majorHAnsi" w:hAnsiTheme="majorHAnsi" w:cstheme="majorHAnsi"/>
          <w:sz w:val="24"/>
          <w:szCs w:val="24"/>
          <w:lang w:val="ro-MD"/>
        </w:rPr>
        <w:t>oldova”</w:t>
      </w:r>
      <w:r w:rsidRPr="00606103">
        <w:rPr>
          <w:rFonts w:asciiTheme="majorHAnsi" w:hAnsiTheme="majorHAnsi" w:cstheme="majorHAnsi"/>
          <w:sz w:val="24"/>
          <w:szCs w:val="24"/>
          <w:lang w:val="ro-MD"/>
        </w:rPr>
        <w:t>. Prin urmare</w:t>
      </w:r>
      <w:r w:rsidR="009D6848"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nivelul de executare a granturilor aprobate este de 76,6 la sută.</w:t>
      </w:r>
    </w:p>
    <w:p w:rsidR="00837309" w:rsidRPr="00606103" w:rsidRDefault="00837309">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Pentru proiecte</w:t>
      </w:r>
      <w:r w:rsidR="009D6848" w:rsidRPr="00606103">
        <w:rPr>
          <w:rFonts w:asciiTheme="majorHAnsi" w:hAnsiTheme="majorHAnsi" w:cstheme="majorHAnsi"/>
          <w:sz w:val="24"/>
          <w:szCs w:val="24"/>
          <w:lang w:val="ro-MD"/>
        </w:rPr>
        <w:t>le</w:t>
      </w:r>
      <w:r w:rsidRPr="00606103">
        <w:rPr>
          <w:rFonts w:asciiTheme="majorHAnsi" w:hAnsiTheme="majorHAnsi" w:cstheme="majorHAnsi"/>
          <w:sz w:val="24"/>
          <w:szCs w:val="24"/>
          <w:lang w:val="ro-MD"/>
        </w:rPr>
        <w:t xml:space="preserve"> finanțate din surse externe</w:t>
      </w:r>
      <w:r w:rsidR="009D6848"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în bug</w:t>
      </w:r>
      <w:r w:rsidR="0016772C" w:rsidRPr="00606103">
        <w:rPr>
          <w:rFonts w:asciiTheme="majorHAnsi" w:hAnsiTheme="majorHAnsi" w:cstheme="majorHAnsi"/>
          <w:sz w:val="24"/>
          <w:szCs w:val="24"/>
          <w:lang w:val="ro-MD"/>
        </w:rPr>
        <w:t>etul de stat au fost aprobate</w:t>
      </w:r>
      <w:r w:rsidRPr="00606103">
        <w:rPr>
          <w:rFonts w:asciiTheme="majorHAnsi" w:hAnsiTheme="majorHAnsi" w:cstheme="majorHAnsi"/>
          <w:sz w:val="24"/>
          <w:szCs w:val="24"/>
          <w:lang w:val="ro-MD"/>
        </w:rPr>
        <w:t xml:space="preserve"> atât la resurse</w:t>
      </w:r>
      <w:r w:rsidR="009D6848"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cât și la cheltuieli</w:t>
      </w:r>
      <w:r w:rsidR="00E95D93" w:rsidRPr="00606103">
        <w:rPr>
          <w:rFonts w:asciiTheme="majorHAnsi" w:hAnsiTheme="majorHAnsi" w:cstheme="majorHAnsi"/>
          <w:sz w:val="24"/>
          <w:szCs w:val="24"/>
          <w:lang w:val="ro-MD"/>
        </w:rPr>
        <w:t xml:space="preserve"> </w:t>
      </w:r>
      <w:r w:rsidR="00A95C5A" w:rsidRPr="00606103">
        <w:rPr>
          <w:rFonts w:asciiTheme="majorHAnsi" w:hAnsiTheme="majorHAnsi" w:cstheme="majorHAnsi"/>
          <w:sz w:val="24"/>
          <w:szCs w:val="24"/>
          <w:lang w:val="ro-MD"/>
        </w:rPr>
        <w:t xml:space="preserve">mijloace </w:t>
      </w:r>
      <w:r w:rsidR="0016772C" w:rsidRPr="00606103">
        <w:rPr>
          <w:rFonts w:asciiTheme="majorHAnsi" w:hAnsiTheme="majorHAnsi" w:cstheme="majorHAnsi"/>
          <w:sz w:val="24"/>
          <w:szCs w:val="24"/>
          <w:lang w:val="ro-MD"/>
        </w:rPr>
        <w:t xml:space="preserve">în sumă de </w:t>
      </w:r>
      <w:r w:rsidRPr="00606103">
        <w:rPr>
          <w:rFonts w:asciiTheme="majorHAnsi" w:hAnsiTheme="majorHAnsi" w:cstheme="majorHAnsi"/>
          <w:sz w:val="24"/>
          <w:szCs w:val="24"/>
          <w:lang w:val="ro-MD"/>
        </w:rPr>
        <w:t>2997,8 mil. lei, pe parcursul anului</w:t>
      </w:r>
      <w:r w:rsidR="0016772C" w:rsidRPr="00606103">
        <w:rPr>
          <w:rFonts w:asciiTheme="majorHAnsi" w:hAnsiTheme="majorHAnsi" w:cstheme="majorHAnsi"/>
          <w:sz w:val="24"/>
          <w:szCs w:val="24"/>
          <w:lang w:val="ro-MD"/>
        </w:rPr>
        <w:t xml:space="preserve"> acestea</w:t>
      </w:r>
      <w:r w:rsidRPr="00606103">
        <w:rPr>
          <w:rFonts w:asciiTheme="majorHAnsi" w:hAnsiTheme="majorHAnsi" w:cstheme="majorHAnsi"/>
          <w:sz w:val="24"/>
          <w:szCs w:val="24"/>
          <w:lang w:val="ro-MD"/>
        </w:rPr>
        <w:t xml:space="preserve"> fiind majo</w:t>
      </w:r>
      <w:r w:rsidR="0016772C" w:rsidRPr="00606103">
        <w:rPr>
          <w:rFonts w:asciiTheme="majorHAnsi" w:hAnsiTheme="majorHAnsi" w:cstheme="majorHAnsi"/>
          <w:sz w:val="24"/>
          <w:szCs w:val="24"/>
          <w:lang w:val="ro-MD"/>
        </w:rPr>
        <w:t>rate până la 3 929,1 mil. lei, pe când</w:t>
      </w:r>
      <w:r w:rsidRPr="00606103">
        <w:rPr>
          <w:rFonts w:asciiTheme="majorHAnsi" w:hAnsiTheme="majorHAnsi" w:cstheme="majorHAnsi"/>
          <w:sz w:val="24"/>
          <w:szCs w:val="24"/>
          <w:lang w:val="ro-MD"/>
        </w:rPr>
        <w:t xml:space="preserve"> </w:t>
      </w:r>
      <w:r w:rsidR="009D6848" w:rsidRPr="00606103">
        <w:rPr>
          <w:rFonts w:asciiTheme="majorHAnsi" w:hAnsiTheme="majorHAnsi" w:cstheme="majorHAnsi"/>
          <w:sz w:val="24"/>
          <w:szCs w:val="24"/>
          <w:lang w:val="ro-MD"/>
        </w:rPr>
        <w:t xml:space="preserve">cele </w:t>
      </w:r>
      <w:r w:rsidRPr="00606103">
        <w:rPr>
          <w:rFonts w:asciiTheme="majorHAnsi" w:hAnsiTheme="majorHAnsi" w:cstheme="majorHAnsi"/>
          <w:sz w:val="24"/>
          <w:szCs w:val="24"/>
          <w:lang w:val="ro-MD"/>
        </w:rPr>
        <w:t>executate</w:t>
      </w:r>
      <w:r w:rsidR="0016772C" w:rsidRPr="00606103">
        <w:rPr>
          <w:rFonts w:asciiTheme="majorHAnsi" w:hAnsiTheme="majorHAnsi" w:cstheme="majorHAnsi"/>
          <w:sz w:val="24"/>
          <w:szCs w:val="24"/>
          <w:lang w:val="ro-MD"/>
        </w:rPr>
        <w:t xml:space="preserve"> constitui</w:t>
      </w:r>
      <w:r w:rsidR="00A95C5A" w:rsidRPr="00606103">
        <w:rPr>
          <w:rFonts w:asciiTheme="majorHAnsi" w:hAnsiTheme="majorHAnsi" w:cstheme="majorHAnsi"/>
          <w:sz w:val="24"/>
          <w:szCs w:val="24"/>
          <w:lang w:val="ro-MD"/>
        </w:rPr>
        <w:t>nd</w:t>
      </w:r>
      <w:r w:rsidR="0016772C" w:rsidRPr="00606103">
        <w:rPr>
          <w:rFonts w:asciiTheme="majorHAnsi" w:hAnsiTheme="majorHAnsi" w:cstheme="majorHAnsi"/>
          <w:sz w:val="24"/>
          <w:szCs w:val="24"/>
          <w:lang w:val="ro-MD"/>
        </w:rPr>
        <w:t xml:space="preserve"> 2</w:t>
      </w:r>
      <w:r w:rsidR="009D6848" w:rsidRPr="00606103">
        <w:rPr>
          <w:rFonts w:asciiTheme="majorHAnsi" w:hAnsiTheme="majorHAnsi" w:cstheme="majorHAnsi"/>
          <w:sz w:val="24"/>
          <w:szCs w:val="24"/>
          <w:lang w:val="ro-MD"/>
        </w:rPr>
        <w:t xml:space="preserve"> </w:t>
      </w:r>
      <w:r w:rsidR="0016772C" w:rsidRPr="00606103">
        <w:rPr>
          <w:rFonts w:asciiTheme="majorHAnsi" w:hAnsiTheme="majorHAnsi" w:cstheme="majorHAnsi"/>
          <w:sz w:val="24"/>
          <w:szCs w:val="24"/>
          <w:lang w:val="ro-MD"/>
        </w:rPr>
        <w:t>656,0 mil. lei. Astfel, se atestă un</w:t>
      </w:r>
      <w:r w:rsidRPr="00606103">
        <w:rPr>
          <w:rFonts w:asciiTheme="majorHAnsi" w:hAnsiTheme="majorHAnsi" w:cstheme="majorHAnsi"/>
          <w:sz w:val="24"/>
          <w:szCs w:val="24"/>
          <w:lang w:val="ro-MD"/>
        </w:rPr>
        <w:t xml:space="preserve"> nivel scăzut de</w:t>
      </w:r>
      <w:r w:rsidR="0016772C" w:rsidRPr="00606103">
        <w:rPr>
          <w:rFonts w:asciiTheme="majorHAnsi" w:hAnsiTheme="majorHAnsi" w:cstheme="majorHAnsi"/>
          <w:sz w:val="24"/>
          <w:szCs w:val="24"/>
          <w:lang w:val="ro-MD"/>
        </w:rPr>
        <w:t xml:space="preserve"> 67,6% la</w:t>
      </w:r>
      <w:r w:rsidR="00E95D93" w:rsidRPr="00606103">
        <w:rPr>
          <w:rFonts w:asciiTheme="majorHAnsi" w:hAnsiTheme="majorHAnsi" w:cstheme="majorHAnsi"/>
          <w:sz w:val="24"/>
          <w:szCs w:val="24"/>
          <w:lang w:val="ro-MD"/>
        </w:rPr>
        <w:t xml:space="preserve"> </w:t>
      </w:r>
      <w:r w:rsidR="0016772C" w:rsidRPr="00606103">
        <w:rPr>
          <w:rFonts w:asciiTheme="majorHAnsi" w:hAnsiTheme="majorHAnsi" w:cstheme="majorHAnsi"/>
          <w:sz w:val="24"/>
          <w:szCs w:val="24"/>
          <w:lang w:val="ro-MD"/>
        </w:rPr>
        <w:t>valorificarea resurselor pentru implementare</w:t>
      </w:r>
      <w:r w:rsidRPr="00606103">
        <w:rPr>
          <w:rFonts w:asciiTheme="majorHAnsi" w:hAnsiTheme="majorHAnsi" w:cstheme="majorHAnsi"/>
          <w:sz w:val="24"/>
          <w:szCs w:val="24"/>
          <w:lang w:val="ro-MD"/>
        </w:rPr>
        <w:t>a proiectelor finanțate din surse externe</w:t>
      </w:r>
      <w:r w:rsidR="0016772C"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w:t>
      </w:r>
      <w:r w:rsidR="0016772C" w:rsidRPr="00606103">
        <w:rPr>
          <w:rFonts w:asciiTheme="majorHAnsi" w:hAnsiTheme="majorHAnsi" w:cstheme="majorHAnsi"/>
          <w:sz w:val="24"/>
          <w:szCs w:val="24"/>
          <w:lang w:val="ro-MD"/>
        </w:rPr>
        <w:t>în mare parte d</w:t>
      </w:r>
      <w:r w:rsidRPr="00606103">
        <w:rPr>
          <w:rFonts w:asciiTheme="majorHAnsi" w:hAnsiTheme="majorHAnsi" w:cstheme="majorHAnsi"/>
          <w:sz w:val="24"/>
          <w:szCs w:val="24"/>
          <w:lang w:val="ro-MD"/>
        </w:rPr>
        <w:t>in contul împrumuturilor.</w:t>
      </w:r>
    </w:p>
    <w:p w:rsidR="0026730B" w:rsidRPr="00606103" w:rsidRDefault="00837309">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Cauzele principale ale valorificării reduse a resurselor externe constituie majorarea semnificativă a prețurilor la materialele de construcții, precum și tergiversarea în implementarea standardelor europene, neîndeplinirea în termen a precondițiilor de debursare prevăzute în contractele de împrumut/grant, progresul lent a</w:t>
      </w:r>
      <w:r w:rsidR="009D6848" w:rsidRPr="00606103">
        <w:rPr>
          <w:rFonts w:asciiTheme="majorHAnsi" w:hAnsiTheme="majorHAnsi" w:cstheme="majorHAnsi"/>
          <w:sz w:val="24"/>
          <w:szCs w:val="24"/>
          <w:lang w:val="ro-MD"/>
        </w:rPr>
        <w:t>l</w:t>
      </w:r>
      <w:r w:rsidRPr="00606103">
        <w:rPr>
          <w:rFonts w:asciiTheme="majorHAnsi" w:hAnsiTheme="majorHAnsi" w:cstheme="majorHAnsi"/>
          <w:sz w:val="24"/>
          <w:szCs w:val="24"/>
          <w:lang w:val="ro-MD"/>
        </w:rPr>
        <w:t xml:space="preserve"> lucrărilor pe unele contracte, lipsa capacității financiare, cât și managementul defectuos al</w:t>
      </w:r>
      <w:r w:rsidR="00A95C5A" w:rsidRPr="00606103">
        <w:rPr>
          <w:rFonts w:asciiTheme="majorHAnsi" w:hAnsiTheme="majorHAnsi" w:cstheme="majorHAnsi"/>
          <w:sz w:val="24"/>
          <w:szCs w:val="24"/>
          <w:lang w:val="ro-MD"/>
        </w:rPr>
        <w:t>e</w:t>
      </w:r>
      <w:r w:rsidRPr="00606103">
        <w:rPr>
          <w:rFonts w:asciiTheme="majorHAnsi" w:hAnsiTheme="majorHAnsi" w:cstheme="majorHAnsi"/>
          <w:sz w:val="24"/>
          <w:szCs w:val="24"/>
          <w:lang w:val="ro-MD"/>
        </w:rPr>
        <w:t xml:space="preserve"> unor antreprenori etc. </w:t>
      </w:r>
    </w:p>
    <w:p w:rsidR="0026730B" w:rsidRPr="006E4371" w:rsidRDefault="004A285A" w:rsidP="00552746">
      <w:pPr>
        <w:pStyle w:val="Heading2"/>
        <w:numPr>
          <w:ilvl w:val="1"/>
          <w:numId w:val="6"/>
        </w:numPr>
        <w:tabs>
          <w:tab w:val="left" w:pos="567"/>
        </w:tabs>
        <w:spacing w:line="276" w:lineRule="auto"/>
        <w:ind w:left="0" w:firstLine="0"/>
        <w:rPr>
          <w:rFonts w:cstheme="majorHAnsi"/>
          <w:b/>
          <w:color w:val="auto"/>
          <w:sz w:val="24"/>
          <w:szCs w:val="24"/>
          <w:lang w:val="ro-MD"/>
        </w:rPr>
      </w:pPr>
      <w:r w:rsidRPr="006E4371">
        <w:rPr>
          <w:rFonts w:cstheme="majorHAnsi"/>
          <w:b/>
          <w:color w:val="auto"/>
          <w:sz w:val="24"/>
          <w:szCs w:val="24"/>
          <w:lang w:val="ro-MD"/>
        </w:rPr>
        <w:lastRenderedPageBreak/>
        <w:t>Mijloacele financiare temporar intrate, acumulate în conturile bancare ale instituțiilor serviciului diplomatic ale RM peste hotare, prepon</w:t>
      </w:r>
      <w:r w:rsidR="002E248E" w:rsidRPr="006E4371">
        <w:rPr>
          <w:rFonts w:cstheme="majorHAnsi"/>
          <w:b/>
          <w:color w:val="auto"/>
          <w:sz w:val="24"/>
          <w:szCs w:val="24"/>
          <w:lang w:val="ro-MD"/>
        </w:rPr>
        <w:t xml:space="preserve">derent revin IP ASP, iar </w:t>
      </w:r>
      <w:r w:rsidRPr="006E4371">
        <w:rPr>
          <w:rFonts w:cstheme="majorHAnsi"/>
          <w:b/>
          <w:color w:val="auto"/>
          <w:sz w:val="24"/>
          <w:szCs w:val="24"/>
          <w:lang w:val="ro-MD"/>
        </w:rPr>
        <w:t>transferarea lor</w:t>
      </w:r>
      <w:r w:rsidR="002E248E" w:rsidRPr="006E4371">
        <w:rPr>
          <w:rFonts w:cstheme="majorHAnsi"/>
          <w:b/>
          <w:color w:val="auto"/>
          <w:sz w:val="24"/>
          <w:szCs w:val="24"/>
          <w:lang w:val="ro-MD"/>
        </w:rPr>
        <w:t xml:space="preserve"> în RM,</w:t>
      </w:r>
      <w:r w:rsidRPr="006E4371">
        <w:rPr>
          <w:rFonts w:cstheme="majorHAnsi"/>
          <w:b/>
          <w:color w:val="auto"/>
          <w:sz w:val="24"/>
          <w:szCs w:val="24"/>
          <w:lang w:val="ro-MD"/>
        </w:rPr>
        <w:t xml:space="preserve"> în c</w:t>
      </w:r>
      <w:r w:rsidR="002E248E" w:rsidRPr="006E4371">
        <w:rPr>
          <w:rFonts w:cstheme="majorHAnsi"/>
          <w:b/>
          <w:color w:val="auto"/>
          <w:sz w:val="24"/>
          <w:szCs w:val="24"/>
          <w:lang w:val="ro-MD"/>
        </w:rPr>
        <w:t xml:space="preserve">ontul veniturilor acesteia, </w:t>
      </w:r>
      <w:r w:rsidRPr="006E4371">
        <w:rPr>
          <w:rFonts w:cstheme="majorHAnsi"/>
          <w:b/>
          <w:color w:val="auto"/>
          <w:sz w:val="24"/>
          <w:szCs w:val="24"/>
          <w:lang w:val="ro-MD"/>
        </w:rPr>
        <w:t>g</w:t>
      </w:r>
      <w:r w:rsidR="002E248E" w:rsidRPr="006E4371">
        <w:rPr>
          <w:rFonts w:cstheme="majorHAnsi"/>
          <w:b/>
          <w:color w:val="auto"/>
          <w:sz w:val="24"/>
          <w:szCs w:val="24"/>
          <w:lang w:val="ro-MD"/>
        </w:rPr>
        <w:t>enerează cheltuieli suplimentare pentru</w:t>
      </w:r>
      <w:r w:rsidRPr="006E4371">
        <w:rPr>
          <w:rFonts w:cstheme="majorHAnsi"/>
          <w:b/>
          <w:color w:val="auto"/>
          <w:sz w:val="24"/>
          <w:szCs w:val="24"/>
          <w:lang w:val="ro-MD"/>
        </w:rPr>
        <w:t xml:space="preserve"> bugetul de stat</w:t>
      </w:r>
      <w:r w:rsidR="006E4371" w:rsidRPr="006E4371">
        <w:rPr>
          <w:rFonts w:cstheme="majorHAnsi"/>
          <w:b/>
          <w:color w:val="auto"/>
          <w:sz w:val="24"/>
          <w:szCs w:val="24"/>
          <w:lang w:val="ro-MD"/>
        </w:rPr>
        <w:t xml:space="preserve">, fiind necesar </w:t>
      </w:r>
      <w:r w:rsidR="002E248E" w:rsidRPr="006E4371">
        <w:rPr>
          <w:rFonts w:cstheme="majorHAnsi"/>
          <w:b/>
          <w:color w:val="auto"/>
          <w:sz w:val="24"/>
          <w:szCs w:val="24"/>
          <w:lang w:val="ro-MD"/>
        </w:rPr>
        <w:t>recuperarea acestor costuri.</w:t>
      </w:r>
    </w:p>
    <w:p w:rsidR="002674FB" w:rsidRPr="00606103" w:rsidRDefault="002674FB">
      <w:pPr>
        <w:spacing w:line="276" w:lineRule="auto"/>
        <w:rPr>
          <w:rFonts w:asciiTheme="majorHAnsi" w:hAnsiTheme="majorHAnsi"/>
          <w:sz w:val="24"/>
          <w:szCs w:val="24"/>
          <w:lang w:val="ro-MD"/>
        </w:rPr>
      </w:pPr>
      <w:r w:rsidRPr="006E4371">
        <w:rPr>
          <w:rFonts w:asciiTheme="majorHAnsi" w:hAnsiTheme="majorHAnsi"/>
          <w:sz w:val="24"/>
          <w:szCs w:val="24"/>
          <w:lang w:val="ro-MD"/>
        </w:rPr>
        <w:t>Conform datelor raportate de MAEIE,</w:t>
      </w:r>
      <w:r w:rsidR="00D6035C" w:rsidRPr="006E4371">
        <w:rPr>
          <w:rFonts w:asciiTheme="majorHAnsi" w:hAnsiTheme="majorHAnsi"/>
          <w:sz w:val="24"/>
          <w:szCs w:val="24"/>
          <w:lang w:val="ro-MD"/>
        </w:rPr>
        <w:t xml:space="preserve"> </w:t>
      </w:r>
      <w:r w:rsidRPr="006E4371">
        <w:rPr>
          <w:rFonts w:asciiTheme="majorHAnsi" w:hAnsiTheme="majorHAnsi"/>
          <w:sz w:val="24"/>
          <w:szCs w:val="24"/>
          <w:lang w:val="ro-MD"/>
        </w:rPr>
        <w:t>p</w:t>
      </w:r>
      <w:r w:rsidR="00D6035C" w:rsidRPr="006E4371">
        <w:rPr>
          <w:rFonts w:asciiTheme="majorHAnsi" w:hAnsiTheme="majorHAnsi"/>
          <w:sz w:val="24"/>
          <w:szCs w:val="24"/>
          <w:lang w:val="ro-MD"/>
        </w:rPr>
        <w:t xml:space="preserve">e parcursul anului, ca urmare a prestării serviciilor consulare, au fost încasate mijloace temporar intrate în posesia instituției în sumă de 51,7 mil.lei, </w:t>
      </w:r>
      <w:r w:rsidRPr="006E4371">
        <w:rPr>
          <w:rFonts w:asciiTheme="majorHAnsi" w:hAnsiTheme="majorHAnsi"/>
          <w:sz w:val="24"/>
          <w:szCs w:val="24"/>
          <w:lang w:val="ro-MD"/>
        </w:rPr>
        <w:t xml:space="preserve">din care în sumă de 51,3 mil.lei </w:t>
      </w:r>
      <w:r w:rsidR="00D6035C" w:rsidRPr="006E4371">
        <w:rPr>
          <w:rFonts w:asciiTheme="majorHAnsi" w:hAnsiTheme="majorHAnsi"/>
          <w:sz w:val="24"/>
          <w:szCs w:val="24"/>
          <w:lang w:val="ro-MD"/>
        </w:rPr>
        <w:t>transferate ulterior IP Agenți</w:t>
      </w:r>
      <w:r w:rsidR="0072197C" w:rsidRPr="006E4371">
        <w:rPr>
          <w:rFonts w:asciiTheme="majorHAnsi" w:hAnsiTheme="majorHAnsi"/>
          <w:sz w:val="24"/>
          <w:szCs w:val="24"/>
          <w:lang w:val="ro-MD"/>
        </w:rPr>
        <w:t>a</w:t>
      </w:r>
      <w:r w:rsidR="00D6035C" w:rsidRPr="006E4371">
        <w:rPr>
          <w:rFonts w:asciiTheme="majorHAnsi" w:hAnsiTheme="majorHAnsi"/>
          <w:sz w:val="24"/>
          <w:szCs w:val="24"/>
          <w:lang w:val="ro-MD"/>
        </w:rPr>
        <w:t xml:space="preserve"> Servicii Publice pentru serviciile de perfectare a actelor de identitate de către insti</w:t>
      </w:r>
      <w:r w:rsidRPr="006E4371">
        <w:rPr>
          <w:rFonts w:asciiTheme="majorHAnsi" w:hAnsiTheme="majorHAnsi"/>
          <w:sz w:val="24"/>
          <w:szCs w:val="24"/>
          <w:lang w:val="ro-MD"/>
        </w:rPr>
        <w:t xml:space="preserve">tuțiile serviciului diplomatic. Astfel, cheltuielile pentru serviciul curierat și comisioanele bancare sunt suportate de la bugetul de stat, auditul evidențiind necesitatea </w:t>
      </w:r>
      <w:r w:rsidR="00774E69" w:rsidRPr="006E4371">
        <w:rPr>
          <w:rFonts w:asciiTheme="majorHAnsi" w:hAnsiTheme="majorHAnsi"/>
          <w:sz w:val="24"/>
          <w:szCs w:val="24"/>
          <w:lang w:val="ro-MD"/>
        </w:rPr>
        <w:t xml:space="preserve">de </w:t>
      </w:r>
      <w:r w:rsidRPr="006E4371">
        <w:rPr>
          <w:rFonts w:asciiTheme="majorHAnsi" w:hAnsiTheme="majorHAnsi"/>
          <w:sz w:val="24"/>
          <w:szCs w:val="24"/>
          <w:lang w:val="ro-MD"/>
        </w:rPr>
        <w:t>recuperare</w:t>
      </w:r>
      <w:r w:rsidR="00774E69" w:rsidRPr="006E4371">
        <w:rPr>
          <w:rFonts w:asciiTheme="majorHAnsi" w:hAnsiTheme="majorHAnsi"/>
          <w:sz w:val="24"/>
          <w:szCs w:val="24"/>
          <w:lang w:val="ro-MD"/>
        </w:rPr>
        <w:t xml:space="preserve"> </w:t>
      </w:r>
      <w:r w:rsidR="00840008" w:rsidRPr="006E4371">
        <w:rPr>
          <w:rFonts w:asciiTheme="majorHAnsi" w:hAnsiTheme="majorHAnsi"/>
          <w:sz w:val="24"/>
          <w:szCs w:val="24"/>
          <w:lang w:val="ro-MD"/>
        </w:rPr>
        <w:t>a acestor costuri</w:t>
      </w:r>
      <w:r w:rsidRPr="006E4371">
        <w:rPr>
          <w:rFonts w:asciiTheme="majorHAnsi" w:hAnsiTheme="majorHAnsi"/>
          <w:sz w:val="24"/>
          <w:szCs w:val="24"/>
          <w:lang w:val="ro-MD"/>
        </w:rPr>
        <w:t xml:space="preserve"> la buget.</w:t>
      </w:r>
    </w:p>
    <w:p w:rsidR="000E0C22" w:rsidRPr="00606103" w:rsidRDefault="000E0C22">
      <w:pPr>
        <w:pStyle w:val="Heading2"/>
        <w:spacing w:line="276" w:lineRule="auto"/>
        <w:rPr>
          <w:rFonts w:cstheme="majorHAnsi"/>
          <w:b/>
          <w:color w:val="auto"/>
          <w:sz w:val="24"/>
          <w:szCs w:val="24"/>
          <w:lang w:val="ro-MD"/>
        </w:rPr>
      </w:pPr>
      <w:r w:rsidRPr="00606103">
        <w:rPr>
          <w:rFonts w:cstheme="majorHAnsi"/>
          <w:b/>
          <w:color w:val="auto"/>
          <w:sz w:val="24"/>
          <w:szCs w:val="24"/>
          <w:lang w:val="ro-MD"/>
        </w:rPr>
        <w:t>5.</w:t>
      </w:r>
      <w:r w:rsidR="00AF163C" w:rsidRPr="00606103">
        <w:rPr>
          <w:rFonts w:cstheme="majorHAnsi"/>
          <w:b/>
          <w:color w:val="auto"/>
          <w:sz w:val="24"/>
          <w:szCs w:val="24"/>
          <w:lang w:val="ro-MD"/>
        </w:rPr>
        <w:t>5</w:t>
      </w:r>
      <w:r w:rsidRPr="00606103">
        <w:rPr>
          <w:rFonts w:cstheme="majorHAnsi"/>
          <w:b/>
          <w:color w:val="auto"/>
          <w:sz w:val="24"/>
          <w:szCs w:val="24"/>
          <w:lang w:val="ro-MD"/>
        </w:rPr>
        <w:t>. Evidența contabilă a executării de casă a mijloacelor BS a fost asigurată potrivit prevederilor cadrului normativ, cu generarea rapoartelor t</w:t>
      </w:r>
      <w:r w:rsidR="00D96E50" w:rsidRPr="00606103">
        <w:rPr>
          <w:rFonts w:cstheme="majorHAnsi"/>
          <w:b/>
          <w:color w:val="auto"/>
          <w:sz w:val="24"/>
          <w:szCs w:val="24"/>
          <w:lang w:val="ro-MD"/>
        </w:rPr>
        <w:t>otalizatoare de către Direcția T</w:t>
      </w:r>
      <w:r w:rsidRPr="00606103">
        <w:rPr>
          <w:rFonts w:cstheme="majorHAnsi"/>
          <w:b/>
          <w:color w:val="auto"/>
          <w:sz w:val="24"/>
          <w:szCs w:val="24"/>
          <w:lang w:val="ro-MD"/>
        </w:rPr>
        <w:t xml:space="preserve">rezoreria de </w:t>
      </w:r>
      <w:r w:rsidR="00D96E50" w:rsidRPr="00606103">
        <w:rPr>
          <w:rFonts w:cstheme="majorHAnsi"/>
          <w:b/>
          <w:color w:val="auto"/>
          <w:sz w:val="24"/>
          <w:szCs w:val="24"/>
          <w:lang w:val="ro-MD"/>
        </w:rPr>
        <w:t>S</w:t>
      </w:r>
      <w:r w:rsidRPr="00606103">
        <w:rPr>
          <w:rFonts w:cstheme="majorHAnsi"/>
          <w:b/>
          <w:color w:val="auto"/>
          <w:sz w:val="24"/>
          <w:szCs w:val="24"/>
          <w:lang w:val="ro-MD"/>
        </w:rPr>
        <w:t>tat.</w:t>
      </w:r>
    </w:p>
    <w:p w:rsidR="000E0C22" w:rsidRPr="00606103" w:rsidRDefault="000E0C22">
      <w:pPr>
        <w:spacing w:line="276" w:lineRule="auto"/>
        <w:rPr>
          <w:rFonts w:asciiTheme="majorHAnsi" w:hAnsiTheme="majorHAnsi" w:cstheme="majorHAnsi"/>
          <w:sz w:val="24"/>
          <w:szCs w:val="24"/>
          <w:lang w:val="ro-MD" w:eastAsia="ru-RU"/>
        </w:rPr>
      </w:pPr>
      <w:r w:rsidRPr="00606103">
        <w:rPr>
          <w:rFonts w:asciiTheme="majorHAnsi" w:hAnsiTheme="majorHAnsi" w:cstheme="majorHAnsi"/>
          <w:sz w:val="24"/>
          <w:szCs w:val="24"/>
          <w:lang w:val="ro-MD" w:eastAsia="ru-RU"/>
        </w:rPr>
        <w:t>MF are misiunea de realizare a managementului finanțelor publice</w:t>
      </w:r>
      <w:r w:rsidRPr="00606103">
        <w:rPr>
          <w:rFonts w:asciiTheme="majorHAnsi" w:hAnsiTheme="majorHAnsi" w:cstheme="majorHAnsi"/>
          <w:sz w:val="24"/>
          <w:szCs w:val="24"/>
          <w:vertAlign w:val="superscript"/>
          <w:lang w:val="ro-MD" w:eastAsia="ru-RU"/>
        </w:rPr>
        <w:footnoteReference w:id="60"/>
      </w:r>
      <w:r w:rsidRPr="00606103">
        <w:rPr>
          <w:rFonts w:asciiTheme="majorHAnsi" w:hAnsiTheme="majorHAnsi" w:cstheme="majorHAnsi"/>
          <w:sz w:val="24"/>
          <w:szCs w:val="24"/>
          <w:lang w:val="ro-MD" w:eastAsia="ru-RU"/>
        </w:rPr>
        <w:t xml:space="preserve"> și administrează bugetul de stat. </w:t>
      </w:r>
      <w:r w:rsidRPr="00606103">
        <w:rPr>
          <w:rFonts w:asciiTheme="majorHAnsi" w:hAnsiTheme="majorHAnsi" w:cstheme="majorHAnsi"/>
          <w:sz w:val="24"/>
          <w:szCs w:val="24"/>
          <w:lang w:val="ro-MD"/>
        </w:rPr>
        <w:t>G</w:t>
      </w:r>
      <w:r w:rsidRPr="00606103">
        <w:rPr>
          <w:rFonts w:asciiTheme="majorHAnsi" w:hAnsiTheme="majorHAnsi" w:cstheme="majorHAnsi"/>
          <w:sz w:val="24"/>
          <w:szCs w:val="24"/>
          <w:lang w:val="ro-MD" w:eastAsia="ru-RU"/>
        </w:rPr>
        <w:t xml:space="preserve">estionarea mijloacelor BS se efectuează prin contul unic trezorerial, deschis în sistemul de evidență contabilă al BNM. </w:t>
      </w:r>
      <w:r w:rsidRPr="00606103">
        <w:rPr>
          <w:rFonts w:asciiTheme="majorHAnsi" w:hAnsiTheme="majorHAnsi" w:cstheme="majorHAnsi"/>
          <w:sz w:val="24"/>
          <w:szCs w:val="24"/>
          <w:lang w:val="ro-MD"/>
        </w:rPr>
        <w:t>Conform art.63 din Legea nr.181 din 25.07.2014, încasările și plățile BS se efectuează prin sistemul trezorerial conform metodei de casă.</w:t>
      </w:r>
      <w:r w:rsidRPr="00606103">
        <w:rPr>
          <w:rFonts w:asciiTheme="majorHAnsi" w:hAnsiTheme="majorHAnsi" w:cstheme="majorHAnsi"/>
          <w:sz w:val="24"/>
          <w:szCs w:val="24"/>
          <w:lang w:val="ro-MD" w:eastAsia="ru-RU"/>
        </w:rPr>
        <w:t xml:space="preserve"> Datele privind indicii bugetari aprobați și precizați la venituri, cheltuieli și sursele de finanțare, executarea de casă a veniturilor și cheltuielilor sunt date agregate din sistemul de evidență trezorerială al MF, iar ceilalți indici se includ ca rezultat al consolidării datelor rapoartelor financiare prezentate de către autoritățile/instituțiile bugetare, responsabilitatea pentru corectitudinea și veridicitatea datelor revenindu-le acestora.</w:t>
      </w:r>
    </w:p>
    <w:p w:rsidR="000E0C22" w:rsidRPr="00606103" w:rsidRDefault="000E0C22">
      <w:pPr>
        <w:spacing w:line="276" w:lineRule="auto"/>
        <w:rPr>
          <w:rFonts w:asciiTheme="majorHAnsi" w:eastAsiaTheme="minorEastAsia" w:hAnsiTheme="majorHAnsi" w:cstheme="majorHAnsi"/>
          <w:bCs/>
          <w:iCs/>
          <w:sz w:val="24"/>
          <w:szCs w:val="24"/>
          <w:lang w:val="ro-MD" w:eastAsia="ru-RU"/>
        </w:rPr>
      </w:pPr>
      <w:r w:rsidRPr="00606103">
        <w:rPr>
          <w:rFonts w:asciiTheme="majorHAnsi" w:hAnsiTheme="majorHAnsi" w:cstheme="majorHAnsi"/>
          <w:sz w:val="24"/>
          <w:szCs w:val="24"/>
          <w:lang w:val="ro-MD"/>
        </w:rPr>
        <w:t xml:space="preserve">Fiecare </w:t>
      </w:r>
      <w:r w:rsidR="002D145E" w:rsidRPr="00606103">
        <w:rPr>
          <w:rFonts w:asciiTheme="majorHAnsi" w:hAnsiTheme="majorHAnsi" w:cstheme="majorHAnsi"/>
          <w:sz w:val="24"/>
          <w:szCs w:val="24"/>
          <w:lang w:val="ro-MD"/>
        </w:rPr>
        <w:t>t</w:t>
      </w:r>
      <w:r w:rsidRPr="00606103">
        <w:rPr>
          <w:rFonts w:asciiTheme="majorHAnsi" w:hAnsiTheme="majorHAnsi" w:cstheme="majorHAnsi"/>
          <w:sz w:val="24"/>
          <w:szCs w:val="24"/>
          <w:lang w:val="ro-MD"/>
        </w:rPr>
        <w:t xml:space="preserve">rezorerie </w:t>
      </w:r>
      <w:r w:rsidR="002D145E" w:rsidRPr="00606103">
        <w:rPr>
          <w:rFonts w:asciiTheme="majorHAnsi" w:hAnsiTheme="majorHAnsi" w:cstheme="majorHAnsi"/>
          <w:sz w:val="24"/>
          <w:szCs w:val="24"/>
          <w:lang w:val="ro-MD"/>
        </w:rPr>
        <w:t>r</w:t>
      </w:r>
      <w:r w:rsidRPr="00606103">
        <w:rPr>
          <w:rFonts w:asciiTheme="majorHAnsi" w:hAnsiTheme="majorHAnsi" w:cstheme="majorHAnsi"/>
          <w:sz w:val="24"/>
          <w:szCs w:val="24"/>
          <w:lang w:val="ro-MD"/>
        </w:rPr>
        <w:t xml:space="preserve">egională ține separat evidența contabilă a executării de casă a BS, bugetelor locale și mijloacelor extrabugetare, iar Direcția Trezoreria de Stat – pentru operațiunile de la „Acțiuni generale” și alte operațiuni centralizate. </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 xml:space="preserve">Astfel, în baza datelor evidenței contabile pe fiecare cont bancar, Direcția Trezoreria de Stat și </w:t>
      </w:r>
      <w:r w:rsidR="002D145E" w:rsidRPr="00606103">
        <w:rPr>
          <w:rFonts w:asciiTheme="majorHAnsi" w:hAnsiTheme="majorHAnsi" w:cstheme="majorHAnsi"/>
          <w:sz w:val="24"/>
          <w:szCs w:val="24"/>
          <w:lang w:val="ro-MD"/>
        </w:rPr>
        <w:t>t</w:t>
      </w:r>
      <w:r w:rsidRPr="00606103">
        <w:rPr>
          <w:rFonts w:asciiTheme="majorHAnsi" w:hAnsiTheme="majorHAnsi" w:cstheme="majorHAnsi"/>
          <w:sz w:val="24"/>
          <w:szCs w:val="24"/>
          <w:lang w:val="ro-MD"/>
        </w:rPr>
        <w:t>rezoreriile regionale formează rapoarte privind executarea BS și a bugetelor locale: Raportul privind executarea BS conform clasificației economice (Form</w:t>
      </w:r>
      <w:r w:rsidR="00EF6F00" w:rsidRPr="00606103">
        <w:rPr>
          <w:rFonts w:asciiTheme="majorHAnsi" w:hAnsiTheme="majorHAnsi" w:cstheme="majorHAnsi"/>
          <w:sz w:val="24"/>
          <w:szCs w:val="24"/>
          <w:lang w:val="ro-MD"/>
        </w:rPr>
        <w:t>ularul</w:t>
      </w:r>
      <w:r w:rsidRPr="00606103">
        <w:rPr>
          <w:rFonts w:asciiTheme="majorHAnsi" w:hAnsiTheme="majorHAnsi" w:cstheme="majorHAnsi"/>
          <w:sz w:val="24"/>
          <w:szCs w:val="24"/>
          <w:lang w:val="ro-MD"/>
        </w:rPr>
        <w:t xml:space="preserve"> FE-009), Balanța de verificare și Bilanțul contabil (Form</w:t>
      </w:r>
      <w:r w:rsidR="00EF6F00" w:rsidRPr="00606103">
        <w:rPr>
          <w:rFonts w:asciiTheme="majorHAnsi" w:hAnsiTheme="majorHAnsi" w:cstheme="majorHAnsi"/>
          <w:sz w:val="24"/>
          <w:szCs w:val="24"/>
          <w:lang w:val="ro-MD"/>
        </w:rPr>
        <w:t>ularul</w:t>
      </w:r>
      <w:r w:rsidRPr="00606103">
        <w:rPr>
          <w:rFonts w:asciiTheme="majorHAnsi" w:hAnsiTheme="majorHAnsi" w:cstheme="majorHAnsi"/>
          <w:sz w:val="24"/>
          <w:szCs w:val="24"/>
          <w:lang w:val="ro-MD"/>
        </w:rPr>
        <w:t xml:space="preserve"> FE-022) pe fiecare raion separat, în baza cărora se consolidează </w:t>
      </w:r>
      <w:r w:rsidRPr="00606103">
        <w:rPr>
          <w:rFonts w:asciiTheme="majorHAnsi" w:hAnsiTheme="majorHAnsi" w:cstheme="majorHAnsi"/>
          <w:i/>
          <w:sz w:val="24"/>
          <w:szCs w:val="24"/>
          <w:lang w:val="ro-MD"/>
        </w:rPr>
        <w:t>Raportul</w:t>
      </w:r>
      <w:r w:rsidRPr="00606103">
        <w:rPr>
          <w:rFonts w:asciiTheme="majorHAnsi" w:hAnsiTheme="majorHAnsi" w:cstheme="majorHAnsi"/>
          <w:bCs/>
          <w:i/>
          <w:sz w:val="24"/>
          <w:szCs w:val="24"/>
          <w:lang w:val="ro-MD"/>
        </w:rPr>
        <w:t xml:space="preserve"> Guvernului privind executarea bugetului de stat. </w:t>
      </w:r>
      <w:r w:rsidRPr="00606103">
        <w:rPr>
          <w:rFonts w:asciiTheme="majorHAnsi" w:hAnsiTheme="majorHAnsi" w:cstheme="majorHAnsi"/>
          <w:sz w:val="24"/>
          <w:szCs w:val="24"/>
          <w:lang w:val="ro-MD"/>
        </w:rPr>
        <w:t xml:space="preserve">Direcția Trezoreria de Stat verifică și generează rapoartele </w:t>
      </w:r>
      <w:r w:rsidR="002D145E" w:rsidRPr="00606103">
        <w:rPr>
          <w:rFonts w:asciiTheme="majorHAnsi" w:hAnsiTheme="majorHAnsi" w:cstheme="majorHAnsi"/>
          <w:sz w:val="24"/>
          <w:szCs w:val="24"/>
          <w:lang w:val="ro-MD"/>
        </w:rPr>
        <w:t>t</w:t>
      </w:r>
      <w:r w:rsidRPr="00606103">
        <w:rPr>
          <w:rFonts w:asciiTheme="majorHAnsi" w:hAnsiTheme="majorHAnsi" w:cstheme="majorHAnsi"/>
          <w:sz w:val="24"/>
          <w:szCs w:val="24"/>
          <w:lang w:val="ro-MD"/>
        </w:rPr>
        <w:t>rezoreriilor regionale prin intermediul sistemului informațional.</w:t>
      </w:r>
    </w:p>
    <w:p w:rsidR="000E0C22" w:rsidRPr="00606103" w:rsidRDefault="002D145E">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Pe</w:t>
      </w:r>
      <w:r w:rsidR="000E0C22" w:rsidRPr="00606103">
        <w:rPr>
          <w:rFonts w:asciiTheme="majorHAnsi" w:hAnsiTheme="majorHAnsi" w:cstheme="majorHAnsi"/>
          <w:sz w:val="24"/>
          <w:szCs w:val="24"/>
          <w:lang w:val="ro-MD"/>
        </w:rPr>
        <w:t>ntru implementarea recomandării HCC nr.30 din 28.06.2021, în sistemul informațional Trez2 a fost asigurată funcționalitatea de generare a Registrelor de evidență contabilă generalizate</w:t>
      </w:r>
      <w:r w:rsidRPr="00606103">
        <w:rPr>
          <w:rFonts w:asciiTheme="majorHAnsi" w:hAnsiTheme="majorHAnsi" w:cstheme="majorHAnsi"/>
          <w:sz w:val="24"/>
          <w:szCs w:val="24"/>
          <w:lang w:val="ro-MD"/>
        </w:rPr>
        <w:t>,</w:t>
      </w:r>
      <w:r w:rsidR="000E0C22" w:rsidRPr="00606103">
        <w:rPr>
          <w:rFonts w:asciiTheme="majorHAnsi" w:hAnsiTheme="majorHAnsi" w:cstheme="majorHAnsi"/>
          <w:sz w:val="24"/>
          <w:szCs w:val="24"/>
          <w:lang w:val="ro-MD"/>
        </w:rPr>
        <w:t xml:space="preserve"> precum și a Registrului operațiunilor de închidere a anului bugetar generalizat în baza Notelor contabile și altor informații contabile. Astfel, în anul 2021 Direcția Trezoreria de Stat a întocmit registrele evidenței contabile a executării de casă a BS la nivel generalizat. </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 xml:space="preserve">La reconcilierea datelor din Rapoartele generalizate de către Direcția Trezoreria de Stat privind evidența contabilă a executării de casă a mijloacelor BS, auditul nu a identificat divergențe. </w:t>
      </w:r>
      <w:r w:rsidRPr="00606103">
        <w:rPr>
          <w:rFonts w:asciiTheme="majorHAnsi" w:hAnsiTheme="majorHAnsi" w:cstheme="majorHAnsi"/>
          <w:color w:val="000000"/>
          <w:sz w:val="24"/>
          <w:szCs w:val="24"/>
          <w:shd w:val="clear" w:color="auto" w:fill="FFFFFF"/>
          <w:lang w:val="ro-MD"/>
        </w:rPr>
        <w:t xml:space="preserve">Totodată, </w:t>
      </w:r>
      <w:r w:rsidRPr="00606103">
        <w:rPr>
          <w:rFonts w:asciiTheme="majorHAnsi" w:hAnsiTheme="majorHAnsi" w:cstheme="majorHAnsi"/>
          <w:color w:val="000000"/>
          <w:sz w:val="24"/>
          <w:szCs w:val="24"/>
          <w:shd w:val="clear" w:color="auto" w:fill="FFFFFF"/>
          <w:lang w:val="ro-MD"/>
        </w:rPr>
        <w:lastRenderedPageBreak/>
        <w:t xml:space="preserve">se menționează că </w:t>
      </w:r>
      <w:r w:rsidRPr="00606103">
        <w:rPr>
          <w:rFonts w:asciiTheme="majorHAnsi" w:hAnsiTheme="majorHAnsi" w:cstheme="majorHAnsi"/>
          <w:sz w:val="24"/>
          <w:szCs w:val="24"/>
          <w:lang w:val="ro-MD"/>
        </w:rPr>
        <w:t xml:space="preserve">Cartea </w:t>
      </w:r>
      <w:r w:rsidR="002D145E" w:rsidRPr="00606103">
        <w:rPr>
          <w:rFonts w:asciiTheme="majorHAnsi" w:hAnsiTheme="majorHAnsi" w:cstheme="majorHAnsi"/>
          <w:sz w:val="24"/>
          <w:szCs w:val="24"/>
          <w:lang w:val="ro-MD"/>
        </w:rPr>
        <w:t>m</w:t>
      </w:r>
      <w:r w:rsidRPr="00606103">
        <w:rPr>
          <w:rFonts w:asciiTheme="majorHAnsi" w:hAnsiTheme="majorHAnsi" w:cstheme="majorHAnsi"/>
          <w:sz w:val="24"/>
          <w:szCs w:val="24"/>
          <w:lang w:val="ro-MD"/>
        </w:rPr>
        <w:t xml:space="preserve">are anuală nu a putut fi </w:t>
      </w:r>
      <w:r w:rsidRPr="00606103">
        <w:rPr>
          <w:rFonts w:asciiTheme="majorHAnsi" w:hAnsiTheme="majorHAnsi" w:cstheme="majorHAnsi"/>
          <w:color w:val="000000"/>
          <w:sz w:val="24"/>
          <w:szCs w:val="24"/>
          <w:shd w:val="clear" w:color="auto" w:fill="FFFFFF"/>
          <w:lang w:val="ro-MD"/>
        </w:rPr>
        <w:t xml:space="preserve">generată </w:t>
      </w:r>
      <w:r w:rsidRPr="00606103">
        <w:rPr>
          <w:rFonts w:asciiTheme="majorHAnsi" w:hAnsiTheme="majorHAnsi" w:cstheme="majorHAnsi"/>
          <w:sz w:val="24"/>
          <w:szCs w:val="24"/>
          <w:lang w:val="ro-MD"/>
        </w:rPr>
        <w:t>și imprimată</w:t>
      </w:r>
      <w:r w:rsidR="002D145E" w:rsidRPr="00606103">
        <w:rPr>
          <w:rFonts w:asciiTheme="majorHAnsi" w:hAnsiTheme="majorHAnsi" w:cstheme="majorHAnsi"/>
          <w:sz w:val="24"/>
          <w:szCs w:val="24"/>
          <w:lang w:val="ro-MD"/>
        </w:rPr>
        <w:t xml:space="preserve"> </w:t>
      </w:r>
      <w:r w:rsidR="002D145E" w:rsidRPr="00606103">
        <w:rPr>
          <w:rFonts w:asciiTheme="majorHAnsi" w:hAnsiTheme="majorHAnsi" w:cstheme="majorHAnsi"/>
          <w:color w:val="000000"/>
          <w:sz w:val="24"/>
          <w:szCs w:val="24"/>
          <w:shd w:val="clear" w:color="auto" w:fill="FFFFFF"/>
          <w:lang w:val="ro-MD"/>
        </w:rPr>
        <w:t>din SI</w:t>
      </w:r>
      <w:r w:rsidR="002D145E" w:rsidRPr="00606103">
        <w:rPr>
          <w:rStyle w:val="FootnoteReference"/>
          <w:rFonts w:asciiTheme="majorHAnsi" w:hAnsiTheme="majorHAnsi" w:cstheme="majorHAnsi"/>
          <w:sz w:val="24"/>
          <w:szCs w:val="24"/>
          <w:lang w:val="ro-MD"/>
        </w:rPr>
        <w:t xml:space="preserve"> </w:t>
      </w:r>
      <w:r w:rsidRPr="00606103">
        <w:rPr>
          <w:rStyle w:val="FootnoteReference"/>
          <w:rFonts w:asciiTheme="majorHAnsi" w:hAnsiTheme="majorHAnsi" w:cstheme="majorHAnsi"/>
          <w:sz w:val="24"/>
          <w:szCs w:val="24"/>
          <w:lang w:val="ro-MD"/>
        </w:rPr>
        <w:footnoteReference w:id="61"/>
      </w:r>
      <w:r w:rsidRPr="00606103">
        <w:rPr>
          <w:rFonts w:asciiTheme="majorHAnsi" w:hAnsiTheme="majorHAnsi" w:cstheme="majorHAnsi"/>
          <w:sz w:val="24"/>
          <w:szCs w:val="24"/>
          <w:lang w:val="ro-MD"/>
        </w:rPr>
        <w:t>, din cauza capacității mari de informație, fiind prezentată doar pe luni, ministerul urmând a identifica soluțiile de remediere a acestor circumstanțe.</w:t>
      </w:r>
    </w:p>
    <w:p w:rsidR="001B020B" w:rsidRPr="00606103" w:rsidRDefault="00BB77EF" w:rsidP="00980E13">
      <w:pPr>
        <w:spacing w:after="0" w:line="276" w:lineRule="auto"/>
        <w:rPr>
          <w:rFonts w:ascii="Calibri Light" w:eastAsia="Calibri" w:hAnsi="Calibri Light" w:cs="Calibri Light"/>
          <w:i/>
          <w:iCs/>
          <w:sz w:val="24"/>
          <w:szCs w:val="24"/>
          <w:lang w:val="ro-MD"/>
        </w:rPr>
      </w:pPr>
      <w:r w:rsidRPr="00606103">
        <w:rPr>
          <w:rFonts w:ascii="Calibri Light" w:eastAsia="Calibri" w:hAnsi="Calibri Light" w:cs="Calibri Light"/>
          <w:b/>
          <w:bCs/>
          <w:i/>
          <w:iCs/>
          <w:sz w:val="24"/>
          <w:szCs w:val="24"/>
          <w:lang w:val="ro-MD"/>
        </w:rPr>
        <w:t>*Notă:</w:t>
      </w:r>
      <w:r w:rsidRPr="00606103">
        <w:rPr>
          <w:rFonts w:ascii="Calibri Light" w:eastAsia="Calibri" w:hAnsi="Calibri Light" w:cs="Calibri Light"/>
          <w:i/>
          <w:iCs/>
          <w:sz w:val="24"/>
          <w:szCs w:val="24"/>
          <w:lang w:val="ro-MD"/>
        </w:rPr>
        <w:t xml:space="preserve"> La data de 19.05.2022, </w:t>
      </w:r>
      <w:r w:rsidR="00C34645" w:rsidRPr="00606103">
        <w:rPr>
          <w:rFonts w:ascii="Calibri Light" w:eastAsia="Calibri" w:hAnsi="Calibri Light" w:cs="Calibri Light"/>
          <w:i/>
          <w:iCs/>
          <w:sz w:val="24"/>
          <w:szCs w:val="24"/>
          <w:lang w:val="ro-MD"/>
        </w:rPr>
        <w:t xml:space="preserve">Direcția Trezoreria de Stat a prezentat echipei de audit Cartea </w:t>
      </w:r>
      <w:r w:rsidR="0072197C" w:rsidRPr="00606103">
        <w:rPr>
          <w:rFonts w:ascii="Calibri Light" w:eastAsia="Calibri" w:hAnsi="Calibri Light" w:cs="Calibri Light"/>
          <w:i/>
          <w:iCs/>
          <w:sz w:val="24"/>
          <w:szCs w:val="24"/>
          <w:lang w:val="ro-MD"/>
        </w:rPr>
        <w:t>m</w:t>
      </w:r>
      <w:r w:rsidR="00C34645" w:rsidRPr="00606103">
        <w:rPr>
          <w:rFonts w:ascii="Calibri Light" w:eastAsia="Calibri" w:hAnsi="Calibri Light" w:cs="Calibri Light"/>
          <w:i/>
          <w:iCs/>
          <w:sz w:val="24"/>
          <w:szCs w:val="24"/>
          <w:lang w:val="ro-MD"/>
        </w:rPr>
        <w:t>are anuală în format electroni</w:t>
      </w:r>
      <w:r w:rsidR="0072197C" w:rsidRPr="00606103">
        <w:rPr>
          <w:rFonts w:ascii="Calibri Light" w:eastAsia="Calibri" w:hAnsi="Calibri Light" w:cs="Calibri Light"/>
          <w:i/>
          <w:iCs/>
          <w:sz w:val="24"/>
          <w:szCs w:val="24"/>
          <w:lang w:val="ro-MD"/>
        </w:rPr>
        <w:t>c,</w:t>
      </w:r>
      <w:r w:rsidR="00C34645" w:rsidRPr="00606103">
        <w:rPr>
          <w:rFonts w:ascii="Calibri Light" w:eastAsia="Calibri" w:hAnsi="Calibri Light" w:cs="Calibri Light"/>
          <w:i/>
          <w:iCs/>
          <w:sz w:val="24"/>
          <w:szCs w:val="24"/>
          <w:lang w:val="ro-MD"/>
        </w:rPr>
        <w:t xml:space="preserve"> </w:t>
      </w:r>
      <w:r w:rsidR="0072197C" w:rsidRPr="00606103">
        <w:rPr>
          <w:rFonts w:ascii="Calibri Light" w:eastAsia="Calibri" w:hAnsi="Calibri Light" w:cs="Calibri Light"/>
          <w:i/>
          <w:iCs/>
          <w:sz w:val="24"/>
          <w:szCs w:val="24"/>
          <w:lang w:val="ro-MD"/>
        </w:rPr>
        <w:t>a</w:t>
      </w:r>
      <w:r w:rsidR="00C34645" w:rsidRPr="00606103">
        <w:rPr>
          <w:rFonts w:ascii="Calibri Light" w:eastAsia="Calibri" w:hAnsi="Calibri Light" w:cs="Calibri Light"/>
          <w:i/>
          <w:iCs/>
          <w:sz w:val="24"/>
          <w:szCs w:val="24"/>
          <w:lang w:val="ro-MD"/>
        </w:rPr>
        <w:t xml:space="preserve">stfel fiind </w:t>
      </w:r>
      <w:r w:rsidR="00DC7E60" w:rsidRPr="00606103">
        <w:rPr>
          <w:rFonts w:ascii="Calibri Light" w:eastAsia="Calibri" w:hAnsi="Calibri Light" w:cs="Calibri Light"/>
          <w:i/>
          <w:iCs/>
          <w:sz w:val="24"/>
          <w:szCs w:val="24"/>
          <w:lang w:val="ro-MD"/>
        </w:rPr>
        <w:t xml:space="preserve">remediate </w:t>
      </w:r>
      <w:r w:rsidR="00C34645" w:rsidRPr="00606103">
        <w:rPr>
          <w:rFonts w:ascii="Calibri Light" w:eastAsia="Calibri" w:hAnsi="Calibri Light" w:cs="Calibri Light"/>
          <w:i/>
          <w:iCs/>
          <w:sz w:val="24"/>
          <w:szCs w:val="24"/>
          <w:lang w:val="ro-MD"/>
        </w:rPr>
        <w:t xml:space="preserve">deficiențele privind generarea acesteia din sistem. </w:t>
      </w:r>
      <w:r w:rsidR="001B020B" w:rsidRPr="00606103">
        <w:rPr>
          <w:rFonts w:ascii="Calibri Light" w:eastAsia="Calibri" w:hAnsi="Calibri Light" w:cs="Calibri Light"/>
          <w:i/>
          <w:iCs/>
          <w:sz w:val="24"/>
          <w:szCs w:val="24"/>
          <w:lang w:val="ro-MD"/>
        </w:rPr>
        <w:t xml:space="preserve"> </w:t>
      </w:r>
    </w:p>
    <w:p w:rsidR="00980E13" w:rsidRPr="00606103" w:rsidRDefault="00980E13" w:rsidP="00980E13">
      <w:pPr>
        <w:spacing w:after="0" w:line="276" w:lineRule="auto"/>
        <w:rPr>
          <w:rFonts w:ascii="Calibri Light" w:eastAsia="Calibri" w:hAnsi="Calibri Light" w:cs="Calibri Light"/>
          <w:i/>
          <w:iCs/>
          <w:sz w:val="24"/>
          <w:szCs w:val="24"/>
          <w:lang w:val="ro-MD"/>
        </w:rPr>
      </w:pPr>
    </w:p>
    <w:p w:rsidR="000E0C22" w:rsidRPr="00606103" w:rsidRDefault="000E0C22" w:rsidP="00FE3F3B">
      <w:pPr>
        <w:spacing w:line="276" w:lineRule="auto"/>
        <w:rPr>
          <w:rFonts w:asciiTheme="majorHAnsi" w:hAnsiTheme="majorHAnsi" w:cstheme="majorHAnsi"/>
          <w:iCs/>
          <w:sz w:val="24"/>
          <w:szCs w:val="24"/>
          <w:lang w:val="ro-MD"/>
        </w:rPr>
      </w:pPr>
      <w:r w:rsidRPr="00606103">
        <w:rPr>
          <w:rFonts w:asciiTheme="majorHAnsi" w:hAnsiTheme="majorHAnsi" w:cstheme="majorHAnsi"/>
          <w:iCs/>
          <w:sz w:val="24"/>
          <w:szCs w:val="24"/>
          <w:lang w:val="ro-MD"/>
        </w:rPr>
        <w:t>Totodată, verificările auditului asupra documentelor contabile prezentate de către Direcția Trezoreria de Stat au constatat că rulajele din extrasele bancare nu corespund cu borderourile ordinelor de plată</w:t>
      </w:r>
      <w:r w:rsidR="00792DB0" w:rsidRPr="00606103">
        <w:rPr>
          <w:rFonts w:asciiTheme="majorHAnsi" w:hAnsiTheme="majorHAnsi" w:cstheme="majorHAnsi"/>
          <w:iCs/>
          <w:sz w:val="24"/>
          <w:szCs w:val="24"/>
          <w:lang w:val="ro-MD"/>
        </w:rPr>
        <w:t xml:space="preserve"> și</w:t>
      </w:r>
      <w:r w:rsidRPr="00606103">
        <w:rPr>
          <w:rFonts w:asciiTheme="majorHAnsi" w:hAnsiTheme="majorHAnsi" w:cstheme="majorHAnsi"/>
          <w:iCs/>
          <w:sz w:val="24"/>
          <w:szCs w:val="24"/>
          <w:lang w:val="ro-MD"/>
        </w:rPr>
        <w:t xml:space="preserve"> cu sumele executate zilnic la emisiunile VMS.</w:t>
      </w:r>
    </w:p>
    <w:p w:rsidR="000E0C22" w:rsidRPr="00606103" w:rsidRDefault="000E0C22" w:rsidP="00FE3F3B">
      <w:pPr>
        <w:spacing w:line="276" w:lineRule="auto"/>
        <w:rPr>
          <w:rFonts w:asciiTheme="majorHAnsi" w:hAnsiTheme="majorHAnsi" w:cstheme="majorHAnsi"/>
          <w:iCs/>
          <w:sz w:val="24"/>
          <w:szCs w:val="24"/>
          <w:lang w:val="ro-MD"/>
        </w:rPr>
      </w:pPr>
      <w:r w:rsidRPr="00606103">
        <w:rPr>
          <w:rFonts w:asciiTheme="majorHAnsi" w:hAnsiTheme="majorHAnsi" w:cstheme="majorHAnsi"/>
          <w:iCs/>
          <w:sz w:val="24"/>
          <w:szCs w:val="24"/>
          <w:lang w:val="ro-MD"/>
        </w:rPr>
        <w:t xml:space="preserve">Potrivit explicațiilor MF, pentru emisiunea VMS este deschis </w:t>
      </w:r>
      <w:r w:rsidR="00792DB0" w:rsidRPr="00606103">
        <w:rPr>
          <w:rFonts w:asciiTheme="majorHAnsi" w:hAnsiTheme="majorHAnsi" w:cstheme="majorHAnsi"/>
          <w:iCs/>
          <w:sz w:val="24"/>
          <w:szCs w:val="24"/>
          <w:lang w:val="ro-MD"/>
        </w:rPr>
        <w:t xml:space="preserve">un </w:t>
      </w:r>
      <w:r w:rsidRPr="00606103">
        <w:rPr>
          <w:rFonts w:asciiTheme="majorHAnsi" w:hAnsiTheme="majorHAnsi" w:cstheme="majorHAnsi"/>
          <w:iCs/>
          <w:sz w:val="24"/>
          <w:szCs w:val="24"/>
          <w:lang w:val="ro-MD"/>
        </w:rPr>
        <w:t>cont bancar intermediar separat, care la finele anului bugetar</w:t>
      </w:r>
      <w:r w:rsidR="002B0D0A" w:rsidRPr="00606103">
        <w:rPr>
          <w:rFonts w:asciiTheme="majorHAnsi" w:hAnsiTheme="majorHAnsi" w:cstheme="majorHAnsi"/>
          <w:iCs/>
          <w:sz w:val="24"/>
          <w:szCs w:val="24"/>
          <w:lang w:val="ro-MD"/>
        </w:rPr>
        <w:t>, inclusiv la finele zilei,</w:t>
      </w:r>
      <w:r w:rsidRPr="00606103">
        <w:rPr>
          <w:rFonts w:asciiTheme="majorHAnsi" w:hAnsiTheme="majorHAnsi" w:cstheme="majorHAnsi"/>
          <w:iCs/>
          <w:sz w:val="24"/>
          <w:szCs w:val="24"/>
          <w:lang w:val="ro-MD"/>
        </w:rPr>
        <w:t xml:space="preserve"> se închide, auditului fiindu-i prezentat extrasul din 31.12.2021 cu soldul „zero”.</w:t>
      </w:r>
    </w:p>
    <w:p w:rsidR="000E0C22" w:rsidRPr="00606103" w:rsidRDefault="00AF163C">
      <w:pPr>
        <w:pStyle w:val="Heading2"/>
        <w:spacing w:line="276" w:lineRule="auto"/>
        <w:rPr>
          <w:rFonts w:cstheme="majorHAnsi"/>
          <w:b/>
          <w:color w:val="auto"/>
          <w:sz w:val="24"/>
          <w:szCs w:val="24"/>
          <w:lang w:val="ro-MD"/>
        </w:rPr>
      </w:pPr>
      <w:r w:rsidRPr="00606103">
        <w:rPr>
          <w:rFonts w:cstheme="majorHAnsi"/>
          <w:b/>
          <w:color w:val="auto"/>
          <w:sz w:val="24"/>
          <w:szCs w:val="24"/>
          <w:lang w:val="ro-MD"/>
        </w:rPr>
        <w:t>5.6</w:t>
      </w:r>
      <w:r w:rsidR="000E0C22" w:rsidRPr="00606103">
        <w:rPr>
          <w:rFonts w:cstheme="majorHAnsi"/>
          <w:b/>
          <w:color w:val="auto"/>
          <w:sz w:val="24"/>
          <w:szCs w:val="24"/>
          <w:lang w:val="ro-MD"/>
        </w:rPr>
        <w:t>. Se atestă rezer</w:t>
      </w:r>
      <w:r w:rsidR="003F7E81" w:rsidRPr="00606103">
        <w:rPr>
          <w:rFonts w:cstheme="majorHAnsi"/>
          <w:b/>
          <w:color w:val="auto"/>
          <w:sz w:val="24"/>
          <w:szCs w:val="24"/>
          <w:lang w:val="ro-MD"/>
        </w:rPr>
        <w:t xml:space="preserve">ve la planificarea limitelor de </w:t>
      </w:r>
      <w:r w:rsidR="000E0C22" w:rsidRPr="00606103">
        <w:rPr>
          <w:rFonts w:cstheme="majorHAnsi"/>
          <w:b/>
          <w:color w:val="auto"/>
          <w:sz w:val="24"/>
          <w:szCs w:val="24"/>
          <w:lang w:val="ro-MD"/>
        </w:rPr>
        <w:t>cheltuieli pentru implementarea sistemului unitar de salarizare în sectorul bugetar.</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 xml:space="preserve">Potrivit Anexei nr.5 la Legea BS pentru anul 2021, au fost aprobate inițial cheltuieli de personal pentru 42 APC în sumă de 7 673,6 mil. lei, estimate pentru </w:t>
      </w:r>
      <w:r w:rsidR="002F2E1F" w:rsidRPr="00606103">
        <w:rPr>
          <w:rFonts w:asciiTheme="majorHAnsi" w:hAnsiTheme="majorHAnsi" w:cstheme="majorHAnsi"/>
          <w:sz w:val="24"/>
          <w:szCs w:val="24"/>
          <w:lang w:val="ro-MD"/>
        </w:rPr>
        <w:t>51</w:t>
      </w:r>
      <w:r w:rsidR="0072197C" w:rsidRPr="00606103">
        <w:rPr>
          <w:rFonts w:asciiTheme="majorHAnsi" w:hAnsiTheme="majorHAnsi" w:cstheme="majorHAnsi"/>
          <w:sz w:val="24"/>
          <w:szCs w:val="24"/>
          <w:lang w:val="ro-MD"/>
        </w:rPr>
        <w:t xml:space="preserve"> </w:t>
      </w:r>
      <w:r w:rsidR="002F2E1F" w:rsidRPr="00606103">
        <w:rPr>
          <w:rFonts w:asciiTheme="majorHAnsi" w:hAnsiTheme="majorHAnsi" w:cstheme="majorHAnsi"/>
          <w:sz w:val="24"/>
          <w:szCs w:val="24"/>
          <w:lang w:val="ro-MD"/>
        </w:rPr>
        <w:t xml:space="preserve">014 </w:t>
      </w:r>
      <w:r w:rsidRPr="00606103">
        <w:rPr>
          <w:rFonts w:asciiTheme="majorHAnsi" w:hAnsiTheme="majorHAnsi" w:cstheme="majorHAnsi"/>
          <w:sz w:val="24"/>
          <w:szCs w:val="24"/>
          <w:lang w:val="ro-MD"/>
        </w:rPr>
        <w:t xml:space="preserve">unități de personal. </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Ulterior, au fost majorate cu 414,1 mil. lei (8 087,7 mil. lei) și aprobate alocații suplimentare în contul 0799 „Acțiuni generale” în sumă de 170,0 mil. lei, modificările respective fiind argumentate precum că unele autorități continuă să solicite alocări suplimentare de mijloace financiare pentru acope</w:t>
      </w:r>
      <w:r w:rsidR="003F7E81" w:rsidRPr="00606103">
        <w:rPr>
          <w:rFonts w:asciiTheme="majorHAnsi" w:hAnsiTheme="majorHAnsi" w:cstheme="majorHAnsi"/>
          <w:sz w:val="24"/>
          <w:szCs w:val="24"/>
          <w:lang w:val="ro-MD"/>
        </w:rPr>
        <w:t xml:space="preserve">rirea insuficienței de resurse </w:t>
      </w:r>
      <w:r w:rsidRPr="00606103">
        <w:rPr>
          <w:rFonts w:asciiTheme="majorHAnsi" w:hAnsiTheme="majorHAnsi" w:cstheme="majorHAnsi"/>
          <w:sz w:val="24"/>
          <w:szCs w:val="24"/>
          <w:lang w:val="ro-MD"/>
        </w:rPr>
        <w:t>la cheltuieli de personal.</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Conform cadrului regulamentar</w:t>
      </w:r>
      <w:r w:rsidRPr="00606103">
        <w:rPr>
          <w:rStyle w:val="FootnoteReference"/>
          <w:rFonts w:asciiTheme="majorHAnsi" w:eastAsia="Times New Roman" w:hAnsiTheme="majorHAnsi" w:cstheme="majorHAnsi"/>
          <w:sz w:val="24"/>
          <w:szCs w:val="24"/>
          <w:lang w:val="ro-MD"/>
        </w:rPr>
        <w:footnoteReference w:id="62"/>
      </w:r>
      <w:r w:rsidR="002B672E"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cheltuielile de personal constituie o categorie economică principală de cheltuieli recurente</w:t>
      </w:r>
      <w:r w:rsidR="002B672E"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cu impact major asupra structurii economice a bugetului și necesită a fi supus</w:t>
      </w:r>
      <w:r w:rsidR="0072197C" w:rsidRPr="00606103">
        <w:rPr>
          <w:rFonts w:asciiTheme="majorHAnsi" w:hAnsiTheme="majorHAnsi" w:cstheme="majorHAnsi"/>
          <w:sz w:val="24"/>
          <w:szCs w:val="24"/>
          <w:lang w:val="ro-MD"/>
        </w:rPr>
        <w:t>e</w:t>
      </w:r>
      <w:r w:rsidRPr="00606103">
        <w:rPr>
          <w:rFonts w:asciiTheme="majorHAnsi" w:hAnsiTheme="majorHAnsi" w:cstheme="majorHAnsi"/>
          <w:sz w:val="24"/>
          <w:szCs w:val="24"/>
          <w:lang w:val="ro-MD"/>
        </w:rPr>
        <w:t xml:space="preserve"> unui control riguros din partea autorităților publice centrale și locale. Volumul cheltuielilor de personal, în condițiile cadrului limitat de resurse, influențează structura şi volumul altor categorii de cheltuieli ale bugetului. </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 xml:space="preserve">Verificările auditului au atestat că, în afara prevederilor Legii BS, la 8 APC au fost majorate limitele cheltuielilor de personal cu 8,1 mil. lei, din care: din contul alocațiilor </w:t>
      </w:r>
      <w:r w:rsidR="002B672E"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Acțiuni generale” APC – 3,0 mil. lei</w:t>
      </w:r>
      <w:r w:rsidR="002B672E"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și din </w:t>
      </w:r>
      <w:r w:rsidR="002B672E" w:rsidRPr="00606103">
        <w:rPr>
          <w:rFonts w:asciiTheme="majorHAnsi" w:hAnsiTheme="majorHAnsi" w:cstheme="majorHAnsi"/>
          <w:sz w:val="24"/>
          <w:szCs w:val="24"/>
          <w:lang w:val="ro-MD"/>
        </w:rPr>
        <w:t>f</w:t>
      </w:r>
      <w:r w:rsidRPr="00606103">
        <w:rPr>
          <w:rFonts w:asciiTheme="majorHAnsi" w:hAnsiTheme="majorHAnsi" w:cstheme="majorHAnsi"/>
          <w:sz w:val="24"/>
          <w:szCs w:val="24"/>
          <w:lang w:val="ro-MD"/>
        </w:rPr>
        <w:t>ondul de rezervă a</w:t>
      </w:r>
      <w:r w:rsidR="002B672E" w:rsidRPr="00606103">
        <w:rPr>
          <w:rFonts w:asciiTheme="majorHAnsi" w:hAnsiTheme="majorHAnsi" w:cstheme="majorHAnsi"/>
          <w:sz w:val="24"/>
          <w:szCs w:val="24"/>
          <w:lang w:val="ro-MD"/>
        </w:rPr>
        <w:t>l</w:t>
      </w:r>
      <w:r w:rsidRPr="00606103">
        <w:rPr>
          <w:rFonts w:asciiTheme="majorHAnsi" w:hAnsiTheme="majorHAnsi" w:cstheme="majorHAnsi"/>
          <w:sz w:val="24"/>
          <w:szCs w:val="24"/>
          <w:lang w:val="ro-MD"/>
        </w:rPr>
        <w:t xml:space="preserve"> Guvernului</w:t>
      </w:r>
      <w:r w:rsidRPr="00606103">
        <w:rPr>
          <w:rStyle w:val="FootnoteReference"/>
          <w:rFonts w:asciiTheme="majorHAnsi" w:eastAsia="Times New Roman" w:hAnsiTheme="majorHAnsi" w:cstheme="majorHAnsi"/>
          <w:sz w:val="24"/>
          <w:szCs w:val="24"/>
          <w:lang w:val="ro-MD"/>
        </w:rPr>
        <w:footnoteReference w:id="63"/>
      </w:r>
      <w:r w:rsidR="002B672E" w:rsidRPr="00606103">
        <w:rPr>
          <w:rFonts w:asciiTheme="majorHAnsi" w:hAnsiTheme="majorHAnsi" w:cstheme="majorHAnsi"/>
          <w:sz w:val="24"/>
          <w:szCs w:val="24"/>
          <w:lang w:val="ro-MD"/>
        </w:rPr>
        <w:t xml:space="preserve"> </w:t>
      </w:r>
      <w:r w:rsidR="0072197C" w:rsidRPr="00606103">
        <w:rPr>
          <w:rFonts w:asciiTheme="majorHAnsi" w:hAnsiTheme="majorHAnsi" w:cstheme="majorHAnsi"/>
          <w:sz w:val="24"/>
          <w:szCs w:val="24"/>
          <w:lang w:val="ro-MD"/>
        </w:rPr>
        <w:t>–</w:t>
      </w:r>
      <w:r w:rsidR="002B672E" w:rsidRPr="00606103">
        <w:rPr>
          <w:rFonts w:asciiTheme="majorHAnsi" w:hAnsiTheme="majorHAnsi" w:cstheme="majorHAnsi"/>
          <w:sz w:val="24"/>
          <w:szCs w:val="24"/>
          <w:lang w:val="ro-MD"/>
        </w:rPr>
        <w:t xml:space="preserve"> </w:t>
      </w:r>
      <w:r w:rsidR="003F7E81" w:rsidRPr="00606103">
        <w:rPr>
          <w:rFonts w:asciiTheme="majorHAnsi" w:hAnsiTheme="majorHAnsi" w:cstheme="majorHAnsi"/>
          <w:sz w:val="24"/>
          <w:szCs w:val="24"/>
          <w:lang w:val="ro-MD"/>
        </w:rPr>
        <w:t>cu</w:t>
      </w:r>
      <w:r w:rsidRPr="00606103">
        <w:rPr>
          <w:rFonts w:asciiTheme="majorHAnsi" w:hAnsiTheme="majorHAnsi" w:cstheme="majorHAnsi"/>
          <w:sz w:val="24"/>
          <w:szCs w:val="24"/>
          <w:lang w:val="ro-MD"/>
        </w:rPr>
        <w:t xml:space="preserve"> 2,7 mi</w:t>
      </w:r>
      <w:r w:rsidR="002B672E" w:rsidRPr="00606103">
        <w:rPr>
          <w:rFonts w:asciiTheme="majorHAnsi" w:hAnsiTheme="majorHAnsi" w:cstheme="majorHAnsi"/>
          <w:sz w:val="24"/>
          <w:szCs w:val="24"/>
          <w:lang w:val="ro-MD"/>
        </w:rPr>
        <w:t>l</w:t>
      </w:r>
      <w:r w:rsidRPr="00606103">
        <w:rPr>
          <w:rFonts w:asciiTheme="majorHAnsi" w:hAnsiTheme="majorHAnsi" w:cstheme="majorHAnsi"/>
          <w:sz w:val="24"/>
          <w:szCs w:val="24"/>
          <w:lang w:val="ro-MD"/>
        </w:rPr>
        <w:t xml:space="preserve">. lei, </w:t>
      </w:r>
      <w:r w:rsidR="003F7E81" w:rsidRPr="00606103">
        <w:rPr>
          <w:rFonts w:asciiTheme="majorHAnsi" w:hAnsiTheme="majorHAnsi" w:cstheme="majorHAnsi"/>
          <w:sz w:val="24"/>
          <w:szCs w:val="24"/>
          <w:lang w:val="ro-MD"/>
        </w:rPr>
        <w:t xml:space="preserve">au fost majorate cheltuielile de personal ale CEC </w:t>
      </w:r>
      <w:r w:rsidRPr="00606103">
        <w:rPr>
          <w:rFonts w:asciiTheme="majorHAnsi" w:hAnsiTheme="majorHAnsi" w:cstheme="majorHAnsi"/>
          <w:sz w:val="24"/>
          <w:szCs w:val="24"/>
          <w:lang w:val="ro-MD"/>
        </w:rPr>
        <w:t xml:space="preserve">din contul </w:t>
      </w:r>
      <w:r w:rsidR="003F7E81" w:rsidRPr="00606103">
        <w:rPr>
          <w:rFonts w:asciiTheme="majorHAnsi" w:hAnsiTheme="majorHAnsi" w:cstheme="majorHAnsi"/>
          <w:sz w:val="24"/>
          <w:szCs w:val="24"/>
          <w:lang w:val="ro-MD"/>
        </w:rPr>
        <w:t>alocațiilor</w:t>
      </w:r>
      <w:r w:rsidRPr="00606103">
        <w:rPr>
          <w:rFonts w:asciiTheme="majorHAnsi" w:hAnsiTheme="majorHAnsi" w:cstheme="majorHAnsi"/>
          <w:sz w:val="24"/>
          <w:szCs w:val="24"/>
          <w:lang w:val="ro-MD"/>
        </w:rPr>
        <w:t xml:space="preserve"> destinate alegerilor parlamentate anticipate. Totodată, contrar cadrului regulamentar</w:t>
      </w:r>
      <w:r w:rsidRPr="00606103">
        <w:rPr>
          <w:rStyle w:val="FootnoteReference"/>
          <w:rFonts w:asciiTheme="majorHAnsi" w:eastAsia="Times New Roman" w:hAnsiTheme="majorHAnsi" w:cstheme="majorHAnsi"/>
          <w:sz w:val="24"/>
          <w:szCs w:val="24"/>
          <w:lang w:val="ro-MD"/>
        </w:rPr>
        <w:footnoteReference w:id="64"/>
      </w:r>
      <w:r w:rsidRPr="00606103">
        <w:rPr>
          <w:rFonts w:asciiTheme="majorHAnsi" w:hAnsiTheme="majorHAnsi" w:cstheme="majorHAnsi"/>
          <w:sz w:val="24"/>
          <w:szCs w:val="24"/>
          <w:lang w:val="ro-MD"/>
        </w:rPr>
        <w:t xml:space="preserve"> care prevede că</w:t>
      </w:r>
      <w:r w:rsidR="002B672E"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pe parcursul anului bugetar, redistribuirea alocațiilor aprobate prin legea anuală a bugetului de stat se permite cu acordul MF între categoriile economice în cadrul unei APC, fără majorarea cheltuielilor de personal, la 4 APC au fost majorate limit</w:t>
      </w:r>
      <w:r w:rsidR="002B672E" w:rsidRPr="00606103">
        <w:rPr>
          <w:rFonts w:asciiTheme="majorHAnsi" w:hAnsiTheme="majorHAnsi" w:cstheme="majorHAnsi"/>
          <w:sz w:val="24"/>
          <w:szCs w:val="24"/>
          <w:lang w:val="ro-MD"/>
        </w:rPr>
        <w:t>ele</w:t>
      </w:r>
      <w:r w:rsidRPr="00606103">
        <w:rPr>
          <w:rFonts w:asciiTheme="majorHAnsi" w:hAnsiTheme="majorHAnsi" w:cstheme="majorHAnsi"/>
          <w:sz w:val="24"/>
          <w:szCs w:val="24"/>
          <w:lang w:val="ro-MD"/>
        </w:rPr>
        <w:t xml:space="preserve"> cheltuielilor de personal cu 2,4 mil. lei</w:t>
      </w:r>
      <w:r w:rsidRPr="00606103">
        <w:rPr>
          <w:rStyle w:val="FootnoteReference"/>
          <w:rFonts w:asciiTheme="majorHAnsi" w:hAnsiTheme="majorHAnsi" w:cstheme="majorHAnsi"/>
          <w:sz w:val="24"/>
          <w:szCs w:val="24"/>
          <w:lang w:val="ro-MD"/>
        </w:rPr>
        <w:footnoteReference w:id="65"/>
      </w:r>
      <w:r w:rsidRPr="00606103">
        <w:rPr>
          <w:rFonts w:asciiTheme="majorHAnsi" w:hAnsiTheme="majorHAnsi" w:cstheme="majorHAnsi"/>
          <w:sz w:val="24"/>
          <w:szCs w:val="24"/>
          <w:lang w:val="ro-MD"/>
        </w:rPr>
        <w:t xml:space="preserve">. </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color w:val="000000"/>
          <w:sz w:val="24"/>
          <w:szCs w:val="24"/>
          <w:lang w:val="ro-MD" w:eastAsia="ro-RO" w:bidi="ro-RO"/>
        </w:rPr>
        <w:lastRenderedPageBreak/>
        <w:t>Conform HG nr.</w:t>
      </w:r>
      <w:r w:rsidRPr="00606103">
        <w:rPr>
          <w:rFonts w:asciiTheme="majorHAnsi" w:hAnsiTheme="majorHAnsi" w:cstheme="majorHAnsi"/>
          <w:sz w:val="24"/>
          <w:szCs w:val="24"/>
          <w:lang w:val="ro-MD"/>
        </w:rPr>
        <w:t xml:space="preserve"> </w:t>
      </w:r>
      <w:r w:rsidRPr="00606103">
        <w:rPr>
          <w:rFonts w:asciiTheme="majorHAnsi" w:hAnsiTheme="majorHAnsi" w:cstheme="majorHAnsi"/>
          <w:color w:val="000000"/>
          <w:sz w:val="24"/>
          <w:szCs w:val="24"/>
          <w:lang w:val="ro-MD" w:eastAsia="ro-RO" w:bidi="ro-RO"/>
        </w:rPr>
        <w:t>942 din 22.12.2020</w:t>
      </w:r>
      <w:r w:rsidRPr="00606103">
        <w:rPr>
          <w:rFonts w:asciiTheme="majorHAnsi" w:hAnsiTheme="majorHAnsi" w:cstheme="majorHAnsi"/>
          <w:color w:val="000000"/>
          <w:sz w:val="24"/>
          <w:szCs w:val="24"/>
          <w:vertAlign w:val="superscript"/>
          <w:lang w:val="ro-MD" w:eastAsia="ro-RO" w:bidi="ro-RO"/>
        </w:rPr>
        <w:footnoteReference w:id="66"/>
      </w:r>
      <w:r w:rsidRPr="00606103">
        <w:rPr>
          <w:rFonts w:asciiTheme="majorHAnsi" w:hAnsiTheme="majorHAnsi" w:cstheme="majorHAnsi"/>
          <w:color w:val="000000"/>
          <w:sz w:val="24"/>
          <w:szCs w:val="24"/>
          <w:lang w:val="ro-MD" w:eastAsia="ro-RO" w:bidi="ro-RO"/>
        </w:rPr>
        <w:t xml:space="preserve">, până la 31.12.2021 </w:t>
      </w:r>
      <w:r w:rsidRPr="00606103">
        <w:rPr>
          <w:rFonts w:asciiTheme="majorHAnsi" w:hAnsiTheme="majorHAnsi" w:cstheme="majorHAnsi"/>
          <w:sz w:val="24"/>
          <w:szCs w:val="24"/>
          <w:lang w:val="ro-MD"/>
        </w:rPr>
        <w:t>pentru 7</w:t>
      </w:r>
      <w:r w:rsidR="002B672E"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237 </w:t>
      </w:r>
      <w:r w:rsidR="002B672E" w:rsidRPr="00606103">
        <w:rPr>
          <w:rFonts w:asciiTheme="majorHAnsi" w:hAnsiTheme="majorHAnsi" w:cstheme="majorHAnsi"/>
          <w:sz w:val="24"/>
          <w:szCs w:val="24"/>
          <w:lang w:val="ro-MD"/>
        </w:rPr>
        <w:t xml:space="preserve">de </w:t>
      </w:r>
      <w:r w:rsidRPr="00606103">
        <w:rPr>
          <w:rFonts w:asciiTheme="majorHAnsi" w:hAnsiTheme="majorHAnsi" w:cstheme="majorHAnsi"/>
          <w:sz w:val="24"/>
          <w:szCs w:val="24"/>
          <w:lang w:val="ro-MD"/>
        </w:rPr>
        <w:t xml:space="preserve">unități vacante a fost stabilit moratoriu temporar privind încadrarea personalului în instituțiile/autoritățile publice și </w:t>
      </w:r>
      <w:r w:rsidR="00926FAA">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318 unități pentru CNAS. Totodată, prin derogare de la prevederile stabilite, încadrarea, în perioada moratoriului, a personalului strict necesar realizării misiunii autorității publice/instituției finanțate din bugetul de stat peste numărul de funcții vacante indicate sau în cazul reorganizărilor se efectuează prin coordonare cu Ministerul Finanțelor. </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Auditul denotă că în anul 2021, în baza a 35 de solicitări prezentate de 16 APC, a fost permisă angajarea pentru 176,5 posturi vacante supuse moratoriului.</w:t>
      </w:r>
    </w:p>
    <w:p w:rsidR="000E0C22" w:rsidRPr="00606103" w:rsidRDefault="000E0C22">
      <w:pPr>
        <w:spacing w:line="276" w:lineRule="auto"/>
        <w:rPr>
          <w:rFonts w:asciiTheme="majorHAnsi" w:hAnsiTheme="majorHAnsi" w:cstheme="majorHAnsi"/>
          <w:color w:val="000000"/>
          <w:sz w:val="24"/>
          <w:szCs w:val="24"/>
          <w:lang w:val="ro-MD" w:eastAsia="ro-RO" w:bidi="ro-RO"/>
        </w:rPr>
      </w:pPr>
      <w:r w:rsidRPr="00606103">
        <w:rPr>
          <w:rFonts w:asciiTheme="majorHAnsi" w:hAnsiTheme="majorHAnsi" w:cstheme="majorHAnsi"/>
          <w:bCs/>
          <w:iCs/>
          <w:color w:val="000000"/>
          <w:sz w:val="24"/>
          <w:szCs w:val="24"/>
          <w:shd w:val="clear" w:color="auto" w:fill="FFFFFF"/>
          <w:lang w:val="ro-MD" w:eastAsia="ro-RO" w:bidi="ro-RO"/>
        </w:rPr>
        <w:t>Cheltuielile de personal</w:t>
      </w:r>
      <w:r w:rsidRPr="00606103">
        <w:rPr>
          <w:rFonts w:asciiTheme="majorHAnsi" w:hAnsiTheme="majorHAnsi" w:cstheme="majorHAnsi"/>
          <w:bCs/>
          <w:color w:val="000000"/>
          <w:sz w:val="24"/>
          <w:szCs w:val="24"/>
          <w:shd w:val="clear" w:color="auto" w:fill="FFFFFF"/>
          <w:lang w:val="ro-MD" w:eastAsia="ro-RO" w:bidi="ro-RO"/>
        </w:rPr>
        <w:t xml:space="preserve"> </w:t>
      </w:r>
      <w:r w:rsidRPr="00606103">
        <w:rPr>
          <w:rFonts w:asciiTheme="majorHAnsi" w:hAnsiTheme="majorHAnsi" w:cstheme="majorHAnsi"/>
          <w:color w:val="000000"/>
          <w:sz w:val="24"/>
          <w:szCs w:val="24"/>
          <w:lang w:val="ro-MD" w:eastAsia="ro-RO" w:bidi="ro-RO"/>
        </w:rPr>
        <w:t xml:space="preserve">au fost executate în sumă de 7 803,8 mil. lei, fiind în creștere cu 763,2 mil. lei, sau cu 10,8% comparativ cu anul 2020, </w:t>
      </w:r>
      <w:r w:rsidR="00FE5C53" w:rsidRPr="00606103">
        <w:rPr>
          <w:rFonts w:asciiTheme="majorHAnsi" w:hAnsiTheme="majorHAnsi" w:cstheme="majorHAnsi"/>
          <w:color w:val="000000"/>
          <w:sz w:val="24"/>
          <w:szCs w:val="24"/>
          <w:lang w:val="ro-MD" w:eastAsia="ro-RO" w:bidi="ro-RO"/>
        </w:rPr>
        <w:t xml:space="preserve">ca </w:t>
      </w:r>
      <w:r w:rsidRPr="00606103">
        <w:rPr>
          <w:rFonts w:asciiTheme="majorHAnsi" w:hAnsiTheme="majorHAnsi" w:cstheme="majorHAnsi"/>
          <w:color w:val="000000"/>
          <w:sz w:val="24"/>
          <w:szCs w:val="24"/>
          <w:lang w:val="ro-MD" w:eastAsia="ro-RO" w:bidi="ro-RO"/>
        </w:rPr>
        <w:t xml:space="preserve">urmare </w:t>
      </w:r>
      <w:r w:rsidR="00FE5C53" w:rsidRPr="00606103">
        <w:rPr>
          <w:rFonts w:asciiTheme="majorHAnsi" w:hAnsiTheme="majorHAnsi" w:cstheme="majorHAnsi"/>
          <w:color w:val="000000"/>
          <w:sz w:val="24"/>
          <w:szCs w:val="24"/>
          <w:lang w:val="ro-MD" w:eastAsia="ro-RO" w:bidi="ro-RO"/>
        </w:rPr>
        <w:t xml:space="preserve">a </w:t>
      </w:r>
      <w:r w:rsidRPr="00606103">
        <w:rPr>
          <w:rFonts w:asciiTheme="majorHAnsi" w:hAnsiTheme="majorHAnsi" w:cstheme="majorHAnsi"/>
          <w:color w:val="000000"/>
          <w:sz w:val="24"/>
          <w:szCs w:val="24"/>
          <w:lang w:val="ro-MD" w:eastAsia="ro-RO" w:bidi="ro-RO"/>
        </w:rPr>
        <w:t>majorării valorii de referință de la 1650 lei la</w:t>
      </w:r>
      <w:r w:rsidR="00926FAA">
        <w:rPr>
          <w:rFonts w:asciiTheme="majorHAnsi" w:hAnsiTheme="majorHAnsi" w:cstheme="majorHAnsi"/>
          <w:color w:val="000000"/>
          <w:sz w:val="24"/>
          <w:szCs w:val="24"/>
          <w:lang w:val="ro-MD" w:eastAsia="ro-RO" w:bidi="ro-RO"/>
        </w:rPr>
        <w:t xml:space="preserve">    </w:t>
      </w:r>
      <w:r w:rsidRPr="00606103">
        <w:rPr>
          <w:rFonts w:asciiTheme="majorHAnsi" w:hAnsiTheme="majorHAnsi" w:cstheme="majorHAnsi"/>
          <w:color w:val="000000"/>
          <w:sz w:val="24"/>
          <w:szCs w:val="24"/>
          <w:lang w:val="ro-MD" w:eastAsia="ro-RO" w:bidi="ro-RO"/>
        </w:rPr>
        <w:t xml:space="preserve"> 1700 lei.</w:t>
      </w:r>
    </w:p>
    <w:p w:rsidR="000E0C22" w:rsidRPr="00606103" w:rsidRDefault="00FE5C53">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V</w:t>
      </w:r>
      <w:r w:rsidR="000E0C22" w:rsidRPr="00606103">
        <w:rPr>
          <w:rFonts w:asciiTheme="majorHAnsi" w:hAnsiTheme="majorHAnsi" w:cstheme="majorHAnsi"/>
          <w:color w:val="000000"/>
          <w:sz w:val="24"/>
          <w:szCs w:val="24"/>
          <w:lang w:val="ro-MD" w:eastAsia="ro-RO" w:bidi="ro-RO"/>
        </w:rPr>
        <w:t>erificăril</w:t>
      </w:r>
      <w:r w:rsidRPr="00606103">
        <w:rPr>
          <w:rFonts w:asciiTheme="majorHAnsi" w:hAnsiTheme="majorHAnsi" w:cstheme="majorHAnsi"/>
          <w:color w:val="000000"/>
          <w:sz w:val="24"/>
          <w:szCs w:val="24"/>
          <w:lang w:val="ro-MD" w:eastAsia="ro-RO" w:bidi="ro-RO"/>
        </w:rPr>
        <w:t>e</w:t>
      </w:r>
      <w:r w:rsidR="000E0C22" w:rsidRPr="00606103">
        <w:rPr>
          <w:rFonts w:asciiTheme="majorHAnsi" w:hAnsiTheme="majorHAnsi" w:cstheme="majorHAnsi"/>
          <w:color w:val="000000"/>
          <w:sz w:val="24"/>
          <w:szCs w:val="24"/>
          <w:lang w:val="ro-MD" w:eastAsia="ro-RO" w:bidi="ro-RO"/>
        </w:rPr>
        <w:t xml:space="preserve"> auditului a</w:t>
      </w:r>
      <w:r w:rsidRPr="00606103">
        <w:rPr>
          <w:rFonts w:asciiTheme="majorHAnsi" w:hAnsiTheme="majorHAnsi" w:cstheme="majorHAnsi"/>
          <w:color w:val="000000"/>
          <w:sz w:val="24"/>
          <w:szCs w:val="24"/>
          <w:lang w:val="ro-MD" w:eastAsia="ro-RO" w:bidi="ro-RO"/>
        </w:rPr>
        <w:t>u</w:t>
      </w:r>
      <w:r w:rsidR="000E0C22" w:rsidRPr="00606103">
        <w:rPr>
          <w:rFonts w:asciiTheme="majorHAnsi" w:hAnsiTheme="majorHAnsi" w:cstheme="majorHAnsi"/>
          <w:color w:val="000000"/>
          <w:sz w:val="24"/>
          <w:szCs w:val="24"/>
          <w:lang w:val="ro-MD" w:eastAsia="ro-RO" w:bidi="ro-RO"/>
        </w:rPr>
        <w:t xml:space="preserve"> stabilit că, la sfârșitul anului 2021, s-a înregistrat un sold de alocații nevalorificate la cheltuieli</w:t>
      </w:r>
      <w:r w:rsidR="00933572" w:rsidRPr="00606103">
        <w:rPr>
          <w:rFonts w:asciiTheme="majorHAnsi" w:hAnsiTheme="majorHAnsi" w:cstheme="majorHAnsi"/>
          <w:color w:val="000000"/>
          <w:sz w:val="24"/>
          <w:szCs w:val="24"/>
          <w:lang w:val="ro-MD" w:eastAsia="ro-RO" w:bidi="ro-RO"/>
        </w:rPr>
        <w:t>le</w:t>
      </w:r>
      <w:r w:rsidR="000E0C22" w:rsidRPr="00606103">
        <w:rPr>
          <w:rFonts w:asciiTheme="majorHAnsi" w:hAnsiTheme="majorHAnsi" w:cstheme="majorHAnsi"/>
          <w:color w:val="000000"/>
          <w:sz w:val="24"/>
          <w:szCs w:val="24"/>
          <w:lang w:val="ro-MD" w:eastAsia="ro-RO" w:bidi="ro-RO"/>
        </w:rPr>
        <w:t xml:space="preserve"> de personal în sumă totală de 154,4 mil. lei</w:t>
      </w:r>
      <w:r w:rsidRPr="00606103">
        <w:rPr>
          <w:rFonts w:asciiTheme="majorHAnsi" w:hAnsiTheme="majorHAnsi" w:cstheme="majorHAnsi"/>
          <w:color w:val="000000"/>
          <w:sz w:val="24"/>
          <w:szCs w:val="24"/>
          <w:lang w:val="ro-MD" w:eastAsia="ro-RO" w:bidi="ro-RO"/>
        </w:rPr>
        <w:t xml:space="preserve">, </w:t>
      </w:r>
      <w:r w:rsidR="00971E81" w:rsidRPr="00606103">
        <w:rPr>
          <w:rFonts w:asciiTheme="majorHAnsi" w:hAnsiTheme="majorHAnsi" w:cstheme="majorHAnsi"/>
          <w:color w:val="000000"/>
          <w:sz w:val="24"/>
          <w:szCs w:val="24"/>
          <w:lang w:val="ro-MD" w:eastAsia="ro-RO" w:bidi="ro-RO"/>
        </w:rPr>
        <w:t>din care c</w:t>
      </w:r>
      <w:r w:rsidR="000E0C22" w:rsidRPr="00606103">
        <w:rPr>
          <w:rFonts w:asciiTheme="majorHAnsi" w:hAnsiTheme="majorHAnsi" w:cstheme="majorHAnsi"/>
          <w:color w:val="000000"/>
          <w:sz w:val="24"/>
          <w:szCs w:val="24"/>
          <w:lang w:val="ro-MD" w:eastAsia="ro-RO" w:bidi="ro-RO"/>
        </w:rPr>
        <w:t>ele mai mari solduri de alocații s-a</w:t>
      </w:r>
      <w:r w:rsidR="00D769CA" w:rsidRPr="00606103">
        <w:rPr>
          <w:rFonts w:asciiTheme="majorHAnsi" w:hAnsiTheme="majorHAnsi" w:cstheme="majorHAnsi"/>
          <w:color w:val="000000"/>
          <w:sz w:val="24"/>
          <w:szCs w:val="24"/>
          <w:lang w:val="ro-MD" w:eastAsia="ro-RO" w:bidi="ro-RO"/>
        </w:rPr>
        <w:t>u</w:t>
      </w:r>
      <w:r w:rsidR="000E0C22" w:rsidRPr="00606103">
        <w:rPr>
          <w:rFonts w:asciiTheme="majorHAnsi" w:hAnsiTheme="majorHAnsi" w:cstheme="majorHAnsi"/>
          <w:color w:val="000000"/>
          <w:sz w:val="24"/>
          <w:szCs w:val="24"/>
          <w:lang w:val="ro-MD" w:eastAsia="ro-RO" w:bidi="ro-RO"/>
        </w:rPr>
        <w:t xml:space="preserve"> înregistrat la </w:t>
      </w:r>
      <w:r w:rsidR="00D769CA" w:rsidRPr="00606103">
        <w:rPr>
          <w:rFonts w:asciiTheme="majorHAnsi" w:hAnsiTheme="majorHAnsi" w:cstheme="majorHAnsi"/>
          <w:color w:val="000000"/>
          <w:sz w:val="24"/>
          <w:szCs w:val="24"/>
          <w:lang w:val="ro-MD" w:eastAsia="ro-RO" w:bidi="ro-RO"/>
        </w:rPr>
        <w:t>„</w:t>
      </w:r>
      <w:r w:rsidR="000E0C22" w:rsidRPr="00606103">
        <w:rPr>
          <w:rFonts w:asciiTheme="majorHAnsi" w:hAnsiTheme="majorHAnsi" w:cstheme="majorHAnsi"/>
          <w:color w:val="000000"/>
          <w:sz w:val="24"/>
          <w:szCs w:val="24"/>
          <w:lang w:val="ro-MD" w:eastAsia="ro-RO" w:bidi="ro-RO"/>
        </w:rPr>
        <w:t xml:space="preserve">Acțiuni </w:t>
      </w:r>
      <w:r w:rsidR="00D769CA" w:rsidRPr="00606103">
        <w:rPr>
          <w:rFonts w:asciiTheme="majorHAnsi" w:hAnsiTheme="majorHAnsi" w:cstheme="majorHAnsi"/>
          <w:color w:val="000000"/>
          <w:sz w:val="24"/>
          <w:szCs w:val="24"/>
          <w:lang w:val="ro-MD" w:eastAsia="ro-RO" w:bidi="ro-RO"/>
        </w:rPr>
        <w:t>g</w:t>
      </w:r>
      <w:r w:rsidR="000E0C22" w:rsidRPr="00606103">
        <w:rPr>
          <w:rFonts w:asciiTheme="majorHAnsi" w:hAnsiTheme="majorHAnsi" w:cstheme="majorHAnsi"/>
          <w:color w:val="000000"/>
          <w:sz w:val="24"/>
          <w:szCs w:val="24"/>
          <w:lang w:val="ro-MD" w:eastAsia="ro-RO" w:bidi="ro-RO"/>
        </w:rPr>
        <w:t>enerale</w:t>
      </w:r>
      <w:r w:rsidR="00D769CA" w:rsidRPr="00606103">
        <w:rPr>
          <w:rFonts w:asciiTheme="majorHAnsi" w:hAnsiTheme="majorHAnsi" w:cstheme="majorHAnsi"/>
          <w:color w:val="000000"/>
          <w:sz w:val="24"/>
          <w:szCs w:val="24"/>
          <w:lang w:val="ro-MD" w:eastAsia="ro-RO" w:bidi="ro-RO"/>
        </w:rPr>
        <w:t>”</w:t>
      </w:r>
      <w:r w:rsidR="000E0C22" w:rsidRPr="00606103">
        <w:rPr>
          <w:rFonts w:asciiTheme="majorHAnsi" w:hAnsiTheme="majorHAnsi" w:cstheme="majorHAnsi"/>
          <w:color w:val="000000"/>
          <w:sz w:val="24"/>
          <w:szCs w:val="24"/>
          <w:lang w:val="ro-MD" w:eastAsia="ro-RO" w:bidi="ro-RO"/>
        </w:rPr>
        <w:t xml:space="preserve"> </w:t>
      </w:r>
      <w:r w:rsidR="00D769CA" w:rsidRPr="00606103">
        <w:rPr>
          <w:rFonts w:asciiTheme="majorHAnsi" w:hAnsiTheme="majorHAnsi" w:cstheme="majorHAnsi"/>
          <w:color w:val="000000"/>
          <w:sz w:val="24"/>
          <w:szCs w:val="24"/>
          <w:lang w:val="ro-MD" w:eastAsia="ro-RO" w:bidi="ro-RO"/>
        </w:rPr>
        <w:t xml:space="preserve">– </w:t>
      </w:r>
      <w:r w:rsidR="000E0C22" w:rsidRPr="00606103">
        <w:rPr>
          <w:rFonts w:asciiTheme="majorHAnsi" w:hAnsiTheme="majorHAnsi" w:cstheme="majorHAnsi"/>
          <w:color w:val="000000"/>
          <w:sz w:val="24"/>
          <w:szCs w:val="24"/>
          <w:lang w:val="ro-MD" w:eastAsia="ro-RO" w:bidi="ro-RO"/>
        </w:rPr>
        <w:t>32,5 mil. lei, MS – 23,6 mil. lei, ANSP</w:t>
      </w:r>
      <w:r w:rsidR="000E0C22" w:rsidRPr="00606103">
        <w:rPr>
          <w:rFonts w:asciiTheme="majorHAnsi" w:hAnsiTheme="majorHAnsi" w:cstheme="majorHAnsi"/>
          <w:sz w:val="24"/>
          <w:szCs w:val="24"/>
          <w:lang w:val="ro-MD"/>
        </w:rPr>
        <w:t xml:space="preserve"> </w:t>
      </w:r>
      <w:r w:rsidR="00D769CA" w:rsidRPr="00606103">
        <w:rPr>
          <w:rFonts w:asciiTheme="majorHAnsi" w:hAnsiTheme="majorHAnsi" w:cstheme="majorHAnsi"/>
          <w:color w:val="000000"/>
          <w:sz w:val="24"/>
          <w:szCs w:val="24"/>
          <w:lang w:val="ro-MD" w:eastAsia="ro-RO" w:bidi="ro-RO"/>
        </w:rPr>
        <w:t xml:space="preserve">– </w:t>
      </w:r>
      <w:r w:rsidR="000E0C22" w:rsidRPr="00606103">
        <w:rPr>
          <w:rFonts w:asciiTheme="majorHAnsi" w:hAnsiTheme="majorHAnsi" w:cstheme="majorHAnsi"/>
          <w:color w:val="000000"/>
          <w:sz w:val="24"/>
          <w:szCs w:val="24"/>
          <w:lang w:val="ro-MD" w:eastAsia="ro-RO" w:bidi="ro-RO"/>
        </w:rPr>
        <w:t xml:space="preserve">16,9 mil. lei, MMPS </w:t>
      </w:r>
      <w:r w:rsidR="00D769CA" w:rsidRPr="00606103">
        <w:rPr>
          <w:rFonts w:asciiTheme="majorHAnsi" w:hAnsiTheme="majorHAnsi" w:cstheme="majorHAnsi"/>
          <w:color w:val="000000"/>
          <w:sz w:val="24"/>
          <w:szCs w:val="24"/>
          <w:lang w:val="ro-MD" w:eastAsia="ro-RO" w:bidi="ro-RO"/>
        </w:rPr>
        <w:t xml:space="preserve">– </w:t>
      </w:r>
      <w:r w:rsidR="000E0C22" w:rsidRPr="00606103">
        <w:rPr>
          <w:rFonts w:asciiTheme="majorHAnsi" w:hAnsiTheme="majorHAnsi" w:cstheme="majorHAnsi"/>
          <w:color w:val="000000"/>
          <w:sz w:val="24"/>
          <w:szCs w:val="24"/>
          <w:lang w:val="ro-MD" w:eastAsia="ro-RO" w:bidi="ro-RO"/>
        </w:rPr>
        <w:t xml:space="preserve">16,6 mil. lei, </w:t>
      </w:r>
      <w:r w:rsidR="000E0C22" w:rsidRPr="00606103">
        <w:rPr>
          <w:rFonts w:asciiTheme="majorHAnsi" w:hAnsiTheme="majorHAnsi" w:cstheme="majorHAnsi"/>
          <w:color w:val="000000"/>
          <w:sz w:val="24"/>
          <w:szCs w:val="24"/>
          <w:lang w:val="ro-MD"/>
        </w:rPr>
        <w:t xml:space="preserve">PG </w:t>
      </w:r>
      <w:r w:rsidR="00D769CA" w:rsidRPr="00606103">
        <w:rPr>
          <w:rFonts w:asciiTheme="majorHAnsi" w:hAnsiTheme="majorHAnsi" w:cstheme="majorHAnsi"/>
          <w:color w:val="000000"/>
          <w:sz w:val="24"/>
          <w:szCs w:val="24"/>
          <w:lang w:val="ro-MD" w:eastAsia="ro-RO" w:bidi="ro-RO"/>
        </w:rPr>
        <w:t xml:space="preserve">– </w:t>
      </w:r>
      <w:r w:rsidR="000E0C22" w:rsidRPr="00606103">
        <w:rPr>
          <w:rFonts w:asciiTheme="majorHAnsi" w:hAnsiTheme="majorHAnsi" w:cstheme="majorHAnsi"/>
          <w:color w:val="000000"/>
          <w:sz w:val="24"/>
          <w:szCs w:val="24"/>
          <w:lang w:val="ro-MD" w:eastAsia="ro-RO" w:bidi="ro-RO"/>
        </w:rPr>
        <w:t xml:space="preserve">10,5 mil. lei, MF – 10,2 mil. lei, MEC </w:t>
      </w:r>
      <w:r w:rsidR="00D769CA" w:rsidRPr="00606103">
        <w:rPr>
          <w:rFonts w:asciiTheme="majorHAnsi" w:hAnsiTheme="majorHAnsi" w:cstheme="majorHAnsi"/>
          <w:color w:val="000000"/>
          <w:sz w:val="24"/>
          <w:szCs w:val="24"/>
          <w:lang w:val="ro-MD" w:eastAsia="ro-RO" w:bidi="ro-RO"/>
        </w:rPr>
        <w:t>–</w:t>
      </w:r>
      <w:r w:rsidR="000E0C22" w:rsidRPr="00606103">
        <w:rPr>
          <w:rFonts w:asciiTheme="majorHAnsi" w:hAnsiTheme="majorHAnsi" w:cstheme="majorHAnsi"/>
          <w:color w:val="000000"/>
          <w:sz w:val="24"/>
          <w:szCs w:val="24"/>
          <w:lang w:val="ro-MD" w:eastAsia="ro-RO" w:bidi="ro-RO"/>
        </w:rPr>
        <w:t xml:space="preserve"> 9,0 mil. lei etc. </w:t>
      </w:r>
    </w:p>
    <w:p w:rsidR="000E0C22" w:rsidRPr="00577973" w:rsidRDefault="000E0C22">
      <w:pPr>
        <w:spacing w:line="276" w:lineRule="auto"/>
        <w:rPr>
          <w:rFonts w:asciiTheme="majorHAnsi" w:hAnsiTheme="majorHAnsi" w:cstheme="majorHAnsi"/>
          <w:i/>
          <w:color w:val="000000"/>
          <w:sz w:val="24"/>
          <w:szCs w:val="24"/>
          <w:lang w:val="ro-MD" w:eastAsia="ro-RO" w:bidi="ro-RO"/>
        </w:rPr>
      </w:pPr>
      <w:r w:rsidRPr="00606103">
        <w:rPr>
          <w:rFonts w:asciiTheme="majorHAnsi" w:hAnsiTheme="majorHAnsi" w:cstheme="majorHAnsi"/>
          <w:color w:val="000000"/>
          <w:sz w:val="24"/>
          <w:szCs w:val="24"/>
          <w:lang w:val="ro-MD" w:eastAsia="ro-RO" w:bidi="ro-RO"/>
        </w:rPr>
        <w:t>Totodată, auditul relevă că, la unele autorități publice</w:t>
      </w:r>
      <w:r w:rsidRPr="00606103">
        <w:rPr>
          <w:rStyle w:val="FootnoteReference"/>
          <w:rFonts w:asciiTheme="majorHAnsi" w:hAnsiTheme="majorHAnsi" w:cstheme="majorHAnsi"/>
          <w:color w:val="000000"/>
          <w:sz w:val="24"/>
          <w:szCs w:val="24"/>
          <w:lang w:val="ro-MD" w:eastAsia="ro-RO" w:bidi="ro-RO"/>
        </w:rPr>
        <w:footnoteReference w:id="67"/>
      </w:r>
      <w:r w:rsidRPr="00606103">
        <w:rPr>
          <w:rFonts w:asciiTheme="majorHAnsi" w:hAnsiTheme="majorHAnsi" w:cstheme="majorHAnsi"/>
          <w:color w:val="000000"/>
          <w:sz w:val="24"/>
          <w:szCs w:val="24"/>
          <w:lang w:val="ro-MD" w:eastAsia="ro-RO" w:bidi="ro-RO"/>
        </w:rPr>
        <w:t xml:space="preserve">, deși numărul </w:t>
      </w:r>
      <w:r w:rsidR="00D769CA" w:rsidRPr="00606103">
        <w:rPr>
          <w:rFonts w:asciiTheme="majorHAnsi" w:hAnsiTheme="majorHAnsi" w:cstheme="majorHAnsi"/>
          <w:color w:val="000000"/>
          <w:sz w:val="24"/>
          <w:szCs w:val="24"/>
          <w:lang w:val="ro-MD" w:eastAsia="ro-RO" w:bidi="ro-RO"/>
        </w:rPr>
        <w:t xml:space="preserve">mediu </w:t>
      </w:r>
      <w:r w:rsidRPr="00606103">
        <w:rPr>
          <w:rFonts w:asciiTheme="majorHAnsi" w:hAnsiTheme="majorHAnsi" w:cstheme="majorHAnsi"/>
          <w:color w:val="000000"/>
          <w:sz w:val="24"/>
          <w:szCs w:val="24"/>
          <w:lang w:val="ro-MD" w:eastAsia="ro-RO" w:bidi="ro-RO"/>
        </w:rPr>
        <w:t>de unități realizate este sub 75%, cheltuielile de personal au fost exe</w:t>
      </w:r>
      <w:r w:rsidR="00132C66" w:rsidRPr="00606103">
        <w:rPr>
          <w:rFonts w:asciiTheme="majorHAnsi" w:hAnsiTheme="majorHAnsi" w:cstheme="majorHAnsi"/>
          <w:color w:val="000000"/>
          <w:sz w:val="24"/>
          <w:szCs w:val="24"/>
          <w:lang w:val="ro-MD" w:eastAsia="ro-RO" w:bidi="ro-RO"/>
        </w:rPr>
        <w:t xml:space="preserve">cutate la nivel de circa </w:t>
      </w:r>
      <w:r w:rsidR="00132C66" w:rsidRPr="00577973">
        <w:rPr>
          <w:rFonts w:asciiTheme="majorHAnsi" w:hAnsiTheme="majorHAnsi" w:cstheme="majorHAnsi"/>
          <w:color w:val="000000"/>
          <w:sz w:val="24"/>
          <w:szCs w:val="24"/>
          <w:lang w:val="ro-MD" w:eastAsia="ro-RO" w:bidi="ro-RO"/>
        </w:rPr>
        <w:t>100</w:t>
      </w:r>
      <w:r w:rsidR="00B51E49" w:rsidRPr="00577973">
        <w:rPr>
          <w:rFonts w:asciiTheme="majorHAnsi" w:hAnsiTheme="majorHAnsi" w:cstheme="majorHAnsi"/>
          <w:color w:val="000000"/>
          <w:sz w:val="24"/>
          <w:szCs w:val="24"/>
          <w:lang w:val="ro-MD" w:eastAsia="ro-RO" w:bidi="ro-RO"/>
        </w:rPr>
        <w:t>.</w:t>
      </w:r>
      <w:r w:rsidR="00B51E49" w:rsidRPr="00577973">
        <w:rPr>
          <w:lang w:val="ro-MD"/>
        </w:rPr>
        <w:t xml:space="preserve"> </w:t>
      </w:r>
      <w:r w:rsidR="00B51E49" w:rsidRPr="00577973">
        <w:rPr>
          <w:rFonts w:asciiTheme="majorHAnsi" w:hAnsiTheme="majorHAnsi" w:cstheme="majorHAnsi"/>
          <w:i/>
          <w:color w:val="000000"/>
          <w:sz w:val="24"/>
          <w:szCs w:val="24"/>
          <w:lang w:val="ro-MD" w:eastAsia="ro-RO" w:bidi="ro-RO"/>
        </w:rPr>
        <w:t>Analiza cheltuielilor de personal pe autorități publice centrale</w:t>
      </w:r>
      <w:r w:rsidR="00132C66" w:rsidRPr="00577973">
        <w:rPr>
          <w:rFonts w:asciiTheme="majorHAnsi" w:hAnsiTheme="majorHAnsi" w:cstheme="majorHAnsi"/>
          <w:i/>
          <w:color w:val="000000" w:themeColor="text1"/>
          <w:sz w:val="24"/>
          <w:szCs w:val="24"/>
          <w:lang w:val="ro-MD"/>
        </w:rPr>
        <w:t xml:space="preserve"> se prezintă în Anexa nr.4</w:t>
      </w:r>
      <w:r w:rsidRPr="00577973">
        <w:rPr>
          <w:rFonts w:asciiTheme="majorHAnsi" w:hAnsiTheme="majorHAnsi" w:cstheme="majorHAnsi"/>
          <w:i/>
          <w:color w:val="000000" w:themeColor="text1"/>
          <w:sz w:val="24"/>
          <w:szCs w:val="24"/>
          <w:lang w:val="ro-MD"/>
        </w:rPr>
        <w:t xml:space="preserve"> la prezentul Raport de audit.</w:t>
      </w:r>
    </w:p>
    <w:p w:rsidR="00DD6C38" w:rsidRPr="00606103" w:rsidRDefault="000E0C22">
      <w:pPr>
        <w:spacing w:line="276" w:lineRule="auto"/>
        <w:rPr>
          <w:rFonts w:asciiTheme="majorHAnsi" w:hAnsiTheme="majorHAnsi" w:cstheme="majorHAnsi"/>
          <w:color w:val="000000" w:themeColor="text1"/>
          <w:sz w:val="24"/>
          <w:szCs w:val="24"/>
          <w:lang w:val="ro-MD"/>
        </w:rPr>
      </w:pPr>
      <w:r w:rsidRPr="00577973">
        <w:rPr>
          <w:rFonts w:asciiTheme="majorHAnsi" w:hAnsiTheme="majorHAnsi" w:cstheme="majorHAnsi"/>
          <w:color w:val="000000" w:themeColor="text1"/>
          <w:sz w:val="24"/>
          <w:szCs w:val="24"/>
          <w:lang w:val="ro-MD"/>
        </w:rPr>
        <w:t>De menționat că, având în vedere semnificația cheltuielilor de personal, care constituie 14,4% din</w:t>
      </w:r>
      <w:r w:rsidRPr="00606103">
        <w:rPr>
          <w:rFonts w:asciiTheme="majorHAnsi" w:hAnsiTheme="majorHAnsi" w:cstheme="majorHAnsi"/>
          <w:color w:val="000000" w:themeColor="text1"/>
          <w:sz w:val="24"/>
          <w:szCs w:val="24"/>
          <w:lang w:val="ro-MD"/>
        </w:rPr>
        <w:t xml:space="preserve"> totalul cheltuielilor BS</w:t>
      </w:r>
      <w:r w:rsidRPr="00606103">
        <w:rPr>
          <w:rFonts w:asciiTheme="majorHAnsi" w:hAnsiTheme="majorHAnsi" w:cstheme="majorHAnsi"/>
          <w:color w:val="000000"/>
          <w:sz w:val="24"/>
          <w:szCs w:val="24"/>
          <w:lang w:val="ro-MD" w:eastAsia="ro-RO" w:bidi="ro-RO"/>
        </w:rPr>
        <w:t>, a</w:t>
      </w:r>
      <w:r w:rsidRPr="00606103">
        <w:rPr>
          <w:rFonts w:asciiTheme="majorHAnsi" w:hAnsiTheme="majorHAnsi" w:cstheme="majorHAnsi"/>
          <w:color w:val="000000" w:themeColor="text1"/>
          <w:sz w:val="24"/>
          <w:szCs w:val="24"/>
          <w:lang w:val="ro-MD"/>
        </w:rPr>
        <w:t>uditul menționează prezența carențelor la estimarea de către MF a necesarului de alocații aprobate pentru cheltuieli</w:t>
      </w:r>
      <w:r w:rsidR="00933572" w:rsidRPr="00606103">
        <w:rPr>
          <w:rFonts w:asciiTheme="majorHAnsi" w:hAnsiTheme="majorHAnsi" w:cstheme="majorHAnsi"/>
          <w:color w:val="000000" w:themeColor="text1"/>
          <w:sz w:val="24"/>
          <w:szCs w:val="24"/>
          <w:lang w:val="ro-MD"/>
        </w:rPr>
        <w:t>le</w:t>
      </w:r>
      <w:r w:rsidRPr="00606103">
        <w:rPr>
          <w:rFonts w:asciiTheme="majorHAnsi" w:hAnsiTheme="majorHAnsi" w:cstheme="majorHAnsi"/>
          <w:color w:val="000000" w:themeColor="text1"/>
          <w:sz w:val="24"/>
          <w:szCs w:val="24"/>
          <w:lang w:val="ro-MD"/>
        </w:rPr>
        <w:t xml:space="preserve"> de personal, fiind necesară instituirea unor activități de control asupra datelor/ estimărilor prezentate de către autoritățile/ instituțiile bugetare în aceste scopuri, în condițiile în care documentele de plată prezentate de către acestea sunt executate integral. </w:t>
      </w:r>
    </w:p>
    <w:p w:rsidR="000E0C22" w:rsidRPr="00606103" w:rsidRDefault="00AF163C">
      <w:pPr>
        <w:pStyle w:val="Heading2"/>
        <w:spacing w:line="276" w:lineRule="auto"/>
        <w:rPr>
          <w:rFonts w:cstheme="majorHAnsi"/>
          <w:b/>
          <w:color w:val="auto"/>
          <w:sz w:val="24"/>
          <w:szCs w:val="24"/>
          <w:lang w:val="ro-MD"/>
        </w:rPr>
      </w:pPr>
      <w:r w:rsidRPr="00606103">
        <w:rPr>
          <w:rFonts w:cstheme="majorHAnsi"/>
          <w:b/>
          <w:color w:val="auto"/>
          <w:sz w:val="24"/>
          <w:szCs w:val="24"/>
          <w:lang w:val="ro-MD"/>
        </w:rPr>
        <w:t>5.7</w:t>
      </w:r>
      <w:r w:rsidR="000E0C22" w:rsidRPr="00606103">
        <w:rPr>
          <w:rFonts w:cstheme="majorHAnsi"/>
          <w:b/>
          <w:color w:val="auto"/>
          <w:sz w:val="24"/>
          <w:szCs w:val="24"/>
          <w:lang w:val="ro-MD"/>
        </w:rPr>
        <w:t xml:space="preserve">. Se menține problematica la compartimentele subvenții și granturi acordate </w:t>
      </w:r>
      <w:r w:rsidR="00DF6FD4" w:rsidRPr="00606103">
        <w:rPr>
          <w:rFonts w:cstheme="majorHAnsi"/>
          <w:b/>
          <w:color w:val="auto"/>
          <w:sz w:val="24"/>
          <w:szCs w:val="24"/>
          <w:lang w:val="ro-MD"/>
        </w:rPr>
        <w:t>instituțiilor publice din bugetul de stat.</w:t>
      </w:r>
    </w:p>
    <w:p w:rsidR="000E0C22" w:rsidRPr="00606103" w:rsidRDefault="000E0C22">
      <w:pPr>
        <w:pStyle w:val="ListParagraph"/>
        <w:tabs>
          <w:tab w:val="left" w:pos="142"/>
        </w:tabs>
        <w:spacing w:after="0" w:line="276" w:lineRule="auto"/>
        <w:ind w:left="0"/>
        <w:rPr>
          <w:rFonts w:asciiTheme="majorHAnsi" w:hAnsiTheme="majorHAnsi" w:cstheme="majorHAnsi"/>
          <w:b/>
          <w:sz w:val="16"/>
          <w:szCs w:val="16"/>
          <w:lang w:val="ro-MD"/>
        </w:rPr>
      </w:pPr>
    </w:p>
    <w:p w:rsidR="000E0C22" w:rsidRDefault="000E0C22">
      <w:pPr>
        <w:pStyle w:val="ListParagraph"/>
        <w:tabs>
          <w:tab w:val="left" w:pos="142"/>
        </w:tabs>
        <w:spacing w:after="0" w:line="276" w:lineRule="auto"/>
        <w:ind w:left="0"/>
        <w:rPr>
          <w:rFonts w:asciiTheme="majorHAnsi" w:hAnsiTheme="majorHAnsi" w:cstheme="majorHAnsi"/>
          <w:i/>
          <w:sz w:val="24"/>
          <w:szCs w:val="24"/>
          <w:lang w:val="ro-MD"/>
        </w:rPr>
      </w:pPr>
      <w:r w:rsidRPr="00606103">
        <w:rPr>
          <w:rFonts w:asciiTheme="majorHAnsi" w:hAnsiTheme="majorHAnsi" w:cstheme="majorHAnsi"/>
          <w:b/>
          <w:sz w:val="24"/>
          <w:szCs w:val="24"/>
          <w:lang w:val="ro-MD"/>
        </w:rPr>
        <w:t>Pentru subvenții</w:t>
      </w:r>
      <w:r w:rsidRPr="00606103">
        <w:rPr>
          <w:rFonts w:asciiTheme="majorHAnsi" w:hAnsiTheme="majorHAnsi" w:cstheme="majorHAnsi"/>
          <w:sz w:val="24"/>
          <w:szCs w:val="24"/>
          <w:lang w:val="ro-MD"/>
        </w:rPr>
        <w:t xml:space="preserve">, în anul 2021 au fost aprobate alocații în sumă de 3 620,8 mil. lei, fiind executate </w:t>
      </w:r>
      <w:r w:rsidR="006619E8">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3</w:t>
      </w:r>
      <w:r w:rsidR="006619E8">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344,1 mil. lei. Ponderea cea mai mare o dețin subvențiile acordate întreprinderilor de stat </w:t>
      </w:r>
      <w:r w:rsidR="00D769CA" w:rsidRPr="00606103">
        <w:rPr>
          <w:rFonts w:asciiTheme="majorHAnsi" w:hAnsiTheme="majorHAnsi" w:cstheme="majorHAnsi"/>
          <w:sz w:val="24"/>
          <w:szCs w:val="24"/>
          <w:lang w:val="ro-MD"/>
        </w:rPr>
        <w:t>ș</w:t>
      </w:r>
      <w:r w:rsidR="00FD7F3E" w:rsidRPr="00606103">
        <w:rPr>
          <w:rFonts w:asciiTheme="majorHAnsi" w:hAnsiTheme="majorHAnsi" w:cstheme="majorHAnsi"/>
          <w:sz w:val="24"/>
          <w:szCs w:val="24"/>
          <w:lang w:val="ro-MD"/>
        </w:rPr>
        <w:t xml:space="preserve">i municipale </w:t>
      </w:r>
      <w:r w:rsidR="00D769CA"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1 459,8 mil. lei</w:t>
      </w:r>
      <w:r w:rsidR="00D769CA"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și subvențiile acordate întreprinderilor private nefinanciare </w:t>
      </w:r>
      <w:r w:rsidR="00D769CA"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1</w:t>
      </w:r>
      <w:r w:rsidR="00D769CA" w:rsidRPr="00606103">
        <w:rPr>
          <w:rFonts w:asciiTheme="majorHAnsi" w:hAnsiTheme="majorHAnsi" w:cstheme="majorHAnsi"/>
          <w:sz w:val="24"/>
          <w:szCs w:val="24"/>
          <w:lang w:val="ro-MD"/>
        </w:rPr>
        <w:t xml:space="preserve"> </w:t>
      </w:r>
      <w:r w:rsidR="00327DE0">
        <w:rPr>
          <w:rFonts w:asciiTheme="majorHAnsi" w:hAnsiTheme="majorHAnsi" w:cstheme="majorHAnsi"/>
          <w:sz w:val="24"/>
          <w:szCs w:val="24"/>
          <w:lang w:val="ro-MD"/>
        </w:rPr>
        <w:t>390,</w:t>
      </w:r>
      <w:r w:rsidRPr="00606103">
        <w:rPr>
          <w:rFonts w:asciiTheme="majorHAnsi" w:hAnsiTheme="majorHAnsi" w:cstheme="majorHAnsi"/>
          <w:sz w:val="24"/>
          <w:szCs w:val="24"/>
          <w:lang w:val="ro-MD"/>
        </w:rPr>
        <w:t xml:space="preserve">9 </w:t>
      </w:r>
      <w:r w:rsidRPr="00577973">
        <w:rPr>
          <w:rFonts w:asciiTheme="majorHAnsi" w:hAnsiTheme="majorHAnsi" w:cstheme="majorHAnsi"/>
          <w:sz w:val="24"/>
          <w:szCs w:val="24"/>
          <w:lang w:val="ro-MD"/>
        </w:rPr>
        <w:t xml:space="preserve">mil. lei. </w:t>
      </w:r>
      <w:r w:rsidR="005538AE" w:rsidRPr="00577973">
        <w:rPr>
          <w:rFonts w:asciiTheme="majorHAnsi" w:hAnsiTheme="majorHAnsi" w:cstheme="majorHAnsi"/>
          <w:i/>
          <w:sz w:val="24"/>
          <w:szCs w:val="24"/>
          <w:lang w:val="ro-MD"/>
        </w:rPr>
        <w:t>Analiza auditului privind</w:t>
      </w:r>
      <w:r w:rsidRPr="00577973">
        <w:rPr>
          <w:rFonts w:asciiTheme="majorHAnsi" w:hAnsiTheme="majorHAnsi" w:cstheme="majorHAnsi"/>
          <w:i/>
          <w:sz w:val="24"/>
          <w:szCs w:val="24"/>
          <w:lang w:val="ro-MD"/>
        </w:rPr>
        <w:t xml:space="preserve"> </w:t>
      </w:r>
      <w:r w:rsidR="005538AE" w:rsidRPr="00577973">
        <w:rPr>
          <w:rFonts w:asciiTheme="majorHAnsi" w:hAnsiTheme="majorHAnsi" w:cstheme="majorHAnsi"/>
          <w:i/>
          <w:sz w:val="24"/>
          <w:szCs w:val="24"/>
          <w:lang w:val="ro-MD"/>
        </w:rPr>
        <w:t>executarea</w:t>
      </w:r>
      <w:r w:rsidR="00B263FF" w:rsidRPr="00577973">
        <w:rPr>
          <w:rFonts w:asciiTheme="majorHAnsi" w:hAnsiTheme="majorHAnsi" w:cstheme="majorHAnsi"/>
          <w:i/>
          <w:sz w:val="24"/>
          <w:szCs w:val="24"/>
          <w:lang w:val="ro-MD"/>
        </w:rPr>
        <w:t xml:space="preserve"> subvențiilor acordate în anul 2021, conform clasificației economice </w:t>
      </w:r>
      <w:r w:rsidRPr="00577973">
        <w:rPr>
          <w:rFonts w:asciiTheme="majorHAnsi" w:hAnsiTheme="majorHAnsi" w:cstheme="majorHAnsi"/>
          <w:i/>
          <w:sz w:val="24"/>
          <w:szCs w:val="24"/>
          <w:lang w:val="ro-MD"/>
        </w:rPr>
        <w:t xml:space="preserve">se prezintă în </w:t>
      </w:r>
      <w:r w:rsidR="00F1711D" w:rsidRPr="00577973">
        <w:rPr>
          <w:rFonts w:asciiTheme="majorHAnsi" w:hAnsiTheme="majorHAnsi" w:cstheme="majorHAnsi"/>
          <w:i/>
          <w:sz w:val="24"/>
          <w:szCs w:val="24"/>
          <w:lang w:val="ro-MD"/>
        </w:rPr>
        <w:t>T</w:t>
      </w:r>
      <w:r w:rsidRPr="00577973">
        <w:rPr>
          <w:rFonts w:asciiTheme="majorHAnsi" w:hAnsiTheme="majorHAnsi" w:cstheme="majorHAnsi"/>
          <w:i/>
          <w:sz w:val="24"/>
          <w:szCs w:val="24"/>
          <w:lang w:val="ro-MD"/>
        </w:rPr>
        <w:t xml:space="preserve">abelul </w:t>
      </w:r>
      <w:r w:rsidR="00F1711D" w:rsidRPr="00577973">
        <w:rPr>
          <w:rFonts w:asciiTheme="majorHAnsi" w:hAnsiTheme="majorHAnsi" w:cstheme="majorHAnsi"/>
          <w:i/>
          <w:sz w:val="24"/>
          <w:szCs w:val="24"/>
          <w:lang w:val="ro-MD"/>
        </w:rPr>
        <w:t>nr.7.</w:t>
      </w:r>
    </w:p>
    <w:p w:rsidR="005D235B" w:rsidRDefault="005D235B">
      <w:pPr>
        <w:pStyle w:val="ListParagraph"/>
        <w:tabs>
          <w:tab w:val="left" w:pos="142"/>
        </w:tabs>
        <w:spacing w:after="0" w:line="276" w:lineRule="auto"/>
        <w:ind w:left="0"/>
        <w:rPr>
          <w:rFonts w:asciiTheme="majorHAnsi" w:hAnsiTheme="majorHAnsi" w:cstheme="majorHAnsi"/>
          <w:i/>
          <w:sz w:val="24"/>
          <w:szCs w:val="24"/>
          <w:lang w:val="ro-MD"/>
        </w:rPr>
      </w:pPr>
    </w:p>
    <w:p w:rsidR="005D235B" w:rsidRDefault="005D235B">
      <w:pPr>
        <w:pStyle w:val="ListParagraph"/>
        <w:tabs>
          <w:tab w:val="left" w:pos="142"/>
        </w:tabs>
        <w:spacing w:after="0" w:line="276" w:lineRule="auto"/>
        <w:ind w:left="0"/>
        <w:rPr>
          <w:rFonts w:asciiTheme="majorHAnsi" w:hAnsiTheme="majorHAnsi" w:cstheme="majorHAnsi"/>
          <w:i/>
          <w:sz w:val="24"/>
          <w:szCs w:val="24"/>
          <w:lang w:val="ro-MD"/>
        </w:rPr>
      </w:pPr>
    </w:p>
    <w:p w:rsidR="005D235B" w:rsidRPr="00606103" w:rsidRDefault="005D235B">
      <w:pPr>
        <w:pStyle w:val="ListParagraph"/>
        <w:tabs>
          <w:tab w:val="left" w:pos="142"/>
        </w:tabs>
        <w:spacing w:after="0" w:line="276" w:lineRule="auto"/>
        <w:ind w:left="0"/>
        <w:rPr>
          <w:rFonts w:asciiTheme="majorHAnsi" w:hAnsiTheme="majorHAnsi" w:cstheme="majorHAnsi"/>
          <w:sz w:val="24"/>
          <w:szCs w:val="24"/>
          <w:lang w:val="ro-MD"/>
        </w:rPr>
      </w:pPr>
    </w:p>
    <w:p w:rsidR="000E0C22" w:rsidRPr="00606103" w:rsidRDefault="000E0C22">
      <w:pPr>
        <w:pStyle w:val="ListParagraph"/>
        <w:tabs>
          <w:tab w:val="left" w:pos="142"/>
        </w:tabs>
        <w:spacing w:after="0" w:line="276" w:lineRule="auto"/>
        <w:ind w:left="0"/>
        <w:jc w:val="right"/>
        <w:rPr>
          <w:rFonts w:asciiTheme="majorHAnsi" w:hAnsiTheme="majorHAnsi" w:cstheme="majorHAnsi"/>
          <w:b/>
          <w:i/>
          <w:sz w:val="24"/>
          <w:szCs w:val="24"/>
          <w:lang w:val="ro-MD"/>
        </w:rPr>
      </w:pPr>
      <w:r w:rsidRPr="00606103">
        <w:rPr>
          <w:rFonts w:asciiTheme="majorHAnsi" w:hAnsiTheme="majorHAnsi" w:cstheme="majorHAnsi"/>
          <w:b/>
          <w:i/>
          <w:sz w:val="24"/>
          <w:szCs w:val="24"/>
          <w:lang w:val="ro-MD"/>
        </w:rPr>
        <w:lastRenderedPageBreak/>
        <w:t xml:space="preserve">Tabelul nr.7 </w:t>
      </w:r>
    </w:p>
    <w:p w:rsidR="000E0C22" w:rsidRPr="00606103" w:rsidRDefault="00B263FF">
      <w:pPr>
        <w:pStyle w:val="ListParagraph"/>
        <w:tabs>
          <w:tab w:val="left" w:pos="142"/>
        </w:tabs>
        <w:spacing w:after="0" w:line="276" w:lineRule="auto"/>
        <w:ind w:left="0"/>
        <w:jc w:val="center"/>
        <w:rPr>
          <w:rFonts w:asciiTheme="majorHAnsi" w:hAnsiTheme="majorHAnsi" w:cstheme="majorHAnsi"/>
          <w:b/>
          <w:sz w:val="24"/>
          <w:szCs w:val="24"/>
          <w:lang w:val="ro-MD"/>
        </w:rPr>
      </w:pPr>
      <w:r>
        <w:rPr>
          <w:rFonts w:asciiTheme="majorHAnsi" w:hAnsiTheme="majorHAnsi" w:cstheme="majorHAnsi"/>
          <w:b/>
          <w:sz w:val="24"/>
          <w:szCs w:val="24"/>
          <w:lang w:val="ro-MD"/>
        </w:rPr>
        <w:t>Analiza executării</w:t>
      </w:r>
      <w:r w:rsidR="000E0C22" w:rsidRPr="00606103">
        <w:rPr>
          <w:rFonts w:asciiTheme="majorHAnsi" w:hAnsiTheme="majorHAnsi" w:cstheme="majorHAnsi"/>
          <w:b/>
          <w:sz w:val="24"/>
          <w:szCs w:val="24"/>
          <w:lang w:val="ro-MD"/>
        </w:rPr>
        <w:t xml:space="preserve"> subvenții</w:t>
      </w:r>
      <w:r>
        <w:rPr>
          <w:rFonts w:asciiTheme="majorHAnsi" w:hAnsiTheme="majorHAnsi" w:cstheme="majorHAnsi"/>
          <w:b/>
          <w:sz w:val="24"/>
          <w:szCs w:val="24"/>
          <w:lang w:val="ro-MD"/>
        </w:rPr>
        <w:t>lor</w:t>
      </w:r>
      <w:r w:rsidR="000E0C22" w:rsidRPr="00606103">
        <w:rPr>
          <w:rFonts w:asciiTheme="majorHAnsi" w:hAnsiTheme="majorHAnsi" w:cstheme="majorHAnsi"/>
          <w:b/>
          <w:sz w:val="24"/>
          <w:szCs w:val="24"/>
          <w:lang w:val="ro-MD"/>
        </w:rPr>
        <w:t xml:space="preserve"> acordate în anul 2021</w:t>
      </w:r>
      <w:r>
        <w:rPr>
          <w:rFonts w:asciiTheme="majorHAnsi" w:hAnsiTheme="majorHAnsi" w:cstheme="majorHAnsi"/>
          <w:b/>
          <w:sz w:val="24"/>
          <w:szCs w:val="24"/>
          <w:lang w:val="ro-MD"/>
        </w:rPr>
        <w:t>, conform clasificației economice</w:t>
      </w:r>
    </w:p>
    <w:p w:rsidR="000E0C22" w:rsidRPr="00606103" w:rsidRDefault="00CD7428">
      <w:pPr>
        <w:pStyle w:val="ListParagraph"/>
        <w:tabs>
          <w:tab w:val="left" w:pos="142"/>
        </w:tabs>
        <w:spacing w:after="0" w:line="276" w:lineRule="auto"/>
        <w:ind w:left="0"/>
        <w:jc w:val="right"/>
        <w:rPr>
          <w:rFonts w:asciiTheme="majorHAnsi" w:eastAsia="Times New Roman" w:hAnsiTheme="majorHAnsi" w:cstheme="majorHAnsi"/>
          <w:bCs/>
          <w:i/>
          <w:sz w:val="24"/>
          <w:szCs w:val="24"/>
          <w:lang w:val="ro-MD"/>
        </w:rPr>
      </w:pPr>
      <w:r w:rsidRPr="00606103">
        <w:rPr>
          <w:rFonts w:asciiTheme="majorHAnsi" w:eastAsia="Times New Roman" w:hAnsiTheme="majorHAnsi" w:cstheme="majorHAnsi"/>
          <w:bCs/>
          <w:i/>
          <w:sz w:val="24"/>
          <w:szCs w:val="24"/>
          <w:lang w:val="ro-MD"/>
        </w:rPr>
        <w:t>(</w:t>
      </w:r>
      <w:r w:rsidR="000E0C22" w:rsidRPr="00606103">
        <w:rPr>
          <w:rFonts w:asciiTheme="majorHAnsi" w:eastAsia="Times New Roman" w:hAnsiTheme="majorHAnsi" w:cstheme="majorHAnsi"/>
          <w:bCs/>
          <w:i/>
          <w:sz w:val="24"/>
          <w:szCs w:val="24"/>
          <w:lang w:val="ro-MD"/>
        </w:rPr>
        <w:t>mil. lei</w:t>
      </w:r>
      <w:r w:rsidRPr="00606103">
        <w:rPr>
          <w:rFonts w:asciiTheme="majorHAnsi" w:eastAsia="Times New Roman" w:hAnsiTheme="majorHAnsi" w:cstheme="majorHAnsi"/>
          <w:bCs/>
          <w:i/>
          <w:sz w:val="24"/>
          <w:szCs w:val="24"/>
          <w:lang w:val="ro-MD"/>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105"/>
        <w:gridCol w:w="992"/>
        <w:gridCol w:w="1134"/>
        <w:gridCol w:w="1276"/>
        <w:gridCol w:w="992"/>
      </w:tblGrid>
      <w:tr w:rsidR="000E0C22" w:rsidRPr="00606103" w:rsidTr="00DD6C38">
        <w:trPr>
          <w:trHeight w:val="310"/>
        </w:trPr>
        <w:tc>
          <w:tcPr>
            <w:tcW w:w="4106" w:type="dxa"/>
            <w:shd w:val="clear" w:color="auto" w:fill="auto"/>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Denumirea</w:t>
            </w:r>
          </w:p>
        </w:tc>
        <w:tc>
          <w:tcPr>
            <w:tcW w:w="1105" w:type="dxa"/>
            <w:shd w:val="clear" w:color="auto" w:fill="auto"/>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Aprobat</w:t>
            </w:r>
          </w:p>
        </w:tc>
        <w:tc>
          <w:tcPr>
            <w:tcW w:w="992" w:type="dxa"/>
            <w:shd w:val="clear" w:color="auto" w:fill="auto"/>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Precizat</w:t>
            </w:r>
          </w:p>
        </w:tc>
        <w:tc>
          <w:tcPr>
            <w:tcW w:w="1134" w:type="dxa"/>
            <w:shd w:val="clear" w:color="auto" w:fill="auto"/>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Executat</w:t>
            </w:r>
          </w:p>
        </w:tc>
        <w:tc>
          <w:tcPr>
            <w:tcW w:w="1276" w:type="dxa"/>
            <w:shd w:val="clear" w:color="auto" w:fill="auto"/>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Executat fa</w:t>
            </w:r>
            <w:r w:rsidR="00B65716" w:rsidRPr="00606103">
              <w:rPr>
                <w:rFonts w:asciiTheme="majorHAnsi" w:hAnsiTheme="majorHAnsi" w:cstheme="majorHAnsi"/>
                <w:b/>
                <w:sz w:val="20"/>
                <w:szCs w:val="20"/>
                <w:lang w:val="ro-MD"/>
              </w:rPr>
              <w:t>ță</w:t>
            </w:r>
            <w:r w:rsidRPr="00606103">
              <w:rPr>
                <w:rFonts w:asciiTheme="majorHAnsi" w:hAnsiTheme="majorHAnsi" w:cstheme="majorHAnsi"/>
                <w:b/>
                <w:sz w:val="20"/>
                <w:szCs w:val="20"/>
                <w:lang w:val="ro-MD"/>
              </w:rPr>
              <w:t xml:space="preserve"> de </w:t>
            </w:r>
            <w:r w:rsidR="00D769CA" w:rsidRPr="00606103">
              <w:rPr>
                <w:rFonts w:asciiTheme="majorHAnsi" w:hAnsiTheme="majorHAnsi" w:cstheme="majorHAnsi"/>
                <w:b/>
                <w:sz w:val="20"/>
                <w:szCs w:val="20"/>
                <w:lang w:val="ro-MD"/>
              </w:rPr>
              <w:t>p</w:t>
            </w:r>
            <w:r w:rsidRPr="00606103">
              <w:rPr>
                <w:rFonts w:asciiTheme="majorHAnsi" w:hAnsiTheme="majorHAnsi" w:cstheme="majorHAnsi"/>
                <w:b/>
                <w:sz w:val="20"/>
                <w:szCs w:val="20"/>
                <w:lang w:val="ro-MD"/>
              </w:rPr>
              <w:t>recizat</w:t>
            </w:r>
          </w:p>
        </w:tc>
        <w:tc>
          <w:tcPr>
            <w:tcW w:w="992" w:type="dxa"/>
            <w:vAlign w:val="center"/>
          </w:tcPr>
          <w:p w:rsidR="000E0C22" w:rsidRPr="00606103" w:rsidRDefault="000E0C22">
            <w:pPr>
              <w:pStyle w:val="NoSpacing"/>
              <w:spacing w:line="276" w:lineRule="auto"/>
              <w:ind w:left="-58" w:right="-106"/>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Ponderea, %</w:t>
            </w:r>
          </w:p>
        </w:tc>
      </w:tr>
      <w:tr w:rsidR="000E0C22" w:rsidRPr="00606103" w:rsidTr="00DD6C38">
        <w:trPr>
          <w:trHeight w:val="59"/>
        </w:trPr>
        <w:tc>
          <w:tcPr>
            <w:tcW w:w="4106" w:type="dxa"/>
            <w:shd w:val="clear" w:color="auto" w:fill="auto"/>
            <w:vAlign w:val="center"/>
            <w:hideMark/>
          </w:tcPr>
          <w:p w:rsidR="000E0C22" w:rsidRPr="00606103" w:rsidRDefault="000E0C22" w:rsidP="00FE3F3B">
            <w:pPr>
              <w:pStyle w:val="NoSpacing"/>
              <w:spacing w:line="276" w:lineRule="auto"/>
              <w:jc w:val="center"/>
              <w:rPr>
                <w:rFonts w:asciiTheme="majorHAnsi" w:hAnsiTheme="majorHAnsi" w:cstheme="majorHAnsi"/>
                <w:i/>
                <w:sz w:val="16"/>
                <w:szCs w:val="20"/>
                <w:lang w:val="ro-MD"/>
              </w:rPr>
            </w:pPr>
            <w:r w:rsidRPr="00606103">
              <w:rPr>
                <w:rFonts w:asciiTheme="majorHAnsi" w:hAnsiTheme="majorHAnsi" w:cstheme="majorHAnsi"/>
                <w:i/>
                <w:sz w:val="16"/>
                <w:szCs w:val="20"/>
                <w:lang w:val="ro-MD"/>
              </w:rPr>
              <w:t>1</w:t>
            </w:r>
          </w:p>
        </w:tc>
        <w:tc>
          <w:tcPr>
            <w:tcW w:w="1105" w:type="dxa"/>
            <w:shd w:val="clear" w:color="auto" w:fill="auto"/>
            <w:noWrap/>
            <w:vAlign w:val="center"/>
            <w:hideMark/>
          </w:tcPr>
          <w:p w:rsidR="000E0C22" w:rsidRPr="00606103" w:rsidRDefault="00872376">
            <w:pPr>
              <w:pStyle w:val="NoSpacing"/>
              <w:spacing w:line="276" w:lineRule="auto"/>
              <w:jc w:val="center"/>
              <w:rPr>
                <w:rFonts w:asciiTheme="majorHAnsi" w:hAnsiTheme="majorHAnsi" w:cstheme="majorHAnsi"/>
                <w:i/>
                <w:sz w:val="16"/>
                <w:szCs w:val="20"/>
                <w:lang w:val="ro-MD"/>
              </w:rPr>
            </w:pPr>
            <w:r w:rsidRPr="00606103">
              <w:rPr>
                <w:rFonts w:asciiTheme="majorHAnsi" w:hAnsiTheme="majorHAnsi" w:cstheme="majorHAnsi"/>
                <w:i/>
                <w:sz w:val="16"/>
                <w:szCs w:val="20"/>
                <w:lang w:val="ro-MD"/>
              </w:rPr>
              <w:t>2</w:t>
            </w:r>
          </w:p>
        </w:tc>
        <w:tc>
          <w:tcPr>
            <w:tcW w:w="992" w:type="dxa"/>
            <w:shd w:val="clear" w:color="auto" w:fill="auto"/>
            <w:noWrap/>
            <w:vAlign w:val="center"/>
            <w:hideMark/>
          </w:tcPr>
          <w:p w:rsidR="000E0C22" w:rsidRPr="00606103" w:rsidRDefault="00872376">
            <w:pPr>
              <w:pStyle w:val="NoSpacing"/>
              <w:spacing w:line="276" w:lineRule="auto"/>
              <w:jc w:val="center"/>
              <w:rPr>
                <w:rFonts w:asciiTheme="majorHAnsi" w:hAnsiTheme="majorHAnsi" w:cstheme="majorHAnsi"/>
                <w:i/>
                <w:sz w:val="16"/>
                <w:szCs w:val="20"/>
                <w:lang w:val="ro-MD"/>
              </w:rPr>
            </w:pPr>
            <w:r w:rsidRPr="00606103">
              <w:rPr>
                <w:rFonts w:asciiTheme="majorHAnsi" w:hAnsiTheme="majorHAnsi" w:cstheme="majorHAnsi"/>
                <w:i/>
                <w:sz w:val="16"/>
                <w:szCs w:val="20"/>
                <w:lang w:val="ro-MD"/>
              </w:rPr>
              <w:t>3</w:t>
            </w:r>
          </w:p>
        </w:tc>
        <w:tc>
          <w:tcPr>
            <w:tcW w:w="1134" w:type="dxa"/>
            <w:shd w:val="clear" w:color="auto" w:fill="auto"/>
            <w:noWrap/>
            <w:vAlign w:val="center"/>
            <w:hideMark/>
          </w:tcPr>
          <w:p w:rsidR="000E0C22" w:rsidRPr="00606103" w:rsidRDefault="00872376" w:rsidP="00872376">
            <w:pPr>
              <w:pStyle w:val="NoSpacing"/>
              <w:spacing w:line="276" w:lineRule="auto"/>
              <w:jc w:val="center"/>
              <w:rPr>
                <w:rFonts w:asciiTheme="majorHAnsi" w:hAnsiTheme="majorHAnsi" w:cstheme="majorHAnsi"/>
                <w:i/>
                <w:sz w:val="16"/>
                <w:szCs w:val="20"/>
                <w:lang w:val="ro-MD"/>
              </w:rPr>
            </w:pPr>
            <w:r w:rsidRPr="00606103">
              <w:rPr>
                <w:rFonts w:asciiTheme="majorHAnsi" w:hAnsiTheme="majorHAnsi" w:cstheme="majorHAnsi"/>
                <w:i/>
                <w:sz w:val="16"/>
                <w:szCs w:val="20"/>
                <w:lang w:val="ro-MD"/>
              </w:rPr>
              <w:t>4</w:t>
            </w:r>
          </w:p>
        </w:tc>
        <w:tc>
          <w:tcPr>
            <w:tcW w:w="1276" w:type="dxa"/>
            <w:shd w:val="clear" w:color="auto" w:fill="auto"/>
            <w:noWrap/>
            <w:vAlign w:val="center"/>
            <w:hideMark/>
          </w:tcPr>
          <w:p w:rsidR="000E0C22" w:rsidRPr="00606103" w:rsidRDefault="00872376">
            <w:pPr>
              <w:pStyle w:val="NoSpacing"/>
              <w:spacing w:line="276" w:lineRule="auto"/>
              <w:jc w:val="center"/>
              <w:rPr>
                <w:rFonts w:asciiTheme="majorHAnsi" w:hAnsiTheme="majorHAnsi" w:cstheme="majorHAnsi"/>
                <w:i/>
                <w:sz w:val="16"/>
                <w:szCs w:val="20"/>
                <w:lang w:val="ro-MD"/>
              </w:rPr>
            </w:pPr>
            <w:r w:rsidRPr="00606103">
              <w:rPr>
                <w:rFonts w:asciiTheme="majorHAnsi" w:hAnsiTheme="majorHAnsi" w:cstheme="majorHAnsi"/>
                <w:i/>
                <w:sz w:val="16"/>
                <w:szCs w:val="20"/>
                <w:lang w:val="ro-MD"/>
              </w:rPr>
              <w:t>5=4-3</w:t>
            </w:r>
          </w:p>
        </w:tc>
        <w:tc>
          <w:tcPr>
            <w:tcW w:w="992" w:type="dxa"/>
            <w:vAlign w:val="center"/>
          </w:tcPr>
          <w:p w:rsidR="000E0C22" w:rsidRPr="00606103" w:rsidRDefault="00872376">
            <w:pPr>
              <w:pStyle w:val="NoSpacing"/>
              <w:spacing w:line="276" w:lineRule="auto"/>
              <w:jc w:val="center"/>
              <w:rPr>
                <w:rFonts w:asciiTheme="majorHAnsi" w:hAnsiTheme="majorHAnsi" w:cstheme="majorHAnsi"/>
                <w:i/>
                <w:sz w:val="16"/>
                <w:szCs w:val="20"/>
                <w:lang w:val="ro-MD"/>
              </w:rPr>
            </w:pPr>
            <w:r w:rsidRPr="00606103">
              <w:rPr>
                <w:rFonts w:asciiTheme="majorHAnsi" w:hAnsiTheme="majorHAnsi" w:cstheme="majorHAnsi"/>
                <w:i/>
                <w:sz w:val="16"/>
                <w:szCs w:val="20"/>
                <w:lang w:val="ro-MD"/>
              </w:rPr>
              <w:t>6</w:t>
            </w:r>
          </w:p>
        </w:tc>
      </w:tr>
      <w:tr w:rsidR="000E0C22" w:rsidRPr="00606103" w:rsidTr="00DD6C38">
        <w:trPr>
          <w:trHeight w:val="196"/>
        </w:trPr>
        <w:tc>
          <w:tcPr>
            <w:tcW w:w="4106" w:type="dxa"/>
            <w:shd w:val="clear" w:color="auto" w:fill="auto"/>
            <w:vAlign w:val="center"/>
            <w:hideMark/>
          </w:tcPr>
          <w:p w:rsidR="000E0C22" w:rsidRPr="00606103" w:rsidRDefault="000E0C22" w:rsidP="00552746">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sz w:val="20"/>
                <w:szCs w:val="20"/>
                <w:lang w:val="ro-MD"/>
              </w:rPr>
              <w:t xml:space="preserve">Subvenții acordate întreprinderilor de stat </w:t>
            </w:r>
            <w:r w:rsidR="00D769CA" w:rsidRPr="00606103">
              <w:rPr>
                <w:rFonts w:asciiTheme="majorHAnsi" w:hAnsiTheme="majorHAnsi" w:cstheme="majorHAnsi"/>
                <w:sz w:val="20"/>
                <w:szCs w:val="20"/>
                <w:lang w:val="ro-MD"/>
              </w:rPr>
              <w:t>ș</w:t>
            </w:r>
            <w:r w:rsidR="00FD7F3E" w:rsidRPr="00606103">
              <w:rPr>
                <w:rFonts w:asciiTheme="majorHAnsi" w:hAnsiTheme="majorHAnsi" w:cstheme="majorHAnsi"/>
                <w:sz w:val="20"/>
                <w:szCs w:val="20"/>
                <w:lang w:val="ro-MD"/>
              </w:rPr>
              <w:t>i municipale</w:t>
            </w:r>
          </w:p>
        </w:tc>
        <w:tc>
          <w:tcPr>
            <w:tcW w:w="1105"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1.599,7</w:t>
            </w:r>
          </w:p>
        </w:tc>
        <w:tc>
          <w:tcPr>
            <w:tcW w:w="992"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1.617,0</w:t>
            </w:r>
          </w:p>
        </w:tc>
        <w:tc>
          <w:tcPr>
            <w:tcW w:w="1134"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1.459,8</w:t>
            </w:r>
          </w:p>
        </w:tc>
        <w:tc>
          <w:tcPr>
            <w:tcW w:w="1276"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-157,3</w:t>
            </w:r>
          </w:p>
        </w:tc>
        <w:tc>
          <w:tcPr>
            <w:tcW w:w="992" w:type="dxa"/>
            <w:shd w:val="clear" w:color="auto" w:fill="auto"/>
            <w:vAlign w:val="center"/>
          </w:tcPr>
          <w:p w:rsidR="000E0C22" w:rsidRPr="00606103" w:rsidRDefault="000E0C22" w:rsidP="00552746">
            <w:pPr>
              <w:pStyle w:val="NoSpacing"/>
              <w:spacing w:line="276" w:lineRule="auto"/>
              <w:ind w:left="-207" w:right="172"/>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43,7</w:t>
            </w:r>
          </w:p>
        </w:tc>
      </w:tr>
      <w:tr w:rsidR="000E0C22" w:rsidRPr="00606103" w:rsidTr="00DD6C38">
        <w:trPr>
          <w:trHeight w:val="76"/>
        </w:trPr>
        <w:tc>
          <w:tcPr>
            <w:tcW w:w="4106" w:type="dxa"/>
            <w:shd w:val="clear" w:color="auto" w:fill="auto"/>
            <w:vAlign w:val="center"/>
            <w:hideMark/>
          </w:tcPr>
          <w:p w:rsidR="000E0C22" w:rsidRPr="00606103" w:rsidRDefault="000E0C22" w:rsidP="00552746">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sz w:val="20"/>
                <w:szCs w:val="20"/>
                <w:lang w:val="ro-MD"/>
              </w:rPr>
              <w:t>Subvenții acordate întreprinderilor private nefinanciare</w:t>
            </w:r>
          </w:p>
        </w:tc>
        <w:tc>
          <w:tcPr>
            <w:tcW w:w="1105"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1.366,5</w:t>
            </w:r>
          </w:p>
        </w:tc>
        <w:tc>
          <w:tcPr>
            <w:tcW w:w="992"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1.463,8</w:t>
            </w:r>
          </w:p>
        </w:tc>
        <w:tc>
          <w:tcPr>
            <w:tcW w:w="1134"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1.390,9</w:t>
            </w:r>
          </w:p>
        </w:tc>
        <w:tc>
          <w:tcPr>
            <w:tcW w:w="1276"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-72,9</w:t>
            </w:r>
          </w:p>
        </w:tc>
        <w:tc>
          <w:tcPr>
            <w:tcW w:w="992" w:type="dxa"/>
            <w:shd w:val="clear" w:color="auto" w:fill="auto"/>
            <w:vAlign w:val="center"/>
          </w:tcPr>
          <w:p w:rsidR="000E0C22" w:rsidRPr="00606103" w:rsidRDefault="000E0C22" w:rsidP="00552746">
            <w:pPr>
              <w:pStyle w:val="NoSpacing"/>
              <w:spacing w:line="276" w:lineRule="auto"/>
              <w:ind w:left="-207" w:right="172"/>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41,6</w:t>
            </w:r>
          </w:p>
        </w:tc>
      </w:tr>
      <w:tr w:rsidR="000E0C22" w:rsidRPr="00606103" w:rsidTr="00DD6C38">
        <w:trPr>
          <w:trHeight w:val="76"/>
        </w:trPr>
        <w:tc>
          <w:tcPr>
            <w:tcW w:w="4106" w:type="dxa"/>
            <w:shd w:val="clear" w:color="auto" w:fill="auto"/>
            <w:vAlign w:val="center"/>
            <w:hideMark/>
          </w:tcPr>
          <w:p w:rsidR="000E0C22" w:rsidRPr="00606103" w:rsidRDefault="000E0C22" w:rsidP="00552746">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sz w:val="20"/>
                <w:szCs w:val="20"/>
                <w:lang w:val="ro-MD"/>
              </w:rPr>
              <w:t>Subvenții acordate instituțiilor private financiare</w:t>
            </w:r>
          </w:p>
        </w:tc>
        <w:tc>
          <w:tcPr>
            <w:tcW w:w="1105"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11,0</w:t>
            </w:r>
          </w:p>
        </w:tc>
        <w:tc>
          <w:tcPr>
            <w:tcW w:w="992"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43,7</w:t>
            </w:r>
          </w:p>
        </w:tc>
        <w:tc>
          <w:tcPr>
            <w:tcW w:w="1134"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42,6</w:t>
            </w:r>
          </w:p>
        </w:tc>
        <w:tc>
          <w:tcPr>
            <w:tcW w:w="1276"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-1,1</w:t>
            </w:r>
          </w:p>
        </w:tc>
        <w:tc>
          <w:tcPr>
            <w:tcW w:w="992" w:type="dxa"/>
            <w:shd w:val="clear" w:color="auto" w:fill="auto"/>
            <w:vAlign w:val="center"/>
          </w:tcPr>
          <w:p w:rsidR="000E0C22" w:rsidRPr="00606103" w:rsidRDefault="000E0C22" w:rsidP="00552746">
            <w:pPr>
              <w:pStyle w:val="NoSpacing"/>
              <w:spacing w:line="276" w:lineRule="auto"/>
              <w:ind w:left="-207" w:right="172"/>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1,3</w:t>
            </w:r>
          </w:p>
        </w:tc>
      </w:tr>
      <w:tr w:rsidR="000E0C22" w:rsidRPr="00606103" w:rsidTr="00DD6C38">
        <w:trPr>
          <w:trHeight w:val="334"/>
        </w:trPr>
        <w:tc>
          <w:tcPr>
            <w:tcW w:w="4106" w:type="dxa"/>
            <w:shd w:val="clear" w:color="auto" w:fill="auto"/>
            <w:vAlign w:val="center"/>
            <w:hideMark/>
          </w:tcPr>
          <w:p w:rsidR="000E0C22" w:rsidRPr="00606103" w:rsidRDefault="000E0C22" w:rsidP="00552746">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sz w:val="20"/>
                <w:szCs w:val="20"/>
                <w:lang w:val="ro-MD"/>
              </w:rPr>
              <w:t>Subvenții acordate organizațiilor necomerciale</w:t>
            </w:r>
          </w:p>
        </w:tc>
        <w:tc>
          <w:tcPr>
            <w:tcW w:w="1105"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71,4</w:t>
            </w:r>
          </w:p>
        </w:tc>
        <w:tc>
          <w:tcPr>
            <w:tcW w:w="992"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62,2</w:t>
            </w:r>
          </w:p>
        </w:tc>
        <w:tc>
          <w:tcPr>
            <w:tcW w:w="1134"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57,9</w:t>
            </w:r>
          </w:p>
        </w:tc>
        <w:tc>
          <w:tcPr>
            <w:tcW w:w="1276"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-4,3</w:t>
            </w:r>
          </w:p>
        </w:tc>
        <w:tc>
          <w:tcPr>
            <w:tcW w:w="992" w:type="dxa"/>
            <w:shd w:val="clear" w:color="auto" w:fill="auto"/>
            <w:vAlign w:val="center"/>
          </w:tcPr>
          <w:p w:rsidR="000E0C22" w:rsidRPr="00606103" w:rsidRDefault="000E0C22" w:rsidP="00552746">
            <w:pPr>
              <w:pStyle w:val="NoSpacing"/>
              <w:spacing w:line="276" w:lineRule="auto"/>
              <w:ind w:left="-207" w:right="172"/>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1,7</w:t>
            </w:r>
          </w:p>
        </w:tc>
      </w:tr>
      <w:tr w:rsidR="000E0C22" w:rsidRPr="00606103" w:rsidTr="00DD6C38">
        <w:trPr>
          <w:trHeight w:val="76"/>
        </w:trPr>
        <w:tc>
          <w:tcPr>
            <w:tcW w:w="4106" w:type="dxa"/>
            <w:shd w:val="clear" w:color="auto" w:fill="auto"/>
            <w:vAlign w:val="center"/>
            <w:hideMark/>
          </w:tcPr>
          <w:p w:rsidR="000E0C22" w:rsidRPr="00606103" w:rsidRDefault="000E0C22" w:rsidP="00552746">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sz w:val="20"/>
                <w:szCs w:val="20"/>
                <w:lang w:val="ro-MD"/>
              </w:rPr>
              <w:t>Subvenții acordate autorităților/instituțiilor publice la autogestiune</w:t>
            </w:r>
          </w:p>
        </w:tc>
        <w:tc>
          <w:tcPr>
            <w:tcW w:w="1105"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400,6</w:t>
            </w:r>
          </w:p>
        </w:tc>
        <w:tc>
          <w:tcPr>
            <w:tcW w:w="992"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434,0</w:t>
            </w:r>
          </w:p>
        </w:tc>
        <w:tc>
          <w:tcPr>
            <w:tcW w:w="1134"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392,9</w:t>
            </w:r>
          </w:p>
        </w:tc>
        <w:tc>
          <w:tcPr>
            <w:tcW w:w="1276"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-41,1</w:t>
            </w:r>
          </w:p>
        </w:tc>
        <w:tc>
          <w:tcPr>
            <w:tcW w:w="992" w:type="dxa"/>
            <w:shd w:val="clear" w:color="auto" w:fill="auto"/>
            <w:vAlign w:val="center"/>
          </w:tcPr>
          <w:p w:rsidR="000E0C22" w:rsidRPr="00606103" w:rsidRDefault="000E0C22" w:rsidP="00552746">
            <w:pPr>
              <w:pStyle w:val="NoSpacing"/>
              <w:spacing w:line="276" w:lineRule="auto"/>
              <w:ind w:left="-207" w:right="172"/>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11,7</w:t>
            </w:r>
          </w:p>
        </w:tc>
      </w:tr>
      <w:tr w:rsidR="000E0C22" w:rsidRPr="00606103" w:rsidTr="00DD6C38">
        <w:trPr>
          <w:trHeight w:val="141"/>
        </w:trPr>
        <w:tc>
          <w:tcPr>
            <w:tcW w:w="4106" w:type="dxa"/>
            <w:shd w:val="clear" w:color="auto" w:fill="auto"/>
            <w:vAlign w:val="center"/>
          </w:tcPr>
          <w:p w:rsidR="000E0C22" w:rsidRPr="00606103" w:rsidRDefault="000E0C22" w:rsidP="00552746">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b/>
                <w:sz w:val="20"/>
                <w:szCs w:val="20"/>
                <w:lang w:val="ro-MD"/>
              </w:rPr>
              <w:t>Total subvenții</w:t>
            </w:r>
            <w:r w:rsidRPr="00606103">
              <w:rPr>
                <w:rFonts w:asciiTheme="majorHAnsi" w:hAnsiTheme="majorHAnsi" w:cstheme="majorHAnsi"/>
                <w:sz w:val="20"/>
                <w:szCs w:val="20"/>
                <w:lang w:val="ro-MD"/>
              </w:rPr>
              <w:t xml:space="preserve">, </w:t>
            </w:r>
            <w:r w:rsidRPr="00606103">
              <w:rPr>
                <w:rFonts w:asciiTheme="majorHAnsi" w:hAnsiTheme="majorHAnsi" w:cstheme="majorHAnsi"/>
                <w:i/>
                <w:sz w:val="20"/>
                <w:szCs w:val="20"/>
                <w:lang w:val="ro-MD"/>
              </w:rPr>
              <w:t>inclusiv din contul:</w:t>
            </w:r>
          </w:p>
        </w:tc>
        <w:tc>
          <w:tcPr>
            <w:tcW w:w="1105"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3.449,2</w:t>
            </w:r>
          </w:p>
        </w:tc>
        <w:tc>
          <w:tcPr>
            <w:tcW w:w="992"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3.620,8</w:t>
            </w:r>
          </w:p>
        </w:tc>
        <w:tc>
          <w:tcPr>
            <w:tcW w:w="1134"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3.344,1</w:t>
            </w:r>
          </w:p>
        </w:tc>
        <w:tc>
          <w:tcPr>
            <w:tcW w:w="1276"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-276,7</w:t>
            </w:r>
          </w:p>
        </w:tc>
        <w:tc>
          <w:tcPr>
            <w:tcW w:w="992" w:type="dxa"/>
            <w:shd w:val="clear" w:color="auto" w:fill="auto"/>
            <w:vAlign w:val="center"/>
          </w:tcPr>
          <w:p w:rsidR="000E0C22" w:rsidRPr="00606103" w:rsidRDefault="000E0C22" w:rsidP="00552746">
            <w:pPr>
              <w:pStyle w:val="NoSpacing"/>
              <w:spacing w:line="276" w:lineRule="auto"/>
              <w:ind w:left="-207" w:right="172"/>
              <w:jc w:val="right"/>
              <w:rPr>
                <w:rFonts w:asciiTheme="majorHAnsi" w:hAnsiTheme="majorHAnsi" w:cstheme="majorHAnsi"/>
                <w:b/>
                <w:sz w:val="20"/>
                <w:szCs w:val="20"/>
                <w:lang w:val="ro-MD"/>
              </w:rPr>
            </w:pPr>
            <w:r w:rsidRPr="00606103">
              <w:rPr>
                <w:rFonts w:asciiTheme="majorHAnsi" w:hAnsiTheme="majorHAnsi" w:cstheme="majorHAnsi"/>
                <w:b/>
                <w:sz w:val="20"/>
                <w:szCs w:val="20"/>
                <w:lang w:val="ro-MD"/>
              </w:rPr>
              <w:t>100,0</w:t>
            </w:r>
          </w:p>
        </w:tc>
      </w:tr>
      <w:tr w:rsidR="000E0C22" w:rsidRPr="00606103" w:rsidTr="00DD6C38">
        <w:trPr>
          <w:trHeight w:val="141"/>
        </w:trPr>
        <w:tc>
          <w:tcPr>
            <w:tcW w:w="4106" w:type="dxa"/>
            <w:shd w:val="clear" w:color="auto" w:fill="auto"/>
            <w:vAlign w:val="center"/>
          </w:tcPr>
          <w:p w:rsidR="000E0C22" w:rsidRPr="00606103" w:rsidRDefault="000E0C22" w:rsidP="00552746">
            <w:pPr>
              <w:pStyle w:val="NoSpacing"/>
              <w:spacing w:line="276" w:lineRule="auto"/>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Resurse generale</w:t>
            </w:r>
          </w:p>
        </w:tc>
        <w:tc>
          <w:tcPr>
            <w:tcW w:w="1105"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3.416,5</w:t>
            </w:r>
          </w:p>
        </w:tc>
        <w:tc>
          <w:tcPr>
            <w:tcW w:w="992"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3.584,2</w:t>
            </w:r>
          </w:p>
        </w:tc>
        <w:tc>
          <w:tcPr>
            <w:tcW w:w="1134"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3.310,7</w:t>
            </w:r>
          </w:p>
        </w:tc>
        <w:tc>
          <w:tcPr>
            <w:tcW w:w="1276"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-273,5</w:t>
            </w:r>
          </w:p>
        </w:tc>
        <w:tc>
          <w:tcPr>
            <w:tcW w:w="992" w:type="dxa"/>
            <w:shd w:val="clear" w:color="auto" w:fill="auto"/>
            <w:vAlign w:val="center"/>
          </w:tcPr>
          <w:p w:rsidR="000E0C22" w:rsidRPr="00606103" w:rsidRDefault="000E0C22" w:rsidP="00552746">
            <w:pPr>
              <w:pStyle w:val="NoSpacing"/>
              <w:spacing w:line="276" w:lineRule="auto"/>
              <w:ind w:left="-207" w:right="172"/>
              <w:jc w:val="right"/>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99,0</w:t>
            </w:r>
          </w:p>
        </w:tc>
      </w:tr>
      <w:tr w:rsidR="000E0C22" w:rsidRPr="00606103" w:rsidTr="00DD6C38">
        <w:trPr>
          <w:trHeight w:val="76"/>
        </w:trPr>
        <w:tc>
          <w:tcPr>
            <w:tcW w:w="4106" w:type="dxa"/>
            <w:shd w:val="clear" w:color="auto" w:fill="auto"/>
            <w:vAlign w:val="center"/>
          </w:tcPr>
          <w:p w:rsidR="000E0C22" w:rsidRPr="00606103" w:rsidRDefault="000E0C22" w:rsidP="00552746">
            <w:pPr>
              <w:pStyle w:val="NoSpacing"/>
              <w:spacing w:line="276" w:lineRule="auto"/>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PFSE</w:t>
            </w:r>
          </w:p>
        </w:tc>
        <w:tc>
          <w:tcPr>
            <w:tcW w:w="1105"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32,7</w:t>
            </w:r>
          </w:p>
        </w:tc>
        <w:tc>
          <w:tcPr>
            <w:tcW w:w="992"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36,6</w:t>
            </w:r>
          </w:p>
        </w:tc>
        <w:tc>
          <w:tcPr>
            <w:tcW w:w="1134"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33,4</w:t>
            </w:r>
          </w:p>
        </w:tc>
        <w:tc>
          <w:tcPr>
            <w:tcW w:w="1276"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-3,2</w:t>
            </w:r>
          </w:p>
        </w:tc>
        <w:tc>
          <w:tcPr>
            <w:tcW w:w="992" w:type="dxa"/>
            <w:shd w:val="clear" w:color="auto" w:fill="auto"/>
            <w:vAlign w:val="center"/>
          </w:tcPr>
          <w:p w:rsidR="000E0C22" w:rsidRPr="00606103" w:rsidRDefault="000E0C22" w:rsidP="00552746">
            <w:pPr>
              <w:pStyle w:val="NoSpacing"/>
              <w:spacing w:line="276" w:lineRule="auto"/>
              <w:ind w:left="-207" w:right="172"/>
              <w:jc w:val="right"/>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1,0</w:t>
            </w:r>
          </w:p>
        </w:tc>
      </w:tr>
    </w:tbl>
    <w:p w:rsidR="000E0C22" w:rsidRPr="00606103" w:rsidRDefault="000E0C22" w:rsidP="00FE3F3B">
      <w:pPr>
        <w:tabs>
          <w:tab w:val="left" w:pos="851"/>
        </w:tabs>
        <w:spacing w:line="276" w:lineRule="auto"/>
        <w:contextualSpacing/>
        <w:rPr>
          <w:rFonts w:asciiTheme="majorHAnsi" w:eastAsia="Times New Roman" w:hAnsiTheme="majorHAnsi" w:cstheme="majorHAnsi"/>
          <w:bCs/>
          <w:i/>
          <w:iCs/>
          <w:sz w:val="20"/>
          <w:szCs w:val="20"/>
          <w:lang w:val="ro-MD"/>
        </w:rPr>
      </w:pPr>
      <w:r w:rsidRPr="00606103">
        <w:rPr>
          <w:rFonts w:asciiTheme="majorHAnsi" w:eastAsia="Times New Roman" w:hAnsiTheme="majorHAnsi" w:cstheme="majorHAnsi"/>
          <w:b/>
          <w:bCs/>
          <w:i/>
          <w:iCs/>
          <w:sz w:val="20"/>
          <w:szCs w:val="20"/>
          <w:lang w:val="ro-MD"/>
        </w:rPr>
        <w:t>Sursa:</w:t>
      </w:r>
      <w:r w:rsidRPr="00606103">
        <w:rPr>
          <w:rFonts w:asciiTheme="majorHAnsi" w:eastAsia="Times New Roman" w:hAnsiTheme="majorHAnsi" w:cstheme="majorHAnsi"/>
          <w:bCs/>
          <w:i/>
          <w:iCs/>
          <w:sz w:val="20"/>
          <w:szCs w:val="20"/>
          <w:lang w:val="ro-MD"/>
        </w:rPr>
        <w:t xml:space="preserve"> Informații generalizate de către echipa de audit în baza datelor prezentate de MF</w:t>
      </w:r>
      <w:r w:rsidR="00CD7428" w:rsidRPr="00606103">
        <w:rPr>
          <w:rFonts w:asciiTheme="majorHAnsi" w:eastAsia="Times New Roman" w:hAnsiTheme="majorHAnsi" w:cstheme="majorHAnsi"/>
          <w:bCs/>
          <w:i/>
          <w:iCs/>
          <w:sz w:val="20"/>
          <w:szCs w:val="20"/>
          <w:lang w:val="ro-MD"/>
        </w:rPr>
        <w:t>.</w:t>
      </w:r>
    </w:p>
    <w:p w:rsidR="000E0C22" w:rsidRPr="00606103" w:rsidRDefault="000E0C22">
      <w:pPr>
        <w:spacing w:before="240" w:line="276" w:lineRule="auto"/>
        <w:rPr>
          <w:rFonts w:asciiTheme="majorHAnsi" w:hAnsiTheme="majorHAnsi"/>
          <w:sz w:val="24"/>
          <w:szCs w:val="24"/>
          <w:lang w:val="ro-MD"/>
        </w:rPr>
      </w:pPr>
      <w:r w:rsidRPr="00606103">
        <w:rPr>
          <w:rFonts w:asciiTheme="majorHAnsi" w:hAnsiTheme="majorHAnsi"/>
          <w:sz w:val="24"/>
          <w:szCs w:val="24"/>
          <w:lang w:val="ro-MD"/>
        </w:rPr>
        <w:t>Cele mai semnificative sume ale subvențiilor acordate din bugetul de sta</w:t>
      </w:r>
      <w:r w:rsidR="00FD7F3E" w:rsidRPr="00606103">
        <w:rPr>
          <w:rFonts w:asciiTheme="majorHAnsi" w:hAnsiTheme="majorHAnsi"/>
          <w:sz w:val="24"/>
          <w:szCs w:val="24"/>
          <w:lang w:val="ro-MD"/>
        </w:rPr>
        <w:t>t, în aspectul instituțiilor, întreprinderilor de stat, societăților pe acțiuni cu cota statului, beneficiare,</w:t>
      </w:r>
      <w:r w:rsidRPr="00606103">
        <w:rPr>
          <w:rFonts w:asciiTheme="majorHAnsi" w:hAnsiTheme="majorHAnsi"/>
          <w:sz w:val="24"/>
          <w:szCs w:val="24"/>
          <w:lang w:val="ro-MD"/>
        </w:rPr>
        <w:t xml:space="preserve"> se evidențiază </w:t>
      </w:r>
      <w:r w:rsidR="00D769CA" w:rsidRPr="00606103">
        <w:rPr>
          <w:rFonts w:asciiTheme="majorHAnsi" w:hAnsiTheme="majorHAnsi"/>
          <w:sz w:val="24"/>
          <w:szCs w:val="24"/>
          <w:lang w:val="ro-MD"/>
        </w:rPr>
        <w:t>Î</w:t>
      </w:r>
      <w:r w:rsidRPr="00606103">
        <w:rPr>
          <w:rFonts w:asciiTheme="majorHAnsi" w:hAnsiTheme="majorHAnsi"/>
          <w:sz w:val="24"/>
          <w:szCs w:val="24"/>
          <w:lang w:val="ro-MD"/>
        </w:rPr>
        <w:t xml:space="preserve">.S. </w:t>
      </w:r>
      <w:r w:rsidR="00D769CA" w:rsidRPr="00606103">
        <w:rPr>
          <w:rFonts w:asciiTheme="majorHAnsi" w:hAnsiTheme="majorHAnsi"/>
          <w:sz w:val="24"/>
          <w:szCs w:val="24"/>
          <w:lang w:val="ro-MD"/>
        </w:rPr>
        <w:t>„</w:t>
      </w:r>
      <w:r w:rsidRPr="00606103">
        <w:rPr>
          <w:rFonts w:asciiTheme="majorHAnsi" w:hAnsiTheme="majorHAnsi"/>
          <w:sz w:val="24"/>
          <w:szCs w:val="24"/>
          <w:lang w:val="ro-MD"/>
        </w:rPr>
        <w:t>Administrația de Stat a Drumurilor</w:t>
      </w:r>
      <w:r w:rsidR="00D769CA" w:rsidRPr="00606103">
        <w:rPr>
          <w:rFonts w:asciiTheme="majorHAnsi" w:hAnsiTheme="majorHAnsi"/>
          <w:sz w:val="24"/>
          <w:szCs w:val="24"/>
          <w:lang w:val="ro-MD"/>
        </w:rPr>
        <w:t>” –</w:t>
      </w:r>
      <w:r w:rsidRPr="00606103">
        <w:rPr>
          <w:rFonts w:asciiTheme="majorHAnsi" w:hAnsiTheme="majorHAnsi"/>
          <w:sz w:val="24"/>
          <w:szCs w:val="24"/>
          <w:lang w:val="ro-MD"/>
        </w:rPr>
        <w:t xml:space="preserve"> 1 </w:t>
      </w:r>
      <w:r w:rsidR="009950FF" w:rsidRPr="00606103">
        <w:rPr>
          <w:rFonts w:asciiTheme="majorHAnsi" w:hAnsiTheme="majorHAnsi"/>
          <w:sz w:val="24"/>
          <w:szCs w:val="24"/>
          <w:lang w:val="ro-MD"/>
        </w:rPr>
        <w:t>393,1</w:t>
      </w:r>
      <w:r w:rsidRPr="00606103">
        <w:rPr>
          <w:rFonts w:asciiTheme="majorHAnsi" w:hAnsiTheme="majorHAnsi"/>
          <w:sz w:val="24"/>
          <w:szCs w:val="24"/>
          <w:lang w:val="ro-MD"/>
        </w:rPr>
        <w:t xml:space="preserve"> mil. lei, IPN</w:t>
      </w:r>
      <w:r w:rsidR="00162C73" w:rsidRPr="00606103">
        <w:rPr>
          <w:rFonts w:asciiTheme="majorHAnsi" w:hAnsiTheme="majorHAnsi"/>
          <w:sz w:val="24"/>
          <w:szCs w:val="24"/>
          <w:lang w:val="ro-MD"/>
        </w:rPr>
        <w:t>A</w:t>
      </w:r>
      <w:r w:rsidRPr="00606103">
        <w:rPr>
          <w:rFonts w:asciiTheme="majorHAnsi" w:hAnsiTheme="majorHAnsi"/>
          <w:sz w:val="24"/>
          <w:szCs w:val="24"/>
          <w:lang w:val="ro-MD"/>
        </w:rPr>
        <w:t xml:space="preserve"> </w:t>
      </w:r>
      <w:r w:rsidR="00D769CA" w:rsidRPr="00606103">
        <w:rPr>
          <w:rFonts w:asciiTheme="majorHAnsi" w:hAnsiTheme="majorHAnsi"/>
          <w:sz w:val="24"/>
          <w:szCs w:val="24"/>
          <w:lang w:val="ro-MD"/>
        </w:rPr>
        <w:t>„</w:t>
      </w:r>
      <w:r w:rsidRPr="00606103">
        <w:rPr>
          <w:rFonts w:asciiTheme="majorHAnsi" w:hAnsiTheme="majorHAnsi"/>
          <w:sz w:val="24"/>
          <w:szCs w:val="24"/>
          <w:lang w:val="ro-MD"/>
        </w:rPr>
        <w:t>Compania Teleradio-Moldova</w:t>
      </w:r>
      <w:r w:rsidR="00D769CA" w:rsidRPr="00606103">
        <w:rPr>
          <w:rFonts w:asciiTheme="majorHAnsi" w:hAnsiTheme="majorHAnsi"/>
          <w:sz w:val="24"/>
          <w:szCs w:val="24"/>
          <w:lang w:val="ro-MD"/>
        </w:rPr>
        <w:t>”</w:t>
      </w:r>
      <w:r w:rsidRPr="00606103">
        <w:rPr>
          <w:rFonts w:asciiTheme="majorHAnsi" w:hAnsiTheme="majorHAnsi"/>
          <w:sz w:val="24"/>
          <w:szCs w:val="24"/>
          <w:lang w:val="ro-MD"/>
        </w:rPr>
        <w:t xml:space="preserve"> </w:t>
      </w:r>
      <w:r w:rsidR="00D769CA" w:rsidRPr="00606103">
        <w:rPr>
          <w:rFonts w:asciiTheme="majorHAnsi" w:hAnsiTheme="majorHAnsi"/>
          <w:sz w:val="24"/>
          <w:szCs w:val="24"/>
          <w:lang w:val="ro-MD"/>
        </w:rPr>
        <w:t>–</w:t>
      </w:r>
      <w:r w:rsidRPr="00606103">
        <w:rPr>
          <w:rFonts w:asciiTheme="majorHAnsi" w:hAnsiTheme="majorHAnsi"/>
          <w:sz w:val="24"/>
          <w:szCs w:val="24"/>
          <w:lang w:val="ro-MD"/>
        </w:rPr>
        <w:t xml:space="preserve"> 132,3 mil. lei, I.P. </w:t>
      </w:r>
      <w:r w:rsidR="00D769CA" w:rsidRPr="00606103">
        <w:rPr>
          <w:rFonts w:asciiTheme="majorHAnsi" w:hAnsiTheme="majorHAnsi"/>
          <w:sz w:val="24"/>
          <w:szCs w:val="24"/>
          <w:lang w:val="ro-MD"/>
        </w:rPr>
        <w:t>„</w:t>
      </w:r>
      <w:r w:rsidRPr="00606103">
        <w:rPr>
          <w:rFonts w:asciiTheme="majorHAnsi" w:hAnsiTheme="majorHAnsi"/>
          <w:sz w:val="24"/>
          <w:szCs w:val="24"/>
          <w:lang w:val="ro-MD"/>
        </w:rPr>
        <w:t>Palatul Republicii</w:t>
      </w:r>
      <w:r w:rsidR="00D769CA" w:rsidRPr="00606103">
        <w:rPr>
          <w:rFonts w:asciiTheme="majorHAnsi" w:hAnsiTheme="majorHAnsi"/>
          <w:sz w:val="24"/>
          <w:szCs w:val="24"/>
          <w:lang w:val="ro-MD"/>
        </w:rPr>
        <w:t>”</w:t>
      </w:r>
      <w:r w:rsidRPr="00606103">
        <w:rPr>
          <w:rFonts w:asciiTheme="majorHAnsi" w:hAnsiTheme="majorHAnsi"/>
          <w:sz w:val="24"/>
          <w:szCs w:val="24"/>
          <w:lang w:val="ro-MD"/>
        </w:rPr>
        <w:t xml:space="preserve"> – </w:t>
      </w:r>
      <w:r w:rsidR="009950FF" w:rsidRPr="00606103">
        <w:rPr>
          <w:rFonts w:asciiTheme="majorHAnsi" w:hAnsiTheme="majorHAnsi"/>
          <w:sz w:val="24"/>
          <w:szCs w:val="24"/>
          <w:lang w:val="ro-MD"/>
        </w:rPr>
        <w:t>3,3</w:t>
      </w:r>
      <w:r w:rsidRPr="00606103">
        <w:rPr>
          <w:rFonts w:asciiTheme="majorHAnsi" w:hAnsiTheme="majorHAnsi"/>
          <w:sz w:val="24"/>
          <w:szCs w:val="24"/>
          <w:lang w:val="ro-MD"/>
        </w:rPr>
        <w:t xml:space="preserve"> mil. lei, </w:t>
      </w:r>
      <w:r w:rsidR="00D769CA" w:rsidRPr="00606103">
        <w:rPr>
          <w:rFonts w:asciiTheme="majorHAnsi" w:hAnsiTheme="majorHAnsi"/>
          <w:sz w:val="24"/>
          <w:szCs w:val="24"/>
          <w:lang w:val="ro-MD"/>
        </w:rPr>
        <w:t>I.P. „</w:t>
      </w:r>
      <w:r w:rsidRPr="00606103">
        <w:rPr>
          <w:rFonts w:asciiTheme="majorHAnsi" w:hAnsiTheme="majorHAnsi"/>
          <w:sz w:val="24"/>
          <w:szCs w:val="24"/>
          <w:lang w:val="ro-MD"/>
        </w:rPr>
        <w:t>Pensiunea din Holercani</w:t>
      </w:r>
      <w:r w:rsidR="00D769CA" w:rsidRPr="00606103">
        <w:rPr>
          <w:rFonts w:asciiTheme="majorHAnsi" w:hAnsiTheme="majorHAnsi"/>
          <w:sz w:val="24"/>
          <w:szCs w:val="24"/>
          <w:lang w:val="ro-MD"/>
        </w:rPr>
        <w:t>” –</w:t>
      </w:r>
      <w:r w:rsidRPr="00606103">
        <w:rPr>
          <w:rFonts w:asciiTheme="majorHAnsi" w:hAnsiTheme="majorHAnsi"/>
          <w:sz w:val="24"/>
          <w:szCs w:val="24"/>
          <w:lang w:val="ro-MD"/>
        </w:rPr>
        <w:t xml:space="preserve"> 2,</w:t>
      </w:r>
      <w:r w:rsidR="009950FF" w:rsidRPr="00606103">
        <w:rPr>
          <w:rFonts w:asciiTheme="majorHAnsi" w:hAnsiTheme="majorHAnsi"/>
          <w:sz w:val="24"/>
          <w:szCs w:val="24"/>
          <w:lang w:val="ro-MD"/>
        </w:rPr>
        <w:t>9</w:t>
      </w:r>
      <w:r w:rsidRPr="00606103">
        <w:rPr>
          <w:rFonts w:asciiTheme="majorHAnsi" w:hAnsiTheme="majorHAnsi"/>
          <w:sz w:val="24"/>
          <w:szCs w:val="24"/>
          <w:lang w:val="ro-MD"/>
        </w:rPr>
        <w:t xml:space="preserve"> mil. lei, I.S. DNH Costești-Stânca </w:t>
      </w:r>
      <w:r w:rsidR="00D769CA" w:rsidRPr="00606103">
        <w:rPr>
          <w:rFonts w:asciiTheme="majorHAnsi" w:hAnsiTheme="majorHAnsi"/>
          <w:sz w:val="24"/>
          <w:szCs w:val="24"/>
          <w:lang w:val="ro-MD"/>
        </w:rPr>
        <w:t xml:space="preserve">– </w:t>
      </w:r>
      <w:r w:rsidRPr="00606103">
        <w:rPr>
          <w:rFonts w:asciiTheme="majorHAnsi" w:hAnsiTheme="majorHAnsi"/>
          <w:sz w:val="24"/>
          <w:szCs w:val="24"/>
          <w:lang w:val="ro-MD"/>
        </w:rPr>
        <w:t>2,3 mil. lei, I.S</w:t>
      </w:r>
      <w:r w:rsidR="00D769CA" w:rsidRPr="00606103">
        <w:rPr>
          <w:rFonts w:asciiTheme="majorHAnsi" w:hAnsiTheme="majorHAnsi"/>
          <w:sz w:val="24"/>
          <w:szCs w:val="24"/>
          <w:lang w:val="ro-MD"/>
        </w:rPr>
        <w:t>.</w:t>
      </w:r>
      <w:r w:rsidRPr="00606103">
        <w:rPr>
          <w:rFonts w:asciiTheme="majorHAnsi" w:hAnsiTheme="majorHAnsi"/>
          <w:sz w:val="24"/>
          <w:szCs w:val="24"/>
          <w:lang w:val="ro-MD"/>
        </w:rPr>
        <w:t xml:space="preserve"> Prutul de Jos – 1,5 mil. lei, Filarmonica Națională </w:t>
      </w:r>
      <w:r w:rsidR="00D769CA" w:rsidRPr="00606103">
        <w:rPr>
          <w:rFonts w:asciiTheme="majorHAnsi" w:hAnsiTheme="majorHAnsi"/>
          <w:sz w:val="24"/>
          <w:szCs w:val="24"/>
          <w:lang w:val="ro-MD"/>
        </w:rPr>
        <w:t>„</w:t>
      </w:r>
      <w:r w:rsidRPr="00606103">
        <w:rPr>
          <w:rFonts w:asciiTheme="majorHAnsi" w:hAnsiTheme="majorHAnsi"/>
          <w:sz w:val="24"/>
          <w:szCs w:val="24"/>
          <w:lang w:val="ro-MD"/>
        </w:rPr>
        <w:t>Serghei Lunchevici</w:t>
      </w:r>
      <w:r w:rsidR="00D769CA" w:rsidRPr="00606103">
        <w:rPr>
          <w:rFonts w:asciiTheme="majorHAnsi" w:hAnsiTheme="majorHAnsi"/>
          <w:sz w:val="24"/>
          <w:szCs w:val="24"/>
          <w:lang w:val="ro-MD"/>
        </w:rPr>
        <w:t>”</w:t>
      </w:r>
      <w:r w:rsidRPr="00606103">
        <w:rPr>
          <w:rFonts w:asciiTheme="majorHAnsi" w:hAnsiTheme="majorHAnsi"/>
          <w:sz w:val="24"/>
          <w:szCs w:val="24"/>
          <w:lang w:val="ro-MD"/>
        </w:rPr>
        <w:t xml:space="preserve"> </w:t>
      </w:r>
      <w:r w:rsidR="00C56B35" w:rsidRPr="00606103">
        <w:rPr>
          <w:rFonts w:asciiTheme="majorHAnsi" w:hAnsiTheme="majorHAnsi"/>
          <w:sz w:val="24"/>
          <w:szCs w:val="24"/>
          <w:lang w:val="ro-MD"/>
        </w:rPr>
        <w:t>–</w:t>
      </w:r>
      <w:r w:rsidRPr="00606103">
        <w:rPr>
          <w:rFonts w:asciiTheme="majorHAnsi" w:hAnsiTheme="majorHAnsi"/>
          <w:sz w:val="24"/>
          <w:szCs w:val="24"/>
          <w:lang w:val="ro-MD"/>
        </w:rPr>
        <w:t xml:space="preserve"> 8,8 mil. lei, Teatrul Na</w:t>
      </w:r>
      <w:r w:rsidR="00C56B35" w:rsidRPr="00606103">
        <w:rPr>
          <w:rFonts w:asciiTheme="majorHAnsi" w:hAnsiTheme="majorHAnsi"/>
          <w:sz w:val="24"/>
          <w:szCs w:val="24"/>
          <w:lang w:val="ro-MD"/>
        </w:rPr>
        <w:t>ț</w:t>
      </w:r>
      <w:r w:rsidRPr="00606103">
        <w:rPr>
          <w:rFonts w:asciiTheme="majorHAnsi" w:hAnsiTheme="majorHAnsi"/>
          <w:sz w:val="24"/>
          <w:szCs w:val="24"/>
          <w:lang w:val="ro-MD"/>
        </w:rPr>
        <w:t xml:space="preserve">ional de Operă și Balet </w:t>
      </w:r>
      <w:r w:rsidR="00C56B35" w:rsidRPr="00606103">
        <w:rPr>
          <w:rFonts w:asciiTheme="majorHAnsi" w:hAnsiTheme="majorHAnsi"/>
          <w:sz w:val="24"/>
          <w:szCs w:val="24"/>
          <w:lang w:val="ro-MD"/>
        </w:rPr>
        <w:t>„</w:t>
      </w:r>
      <w:r w:rsidRPr="00606103">
        <w:rPr>
          <w:rFonts w:asciiTheme="majorHAnsi" w:hAnsiTheme="majorHAnsi"/>
          <w:sz w:val="24"/>
          <w:szCs w:val="24"/>
          <w:lang w:val="ro-MD"/>
        </w:rPr>
        <w:t>Maria Bieșu</w:t>
      </w:r>
      <w:r w:rsidR="00C56B35" w:rsidRPr="00606103">
        <w:rPr>
          <w:rFonts w:asciiTheme="majorHAnsi" w:hAnsiTheme="majorHAnsi"/>
          <w:sz w:val="24"/>
          <w:szCs w:val="24"/>
          <w:lang w:val="ro-MD"/>
        </w:rPr>
        <w:t>”</w:t>
      </w:r>
      <w:r w:rsidRPr="00606103">
        <w:rPr>
          <w:rFonts w:asciiTheme="majorHAnsi" w:hAnsiTheme="majorHAnsi"/>
          <w:sz w:val="24"/>
          <w:szCs w:val="24"/>
          <w:lang w:val="ro-MD"/>
        </w:rPr>
        <w:t xml:space="preserve"> – 14,8 mil. lei, </w:t>
      </w:r>
      <w:r w:rsidR="00C56B35" w:rsidRPr="00606103">
        <w:rPr>
          <w:rFonts w:asciiTheme="majorHAnsi" w:hAnsiTheme="majorHAnsi"/>
          <w:sz w:val="24"/>
          <w:szCs w:val="24"/>
          <w:lang w:val="ro-MD"/>
        </w:rPr>
        <w:t>Î.S. „</w:t>
      </w:r>
      <w:r w:rsidRPr="00606103">
        <w:rPr>
          <w:rFonts w:asciiTheme="majorHAnsi" w:hAnsiTheme="majorHAnsi"/>
          <w:sz w:val="24"/>
          <w:szCs w:val="24"/>
          <w:lang w:val="ro-MD"/>
        </w:rPr>
        <w:t>Moldova-Concert</w:t>
      </w:r>
      <w:r w:rsidR="00C56B35" w:rsidRPr="00606103">
        <w:rPr>
          <w:rFonts w:asciiTheme="majorHAnsi" w:hAnsiTheme="majorHAnsi"/>
          <w:sz w:val="24"/>
          <w:szCs w:val="24"/>
          <w:lang w:val="ro-MD"/>
        </w:rPr>
        <w:t>”</w:t>
      </w:r>
      <w:r w:rsidRPr="00606103">
        <w:rPr>
          <w:rFonts w:asciiTheme="majorHAnsi" w:hAnsiTheme="majorHAnsi"/>
          <w:sz w:val="24"/>
          <w:szCs w:val="24"/>
          <w:lang w:val="ro-MD"/>
        </w:rPr>
        <w:t xml:space="preserve"> – 12,4 mil. lei, C.I.E. </w:t>
      </w:r>
      <w:r w:rsidR="00C56B35" w:rsidRPr="00606103">
        <w:rPr>
          <w:rFonts w:asciiTheme="majorHAnsi" w:hAnsiTheme="majorHAnsi"/>
          <w:sz w:val="24"/>
          <w:szCs w:val="24"/>
          <w:lang w:val="ro-MD"/>
        </w:rPr>
        <w:t>„</w:t>
      </w:r>
      <w:r w:rsidRPr="00606103">
        <w:rPr>
          <w:rFonts w:asciiTheme="majorHAnsi" w:hAnsiTheme="majorHAnsi"/>
          <w:sz w:val="24"/>
          <w:szCs w:val="24"/>
          <w:lang w:val="ro-MD"/>
        </w:rPr>
        <w:t>Moldexpo</w:t>
      </w:r>
      <w:r w:rsidR="00C56B35" w:rsidRPr="00606103">
        <w:rPr>
          <w:rFonts w:asciiTheme="majorHAnsi" w:hAnsiTheme="majorHAnsi"/>
          <w:sz w:val="24"/>
          <w:szCs w:val="24"/>
          <w:lang w:val="ro-MD"/>
        </w:rPr>
        <w:t>”</w:t>
      </w:r>
      <w:r w:rsidRPr="00606103">
        <w:rPr>
          <w:rFonts w:asciiTheme="majorHAnsi" w:hAnsiTheme="majorHAnsi"/>
          <w:sz w:val="24"/>
          <w:szCs w:val="24"/>
          <w:lang w:val="ro-MD"/>
        </w:rPr>
        <w:t xml:space="preserve"> S.A. </w:t>
      </w:r>
      <w:r w:rsidR="00C56B35" w:rsidRPr="00606103">
        <w:rPr>
          <w:rFonts w:asciiTheme="majorHAnsi" w:hAnsiTheme="majorHAnsi"/>
          <w:sz w:val="24"/>
          <w:szCs w:val="24"/>
          <w:lang w:val="ro-MD"/>
        </w:rPr>
        <w:t xml:space="preserve">– </w:t>
      </w:r>
      <w:r w:rsidRPr="00606103">
        <w:rPr>
          <w:rFonts w:asciiTheme="majorHAnsi" w:hAnsiTheme="majorHAnsi"/>
          <w:sz w:val="24"/>
          <w:szCs w:val="24"/>
          <w:lang w:val="ro-MD"/>
        </w:rPr>
        <w:t xml:space="preserve">6,8 mil. </w:t>
      </w:r>
      <w:r w:rsidR="00C56B35" w:rsidRPr="00606103">
        <w:rPr>
          <w:rFonts w:asciiTheme="majorHAnsi" w:hAnsiTheme="majorHAnsi"/>
          <w:sz w:val="24"/>
          <w:szCs w:val="24"/>
          <w:lang w:val="ro-MD"/>
        </w:rPr>
        <w:t>l</w:t>
      </w:r>
      <w:r w:rsidRPr="00606103">
        <w:rPr>
          <w:rFonts w:asciiTheme="majorHAnsi" w:hAnsiTheme="majorHAnsi"/>
          <w:sz w:val="24"/>
          <w:szCs w:val="24"/>
          <w:lang w:val="ro-MD"/>
        </w:rPr>
        <w:t xml:space="preserve">ei, </w:t>
      </w:r>
      <w:r w:rsidR="00C56B35" w:rsidRPr="00606103">
        <w:rPr>
          <w:rFonts w:asciiTheme="majorHAnsi" w:hAnsiTheme="majorHAnsi"/>
          <w:sz w:val="24"/>
          <w:szCs w:val="24"/>
          <w:lang w:val="ro-MD"/>
        </w:rPr>
        <w:t>„</w:t>
      </w:r>
      <w:r w:rsidRPr="00606103">
        <w:rPr>
          <w:rFonts w:asciiTheme="majorHAnsi" w:hAnsiTheme="majorHAnsi"/>
          <w:sz w:val="24"/>
          <w:szCs w:val="24"/>
          <w:lang w:val="ro-MD"/>
        </w:rPr>
        <w:t>San-Farm</w:t>
      </w:r>
      <w:r w:rsidR="00C56B35" w:rsidRPr="00606103">
        <w:rPr>
          <w:rFonts w:asciiTheme="majorHAnsi" w:hAnsiTheme="majorHAnsi"/>
          <w:sz w:val="24"/>
          <w:szCs w:val="24"/>
          <w:lang w:val="ro-MD"/>
        </w:rPr>
        <w:t>”</w:t>
      </w:r>
      <w:r w:rsidRPr="00606103">
        <w:rPr>
          <w:rFonts w:asciiTheme="majorHAnsi" w:hAnsiTheme="majorHAnsi"/>
          <w:sz w:val="24"/>
          <w:szCs w:val="24"/>
          <w:lang w:val="ro-MD"/>
        </w:rPr>
        <w:t xml:space="preserve"> S.A.</w:t>
      </w:r>
      <w:r w:rsidR="00C56B35" w:rsidRPr="00606103">
        <w:rPr>
          <w:rFonts w:asciiTheme="majorHAnsi" w:hAnsiTheme="majorHAnsi"/>
          <w:sz w:val="24"/>
          <w:szCs w:val="24"/>
          <w:lang w:val="ro-MD"/>
        </w:rPr>
        <w:t xml:space="preserve"> –</w:t>
      </w:r>
      <w:r w:rsidRPr="00606103">
        <w:rPr>
          <w:rFonts w:asciiTheme="majorHAnsi" w:hAnsiTheme="majorHAnsi"/>
          <w:sz w:val="24"/>
          <w:szCs w:val="24"/>
          <w:lang w:val="ro-MD"/>
        </w:rPr>
        <w:t xml:space="preserve"> 2,9 mil. lei etc. </w:t>
      </w:r>
      <w:r w:rsidRPr="00606103">
        <w:rPr>
          <w:rFonts w:asciiTheme="majorHAnsi" w:hAnsiTheme="majorHAnsi"/>
          <w:i/>
          <w:sz w:val="24"/>
          <w:szCs w:val="24"/>
          <w:lang w:val="ro-MD"/>
        </w:rPr>
        <w:t>Sinteza subvențiilor executate din bugetul de stat în anul 2021 și solduril</w:t>
      </w:r>
      <w:r w:rsidR="00FE0444" w:rsidRPr="00606103">
        <w:rPr>
          <w:rFonts w:asciiTheme="majorHAnsi" w:hAnsiTheme="majorHAnsi"/>
          <w:i/>
          <w:sz w:val="24"/>
          <w:szCs w:val="24"/>
          <w:lang w:val="ro-MD"/>
        </w:rPr>
        <w:t>or</w:t>
      </w:r>
      <w:r w:rsidRPr="00606103">
        <w:rPr>
          <w:rFonts w:asciiTheme="majorHAnsi" w:hAnsiTheme="majorHAnsi"/>
          <w:i/>
          <w:sz w:val="24"/>
          <w:szCs w:val="24"/>
          <w:lang w:val="ro-MD"/>
        </w:rPr>
        <w:t xml:space="preserve"> de mijloace bănești acumulate la beneficiarii de subvenții se prezintă în Anexa nr.</w:t>
      </w:r>
      <w:r w:rsidR="00CD7428" w:rsidRPr="00606103">
        <w:rPr>
          <w:rFonts w:asciiTheme="majorHAnsi" w:hAnsiTheme="majorHAnsi"/>
          <w:i/>
          <w:sz w:val="24"/>
          <w:szCs w:val="24"/>
          <w:lang w:val="ro-MD"/>
        </w:rPr>
        <w:t>5</w:t>
      </w:r>
      <w:r w:rsidRPr="00606103">
        <w:rPr>
          <w:rFonts w:asciiTheme="majorHAnsi" w:hAnsiTheme="majorHAnsi"/>
          <w:i/>
          <w:sz w:val="24"/>
          <w:szCs w:val="24"/>
          <w:lang w:val="ro-MD"/>
        </w:rPr>
        <w:t xml:space="preserve"> la prezentul Raport de audit.</w:t>
      </w:r>
    </w:p>
    <w:p w:rsidR="00DD6C38" w:rsidRDefault="000E0C22">
      <w:pPr>
        <w:spacing w:after="0" w:line="276" w:lineRule="auto"/>
        <w:rPr>
          <w:rFonts w:asciiTheme="majorHAnsi" w:hAnsiTheme="majorHAnsi"/>
          <w:i/>
          <w:sz w:val="24"/>
          <w:szCs w:val="24"/>
          <w:lang w:val="ro-MD"/>
        </w:rPr>
      </w:pPr>
      <w:r w:rsidRPr="00606103">
        <w:rPr>
          <w:rFonts w:asciiTheme="majorHAnsi" w:hAnsiTheme="majorHAnsi"/>
          <w:sz w:val="24"/>
          <w:szCs w:val="24"/>
          <w:lang w:val="ro-MD"/>
        </w:rPr>
        <w:t xml:space="preserve">Pentru </w:t>
      </w:r>
      <w:r w:rsidRPr="00606103">
        <w:rPr>
          <w:rFonts w:asciiTheme="majorHAnsi" w:hAnsiTheme="majorHAnsi"/>
          <w:b/>
          <w:sz w:val="24"/>
          <w:szCs w:val="24"/>
          <w:lang w:val="ro-MD"/>
        </w:rPr>
        <w:t xml:space="preserve">granturi acordate </w:t>
      </w:r>
      <w:r w:rsidRPr="00606103">
        <w:rPr>
          <w:rFonts w:asciiTheme="majorHAnsi" w:hAnsiTheme="majorHAnsi"/>
          <w:sz w:val="24"/>
          <w:szCs w:val="24"/>
          <w:lang w:val="ro-MD"/>
        </w:rPr>
        <w:t>din bugetul de stat</w:t>
      </w:r>
      <w:r w:rsidR="00C56B35" w:rsidRPr="00606103">
        <w:rPr>
          <w:rFonts w:asciiTheme="majorHAnsi" w:hAnsiTheme="majorHAnsi"/>
          <w:sz w:val="24"/>
          <w:szCs w:val="24"/>
          <w:lang w:val="ro-MD"/>
        </w:rPr>
        <w:t>,</w:t>
      </w:r>
      <w:r w:rsidRPr="00606103">
        <w:rPr>
          <w:rFonts w:asciiTheme="majorHAnsi" w:hAnsiTheme="majorHAnsi"/>
          <w:sz w:val="24"/>
          <w:szCs w:val="24"/>
          <w:lang w:val="ro-MD"/>
        </w:rPr>
        <w:t xml:space="preserve"> </w:t>
      </w:r>
      <w:r w:rsidR="00C56B35" w:rsidRPr="00606103">
        <w:rPr>
          <w:rFonts w:asciiTheme="majorHAnsi" w:hAnsiTheme="majorHAnsi"/>
          <w:sz w:val="24"/>
          <w:szCs w:val="24"/>
          <w:lang w:val="ro-MD"/>
        </w:rPr>
        <w:t>î</w:t>
      </w:r>
      <w:r w:rsidRPr="00606103">
        <w:rPr>
          <w:rFonts w:asciiTheme="majorHAnsi" w:hAnsiTheme="majorHAnsi"/>
          <w:sz w:val="24"/>
          <w:szCs w:val="24"/>
          <w:lang w:val="ro-MD"/>
        </w:rPr>
        <w:t>n anul 2021 au fost aprobate alocații în sumă de 748,8 mil. lei, fiind executate 688,6 mil. lei, din care ponderea cea mai mare o dețin granturi</w:t>
      </w:r>
      <w:r w:rsidR="00C56B35" w:rsidRPr="00606103">
        <w:rPr>
          <w:rFonts w:asciiTheme="majorHAnsi" w:hAnsiTheme="majorHAnsi"/>
          <w:sz w:val="24"/>
          <w:szCs w:val="24"/>
          <w:lang w:val="ro-MD"/>
        </w:rPr>
        <w:t>le</w:t>
      </w:r>
      <w:r w:rsidRPr="00606103">
        <w:rPr>
          <w:rFonts w:asciiTheme="majorHAnsi" w:hAnsiTheme="majorHAnsi"/>
          <w:sz w:val="24"/>
          <w:szCs w:val="24"/>
          <w:lang w:val="ro-MD"/>
        </w:rPr>
        <w:t xml:space="preserve"> acordate instituțiilor publice la autogestiune: curente </w:t>
      </w:r>
      <w:r w:rsidR="00C56B35" w:rsidRPr="00606103">
        <w:rPr>
          <w:rFonts w:asciiTheme="majorHAnsi" w:hAnsiTheme="majorHAnsi"/>
          <w:sz w:val="24"/>
          <w:szCs w:val="24"/>
          <w:lang w:val="ro-MD"/>
        </w:rPr>
        <w:t>–</w:t>
      </w:r>
      <w:r w:rsidRPr="00606103">
        <w:rPr>
          <w:rFonts w:asciiTheme="majorHAnsi" w:hAnsiTheme="majorHAnsi"/>
          <w:sz w:val="24"/>
          <w:szCs w:val="24"/>
          <w:lang w:val="ro-MD"/>
        </w:rPr>
        <w:t xml:space="preserve"> 342,1 mil. lei</w:t>
      </w:r>
      <w:r w:rsidR="00C56B35" w:rsidRPr="00606103">
        <w:rPr>
          <w:rFonts w:asciiTheme="majorHAnsi" w:hAnsiTheme="majorHAnsi"/>
          <w:sz w:val="24"/>
          <w:szCs w:val="24"/>
          <w:lang w:val="ro-MD"/>
        </w:rPr>
        <w:t>,</w:t>
      </w:r>
      <w:r w:rsidRPr="00606103">
        <w:rPr>
          <w:rFonts w:asciiTheme="majorHAnsi" w:hAnsiTheme="majorHAnsi"/>
          <w:sz w:val="24"/>
          <w:szCs w:val="24"/>
          <w:lang w:val="ro-MD"/>
        </w:rPr>
        <w:t xml:space="preserve"> și capitale </w:t>
      </w:r>
      <w:r w:rsidR="00C56B35" w:rsidRPr="00606103">
        <w:rPr>
          <w:rFonts w:asciiTheme="majorHAnsi" w:hAnsiTheme="majorHAnsi"/>
          <w:sz w:val="24"/>
          <w:szCs w:val="24"/>
          <w:lang w:val="ro-MD"/>
        </w:rPr>
        <w:t>–</w:t>
      </w:r>
      <w:r w:rsidRPr="00606103">
        <w:rPr>
          <w:rFonts w:asciiTheme="majorHAnsi" w:hAnsiTheme="majorHAnsi"/>
          <w:sz w:val="24"/>
          <w:szCs w:val="24"/>
          <w:lang w:val="ro-MD"/>
        </w:rPr>
        <w:t xml:space="preserve"> 300,9 </w:t>
      </w:r>
      <w:r w:rsidRPr="00577973">
        <w:rPr>
          <w:rFonts w:asciiTheme="majorHAnsi" w:hAnsiTheme="majorHAnsi"/>
          <w:sz w:val="24"/>
          <w:szCs w:val="24"/>
          <w:lang w:val="ro-MD"/>
        </w:rPr>
        <w:t>mil. lei.</w:t>
      </w:r>
      <w:r w:rsidR="005538AE" w:rsidRPr="00577973">
        <w:rPr>
          <w:rFonts w:asciiTheme="majorHAnsi" w:hAnsiTheme="majorHAnsi"/>
          <w:i/>
          <w:sz w:val="24"/>
          <w:szCs w:val="24"/>
          <w:lang w:val="ro-MD"/>
        </w:rPr>
        <w:t xml:space="preserve"> Analiza auditului privind executarea granturilor acordate în anul 2021, conform clasificației economice </w:t>
      </w:r>
      <w:r w:rsidRPr="00577973">
        <w:rPr>
          <w:rFonts w:asciiTheme="majorHAnsi" w:hAnsiTheme="majorHAnsi"/>
          <w:i/>
          <w:sz w:val="24"/>
          <w:szCs w:val="24"/>
          <w:lang w:val="ro-MD"/>
        </w:rPr>
        <w:t xml:space="preserve">se prezintă în </w:t>
      </w:r>
      <w:r w:rsidR="00754EE8" w:rsidRPr="00577973">
        <w:rPr>
          <w:rFonts w:asciiTheme="majorHAnsi" w:hAnsiTheme="majorHAnsi"/>
          <w:i/>
          <w:sz w:val="24"/>
          <w:szCs w:val="24"/>
          <w:lang w:val="ro-MD"/>
        </w:rPr>
        <w:t>T</w:t>
      </w:r>
      <w:r w:rsidRPr="00577973">
        <w:rPr>
          <w:rFonts w:asciiTheme="majorHAnsi" w:hAnsiTheme="majorHAnsi"/>
          <w:i/>
          <w:sz w:val="24"/>
          <w:szCs w:val="24"/>
          <w:lang w:val="ro-MD"/>
        </w:rPr>
        <w:t xml:space="preserve">abelul </w:t>
      </w:r>
      <w:r w:rsidR="00754EE8" w:rsidRPr="00577973">
        <w:rPr>
          <w:rFonts w:asciiTheme="majorHAnsi" w:hAnsiTheme="majorHAnsi"/>
          <w:i/>
          <w:sz w:val="24"/>
          <w:szCs w:val="24"/>
          <w:lang w:val="ro-MD"/>
        </w:rPr>
        <w:t>nr.8</w:t>
      </w:r>
      <w:r w:rsidRPr="00577973">
        <w:rPr>
          <w:rFonts w:asciiTheme="majorHAnsi" w:hAnsiTheme="majorHAnsi"/>
          <w:i/>
          <w:sz w:val="24"/>
          <w:szCs w:val="24"/>
          <w:lang w:val="ro-MD"/>
        </w:rPr>
        <w:t>.</w:t>
      </w:r>
    </w:p>
    <w:p w:rsidR="00554FDA" w:rsidRDefault="00554FDA">
      <w:pPr>
        <w:spacing w:after="0" w:line="276" w:lineRule="auto"/>
        <w:rPr>
          <w:rFonts w:asciiTheme="majorHAnsi" w:hAnsiTheme="majorHAnsi"/>
          <w:i/>
          <w:sz w:val="24"/>
          <w:szCs w:val="24"/>
          <w:lang w:val="ro-MD"/>
        </w:rPr>
      </w:pPr>
    </w:p>
    <w:p w:rsidR="00554FDA" w:rsidRDefault="00554FDA">
      <w:pPr>
        <w:spacing w:after="0" w:line="276" w:lineRule="auto"/>
        <w:rPr>
          <w:rFonts w:asciiTheme="majorHAnsi" w:hAnsiTheme="majorHAnsi"/>
          <w:i/>
          <w:sz w:val="24"/>
          <w:szCs w:val="24"/>
          <w:lang w:val="ro-MD"/>
        </w:rPr>
      </w:pPr>
    </w:p>
    <w:p w:rsidR="00554FDA" w:rsidRDefault="00554FDA">
      <w:pPr>
        <w:spacing w:after="0" w:line="276" w:lineRule="auto"/>
        <w:rPr>
          <w:rFonts w:asciiTheme="majorHAnsi" w:hAnsiTheme="majorHAnsi"/>
          <w:i/>
          <w:sz w:val="24"/>
          <w:szCs w:val="24"/>
          <w:lang w:val="ro-MD"/>
        </w:rPr>
      </w:pPr>
    </w:p>
    <w:p w:rsidR="00554FDA" w:rsidRDefault="00554FDA">
      <w:pPr>
        <w:spacing w:after="0" w:line="276" w:lineRule="auto"/>
        <w:rPr>
          <w:rFonts w:asciiTheme="majorHAnsi" w:hAnsiTheme="majorHAnsi"/>
          <w:i/>
          <w:sz w:val="24"/>
          <w:szCs w:val="24"/>
          <w:lang w:val="ro-MD"/>
        </w:rPr>
      </w:pPr>
    </w:p>
    <w:p w:rsidR="00554FDA" w:rsidRDefault="00554FDA">
      <w:pPr>
        <w:spacing w:after="0" w:line="276" w:lineRule="auto"/>
        <w:rPr>
          <w:rFonts w:asciiTheme="majorHAnsi" w:hAnsiTheme="majorHAnsi"/>
          <w:i/>
          <w:sz w:val="24"/>
          <w:szCs w:val="24"/>
          <w:lang w:val="ro-MD"/>
        </w:rPr>
      </w:pPr>
    </w:p>
    <w:p w:rsidR="00554FDA" w:rsidRDefault="00554FDA">
      <w:pPr>
        <w:spacing w:after="0" w:line="276" w:lineRule="auto"/>
        <w:rPr>
          <w:rFonts w:asciiTheme="majorHAnsi" w:hAnsiTheme="majorHAnsi"/>
          <w:i/>
          <w:sz w:val="24"/>
          <w:szCs w:val="24"/>
          <w:lang w:val="ro-MD"/>
        </w:rPr>
      </w:pPr>
    </w:p>
    <w:p w:rsidR="00554FDA" w:rsidRDefault="00554FDA">
      <w:pPr>
        <w:spacing w:after="0" w:line="276" w:lineRule="auto"/>
        <w:rPr>
          <w:rFonts w:asciiTheme="majorHAnsi" w:hAnsiTheme="majorHAnsi"/>
          <w:i/>
          <w:sz w:val="24"/>
          <w:szCs w:val="24"/>
          <w:lang w:val="ro-MD"/>
        </w:rPr>
      </w:pPr>
    </w:p>
    <w:p w:rsidR="005D235B" w:rsidRDefault="005D235B">
      <w:pPr>
        <w:spacing w:after="0" w:line="276" w:lineRule="auto"/>
        <w:rPr>
          <w:rFonts w:asciiTheme="majorHAnsi" w:hAnsiTheme="majorHAnsi"/>
          <w:i/>
          <w:sz w:val="24"/>
          <w:szCs w:val="24"/>
          <w:lang w:val="ro-MD"/>
        </w:rPr>
      </w:pPr>
    </w:p>
    <w:p w:rsidR="005D235B" w:rsidRDefault="005D235B">
      <w:pPr>
        <w:spacing w:after="0" w:line="276" w:lineRule="auto"/>
        <w:rPr>
          <w:rFonts w:asciiTheme="majorHAnsi" w:hAnsiTheme="majorHAnsi"/>
          <w:i/>
          <w:sz w:val="24"/>
          <w:szCs w:val="24"/>
          <w:lang w:val="ro-MD"/>
        </w:rPr>
      </w:pPr>
    </w:p>
    <w:p w:rsidR="005D235B" w:rsidRDefault="005D235B">
      <w:pPr>
        <w:spacing w:after="0" w:line="276" w:lineRule="auto"/>
        <w:rPr>
          <w:rFonts w:asciiTheme="majorHAnsi" w:hAnsiTheme="majorHAnsi"/>
          <w:i/>
          <w:sz w:val="24"/>
          <w:szCs w:val="24"/>
          <w:lang w:val="ro-MD"/>
        </w:rPr>
      </w:pPr>
    </w:p>
    <w:p w:rsidR="00554FDA" w:rsidRPr="00577973" w:rsidRDefault="00554FDA">
      <w:pPr>
        <w:spacing w:after="0" w:line="276" w:lineRule="auto"/>
        <w:rPr>
          <w:rFonts w:asciiTheme="majorHAnsi" w:hAnsiTheme="majorHAnsi"/>
          <w:i/>
          <w:sz w:val="24"/>
          <w:szCs w:val="24"/>
          <w:lang w:val="ro-MD"/>
        </w:rPr>
      </w:pPr>
    </w:p>
    <w:p w:rsidR="000E0C22" w:rsidRPr="00606103" w:rsidRDefault="000E0C22">
      <w:pPr>
        <w:tabs>
          <w:tab w:val="left" w:pos="851"/>
        </w:tabs>
        <w:spacing w:after="0" w:line="276" w:lineRule="auto"/>
        <w:contextualSpacing/>
        <w:jc w:val="right"/>
        <w:rPr>
          <w:rFonts w:asciiTheme="majorHAnsi" w:eastAsia="Times New Roman" w:hAnsiTheme="majorHAnsi" w:cstheme="majorHAnsi"/>
          <w:b/>
          <w:bCs/>
          <w:i/>
          <w:iCs/>
          <w:sz w:val="24"/>
          <w:szCs w:val="24"/>
          <w:lang w:val="ro-MD"/>
        </w:rPr>
      </w:pPr>
      <w:r w:rsidRPr="00577973">
        <w:rPr>
          <w:rFonts w:asciiTheme="majorHAnsi" w:eastAsia="Times New Roman" w:hAnsiTheme="majorHAnsi" w:cstheme="majorHAnsi"/>
          <w:b/>
          <w:bCs/>
          <w:i/>
          <w:iCs/>
          <w:sz w:val="24"/>
          <w:szCs w:val="24"/>
          <w:lang w:val="ro-MD"/>
        </w:rPr>
        <w:lastRenderedPageBreak/>
        <w:t>Tabelul</w:t>
      </w:r>
      <w:r w:rsidRPr="00606103">
        <w:rPr>
          <w:rFonts w:asciiTheme="majorHAnsi" w:eastAsia="Times New Roman" w:hAnsiTheme="majorHAnsi" w:cstheme="majorHAnsi"/>
          <w:b/>
          <w:bCs/>
          <w:i/>
          <w:iCs/>
          <w:sz w:val="24"/>
          <w:szCs w:val="24"/>
          <w:lang w:val="ro-MD"/>
        </w:rPr>
        <w:t xml:space="preserve"> nr. 8</w:t>
      </w:r>
    </w:p>
    <w:p w:rsidR="000E0C22" w:rsidRPr="00606103" w:rsidRDefault="005538AE">
      <w:pPr>
        <w:pStyle w:val="ListParagraph"/>
        <w:tabs>
          <w:tab w:val="left" w:pos="142"/>
        </w:tabs>
        <w:spacing w:after="0" w:line="276" w:lineRule="auto"/>
        <w:ind w:left="0"/>
        <w:jc w:val="center"/>
        <w:rPr>
          <w:rFonts w:asciiTheme="majorHAnsi" w:hAnsiTheme="majorHAnsi" w:cstheme="majorHAnsi"/>
          <w:b/>
          <w:sz w:val="24"/>
          <w:szCs w:val="24"/>
          <w:lang w:val="ro-MD"/>
        </w:rPr>
      </w:pPr>
      <w:r>
        <w:rPr>
          <w:rFonts w:asciiTheme="majorHAnsi" w:hAnsiTheme="majorHAnsi" w:cstheme="majorHAnsi"/>
          <w:b/>
          <w:sz w:val="24"/>
          <w:szCs w:val="24"/>
          <w:lang w:val="ro-MD"/>
        </w:rPr>
        <w:t>Analiza executării</w:t>
      </w:r>
      <w:r w:rsidR="000E0C22" w:rsidRPr="00606103">
        <w:rPr>
          <w:rFonts w:asciiTheme="majorHAnsi" w:hAnsiTheme="majorHAnsi" w:cstheme="majorHAnsi"/>
          <w:b/>
          <w:sz w:val="24"/>
          <w:szCs w:val="24"/>
          <w:lang w:val="ro-MD"/>
        </w:rPr>
        <w:t xml:space="preserve"> granturi</w:t>
      </w:r>
      <w:r>
        <w:rPr>
          <w:rFonts w:asciiTheme="majorHAnsi" w:hAnsiTheme="majorHAnsi" w:cstheme="majorHAnsi"/>
          <w:b/>
          <w:sz w:val="24"/>
          <w:szCs w:val="24"/>
          <w:lang w:val="ro-MD"/>
        </w:rPr>
        <w:t>lor</w:t>
      </w:r>
      <w:r w:rsidR="000E0C22" w:rsidRPr="00606103">
        <w:rPr>
          <w:rFonts w:asciiTheme="majorHAnsi" w:hAnsiTheme="majorHAnsi" w:cstheme="majorHAnsi"/>
          <w:b/>
          <w:sz w:val="24"/>
          <w:szCs w:val="24"/>
          <w:lang w:val="ro-MD"/>
        </w:rPr>
        <w:t xml:space="preserve"> acordate în anul 2021</w:t>
      </w:r>
      <w:r>
        <w:rPr>
          <w:rFonts w:asciiTheme="majorHAnsi" w:hAnsiTheme="majorHAnsi" w:cstheme="majorHAnsi"/>
          <w:b/>
          <w:sz w:val="24"/>
          <w:szCs w:val="24"/>
          <w:lang w:val="ro-MD"/>
        </w:rPr>
        <w:t>, conform clasificației economice</w:t>
      </w:r>
    </w:p>
    <w:p w:rsidR="000E0C22" w:rsidRPr="00606103" w:rsidRDefault="006A516A">
      <w:pPr>
        <w:tabs>
          <w:tab w:val="left" w:pos="851"/>
        </w:tabs>
        <w:spacing w:after="0" w:line="276" w:lineRule="auto"/>
        <w:contextualSpacing/>
        <w:jc w:val="right"/>
        <w:rPr>
          <w:rFonts w:asciiTheme="majorHAnsi" w:eastAsia="Times New Roman" w:hAnsiTheme="majorHAnsi" w:cstheme="majorHAnsi"/>
          <w:bCs/>
          <w:i/>
          <w:iCs/>
          <w:sz w:val="24"/>
          <w:szCs w:val="24"/>
          <w:lang w:val="ro-MD"/>
        </w:rPr>
      </w:pPr>
      <w:r w:rsidRPr="00606103">
        <w:rPr>
          <w:rFonts w:asciiTheme="majorHAnsi" w:eastAsia="Times New Roman" w:hAnsiTheme="majorHAnsi" w:cstheme="majorHAnsi"/>
          <w:bCs/>
          <w:i/>
          <w:iCs/>
          <w:sz w:val="24"/>
          <w:szCs w:val="24"/>
          <w:lang w:val="ro-MD"/>
        </w:rPr>
        <w:t>(</w:t>
      </w:r>
      <w:r w:rsidR="000E0C22" w:rsidRPr="00606103">
        <w:rPr>
          <w:rFonts w:asciiTheme="majorHAnsi" w:eastAsia="Times New Roman" w:hAnsiTheme="majorHAnsi" w:cstheme="majorHAnsi"/>
          <w:bCs/>
          <w:i/>
          <w:iCs/>
          <w:sz w:val="24"/>
          <w:szCs w:val="24"/>
          <w:lang w:val="ro-MD"/>
        </w:rPr>
        <w:t>mil. lei</w:t>
      </w:r>
      <w:r w:rsidRPr="00606103">
        <w:rPr>
          <w:rFonts w:asciiTheme="majorHAnsi" w:eastAsia="Times New Roman" w:hAnsiTheme="majorHAnsi" w:cstheme="majorHAnsi"/>
          <w:bCs/>
          <w:i/>
          <w:iCs/>
          <w:sz w:val="24"/>
          <w:szCs w:val="24"/>
          <w:lang w:val="ro-MD"/>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086"/>
        <w:gridCol w:w="1134"/>
        <w:gridCol w:w="993"/>
        <w:gridCol w:w="1369"/>
        <w:gridCol w:w="946"/>
      </w:tblGrid>
      <w:tr w:rsidR="000E0C22" w:rsidRPr="00606103" w:rsidTr="00926FAA">
        <w:trPr>
          <w:trHeight w:val="439"/>
        </w:trPr>
        <w:tc>
          <w:tcPr>
            <w:tcW w:w="4106" w:type="dxa"/>
            <w:shd w:val="clear" w:color="auto" w:fill="auto"/>
            <w:vAlign w:val="center"/>
            <w:hideMark/>
          </w:tcPr>
          <w:p w:rsidR="000E0C22" w:rsidRPr="00606103" w:rsidRDefault="000E0C22" w:rsidP="00552746">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Denumirea</w:t>
            </w:r>
          </w:p>
        </w:tc>
        <w:tc>
          <w:tcPr>
            <w:tcW w:w="1086" w:type="dxa"/>
            <w:shd w:val="clear" w:color="auto" w:fill="auto"/>
            <w:vAlign w:val="center"/>
            <w:hideMark/>
          </w:tcPr>
          <w:p w:rsidR="000E0C22" w:rsidRPr="00606103" w:rsidRDefault="000E0C22" w:rsidP="00552746">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Aprobat</w:t>
            </w:r>
          </w:p>
        </w:tc>
        <w:tc>
          <w:tcPr>
            <w:tcW w:w="1134" w:type="dxa"/>
            <w:shd w:val="clear" w:color="auto" w:fill="auto"/>
            <w:vAlign w:val="center"/>
            <w:hideMark/>
          </w:tcPr>
          <w:p w:rsidR="000E0C22" w:rsidRPr="00606103" w:rsidRDefault="000E0C22" w:rsidP="00552746">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Precizat</w:t>
            </w:r>
          </w:p>
        </w:tc>
        <w:tc>
          <w:tcPr>
            <w:tcW w:w="993" w:type="dxa"/>
            <w:shd w:val="clear" w:color="auto" w:fill="auto"/>
            <w:vAlign w:val="center"/>
            <w:hideMark/>
          </w:tcPr>
          <w:p w:rsidR="000E0C22" w:rsidRPr="00606103" w:rsidRDefault="000E0C22" w:rsidP="00552746">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Executat</w:t>
            </w:r>
          </w:p>
        </w:tc>
        <w:tc>
          <w:tcPr>
            <w:tcW w:w="1369" w:type="dxa"/>
            <w:shd w:val="clear" w:color="auto" w:fill="auto"/>
            <w:vAlign w:val="center"/>
            <w:hideMark/>
          </w:tcPr>
          <w:p w:rsidR="000E0C22" w:rsidRPr="00606103" w:rsidRDefault="000E0C22" w:rsidP="00552746">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Executat fa</w:t>
            </w:r>
            <w:r w:rsidR="00B65716" w:rsidRPr="00606103">
              <w:rPr>
                <w:rFonts w:asciiTheme="majorHAnsi" w:hAnsiTheme="majorHAnsi" w:cstheme="majorHAnsi"/>
                <w:b/>
                <w:sz w:val="20"/>
                <w:szCs w:val="20"/>
                <w:lang w:val="ro-MD"/>
              </w:rPr>
              <w:t>ță</w:t>
            </w:r>
            <w:r w:rsidRPr="00606103">
              <w:rPr>
                <w:rFonts w:asciiTheme="majorHAnsi" w:hAnsiTheme="majorHAnsi" w:cstheme="majorHAnsi"/>
                <w:b/>
                <w:sz w:val="20"/>
                <w:szCs w:val="20"/>
                <w:lang w:val="ro-MD"/>
              </w:rPr>
              <w:t xml:space="preserve"> de </w:t>
            </w:r>
            <w:r w:rsidR="00132B28" w:rsidRPr="00606103">
              <w:rPr>
                <w:rFonts w:asciiTheme="majorHAnsi" w:hAnsiTheme="majorHAnsi" w:cstheme="majorHAnsi"/>
                <w:b/>
                <w:sz w:val="20"/>
                <w:szCs w:val="20"/>
                <w:lang w:val="ro-MD"/>
              </w:rPr>
              <w:t>p</w:t>
            </w:r>
            <w:r w:rsidRPr="00606103">
              <w:rPr>
                <w:rFonts w:asciiTheme="majorHAnsi" w:hAnsiTheme="majorHAnsi" w:cstheme="majorHAnsi"/>
                <w:b/>
                <w:sz w:val="20"/>
                <w:szCs w:val="20"/>
                <w:lang w:val="ro-MD"/>
              </w:rPr>
              <w:t>recizat</w:t>
            </w:r>
          </w:p>
        </w:tc>
        <w:tc>
          <w:tcPr>
            <w:tcW w:w="946" w:type="dxa"/>
            <w:vAlign w:val="center"/>
          </w:tcPr>
          <w:p w:rsidR="000E0C22" w:rsidRPr="00606103" w:rsidRDefault="000E0C22" w:rsidP="00552746">
            <w:pPr>
              <w:pStyle w:val="NoSpacing"/>
              <w:spacing w:line="276" w:lineRule="auto"/>
              <w:ind w:left="-159" w:right="-111"/>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Ponderea, %</w:t>
            </w:r>
          </w:p>
        </w:tc>
      </w:tr>
      <w:tr w:rsidR="000E0C22" w:rsidRPr="00606103" w:rsidTr="00926FAA">
        <w:trPr>
          <w:trHeight w:val="84"/>
        </w:trPr>
        <w:tc>
          <w:tcPr>
            <w:tcW w:w="4106" w:type="dxa"/>
            <w:shd w:val="clear" w:color="auto" w:fill="auto"/>
            <w:vAlign w:val="center"/>
            <w:hideMark/>
          </w:tcPr>
          <w:p w:rsidR="000E0C22" w:rsidRPr="00606103" w:rsidRDefault="000E0C22" w:rsidP="00552746">
            <w:pPr>
              <w:pStyle w:val="NoSpacing"/>
              <w:spacing w:line="276" w:lineRule="auto"/>
              <w:jc w:val="center"/>
              <w:rPr>
                <w:rFonts w:asciiTheme="majorHAnsi" w:hAnsiTheme="majorHAnsi" w:cstheme="majorHAnsi"/>
                <w:i/>
                <w:sz w:val="16"/>
                <w:szCs w:val="18"/>
                <w:lang w:val="ro-MD"/>
              </w:rPr>
            </w:pPr>
            <w:r w:rsidRPr="00606103">
              <w:rPr>
                <w:rFonts w:asciiTheme="majorHAnsi" w:hAnsiTheme="majorHAnsi" w:cstheme="majorHAnsi"/>
                <w:i/>
                <w:sz w:val="16"/>
                <w:szCs w:val="18"/>
                <w:lang w:val="ro-MD"/>
              </w:rPr>
              <w:t>1</w:t>
            </w:r>
          </w:p>
        </w:tc>
        <w:tc>
          <w:tcPr>
            <w:tcW w:w="1086" w:type="dxa"/>
            <w:shd w:val="clear" w:color="auto" w:fill="auto"/>
            <w:noWrap/>
            <w:vAlign w:val="center"/>
            <w:hideMark/>
          </w:tcPr>
          <w:p w:rsidR="000E0C22" w:rsidRPr="00606103" w:rsidRDefault="002609BB" w:rsidP="00552746">
            <w:pPr>
              <w:pStyle w:val="NoSpacing"/>
              <w:spacing w:line="276" w:lineRule="auto"/>
              <w:jc w:val="center"/>
              <w:rPr>
                <w:rFonts w:asciiTheme="majorHAnsi" w:hAnsiTheme="majorHAnsi" w:cstheme="majorHAnsi"/>
                <w:i/>
                <w:sz w:val="16"/>
                <w:szCs w:val="18"/>
                <w:lang w:val="ro-MD"/>
              </w:rPr>
            </w:pPr>
            <w:r w:rsidRPr="00606103">
              <w:rPr>
                <w:rFonts w:asciiTheme="majorHAnsi" w:hAnsiTheme="majorHAnsi" w:cstheme="majorHAnsi"/>
                <w:i/>
                <w:sz w:val="16"/>
                <w:szCs w:val="18"/>
                <w:lang w:val="ro-MD"/>
              </w:rPr>
              <w:t>2</w:t>
            </w:r>
          </w:p>
        </w:tc>
        <w:tc>
          <w:tcPr>
            <w:tcW w:w="1134" w:type="dxa"/>
            <w:shd w:val="clear" w:color="auto" w:fill="auto"/>
            <w:noWrap/>
            <w:vAlign w:val="center"/>
            <w:hideMark/>
          </w:tcPr>
          <w:p w:rsidR="000E0C22" w:rsidRPr="00606103" w:rsidRDefault="002609BB" w:rsidP="00552746">
            <w:pPr>
              <w:pStyle w:val="NoSpacing"/>
              <w:spacing w:line="276" w:lineRule="auto"/>
              <w:jc w:val="center"/>
              <w:rPr>
                <w:rFonts w:asciiTheme="majorHAnsi" w:hAnsiTheme="majorHAnsi" w:cstheme="majorHAnsi"/>
                <w:i/>
                <w:sz w:val="16"/>
                <w:szCs w:val="18"/>
                <w:lang w:val="ro-MD"/>
              </w:rPr>
            </w:pPr>
            <w:r w:rsidRPr="00606103">
              <w:rPr>
                <w:rFonts w:asciiTheme="majorHAnsi" w:hAnsiTheme="majorHAnsi" w:cstheme="majorHAnsi"/>
                <w:i/>
                <w:sz w:val="16"/>
                <w:szCs w:val="18"/>
                <w:lang w:val="ro-MD"/>
              </w:rPr>
              <w:t>3</w:t>
            </w:r>
          </w:p>
        </w:tc>
        <w:tc>
          <w:tcPr>
            <w:tcW w:w="993" w:type="dxa"/>
            <w:shd w:val="clear" w:color="auto" w:fill="auto"/>
            <w:noWrap/>
            <w:vAlign w:val="center"/>
            <w:hideMark/>
          </w:tcPr>
          <w:p w:rsidR="000E0C22" w:rsidRPr="00606103" w:rsidRDefault="002609BB" w:rsidP="00552746">
            <w:pPr>
              <w:pStyle w:val="NoSpacing"/>
              <w:spacing w:line="276" w:lineRule="auto"/>
              <w:jc w:val="center"/>
              <w:rPr>
                <w:rFonts w:asciiTheme="majorHAnsi" w:hAnsiTheme="majorHAnsi" w:cstheme="majorHAnsi"/>
                <w:i/>
                <w:sz w:val="16"/>
                <w:szCs w:val="18"/>
                <w:lang w:val="ro-MD"/>
              </w:rPr>
            </w:pPr>
            <w:r w:rsidRPr="00606103">
              <w:rPr>
                <w:rFonts w:asciiTheme="majorHAnsi" w:hAnsiTheme="majorHAnsi" w:cstheme="majorHAnsi"/>
                <w:i/>
                <w:sz w:val="16"/>
                <w:szCs w:val="18"/>
                <w:lang w:val="ro-MD"/>
              </w:rPr>
              <w:t>4</w:t>
            </w:r>
          </w:p>
        </w:tc>
        <w:tc>
          <w:tcPr>
            <w:tcW w:w="1369" w:type="dxa"/>
            <w:shd w:val="clear" w:color="auto" w:fill="auto"/>
            <w:noWrap/>
            <w:vAlign w:val="center"/>
            <w:hideMark/>
          </w:tcPr>
          <w:p w:rsidR="000E0C22" w:rsidRPr="00606103" w:rsidRDefault="002609BB" w:rsidP="00552746">
            <w:pPr>
              <w:pStyle w:val="NoSpacing"/>
              <w:spacing w:line="276" w:lineRule="auto"/>
              <w:jc w:val="center"/>
              <w:rPr>
                <w:rFonts w:asciiTheme="majorHAnsi" w:hAnsiTheme="majorHAnsi" w:cstheme="majorHAnsi"/>
                <w:i/>
                <w:sz w:val="16"/>
                <w:szCs w:val="18"/>
                <w:lang w:val="ro-MD"/>
              </w:rPr>
            </w:pPr>
            <w:r w:rsidRPr="00606103">
              <w:rPr>
                <w:rFonts w:asciiTheme="majorHAnsi" w:hAnsiTheme="majorHAnsi" w:cstheme="majorHAnsi"/>
                <w:i/>
                <w:sz w:val="16"/>
                <w:szCs w:val="18"/>
                <w:lang w:val="ro-MD"/>
              </w:rPr>
              <w:t>5=4-3</w:t>
            </w:r>
          </w:p>
        </w:tc>
        <w:tc>
          <w:tcPr>
            <w:tcW w:w="946" w:type="dxa"/>
            <w:vAlign w:val="center"/>
          </w:tcPr>
          <w:p w:rsidR="000E0C22" w:rsidRPr="00606103" w:rsidRDefault="002609BB" w:rsidP="00552746">
            <w:pPr>
              <w:pStyle w:val="NoSpacing"/>
              <w:spacing w:line="276" w:lineRule="auto"/>
              <w:jc w:val="center"/>
              <w:rPr>
                <w:rFonts w:asciiTheme="majorHAnsi" w:hAnsiTheme="majorHAnsi" w:cstheme="majorHAnsi"/>
                <w:i/>
                <w:sz w:val="16"/>
                <w:szCs w:val="18"/>
                <w:lang w:val="ro-MD"/>
              </w:rPr>
            </w:pPr>
            <w:r w:rsidRPr="00606103">
              <w:rPr>
                <w:rFonts w:asciiTheme="majorHAnsi" w:hAnsiTheme="majorHAnsi" w:cstheme="majorHAnsi"/>
                <w:i/>
                <w:sz w:val="16"/>
                <w:szCs w:val="18"/>
                <w:lang w:val="ro-MD"/>
              </w:rPr>
              <w:t>6</w:t>
            </w:r>
          </w:p>
        </w:tc>
      </w:tr>
      <w:tr w:rsidR="000E0C22" w:rsidRPr="00606103" w:rsidTr="00926FAA">
        <w:trPr>
          <w:trHeight w:val="219"/>
        </w:trPr>
        <w:tc>
          <w:tcPr>
            <w:tcW w:w="4106" w:type="dxa"/>
            <w:shd w:val="clear" w:color="auto" w:fill="auto"/>
            <w:vAlign w:val="center"/>
            <w:hideMark/>
          </w:tcPr>
          <w:p w:rsidR="000E0C22" w:rsidRPr="00606103" w:rsidRDefault="000E0C22" w:rsidP="00552746">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sz w:val="20"/>
                <w:szCs w:val="20"/>
                <w:lang w:val="ro-MD"/>
              </w:rPr>
              <w:t>Granturi curente acordate instituțiilor publice la autogestiune</w:t>
            </w:r>
          </w:p>
        </w:tc>
        <w:tc>
          <w:tcPr>
            <w:tcW w:w="1086"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408,6</w:t>
            </w:r>
          </w:p>
        </w:tc>
        <w:tc>
          <w:tcPr>
            <w:tcW w:w="1134"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368,3</w:t>
            </w:r>
          </w:p>
        </w:tc>
        <w:tc>
          <w:tcPr>
            <w:tcW w:w="993"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342,1</w:t>
            </w:r>
          </w:p>
        </w:tc>
        <w:tc>
          <w:tcPr>
            <w:tcW w:w="1369"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-26,2</w:t>
            </w:r>
          </w:p>
        </w:tc>
        <w:tc>
          <w:tcPr>
            <w:tcW w:w="946" w:type="dxa"/>
            <w:shd w:val="clear" w:color="auto" w:fill="auto"/>
            <w:vAlign w:val="center"/>
          </w:tcPr>
          <w:p w:rsidR="000E0C22" w:rsidRPr="00606103" w:rsidRDefault="000E0C22" w:rsidP="00552746">
            <w:pPr>
              <w:pStyle w:val="NoSpacing"/>
              <w:spacing w:line="276" w:lineRule="auto"/>
              <w:ind w:left="-201" w:right="179"/>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49,7</w:t>
            </w:r>
          </w:p>
        </w:tc>
      </w:tr>
      <w:tr w:rsidR="000E0C22" w:rsidRPr="00606103" w:rsidTr="00926FAA">
        <w:trPr>
          <w:trHeight w:val="109"/>
        </w:trPr>
        <w:tc>
          <w:tcPr>
            <w:tcW w:w="4106" w:type="dxa"/>
            <w:shd w:val="clear" w:color="auto" w:fill="auto"/>
            <w:vAlign w:val="center"/>
            <w:hideMark/>
          </w:tcPr>
          <w:p w:rsidR="000E0C22" w:rsidRPr="00606103" w:rsidRDefault="000E0C22" w:rsidP="00552746">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sz w:val="20"/>
                <w:szCs w:val="20"/>
                <w:lang w:val="ro-MD"/>
              </w:rPr>
              <w:t xml:space="preserve">Granturi curente acordate altor beneficiari </w:t>
            </w:r>
            <w:r w:rsidR="00132B28" w:rsidRPr="00606103">
              <w:rPr>
                <w:rFonts w:asciiTheme="majorHAnsi" w:hAnsiTheme="majorHAnsi" w:cstheme="majorHAnsi"/>
                <w:sz w:val="20"/>
                <w:szCs w:val="20"/>
                <w:lang w:val="ro-MD"/>
              </w:rPr>
              <w:t>î</w:t>
            </w:r>
            <w:r w:rsidRPr="00606103">
              <w:rPr>
                <w:rFonts w:asciiTheme="majorHAnsi" w:hAnsiTheme="majorHAnsi" w:cstheme="majorHAnsi"/>
                <w:sz w:val="20"/>
                <w:szCs w:val="20"/>
                <w:lang w:val="ro-MD"/>
              </w:rPr>
              <w:t>n interiorul țării</w:t>
            </w:r>
          </w:p>
        </w:tc>
        <w:tc>
          <w:tcPr>
            <w:tcW w:w="1086"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16,0</w:t>
            </w:r>
          </w:p>
        </w:tc>
        <w:tc>
          <w:tcPr>
            <w:tcW w:w="1134"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17,6</w:t>
            </w:r>
          </w:p>
        </w:tc>
        <w:tc>
          <w:tcPr>
            <w:tcW w:w="993"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15,2</w:t>
            </w:r>
          </w:p>
        </w:tc>
        <w:tc>
          <w:tcPr>
            <w:tcW w:w="1369"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-2,3</w:t>
            </w:r>
          </w:p>
        </w:tc>
        <w:tc>
          <w:tcPr>
            <w:tcW w:w="946" w:type="dxa"/>
            <w:shd w:val="clear" w:color="auto" w:fill="auto"/>
            <w:vAlign w:val="center"/>
          </w:tcPr>
          <w:p w:rsidR="000E0C22" w:rsidRPr="00606103" w:rsidRDefault="000E0C22" w:rsidP="00552746">
            <w:pPr>
              <w:pStyle w:val="NoSpacing"/>
              <w:spacing w:line="276" w:lineRule="auto"/>
              <w:ind w:left="-201" w:right="179"/>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2,2</w:t>
            </w:r>
          </w:p>
        </w:tc>
      </w:tr>
      <w:tr w:rsidR="000E0C22" w:rsidRPr="00606103" w:rsidTr="00926FAA">
        <w:trPr>
          <w:trHeight w:val="109"/>
        </w:trPr>
        <w:tc>
          <w:tcPr>
            <w:tcW w:w="4106" w:type="dxa"/>
            <w:shd w:val="clear" w:color="auto" w:fill="auto"/>
            <w:vAlign w:val="center"/>
            <w:hideMark/>
          </w:tcPr>
          <w:p w:rsidR="000E0C22" w:rsidRPr="00606103" w:rsidRDefault="000E0C22" w:rsidP="00552746">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sz w:val="20"/>
                <w:szCs w:val="20"/>
                <w:lang w:val="ro-MD"/>
              </w:rPr>
              <w:t>Granturi capitale acordate instituțiilor publice la autogestiune</w:t>
            </w:r>
          </w:p>
        </w:tc>
        <w:tc>
          <w:tcPr>
            <w:tcW w:w="1086"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331,8</w:t>
            </w:r>
          </w:p>
        </w:tc>
        <w:tc>
          <w:tcPr>
            <w:tcW w:w="1134"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329,5</w:t>
            </w:r>
          </w:p>
        </w:tc>
        <w:tc>
          <w:tcPr>
            <w:tcW w:w="993"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300,9</w:t>
            </w:r>
          </w:p>
        </w:tc>
        <w:tc>
          <w:tcPr>
            <w:tcW w:w="1369"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-28,7</w:t>
            </w:r>
          </w:p>
        </w:tc>
        <w:tc>
          <w:tcPr>
            <w:tcW w:w="946" w:type="dxa"/>
            <w:shd w:val="clear" w:color="auto" w:fill="auto"/>
            <w:vAlign w:val="center"/>
          </w:tcPr>
          <w:p w:rsidR="000E0C22" w:rsidRPr="00606103" w:rsidRDefault="000E0C22" w:rsidP="00552746">
            <w:pPr>
              <w:pStyle w:val="NoSpacing"/>
              <w:spacing w:line="276" w:lineRule="auto"/>
              <w:ind w:left="-201" w:right="179"/>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43,7</w:t>
            </w:r>
          </w:p>
        </w:tc>
      </w:tr>
      <w:tr w:rsidR="000E0C22" w:rsidRPr="00606103" w:rsidTr="00926FAA">
        <w:trPr>
          <w:trHeight w:val="109"/>
        </w:trPr>
        <w:tc>
          <w:tcPr>
            <w:tcW w:w="4106" w:type="dxa"/>
            <w:shd w:val="clear" w:color="auto" w:fill="auto"/>
            <w:vAlign w:val="center"/>
            <w:hideMark/>
          </w:tcPr>
          <w:p w:rsidR="000E0C22" w:rsidRPr="00606103" w:rsidRDefault="000E0C22" w:rsidP="00552746">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sz w:val="20"/>
                <w:szCs w:val="20"/>
                <w:lang w:val="ro-MD"/>
              </w:rPr>
              <w:t xml:space="preserve">Granturi capitale acordate altor beneficiari </w:t>
            </w:r>
            <w:r w:rsidR="00132B28" w:rsidRPr="00606103">
              <w:rPr>
                <w:rFonts w:asciiTheme="majorHAnsi" w:hAnsiTheme="majorHAnsi" w:cstheme="majorHAnsi"/>
                <w:sz w:val="20"/>
                <w:szCs w:val="20"/>
                <w:lang w:val="ro-MD"/>
              </w:rPr>
              <w:t>î</w:t>
            </w:r>
            <w:r w:rsidRPr="00606103">
              <w:rPr>
                <w:rFonts w:asciiTheme="majorHAnsi" w:hAnsiTheme="majorHAnsi" w:cstheme="majorHAnsi"/>
                <w:sz w:val="20"/>
                <w:szCs w:val="20"/>
                <w:lang w:val="ro-MD"/>
              </w:rPr>
              <w:t>n interiorul țării</w:t>
            </w:r>
          </w:p>
        </w:tc>
        <w:tc>
          <w:tcPr>
            <w:tcW w:w="1086"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5,8</w:t>
            </w:r>
          </w:p>
        </w:tc>
        <w:tc>
          <w:tcPr>
            <w:tcW w:w="1134"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33,4</w:t>
            </w:r>
          </w:p>
        </w:tc>
        <w:tc>
          <w:tcPr>
            <w:tcW w:w="993"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30,4</w:t>
            </w:r>
          </w:p>
        </w:tc>
        <w:tc>
          <w:tcPr>
            <w:tcW w:w="1369" w:type="dxa"/>
            <w:shd w:val="clear" w:color="auto" w:fill="auto"/>
            <w:noWrap/>
            <w:vAlign w:val="center"/>
            <w:hideMark/>
          </w:tcPr>
          <w:p w:rsidR="000E0C22" w:rsidRPr="00606103" w:rsidRDefault="000E0C22" w:rsidP="00552746">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-3,0</w:t>
            </w:r>
          </w:p>
        </w:tc>
        <w:tc>
          <w:tcPr>
            <w:tcW w:w="946" w:type="dxa"/>
            <w:shd w:val="clear" w:color="auto" w:fill="auto"/>
            <w:vAlign w:val="center"/>
          </w:tcPr>
          <w:p w:rsidR="000E0C22" w:rsidRPr="00606103" w:rsidRDefault="000E0C22" w:rsidP="00552746">
            <w:pPr>
              <w:pStyle w:val="NoSpacing"/>
              <w:spacing w:line="276" w:lineRule="auto"/>
              <w:ind w:left="-201" w:right="179"/>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4,4</w:t>
            </w:r>
          </w:p>
        </w:tc>
      </w:tr>
      <w:tr w:rsidR="000E0C22" w:rsidRPr="00606103" w:rsidTr="00926FAA">
        <w:trPr>
          <w:trHeight w:val="109"/>
        </w:trPr>
        <w:tc>
          <w:tcPr>
            <w:tcW w:w="4106" w:type="dxa"/>
            <w:shd w:val="clear" w:color="auto" w:fill="auto"/>
            <w:vAlign w:val="center"/>
          </w:tcPr>
          <w:p w:rsidR="000E0C22" w:rsidRPr="00606103" w:rsidRDefault="000E0C22" w:rsidP="00552746">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b/>
                <w:sz w:val="20"/>
                <w:szCs w:val="20"/>
                <w:lang w:val="ro-MD"/>
              </w:rPr>
              <w:t>Granturi acordate</w:t>
            </w:r>
            <w:r w:rsidRPr="00606103">
              <w:rPr>
                <w:rFonts w:asciiTheme="majorHAnsi" w:hAnsiTheme="majorHAnsi" w:cstheme="majorHAnsi"/>
                <w:sz w:val="20"/>
                <w:szCs w:val="20"/>
                <w:lang w:val="ro-MD"/>
              </w:rPr>
              <w:t xml:space="preserve">, </w:t>
            </w:r>
            <w:r w:rsidRPr="00606103">
              <w:rPr>
                <w:rFonts w:asciiTheme="majorHAnsi" w:hAnsiTheme="majorHAnsi" w:cstheme="majorHAnsi"/>
                <w:i/>
                <w:sz w:val="20"/>
                <w:szCs w:val="20"/>
                <w:lang w:val="ro-MD"/>
              </w:rPr>
              <w:t>inclusiv din contul:</w:t>
            </w:r>
          </w:p>
        </w:tc>
        <w:tc>
          <w:tcPr>
            <w:tcW w:w="1086"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762,2</w:t>
            </w:r>
          </w:p>
        </w:tc>
        <w:tc>
          <w:tcPr>
            <w:tcW w:w="1134"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748,8</w:t>
            </w:r>
          </w:p>
        </w:tc>
        <w:tc>
          <w:tcPr>
            <w:tcW w:w="993"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688,6</w:t>
            </w:r>
          </w:p>
        </w:tc>
        <w:tc>
          <w:tcPr>
            <w:tcW w:w="1369"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-60,2</w:t>
            </w:r>
          </w:p>
        </w:tc>
        <w:tc>
          <w:tcPr>
            <w:tcW w:w="946" w:type="dxa"/>
            <w:shd w:val="clear" w:color="auto" w:fill="auto"/>
            <w:vAlign w:val="center"/>
          </w:tcPr>
          <w:p w:rsidR="000E0C22" w:rsidRPr="00606103" w:rsidRDefault="000E0C22" w:rsidP="00552746">
            <w:pPr>
              <w:pStyle w:val="NoSpacing"/>
              <w:spacing w:line="276" w:lineRule="auto"/>
              <w:ind w:left="-201" w:right="179"/>
              <w:jc w:val="right"/>
              <w:rPr>
                <w:rFonts w:asciiTheme="majorHAnsi" w:hAnsiTheme="majorHAnsi" w:cstheme="majorHAnsi"/>
                <w:b/>
                <w:sz w:val="20"/>
                <w:szCs w:val="20"/>
                <w:lang w:val="ro-MD"/>
              </w:rPr>
            </w:pPr>
            <w:r w:rsidRPr="00606103">
              <w:rPr>
                <w:rFonts w:asciiTheme="majorHAnsi" w:hAnsiTheme="majorHAnsi" w:cstheme="majorHAnsi"/>
                <w:b/>
                <w:sz w:val="20"/>
                <w:szCs w:val="20"/>
                <w:lang w:val="ro-MD"/>
              </w:rPr>
              <w:t>100,0</w:t>
            </w:r>
          </w:p>
        </w:tc>
      </w:tr>
      <w:tr w:rsidR="000E0C22" w:rsidRPr="00606103" w:rsidTr="00926FAA">
        <w:trPr>
          <w:trHeight w:val="109"/>
        </w:trPr>
        <w:tc>
          <w:tcPr>
            <w:tcW w:w="4106" w:type="dxa"/>
            <w:shd w:val="clear" w:color="auto" w:fill="auto"/>
            <w:vAlign w:val="center"/>
          </w:tcPr>
          <w:p w:rsidR="000E0C22" w:rsidRPr="00606103" w:rsidRDefault="000E0C22" w:rsidP="00552746">
            <w:pPr>
              <w:pStyle w:val="NoSpacing"/>
              <w:spacing w:line="276" w:lineRule="auto"/>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Resurse generale</w:t>
            </w:r>
          </w:p>
        </w:tc>
        <w:tc>
          <w:tcPr>
            <w:tcW w:w="1086"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755,6</w:t>
            </w:r>
          </w:p>
        </w:tc>
        <w:tc>
          <w:tcPr>
            <w:tcW w:w="1134"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739,5</w:t>
            </w:r>
          </w:p>
        </w:tc>
        <w:tc>
          <w:tcPr>
            <w:tcW w:w="993"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683,5</w:t>
            </w:r>
          </w:p>
        </w:tc>
        <w:tc>
          <w:tcPr>
            <w:tcW w:w="1369"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-56,0</w:t>
            </w:r>
          </w:p>
        </w:tc>
        <w:tc>
          <w:tcPr>
            <w:tcW w:w="946" w:type="dxa"/>
            <w:shd w:val="clear" w:color="auto" w:fill="auto"/>
            <w:vAlign w:val="center"/>
          </w:tcPr>
          <w:p w:rsidR="000E0C22" w:rsidRPr="00606103" w:rsidRDefault="000E0C22" w:rsidP="00552746">
            <w:pPr>
              <w:pStyle w:val="NoSpacing"/>
              <w:spacing w:line="276" w:lineRule="auto"/>
              <w:ind w:left="-201" w:right="179"/>
              <w:jc w:val="right"/>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99,3</w:t>
            </w:r>
          </w:p>
        </w:tc>
      </w:tr>
      <w:tr w:rsidR="000E0C22" w:rsidRPr="00606103" w:rsidTr="00926FAA">
        <w:trPr>
          <w:trHeight w:val="109"/>
        </w:trPr>
        <w:tc>
          <w:tcPr>
            <w:tcW w:w="4106" w:type="dxa"/>
            <w:shd w:val="clear" w:color="auto" w:fill="auto"/>
            <w:vAlign w:val="center"/>
          </w:tcPr>
          <w:p w:rsidR="000E0C22" w:rsidRPr="00606103" w:rsidRDefault="000E0C22" w:rsidP="00552746">
            <w:pPr>
              <w:pStyle w:val="NoSpacing"/>
              <w:spacing w:line="276" w:lineRule="auto"/>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PFSE</w:t>
            </w:r>
          </w:p>
        </w:tc>
        <w:tc>
          <w:tcPr>
            <w:tcW w:w="1086"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6,6</w:t>
            </w:r>
          </w:p>
        </w:tc>
        <w:tc>
          <w:tcPr>
            <w:tcW w:w="1134"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9,3</w:t>
            </w:r>
          </w:p>
        </w:tc>
        <w:tc>
          <w:tcPr>
            <w:tcW w:w="993"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5,1</w:t>
            </w:r>
          </w:p>
        </w:tc>
        <w:tc>
          <w:tcPr>
            <w:tcW w:w="1369" w:type="dxa"/>
            <w:shd w:val="clear" w:color="auto" w:fill="auto"/>
            <w:noWrap/>
            <w:vAlign w:val="center"/>
          </w:tcPr>
          <w:p w:rsidR="000E0C22" w:rsidRPr="00606103" w:rsidRDefault="000E0C22" w:rsidP="00552746">
            <w:pPr>
              <w:pStyle w:val="NoSpacing"/>
              <w:spacing w:line="276" w:lineRule="auto"/>
              <w:jc w:val="center"/>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-4,2</w:t>
            </w:r>
          </w:p>
        </w:tc>
        <w:tc>
          <w:tcPr>
            <w:tcW w:w="946" w:type="dxa"/>
            <w:shd w:val="clear" w:color="auto" w:fill="auto"/>
            <w:vAlign w:val="center"/>
          </w:tcPr>
          <w:p w:rsidR="000E0C22" w:rsidRPr="00606103" w:rsidRDefault="000E0C22" w:rsidP="00552746">
            <w:pPr>
              <w:pStyle w:val="NoSpacing"/>
              <w:spacing w:line="276" w:lineRule="auto"/>
              <w:ind w:left="-201" w:right="179"/>
              <w:jc w:val="right"/>
              <w:rPr>
                <w:rFonts w:asciiTheme="majorHAnsi" w:hAnsiTheme="majorHAnsi" w:cstheme="majorHAnsi"/>
                <w:i/>
                <w:color w:val="000000"/>
                <w:sz w:val="20"/>
                <w:szCs w:val="20"/>
                <w:lang w:val="ro-MD"/>
              </w:rPr>
            </w:pPr>
            <w:r w:rsidRPr="00606103">
              <w:rPr>
                <w:rFonts w:asciiTheme="majorHAnsi" w:hAnsiTheme="majorHAnsi" w:cstheme="majorHAnsi"/>
                <w:i/>
                <w:color w:val="000000"/>
                <w:sz w:val="20"/>
                <w:szCs w:val="20"/>
                <w:lang w:val="ro-MD"/>
              </w:rPr>
              <w:t>0,7</w:t>
            </w:r>
          </w:p>
        </w:tc>
      </w:tr>
    </w:tbl>
    <w:p w:rsidR="000E0C22" w:rsidRPr="00606103" w:rsidRDefault="000E0C22" w:rsidP="00FE3F3B">
      <w:pPr>
        <w:tabs>
          <w:tab w:val="left" w:pos="851"/>
        </w:tabs>
        <w:spacing w:line="276" w:lineRule="auto"/>
        <w:contextualSpacing/>
        <w:rPr>
          <w:rFonts w:asciiTheme="majorHAnsi" w:eastAsia="Times New Roman" w:hAnsiTheme="majorHAnsi" w:cstheme="majorHAnsi"/>
          <w:bCs/>
          <w:i/>
          <w:iCs/>
          <w:sz w:val="20"/>
          <w:szCs w:val="20"/>
          <w:lang w:val="ro-MD"/>
        </w:rPr>
      </w:pPr>
      <w:r w:rsidRPr="00606103">
        <w:rPr>
          <w:rFonts w:asciiTheme="majorHAnsi" w:eastAsia="Times New Roman" w:hAnsiTheme="majorHAnsi" w:cstheme="majorHAnsi"/>
          <w:b/>
          <w:bCs/>
          <w:i/>
          <w:iCs/>
          <w:sz w:val="20"/>
          <w:szCs w:val="20"/>
          <w:lang w:val="ro-MD"/>
        </w:rPr>
        <w:t>Sursa:</w:t>
      </w:r>
      <w:r w:rsidRPr="00606103">
        <w:rPr>
          <w:rFonts w:asciiTheme="majorHAnsi" w:eastAsia="Times New Roman" w:hAnsiTheme="majorHAnsi" w:cstheme="majorHAnsi"/>
          <w:bCs/>
          <w:i/>
          <w:iCs/>
          <w:sz w:val="20"/>
          <w:szCs w:val="20"/>
          <w:lang w:val="ro-MD"/>
        </w:rPr>
        <w:t xml:space="preserve"> Informații generalizate de către echipa de audit în baza datelor prezentate de MF</w:t>
      </w:r>
      <w:r w:rsidR="00650C9F" w:rsidRPr="00606103">
        <w:rPr>
          <w:rFonts w:asciiTheme="majorHAnsi" w:eastAsia="Times New Roman" w:hAnsiTheme="majorHAnsi" w:cstheme="majorHAnsi"/>
          <w:bCs/>
          <w:i/>
          <w:iCs/>
          <w:sz w:val="20"/>
          <w:szCs w:val="20"/>
          <w:lang w:val="ro-MD"/>
        </w:rPr>
        <w:t>.</w:t>
      </w:r>
    </w:p>
    <w:p w:rsidR="000E0C22" w:rsidRPr="00606103" w:rsidRDefault="000E0C22" w:rsidP="00FE3F3B">
      <w:pPr>
        <w:spacing w:before="240" w:line="276" w:lineRule="auto"/>
        <w:rPr>
          <w:rFonts w:asciiTheme="majorHAnsi" w:hAnsiTheme="majorHAnsi"/>
          <w:sz w:val="24"/>
          <w:szCs w:val="24"/>
          <w:lang w:val="ro-MD"/>
        </w:rPr>
      </w:pPr>
      <w:r w:rsidRPr="00606103">
        <w:rPr>
          <w:rFonts w:asciiTheme="majorHAnsi" w:hAnsiTheme="majorHAnsi"/>
          <w:sz w:val="24"/>
          <w:szCs w:val="24"/>
          <w:lang w:val="ro-MD"/>
        </w:rPr>
        <w:t>În aspectul instituțiilor beneficiare de granturi acordate din bugetul de stat</w:t>
      </w:r>
      <w:r w:rsidR="00132B28" w:rsidRPr="00606103">
        <w:rPr>
          <w:rFonts w:asciiTheme="majorHAnsi" w:hAnsiTheme="majorHAnsi"/>
          <w:sz w:val="24"/>
          <w:szCs w:val="24"/>
          <w:lang w:val="ro-MD"/>
        </w:rPr>
        <w:t>,</w:t>
      </w:r>
      <w:r w:rsidRPr="00606103">
        <w:rPr>
          <w:rFonts w:asciiTheme="majorHAnsi" w:hAnsiTheme="majorHAnsi"/>
          <w:sz w:val="24"/>
          <w:szCs w:val="24"/>
          <w:lang w:val="ro-MD"/>
        </w:rPr>
        <w:t xml:space="preserve"> se menționează: Organizația pentru Dezvoltarea Sector</w:t>
      </w:r>
      <w:r w:rsidR="00132B28" w:rsidRPr="00606103">
        <w:rPr>
          <w:rFonts w:asciiTheme="majorHAnsi" w:hAnsiTheme="majorHAnsi"/>
          <w:sz w:val="24"/>
          <w:szCs w:val="24"/>
          <w:lang w:val="ro-MD"/>
        </w:rPr>
        <w:t>ului</w:t>
      </w:r>
      <w:r w:rsidRPr="00606103">
        <w:rPr>
          <w:rFonts w:asciiTheme="majorHAnsi" w:hAnsiTheme="majorHAnsi"/>
          <w:sz w:val="24"/>
          <w:szCs w:val="24"/>
          <w:lang w:val="ro-MD"/>
        </w:rPr>
        <w:t xml:space="preserve"> Întreprinderi</w:t>
      </w:r>
      <w:r w:rsidR="00132B28" w:rsidRPr="00606103">
        <w:rPr>
          <w:rFonts w:asciiTheme="majorHAnsi" w:hAnsiTheme="majorHAnsi"/>
          <w:sz w:val="24"/>
          <w:szCs w:val="24"/>
          <w:lang w:val="ro-MD"/>
        </w:rPr>
        <w:t>lor</w:t>
      </w:r>
      <w:r w:rsidRPr="00606103">
        <w:rPr>
          <w:rFonts w:asciiTheme="majorHAnsi" w:hAnsiTheme="majorHAnsi"/>
          <w:sz w:val="24"/>
          <w:szCs w:val="24"/>
          <w:lang w:val="ro-MD"/>
        </w:rPr>
        <w:t xml:space="preserve"> Mici </w:t>
      </w:r>
      <w:r w:rsidR="00132B28" w:rsidRPr="00606103">
        <w:rPr>
          <w:rFonts w:asciiTheme="majorHAnsi" w:hAnsiTheme="majorHAnsi"/>
          <w:sz w:val="24"/>
          <w:szCs w:val="24"/>
          <w:lang w:val="ro-MD"/>
        </w:rPr>
        <w:t>ș</w:t>
      </w:r>
      <w:r w:rsidRPr="00606103">
        <w:rPr>
          <w:rFonts w:asciiTheme="majorHAnsi" w:hAnsiTheme="majorHAnsi"/>
          <w:sz w:val="24"/>
          <w:szCs w:val="24"/>
          <w:lang w:val="ro-MD"/>
        </w:rPr>
        <w:t>i Mijlocii – 115,1 mil. lei, I.P. STISC</w:t>
      </w:r>
      <w:r w:rsidR="00EF6F00" w:rsidRPr="00606103">
        <w:rPr>
          <w:rFonts w:asciiTheme="majorHAnsi" w:hAnsiTheme="majorHAnsi"/>
          <w:sz w:val="24"/>
          <w:szCs w:val="24"/>
          <w:lang w:val="ro-MD"/>
        </w:rPr>
        <w:t xml:space="preserve"> </w:t>
      </w:r>
      <w:r w:rsidRPr="00606103">
        <w:rPr>
          <w:rFonts w:asciiTheme="majorHAnsi" w:hAnsiTheme="majorHAnsi"/>
          <w:sz w:val="24"/>
          <w:szCs w:val="24"/>
          <w:lang w:val="ro-MD"/>
        </w:rPr>
        <w:t xml:space="preserve">– </w:t>
      </w:r>
      <w:r w:rsidR="006171ED" w:rsidRPr="00606103">
        <w:rPr>
          <w:rFonts w:asciiTheme="majorHAnsi" w:hAnsiTheme="majorHAnsi"/>
          <w:sz w:val="24"/>
          <w:szCs w:val="24"/>
          <w:lang w:val="ro-MD"/>
        </w:rPr>
        <w:t>103,3</w:t>
      </w:r>
      <w:r w:rsidRPr="00606103">
        <w:rPr>
          <w:rFonts w:asciiTheme="majorHAnsi" w:hAnsiTheme="majorHAnsi"/>
          <w:sz w:val="24"/>
          <w:szCs w:val="24"/>
          <w:lang w:val="ro-MD"/>
        </w:rPr>
        <w:t xml:space="preserve"> mil. lei, I.P. AGE </w:t>
      </w:r>
      <w:r w:rsidR="00EF6F00" w:rsidRPr="00606103">
        <w:rPr>
          <w:rFonts w:asciiTheme="majorHAnsi" w:hAnsiTheme="majorHAnsi"/>
          <w:sz w:val="24"/>
          <w:szCs w:val="24"/>
          <w:lang w:val="ro-MD"/>
        </w:rPr>
        <w:t xml:space="preserve">– </w:t>
      </w:r>
      <w:r w:rsidR="006171ED" w:rsidRPr="00606103">
        <w:rPr>
          <w:rFonts w:asciiTheme="majorHAnsi" w:hAnsiTheme="majorHAnsi"/>
          <w:sz w:val="24"/>
          <w:szCs w:val="24"/>
          <w:lang w:val="ro-MD"/>
        </w:rPr>
        <w:t>18,2</w:t>
      </w:r>
      <w:r w:rsidRPr="00606103">
        <w:rPr>
          <w:rFonts w:asciiTheme="majorHAnsi" w:hAnsiTheme="majorHAnsi"/>
          <w:sz w:val="24"/>
          <w:szCs w:val="24"/>
          <w:lang w:val="ro-MD"/>
        </w:rPr>
        <w:t xml:space="preserve"> mil. lei, Instituția Medico-Sanitară Publică </w:t>
      </w:r>
      <w:r w:rsidR="001F5617" w:rsidRPr="00606103">
        <w:rPr>
          <w:rFonts w:asciiTheme="majorHAnsi" w:hAnsiTheme="majorHAnsi"/>
          <w:sz w:val="24"/>
          <w:szCs w:val="24"/>
          <w:lang w:val="ro-MD"/>
        </w:rPr>
        <w:t>„</w:t>
      </w:r>
      <w:r w:rsidRPr="00606103">
        <w:rPr>
          <w:rFonts w:asciiTheme="majorHAnsi" w:hAnsiTheme="majorHAnsi"/>
          <w:sz w:val="24"/>
          <w:szCs w:val="24"/>
          <w:lang w:val="ro-MD"/>
        </w:rPr>
        <w:t xml:space="preserve">Spitalul </w:t>
      </w:r>
      <w:r w:rsidR="001F5617" w:rsidRPr="00606103">
        <w:rPr>
          <w:rFonts w:asciiTheme="majorHAnsi" w:hAnsiTheme="majorHAnsi"/>
          <w:sz w:val="24"/>
          <w:szCs w:val="24"/>
          <w:lang w:val="ro-MD"/>
        </w:rPr>
        <w:t xml:space="preserve">Cancelariei </w:t>
      </w:r>
      <w:r w:rsidRPr="00606103">
        <w:rPr>
          <w:rFonts w:asciiTheme="majorHAnsi" w:hAnsiTheme="majorHAnsi"/>
          <w:sz w:val="24"/>
          <w:szCs w:val="24"/>
          <w:lang w:val="ro-MD"/>
        </w:rPr>
        <w:t>de Stat</w:t>
      </w:r>
      <w:r w:rsidR="001F5617" w:rsidRPr="00606103">
        <w:rPr>
          <w:rFonts w:asciiTheme="majorHAnsi" w:hAnsiTheme="majorHAnsi"/>
          <w:sz w:val="24"/>
          <w:szCs w:val="24"/>
          <w:lang w:val="ro-MD"/>
        </w:rPr>
        <w:t>”</w:t>
      </w:r>
      <w:r w:rsidRPr="00606103">
        <w:rPr>
          <w:rFonts w:asciiTheme="majorHAnsi" w:hAnsiTheme="majorHAnsi"/>
          <w:sz w:val="24"/>
          <w:szCs w:val="24"/>
          <w:lang w:val="ro-MD"/>
        </w:rPr>
        <w:t xml:space="preserve"> </w:t>
      </w:r>
      <w:r w:rsidR="00EF6F00" w:rsidRPr="00606103">
        <w:rPr>
          <w:rFonts w:asciiTheme="majorHAnsi" w:hAnsiTheme="majorHAnsi"/>
          <w:sz w:val="24"/>
          <w:szCs w:val="24"/>
          <w:lang w:val="ro-MD"/>
        </w:rPr>
        <w:t xml:space="preserve">– </w:t>
      </w:r>
      <w:r w:rsidRPr="00606103">
        <w:rPr>
          <w:rFonts w:asciiTheme="majorHAnsi" w:hAnsiTheme="majorHAnsi"/>
          <w:sz w:val="24"/>
          <w:szCs w:val="24"/>
          <w:lang w:val="ro-MD"/>
        </w:rPr>
        <w:t>11,9 mil. lei, Institutul de Geodezie</w:t>
      </w:r>
      <w:r w:rsidR="00EF6F00" w:rsidRPr="00606103">
        <w:rPr>
          <w:rFonts w:asciiTheme="majorHAnsi" w:hAnsiTheme="majorHAnsi"/>
          <w:sz w:val="24"/>
          <w:szCs w:val="24"/>
          <w:lang w:val="ro-MD"/>
        </w:rPr>
        <w:t xml:space="preserve">, </w:t>
      </w:r>
      <w:r w:rsidRPr="00606103">
        <w:rPr>
          <w:rFonts w:asciiTheme="majorHAnsi" w:hAnsiTheme="majorHAnsi"/>
          <w:sz w:val="24"/>
          <w:szCs w:val="24"/>
          <w:lang w:val="ro-MD"/>
        </w:rPr>
        <w:t xml:space="preserve">Prospecțiuni Tehnice </w:t>
      </w:r>
      <w:r w:rsidR="00EF6F00" w:rsidRPr="00606103">
        <w:rPr>
          <w:rFonts w:asciiTheme="majorHAnsi" w:hAnsiTheme="majorHAnsi"/>
          <w:sz w:val="24"/>
          <w:szCs w:val="24"/>
          <w:lang w:val="ro-MD"/>
        </w:rPr>
        <w:t>și Cadastru –</w:t>
      </w:r>
      <w:r w:rsidRPr="00606103">
        <w:rPr>
          <w:rFonts w:asciiTheme="majorHAnsi" w:hAnsiTheme="majorHAnsi"/>
          <w:sz w:val="24"/>
          <w:szCs w:val="24"/>
          <w:lang w:val="ro-MD"/>
        </w:rPr>
        <w:t xml:space="preserve"> 11,9 mil. lei, I.P. Serviciul Național Unic pentru Apel de Urgență 112 – </w:t>
      </w:r>
      <w:r w:rsidR="006171ED" w:rsidRPr="00606103">
        <w:rPr>
          <w:rFonts w:asciiTheme="majorHAnsi" w:hAnsiTheme="majorHAnsi"/>
          <w:sz w:val="24"/>
          <w:szCs w:val="24"/>
          <w:lang w:val="ro-MD"/>
        </w:rPr>
        <w:t>57,1</w:t>
      </w:r>
      <w:r w:rsidRPr="00606103">
        <w:rPr>
          <w:rFonts w:asciiTheme="majorHAnsi" w:hAnsiTheme="majorHAnsi"/>
          <w:sz w:val="24"/>
          <w:szCs w:val="24"/>
          <w:lang w:val="ro-MD"/>
        </w:rPr>
        <w:t xml:space="preserve"> mil. lei, I.P. Agenția Servicii Publice – </w:t>
      </w:r>
      <w:r w:rsidR="006171ED" w:rsidRPr="00606103">
        <w:rPr>
          <w:rFonts w:asciiTheme="majorHAnsi" w:hAnsiTheme="majorHAnsi"/>
          <w:sz w:val="24"/>
          <w:szCs w:val="24"/>
          <w:lang w:val="ro-MD"/>
        </w:rPr>
        <w:t>0,2</w:t>
      </w:r>
      <w:r w:rsidRPr="00606103">
        <w:rPr>
          <w:rFonts w:asciiTheme="majorHAnsi" w:hAnsiTheme="majorHAnsi"/>
          <w:sz w:val="24"/>
          <w:szCs w:val="24"/>
          <w:lang w:val="ro-MD"/>
        </w:rPr>
        <w:t xml:space="preserve"> mil. lei, I.P. Centrul Republican de Diagnostic Veterinar </w:t>
      </w:r>
      <w:r w:rsidR="00EF6F00" w:rsidRPr="00606103">
        <w:rPr>
          <w:rFonts w:asciiTheme="majorHAnsi" w:hAnsiTheme="majorHAnsi"/>
          <w:sz w:val="24"/>
          <w:szCs w:val="24"/>
          <w:lang w:val="ro-MD"/>
        </w:rPr>
        <w:t>–</w:t>
      </w:r>
      <w:r w:rsidRPr="00606103">
        <w:rPr>
          <w:rFonts w:asciiTheme="majorHAnsi" w:hAnsiTheme="majorHAnsi"/>
          <w:sz w:val="24"/>
          <w:szCs w:val="24"/>
          <w:lang w:val="ro-MD"/>
        </w:rPr>
        <w:t xml:space="preserve"> 12,0 mil. lei. </w:t>
      </w:r>
    </w:p>
    <w:p w:rsidR="00035A80" w:rsidRPr="00606103" w:rsidRDefault="000E0C22" w:rsidP="00035A80">
      <w:pPr>
        <w:spacing w:line="276" w:lineRule="auto"/>
        <w:rPr>
          <w:rFonts w:asciiTheme="majorHAnsi" w:hAnsiTheme="majorHAnsi"/>
          <w:sz w:val="24"/>
          <w:szCs w:val="24"/>
          <w:lang w:val="ro-MD"/>
        </w:rPr>
      </w:pPr>
      <w:r w:rsidRPr="00606103">
        <w:rPr>
          <w:rFonts w:asciiTheme="majorHAnsi" w:hAnsiTheme="majorHAnsi"/>
          <w:sz w:val="24"/>
          <w:szCs w:val="24"/>
          <w:lang w:val="ro-MD"/>
        </w:rPr>
        <w:t>Se menține problematica constatată la compartimentele subvenții și granturi acordate</w:t>
      </w:r>
      <w:r w:rsidR="00035A80" w:rsidRPr="00606103">
        <w:rPr>
          <w:rFonts w:asciiTheme="majorHAnsi" w:hAnsiTheme="majorHAnsi"/>
          <w:sz w:val="24"/>
          <w:szCs w:val="24"/>
          <w:lang w:val="ro-MD"/>
        </w:rPr>
        <w:t xml:space="preserve"> instituțiilor publice</w:t>
      </w:r>
      <w:r w:rsidRPr="00606103">
        <w:rPr>
          <w:rFonts w:asciiTheme="majorHAnsi" w:hAnsiTheme="majorHAnsi"/>
          <w:sz w:val="24"/>
          <w:szCs w:val="24"/>
          <w:lang w:val="ro-MD"/>
        </w:rPr>
        <w:t xml:space="preserve"> din bugetul de </w:t>
      </w:r>
      <w:r w:rsidR="00035A80" w:rsidRPr="00606103">
        <w:rPr>
          <w:rFonts w:asciiTheme="majorHAnsi" w:hAnsiTheme="majorHAnsi"/>
          <w:sz w:val="24"/>
          <w:szCs w:val="24"/>
          <w:lang w:val="ro-MD"/>
        </w:rPr>
        <w:t xml:space="preserve">stat. În aceste circumstanțe, auditul public extern atestă necesitatea determinării și stabilirii unor principii clare </w:t>
      </w:r>
      <w:r w:rsidR="001F5617" w:rsidRPr="00606103">
        <w:rPr>
          <w:rFonts w:asciiTheme="majorHAnsi" w:hAnsiTheme="majorHAnsi"/>
          <w:sz w:val="24"/>
          <w:szCs w:val="24"/>
          <w:lang w:val="ro-MD"/>
        </w:rPr>
        <w:t>ș</w:t>
      </w:r>
      <w:r w:rsidR="00035A80" w:rsidRPr="00606103">
        <w:rPr>
          <w:rFonts w:asciiTheme="majorHAnsi" w:hAnsiTheme="majorHAnsi"/>
          <w:sz w:val="24"/>
          <w:szCs w:val="24"/>
          <w:lang w:val="ro-MD"/>
        </w:rPr>
        <w:t xml:space="preserve">i unice cu elaborarea </w:t>
      </w:r>
      <w:r w:rsidR="001F5617" w:rsidRPr="00606103">
        <w:rPr>
          <w:rFonts w:asciiTheme="majorHAnsi" w:hAnsiTheme="majorHAnsi"/>
          <w:sz w:val="24"/>
          <w:szCs w:val="24"/>
          <w:lang w:val="ro-MD"/>
        </w:rPr>
        <w:t>ș</w:t>
      </w:r>
      <w:r w:rsidR="00035A80" w:rsidRPr="00606103">
        <w:rPr>
          <w:rFonts w:asciiTheme="majorHAnsi" w:hAnsiTheme="majorHAnsi"/>
          <w:sz w:val="24"/>
          <w:szCs w:val="24"/>
          <w:lang w:val="ro-MD"/>
        </w:rPr>
        <w:t>i promovarea dezvoltării cadrului legal care reglementează activitatea instituțiilor publice.</w:t>
      </w:r>
    </w:p>
    <w:p w:rsidR="000E0C22" w:rsidRPr="00606103" w:rsidRDefault="00AF163C">
      <w:pPr>
        <w:pStyle w:val="Heading2"/>
        <w:spacing w:line="276" w:lineRule="auto"/>
        <w:rPr>
          <w:b/>
          <w:color w:val="auto"/>
          <w:sz w:val="24"/>
          <w:szCs w:val="24"/>
          <w:lang w:val="ro-MD"/>
        </w:rPr>
      </w:pPr>
      <w:r w:rsidRPr="00606103">
        <w:rPr>
          <w:b/>
          <w:color w:val="auto"/>
          <w:sz w:val="24"/>
          <w:szCs w:val="24"/>
          <w:lang w:val="ro-MD"/>
        </w:rPr>
        <w:t>5.8</w:t>
      </w:r>
      <w:r w:rsidR="000E0C22" w:rsidRPr="00606103">
        <w:rPr>
          <w:b/>
          <w:color w:val="auto"/>
          <w:sz w:val="24"/>
          <w:szCs w:val="24"/>
          <w:lang w:val="ro-MD"/>
        </w:rPr>
        <w:t>. Executarea cheltuielilor destinate investițiilor capitale se menține la un nivel redus de valorificare.</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Prin Legea bugetului de stat pentru anul 2021</w:t>
      </w:r>
      <w:r w:rsidRPr="00606103">
        <w:rPr>
          <w:rFonts w:asciiTheme="majorHAnsi" w:hAnsiTheme="majorHAnsi" w:cstheme="majorHAnsi"/>
          <w:sz w:val="24"/>
          <w:szCs w:val="24"/>
          <w:vertAlign w:val="superscript"/>
          <w:lang w:val="ro-MD"/>
        </w:rPr>
        <w:footnoteReference w:id="68"/>
      </w:r>
      <w:r w:rsidRPr="00606103">
        <w:rPr>
          <w:rFonts w:asciiTheme="majorHAnsi" w:hAnsiTheme="majorHAnsi" w:cstheme="majorHAnsi"/>
          <w:sz w:val="24"/>
          <w:szCs w:val="24"/>
          <w:lang w:val="ro-MD"/>
        </w:rPr>
        <w:t xml:space="preserve"> au fost aprobate inițial alocații destinate investițiilor capitale în volum de 1 648,0 mil. lei pentru executarea a 70 de proiecte de investiții, dintre care 30 de proiecte cu finanțare/cofinanțare din surse externe în sumă de 1 388,5 mil. lei.</w:t>
      </w:r>
    </w:p>
    <w:p w:rsidR="000E0C22" w:rsidRPr="00577973" w:rsidRDefault="000E0C22">
      <w:pPr>
        <w:spacing w:line="276" w:lineRule="auto"/>
        <w:rPr>
          <w:rFonts w:asciiTheme="majorHAnsi" w:hAnsiTheme="majorHAnsi" w:cstheme="majorHAnsi"/>
          <w:sz w:val="24"/>
          <w:szCs w:val="24"/>
          <w:lang w:val="ro-MD"/>
        </w:rPr>
      </w:pPr>
      <w:r w:rsidRPr="00577973">
        <w:rPr>
          <w:rFonts w:asciiTheme="majorHAnsi" w:hAnsiTheme="majorHAnsi" w:cstheme="majorHAnsi"/>
          <w:sz w:val="24"/>
          <w:szCs w:val="24"/>
          <w:lang w:val="ro-MD"/>
        </w:rPr>
        <w:t>Auditu</w:t>
      </w:r>
      <w:r w:rsidR="00D06D47" w:rsidRPr="00577973">
        <w:rPr>
          <w:rFonts w:asciiTheme="majorHAnsi" w:hAnsiTheme="majorHAnsi" w:cstheme="majorHAnsi"/>
          <w:sz w:val="24"/>
          <w:szCs w:val="24"/>
          <w:lang w:val="ro-MD"/>
        </w:rPr>
        <w:t xml:space="preserve">l a constatat că, alocațiile aprobate </w:t>
      </w:r>
      <w:r w:rsidR="00FF1CA4" w:rsidRPr="00577973">
        <w:rPr>
          <w:rFonts w:asciiTheme="majorHAnsi" w:hAnsiTheme="majorHAnsi" w:cstheme="majorHAnsi"/>
          <w:sz w:val="24"/>
          <w:szCs w:val="24"/>
          <w:lang w:val="ro-MD"/>
        </w:rPr>
        <w:t xml:space="preserve">prin legea bugetară anuală </w:t>
      </w:r>
      <w:r w:rsidR="00D06D47" w:rsidRPr="00577973">
        <w:rPr>
          <w:rFonts w:asciiTheme="majorHAnsi" w:hAnsiTheme="majorHAnsi" w:cstheme="majorHAnsi"/>
          <w:sz w:val="24"/>
          <w:szCs w:val="24"/>
          <w:lang w:val="ro-MD"/>
        </w:rPr>
        <w:t>pentru invest</w:t>
      </w:r>
      <w:r w:rsidR="00FF1CA4" w:rsidRPr="00577973">
        <w:rPr>
          <w:rFonts w:asciiTheme="majorHAnsi" w:hAnsiTheme="majorHAnsi" w:cstheme="majorHAnsi"/>
          <w:sz w:val="24"/>
          <w:szCs w:val="24"/>
          <w:lang w:val="ro-MD"/>
        </w:rPr>
        <w:t>ițiile capitale sunt</w:t>
      </w:r>
      <w:r w:rsidRPr="00577973">
        <w:rPr>
          <w:rFonts w:asciiTheme="majorHAnsi" w:hAnsiTheme="majorHAnsi" w:cstheme="majorHAnsi"/>
          <w:sz w:val="24"/>
          <w:szCs w:val="24"/>
          <w:lang w:val="ro-MD"/>
        </w:rPr>
        <w:t xml:space="preserve"> cu 99,2 mil. lei peste limitele de cheltuieli stabilite în CBTM. Potrivit explicațiilor MF, situația a fost generată de: ajustarea ratei de schimb valutar la valoarea granturilor oferite; majorarea din contul soldului nevalorificat al alocațiilor din anii precedenți; aprobarea de către MF la etapa de negocieri bugetare conform solicitărilor APC</w:t>
      </w:r>
      <w:r w:rsidR="00D06D47" w:rsidRPr="00577973">
        <w:rPr>
          <w:rFonts w:asciiTheme="majorHAnsi" w:hAnsiTheme="majorHAnsi" w:cstheme="majorHAnsi"/>
          <w:sz w:val="24"/>
          <w:szCs w:val="24"/>
          <w:lang w:val="ro-MD"/>
        </w:rPr>
        <w:t>.</w:t>
      </w:r>
    </w:p>
    <w:p w:rsidR="000E0C22" w:rsidRPr="00577973" w:rsidRDefault="000E0C22">
      <w:pPr>
        <w:spacing w:line="276" w:lineRule="auto"/>
        <w:rPr>
          <w:rFonts w:asciiTheme="majorHAnsi" w:hAnsiTheme="majorHAnsi" w:cstheme="majorHAnsi"/>
          <w:sz w:val="24"/>
          <w:szCs w:val="24"/>
          <w:lang w:val="ro-MD"/>
        </w:rPr>
      </w:pPr>
      <w:r w:rsidRPr="00577973">
        <w:rPr>
          <w:rFonts w:asciiTheme="majorHAnsi" w:hAnsiTheme="majorHAnsi" w:cstheme="majorHAnsi"/>
          <w:sz w:val="24"/>
          <w:szCs w:val="24"/>
          <w:lang w:val="ro-MD"/>
        </w:rPr>
        <w:lastRenderedPageBreak/>
        <w:t>În urma modificărilor operate la legea bugetară anuală</w:t>
      </w:r>
      <w:r w:rsidRPr="00606103">
        <w:rPr>
          <w:rFonts w:asciiTheme="majorHAnsi" w:hAnsiTheme="majorHAnsi" w:cstheme="majorHAnsi"/>
          <w:sz w:val="24"/>
          <w:szCs w:val="24"/>
          <w:vertAlign w:val="superscript"/>
          <w:lang w:val="ro-MD"/>
        </w:rPr>
        <w:footnoteReference w:id="69"/>
      </w:r>
      <w:r w:rsidRPr="00606103">
        <w:rPr>
          <w:rFonts w:asciiTheme="majorHAnsi" w:hAnsiTheme="majorHAnsi" w:cstheme="majorHAnsi"/>
          <w:sz w:val="24"/>
          <w:szCs w:val="24"/>
          <w:lang w:val="ro-MD"/>
        </w:rPr>
        <w:t>, alocațiile s-au majorat cu 609,2 mil. lei, sau cu 37,0% față de volumul aprobat inițial, fiind precizată suma de 2 257,2 mil. lei pentru 69 proiecte de investiții capitale. Astfel, au fost excluse 14 proiecte în sumă de 147,3 mil. lei și incluse alte 13 proiecte noi în sumă de 14,3 mil. lei. Excluderea celor 14 proiecte a fost motivată de:</w:t>
      </w:r>
      <w:r w:rsidRPr="00606103">
        <w:rPr>
          <w:rFonts w:asciiTheme="majorHAnsi" w:hAnsiTheme="majorHAnsi" w:cstheme="majorHAnsi"/>
          <w:b/>
          <w:i/>
          <w:sz w:val="24"/>
          <w:szCs w:val="24"/>
          <w:lang w:val="ro-MD"/>
        </w:rPr>
        <w:t xml:space="preserve"> </w:t>
      </w:r>
      <w:r w:rsidRPr="00606103">
        <w:rPr>
          <w:rFonts w:asciiTheme="majorHAnsi" w:hAnsiTheme="majorHAnsi" w:cstheme="majorHAnsi"/>
          <w:i/>
          <w:sz w:val="24"/>
          <w:szCs w:val="24"/>
          <w:lang w:val="ro-MD"/>
        </w:rPr>
        <w:t>i)</w:t>
      </w:r>
      <w:r w:rsidRPr="00606103">
        <w:rPr>
          <w:rFonts w:asciiTheme="majorHAnsi" w:hAnsiTheme="majorHAnsi" w:cstheme="majorHAnsi"/>
          <w:sz w:val="24"/>
          <w:szCs w:val="24"/>
          <w:lang w:val="ro-MD"/>
        </w:rPr>
        <w:t xml:space="preserve"> anularea procedurii internaționale de achiziție publică</w:t>
      </w:r>
      <w:r w:rsidRPr="00606103">
        <w:rPr>
          <w:rFonts w:asciiTheme="majorHAnsi" w:hAnsiTheme="majorHAnsi" w:cstheme="majorHAnsi"/>
          <w:sz w:val="24"/>
          <w:szCs w:val="24"/>
          <w:vertAlign w:val="superscript"/>
          <w:lang w:val="ro-MD"/>
        </w:rPr>
        <w:footnoteReference w:id="70"/>
      </w:r>
      <w:r w:rsidRPr="00606103">
        <w:rPr>
          <w:rFonts w:asciiTheme="majorHAnsi" w:hAnsiTheme="majorHAnsi" w:cstheme="majorHAnsi"/>
          <w:sz w:val="24"/>
          <w:szCs w:val="24"/>
          <w:lang w:val="ro-MD"/>
        </w:rPr>
        <w:t xml:space="preserve">; </w:t>
      </w:r>
      <w:r w:rsidRPr="00606103">
        <w:rPr>
          <w:rFonts w:asciiTheme="majorHAnsi" w:hAnsiTheme="majorHAnsi" w:cstheme="majorHAnsi"/>
          <w:i/>
          <w:sz w:val="24"/>
          <w:szCs w:val="24"/>
          <w:lang w:val="ro-MD"/>
        </w:rPr>
        <w:t xml:space="preserve">ii) </w:t>
      </w:r>
      <w:r w:rsidRPr="00606103">
        <w:rPr>
          <w:rFonts w:asciiTheme="majorHAnsi" w:hAnsiTheme="majorHAnsi" w:cstheme="majorHAnsi"/>
          <w:sz w:val="24"/>
          <w:szCs w:val="24"/>
          <w:lang w:val="ro-MD"/>
        </w:rPr>
        <w:t>sistarea activității UIPCP în perioada ianuarie-septembrie 2021</w:t>
      </w:r>
      <w:r w:rsidRPr="00606103">
        <w:rPr>
          <w:rFonts w:asciiTheme="majorHAnsi" w:hAnsiTheme="majorHAnsi" w:cstheme="majorHAnsi"/>
          <w:sz w:val="24"/>
          <w:szCs w:val="24"/>
          <w:vertAlign w:val="superscript"/>
          <w:lang w:val="ro-MD"/>
        </w:rPr>
        <w:footnoteReference w:id="71"/>
      </w:r>
      <w:r w:rsidRPr="00606103">
        <w:rPr>
          <w:rFonts w:asciiTheme="majorHAnsi" w:hAnsiTheme="majorHAnsi" w:cstheme="majorHAnsi"/>
          <w:sz w:val="24"/>
          <w:szCs w:val="24"/>
          <w:lang w:val="ro-MD"/>
        </w:rPr>
        <w:t xml:space="preserve">; </w:t>
      </w:r>
      <w:r w:rsidRPr="00606103">
        <w:rPr>
          <w:rFonts w:asciiTheme="majorHAnsi" w:hAnsiTheme="majorHAnsi" w:cstheme="majorHAnsi"/>
          <w:i/>
          <w:sz w:val="24"/>
          <w:szCs w:val="24"/>
          <w:lang w:val="ro-MD"/>
        </w:rPr>
        <w:t>iii)</w:t>
      </w:r>
      <w:r w:rsidRPr="00606103">
        <w:rPr>
          <w:rFonts w:asciiTheme="majorHAnsi" w:hAnsiTheme="majorHAnsi" w:cstheme="majorHAnsi"/>
          <w:sz w:val="24"/>
          <w:szCs w:val="24"/>
          <w:lang w:val="ro-MD"/>
        </w:rPr>
        <w:t xml:space="preserve"> semnarea contractului de grant cu o întârziere de 2 ani</w:t>
      </w:r>
      <w:r w:rsidRPr="00606103">
        <w:rPr>
          <w:rFonts w:asciiTheme="majorHAnsi" w:hAnsiTheme="majorHAnsi" w:cstheme="majorHAnsi"/>
          <w:sz w:val="24"/>
          <w:szCs w:val="24"/>
          <w:vertAlign w:val="superscript"/>
          <w:lang w:val="ro-MD"/>
        </w:rPr>
        <w:footnoteReference w:id="72"/>
      </w:r>
      <w:r w:rsidRPr="00606103">
        <w:rPr>
          <w:rFonts w:asciiTheme="majorHAnsi" w:hAnsiTheme="majorHAnsi" w:cstheme="majorHAnsi"/>
          <w:sz w:val="24"/>
          <w:szCs w:val="24"/>
          <w:lang w:val="ro-MD"/>
        </w:rPr>
        <w:t xml:space="preserve">; </w:t>
      </w:r>
      <w:r w:rsidRPr="00606103">
        <w:rPr>
          <w:rFonts w:asciiTheme="majorHAnsi" w:hAnsiTheme="majorHAnsi" w:cstheme="majorHAnsi"/>
          <w:i/>
          <w:sz w:val="24"/>
          <w:szCs w:val="24"/>
          <w:lang w:val="ro-MD"/>
        </w:rPr>
        <w:t>iv)</w:t>
      </w:r>
      <w:r w:rsidRPr="00606103">
        <w:rPr>
          <w:rFonts w:asciiTheme="majorHAnsi" w:hAnsiTheme="majorHAnsi" w:cstheme="majorHAnsi"/>
          <w:sz w:val="24"/>
          <w:szCs w:val="24"/>
          <w:lang w:val="ro-MD"/>
        </w:rPr>
        <w:t xml:space="preserve"> întreruperea lucrărilor de restaurare</w:t>
      </w:r>
      <w:r w:rsidR="0008665C" w:rsidRPr="00606103">
        <w:rPr>
          <w:rFonts w:asciiTheme="majorHAnsi" w:hAnsiTheme="majorHAnsi" w:cstheme="majorHAnsi"/>
          <w:sz w:val="24"/>
          <w:szCs w:val="24"/>
          <w:lang w:val="ro-MD"/>
        </w:rPr>
        <w:t xml:space="preserve"> ca</w:t>
      </w:r>
      <w:r w:rsidRPr="00606103">
        <w:rPr>
          <w:rFonts w:asciiTheme="majorHAnsi" w:hAnsiTheme="majorHAnsi" w:cstheme="majorHAnsi"/>
          <w:sz w:val="24"/>
          <w:szCs w:val="24"/>
          <w:lang w:val="ro-MD"/>
        </w:rPr>
        <w:t xml:space="preserve"> urmare </w:t>
      </w:r>
      <w:r w:rsidR="0008665C" w:rsidRPr="00606103">
        <w:rPr>
          <w:rFonts w:asciiTheme="majorHAnsi" w:hAnsiTheme="majorHAnsi" w:cstheme="majorHAnsi"/>
          <w:sz w:val="24"/>
          <w:szCs w:val="24"/>
          <w:lang w:val="ro-MD"/>
        </w:rPr>
        <w:t xml:space="preserve">a </w:t>
      </w:r>
      <w:r w:rsidRPr="00606103">
        <w:rPr>
          <w:rFonts w:asciiTheme="majorHAnsi" w:hAnsiTheme="majorHAnsi" w:cstheme="majorHAnsi"/>
          <w:sz w:val="24"/>
          <w:szCs w:val="24"/>
          <w:lang w:val="ro-MD"/>
        </w:rPr>
        <w:t>litigiului existent cu antreprenorul</w:t>
      </w:r>
      <w:r w:rsidRPr="00606103">
        <w:rPr>
          <w:rFonts w:asciiTheme="majorHAnsi" w:hAnsiTheme="majorHAnsi" w:cstheme="majorHAnsi"/>
          <w:sz w:val="24"/>
          <w:szCs w:val="24"/>
          <w:vertAlign w:val="superscript"/>
          <w:lang w:val="ro-MD"/>
        </w:rPr>
        <w:footnoteReference w:id="73"/>
      </w:r>
      <w:r w:rsidRPr="00606103">
        <w:rPr>
          <w:rFonts w:asciiTheme="majorHAnsi" w:hAnsiTheme="majorHAnsi" w:cstheme="majorHAnsi"/>
          <w:sz w:val="24"/>
          <w:szCs w:val="24"/>
          <w:lang w:val="ro-MD"/>
        </w:rPr>
        <w:t xml:space="preserve">; </w:t>
      </w:r>
      <w:r w:rsidRPr="00606103">
        <w:rPr>
          <w:rFonts w:asciiTheme="majorHAnsi" w:hAnsiTheme="majorHAnsi" w:cstheme="majorHAnsi"/>
          <w:i/>
          <w:sz w:val="24"/>
          <w:szCs w:val="24"/>
          <w:lang w:val="ro-MD"/>
        </w:rPr>
        <w:t xml:space="preserve">v) </w:t>
      </w:r>
      <w:r w:rsidRPr="00606103">
        <w:rPr>
          <w:rFonts w:asciiTheme="majorHAnsi" w:hAnsiTheme="majorHAnsi" w:cstheme="majorHAnsi"/>
          <w:sz w:val="24"/>
          <w:szCs w:val="24"/>
          <w:lang w:val="ro-MD"/>
        </w:rPr>
        <w:t>neidentificarea soluțiilor tehnice privind reconstrucția sediului existent sau construcția unui sediu nou</w:t>
      </w:r>
      <w:r w:rsidRPr="00606103">
        <w:rPr>
          <w:rFonts w:asciiTheme="majorHAnsi" w:hAnsiTheme="majorHAnsi" w:cstheme="majorHAnsi"/>
          <w:sz w:val="24"/>
          <w:szCs w:val="24"/>
          <w:vertAlign w:val="superscript"/>
          <w:lang w:val="ro-MD"/>
        </w:rPr>
        <w:footnoteReference w:id="74"/>
      </w:r>
      <w:r w:rsidRPr="00606103">
        <w:rPr>
          <w:rFonts w:asciiTheme="majorHAnsi" w:hAnsiTheme="majorHAnsi" w:cstheme="majorHAnsi"/>
          <w:sz w:val="24"/>
          <w:szCs w:val="24"/>
          <w:lang w:val="ro-MD"/>
        </w:rPr>
        <w:t xml:space="preserve">; </w:t>
      </w:r>
      <w:r w:rsidRPr="00606103">
        <w:rPr>
          <w:rFonts w:asciiTheme="majorHAnsi" w:hAnsiTheme="majorHAnsi" w:cstheme="majorHAnsi"/>
          <w:i/>
          <w:sz w:val="24"/>
          <w:szCs w:val="24"/>
          <w:lang w:val="ro-MD"/>
        </w:rPr>
        <w:t>vi)</w:t>
      </w:r>
      <w:r w:rsidRPr="00606103">
        <w:rPr>
          <w:rFonts w:asciiTheme="majorHAnsi" w:hAnsiTheme="majorHAnsi" w:cstheme="majorHAnsi"/>
          <w:sz w:val="24"/>
          <w:szCs w:val="24"/>
          <w:lang w:val="ro-MD"/>
        </w:rPr>
        <w:t xml:space="preserve"> rezilierea contractului de antrepriză cu antreprenorul pentru neexecutarea lucrărilor</w:t>
      </w:r>
      <w:r w:rsidRPr="00606103">
        <w:rPr>
          <w:rFonts w:asciiTheme="majorHAnsi" w:hAnsiTheme="majorHAnsi" w:cstheme="majorHAnsi"/>
          <w:sz w:val="24"/>
          <w:szCs w:val="24"/>
          <w:vertAlign w:val="superscript"/>
          <w:lang w:val="ro-MD"/>
        </w:rPr>
        <w:footnoteReference w:id="75"/>
      </w:r>
      <w:r w:rsidRPr="00606103">
        <w:rPr>
          <w:rFonts w:asciiTheme="majorHAnsi" w:hAnsiTheme="majorHAnsi" w:cstheme="majorHAnsi"/>
          <w:sz w:val="24"/>
          <w:szCs w:val="24"/>
          <w:lang w:val="ro-MD"/>
        </w:rPr>
        <w:t xml:space="preserve">; </w:t>
      </w:r>
      <w:r w:rsidRPr="00606103">
        <w:rPr>
          <w:rFonts w:asciiTheme="majorHAnsi" w:hAnsiTheme="majorHAnsi" w:cstheme="majorHAnsi"/>
          <w:i/>
          <w:sz w:val="24"/>
          <w:szCs w:val="24"/>
          <w:lang w:val="ro-MD"/>
        </w:rPr>
        <w:t>vii)</w:t>
      </w:r>
      <w:r w:rsidRPr="00606103">
        <w:rPr>
          <w:rFonts w:asciiTheme="majorHAnsi" w:hAnsiTheme="majorHAnsi" w:cstheme="majorHAnsi"/>
          <w:sz w:val="24"/>
          <w:szCs w:val="24"/>
          <w:lang w:val="ro-MD"/>
        </w:rPr>
        <w:t xml:space="preserve"> tergiversarea </w:t>
      </w:r>
      <w:r w:rsidRPr="00577973">
        <w:rPr>
          <w:rFonts w:asciiTheme="majorHAnsi" w:hAnsiTheme="majorHAnsi" w:cstheme="majorHAnsi"/>
          <w:sz w:val="24"/>
          <w:szCs w:val="24"/>
          <w:lang w:val="ro-MD"/>
        </w:rPr>
        <w:t>procesului de pregătire a procedurii de achiziție publică</w:t>
      </w:r>
      <w:r w:rsidRPr="00577973">
        <w:rPr>
          <w:rFonts w:asciiTheme="majorHAnsi" w:hAnsiTheme="majorHAnsi" w:cstheme="majorHAnsi"/>
          <w:sz w:val="24"/>
          <w:szCs w:val="24"/>
          <w:vertAlign w:val="superscript"/>
          <w:lang w:val="ro-MD"/>
        </w:rPr>
        <w:footnoteReference w:id="76"/>
      </w:r>
      <w:r w:rsidRPr="00577973">
        <w:rPr>
          <w:rFonts w:asciiTheme="majorHAnsi" w:hAnsiTheme="majorHAnsi" w:cstheme="majorHAnsi"/>
          <w:sz w:val="24"/>
          <w:szCs w:val="24"/>
          <w:lang w:val="ro-MD"/>
        </w:rPr>
        <w:t xml:space="preserve"> etc.</w:t>
      </w:r>
    </w:p>
    <w:p w:rsidR="00A67B0A" w:rsidRPr="00577973" w:rsidRDefault="000E0C22" w:rsidP="00A67B0A">
      <w:pPr>
        <w:spacing w:after="0" w:line="276" w:lineRule="auto"/>
        <w:rPr>
          <w:rFonts w:asciiTheme="majorHAnsi" w:hAnsiTheme="majorHAnsi" w:cstheme="majorHAnsi"/>
          <w:sz w:val="24"/>
          <w:szCs w:val="24"/>
          <w:lang w:val="ro-MD"/>
        </w:rPr>
      </w:pPr>
      <w:r w:rsidRPr="00577973">
        <w:rPr>
          <w:rFonts w:asciiTheme="majorHAnsi" w:hAnsiTheme="majorHAnsi" w:cstheme="majorHAnsi"/>
          <w:sz w:val="24"/>
          <w:szCs w:val="24"/>
          <w:lang w:val="ro-MD"/>
        </w:rPr>
        <w:t>Cheltuielile executate în anul 2021 pentru investiții capitale au constit</w:t>
      </w:r>
      <w:r w:rsidR="00AD3638" w:rsidRPr="00577973">
        <w:rPr>
          <w:rFonts w:asciiTheme="majorHAnsi" w:hAnsiTheme="majorHAnsi" w:cstheme="majorHAnsi"/>
          <w:sz w:val="24"/>
          <w:szCs w:val="24"/>
          <w:lang w:val="ro-MD"/>
        </w:rPr>
        <w:t>uit 1 665,2 mil. lei, sau 73,8% din volumul precizat, cu 21,5 p.p.  mai puțin față de nivelul de executare în anul 2020 (95,3%),  iar față de volumul aprobat inițial</w:t>
      </w:r>
      <w:r w:rsidRPr="00577973">
        <w:rPr>
          <w:rFonts w:asciiTheme="majorHAnsi" w:hAnsiTheme="majorHAnsi" w:cstheme="majorHAnsi"/>
          <w:sz w:val="24"/>
          <w:szCs w:val="24"/>
          <w:lang w:val="ro-MD"/>
        </w:rPr>
        <w:t xml:space="preserve"> </w:t>
      </w:r>
      <w:r w:rsidR="00AD3638" w:rsidRPr="00577973">
        <w:rPr>
          <w:rFonts w:asciiTheme="majorHAnsi" w:hAnsiTheme="majorHAnsi" w:cstheme="majorHAnsi"/>
          <w:sz w:val="24"/>
          <w:szCs w:val="24"/>
          <w:lang w:val="ro-MD"/>
        </w:rPr>
        <w:t>la nivel de 101,0%</w:t>
      </w:r>
      <w:r w:rsidRPr="00577973">
        <w:rPr>
          <w:rFonts w:asciiTheme="majorHAnsi" w:hAnsiTheme="majorHAnsi" w:cstheme="majorHAnsi"/>
          <w:sz w:val="24"/>
          <w:szCs w:val="24"/>
          <w:lang w:val="ro-MD"/>
        </w:rPr>
        <w:t xml:space="preserve">. </w:t>
      </w:r>
      <w:r w:rsidRPr="00577973">
        <w:rPr>
          <w:rFonts w:asciiTheme="majorHAnsi" w:hAnsiTheme="majorHAnsi" w:cstheme="majorHAnsi"/>
          <w:i/>
          <w:sz w:val="24"/>
          <w:szCs w:val="24"/>
          <w:lang w:val="ro-MD"/>
        </w:rPr>
        <w:t>Dinamica executării cheltuielilor destinate investițiilor capitale din bugetul de stat în perioada 2019-2021 se prezintă în Diagrama nr.</w:t>
      </w:r>
      <w:r w:rsidR="000477DE" w:rsidRPr="00577973">
        <w:rPr>
          <w:rFonts w:asciiTheme="majorHAnsi" w:hAnsiTheme="majorHAnsi" w:cstheme="majorHAnsi"/>
          <w:i/>
          <w:sz w:val="24"/>
          <w:szCs w:val="24"/>
          <w:lang w:val="ro-MD"/>
        </w:rPr>
        <w:t>4</w:t>
      </w:r>
      <w:r w:rsidRPr="00577973">
        <w:rPr>
          <w:rFonts w:asciiTheme="majorHAnsi" w:hAnsiTheme="majorHAnsi" w:cstheme="majorHAnsi"/>
          <w:sz w:val="24"/>
          <w:szCs w:val="24"/>
          <w:lang w:val="ro-MD"/>
        </w:rPr>
        <w:t>.</w:t>
      </w:r>
    </w:p>
    <w:p w:rsidR="00A67B0A" w:rsidRPr="00355FE3" w:rsidRDefault="00A67B0A" w:rsidP="00A67B0A">
      <w:pPr>
        <w:spacing w:after="0" w:line="276" w:lineRule="auto"/>
        <w:jc w:val="right"/>
        <w:rPr>
          <w:rFonts w:asciiTheme="majorHAnsi" w:hAnsiTheme="majorHAnsi" w:cstheme="majorHAnsi"/>
          <w:b/>
          <w:i/>
          <w:sz w:val="24"/>
          <w:szCs w:val="24"/>
          <w:lang w:val="ro-MD"/>
        </w:rPr>
      </w:pPr>
      <w:r w:rsidRPr="00577973">
        <w:rPr>
          <w:rFonts w:asciiTheme="majorHAnsi" w:hAnsiTheme="majorHAnsi" w:cstheme="majorHAnsi"/>
          <w:b/>
          <w:i/>
          <w:sz w:val="24"/>
          <w:szCs w:val="24"/>
          <w:lang w:val="ro-MD"/>
        </w:rPr>
        <w:t>Diagrama</w:t>
      </w:r>
      <w:r w:rsidRPr="00355FE3">
        <w:rPr>
          <w:rFonts w:asciiTheme="majorHAnsi" w:hAnsiTheme="majorHAnsi" w:cstheme="majorHAnsi"/>
          <w:b/>
          <w:i/>
          <w:sz w:val="24"/>
          <w:szCs w:val="24"/>
          <w:lang w:val="ro-MD"/>
        </w:rPr>
        <w:t xml:space="preserve"> nr.4</w:t>
      </w:r>
    </w:p>
    <w:p w:rsidR="00A67B0A" w:rsidRPr="00355FE3" w:rsidRDefault="00A67B0A" w:rsidP="00A67B0A">
      <w:pPr>
        <w:spacing w:after="0" w:line="276" w:lineRule="auto"/>
        <w:jc w:val="right"/>
        <w:rPr>
          <w:rFonts w:asciiTheme="majorHAnsi" w:hAnsiTheme="majorHAnsi" w:cstheme="majorHAnsi"/>
          <w:i/>
          <w:sz w:val="24"/>
          <w:szCs w:val="24"/>
          <w:lang w:val="ro-MD"/>
        </w:rPr>
      </w:pPr>
      <w:r w:rsidRPr="00355FE3">
        <w:rPr>
          <w:rFonts w:asciiTheme="majorHAnsi" w:hAnsiTheme="majorHAnsi" w:cstheme="majorHAnsi"/>
          <w:i/>
          <w:sz w:val="24"/>
          <w:szCs w:val="24"/>
          <w:lang w:val="ro-MD"/>
        </w:rPr>
        <w:t>(mil. lei)</w:t>
      </w:r>
    </w:p>
    <w:p w:rsidR="00A67B0A" w:rsidRPr="00355FE3" w:rsidRDefault="00A67B0A" w:rsidP="00A67B0A">
      <w:pPr>
        <w:spacing w:line="276" w:lineRule="auto"/>
        <w:jc w:val="center"/>
        <w:rPr>
          <w:rFonts w:asciiTheme="majorHAnsi" w:hAnsiTheme="majorHAnsi" w:cstheme="majorHAnsi"/>
          <w:i/>
          <w:sz w:val="24"/>
          <w:szCs w:val="24"/>
          <w:lang w:val="ro-MD"/>
        </w:rPr>
      </w:pPr>
      <w:r w:rsidRPr="00355FE3">
        <w:rPr>
          <w:rFonts w:asciiTheme="majorHAnsi" w:hAnsiTheme="majorHAnsi" w:cstheme="majorHAnsi"/>
          <w:i/>
          <w:noProof/>
          <w:sz w:val="24"/>
          <w:szCs w:val="24"/>
          <w:lang w:val="en-US"/>
        </w:rPr>
        <w:drawing>
          <wp:inline distT="0" distB="0" distL="0" distR="0" wp14:anchorId="7BFEFFEA" wp14:editId="00AC9C3D">
            <wp:extent cx="4375150" cy="2082800"/>
            <wp:effectExtent l="0" t="0" r="635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7B0A" w:rsidRPr="00355FE3" w:rsidRDefault="00A67B0A" w:rsidP="00A67B0A">
      <w:pPr>
        <w:spacing w:line="276" w:lineRule="auto"/>
        <w:rPr>
          <w:rFonts w:asciiTheme="majorHAnsi" w:hAnsiTheme="majorHAnsi" w:cstheme="majorHAnsi"/>
          <w:i/>
          <w:sz w:val="20"/>
          <w:szCs w:val="20"/>
          <w:lang w:val="ro-MD"/>
        </w:rPr>
      </w:pPr>
      <w:r w:rsidRPr="00355FE3">
        <w:rPr>
          <w:rFonts w:asciiTheme="majorHAnsi" w:hAnsiTheme="majorHAnsi" w:cstheme="majorHAnsi"/>
          <w:b/>
          <w:i/>
          <w:sz w:val="20"/>
          <w:szCs w:val="20"/>
          <w:lang w:val="ro-MD"/>
        </w:rPr>
        <w:t>Sursă</w:t>
      </w:r>
      <w:r w:rsidRPr="00355FE3">
        <w:rPr>
          <w:rFonts w:asciiTheme="majorHAnsi" w:hAnsiTheme="majorHAnsi" w:cstheme="majorHAnsi"/>
          <w:i/>
          <w:sz w:val="20"/>
          <w:szCs w:val="20"/>
          <w:lang w:val="ro-MD"/>
        </w:rPr>
        <w:t>: Date generalizate de echipa de audit din Rapoartele privind executarea bugetului de stat pe anii 2019, 2020, 2021.</w:t>
      </w:r>
    </w:p>
    <w:p w:rsidR="000E0C22" w:rsidRPr="00606103" w:rsidRDefault="000E0C22">
      <w:pPr>
        <w:spacing w:line="276" w:lineRule="auto"/>
        <w:rPr>
          <w:rFonts w:asciiTheme="majorHAnsi" w:hAnsiTheme="majorHAnsi" w:cstheme="majorHAnsi"/>
          <w:i/>
          <w:sz w:val="24"/>
          <w:szCs w:val="24"/>
          <w:lang w:val="ro-MD"/>
        </w:rPr>
      </w:pPr>
      <w:r w:rsidRPr="00606103">
        <w:rPr>
          <w:rFonts w:asciiTheme="majorHAnsi" w:hAnsiTheme="majorHAnsi" w:cstheme="majorHAnsi"/>
          <w:sz w:val="24"/>
          <w:szCs w:val="24"/>
          <w:lang w:val="ro-MD"/>
        </w:rPr>
        <w:t xml:space="preserve">Executarea investițiilor capitale în aspectul surselor de finanțare relevă că nivelul de valorificare a alocațiilor din resurse generale și venituri colectate constituie 82,0% (146,7 mil. lei) din volumul precizat și 56,5% din volumul aprobat inițial, iar din contul proiectelor finanțate din surse externe </w:t>
      </w:r>
      <w:r w:rsidR="0008665C"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73,1% (1518,5 mil. lei) din volumul precizat și 109,4% din volumul aprobat inițial.</w:t>
      </w:r>
      <w:r w:rsidRPr="00606103">
        <w:rPr>
          <w:rFonts w:asciiTheme="majorHAnsi" w:hAnsiTheme="majorHAnsi" w:cstheme="majorHAnsi"/>
          <w:i/>
          <w:sz w:val="24"/>
          <w:szCs w:val="24"/>
          <w:lang w:val="ro-MD"/>
        </w:rPr>
        <w:t xml:space="preserve"> Sinteza executării </w:t>
      </w:r>
      <w:r w:rsidRPr="00606103">
        <w:rPr>
          <w:rFonts w:asciiTheme="majorHAnsi" w:hAnsiTheme="majorHAnsi" w:cstheme="majorHAnsi"/>
          <w:i/>
          <w:sz w:val="24"/>
          <w:szCs w:val="24"/>
          <w:lang w:val="ro-MD"/>
        </w:rPr>
        <w:lastRenderedPageBreak/>
        <w:t>alocațiilor aprobate prin Legea bugetară anuală destinate investițiilor capitale pe surse de finanțare pentru anul 2021 față de anii 2019 și 2020 se prezintă în Anexa nr.</w:t>
      </w:r>
      <w:r w:rsidR="00A253FA" w:rsidRPr="00606103">
        <w:rPr>
          <w:rFonts w:asciiTheme="majorHAnsi" w:hAnsiTheme="majorHAnsi" w:cstheme="majorHAnsi"/>
          <w:i/>
          <w:sz w:val="24"/>
          <w:szCs w:val="24"/>
          <w:lang w:val="ro-MD"/>
        </w:rPr>
        <w:t>6 la prezentul Raport de audit.</w:t>
      </w:r>
    </w:p>
    <w:p w:rsidR="000E0C22" w:rsidRPr="00606103" w:rsidRDefault="0008665C">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Ca u</w:t>
      </w:r>
      <w:r w:rsidR="000E0C22" w:rsidRPr="00606103">
        <w:rPr>
          <w:rFonts w:asciiTheme="majorHAnsi" w:hAnsiTheme="majorHAnsi" w:cstheme="majorHAnsi"/>
          <w:sz w:val="24"/>
          <w:szCs w:val="24"/>
          <w:lang w:val="ro-MD"/>
        </w:rPr>
        <w:t>rmare a verificărilor asupra nivelului de executare a 69 proiecte de investiții aprobate în Legea bugetară anuală, auditul a constatat că:</w:t>
      </w:r>
    </w:p>
    <w:p w:rsidR="000E0C22" w:rsidRPr="00606103" w:rsidRDefault="00A253FA" w:rsidP="00552746">
      <w:pPr>
        <w:pStyle w:val="ListParagraph"/>
        <w:numPr>
          <w:ilvl w:val="0"/>
          <w:numId w:val="4"/>
        </w:numPr>
        <w:tabs>
          <w:tab w:val="left" w:pos="284"/>
        </w:tabs>
        <w:spacing w:line="276" w:lineRule="auto"/>
        <w:ind w:left="0" w:firstLine="0"/>
        <w:rPr>
          <w:rFonts w:asciiTheme="majorHAnsi" w:hAnsiTheme="majorHAnsi" w:cstheme="majorHAnsi"/>
          <w:sz w:val="24"/>
          <w:szCs w:val="24"/>
          <w:lang w:val="ro-MD"/>
        </w:rPr>
      </w:pPr>
      <w:r w:rsidRPr="00606103">
        <w:rPr>
          <w:rFonts w:asciiTheme="majorHAnsi" w:hAnsiTheme="majorHAnsi" w:cstheme="majorHAnsi"/>
          <w:sz w:val="24"/>
          <w:szCs w:val="24"/>
          <w:lang w:val="ro-MD"/>
        </w:rPr>
        <w:t>l</w:t>
      </w:r>
      <w:r w:rsidR="000E0C22" w:rsidRPr="00606103">
        <w:rPr>
          <w:rFonts w:asciiTheme="majorHAnsi" w:hAnsiTheme="majorHAnsi" w:cstheme="majorHAnsi"/>
          <w:sz w:val="24"/>
          <w:szCs w:val="24"/>
          <w:lang w:val="ro-MD"/>
        </w:rPr>
        <w:t xml:space="preserve">a 13 proiecte nu au fost executate cheltuieli. Alocațiile aprobate în sumă de 63,1 mil.lei și precizate </w:t>
      </w:r>
      <w:r w:rsidR="0008665C" w:rsidRPr="00606103">
        <w:rPr>
          <w:rFonts w:asciiTheme="majorHAnsi" w:hAnsiTheme="majorHAnsi" w:cstheme="majorHAnsi"/>
          <w:sz w:val="24"/>
          <w:szCs w:val="24"/>
          <w:lang w:val="ro-MD"/>
        </w:rPr>
        <w:t xml:space="preserve">în sumă de </w:t>
      </w:r>
      <w:r w:rsidR="000E0C22" w:rsidRPr="00606103">
        <w:rPr>
          <w:rFonts w:asciiTheme="majorHAnsi" w:hAnsiTheme="majorHAnsi" w:cstheme="majorHAnsi"/>
          <w:sz w:val="24"/>
          <w:szCs w:val="24"/>
          <w:lang w:val="ro-MD"/>
        </w:rPr>
        <w:t>49,4 mil.lei</w:t>
      </w:r>
      <w:r w:rsidR="000E0C22" w:rsidRPr="00606103">
        <w:rPr>
          <w:rFonts w:asciiTheme="majorHAnsi" w:hAnsiTheme="majorHAnsi" w:cstheme="majorHAnsi"/>
          <w:sz w:val="24"/>
          <w:szCs w:val="24"/>
          <w:vertAlign w:val="superscript"/>
          <w:lang w:val="ro-MD"/>
        </w:rPr>
        <w:footnoteReference w:id="77"/>
      </w:r>
      <w:r w:rsidR="000E0C22" w:rsidRPr="00606103">
        <w:rPr>
          <w:rFonts w:asciiTheme="majorHAnsi" w:hAnsiTheme="majorHAnsi" w:cstheme="majorHAnsi"/>
          <w:sz w:val="24"/>
          <w:szCs w:val="24"/>
          <w:lang w:val="ro-MD"/>
        </w:rPr>
        <w:t xml:space="preserve"> nu au fost valorificate din cauza anulării procedurii de achiziție pentru 4 proiecte</w:t>
      </w:r>
      <w:r w:rsidR="000E0C22" w:rsidRPr="00606103">
        <w:rPr>
          <w:rFonts w:asciiTheme="majorHAnsi" w:hAnsiTheme="majorHAnsi" w:cstheme="majorHAnsi"/>
          <w:sz w:val="24"/>
          <w:szCs w:val="24"/>
          <w:vertAlign w:val="superscript"/>
          <w:lang w:val="ro-MD"/>
        </w:rPr>
        <w:footnoteReference w:id="78"/>
      </w:r>
      <w:r w:rsidR="000E0C22" w:rsidRPr="00606103">
        <w:rPr>
          <w:rFonts w:asciiTheme="majorHAnsi" w:hAnsiTheme="majorHAnsi" w:cstheme="majorHAnsi"/>
          <w:sz w:val="24"/>
          <w:szCs w:val="24"/>
          <w:lang w:val="ro-MD"/>
        </w:rPr>
        <w:t>, nedebursării grantului pentru 2 proiecte</w:t>
      </w:r>
      <w:r w:rsidR="000E0C22" w:rsidRPr="00606103">
        <w:rPr>
          <w:rFonts w:asciiTheme="majorHAnsi" w:hAnsiTheme="majorHAnsi" w:cstheme="majorHAnsi"/>
          <w:sz w:val="24"/>
          <w:szCs w:val="24"/>
          <w:vertAlign w:val="superscript"/>
          <w:lang w:val="ro-MD"/>
        </w:rPr>
        <w:footnoteReference w:id="79"/>
      </w:r>
      <w:r w:rsidR="000E0C22" w:rsidRPr="00606103">
        <w:rPr>
          <w:rFonts w:asciiTheme="majorHAnsi" w:hAnsiTheme="majorHAnsi" w:cstheme="majorHAnsi"/>
          <w:sz w:val="24"/>
          <w:szCs w:val="24"/>
          <w:lang w:val="ro-MD"/>
        </w:rPr>
        <w:t>, tergivers</w:t>
      </w:r>
      <w:r w:rsidR="0008665C" w:rsidRPr="00606103">
        <w:rPr>
          <w:rFonts w:asciiTheme="majorHAnsi" w:hAnsiTheme="majorHAnsi" w:cstheme="majorHAnsi"/>
          <w:sz w:val="24"/>
          <w:szCs w:val="24"/>
          <w:lang w:val="ro-MD"/>
        </w:rPr>
        <w:t>ării</w:t>
      </w:r>
      <w:r w:rsidR="000E0C22" w:rsidRPr="00606103">
        <w:rPr>
          <w:rFonts w:asciiTheme="majorHAnsi" w:hAnsiTheme="majorHAnsi" w:cstheme="majorHAnsi"/>
          <w:sz w:val="24"/>
          <w:szCs w:val="24"/>
          <w:lang w:val="ro-MD"/>
        </w:rPr>
        <w:t xml:space="preserve"> pregătirii documentației/executării lucrărilor pentru 4 proiecte</w:t>
      </w:r>
      <w:r w:rsidR="000E0C22" w:rsidRPr="00606103">
        <w:rPr>
          <w:rFonts w:asciiTheme="majorHAnsi" w:hAnsiTheme="majorHAnsi" w:cstheme="majorHAnsi"/>
          <w:sz w:val="24"/>
          <w:szCs w:val="24"/>
          <w:vertAlign w:val="superscript"/>
          <w:lang w:val="ro-MD"/>
        </w:rPr>
        <w:footnoteReference w:id="80"/>
      </w:r>
      <w:r w:rsidR="000E0C22" w:rsidRPr="00606103">
        <w:rPr>
          <w:rFonts w:asciiTheme="majorHAnsi" w:hAnsiTheme="majorHAnsi" w:cstheme="majorHAnsi"/>
          <w:sz w:val="24"/>
          <w:szCs w:val="24"/>
          <w:lang w:val="ro-MD"/>
        </w:rPr>
        <w:t>, stop</w:t>
      </w:r>
      <w:r w:rsidR="0008665C" w:rsidRPr="00606103">
        <w:rPr>
          <w:rFonts w:asciiTheme="majorHAnsi" w:hAnsiTheme="majorHAnsi" w:cstheme="majorHAnsi"/>
          <w:sz w:val="24"/>
          <w:szCs w:val="24"/>
          <w:lang w:val="ro-MD"/>
        </w:rPr>
        <w:t>ă</w:t>
      </w:r>
      <w:r w:rsidR="000E0C22" w:rsidRPr="00606103">
        <w:rPr>
          <w:rFonts w:asciiTheme="majorHAnsi" w:hAnsiTheme="majorHAnsi" w:cstheme="majorHAnsi"/>
          <w:sz w:val="24"/>
          <w:szCs w:val="24"/>
          <w:lang w:val="ro-MD"/>
        </w:rPr>
        <w:t>r</w:t>
      </w:r>
      <w:r w:rsidR="0008665C" w:rsidRPr="00606103">
        <w:rPr>
          <w:rFonts w:asciiTheme="majorHAnsi" w:hAnsiTheme="majorHAnsi" w:cstheme="majorHAnsi"/>
          <w:sz w:val="24"/>
          <w:szCs w:val="24"/>
          <w:lang w:val="ro-MD"/>
        </w:rPr>
        <w:t>ii</w:t>
      </w:r>
      <w:r w:rsidR="000E0C22" w:rsidRPr="00606103">
        <w:rPr>
          <w:rFonts w:asciiTheme="majorHAnsi" w:hAnsiTheme="majorHAnsi" w:cstheme="majorHAnsi"/>
          <w:sz w:val="24"/>
          <w:szCs w:val="24"/>
          <w:lang w:val="ro-MD"/>
        </w:rPr>
        <w:t xml:space="preserve"> unui proiect</w:t>
      </w:r>
      <w:r w:rsidR="000E0C22" w:rsidRPr="00606103">
        <w:rPr>
          <w:rFonts w:asciiTheme="majorHAnsi" w:hAnsiTheme="majorHAnsi" w:cstheme="majorHAnsi"/>
          <w:sz w:val="24"/>
          <w:szCs w:val="24"/>
          <w:vertAlign w:val="superscript"/>
          <w:lang w:val="ro-MD"/>
        </w:rPr>
        <w:footnoteReference w:id="81"/>
      </w:r>
      <w:r w:rsidR="000E0C22" w:rsidRPr="00606103">
        <w:rPr>
          <w:rFonts w:asciiTheme="majorHAnsi" w:hAnsiTheme="majorHAnsi" w:cstheme="majorHAnsi"/>
          <w:sz w:val="24"/>
          <w:szCs w:val="24"/>
          <w:lang w:val="ro-MD"/>
        </w:rPr>
        <w:t>, îndrept</w:t>
      </w:r>
      <w:r w:rsidR="0008665C" w:rsidRPr="00606103">
        <w:rPr>
          <w:rFonts w:asciiTheme="majorHAnsi" w:hAnsiTheme="majorHAnsi" w:cstheme="majorHAnsi"/>
          <w:sz w:val="24"/>
          <w:szCs w:val="24"/>
          <w:lang w:val="ro-MD"/>
        </w:rPr>
        <w:t>ării</w:t>
      </w:r>
      <w:r w:rsidR="000E0C22" w:rsidRPr="00606103">
        <w:rPr>
          <w:rFonts w:asciiTheme="majorHAnsi" w:hAnsiTheme="majorHAnsi" w:cstheme="majorHAnsi"/>
          <w:sz w:val="24"/>
          <w:szCs w:val="24"/>
          <w:lang w:val="ro-MD"/>
        </w:rPr>
        <w:t xml:space="preserve"> spre executare a plății pentru un proiect</w:t>
      </w:r>
      <w:r w:rsidR="000E0C22" w:rsidRPr="00606103">
        <w:rPr>
          <w:rFonts w:asciiTheme="majorHAnsi" w:hAnsiTheme="majorHAnsi" w:cstheme="majorHAnsi"/>
          <w:sz w:val="24"/>
          <w:szCs w:val="24"/>
          <w:vertAlign w:val="superscript"/>
          <w:lang w:val="ro-MD"/>
        </w:rPr>
        <w:footnoteReference w:id="82"/>
      </w:r>
      <w:r w:rsidR="000E0C22" w:rsidRPr="00606103">
        <w:rPr>
          <w:rFonts w:asciiTheme="majorHAnsi" w:hAnsiTheme="majorHAnsi" w:cstheme="majorHAnsi"/>
          <w:sz w:val="24"/>
          <w:szCs w:val="24"/>
          <w:lang w:val="ro-MD"/>
        </w:rPr>
        <w:t xml:space="preserve"> la finele anului, fiind executată în anul 2022. Totodată, la un proiect</w:t>
      </w:r>
      <w:r w:rsidR="000E0C22" w:rsidRPr="00606103">
        <w:rPr>
          <w:rFonts w:asciiTheme="majorHAnsi" w:hAnsiTheme="majorHAnsi" w:cstheme="majorHAnsi"/>
          <w:sz w:val="24"/>
          <w:szCs w:val="24"/>
          <w:vertAlign w:val="superscript"/>
          <w:lang w:val="ro-MD"/>
        </w:rPr>
        <w:footnoteReference w:id="83"/>
      </w:r>
      <w:r w:rsidR="000E0C22" w:rsidRPr="00606103">
        <w:rPr>
          <w:rFonts w:asciiTheme="majorHAnsi" w:hAnsiTheme="majorHAnsi" w:cstheme="majorHAnsi"/>
          <w:sz w:val="24"/>
          <w:szCs w:val="24"/>
          <w:lang w:val="ro-MD"/>
        </w:rPr>
        <w:t>, din lipsa credibilității, a fost solicitat de către donator elaborarea suplimentară a unui Studiu de decalaj</w:t>
      </w:r>
      <w:r w:rsidR="0008665C" w:rsidRPr="00606103">
        <w:rPr>
          <w:rFonts w:asciiTheme="majorHAnsi" w:hAnsiTheme="majorHAnsi" w:cstheme="majorHAnsi"/>
          <w:sz w:val="24"/>
          <w:szCs w:val="24"/>
          <w:lang w:val="ro-MD"/>
        </w:rPr>
        <w:t>;</w:t>
      </w:r>
    </w:p>
    <w:p w:rsidR="000E0C22" w:rsidRPr="00606103" w:rsidRDefault="00A253FA" w:rsidP="00552746">
      <w:pPr>
        <w:pStyle w:val="ListParagraph"/>
        <w:numPr>
          <w:ilvl w:val="0"/>
          <w:numId w:val="4"/>
        </w:numPr>
        <w:tabs>
          <w:tab w:val="left" w:pos="284"/>
        </w:tabs>
        <w:spacing w:line="276" w:lineRule="auto"/>
        <w:ind w:left="0" w:firstLine="0"/>
        <w:rPr>
          <w:rFonts w:asciiTheme="majorHAnsi" w:hAnsiTheme="majorHAnsi" w:cstheme="majorHAnsi"/>
          <w:sz w:val="24"/>
          <w:szCs w:val="24"/>
          <w:lang w:val="ro-MD"/>
        </w:rPr>
      </w:pPr>
      <w:r w:rsidRPr="00606103">
        <w:rPr>
          <w:rFonts w:asciiTheme="majorHAnsi" w:hAnsiTheme="majorHAnsi" w:cstheme="majorHAnsi"/>
          <w:sz w:val="24"/>
          <w:szCs w:val="24"/>
          <w:lang w:val="ro-MD"/>
        </w:rPr>
        <w:t>l</w:t>
      </w:r>
      <w:r w:rsidR="000E0C22" w:rsidRPr="00606103">
        <w:rPr>
          <w:rFonts w:asciiTheme="majorHAnsi" w:hAnsiTheme="majorHAnsi" w:cstheme="majorHAnsi"/>
          <w:sz w:val="24"/>
          <w:szCs w:val="24"/>
          <w:lang w:val="ro-MD"/>
        </w:rPr>
        <w:t>a 12 proiecte au fost executate cheltuieli între 1,0% și 49,0% față de volumul alocațiilor precizate. La proiectul</w:t>
      </w:r>
      <w:r w:rsidR="000E0C22" w:rsidRPr="00606103">
        <w:rPr>
          <w:rFonts w:asciiTheme="majorHAnsi" w:hAnsiTheme="majorHAnsi" w:cstheme="majorHAnsi"/>
          <w:sz w:val="24"/>
          <w:szCs w:val="24"/>
          <w:vertAlign w:val="superscript"/>
          <w:lang w:val="ro-MD"/>
        </w:rPr>
        <w:footnoteReference w:id="84"/>
      </w:r>
      <w:r w:rsidR="000E0C22" w:rsidRPr="00606103">
        <w:rPr>
          <w:rFonts w:asciiTheme="majorHAnsi" w:hAnsiTheme="majorHAnsi" w:cstheme="majorHAnsi"/>
          <w:sz w:val="24"/>
          <w:szCs w:val="24"/>
          <w:lang w:val="ro-MD"/>
        </w:rPr>
        <w:t xml:space="preserve"> cu cel mai mic nivel de executare (1,0%), nevalorificarea alocațiilor s-a motivat prin contestarea procedurii de achiziție a lucrărilor de construcție, nefiind posibilă încheierea contractului. La proiectul „Construcția complexului Ambasadei RM în Republica Belarus, or. Minsk” au fost executate cheltuieli la nivel de 24,8%, fiind ajustată doar documentația de proiect, iar procedura de achiziție a lucrărilor de construcție nu a fost desfășurată. Totodată, pentru 4 proiecte ale MAI</w:t>
      </w:r>
      <w:r w:rsidR="000E0C22" w:rsidRPr="00606103">
        <w:rPr>
          <w:rFonts w:asciiTheme="majorHAnsi" w:hAnsiTheme="majorHAnsi" w:cstheme="majorHAnsi"/>
          <w:sz w:val="24"/>
          <w:szCs w:val="24"/>
          <w:vertAlign w:val="superscript"/>
          <w:lang w:val="ro-MD"/>
        </w:rPr>
        <w:footnoteReference w:id="85"/>
      </w:r>
      <w:r w:rsidR="000E0C22" w:rsidRPr="00606103">
        <w:rPr>
          <w:rFonts w:asciiTheme="majorHAnsi" w:hAnsiTheme="majorHAnsi" w:cstheme="majorHAnsi"/>
          <w:sz w:val="24"/>
          <w:szCs w:val="24"/>
          <w:lang w:val="ro-MD"/>
        </w:rPr>
        <w:t xml:space="preserve"> nu au fost debursate </w:t>
      </w:r>
      <w:r w:rsidR="001A7FB9" w:rsidRPr="00606103">
        <w:rPr>
          <w:rFonts w:asciiTheme="majorHAnsi" w:hAnsiTheme="majorHAnsi" w:cstheme="majorHAnsi"/>
          <w:sz w:val="24"/>
          <w:szCs w:val="24"/>
          <w:lang w:val="ro-MD"/>
        </w:rPr>
        <w:t xml:space="preserve">până la finele anului </w:t>
      </w:r>
      <w:r w:rsidR="000E0C22" w:rsidRPr="00606103">
        <w:rPr>
          <w:rFonts w:asciiTheme="majorHAnsi" w:hAnsiTheme="majorHAnsi" w:cstheme="majorHAnsi"/>
          <w:sz w:val="24"/>
          <w:szCs w:val="24"/>
          <w:lang w:val="ro-MD"/>
        </w:rPr>
        <w:t>mijloacele financiare din contul granturilor externe, iar pentru un proiect</w:t>
      </w:r>
      <w:r w:rsidR="000E0C22" w:rsidRPr="00606103">
        <w:rPr>
          <w:rFonts w:asciiTheme="majorHAnsi" w:hAnsiTheme="majorHAnsi" w:cstheme="majorHAnsi"/>
          <w:sz w:val="24"/>
          <w:szCs w:val="24"/>
          <w:vertAlign w:val="superscript"/>
          <w:lang w:val="ro-MD"/>
        </w:rPr>
        <w:footnoteReference w:id="86"/>
      </w:r>
      <w:r w:rsidR="000E0C22" w:rsidRPr="00606103">
        <w:rPr>
          <w:rFonts w:asciiTheme="majorHAnsi" w:hAnsiTheme="majorHAnsi" w:cstheme="majorHAnsi"/>
          <w:sz w:val="24"/>
          <w:szCs w:val="24"/>
          <w:lang w:val="ro-MD"/>
        </w:rPr>
        <w:t xml:space="preserve">, </w:t>
      </w:r>
      <w:r w:rsidR="001A7FB9" w:rsidRPr="00606103">
        <w:rPr>
          <w:rFonts w:asciiTheme="majorHAnsi" w:hAnsiTheme="majorHAnsi" w:cstheme="majorHAnsi"/>
          <w:sz w:val="24"/>
          <w:szCs w:val="24"/>
          <w:lang w:val="ro-MD"/>
        </w:rPr>
        <w:t xml:space="preserve">ca </w:t>
      </w:r>
      <w:r w:rsidR="000E0C22" w:rsidRPr="00606103">
        <w:rPr>
          <w:rFonts w:asciiTheme="majorHAnsi" w:hAnsiTheme="majorHAnsi" w:cstheme="majorHAnsi"/>
          <w:sz w:val="24"/>
          <w:szCs w:val="24"/>
          <w:lang w:val="ro-MD"/>
        </w:rPr>
        <w:t xml:space="preserve">urmare </w:t>
      </w:r>
      <w:r w:rsidR="001A7FB9" w:rsidRPr="00606103">
        <w:rPr>
          <w:rFonts w:asciiTheme="majorHAnsi" w:hAnsiTheme="majorHAnsi" w:cstheme="majorHAnsi"/>
          <w:sz w:val="24"/>
          <w:szCs w:val="24"/>
          <w:lang w:val="ro-MD"/>
        </w:rPr>
        <w:t xml:space="preserve">a </w:t>
      </w:r>
      <w:r w:rsidR="000E0C22" w:rsidRPr="00606103">
        <w:rPr>
          <w:rFonts w:asciiTheme="majorHAnsi" w:hAnsiTheme="majorHAnsi" w:cstheme="majorHAnsi"/>
          <w:sz w:val="24"/>
          <w:szCs w:val="24"/>
          <w:lang w:val="ro-MD"/>
        </w:rPr>
        <w:t>desfășurării de 4 ori a procedurilor de achiziție, nu a fost desemnat niciun câștigător</w:t>
      </w:r>
      <w:r w:rsidR="001A7FB9" w:rsidRPr="00606103">
        <w:rPr>
          <w:rFonts w:asciiTheme="majorHAnsi" w:hAnsiTheme="majorHAnsi" w:cstheme="majorHAnsi"/>
          <w:sz w:val="24"/>
          <w:szCs w:val="24"/>
          <w:lang w:val="ro-MD"/>
        </w:rPr>
        <w:t>;</w:t>
      </w:r>
    </w:p>
    <w:p w:rsidR="000E0C22" w:rsidRPr="00606103" w:rsidRDefault="00A253FA" w:rsidP="00552746">
      <w:pPr>
        <w:pStyle w:val="ListParagraph"/>
        <w:numPr>
          <w:ilvl w:val="0"/>
          <w:numId w:val="4"/>
        </w:numPr>
        <w:tabs>
          <w:tab w:val="left" w:pos="284"/>
        </w:tabs>
        <w:spacing w:line="276" w:lineRule="auto"/>
        <w:ind w:left="0" w:firstLine="0"/>
        <w:rPr>
          <w:rFonts w:asciiTheme="majorHAnsi" w:hAnsiTheme="majorHAnsi" w:cstheme="majorHAnsi"/>
          <w:sz w:val="24"/>
          <w:szCs w:val="24"/>
          <w:lang w:val="ro-MD"/>
        </w:rPr>
      </w:pPr>
      <w:r w:rsidRPr="00606103">
        <w:rPr>
          <w:rFonts w:asciiTheme="majorHAnsi" w:hAnsiTheme="majorHAnsi" w:cstheme="majorHAnsi"/>
          <w:sz w:val="24"/>
          <w:szCs w:val="24"/>
          <w:lang w:val="ro-MD"/>
        </w:rPr>
        <w:t>l</w:t>
      </w:r>
      <w:r w:rsidR="000E0C22" w:rsidRPr="00606103">
        <w:rPr>
          <w:rFonts w:asciiTheme="majorHAnsi" w:hAnsiTheme="majorHAnsi" w:cstheme="majorHAnsi"/>
          <w:sz w:val="24"/>
          <w:szCs w:val="24"/>
          <w:lang w:val="ro-MD"/>
        </w:rPr>
        <w:t>a 13 proiecte au fost executate cheltuieli între 53,1% și 88,2% față de volumul alocațiilor precizate. Astfel, la proiectul</w:t>
      </w:r>
      <w:r w:rsidR="000E0C22" w:rsidRPr="00606103">
        <w:rPr>
          <w:rFonts w:asciiTheme="majorHAnsi" w:hAnsiTheme="majorHAnsi" w:cstheme="majorHAnsi"/>
          <w:sz w:val="24"/>
          <w:szCs w:val="24"/>
          <w:vertAlign w:val="superscript"/>
          <w:lang w:val="ro-MD"/>
        </w:rPr>
        <w:footnoteReference w:id="87"/>
      </w:r>
      <w:r w:rsidR="000E0C22" w:rsidRPr="00606103">
        <w:rPr>
          <w:rFonts w:asciiTheme="majorHAnsi" w:hAnsiTheme="majorHAnsi" w:cstheme="majorHAnsi"/>
          <w:sz w:val="24"/>
          <w:szCs w:val="24"/>
          <w:lang w:val="ro-MD"/>
        </w:rPr>
        <w:t xml:space="preserve"> cu cel mai mic nivel de executare (53,1%), au fost excluse o parte din lucrări, termenul de valabilitate a contractului expirând la finele anului 2021</w:t>
      </w:r>
      <w:r w:rsidR="001A7FB9" w:rsidRPr="00606103">
        <w:rPr>
          <w:rFonts w:asciiTheme="majorHAnsi" w:hAnsiTheme="majorHAnsi" w:cstheme="majorHAnsi"/>
          <w:sz w:val="24"/>
          <w:szCs w:val="24"/>
          <w:lang w:val="ro-MD"/>
        </w:rPr>
        <w:t>;</w:t>
      </w:r>
    </w:p>
    <w:p w:rsidR="000E0C22" w:rsidRPr="00606103" w:rsidRDefault="00A253FA" w:rsidP="00552746">
      <w:pPr>
        <w:pStyle w:val="ListParagraph"/>
        <w:numPr>
          <w:ilvl w:val="0"/>
          <w:numId w:val="4"/>
        </w:numPr>
        <w:tabs>
          <w:tab w:val="left" w:pos="284"/>
        </w:tabs>
        <w:spacing w:line="276" w:lineRule="auto"/>
        <w:ind w:left="0" w:firstLine="0"/>
        <w:rPr>
          <w:rFonts w:asciiTheme="majorHAnsi" w:hAnsiTheme="majorHAnsi" w:cstheme="majorHAnsi"/>
          <w:i/>
          <w:sz w:val="24"/>
          <w:szCs w:val="24"/>
          <w:lang w:val="ro-MD"/>
        </w:rPr>
      </w:pPr>
      <w:r w:rsidRPr="00606103">
        <w:rPr>
          <w:rFonts w:asciiTheme="majorHAnsi" w:hAnsiTheme="majorHAnsi" w:cstheme="majorHAnsi"/>
          <w:sz w:val="24"/>
          <w:szCs w:val="24"/>
          <w:lang w:val="ro-MD"/>
        </w:rPr>
        <w:t>l</w:t>
      </w:r>
      <w:r w:rsidR="000E0C22" w:rsidRPr="00606103">
        <w:rPr>
          <w:rFonts w:asciiTheme="majorHAnsi" w:hAnsiTheme="majorHAnsi" w:cstheme="majorHAnsi"/>
          <w:sz w:val="24"/>
          <w:szCs w:val="24"/>
          <w:lang w:val="ro-MD"/>
        </w:rPr>
        <w:t>a 31 de proiecte au fost executate cheltuieli între 91,9% și 100,0% față de volumul alocațiilor precizate. La proiectul</w:t>
      </w:r>
      <w:r w:rsidR="000E0C22" w:rsidRPr="00606103">
        <w:rPr>
          <w:rFonts w:asciiTheme="majorHAnsi" w:hAnsiTheme="majorHAnsi" w:cstheme="majorHAnsi"/>
          <w:sz w:val="24"/>
          <w:szCs w:val="24"/>
          <w:vertAlign w:val="superscript"/>
          <w:lang w:val="ro-MD"/>
        </w:rPr>
        <w:footnoteReference w:id="88"/>
      </w:r>
      <w:r w:rsidR="000E0C22" w:rsidRPr="00606103">
        <w:rPr>
          <w:rFonts w:asciiTheme="majorHAnsi" w:hAnsiTheme="majorHAnsi" w:cstheme="majorHAnsi"/>
          <w:sz w:val="24"/>
          <w:szCs w:val="24"/>
          <w:lang w:val="ro-MD"/>
        </w:rPr>
        <w:t xml:space="preserve"> cu cel mai mic nivel de executare față de volumul alocațiilor aprobate inițial (0,7%), în anul 2020 a fost elaborat studiul de fezabilitate și documentația tehnică pentru realizarea proiectului cu suportul grantului UE, însă propunerea nu a fost acceptată de către donator și proiectul nu a </w:t>
      </w:r>
      <w:r w:rsidR="001A7FB9" w:rsidRPr="00606103">
        <w:rPr>
          <w:rFonts w:asciiTheme="majorHAnsi" w:hAnsiTheme="majorHAnsi" w:cstheme="majorHAnsi"/>
          <w:sz w:val="24"/>
          <w:szCs w:val="24"/>
          <w:lang w:val="ro-MD"/>
        </w:rPr>
        <w:t xml:space="preserve">fost </w:t>
      </w:r>
      <w:r w:rsidR="000E0C22" w:rsidRPr="00606103">
        <w:rPr>
          <w:rFonts w:asciiTheme="majorHAnsi" w:hAnsiTheme="majorHAnsi" w:cstheme="majorHAnsi"/>
          <w:sz w:val="24"/>
          <w:szCs w:val="24"/>
          <w:lang w:val="ro-MD"/>
        </w:rPr>
        <w:t>implementat. Totodată, la proiectul</w:t>
      </w:r>
      <w:r w:rsidR="000E0C22" w:rsidRPr="00606103">
        <w:rPr>
          <w:rFonts w:asciiTheme="majorHAnsi" w:hAnsiTheme="majorHAnsi" w:cstheme="majorHAnsi"/>
          <w:sz w:val="24"/>
          <w:szCs w:val="24"/>
          <w:vertAlign w:val="superscript"/>
          <w:lang w:val="ro-MD"/>
        </w:rPr>
        <w:footnoteReference w:id="89"/>
      </w:r>
      <w:r w:rsidR="000E0C22" w:rsidRPr="00606103">
        <w:rPr>
          <w:rFonts w:asciiTheme="majorHAnsi" w:hAnsiTheme="majorHAnsi" w:cstheme="majorHAnsi"/>
          <w:sz w:val="24"/>
          <w:szCs w:val="24"/>
          <w:lang w:val="ro-MD"/>
        </w:rPr>
        <w:t xml:space="preserve"> cu nivelul de executare a alocațiilor aprobate de 30,2% s-au micșorat alocațiile la rectificarea Legii BS pentru anul 2021</w:t>
      </w:r>
      <w:r w:rsidR="001A7FB9" w:rsidRPr="00606103">
        <w:rPr>
          <w:rFonts w:asciiTheme="majorHAnsi" w:hAnsiTheme="majorHAnsi" w:cstheme="majorHAnsi"/>
          <w:sz w:val="24"/>
          <w:szCs w:val="24"/>
          <w:lang w:val="ro-MD"/>
        </w:rPr>
        <w:t>,</w:t>
      </w:r>
      <w:r w:rsidR="000E0C22" w:rsidRPr="00606103">
        <w:rPr>
          <w:rFonts w:asciiTheme="majorHAnsi" w:hAnsiTheme="majorHAnsi" w:cstheme="majorHAnsi"/>
          <w:sz w:val="24"/>
          <w:szCs w:val="24"/>
          <w:lang w:val="ro-MD"/>
        </w:rPr>
        <w:t xml:space="preserve"> nefiind finalizată elaborarea </w:t>
      </w:r>
      <w:r w:rsidR="000E0C22" w:rsidRPr="00606103">
        <w:rPr>
          <w:rFonts w:asciiTheme="majorHAnsi" w:hAnsiTheme="majorHAnsi" w:cstheme="majorHAnsi"/>
          <w:sz w:val="24"/>
          <w:szCs w:val="24"/>
          <w:lang w:val="ro-MD"/>
        </w:rPr>
        <w:lastRenderedPageBreak/>
        <w:t>documentației de proiect și deviz.</w:t>
      </w:r>
      <w:r w:rsidR="00A5420E" w:rsidRPr="00606103">
        <w:rPr>
          <w:rFonts w:asciiTheme="majorHAnsi" w:hAnsiTheme="majorHAnsi" w:cstheme="majorHAnsi"/>
          <w:sz w:val="24"/>
          <w:szCs w:val="24"/>
          <w:lang w:val="ro-MD"/>
        </w:rPr>
        <w:t xml:space="preserve"> </w:t>
      </w:r>
      <w:r w:rsidR="000E0C22" w:rsidRPr="00606103">
        <w:rPr>
          <w:rFonts w:asciiTheme="majorHAnsi" w:hAnsiTheme="majorHAnsi" w:cstheme="majorHAnsi"/>
          <w:i/>
          <w:sz w:val="24"/>
          <w:szCs w:val="24"/>
          <w:lang w:val="ro-MD"/>
        </w:rPr>
        <w:t>Analiza nivelului de executare a investițiilor capitale pe proiecte în anul 2021 se prezintă în Anexa nr.</w:t>
      </w:r>
      <w:r w:rsidR="00A5420E" w:rsidRPr="00606103">
        <w:rPr>
          <w:rFonts w:asciiTheme="majorHAnsi" w:hAnsiTheme="majorHAnsi" w:cstheme="majorHAnsi"/>
          <w:i/>
          <w:sz w:val="24"/>
          <w:szCs w:val="24"/>
          <w:lang w:val="ro-MD"/>
        </w:rPr>
        <w:t>7</w:t>
      </w:r>
      <w:r w:rsidR="000E0C22" w:rsidRPr="00606103">
        <w:rPr>
          <w:rFonts w:asciiTheme="majorHAnsi" w:hAnsiTheme="majorHAnsi" w:cstheme="majorHAnsi"/>
          <w:i/>
          <w:sz w:val="24"/>
          <w:szCs w:val="24"/>
          <w:lang w:val="ro-MD"/>
        </w:rPr>
        <w:t xml:space="preserve"> la prezentul Raport de audit.</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Examinările auditului asupra executării investițiilor capitale în anul 2021</w:t>
      </w:r>
      <w:r w:rsidR="00D94F53"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sub aspectul programelor, relevă că cea mai mare pondere a cheltuielilor executate s-a înregistrat pentru programul „Dezvoltarea drumurilor”, reprezentând 88,4% din total, fiind urmat de programul „Dezvoltarea și modernizarea instituțiilor în domeniul ocrotirii sănătății” – 2,1%, programul „Dezvoltarea durabilă a </w:t>
      </w:r>
      <w:r w:rsidRPr="00577973">
        <w:rPr>
          <w:rFonts w:asciiTheme="majorHAnsi" w:hAnsiTheme="majorHAnsi" w:cstheme="majorHAnsi"/>
          <w:sz w:val="24"/>
          <w:szCs w:val="24"/>
          <w:lang w:val="ro-MD"/>
        </w:rPr>
        <w:t>sectoarelor fitotehnie și horticultură” – 1,7%</w:t>
      </w:r>
      <w:r w:rsidR="001A7FB9" w:rsidRPr="00577973">
        <w:rPr>
          <w:rFonts w:asciiTheme="majorHAnsi" w:hAnsiTheme="majorHAnsi" w:cstheme="majorHAnsi"/>
          <w:sz w:val="24"/>
          <w:szCs w:val="24"/>
          <w:lang w:val="ro-MD"/>
        </w:rPr>
        <w:t>,</w:t>
      </w:r>
      <w:r w:rsidRPr="00577973">
        <w:rPr>
          <w:rFonts w:asciiTheme="majorHAnsi" w:hAnsiTheme="majorHAnsi" w:cstheme="majorHAnsi"/>
          <w:sz w:val="24"/>
          <w:szCs w:val="24"/>
          <w:lang w:val="ro-MD"/>
        </w:rPr>
        <w:t xml:space="preserve"> și programul „Sistemul penitenciar” – 1,1% etc. </w:t>
      </w:r>
      <w:r w:rsidR="009876D8" w:rsidRPr="00577973">
        <w:rPr>
          <w:rFonts w:asciiTheme="majorHAnsi" w:hAnsiTheme="majorHAnsi" w:cstheme="majorHAnsi"/>
          <w:i/>
          <w:sz w:val="24"/>
          <w:szCs w:val="24"/>
          <w:lang w:val="ro-MD"/>
        </w:rPr>
        <w:t>Analiza</w:t>
      </w:r>
      <w:r w:rsidRPr="00577973">
        <w:rPr>
          <w:rFonts w:asciiTheme="majorHAnsi" w:hAnsiTheme="majorHAnsi" w:cstheme="majorHAnsi"/>
          <w:i/>
          <w:sz w:val="24"/>
          <w:szCs w:val="24"/>
          <w:lang w:val="ro-MD"/>
        </w:rPr>
        <w:t xml:space="preserve"> investițiilor capitale executate în anul 2021 </w:t>
      </w:r>
      <w:r w:rsidR="009876D8" w:rsidRPr="00577973">
        <w:rPr>
          <w:rFonts w:asciiTheme="majorHAnsi" w:hAnsiTheme="majorHAnsi" w:cstheme="majorHAnsi"/>
          <w:i/>
          <w:sz w:val="24"/>
          <w:szCs w:val="24"/>
          <w:lang w:val="ro-MD"/>
        </w:rPr>
        <w:t xml:space="preserve">pe programe </w:t>
      </w:r>
      <w:r w:rsidRPr="00577973">
        <w:rPr>
          <w:rFonts w:asciiTheme="majorHAnsi" w:hAnsiTheme="majorHAnsi" w:cstheme="majorHAnsi"/>
          <w:i/>
          <w:sz w:val="24"/>
          <w:szCs w:val="24"/>
          <w:lang w:val="ro-MD"/>
        </w:rPr>
        <w:t>se prezintă în Anexa nr.</w:t>
      </w:r>
      <w:r w:rsidR="003725E7" w:rsidRPr="00577973">
        <w:rPr>
          <w:rFonts w:asciiTheme="majorHAnsi" w:hAnsiTheme="majorHAnsi" w:cstheme="majorHAnsi"/>
          <w:i/>
          <w:sz w:val="24"/>
          <w:szCs w:val="24"/>
          <w:lang w:val="ro-MD"/>
        </w:rPr>
        <w:t>8</w:t>
      </w:r>
      <w:r w:rsidRPr="00577973">
        <w:rPr>
          <w:rFonts w:asciiTheme="majorHAnsi" w:hAnsiTheme="majorHAnsi" w:cstheme="majorHAnsi"/>
          <w:i/>
          <w:sz w:val="24"/>
          <w:szCs w:val="24"/>
          <w:lang w:val="ro-MD"/>
        </w:rPr>
        <w:t xml:space="preserve"> la prezentul Raport de audit.</w:t>
      </w:r>
      <w:r w:rsidRPr="00606103">
        <w:rPr>
          <w:rFonts w:asciiTheme="majorHAnsi" w:hAnsiTheme="majorHAnsi" w:cstheme="majorHAnsi"/>
          <w:sz w:val="24"/>
          <w:szCs w:val="24"/>
          <w:lang w:val="ro-MD"/>
        </w:rPr>
        <w:t xml:space="preserve"> </w:t>
      </w:r>
    </w:p>
    <w:p w:rsidR="000E0C22" w:rsidRPr="00606103" w:rsidRDefault="000E0C22">
      <w:pPr>
        <w:spacing w:line="276" w:lineRule="auto"/>
        <w:rPr>
          <w:rFonts w:asciiTheme="majorHAnsi" w:hAnsiTheme="majorHAnsi" w:cstheme="majorHAnsi"/>
          <w:i/>
          <w:sz w:val="24"/>
          <w:szCs w:val="24"/>
          <w:lang w:val="ro-MD"/>
        </w:rPr>
      </w:pPr>
      <w:r w:rsidRPr="00606103">
        <w:rPr>
          <w:rFonts w:asciiTheme="majorHAnsi" w:hAnsiTheme="majorHAnsi" w:cstheme="majorHAnsi"/>
          <w:sz w:val="24"/>
          <w:szCs w:val="24"/>
          <w:lang w:val="ro-MD"/>
        </w:rPr>
        <w:t>Verificările auditului asupra conformității majorării costurilor totale estimate ale proiectelor de investiții capitale în limita a 15% din costul estimat inițial denotă că, în anul 2021, contrar prevederilor cadrului regulamentar</w:t>
      </w:r>
      <w:r w:rsidRPr="00606103">
        <w:rPr>
          <w:rFonts w:asciiTheme="majorHAnsi" w:hAnsiTheme="majorHAnsi" w:cstheme="majorHAnsi"/>
          <w:sz w:val="24"/>
          <w:szCs w:val="24"/>
          <w:vertAlign w:val="superscript"/>
          <w:lang w:val="ro-MD"/>
        </w:rPr>
        <w:footnoteReference w:id="90"/>
      </w:r>
      <w:r w:rsidRPr="00606103">
        <w:rPr>
          <w:rFonts w:asciiTheme="majorHAnsi" w:hAnsiTheme="majorHAnsi" w:cstheme="majorHAnsi"/>
          <w:sz w:val="24"/>
          <w:szCs w:val="24"/>
          <w:lang w:val="ro-MD"/>
        </w:rPr>
        <w:t xml:space="preserve">, pentru </w:t>
      </w:r>
      <w:r w:rsidR="00E83212" w:rsidRPr="00606103">
        <w:rPr>
          <w:rFonts w:asciiTheme="majorHAnsi" w:hAnsiTheme="majorHAnsi" w:cstheme="majorHAnsi"/>
          <w:sz w:val="24"/>
          <w:szCs w:val="24"/>
          <w:lang w:val="ro-MD"/>
        </w:rPr>
        <w:t xml:space="preserve">costurile totale estimate a </w:t>
      </w:r>
      <w:r w:rsidRPr="00606103">
        <w:rPr>
          <w:rFonts w:asciiTheme="majorHAnsi" w:hAnsiTheme="majorHAnsi" w:cstheme="majorHAnsi"/>
          <w:sz w:val="24"/>
          <w:szCs w:val="24"/>
          <w:lang w:val="ro-MD"/>
        </w:rPr>
        <w:t xml:space="preserve">7 proiecte s-au admis majorări între 32,5% și 781,9%. Auditul </w:t>
      </w:r>
      <w:r w:rsidR="00E83212" w:rsidRPr="00606103">
        <w:rPr>
          <w:rFonts w:asciiTheme="majorHAnsi" w:hAnsiTheme="majorHAnsi" w:cstheme="majorHAnsi"/>
          <w:sz w:val="24"/>
          <w:szCs w:val="24"/>
          <w:lang w:val="ro-MD"/>
        </w:rPr>
        <w:t xml:space="preserve">relevă </w:t>
      </w:r>
      <w:r w:rsidRPr="00606103">
        <w:rPr>
          <w:rFonts w:asciiTheme="majorHAnsi" w:hAnsiTheme="majorHAnsi" w:cstheme="majorHAnsi"/>
          <w:sz w:val="24"/>
          <w:szCs w:val="24"/>
          <w:lang w:val="ro-MD"/>
        </w:rPr>
        <w:t xml:space="preserve">menținerea în continuare pentru buget a riscului de majorare a costurilor totale estimate </w:t>
      </w:r>
      <w:r w:rsidR="00E83212" w:rsidRPr="00606103">
        <w:rPr>
          <w:rFonts w:asciiTheme="majorHAnsi" w:hAnsiTheme="majorHAnsi" w:cstheme="majorHAnsi"/>
          <w:sz w:val="24"/>
          <w:szCs w:val="24"/>
          <w:lang w:val="ro-MD"/>
        </w:rPr>
        <w:t>prin</w:t>
      </w:r>
      <w:r w:rsidRPr="00606103">
        <w:rPr>
          <w:rFonts w:asciiTheme="majorHAnsi" w:hAnsiTheme="majorHAnsi" w:cstheme="majorHAnsi"/>
          <w:sz w:val="24"/>
          <w:szCs w:val="24"/>
          <w:lang w:val="ro-MD"/>
        </w:rPr>
        <w:t xml:space="preserve"> tendința creșterii prețurilor. </w:t>
      </w:r>
      <w:r w:rsidRPr="00606103">
        <w:rPr>
          <w:rFonts w:asciiTheme="majorHAnsi" w:hAnsiTheme="majorHAnsi" w:cstheme="majorHAnsi"/>
          <w:i/>
          <w:sz w:val="24"/>
          <w:szCs w:val="24"/>
          <w:lang w:val="ro-MD"/>
        </w:rPr>
        <w:t>Sinteza proiectelor de investiții la care au fost majorate în anul 2021 cu peste 15,0% costurile totale estimate inițial se prezintă în Anexa nr.</w:t>
      </w:r>
      <w:r w:rsidR="003725E7" w:rsidRPr="00606103">
        <w:rPr>
          <w:rFonts w:asciiTheme="majorHAnsi" w:hAnsiTheme="majorHAnsi" w:cstheme="majorHAnsi"/>
          <w:i/>
          <w:sz w:val="24"/>
          <w:szCs w:val="24"/>
          <w:lang w:val="ro-MD"/>
        </w:rPr>
        <w:t>9</w:t>
      </w:r>
      <w:r w:rsidRPr="00606103">
        <w:rPr>
          <w:rFonts w:asciiTheme="majorHAnsi" w:hAnsiTheme="majorHAnsi" w:cstheme="majorHAnsi"/>
          <w:i/>
          <w:sz w:val="24"/>
          <w:szCs w:val="24"/>
          <w:lang w:val="ro-MD"/>
        </w:rPr>
        <w:t xml:space="preserve"> la prezentul Raport de audit.</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Potrivit cadrului normativ aprobat</w:t>
      </w:r>
      <w:r w:rsidRPr="00606103">
        <w:rPr>
          <w:rFonts w:asciiTheme="majorHAnsi" w:hAnsiTheme="majorHAnsi" w:cstheme="majorHAnsi"/>
          <w:sz w:val="24"/>
          <w:szCs w:val="24"/>
          <w:vertAlign w:val="superscript"/>
          <w:lang w:val="ro-MD"/>
        </w:rPr>
        <w:footnoteReference w:id="91"/>
      </w:r>
      <w:r w:rsidR="00E83212"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responsabil de examinarea și confirmarea eligibilității proiectelor, precum și de monitorizarea generală a acestora este Grupul de lucru pentru investiții capitale publice. Examinările auditului au stabilit că grupul de lucru nu a fost instituit nici în anul 2021, fapt constatat și în rapoartele de audit ale C</w:t>
      </w:r>
      <w:r w:rsidR="00FA0623" w:rsidRPr="00606103">
        <w:rPr>
          <w:rFonts w:asciiTheme="majorHAnsi" w:hAnsiTheme="majorHAnsi" w:cstheme="majorHAnsi"/>
          <w:sz w:val="24"/>
          <w:szCs w:val="24"/>
          <w:lang w:val="ro-MD"/>
        </w:rPr>
        <w:t xml:space="preserve">urții de </w:t>
      </w:r>
      <w:r w:rsidRPr="00606103">
        <w:rPr>
          <w:rFonts w:asciiTheme="majorHAnsi" w:hAnsiTheme="majorHAnsi" w:cstheme="majorHAnsi"/>
          <w:sz w:val="24"/>
          <w:szCs w:val="24"/>
          <w:lang w:val="ro-MD"/>
        </w:rPr>
        <w:t>C</w:t>
      </w:r>
      <w:r w:rsidR="00FA0623" w:rsidRPr="00606103">
        <w:rPr>
          <w:rFonts w:asciiTheme="majorHAnsi" w:hAnsiTheme="majorHAnsi" w:cstheme="majorHAnsi"/>
          <w:sz w:val="24"/>
          <w:szCs w:val="24"/>
          <w:lang w:val="ro-MD"/>
        </w:rPr>
        <w:t>onturi</w:t>
      </w:r>
      <w:r w:rsidRPr="00606103">
        <w:rPr>
          <w:rFonts w:asciiTheme="majorHAnsi" w:hAnsiTheme="majorHAnsi" w:cstheme="majorHAnsi"/>
          <w:sz w:val="24"/>
          <w:szCs w:val="24"/>
          <w:lang w:val="ro-MD"/>
        </w:rPr>
        <w:t xml:space="preserve"> privind executarea BS pentru anii 2015-2020. Astfel, contrar prevederilor normative</w:t>
      </w:r>
      <w:r w:rsidRPr="00606103">
        <w:rPr>
          <w:rFonts w:asciiTheme="majorHAnsi" w:hAnsiTheme="majorHAnsi" w:cstheme="majorHAnsi"/>
          <w:sz w:val="24"/>
          <w:szCs w:val="24"/>
          <w:vertAlign w:val="superscript"/>
          <w:lang w:val="ro-MD"/>
        </w:rPr>
        <w:footnoteReference w:id="92"/>
      </w:r>
      <w:r w:rsidRPr="00606103">
        <w:rPr>
          <w:rFonts w:asciiTheme="majorHAnsi" w:hAnsiTheme="majorHAnsi" w:cstheme="majorHAnsi"/>
          <w:sz w:val="24"/>
          <w:szCs w:val="24"/>
          <w:lang w:val="ro-MD"/>
        </w:rPr>
        <w:t>, decizia privind proiectele de investiții capitale care urmau a fi incluse în proiectul bugetului de stat pentru anul 2021 a fost luată de către MF. Totodată, auditul relevă că, deși Grupul de lucru este condus de MF, care asigură secretariatul și aranjamentele logistice în activitatea acestuia</w:t>
      </w:r>
      <w:r w:rsidRPr="00606103">
        <w:rPr>
          <w:rFonts w:asciiTheme="majorHAnsi" w:hAnsiTheme="majorHAnsi" w:cstheme="majorHAnsi"/>
          <w:sz w:val="24"/>
          <w:szCs w:val="24"/>
          <w:vertAlign w:val="superscript"/>
          <w:lang w:val="ro-MD"/>
        </w:rPr>
        <w:footnoteReference w:id="93"/>
      </w:r>
      <w:r w:rsidRPr="00606103">
        <w:rPr>
          <w:rFonts w:asciiTheme="majorHAnsi" w:hAnsiTheme="majorHAnsi" w:cstheme="majorHAnsi"/>
          <w:sz w:val="24"/>
          <w:szCs w:val="24"/>
          <w:lang w:val="ro-MD"/>
        </w:rPr>
        <w:t xml:space="preserve">, MF nu prezintă interes sau eforturi </w:t>
      </w:r>
      <w:r w:rsidR="00686511" w:rsidRPr="00606103">
        <w:rPr>
          <w:rFonts w:asciiTheme="majorHAnsi" w:hAnsiTheme="majorHAnsi" w:cstheme="majorHAnsi"/>
          <w:sz w:val="24"/>
          <w:szCs w:val="24"/>
          <w:lang w:val="ro-MD"/>
        </w:rPr>
        <w:t>pe</w:t>
      </w:r>
      <w:r w:rsidRPr="00606103">
        <w:rPr>
          <w:rFonts w:asciiTheme="majorHAnsi" w:hAnsiTheme="majorHAnsi" w:cstheme="majorHAnsi"/>
          <w:sz w:val="24"/>
          <w:szCs w:val="24"/>
          <w:lang w:val="ro-MD"/>
        </w:rPr>
        <w:t>ntru asigurarea funcționalității acestuia.</w:t>
      </w:r>
    </w:p>
    <w:p w:rsidR="00866CC7" w:rsidRPr="00606103" w:rsidRDefault="000E0C22">
      <w:pPr>
        <w:spacing w:line="276" w:lineRule="auto"/>
        <w:rPr>
          <w:rFonts w:asciiTheme="majorHAnsi" w:hAnsiTheme="majorHAnsi" w:cstheme="majorHAnsi"/>
          <w:noProof/>
          <w:sz w:val="24"/>
          <w:szCs w:val="24"/>
          <w:lang w:val="ro-MD"/>
        </w:rPr>
      </w:pPr>
      <w:r w:rsidRPr="00606103">
        <w:rPr>
          <w:rFonts w:asciiTheme="majorHAnsi" w:hAnsiTheme="majorHAnsi" w:cstheme="majorHAnsi"/>
          <w:sz w:val="24"/>
          <w:szCs w:val="24"/>
          <w:lang w:val="ro-MD"/>
        </w:rPr>
        <w:t xml:space="preserve">Auditul atestă că ponderea cheltuielilor executate pentru investiții capitale în totalul cheltuielilor BS este de doar 3,1%. Nivelul nesatisfăcător de executare a investițiilor capitale este influențat de capacitățile reduse ale APC privind planificarea și valorificarea alocațiilor, în cadrul acestora nu există subdiviziuni structurale care ar gestiona proiectele de investiții capitale publice, nu se creează și nu se dezvoltă capacitățile APC în acest </w:t>
      </w:r>
      <w:r w:rsidRPr="005D7D4D">
        <w:rPr>
          <w:rFonts w:asciiTheme="majorHAnsi" w:hAnsiTheme="majorHAnsi" w:cstheme="majorHAnsi"/>
          <w:sz w:val="24"/>
          <w:szCs w:val="24"/>
          <w:lang w:val="ro-MD"/>
        </w:rPr>
        <w:t xml:space="preserve">domeniu, ceea ce diminuează </w:t>
      </w:r>
      <w:r w:rsidR="00686511" w:rsidRPr="005D7D4D">
        <w:rPr>
          <w:rFonts w:asciiTheme="majorHAnsi" w:hAnsiTheme="majorHAnsi" w:cstheme="majorHAnsi"/>
          <w:sz w:val="24"/>
          <w:szCs w:val="24"/>
          <w:lang w:val="ro-MD"/>
        </w:rPr>
        <w:t xml:space="preserve">considerabil </w:t>
      </w:r>
      <w:r w:rsidRPr="005D7D4D">
        <w:rPr>
          <w:rFonts w:asciiTheme="majorHAnsi" w:hAnsiTheme="majorHAnsi" w:cstheme="majorHAnsi"/>
          <w:sz w:val="24"/>
          <w:szCs w:val="24"/>
          <w:lang w:val="ro-MD"/>
        </w:rPr>
        <w:t>calitatea planificării și valorificării alocațiilor prevăzute pentru investiții capitale. În acest cont</w:t>
      </w:r>
      <w:r w:rsidR="00FA252E" w:rsidRPr="005D7D4D">
        <w:rPr>
          <w:rFonts w:asciiTheme="majorHAnsi" w:hAnsiTheme="majorHAnsi" w:cstheme="majorHAnsi"/>
          <w:sz w:val="24"/>
          <w:szCs w:val="24"/>
          <w:lang w:val="ro-MD"/>
        </w:rPr>
        <w:t xml:space="preserve">ext, auditul consideră necesar </w:t>
      </w:r>
      <w:r w:rsidR="00866CC7" w:rsidRPr="005D7D4D">
        <w:rPr>
          <w:rFonts w:asciiTheme="majorHAnsi" w:hAnsiTheme="majorHAnsi" w:cstheme="majorHAnsi"/>
          <w:sz w:val="24"/>
          <w:szCs w:val="24"/>
          <w:lang w:val="ro-MD"/>
        </w:rPr>
        <w:t xml:space="preserve">examinarea oportunităților/posibilităților de dezvoltare a capacităților APC, </w:t>
      </w:r>
      <w:r w:rsidR="00866CC7" w:rsidRPr="005D7D4D">
        <w:rPr>
          <w:rFonts w:asciiTheme="majorHAnsi" w:hAnsiTheme="majorHAnsi" w:cstheme="majorHAnsi"/>
          <w:noProof/>
          <w:sz w:val="24"/>
          <w:szCs w:val="24"/>
          <w:lang w:val="ro-MD"/>
        </w:rPr>
        <w:t xml:space="preserve">ce țin de </w:t>
      </w:r>
      <w:r w:rsidR="00866CC7" w:rsidRPr="005D7D4D">
        <w:rPr>
          <w:rFonts w:asciiTheme="majorHAnsi" w:hAnsiTheme="majorHAnsi" w:cstheme="majorHAnsi"/>
          <w:sz w:val="24"/>
          <w:szCs w:val="24"/>
          <w:lang w:val="ro-MD"/>
        </w:rPr>
        <w:t>procesele de elaborare, gestionare și raportare a proiectelor investiționale</w:t>
      </w:r>
      <w:r w:rsidR="00FA252E" w:rsidRPr="005D7D4D">
        <w:rPr>
          <w:rFonts w:asciiTheme="majorHAnsi" w:hAnsiTheme="majorHAnsi" w:cstheme="majorHAnsi"/>
          <w:sz w:val="24"/>
          <w:szCs w:val="24"/>
          <w:lang w:val="ro-MD"/>
        </w:rPr>
        <w:t>.</w:t>
      </w:r>
    </w:p>
    <w:p w:rsidR="000E0C22" w:rsidRPr="00606103" w:rsidRDefault="000E0C22">
      <w:pPr>
        <w:pStyle w:val="Heading2"/>
        <w:spacing w:line="276" w:lineRule="auto"/>
        <w:rPr>
          <w:rFonts w:cstheme="majorHAnsi"/>
          <w:b/>
          <w:color w:val="auto"/>
          <w:sz w:val="24"/>
          <w:szCs w:val="24"/>
          <w:lang w:val="ro-MD"/>
        </w:rPr>
      </w:pPr>
      <w:r w:rsidRPr="00606103">
        <w:rPr>
          <w:rFonts w:cstheme="majorHAnsi"/>
          <w:b/>
          <w:color w:val="auto"/>
          <w:sz w:val="24"/>
          <w:szCs w:val="24"/>
          <w:lang w:val="ro-MD"/>
        </w:rPr>
        <w:lastRenderedPageBreak/>
        <w:t>5.</w:t>
      </w:r>
      <w:r w:rsidR="00AF163C" w:rsidRPr="00606103">
        <w:rPr>
          <w:rFonts w:cstheme="majorHAnsi"/>
          <w:b/>
          <w:color w:val="auto"/>
          <w:sz w:val="24"/>
          <w:szCs w:val="24"/>
          <w:lang w:val="ro-MD"/>
        </w:rPr>
        <w:t>9</w:t>
      </w:r>
      <w:r w:rsidRPr="00606103">
        <w:rPr>
          <w:rFonts w:cstheme="majorHAnsi"/>
          <w:b/>
          <w:color w:val="auto"/>
          <w:sz w:val="24"/>
          <w:szCs w:val="24"/>
          <w:lang w:val="ro-MD"/>
        </w:rPr>
        <w:t xml:space="preserve">. Soldul creanțelor și </w:t>
      </w:r>
      <w:r w:rsidR="00686511" w:rsidRPr="00606103">
        <w:rPr>
          <w:rFonts w:cstheme="majorHAnsi"/>
          <w:b/>
          <w:color w:val="auto"/>
          <w:sz w:val="24"/>
          <w:szCs w:val="24"/>
          <w:lang w:val="ro-MD"/>
        </w:rPr>
        <w:t xml:space="preserve">cel </w:t>
      </w:r>
      <w:r w:rsidRPr="00606103">
        <w:rPr>
          <w:rFonts w:cstheme="majorHAnsi"/>
          <w:b/>
          <w:color w:val="auto"/>
          <w:sz w:val="24"/>
          <w:szCs w:val="24"/>
          <w:lang w:val="ro-MD"/>
        </w:rPr>
        <w:t>al datoriilor sunt în creștere.</w:t>
      </w:r>
    </w:p>
    <w:p w:rsidR="000E0C22" w:rsidRPr="00606103" w:rsidRDefault="00686511">
      <w:pPr>
        <w:spacing w:line="276" w:lineRule="auto"/>
        <w:rPr>
          <w:rFonts w:asciiTheme="majorHAnsi" w:hAnsiTheme="majorHAnsi" w:cstheme="majorHAnsi"/>
          <w:sz w:val="24"/>
          <w:szCs w:val="24"/>
          <w:lang w:val="ro-MD"/>
        </w:rPr>
      </w:pPr>
      <w:bookmarkStart w:id="2" w:name="_Toc10126088"/>
      <w:r w:rsidRPr="00606103">
        <w:rPr>
          <w:rFonts w:asciiTheme="majorHAnsi" w:hAnsiTheme="majorHAnsi" w:cstheme="majorHAnsi"/>
          <w:sz w:val="24"/>
          <w:szCs w:val="24"/>
          <w:lang w:val="ro-MD"/>
        </w:rPr>
        <w:t>Pe</w:t>
      </w:r>
      <w:r w:rsidR="000E0C22" w:rsidRPr="00606103">
        <w:rPr>
          <w:rFonts w:asciiTheme="majorHAnsi" w:hAnsiTheme="majorHAnsi" w:cstheme="majorHAnsi"/>
          <w:sz w:val="24"/>
          <w:szCs w:val="24"/>
          <w:lang w:val="ro-MD"/>
        </w:rPr>
        <w:t>ntru implementarea recomandării Curții de Conturi, de către MF</w:t>
      </w:r>
      <w:r w:rsidR="000E0C22" w:rsidRPr="00606103">
        <w:rPr>
          <w:rFonts w:asciiTheme="majorHAnsi" w:hAnsiTheme="majorHAnsi" w:cstheme="majorHAnsi"/>
          <w:sz w:val="24"/>
          <w:szCs w:val="24"/>
          <w:vertAlign w:val="superscript"/>
          <w:lang w:val="ro-MD"/>
        </w:rPr>
        <w:footnoteReference w:id="94"/>
      </w:r>
      <w:r w:rsidR="000E0C22" w:rsidRPr="00606103">
        <w:rPr>
          <w:rFonts w:asciiTheme="majorHAnsi" w:hAnsiTheme="majorHAnsi" w:cstheme="majorHAnsi"/>
          <w:sz w:val="24"/>
          <w:szCs w:val="24"/>
          <w:lang w:val="ro-MD"/>
        </w:rPr>
        <w:t xml:space="preserve"> a fost modificat/completat Formularul nr. 9, anexă la Raportul Guvernului privind executarea bugetului de stat pentru anul 2021, fiind inițiată procedura de reflectare/raportate la partea de venituri a creanțelor și datoriilor. Astfel, la partea de venituri au fost raportate</w:t>
      </w:r>
      <w:r w:rsidR="005507CD">
        <w:rPr>
          <w:rFonts w:asciiTheme="majorHAnsi" w:hAnsiTheme="majorHAnsi" w:cstheme="majorHAnsi"/>
          <w:sz w:val="24"/>
          <w:szCs w:val="24"/>
          <w:lang w:val="ro-MD"/>
        </w:rPr>
        <w:t xml:space="preserve"> creanțe în sumă totală de 100,8</w:t>
      </w:r>
      <w:r w:rsidR="000E0C22" w:rsidRPr="00606103">
        <w:rPr>
          <w:rFonts w:asciiTheme="majorHAnsi" w:hAnsiTheme="majorHAnsi" w:cstheme="majorHAnsi"/>
          <w:sz w:val="24"/>
          <w:szCs w:val="24"/>
          <w:lang w:val="ro-MD"/>
        </w:rPr>
        <w:t xml:space="preserve"> mil. lei, inclusiv cu termen expirat </w:t>
      </w:r>
      <w:r w:rsidRPr="00606103">
        <w:rPr>
          <w:rFonts w:asciiTheme="majorHAnsi" w:hAnsiTheme="majorHAnsi" w:cstheme="majorHAnsi"/>
          <w:sz w:val="24"/>
          <w:szCs w:val="24"/>
          <w:lang w:val="ro-MD"/>
        </w:rPr>
        <w:t xml:space="preserve">– </w:t>
      </w:r>
      <w:r w:rsidR="005507CD">
        <w:rPr>
          <w:rFonts w:asciiTheme="majorHAnsi" w:hAnsiTheme="majorHAnsi" w:cstheme="majorHAnsi"/>
          <w:sz w:val="24"/>
          <w:szCs w:val="24"/>
          <w:lang w:val="ro-MD"/>
        </w:rPr>
        <w:t xml:space="preserve">16,9 </w:t>
      </w:r>
      <w:r w:rsidR="000E0C22" w:rsidRPr="00606103">
        <w:rPr>
          <w:rFonts w:asciiTheme="majorHAnsi" w:hAnsiTheme="majorHAnsi" w:cstheme="majorHAnsi"/>
          <w:sz w:val="24"/>
          <w:szCs w:val="24"/>
          <w:lang w:val="ro-MD"/>
        </w:rPr>
        <w:t>mil. lei</w:t>
      </w:r>
      <w:r w:rsidRPr="00606103">
        <w:rPr>
          <w:rFonts w:asciiTheme="majorHAnsi" w:hAnsiTheme="majorHAnsi" w:cstheme="majorHAnsi"/>
          <w:sz w:val="24"/>
          <w:szCs w:val="24"/>
          <w:lang w:val="ro-MD"/>
        </w:rPr>
        <w:t>,</w:t>
      </w:r>
      <w:r w:rsidR="000E0C22" w:rsidRPr="00606103">
        <w:rPr>
          <w:rFonts w:asciiTheme="majorHAnsi" w:hAnsiTheme="majorHAnsi" w:cstheme="majorHAnsi"/>
          <w:sz w:val="24"/>
          <w:szCs w:val="24"/>
          <w:lang w:val="ro-MD"/>
        </w:rPr>
        <w:t xml:space="preserve"> și datorii – </w:t>
      </w:r>
      <w:r w:rsidRPr="00606103">
        <w:rPr>
          <w:rFonts w:asciiTheme="majorHAnsi" w:hAnsiTheme="majorHAnsi" w:cstheme="majorHAnsi"/>
          <w:sz w:val="24"/>
          <w:szCs w:val="24"/>
          <w:lang w:val="ro-MD"/>
        </w:rPr>
        <w:t xml:space="preserve">de </w:t>
      </w:r>
      <w:r w:rsidR="005507CD">
        <w:rPr>
          <w:rFonts w:asciiTheme="majorHAnsi" w:hAnsiTheme="majorHAnsi" w:cstheme="majorHAnsi"/>
          <w:sz w:val="24"/>
          <w:szCs w:val="24"/>
          <w:lang w:val="ro-MD"/>
        </w:rPr>
        <w:t>52,8</w:t>
      </w:r>
      <w:r w:rsidR="000E0C22" w:rsidRPr="00606103">
        <w:rPr>
          <w:rFonts w:asciiTheme="majorHAnsi" w:hAnsiTheme="majorHAnsi" w:cstheme="majorHAnsi"/>
          <w:sz w:val="24"/>
          <w:szCs w:val="24"/>
          <w:lang w:val="ro-MD"/>
        </w:rPr>
        <w:t xml:space="preserve"> mil. lei, inclusiv cu termen de achitare expirat – 1,2 mil. lei. Din totalul creanțelor la venituri</w:t>
      </w:r>
      <w:r w:rsidRPr="00606103">
        <w:rPr>
          <w:rFonts w:asciiTheme="majorHAnsi" w:hAnsiTheme="majorHAnsi" w:cstheme="majorHAnsi"/>
          <w:sz w:val="24"/>
          <w:szCs w:val="24"/>
          <w:lang w:val="ro-MD"/>
        </w:rPr>
        <w:t>,</w:t>
      </w:r>
      <w:r w:rsidR="000E0C22" w:rsidRPr="00606103">
        <w:rPr>
          <w:rFonts w:asciiTheme="majorHAnsi" w:hAnsiTheme="majorHAnsi" w:cstheme="majorHAnsi"/>
          <w:sz w:val="24"/>
          <w:szCs w:val="24"/>
          <w:lang w:val="ro-MD"/>
        </w:rPr>
        <w:t xml:space="preserve"> cele mai semnificative au fost înregistrate la: (i) prestarea serviciilor cu plată în sumă de 53,6 mil. lei, din care 2,1 mil. lei cu termen expirat; (ii) </w:t>
      </w:r>
      <w:r w:rsidR="00D94F53" w:rsidRPr="00606103">
        <w:rPr>
          <w:rFonts w:asciiTheme="majorHAnsi" w:hAnsiTheme="majorHAnsi" w:cstheme="majorHAnsi"/>
          <w:sz w:val="24"/>
          <w:szCs w:val="24"/>
          <w:lang w:val="ro-MD"/>
        </w:rPr>
        <w:t xml:space="preserve">la </w:t>
      </w:r>
      <w:r w:rsidR="000E0C22" w:rsidRPr="00606103">
        <w:rPr>
          <w:rFonts w:asciiTheme="majorHAnsi" w:hAnsiTheme="majorHAnsi" w:cstheme="majorHAnsi"/>
          <w:sz w:val="24"/>
          <w:szCs w:val="24"/>
          <w:lang w:val="ro-MD"/>
        </w:rPr>
        <w:t xml:space="preserve">plata pentru locațiunea bunurilor patrimoniului public au fost raportate creanțe în sumă de </w:t>
      </w:r>
      <w:r w:rsidR="00086781" w:rsidRPr="00606103">
        <w:rPr>
          <w:rFonts w:asciiTheme="majorHAnsi" w:hAnsiTheme="majorHAnsi" w:cstheme="majorHAnsi"/>
          <w:sz w:val="24"/>
          <w:szCs w:val="24"/>
          <w:lang w:val="ro-MD"/>
        </w:rPr>
        <w:t>34,0 mil. lei, din care 17,9</w:t>
      </w:r>
      <w:r w:rsidR="000E0C22" w:rsidRPr="00606103">
        <w:rPr>
          <w:rFonts w:asciiTheme="majorHAnsi" w:hAnsiTheme="majorHAnsi" w:cstheme="majorHAnsi"/>
          <w:sz w:val="24"/>
          <w:szCs w:val="24"/>
          <w:lang w:val="ro-MD"/>
        </w:rPr>
        <w:t xml:space="preserve"> mil. lei cu termen expirat. Cele mai mari creanțe au fost înregistrate de către CS – 18,0 mil. lei (14,2 mil. lei cu termen expirat), MIDR – 17,2 mil. lei, MAIA – 15,0 mil. lei, MM – 11,1 mil. lei, AGEPI – 9,9 mil. lei, MJ </w:t>
      </w:r>
      <w:r w:rsidRPr="00606103">
        <w:rPr>
          <w:rFonts w:asciiTheme="majorHAnsi" w:hAnsiTheme="majorHAnsi" w:cstheme="majorHAnsi"/>
          <w:sz w:val="24"/>
          <w:szCs w:val="24"/>
          <w:lang w:val="ro-MD"/>
        </w:rPr>
        <w:t>–</w:t>
      </w:r>
      <w:r w:rsidR="000E0C22" w:rsidRPr="00606103">
        <w:rPr>
          <w:rFonts w:asciiTheme="majorHAnsi" w:hAnsiTheme="majorHAnsi" w:cstheme="majorHAnsi"/>
          <w:sz w:val="24"/>
          <w:szCs w:val="24"/>
          <w:lang w:val="ro-MD"/>
        </w:rPr>
        <w:t xml:space="preserve"> 6,9 mil. lei (1,9 mil. lei cu termen expirat). Auditul atenționează </w:t>
      </w:r>
      <w:r w:rsidR="00D94F53" w:rsidRPr="00606103">
        <w:rPr>
          <w:rFonts w:asciiTheme="majorHAnsi" w:hAnsiTheme="majorHAnsi" w:cstheme="majorHAnsi"/>
          <w:sz w:val="24"/>
          <w:szCs w:val="24"/>
          <w:lang w:val="ro-MD"/>
        </w:rPr>
        <w:t xml:space="preserve">asupra </w:t>
      </w:r>
      <w:r w:rsidR="000E0C22" w:rsidRPr="00606103">
        <w:rPr>
          <w:rFonts w:asciiTheme="majorHAnsi" w:hAnsiTheme="majorHAnsi" w:cstheme="majorHAnsi"/>
          <w:sz w:val="24"/>
          <w:szCs w:val="24"/>
          <w:lang w:val="ro-MD"/>
        </w:rPr>
        <w:t>prezenț</w:t>
      </w:r>
      <w:r w:rsidR="00D94F53" w:rsidRPr="00606103">
        <w:rPr>
          <w:rFonts w:asciiTheme="majorHAnsi" w:hAnsiTheme="majorHAnsi" w:cstheme="majorHAnsi"/>
          <w:sz w:val="24"/>
          <w:szCs w:val="24"/>
          <w:lang w:val="ro-MD"/>
        </w:rPr>
        <w:t>ei</w:t>
      </w:r>
      <w:r w:rsidR="000E0C22" w:rsidRPr="00606103">
        <w:rPr>
          <w:rFonts w:asciiTheme="majorHAnsi" w:hAnsiTheme="majorHAnsi" w:cstheme="majorHAnsi"/>
          <w:sz w:val="24"/>
          <w:szCs w:val="24"/>
          <w:lang w:val="ro-MD"/>
        </w:rPr>
        <w:t xml:space="preserve"> continu</w:t>
      </w:r>
      <w:r w:rsidR="00D94F53" w:rsidRPr="00606103">
        <w:rPr>
          <w:rFonts w:asciiTheme="majorHAnsi" w:hAnsiTheme="majorHAnsi" w:cstheme="majorHAnsi"/>
          <w:sz w:val="24"/>
          <w:szCs w:val="24"/>
          <w:lang w:val="ro-MD"/>
        </w:rPr>
        <w:t>e</w:t>
      </w:r>
      <w:r w:rsidR="000E0C22" w:rsidRPr="00606103">
        <w:rPr>
          <w:rFonts w:asciiTheme="majorHAnsi" w:hAnsiTheme="majorHAnsi" w:cstheme="majorHAnsi"/>
          <w:sz w:val="24"/>
          <w:szCs w:val="24"/>
          <w:lang w:val="ro-MD"/>
        </w:rPr>
        <w:t xml:space="preserve"> a riscului major de nerecuperare a acestora în condițiile în care MF, autoritățile/ instituțiile bugetare nu au stabilit activități de control intern privind monitorizarea stingerii în termen a acestora, admițând expirarea </w:t>
      </w:r>
      <w:r w:rsidRPr="00606103">
        <w:rPr>
          <w:rFonts w:asciiTheme="majorHAnsi" w:hAnsiTheme="majorHAnsi" w:cstheme="majorHAnsi"/>
          <w:sz w:val="24"/>
          <w:szCs w:val="24"/>
          <w:lang w:val="ro-MD"/>
        </w:rPr>
        <w:t>lor</w:t>
      </w:r>
      <w:r w:rsidR="000E0C22" w:rsidRPr="00606103">
        <w:rPr>
          <w:rFonts w:asciiTheme="majorHAnsi" w:hAnsiTheme="majorHAnsi" w:cstheme="majorHAnsi"/>
          <w:sz w:val="24"/>
          <w:szCs w:val="24"/>
          <w:lang w:val="ro-MD"/>
        </w:rPr>
        <w:t>.</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Totodată, la partea de cheltuieli și active nefinanciare</w:t>
      </w:r>
      <w:r w:rsidR="00686511"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soldul</w:t>
      </w:r>
      <w:r w:rsidR="005507CD">
        <w:rPr>
          <w:rFonts w:asciiTheme="majorHAnsi" w:hAnsiTheme="majorHAnsi" w:cstheme="majorHAnsi"/>
          <w:sz w:val="24"/>
          <w:szCs w:val="24"/>
          <w:lang w:val="ro-MD"/>
        </w:rPr>
        <w:t xml:space="preserve"> creanțelor a constituit 1 294,3</w:t>
      </w:r>
      <w:r w:rsidRPr="00606103">
        <w:rPr>
          <w:rFonts w:asciiTheme="majorHAnsi" w:hAnsiTheme="majorHAnsi" w:cstheme="majorHAnsi"/>
          <w:sz w:val="24"/>
          <w:szCs w:val="24"/>
          <w:lang w:val="ro-MD"/>
        </w:rPr>
        <w:t xml:space="preserve"> mil. lei, cu o creștere de 9,0 mil. lei, inclusiv cu termen expirat – 45,9 mil. lei, cu o creștere de 42,6 mil. lei, sau de 14 ori </w:t>
      </w:r>
      <w:r w:rsidR="00B04265" w:rsidRPr="00606103">
        <w:rPr>
          <w:rFonts w:asciiTheme="majorHAnsi" w:hAnsiTheme="majorHAnsi" w:cstheme="majorHAnsi"/>
          <w:sz w:val="24"/>
          <w:szCs w:val="24"/>
          <w:lang w:val="ro-MD"/>
        </w:rPr>
        <w:t xml:space="preserve">mai mult </w:t>
      </w:r>
      <w:r w:rsidRPr="00606103">
        <w:rPr>
          <w:rFonts w:asciiTheme="majorHAnsi" w:hAnsiTheme="majorHAnsi" w:cstheme="majorHAnsi"/>
          <w:sz w:val="24"/>
          <w:szCs w:val="24"/>
          <w:lang w:val="ro-MD"/>
        </w:rPr>
        <w:t xml:space="preserve">față de anul precedent. Cele mai semnificative creanțe </w:t>
      </w:r>
      <w:r w:rsidR="00686511" w:rsidRPr="00606103">
        <w:rPr>
          <w:rFonts w:asciiTheme="majorHAnsi" w:hAnsiTheme="majorHAnsi" w:cstheme="majorHAnsi"/>
          <w:sz w:val="24"/>
          <w:szCs w:val="24"/>
          <w:lang w:val="ro-MD"/>
        </w:rPr>
        <w:t>au fost</w:t>
      </w:r>
      <w:r w:rsidRPr="00606103">
        <w:rPr>
          <w:rFonts w:asciiTheme="majorHAnsi" w:hAnsiTheme="majorHAnsi" w:cstheme="majorHAnsi"/>
          <w:sz w:val="24"/>
          <w:szCs w:val="24"/>
          <w:lang w:val="ro-MD"/>
        </w:rPr>
        <w:t xml:space="preserve"> înregistrate la MIDR – 875,0 mil. lei, MEC – 159,4 mil. lei, MA </w:t>
      </w:r>
      <w:r w:rsidR="00686511"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66,9 mil. lei</w:t>
      </w:r>
      <w:r w:rsidR="00686511"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și MM – 39,9 mil. lei. Totodată, din analiza creanțelor în aspectul clasificației economice, </w:t>
      </w:r>
      <w:r w:rsidR="00686511" w:rsidRPr="00606103">
        <w:rPr>
          <w:rFonts w:asciiTheme="majorHAnsi" w:hAnsiTheme="majorHAnsi" w:cstheme="majorHAnsi"/>
          <w:sz w:val="24"/>
          <w:szCs w:val="24"/>
          <w:lang w:val="ro-MD"/>
        </w:rPr>
        <w:t xml:space="preserve">se </w:t>
      </w:r>
      <w:r w:rsidRPr="00606103">
        <w:rPr>
          <w:rFonts w:asciiTheme="majorHAnsi" w:hAnsiTheme="majorHAnsi" w:cstheme="majorHAnsi"/>
          <w:sz w:val="24"/>
          <w:szCs w:val="24"/>
          <w:lang w:val="ro-MD"/>
        </w:rPr>
        <w:t>relevă că o pondere semnificativă în totalul creanțelor s-a înregistrat la mijloace</w:t>
      </w:r>
      <w:r w:rsidR="00686511" w:rsidRPr="00606103">
        <w:rPr>
          <w:rFonts w:asciiTheme="majorHAnsi" w:hAnsiTheme="majorHAnsi" w:cstheme="majorHAnsi"/>
          <w:sz w:val="24"/>
          <w:szCs w:val="24"/>
          <w:lang w:val="ro-MD"/>
        </w:rPr>
        <w:t>le</w:t>
      </w:r>
      <w:r w:rsidRPr="00606103">
        <w:rPr>
          <w:rFonts w:asciiTheme="majorHAnsi" w:hAnsiTheme="majorHAnsi" w:cstheme="majorHAnsi"/>
          <w:sz w:val="24"/>
          <w:szCs w:val="24"/>
          <w:lang w:val="ro-MD"/>
        </w:rPr>
        <w:t xml:space="preserve"> fixe – 944,9 mil. lei (7,2 mil. lei cu termen expirat), subvenții </w:t>
      </w:r>
      <w:r w:rsidR="00686511"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99,1 mil</w:t>
      </w:r>
      <w:r w:rsidR="00686511"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lei, granturi acordate </w:t>
      </w:r>
      <w:r w:rsidR="00686511"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75,8 mil. lei (3,7 mil. lei cu termen expirat), bunuri și servicii – 72,3 mil. lei, </w:t>
      </w:r>
      <w:r w:rsidRPr="005D7D4D">
        <w:rPr>
          <w:rFonts w:asciiTheme="majorHAnsi" w:hAnsiTheme="majorHAnsi" w:cstheme="majorHAnsi"/>
          <w:sz w:val="24"/>
          <w:szCs w:val="24"/>
          <w:lang w:val="ro-MD"/>
        </w:rPr>
        <w:t xml:space="preserve">stocuri de materiale circulante </w:t>
      </w:r>
      <w:r w:rsidR="00686511" w:rsidRPr="005D7D4D">
        <w:rPr>
          <w:rFonts w:asciiTheme="majorHAnsi" w:hAnsiTheme="majorHAnsi" w:cstheme="majorHAnsi"/>
          <w:sz w:val="24"/>
          <w:szCs w:val="24"/>
          <w:lang w:val="ro-MD"/>
        </w:rPr>
        <w:t>–</w:t>
      </w:r>
      <w:r w:rsidRPr="005D7D4D">
        <w:rPr>
          <w:rFonts w:asciiTheme="majorHAnsi" w:hAnsiTheme="majorHAnsi" w:cstheme="majorHAnsi"/>
          <w:sz w:val="24"/>
          <w:szCs w:val="24"/>
          <w:lang w:val="ro-MD"/>
        </w:rPr>
        <w:t xml:space="preserve"> 48,0 mil. lei, alte cheltuieli – 44,7 mil. lei (34,9 mil. lei cu termen expirat). </w:t>
      </w:r>
      <w:r w:rsidR="003725E7" w:rsidRPr="005D7D4D">
        <w:rPr>
          <w:rFonts w:asciiTheme="majorHAnsi" w:hAnsiTheme="majorHAnsi" w:cstheme="majorHAnsi"/>
          <w:i/>
          <w:sz w:val="24"/>
          <w:szCs w:val="24"/>
          <w:lang w:val="ro-MD"/>
        </w:rPr>
        <w:t>Informați</w:t>
      </w:r>
      <w:r w:rsidR="00686511" w:rsidRPr="005D7D4D">
        <w:rPr>
          <w:rFonts w:asciiTheme="majorHAnsi" w:hAnsiTheme="majorHAnsi" w:cstheme="majorHAnsi"/>
          <w:i/>
          <w:sz w:val="24"/>
          <w:szCs w:val="24"/>
          <w:lang w:val="ro-MD"/>
        </w:rPr>
        <w:t>ile</w:t>
      </w:r>
      <w:r w:rsidR="003725E7" w:rsidRPr="005D7D4D">
        <w:rPr>
          <w:rFonts w:asciiTheme="majorHAnsi" w:hAnsiTheme="majorHAnsi" w:cstheme="majorHAnsi"/>
          <w:i/>
          <w:sz w:val="24"/>
          <w:szCs w:val="24"/>
          <w:lang w:val="ro-MD"/>
        </w:rPr>
        <w:t xml:space="preserve"> privind creanțele și datoriile la venituri, cheltuieli și active nefinanciare conform clasificației economice pe anul 2021 se prezintă în Anexa nr.10 la prezentul Raport de audit.</w:t>
      </w:r>
    </w:p>
    <w:p w:rsidR="000E0C22" w:rsidRPr="00606103" w:rsidRDefault="000E0C22">
      <w:pPr>
        <w:spacing w:line="276" w:lineRule="auto"/>
        <w:rPr>
          <w:rFonts w:asciiTheme="majorHAnsi" w:eastAsia="Times New Roman" w:hAnsiTheme="majorHAnsi" w:cstheme="majorHAnsi"/>
          <w:bCs/>
          <w:sz w:val="24"/>
          <w:szCs w:val="24"/>
          <w:lang w:val="ro-MD"/>
        </w:rPr>
      </w:pPr>
      <w:r w:rsidRPr="00606103">
        <w:rPr>
          <w:rFonts w:asciiTheme="majorHAnsi" w:hAnsiTheme="majorHAnsi" w:cstheme="majorHAnsi"/>
          <w:sz w:val="24"/>
          <w:szCs w:val="24"/>
          <w:lang w:val="ro-MD"/>
        </w:rPr>
        <w:t>Se atestă o creștere continuă a creanțelor la cheltuieli</w:t>
      </w:r>
      <w:r w:rsidR="00686511" w:rsidRPr="00606103">
        <w:rPr>
          <w:rFonts w:asciiTheme="majorHAnsi" w:hAnsiTheme="majorHAnsi" w:cstheme="majorHAnsi"/>
          <w:sz w:val="24"/>
          <w:szCs w:val="24"/>
          <w:lang w:val="ro-MD"/>
        </w:rPr>
        <w:t>le</w:t>
      </w:r>
      <w:r w:rsidRPr="00606103">
        <w:rPr>
          <w:rFonts w:asciiTheme="majorHAnsi" w:hAnsiTheme="majorHAnsi" w:cstheme="majorHAnsi"/>
          <w:sz w:val="24"/>
          <w:szCs w:val="24"/>
          <w:lang w:val="ro-MD"/>
        </w:rPr>
        <w:t xml:space="preserve"> și active</w:t>
      </w:r>
      <w:r w:rsidR="00686511" w:rsidRPr="00606103">
        <w:rPr>
          <w:rFonts w:asciiTheme="majorHAnsi" w:hAnsiTheme="majorHAnsi" w:cstheme="majorHAnsi"/>
          <w:sz w:val="24"/>
          <w:szCs w:val="24"/>
          <w:lang w:val="ro-MD"/>
        </w:rPr>
        <w:t>le</w:t>
      </w:r>
      <w:r w:rsidRPr="00606103">
        <w:rPr>
          <w:rFonts w:asciiTheme="majorHAnsi" w:hAnsiTheme="majorHAnsi" w:cstheme="majorHAnsi"/>
          <w:sz w:val="24"/>
          <w:szCs w:val="24"/>
          <w:lang w:val="ro-MD"/>
        </w:rPr>
        <w:t xml:space="preserve"> nefinanciare formate de către autoritățile/instituțiile bugetare, prin imobilizarea mijloacelor financiare pe un termen nedeterminat</w:t>
      </w:r>
      <w:r w:rsidR="00E5544E"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w:t>
      </w:r>
      <w:r w:rsidR="00686511" w:rsidRPr="00606103">
        <w:rPr>
          <w:rFonts w:asciiTheme="majorHAnsi" w:hAnsiTheme="majorHAnsi" w:cstheme="majorHAnsi"/>
          <w:sz w:val="24"/>
          <w:szCs w:val="24"/>
          <w:lang w:val="ro-MD"/>
        </w:rPr>
        <w:t xml:space="preserve">ca </w:t>
      </w:r>
      <w:r w:rsidRPr="00606103">
        <w:rPr>
          <w:rFonts w:asciiTheme="majorHAnsi" w:hAnsiTheme="majorHAnsi" w:cstheme="majorHAnsi"/>
          <w:sz w:val="24"/>
          <w:szCs w:val="24"/>
          <w:lang w:val="ro-MD"/>
        </w:rPr>
        <w:t xml:space="preserve">urmare </w:t>
      </w:r>
      <w:r w:rsidR="00686511" w:rsidRPr="00606103">
        <w:rPr>
          <w:rFonts w:asciiTheme="majorHAnsi" w:hAnsiTheme="majorHAnsi" w:cstheme="majorHAnsi"/>
          <w:sz w:val="24"/>
          <w:szCs w:val="24"/>
          <w:lang w:val="ro-MD"/>
        </w:rPr>
        <w:t xml:space="preserve">a </w:t>
      </w:r>
      <w:r w:rsidR="00D20E55" w:rsidRPr="00606103">
        <w:rPr>
          <w:rFonts w:asciiTheme="majorHAnsi" w:eastAsia="Times New Roman" w:hAnsiTheme="majorHAnsi" w:cstheme="majorHAnsi"/>
          <w:bCs/>
          <w:sz w:val="24"/>
          <w:szCs w:val="24"/>
          <w:lang w:val="ro-MD"/>
        </w:rPr>
        <w:t>achitărilor</w:t>
      </w:r>
      <w:r w:rsidRPr="00606103">
        <w:rPr>
          <w:rFonts w:asciiTheme="majorHAnsi" w:eastAsia="Times New Roman" w:hAnsiTheme="majorHAnsi" w:cstheme="majorHAnsi"/>
          <w:bCs/>
          <w:sz w:val="24"/>
          <w:szCs w:val="24"/>
          <w:lang w:val="ro-MD"/>
        </w:rPr>
        <w:t xml:space="preserve"> în avans pentru bunuri și servicii</w:t>
      </w:r>
      <w:r w:rsidR="00686511" w:rsidRPr="00606103">
        <w:rPr>
          <w:rFonts w:asciiTheme="majorHAnsi" w:eastAsia="Times New Roman" w:hAnsiTheme="majorHAnsi" w:cstheme="majorHAnsi"/>
          <w:bCs/>
          <w:sz w:val="24"/>
          <w:szCs w:val="24"/>
          <w:lang w:val="ro-MD"/>
        </w:rPr>
        <w:t>,</w:t>
      </w:r>
      <w:r w:rsidRPr="00606103">
        <w:rPr>
          <w:rFonts w:asciiTheme="majorHAnsi" w:eastAsia="Times New Roman" w:hAnsiTheme="majorHAnsi" w:cstheme="majorHAnsi"/>
          <w:bCs/>
          <w:sz w:val="24"/>
          <w:szCs w:val="24"/>
          <w:lang w:val="ro-MD"/>
        </w:rPr>
        <w:t xml:space="preserve"> </w:t>
      </w:r>
      <w:r w:rsidRPr="00606103">
        <w:rPr>
          <w:rFonts w:asciiTheme="majorHAnsi" w:hAnsiTheme="majorHAnsi" w:cstheme="majorHAnsi"/>
          <w:sz w:val="24"/>
          <w:szCs w:val="24"/>
          <w:lang w:val="ro-MD"/>
        </w:rPr>
        <w:t>deși cadrul legal</w:t>
      </w:r>
      <w:r w:rsidRPr="00606103">
        <w:rPr>
          <w:rFonts w:asciiTheme="majorHAnsi" w:hAnsiTheme="majorHAnsi" w:cstheme="majorHAnsi"/>
          <w:sz w:val="24"/>
          <w:szCs w:val="24"/>
          <w:vertAlign w:val="superscript"/>
          <w:lang w:val="ro-MD"/>
        </w:rPr>
        <w:footnoteReference w:id="95"/>
      </w:r>
      <w:r w:rsidRPr="00606103">
        <w:rPr>
          <w:rFonts w:asciiTheme="majorHAnsi" w:hAnsiTheme="majorHAnsi" w:cstheme="majorHAnsi"/>
          <w:sz w:val="24"/>
          <w:szCs w:val="24"/>
          <w:lang w:val="ro-MD"/>
        </w:rPr>
        <w:t xml:space="preserve"> interzice încheierea contractelor cu efectuarea plăților anticipate (avans), </w:t>
      </w:r>
      <w:r w:rsidRPr="00606103">
        <w:rPr>
          <w:rFonts w:asciiTheme="majorHAnsi" w:eastAsia="Times New Roman" w:hAnsiTheme="majorHAnsi" w:cstheme="majorHAnsi"/>
          <w:bCs/>
          <w:sz w:val="24"/>
          <w:szCs w:val="24"/>
          <w:lang w:val="ro-MD"/>
        </w:rPr>
        <w:t xml:space="preserve">cu excepțiile prevăzute de lege. </w:t>
      </w:r>
    </w:p>
    <w:p w:rsidR="000E0C22" w:rsidRPr="00606103" w:rsidRDefault="00E5544E">
      <w:pPr>
        <w:spacing w:line="276" w:lineRule="auto"/>
        <w:rPr>
          <w:rFonts w:asciiTheme="majorHAnsi" w:eastAsiaTheme="minorEastAsia" w:hAnsiTheme="majorHAnsi" w:cstheme="majorHAnsi"/>
          <w:sz w:val="24"/>
          <w:szCs w:val="24"/>
          <w:lang w:val="ro-MD"/>
        </w:rPr>
      </w:pPr>
      <w:r w:rsidRPr="00606103">
        <w:rPr>
          <w:rFonts w:asciiTheme="majorHAnsi" w:eastAsia="Times New Roman" w:hAnsiTheme="majorHAnsi" w:cstheme="majorHAnsi"/>
          <w:bCs/>
          <w:sz w:val="24"/>
          <w:szCs w:val="24"/>
          <w:lang w:val="ro-MD"/>
        </w:rPr>
        <w:t>La</w:t>
      </w:r>
      <w:r w:rsidR="000E0C22" w:rsidRPr="00606103">
        <w:rPr>
          <w:rFonts w:asciiTheme="majorHAnsi" w:eastAsia="Times New Roman" w:hAnsiTheme="majorHAnsi" w:cstheme="majorHAnsi"/>
          <w:bCs/>
          <w:sz w:val="24"/>
          <w:szCs w:val="24"/>
          <w:lang w:val="ro-MD"/>
        </w:rPr>
        <w:t xml:space="preserve"> acest aspect </w:t>
      </w:r>
      <w:r w:rsidRPr="00606103">
        <w:rPr>
          <w:rFonts w:asciiTheme="majorHAnsi" w:eastAsia="Times New Roman" w:hAnsiTheme="majorHAnsi" w:cstheme="majorHAnsi"/>
          <w:bCs/>
          <w:sz w:val="24"/>
          <w:szCs w:val="24"/>
          <w:lang w:val="ro-MD"/>
        </w:rPr>
        <w:t xml:space="preserve">specificăm </w:t>
      </w:r>
      <w:r w:rsidR="000E0C22" w:rsidRPr="00606103">
        <w:rPr>
          <w:rFonts w:asciiTheme="majorHAnsi" w:eastAsia="Times New Roman" w:hAnsiTheme="majorHAnsi" w:cstheme="majorHAnsi"/>
          <w:bCs/>
          <w:sz w:val="24"/>
          <w:szCs w:val="24"/>
          <w:lang w:val="ro-MD"/>
        </w:rPr>
        <w:t xml:space="preserve">situația </w:t>
      </w:r>
      <w:r w:rsidR="000E0C22" w:rsidRPr="00606103">
        <w:rPr>
          <w:rFonts w:asciiTheme="majorHAnsi" w:eastAsiaTheme="minorEastAsia" w:hAnsiTheme="majorHAnsi" w:cstheme="majorHAnsi"/>
          <w:sz w:val="24"/>
          <w:szCs w:val="24"/>
          <w:lang w:val="ro-MD"/>
        </w:rPr>
        <w:t xml:space="preserve">dezafectării/imobilizării resurselor financiare publice (2,2 mil. lei) </w:t>
      </w:r>
      <w:r w:rsidR="00D20E55" w:rsidRPr="00606103">
        <w:rPr>
          <w:rFonts w:asciiTheme="majorHAnsi" w:eastAsiaTheme="minorEastAsia" w:hAnsiTheme="majorHAnsi" w:cstheme="majorHAnsi"/>
          <w:sz w:val="24"/>
          <w:szCs w:val="24"/>
          <w:lang w:val="ro-MD"/>
        </w:rPr>
        <w:t xml:space="preserve">pentru anul 2021, </w:t>
      </w:r>
      <w:r w:rsidR="000E0C22" w:rsidRPr="00606103">
        <w:rPr>
          <w:rFonts w:asciiTheme="majorHAnsi" w:eastAsiaTheme="minorEastAsia" w:hAnsiTheme="majorHAnsi" w:cstheme="majorHAnsi"/>
          <w:sz w:val="24"/>
          <w:szCs w:val="24"/>
          <w:lang w:val="ro-MD"/>
        </w:rPr>
        <w:t xml:space="preserve">pe un termen de la 4 până la 10 luni de </w:t>
      </w:r>
      <w:r w:rsidR="000E0C22" w:rsidRPr="00606103">
        <w:rPr>
          <w:rFonts w:asciiTheme="majorHAnsi" w:hAnsiTheme="majorHAnsi" w:cstheme="majorHAnsi"/>
          <w:b/>
          <w:sz w:val="24"/>
          <w:szCs w:val="24"/>
          <w:lang w:val="ro-MD"/>
        </w:rPr>
        <w:t>MAEIE,</w:t>
      </w:r>
      <w:r w:rsidR="000E0C22" w:rsidRPr="00606103">
        <w:rPr>
          <w:rFonts w:asciiTheme="majorHAnsi" w:eastAsiaTheme="minorEastAsia" w:hAnsiTheme="majorHAnsi" w:cstheme="majorHAnsi"/>
          <w:sz w:val="24"/>
          <w:szCs w:val="24"/>
          <w:lang w:val="ro-MD"/>
        </w:rPr>
        <w:t xml:space="preserve"> </w:t>
      </w:r>
      <w:r w:rsidRPr="00606103">
        <w:rPr>
          <w:rFonts w:asciiTheme="majorHAnsi" w:eastAsiaTheme="minorEastAsia" w:hAnsiTheme="majorHAnsi" w:cstheme="majorHAnsi"/>
          <w:sz w:val="24"/>
          <w:szCs w:val="24"/>
          <w:lang w:val="ro-MD"/>
        </w:rPr>
        <w:t xml:space="preserve">ca </w:t>
      </w:r>
      <w:r w:rsidR="000E0C22" w:rsidRPr="00606103">
        <w:rPr>
          <w:rFonts w:asciiTheme="majorHAnsi" w:eastAsiaTheme="minorEastAsia" w:hAnsiTheme="majorHAnsi" w:cstheme="majorHAnsi"/>
          <w:sz w:val="24"/>
          <w:szCs w:val="24"/>
          <w:lang w:val="ro-MD"/>
        </w:rPr>
        <w:t xml:space="preserve">urmare </w:t>
      </w:r>
      <w:r w:rsidRPr="00606103">
        <w:rPr>
          <w:rFonts w:asciiTheme="majorHAnsi" w:eastAsiaTheme="minorEastAsia" w:hAnsiTheme="majorHAnsi" w:cstheme="majorHAnsi"/>
          <w:sz w:val="24"/>
          <w:szCs w:val="24"/>
          <w:lang w:val="ro-MD"/>
        </w:rPr>
        <w:t xml:space="preserve">a </w:t>
      </w:r>
      <w:r w:rsidR="000E0C22" w:rsidRPr="00606103">
        <w:rPr>
          <w:rFonts w:asciiTheme="majorHAnsi" w:eastAsiaTheme="minorEastAsia" w:hAnsiTheme="majorHAnsi" w:cstheme="majorHAnsi"/>
          <w:sz w:val="24"/>
          <w:szCs w:val="24"/>
          <w:lang w:val="ro-MD"/>
        </w:rPr>
        <w:t>procurării prin achitarea în avans a 3 mijloace de transport la finele anului 2020.</w:t>
      </w:r>
    </w:p>
    <w:p w:rsidR="000E0C22" w:rsidRPr="00606103" w:rsidRDefault="000E0C22">
      <w:pPr>
        <w:spacing w:line="276" w:lineRule="auto"/>
        <w:rPr>
          <w:rFonts w:asciiTheme="majorHAnsi" w:eastAsia="Times New Roman" w:hAnsiTheme="majorHAnsi" w:cstheme="majorHAnsi"/>
          <w:sz w:val="24"/>
          <w:szCs w:val="24"/>
          <w:lang w:val="ro-MD"/>
        </w:rPr>
      </w:pPr>
      <w:r w:rsidRPr="00606103">
        <w:rPr>
          <w:rFonts w:asciiTheme="majorHAnsi" w:hAnsiTheme="majorHAnsi" w:cstheme="majorHAnsi"/>
          <w:sz w:val="24"/>
          <w:szCs w:val="24"/>
          <w:lang w:val="ro-MD"/>
        </w:rPr>
        <w:t>Concomitent, în pofida faptului că</w:t>
      </w:r>
      <w:r w:rsidR="00E5544E"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w:t>
      </w:r>
      <w:r w:rsidRPr="00606103">
        <w:rPr>
          <w:rFonts w:asciiTheme="majorHAnsi" w:eastAsia="Times New Roman" w:hAnsiTheme="majorHAnsi" w:cstheme="majorHAnsi"/>
          <w:sz w:val="24"/>
          <w:szCs w:val="24"/>
          <w:lang w:val="ro-MD"/>
        </w:rPr>
        <w:t>potrivit art.67 din Legea nr.181 din 25.07.2014</w:t>
      </w:r>
      <w:r w:rsidRPr="00606103">
        <w:rPr>
          <w:rStyle w:val="FootnoteReference"/>
          <w:rFonts w:asciiTheme="majorHAnsi" w:eastAsia="Times New Roman" w:hAnsiTheme="majorHAnsi" w:cstheme="majorHAnsi"/>
          <w:sz w:val="24"/>
          <w:szCs w:val="24"/>
          <w:lang w:val="ro-MD"/>
        </w:rPr>
        <w:footnoteReference w:id="96"/>
      </w:r>
      <w:r w:rsidRPr="00606103">
        <w:rPr>
          <w:rFonts w:asciiTheme="majorHAnsi" w:eastAsia="Times New Roman" w:hAnsiTheme="majorHAnsi" w:cstheme="majorHAnsi"/>
          <w:sz w:val="24"/>
          <w:szCs w:val="24"/>
          <w:lang w:val="ro-MD"/>
        </w:rPr>
        <w:t>, autoritățile/instituțiile bugetare efectuează plăți în limitele alocațiilor bugetare aprobate după stingerea datoriilor cu termen de achitare expirat, auditul atestă o creștere continu</w:t>
      </w:r>
      <w:r w:rsidR="00E5544E" w:rsidRPr="00606103">
        <w:rPr>
          <w:rFonts w:asciiTheme="majorHAnsi" w:eastAsia="Times New Roman" w:hAnsiTheme="majorHAnsi" w:cstheme="majorHAnsi"/>
          <w:sz w:val="24"/>
          <w:szCs w:val="24"/>
          <w:lang w:val="ro-MD"/>
        </w:rPr>
        <w:t>ă</w:t>
      </w:r>
      <w:r w:rsidRPr="00606103">
        <w:rPr>
          <w:rFonts w:asciiTheme="majorHAnsi" w:eastAsia="Times New Roman" w:hAnsiTheme="majorHAnsi" w:cstheme="majorHAnsi"/>
          <w:sz w:val="24"/>
          <w:szCs w:val="24"/>
          <w:lang w:val="ro-MD"/>
        </w:rPr>
        <w:t xml:space="preserve"> a datoriilor, inclusiv </w:t>
      </w:r>
      <w:r w:rsidR="00E5544E" w:rsidRPr="00606103">
        <w:rPr>
          <w:rFonts w:asciiTheme="majorHAnsi" w:eastAsia="Times New Roman" w:hAnsiTheme="majorHAnsi" w:cstheme="majorHAnsi"/>
          <w:sz w:val="24"/>
          <w:szCs w:val="24"/>
          <w:lang w:val="ro-MD"/>
        </w:rPr>
        <w:t xml:space="preserve">a </w:t>
      </w:r>
      <w:r w:rsidRPr="00606103">
        <w:rPr>
          <w:rFonts w:asciiTheme="majorHAnsi" w:eastAsia="Times New Roman" w:hAnsiTheme="majorHAnsi" w:cstheme="majorHAnsi"/>
          <w:sz w:val="24"/>
          <w:szCs w:val="24"/>
          <w:lang w:val="ro-MD"/>
        </w:rPr>
        <w:t>cel</w:t>
      </w:r>
      <w:r w:rsidR="00E5544E" w:rsidRPr="00606103">
        <w:rPr>
          <w:rFonts w:asciiTheme="majorHAnsi" w:eastAsia="Times New Roman" w:hAnsiTheme="majorHAnsi" w:cstheme="majorHAnsi"/>
          <w:sz w:val="24"/>
          <w:szCs w:val="24"/>
          <w:lang w:val="ro-MD"/>
        </w:rPr>
        <w:t>or</w:t>
      </w:r>
      <w:r w:rsidRPr="00606103">
        <w:rPr>
          <w:rFonts w:asciiTheme="majorHAnsi" w:eastAsia="Times New Roman" w:hAnsiTheme="majorHAnsi" w:cstheme="majorHAnsi"/>
          <w:sz w:val="24"/>
          <w:szCs w:val="24"/>
          <w:lang w:val="ro-MD"/>
        </w:rPr>
        <w:t xml:space="preserve"> cu termen expirat. Astfel, d</w:t>
      </w:r>
      <w:r w:rsidRPr="00606103">
        <w:rPr>
          <w:rFonts w:asciiTheme="majorHAnsi" w:hAnsiTheme="majorHAnsi" w:cstheme="majorHAnsi"/>
          <w:sz w:val="24"/>
          <w:szCs w:val="24"/>
          <w:lang w:val="ro-MD"/>
        </w:rPr>
        <w:t xml:space="preserve">atoriile la partea de cheltuieli și active nefinanciare </w:t>
      </w:r>
      <w:r w:rsidRPr="00606103">
        <w:rPr>
          <w:rFonts w:asciiTheme="majorHAnsi" w:hAnsiTheme="majorHAnsi" w:cstheme="majorHAnsi"/>
          <w:sz w:val="24"/>
          <w:szCs w:val="24"/>
          <w:lang w:val="ro-MD"/>
        </w:rPr>
        <w:lastRenderedPageBreak/>
        <w:t xml:space="preserve">raportate au constituit 1 383,1 mil. lei, fiind în creștere cu 872,6 mil lei, inclusiv cu termen de achitare expirat – 1,7 mil. lei, fiind dublate față de anul precedent. </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Cele mai semnificative datorii au fost admise de MIDR – 517,7 mil. lei</w:t>
      </w:r>
      <w:r w:rsidR="00E5544E"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MF – 77,2 mil. lei, MEC </w:t>
      </w:r>
      <w:r w:rsidR="00E5544E"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48,7 mil. </w:t>
      </w:r>
      <w:r w:rsidRPr="005D7D4D">
        <w:rPr>
          <w:rFonts w:asciiTheme="majorHAnsi" w:hAnsiTheme="majorHAnsi" w:cstheme="majorHAnsi"/>
          <w:sz w:val="24"/>
          <w:szCs w:val="24"/>
          <w:lang w:val="ro-MD"/>
        </w:rPr>
        <w:t xml:space="preserve">lei, MA – 47,7 mil. lei, MJ </w:t>
      </w:r>
      <w:r w:rsidR="00E5544E" w:rsidRPr="005D7D4D">
        <w:rPr>
          <w:rFonts w:asciiTheme="majorHAnsi" w:hAnsiTheme="majorHAnsi" w:cstheme="majorHAnsi"/>
          <w:sz w:val="24"/>
          <w:szCs w:val="24"/>
          <w:lang w:val="ro-MD"/>
        </w:rPr>
        <w:t>–</w:t>
      </w:r>
      <w:r w:rsidRPr="005D7D4D">
        <w:rPr>
          <w:rFonts w:asciiTheme="majorHAnsi" w:hAnsiTheme="majorHAnsi" w:cstheme="majorHAnsi"/>
          <w:sz w:val="24"/>
          <w:szCs w:val="24"/>
          <w:lang w:val="ro-MD"/>
        </w:rPr>
        <w:t xml:space="preserve"> 44,3 mil. lei, MS </w:t>
      </w:r>
      <w:r w:rsidR="00E5544E" w:rsidRPr="005D7D4D">
        <w:rPr>
          <w:rFonts w:asciiTheme="majorHAnsi" w:hAnsiTheme="majorHAnsi" w:cstheme="majorHAnsi"/>
          <w:sz w:val="24"/>
          <w:szCs w:val="24"/>
          <w:lang w:val="ro-MD"/>
        </w:rPr>
        <w:t>–</w:t>
      </w:r>
      <w:r w:rsidRPr="005D7D4D">
        <w:rPr>
          <w:rFonts w:asciiTheme="majorHAnsi" w:hAnsiTheme="majorHAnsi" w:cstheme="majorHAnsi"/>
          <w:sz w:val="24"/>
          <w:szCs w:val="24"/>
          <w:lang w:val="ro-MD"/>
        </w:rPr>
        <w:t xml:space="preserve"> 42,7 mil. lei. Datorii cu termen expirat au fost înregistrate de MM </w:t>
      </w:r>
      <w:r w:rsidR="00E5544E" w:rsidRPr="005D7D4D">
        <w:rPr>
          <w:rFonts w:asciiTheme="majorHAnsi" w:hAnsiTheme="majorHAnsi" w:cstheme="majorHAnsi"/>
          <w:sz w:val="24"/>
          <w:szCs w:val="24"/>
          <w:lang w:val="ro-MD"/>
        </w:rPr>
        <w:t>–</w:t>
      </w:r>
      <w:r w:rsidRPr="005D7D4D">
        <w:rPr>
          <w:rFonts w:asciiTheme="majorHAnsi" w:hAnsiTheme="majorHAnsi" w:cstheme="majorHAnsi"/>
          <w:sz w:val="24"/>
          <w:szCs w:val="24"/>
          <w:lang w:val="ro-MD"/>
        </w:rPr>
        <w:t xml:space="preserve"> 0,8 mil. lei</w:t>
      </w:r>
      <w:r w:rsidR="00E5544E" w:rsidRPr="005D7D4D">
        <w:rPr>
          <w:rFonts w:asciiTheme="majorHAnsi" w:hAnsiTheme="majorHAnsi" w:cstheme="majorHAnsi"/>
          <w:sz w:val="24"/>
          <w:szCs w:val="24"/>
          <w:lang w:val="ro-MD"/>
        </w:rPr>
        <w:t>,</w:t>
      </w:r>
      <w:r w:rsidRPr="005D7D4D">
        <w:rPr>
          <w:rFonts w:asciiTheme="majorHAnsi" w:hAnsiTheme="majorHAnsi" w:cstheme="majorHAnsi"/>
          <w:sz w:val="24"/>
          <w:szCs w:val="24"/>
          <w:lang w:val="ro-MD"/>
        </w:rPr>
        <w:t xml:space="preserve"> și Agenția de Investiții – 0,8 mil. lei. Sub aspectul clasificației economice, cele mai mari </w:t>
      </w:r>
      <w:r w:rsidR="00715809" w:rsidRPr="005D7D4D">
        <w:rPr>
          <w:rFonts w:asciiTheme="majorHAnsi" w:hAnsiTheme="majorHAnsi" w:cstheme="majorHAnsi"/>
          <w:sz w:val="24"/>
          <w:szCs w:val="24"/>
          <w:lang w:val="ro-MD"/>
        </w:rPr>
        <w:t xml:space="preserve">datorii </w:t>
      </w:r>
      <w:r w:rsidRPr="005D7D4D">
        <w:rPr>
          <w:rFonts w:asciiTheme="majorHAnsi" w:hAnsiTheme="majorHAnsi" w:cstheme="majorHAnsi"/>
          <w:sz w:val="24"/>
          <w:szCs w:val="24"/>
          <w:lang w:val="ro-MD"/>
        </w:rPr>
        <w:t>sunt la cheltuieli</w:t>
      </w:r>
      <w:r w:rsidR="00E5544E" w:rsidRPr="005D7D4D">
        <w:rPr>
          <w:rFonts w:asciiTheme="majorHAnsi" w:hAnsiTheme="majorHAnsi" w:cstheme="majorHAnsi"/>
          <w:sz w:val="24"/>
          <w:szCs w:val="24"/>
          <w:lang w:val="ro-MD"/>
        </w:rPr>
        <w:t>le</w:t>
      </w:r>
      <w:r w:rsidRPr="005D7D4D">
        <w:rPr>
          <w:rFonts w:asciiTheme="majorHAnsi" w:hAnsiTheme="majorHAnsi" w:cstheme="majorHAnsi"/>
          <w:sz w:val="24"/>
          <w:szCs w:val="24"/>
          <w:lang w:val="ro-MD"/>
        </w:rPr>
        <w:t xml:space="preserve"> pe personal – 613,7 mil. lei</w:t>
      </w:r>
      <w:r w:rsidR="008A4162" w:rsidRPr="005D7D4D">
        <w:rPr>
          <w:rFonts w:asciiTheme="majorHAnsi" w:hAnsiTheme="majorHAnsi" w:cstheme="majorHAnsi"/>
          <w:sz w:val="24"/>
          <w:szCs w:val="24"/>
          <w:lang w:val="ro-MD"/>
        </w:rPr>
        <w:t xml:space="preserve"> (preponderent </w:t>
      </w:r>
      <w:r w:rsidR="00715809" w:rsidRPr="005D7D4D">
        <w:rPr>
          <w:rFonts w:asciiTheme="majorHAnsi" w:hAnsiTheme="majorHAnsi" w:cstheme="majorHAnsi"/>
          <w:sz w:val="24"/>
          <w:szCs w:val="24"/>
          <w:lang w:val="ro-MD"/>
        </w:rPr>
        <w:t xml:space="preserve"> fiind cele </w:t>
      </w:r>
      <w:r w:rsidR="008A4162" w:rsidRPr="005D7D4D">
        <w:rPr>
          <w:rFonts w:asciiTheme="majorHAnsi" w:hAnsiTheme="majorHAnsi" w:cstheme="majorHAnsi"/>
          <w:sz w:val="24"/>
          <w:szCs w:val="24"/>
          <w:lang w:val="ro-MD"/>
        </w:rPr>
        <w:t>salariul</w:t>
      </w:r>
      <w:r w:rsidR="00715809" w:rsidRPr="005D7D4D">
        <w:rPr>
          <w:rFonts w:asciiTheme="majorHAnsi" w:hAnsiTheme="majorHAnsi" w:cstheme="majorHAnsi"/>
          <w:sz w:val="24"/>
          <w:szCs w:val="24"/>
          <w:lang w:val="ro-MD"/>
        </w:rPr>
        <w:t>ui</w:t>
      </w:r>
      <w:r w:rsidR="008A4162" w:rsidRPr="005D7D4D">
        <w:rPr>
          <w:rFonts w:asciiTheme="majorHAnsi" w:hAnsiTheme="majorHAnsi" w:cstheme="majorHAnsi"/>
          <w:sz w:val="24"/>
          <w:szCs w:val="24"/>
          <w:lang w:val="ro-MD"/>
        </w:rPr>
        <w:t xml:space="preserve"> calculat în luna decembrie)</w:t>
      </w:r>
      <w:r w:rsidRPr="005D7D4D">
        <w:rPr>
          <w:rFonts w:asciiTheme="majorHAnsi" w:hAnsiTheme="majorHAnsi" w:cstheme="majorHAnsi"/>
          <w:sz w:val="24"/>
          <w:szCs w:val="24"/>
          <w:lang w:val="ro-MD"/>
        </w:rPr>
        <w:t xml:space="preserve">, mijloace fixe – 427,5 mil. lei, alte cheltuieli </w:t>
      </w:r>
      <w:r w:rsidR="00E5544E" w:rsidRPr="005D7D4D">
        <w:rPr>
          <w:rFonts w:asciiTheme="majorHAnsi" w:hAnsiTheme="majorHAnsi" w:cstheme="majorHAnsi"/>
          <w:sz w:val="24"/>
          <w:szCs w:val="24"/>
          <w:lang w:val="ro-MD"/>
        </w:rPr>
        <w:t xml:space="preserve">– </w:t>
      </w:r>
      <w:r w:rsidRPr="005D7D4D">
        <w:rPr>
          <w:rFonts w:asciiTheme="majorHAnsi" w:hAnsiTheme="majorHAnsi" w:cstheme="majorHAnsi"/>
          <w:sz w:val="24"/>
          <w:szCs w:val="24"/>
          <w:lang w:val="ro-MD"/>
        </w:rPr>
        <w:t>153,3 mil. lei</w:t>
      </w:r>
      <w:r w:rsidR="00E5544E" w:rsidRPr="005D7D4D">
        <w:rPr>
          <w:rFonts w:asciiTheme="majorHAnsi" w:hAnsiTheme="majorHAnsi" w:cstheme="majorHAnsi"/>
          <w:sz w:val="24"/>
          <w:szCs w:val="24"/>
          <w:lang w:val="ro-MD"/>
        </w:rPr>
        <w:t>,</w:t>
      </w:r>
      <w:r w:rsidRPr="005D7D4D">
        <w:rPr>
          <w:rFonts w:asciiTheme="majorHAnsi" w:hAnsiTheme="majorHAnsi" w:cstheme="majorHAnsi"/>
          <w:sz w:val="24"/>
          <w:szCs w:val="24"/>
          <w:lang w:val="ro-MD"/>
        </w:rPr>
        <w:t xml:space="preserve"> și stocuri de materiale circulante – 110,5 mil.</w:t>
      </w:r>
      <w:r w:rsidRPr="00606103">
        <w:rPr>
          <w:rFonts w:asciiTheme="majorHAnsi" w:hAnsiTheme="majorHAnsi" w:cstheme="majorHAnsi"/>
          <w:sz w:val="24"/>
          <w:szCs w:val="24"/>
          <w:lang w:val="ro-MD"/>
        </w:rPr>
        <w:t xml:space="preserve"> lei.</w:t>
      </w:r>
    </w:p>
    <w:p w:rsidR="000E0C22" w:rsidRPr="00606103" w:rsidRDefault="000E0C22">
      <w:pPr>
        <w:pStyle w:val="Heading2"/>
        <w:spacing w:line="276" w:lineRule="auto"/>
        <w:rPr>
          <w:rFonts w:cstheme="majorHAnsi"/>
          <w:b/>
          <w:color w:val="auto"/>
          <w:sz w:val="24"/>
          <w:szCs w:val="24"/>
          <w:lang w:val="ro-MD"/>
        </w:rPr>
      </w:pPr>
      <w:r w:rsidRPr="00606103">
        <w:rPr>
          <w:rStyle w:val="Heading2Char"/>
          <w:rFonts w:cstheme="majorHAnsi"/>
          <w:b/>
          <w:color w:val="auto"/>
          <w:sz w:val="24"/>
          <w:szCs w:val="24"/>
          <w:lang w:val="ro-MD"/>
        </w:rPr>
        <w:t>5.</w:t>
      </w:r>
      <w:r w:rsidR="00AF163C" w:rsidRPr="00606103">
        <w:rPr>
          <w:rStyle w:val="Heading2Char"/>
          <w:rFonts w:cstheme="majorHAnsi"/>
          <w:b/>
          <w:color w:val="auto"/>
          <w:sz w:val="24"/>
          <w:szCs w:val="24"/>
          <w:lang w:val="ro-MD"/>
        </w:rPr>
        <w:t>10</w:t>
      </w:r>
      <w:r w:rsidRPr="00606103">
        <w:rPr>
          <w:rStyle w:val="Heading2Char"/>
          <w:rFonts w:cstheme="majorHAnsi"/>
          <w:b/>
          <w:color w:val="auto"/>
          <w:sz w:val="24"/>
          <w:szCs w:val="24"/>
          <w:lang w:val="ro-MD"/>
        </w:rPr>
        <w:t>. Execuția bugetului de stat s-a încheiat cu un sold bugeta</w:t>
      </w:r>
      <w:r w:rsidRPr="00606103">
        <w:rPr>
          <w:rFonts w:cstheme="majorHAnsi"/>
          <w:b/>
          <w:color w:val="auto"/>
          <w:sz w:val="24"/>
          <w:szCs w:val="24"/>
          <w:lang w:val="ro-MD"/>
        </w:rPr>
        <w:t>r (deficit) în sumă de 4</w:t>
      </w:r>
      <w:r w:rsidR="00F27F35" w:rsidRPr="00606103">
        <w:rPr>
          <w:rFonts w:cstheme="majorHAnsi"/>
          <w:b/>
          <w:color w:val="auto"/>
          <w:sz w:val="24"/>
          <w:szCs w:val="24"/>
          <w:lang w:val="ro-MD"/>
        </w:rPr>
        <w:t xml:space="preserve"> </w:t>
      </w:r>
      <w:r w:rsidRPr="00606103">
        <w:rPr>
          <w:rFonts w:cstheme="majorHAnsi"/>
          <w:b/>
          <w:color w:val="auto"/>
          <w:sz w:val="24"/>
          <w:szCs w:val="24"/>
          <w:lang w:val="ro-MD"/>
        </w:rPr>
        <w:t xml:space="preserve">733,1 mil. </w:t>
      </w:r>
      <w:bookmarkEnd w:id="2"/>
      <w:r w:rsidRPr="00606103">
        <w:rPr>
          <w:rFonts w:cstheme="majorHAnsi"/>
          <w:b/>
          <w:color w:val="auto"/>
          <w:sz w:val="24"/>
          <w:szCs w:val="24"/>
          <w:lang w:val="ro-MD"/>
        </w:rPr>
        <w:t>lei, fiind în diminuare cu 6</w:t>
      </w:r>
      <w:r w:rsidR="00F27F35" w:rsidRPr="00606103">
        <w:rPr>
          <w:rFonts w:cstheme="majorHAnsi"/>
          <w:b/>
          <w:color w:val="auto"/>
          <w:sz w:val="24"/>
          <w:szCs w:val="24"/>
          <w:lang w:val="ro-MD"/>
        </w:rPr>
        <w:t xml:space="preserve"> </w:t>
      </w:r>
      <w:r w:rsidRPr="00606103">
        <w:rPr>
          <w:rFonts w:cstheme="majorHAnsi"/>
          <w:b/>
          <w:color w:val="auto"/>
          <w:sz w:val="24"/>
          <w:szCs w:val="24"/>
          <w:lang w:val="ro-MD"/>
        </w:rPr>
        <w:t>401,8 mil. lei față de anul precedent.</w:t>
      </w:r>
    </w:p>
    <w:p w:rsidR="000E0C22" w:rsidRPr="00606103" w:rsidRDefault="000E0C22">
      <w:pPr>
        <w:spacing w:after="0" w:line="276" w:lineRule="auto"/>
        <w:rPr>
          <w:rFonts w:asciiTheme="majorHAnsi" w:eastAsia="Times New Roman" w:hAnsiTheme="majorHAnsi" w:cstheme="majorHAnsi"/>
          <w:sz w:val="24"/>
          <w:szCs w:val="24"/>
          <w:lang w:val="ro-MD"/>
        </w:rPr>
      </w:pPr>
      <w:r w:rsidRPr="00606103">
        <w:rPr>
          <w:rFonts w:asciiTheme="majorHAnsi" w:hAnsiTheme="majorHAnsi" w:cstheme="majorHAnsi"/>
          <w:sz w:val="24"/>
          <w:szCs w:val="24"/>
          <w:lang w:val="ro-MD"/>
        </w:rPr>
        <w:t>Auditul asupra Raportului privind executarea indicatorilor generali și surselor de finanțare ale bugetului de stat</w:t>
      </w:r>
      <w:r w:rsidRPr="00606103">
        <w:rPr>
          <w:rFonts w:asciiTheme="majorHAnsi" w:hAnsiTheme="majorHAnsi" w:cstheme="majorHAnsi"/>
          <w:sz w:val="24"/>
          <w:szCs w:val="24"/>
          <w:vertAlign w:val="superscript"/>
          <w:lang w:val="ro-MD"/>
        </w:rPr>
        <w:footnoteReference w:id="97"/>
      </w:r>
      <w:r w:rsidRPr="00606103">
        <w:rPr>
          <w:rFonts w:asciiTheme="majorHAnsi" w:hAnsiTheme="majorHAnsi" w:cstheme="majorHAnsi"/>
          <w:sz w:val="24"/>
          <w:szCs w:val="24"/>
          <w:lang w:val="ro-MD"/>
        </w:rPr>
        <w:t xml:space="preserve"> pentru anul 2021 relevă că execuția bugetului de stat la 31.12.2021 s-a încheiat cu un deficit de (-4 733,1) mil. lei, fiind cu 7</w:t>
      </w:r>
      <w:r w:rsidR="00E5544E"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058,9 mil. lei sub nivelul deficitului precizat (- 11 791,9 mil. lei). În comparație cu anul 2020, rezultatul execuției bugetului de stat (deficitul) în anul 2021 s-a diminuat de 2,4 ori, </w:t>
      </w:r>
      <w:r w:rsidRPr="00926FAA">
        <w:rPr>
          <w:rFonts w:asciiTheme="majorHAnsi" w:hAnsiTheme="majorHAnsi" w:cstheme="majorHAnsi"/>
          <w:i/>
          <w:sz w:val="24"/>
          <w:szCs w:val="24"/>
          <w:lang w:val="ro-MD"/>
        </w:rPr>
        <w:t>situația fiind prezentată</w:t>
      </w:r>
      <w:r w:rsidRPr="00606103">
        <w:rPr>
          <w:rFonts w:asciiTheme="majorHAnsi" w:hAnsiTheme="majorHAnsi" w:cstheme="majorHAnsi"/>
          <w:i/>
          <w:sz w:val="24"/>
          <w:szCs w:val="24"/>
          <w:lang w:val="ro-MD"/>
        </w:rPr>
        <w:t xml:space="preserve"> în</w:t>
      </w:r>
      <w:r w:rsidRPr="00606103">
        <w:rPr>
          <w:rFonts w:asciiTheme="majorHAnsi" w:hAnsiTheme="majorHAnsi" w:cstheme="majorHAnsi"/>
          <w:sz w:val="24"/>
          <w:szCs w:val="24"/>
          <w:lang w:val="ro-MD"/>
        </w:rPr>
        <w:t xml:space="preserve"> </w:t>
      </w:r>
      <w:r w:rsidRPr="00606103">
        <w:rPr>
          <w:rFonts w:asciiTheme="majorHAnsi" w:hAnsiTheme="majorHAnsi" w:cstheme="majorHAnsi"/>
          <w:i/>
          <w:sz w:val="24"/>
          <w:szCs w:val="24"/>
          <w:lang w:val="ro-MD"/>
        </w:rPr>
        <w:t>Tabelul nr.9.</w:t>
      </w:r>
    </w:p>
    <w:p w:rsidR="000E0C22" w:rsidRPr="00606103" w:rsidRDefault="000E0C22">
      <w:pPr>
        <w:spacing w:after="0" w:line="276" w:lineRule="auto"/>
        <w:jc w:val="right"/>
        <w:rPr>
          <w:rFonts w:asciiTheme="majorHAnsi" w:eastAsia="Times New Roman" w:hAnsiTheme="majorHAnsi" w:cstheme="majorHAnsi"/>
          <w:b/>
          <w:i/>
          <w:sz w:val="24"/>
          <w:szCs w:val="24"/>
          <w:lang w:val="ro-MD" w:eastAsia="ru-RU"/>
        </w:rPr>
      </w:pPr>
      <w:r w:rsidRPr="00606103">
        <w:rPr>
          <w:rFonts w:asciiTheme="majorHAnsi" w:eastAsia="Times New Roman" w:hAnsiTheme="majorHAnsi" w:cstheme="majorHAnsi"/>
          <w:b/>
          <w:i/>
          <w:sz w:val="24"/>
          <w:szCs w:val="24"/>
          <w:lang w:val="ro-MD" w:eastAsia="ru-RU"/>
        </w:rPr>
        <w:t>Tabelul nr.9</w:t>
      </w:r>
    </w:p>
    <w:p w:rsidR="000E0C22" w:rsidRPr="00606103" w:rsidRDefault="000E0C22">
      <w:pPr>
        <w:spacing w:after="0" w:line="276" w:lineRule="auto"/>
        <w:ind w:right="51"/>
        <w:jc w:val="center"/>
        <w:rPr>
          <w:rFonts w:asciiTheme="majorHAnsi" w:eastAsia="Times New Roman" w:hAnsiTheme="majorHAnsi" w:cstheme="majorHAnsi"/>
          <w:b/>
          <w:sz w:val="24"/>
          <w:szCs w:val="24"/>
          <w:lang w:val="ro-MD" w:eastAsia="ru-RU"/>
        </w:rPr>
      </w:pPr>
      <w:r w:rsidRPr="00606103">
        <w:rPr>
          <w:rFonts w:asciiTheme="majorHAnsi" w:eastAsia="Times New Roman" w:hAnsiTheme="majorHAnsi" w:cstheme="majorHAnsi"/>
          <w:b/>
          <w:sz w:val="24"/>
          <w:szCs w:val="24"/>
          <w:lang w:val="ro-MD" w:eastAsia="ru-RU"/>
        </w:rPr>
        <w:t>Tendințele deficitului bugetului de stat pe anii 2020-2021 și ponderea acestuia în PIB</w:t>
      </w:r>
    </w:p>
    <w:p w:rsidR="000E0C22" w:rsidRPr="00606103" w:rsidRDefault="000E0C22">
      <w:pPr>
        <w:spacing w:after="0" w:line="276" w:lineRule="auto"/>
        <w:ind w:right="190"/>
        <w:jc w:val="right"/>
        <w:rPr>
          <w:rFonts w:asciiTheme="majorHAnsi" w:eastAsia="Times New Roman" w:hAnsiTheme="majorHAnsi" w:cstheme="majorHAnsi"/>
          <w:i/>
          <w:sz w:val="24"/>
          <w:szCs w:val="24"/>
          <w:lang w:val="ro-MD" w:eastAsia="ru-RU"/>
        </w:rPr>
      </w:pPr>
      <w:r w:rsidRPr="00606103">
        <w:rPr>
          <w:rFonts w:asciiTheme="majorHAnsi" w:eastAsia="Times New Roman" w:hAnsiTheme="majorHAnsi" w:cstheme="majorHAnsi"/>
          <w:i/>
          <w:sz w:val="24"/>
          <w:szCs w:val="24"/>
          <w:lang w:val="ro-MD" w:eastAsia="ru-RU"/>
        </w:rPr>
        <w:t>(mil. lei)</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682"/>
        <w:gridCol w:w="1570"/>
        <w:gridCol w:w="1179"/>
        <w:gridCol w:w="1094"/>
        <w:gridCol w:w="1247"/>
      </w:tblGrid>
      <w:tr w:rsidR="000E0C22" w:rsidRPr="00606103" w:rsidTr="00083A32">
        <w:trPr>
          <w:trHeight w:val="271"/>
          <w:jc w:val="center"/>
        </w:trPr>
        <w:tc>
          <w:tcPr>
            <w:tcW w:w="2383" w:type="dxa"/>
            <w:vMerge w:val="restart"/>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b/>
                <w:bCs/>
                <w:i/>
                <w:iCs/>
                <w:color w:val="000000"/>
                <w:sz w:val="20"/>
                <w:szCs w:val="20"/>
                <w:lang w:val="ro-MD"/>
              </w:rPr>
            </w:pPr>
            <w:r w:rsidRPr="00606103">
              <w:rPr>
                <w:rFonts w:asciiTheme="majorHAnsi" w:eastAsia="Times New Roman" w:hAnsiTheme="majorHAnsi" w:cstheme="majorHAnsi"/>
                <w:b/>
                <w:bCs/>
                <w:i/>
                <w:iCs/>
                <w:color w:val="000000"/>
                <w:sz w:val="20"/>
                <w:szCs w:val="20"/>
                <w:lang w:val="ro-MD"/>
              </w:rPr>
              <w:t>Indicatori</w:t>
            </w:r>
          </w:p>
        </w:tc>
        <w:tc>
          <w:tcPr>
            <w:tcW w:w="1682"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b/>
                <w:bCs/>
                <w:i/>
                <w:iCs/>
                <w:color w:val="000000"/>
                <w:sz w:val="20"/>
                <w:szCs w:val="20"/>
                <w:lang w:val="ro-MD"/>
              </w:rPr>
            </w:pPr>
            <w:r w:rsidRPr="00606103">
              <w:rPr>
                <w:rFonts w:asciiTheme="majorHAnsi" w:eastAsia="Times New Roman" w:hAnsiTheme="majorHAnsi" w:cstheme="majorHAnsi"/>
                <w:b/>
                <w:bCs/>
                <w:i/>
                <w:iCs/>
                <w:color w:val="000000"/>
                <w:sz w:val="20"/>
                <w:szCs w:val="20"/>
                <w:lang w:val="ro-MD"/>
              </w:rPr>
              <w:t>Anul 2020</w:t>
            </w:r>
          </w:p>
        </w:tc>
        <w:tc>
          <w:tcPr>
            <w:tcW w:w="3843" w:type="dxa"/>
            <w:gridSpan w:val="3"/>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b/>
                <w:bCs/>
                <w:i/>
                <w:iCs/>
                <w:color w:val="000000"/>
                <w:sz w:val="20"/>
                <w:szCs w:val="20"/>
                <w:lang w:val="ro-MD"/>
              </w:rPr>
            </w:pPr>
            <w:r w:rsidRPr="00606103">
              <w:rPr>
                <w:rFonts w:asciiTheme="majorHAnsi" w:eastAsia="Times New Roman" w:hAnsiTheme="majorHAnsi" w:cstheme="majorHAnsi"/>
                <w:b/>
                <w:bCs/>
                <w:i/>
                <w:iCs/>
                <w:color w:val="000000"/>
                <w:sz w:val="20"/>
                <w:szCs w:val="20"/>
                <w:lang w:val="ro-MD"/>
              </w:rPr>
              <w:t>Anul 2021</w:t>
            </w:r>
          </w:p>
        </w:tc>
        <w:tc>
          <w:tcPr>
            <w:tcW w:w="1247" w:type="dxa"/>
          </w:tcPr>
          <w:p w:rsidR="000E0C22" w:rsidRPr="00606103" w:rsidRDefault="000E0C22">
            <w:pPr>
              <w:spacing w:after="0" w:line="276" w:lineRule="auto"/>
              <w:jc w:val="center"/>
              <w:rPr>
                <w:rFonts w:asciiTheme="majorHAnsi" w:eastAsia="Times New Roman" w:hAnsiTheme="majorHAnsi" w:cstheme="majorHAnsi"/>
                <w:b/>
                <w:bCs/>
                <w:i/>
                <w:iCs/>
                <w:color w:val="000000"/>
                <w:sz w:val="20"/>
                <w:szCs w:val="20"/>
                <w:lang w:val="ro-MD"/>
              </w:rPr>
            </w:pPr>
            <w:r w:rsidRPr="00606103">
              <w:rPr>
                <w:rFonts w:asciiTheme="majorHAnsi" w:eastAsia="Times New Roman" w:hAnsiTheme="majorHAnsi" w:cstheme="majorHAnsi"/>
                <w:b/>
                <w:bCs/>
                <w:i/>
                <w:iCs/>
                <w:color w:val="000000"/>
                <w:sz w:val="20"/>
                <w:szCs w:val="20"/>
                <w:lang w:val="ro-MD"/>
              </w:rPr>
              <w:t>Devieri (+/-)</w:t>
            </w:r>
          </w:p>
        </w:tc>
      </w:tr>
      <w:tr w:rsidR="000E0C22" w:rsidRPr="00606103" w:rsidTr="00083A32">
        <w:trPr>
          <w:trHeight w:val="271"/>
          <w:jc w:val="center"/>
        </w:trPr>
        <w:tc>
          <w:tcPr>
            <w:tcW w:w="2383" w:type="dxa"/>
            <w:vMerge/>
            <w:vAlign w:val="center"/>
            <w:hideMark/>
          </w:tcPr>
          <w:p w:rsidR="000E0C22" w:rsidRPr="00606103" w:rsidRDefault="000E0C22">
            <w:pPr>
              <w:spacing w:after="0" w:line="276" w:lineRule="auto"/>
              <w:jc w:val="left"/>
              <w:rPr>
                <w:rFonts w:asciiTheme="majorHAnsi" w:eastAsia="Times New Roman" w:hAnsiTheme="majorHAnsi" w:cstheme="majorHAnsi"/>
                <w:b/>
                <w:bCs/>
                <w:i/>
                <w:iCs/>
                <w:color w:val="000000"/>
                <w:sz w:val="20"/>
                <w:szCs w:val="20"/>
                <w:lang w:val="ro-MD"/>
              </w:rPr>
            </w:pPr>
          </w:p>
        </w:tc>
        <w:tc>
          <w:tcPr>
            <w:tcW w:w="1682" w:type="dxa"/>
            <w:shd w:val="clear" w:color="auto" w:fill="auto"/>
            <w:vAlign w:val="center"/>
            <w:hideMark/>
          </w:tcPr>
          <w:p w:rsidR="000E0C22" w:rsidRPr="00606103" w:rsidRDefault="00E5544E">
            <w:pPr>
              <w:spacing w:after="0" w:line="276" w:lineRule="auto"/>
              <w:jc w:val="center"/>
              <w:rPr>
                <w:rFonts w:asciiTheme="majorHAnsi" w:eastAsia="Times New Roman" w:hAnsiTheme="majorHAnsi" w:cstheme="majorHAnsi"/>
                <w:b/>
                <w:bCs/>
                <w:i/>
                <w:iCs/>
                <w:color w:val="000000"/>
                <w:sz w:val="20"/>
                <w:szCs w:val="20"/>
                <w:lang w:val="ro-MD"/>
              </w:rPr>
            </w:pPr>
            <w:r w:rsidRPr="00606103">
              <w:rPr>
                <w:rFonts w:asciiTheme="majorHAnsi" w:eastAsia="Times New Roman" w:hAnsiTheme="majorHAnsi" w:cstheme="majorHAnsi"/>
                <w:b/>
                <w:bCs/>
                <w:i/>
                <w:iCs/>
                <w:color w:val="000000"/>
                <w:sz w:val="20"/>
                <w:szCs w:val="20"/>
                <w:lang w:val="ro-MD"/>
              </w:rPr>
              <w:t>e</w:t>
            </w:r>
            <w:r w:rsidR="000E0C22" w:rsidRPr="00606103">
              <w:rPr>
                <w:rFonts w:asciiTheme="majorHAnsi" w:eastAsia="Times New Roman" w:hAnsiTheme="majorHAnsi" w:cstheme="majorHAnsi"/>
                <w:b/>
                <w:bCs/>
                <w:i/>
                <w:iCs/>
                <w:color w:val="000000"/>
                <w:sz w:val="20"/>
                <w:szCs w:val="20"/>
                <w:lang w:val="ro-MD"/>
              </w:rPr>
              <w:t>xecutat</w:t>
            </w:r>
          </w:p>
        </w:tc>
        <w:tc>
          <w:tcPr>
            <w:tcW w:w="1570"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b/>
                <w:bCs/>
                <w:i/>
                <w:iCs/>
                <w:color w:val="000000"/>
                <w:sz w:val="20"/>
                <w:szCs w:val="20"/>
                <w:lang w:val="ro-MD"/>
              </w:rPr>
            </w:pPr>
            <w:r w:rsidRPr="00606103">
              <w:rPr>
                <w:rFonts w:asciiTheme="majorHAnsi" w:eastAsia="Times New Roman" w:hAnsiTheme="majorHAnsi" w:cstheme="majorHAnsi"/>
                <w:b/>
                <w:bCs/>
                <w:i/>
                <w:iCs/>
                <w:color w:val="000000"/>
                <w:sz w:val="20"/>
                <w:szCs w:val="20"/>
                <w:lang w:val="ro-MD"/>
              </w:rPr>
              <w:t>aprobat</w:t>
            </w:r>
          </w:p>
        </w:tc>
        <w:tc>
          <w:tcPr>
            <w:tcW w:w="1179"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b/>
                <w:bCs/>
                <w:i/>
                <w:iCs/>
                <w:color w:val="000000"/>
                <w:sz w:val="20"/>
                <w:szCs w:val="20"/>
                <w:lang w:val="ro-MD"/>
              </w:rPr>
            </w:pPr>
            <w:r w:rsidRPr="00606103">
              <w:rPr>
                <w:rFonts w:asciiTheme="majorHAnsi" w:eastAsia="Times New Roman" w:hAnsiTheme="majorHAnsi" w:cstheme="majorHAnsi"/>
                <w:b/>
                <w:bCs/>
                <w:i/>
                <w:iCs/>
                <w:color w:val="000000"/>
                <w:sz w:val="20"/>
                <w:szCs w:val="20"/>
                <w:lang w:val="ro-MD"/>
              </w:rPr>
              <w:t>precizat</w:t>
            </w:r>
          </w:p>
        </w:tc>
        <w:tc>
          <w:tcPr>
            <w:tcW w:w="1093"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b/>
                <w:bCs/>
                <w:i/>
                <w:iCs/>
                <w:color w:val="000000"/>
                <w:sz w:val="20"/>
                <w:szCs w:val="20"/>
                <w:lang w:val="ro-MD"/>
              </w:rPr>
            </w:pPr>
            <w:r w:rsidRPr="00606103">
              <w:rPr>
                <w:rFonts w:asciiTheme="majorHAnsi" w:eastAsia="Times New Roman" w:hAnsiTheme="majorHAnsi" w:cstheme="majorHAnsi"/>
                <w:b/>
                <w:bCs/>
                <w:i/>
                <w:iCs/>
                <w:color w:val="000000"/>
                <w:sz w:val="20"/>
                <w:szCs w:val="20"/>
                <w:lang w:val="ro-MD"/>
              </w:rPr>
              <w:t>executat</w:t>
            </w:r>
          </w:p>
        </w:tc>
        <w:tc>
          <w:tcPr>
            <w:tcW w:w="1247" w:type="dxa"/>
            <w:shd w:val="clear" w:color="auto" w:fill="auto"/>
            <w:vAlign w:val="center"/>
          </w:tcPr>
          <w:p w:rsidR="000E0C22" w:rsidRPr="00606103" w:rsidRDefault="000E0C22">
            <w:pPr>
              <w:spacing w:after="0" w:line="276" w:lineRule="auto"/>
              <w:jc w:val="center"/>
              <w:rPr>
                <w:rFonts w:asciiTheme="majorHAnsi" w:eastAsia="Times New Roman" w:hAnsiTheme="majorHAnsi" w:cstheme="majorHAnsi"/>
                <w:b/>
                <w:bCs/>
                <w:i/>
                <w:iCs/>
                <w:color w:val="000000"/>
                <w:sz w:val="20"/>
                <w:szCs w:val="20"/>
                <w:lang w:val="ro-MD"/>
              </w:rPr>
            </w:pPr>
            <w:r w:rsidRPr="00606103">
              <w:rPr>
                <w:rFonts w:asciiTheme="majorHAnsi" w:eastAsia="Times New Roman" w:hAnsiTheme="majorHAnsi" w:cstheme="majorHAnsi"/>
                <w:b/>
                <w:bCs/>
                <w:i/>
                <w:iCs/>
                <w:color w:val="000000"/>
                <w:sz w:val="20"/>
                <w:szCs w:val="20"/>
                <w:lang w:val="ro-MD"/>
              </w:rPr>
              <w:t>2021/2020</w:t>
            </w:r>
          </w:p>
        </w:tc>
      </w:tr>
      <w:tr w:rsidR="000E0C22" w:rsidRPr="00606103" w:rsidTr="00083A32">
        <w:trPr>
          <w:trHeight w:val="135"/>
          <w:jc w:val="center"/>
        </w:trPr>
        <w:tc>
          <w:tcPr>
            <w:tcW w:w="2383" w:type="dxa"/>
            <w:shd w:val="clear" w:color="auto" w:fill="auto"/>
            <w:vAlign w:val="center"/>
            <w:hideMark/>
          </w:tcPr>
          <w:p w:rsidR="000E0C22" w:rsidRPr="00606103" w:rsidRDefault="000E0C22" w:rsidP="00FE3F3B">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1</w:t>
            </w:r>
          </w:p>
        </w:tc>
        <w:tc>
          <w:tcPr>
            <w:tcW w:w="1682"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2</w:t>
            </w:r>
          </w:p>
        </w:tc>
        <w:tc>
          <w:tcPr>
            <w:tcW w:w="1570"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3</w:t>
            </w:r>
          </w:p>
        </w:tc>
        <w:tc>
          <w:tcPr>
            <w:tcW w:w="1179"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4</w:t>
            </w:r>
          </w:p>
        </w:tc>
        <w:tc>
          <w:tcPr>
            <w:tcW w:w="1093"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5</w:t>
            </w:r>
          </w:p>
        </w:tc>
        <w:tc>
          <w:tcPr>
            <w:tcW w:w="1247" w:type="dxa"/>
            <w:shd w:val="clear" w:color="auto" w:fill="auto"/>
            <w:vAlign w:val="center"/>
          </w:tcPr>
          <w:p w:rsidR="000E0C22" w:rsidRPr="00606103" w:rsidRDefault="000E0C22">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6=5-2</w:t>
            </w:r>
          </w:p>
        </w:tc>
      </w:tr>
      <w:tr w:rsidR="000E0C22" w:rsidRPr="00606103" w:rsidTr="00083A32">
        <w:trPr>
          <w:trHeight w:val="135"/>
          <w:jc w:val="center"/>
        </w:trPr>
        <w:tc>
          <w:tcPr>
            <w:tcW w:w="2383" w:type="dxa"/>
            <w:shd w:val="clear" w:color="auto" w:fill="auto"/>
            <w:vAlign w:val="center"/>
            <w:hideMark/>
          </w:tcPr>
          <w:p w:rsidR="000E0C22" w:rsidRPr="00606103" w:rsidRDefault="000E0C22" w:rsidP="00FE3F3B">
            <w:pPr>
              <w:spacing w:after="0" w:line="276" w:lineRule="auto"/>
              <w:jc w:val="lef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Deficitul</w:t>
            </w:r>
          </w:p>
        </w:tc>
        <w:tc>
          <w:tcPr>
            <w:tcW w:w="1682"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-11.134,9</w:t>
            </w:r>
          </w:p>
        </w:tc>
        <w:tc>
          <w:tcPr>
            <w:tcW w:w="1570"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-13.984,2</w:t>
            </w:r>
          </w:p>
        </w:tc>
        <w:tc>
          <w:tcPr>
            <w:tcW w:w="1179"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-11.791,9</w:t>
            </w:r>
          </w:p>
        </w:tc>
        <w:tc>
          <w:tcPr>
            <w:tcW w:w="1093"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-4.733,1</w:t>
            </w:r>
          </w:p>
        </w:tc>
        <w:tc>
          <w:tcPr>
            <w:tcW w:w="1247" w:type="dxa"/>
            <w:shd w:val="clear" w:color="auto" w:fill="auto"/>
            <w:vAlign w:val="center"/>
          </w:tcPr>
          <w:p w:rsidR="000E0C22" w:rsidRPr="00606103" w:rsidRDefault="000E0C22">
            <w:pPr>
              <w:spacing w:after="0" w:line="276" w:lineRule="auto"/>
              <w:jc w:val="center"/>
              <w:rPr>
                <w:rFonts w:asciiTheme="majorHAnsi" w:eastAsia="Times New Roman" w:hAnsiTheme="majorHAnsi" w:cstheme="majorHAnsi"/>
                <w:bCs/>
                <w:i/>
                <w:iCs/>
                <w:color w:val="000000"/>
                <w:sz w:val="20"/>
                <w:szCs w:val="20"/>
                <w:lang w:val="ro-MD"/>
              </w:rPr>
            </w:pPr>
            <w:r w:rsidRPr="00606103">
              <w:rPr>
                <w:rFonts w:asciiTheme="majorHAnsi" w:eastAsia="Times New Roman" w:hAnsiTheme="majorHAnsi" w:cstheme="majorHAnsi"/>
                <w:bCs/>
                <w:i/>
                <w:iCs/>
                <w:color w:val="000000"/>
                <w:sz w:val="20"/>
                <w:szCs w:val="20"/>
                <w:lang w:val="ro-MD"/>
              </w:rPr>
              <w:t>6.401,8</w:t>
            </w:r>
          </w:p>
        </w:tc>
      </w:tr>
      <w:tr w:rsidR="000E0C22" w:rsidRPr="00606103" w:rsidTr="00083A32">
        <w:trPr>
          <w:trHeight w:val="407"/>
          <w:jc w:val="center"/>
        </w:trPr>
        <w:tc>
          <w:tcPr>
            <w:tcW w:w="2383" w:type="dxa"/>
            <w:shd w:val="clear" w:color="auto" w:fill="auto"/>
            <w:vAlign w:val="center"/>
            <w:hideMark/>
          </w:tcPr>
          <w:p w:rsidR="000E0C22" w:rsidRPr="00606103" w:rsidRDefault="000E0C22" w:rsidP="00FE3F3B">
            <w:pPr>
              <w:spacing w:after="0" w:line="276" w:lineRule="auto"/>
              <w:jc w:val="lef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Ponderea în PIB*, %</w:t>
            </w:r>
          </w:p>
        </w:tc>
        <w:tc>
          <w:tcPr>
            <w:tcW w:w="1682"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-5,4</w:t>
            </w:r>
          </w:p>
        </w:tc>
        <w:tc>
          <w:tcPr>
            <w:tcW w:w="1570"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-5,8</w:t>
            </w:r>
          </w:p>
        </w:tc>
        <w:tc>
          <w:tcPr>
            <w:tcW w:w="1179"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-4,9</w:t>
            </w:r>
          </w:p>
        </w:tc>
        <w:tc>
          <w:tcPr>
            <w:tcW w:w="1093" w:type="dxa"/>
            <w:shd w:val="clear" w:color="auto" w:fill="auto"/>
            <w:vAlign w:val="center"/>
            <w:hideMark/>
          </w:tcPr>
          <w:p w:rsidR="000E0C22" w:rsidRPr="00606103" w:rsidRDefault="000E0C22">
            <w:pPr>
              <w:spacing w:after="0" w:line="276" w:lineRule="auto"/>
              <w:jc w:val="center"/>
              <w:rPr>
                <w:rFonts w:asciiTheme="majorHAnsi" w:eastAsia="Times New Roman" w:hAnsiTheme="majorHAnsi" w:cstheme="majorHAnsi"/>
                <w:bCs/>
                <w:color w:val="000000"/>
                <w:sz w:val="20"/>
                <w:szCs w:val="20"/>
                <w:lang w:val="ro-MD"/>
              </w:rPr>
            </w:pPr>
            <w:r w:rsidRPr="00606103">
              <w:rPr>
                <w:rFonts w:asciiTheme="majorHAnsi" w:eastAsia="Times New Roman" w:hAnsiTheme="majorHAnsi" w:cstheme="majorHAnsi"/>
                <w:bCs/>
                <w:color w:val="000000"/>
                <w:sz w:val="20"/>
                <w:szCs w:val="20"/>
                <w:lang w:val="ro-MD"/>
              </w:rPr>
              <w:t>-2,0</w:t>
            </w:r>
          </w:p>
        </w:tc>
        <w:tc>
          <w:tcPr>
            <w:tcW w:w="1247" w:type="dxa"/>
            <w:shd w:val="clear" w:color="auto" w:fill="auto"/>
            <w:vAlign w:val="center"/>
          </w:tcPr>
          <w:p w:rsidR="000E0C22" w:rsidRPr="00606103" w:rsidRDefault="000E0C22">
            <w:pPr>
              <w:spacing w:after="0" w:line="276" w:lineRule="auto"/>
              <w:jc w:val="center"/>
              <w:rPr>
                <w:rFonts w:asciiTheme="majorHAnsi" w:eastAsia="Times New Roman" w:hAnsiTheme="majorHAnsi" w:cstheme="majorHAnsi"/>
                <w:bCs/>
                <w:i/>
                <w:iCs/>
                <w:color w:val="000000"/>
                <w:sz w:val="20"/>
                <w:szCs w:val="20"/>
                <w:lang w:val="ro-MD"/>
              </w:rPr>
            </w:pPr>
            <w:r w:rsidRPr="00606103">
              <w:rPr>
                <w:rFonts w:asciiTheme="majorHAnsi" w:eastAsia="Times New Roman" w:hAnsiTheme="majorHAnsi" w:cstheme="majorHAnsi"/>
                <w:bCs/>
                <w:i/>
                <w:iCs/>
                <w:color w:val="000000"/>
                <w:sz w:val="20"/>
                <w:szCs w:val="20"/>
                <w:lang w:val="ro-MD"/>
              </w:rPr>
              <w:t>3,4</w:t>
            </w:r>
          </w:p>
        </w:tc>
      </w:tr>
    </w:tbl>
    <w:p w:rsidR="000E0C22" w:rsidRPr="00606103" w:rsidRDefault="000E0C22" w:rsidP="00FE3F3B">
      <w:pPr>
        <w:pStyle w:val="ListParagraph"/>
        <w:numPr>
          <w:ilvl w:val="0"/>
          <w:numId w:val="49"/>
        </w:numPr>
        <w:spacing w:after="0" w:line="276" w:lineRule="auto"/>
        <w:rPr>
          <w:rFonts w:asciiTheme="majorHAnsi" w:eastAsia="Times New Roman" w:hAnsiTheme="majorHAnsi" w:cstheme="majorHAnsi"/>
          <w:b/>
          <w:i/>
          <w:sz w:val="20"/>
          <w:szCs w:val="24"/>
          <w:lang w:val="ro-MD" w:eastAsia="ru-RU"/>
        </w:rPr>
      </w:pPr>
      <w:r w:rsidRPr="00606103">
        <w:rPr>
          <w:rFonts w:asciiTheme="majorHAnsi" w:eastAsia="Times New Roman" w:hAnsiTheme="majorHAnsi" w:cstheme="majorHAnsi"/>
          <w:i/>
          <w:sz w:val="20"/>
          <w:szCs w:val="24"/>
          <w:lang w:val="ro-MD" w:eastAsia="ru-RU"/>
        </w:rPr>
        <w:t xml:space="preserve">Produsul intern brut luat în calcul pentru anul 2020 </w:t>
      </w:r>
      <w:r w:rsidR="00E5544E" w:rsidRPr="00606103">
        <w:rPr>
          <w:rFonts w:asciiTheme="majorHAnsi" w:eastAsia="Times New Roman" w:hAnsiTheme="majorHAnsi" w:cstheme="majorHAnsi"/>
          <w:i/>
          <w:sz w:val="20"/>
          <w:szCs w:val="24"/>
          <w:lang w:val="ro-MD" w:eastAsia="ru-RU"/>
        </w:rPr>
        <w:t>constituie</w:t>
      </w:r>
      <w:r w:rsidRPr="00606103">
        <w:rPr>
          <w:rFonts w:asciiTheme="majorHAnsi" w:eastAsia="Times New Roman" w:hAnsiTheme="majorHAnsi" w:cstheme="majorHAnsi"/>
          <w:i/>
          <w:sz w:val="20"/>
          <w:szCs w:val="24"/>
          <w:lang w:val="ro-MD" w:eastAsia="ru-RU"/>
        </w:rPr>
        <w:t xml:space="preserve"> 206 352,0 mil. lei</w:t>
      </w:r>
      <w:r w:rsidR="00F46111" w:rsidRPr="00606103">
        <w:rPr>
          <w:rFonts w:asciiTheme="majorHAnsi" w:eastAsia="Times New Roman" w:hAnsiTheme="majorHAnsi" w:cstheme="majorHAnsi"/>
          <w:i/>
          <w:sz w:val="20"/>
          <w:szCs w:val="24"/>
          <w:lang w:val="ro-MD" w:eastAsia="ru-RU"/>
        </w:rPr>
        <w:t xml:space="preserve"> (date actualizate)</w:t>
      </w:r>
      <w:r w:rsidRPr="00606103">
        <w:rPr>
          <w:rFonts w:asciiTheme="majorHAnsi" w:eastAsia="Times New Roman" w:hAnsiTheme="majorHAnsi" w:cstheme="majorHAnsi"/>
          <w:i/>
          <w:sz w:val="20"/>
          <w:szCs w:val="24"/>
          <w:lang w:val="ro-MD" w:eastAsia="ru-RU"/>
        </w:rPr>
        <w:t>,</w:t>
      </w:r>
      <w:r w:rsidR="006A4C7A">
        <w:rPr>
          <w:rFonts w:asciiTheme="majorHAnsi" w:eastAsia="Times New Roman" w:hAnsiTheme="majorHAnsi" w:cstheme="majorHAnsi"/>
          <w:i/>
          <w:sz w:val="20"/>
          <w:szCs w:val="24"/>
          <w:lang w:val="ro-MD" w:eastAsia="ru-RU"/>
        </w:rPr>
        <w:t xml:space="preserve"> iar</w:t>
      </w:r>
      <w:r w:rsidRPr="00606103">
        <w:rPr>
          <w:rFonts w:asciiTheme="majorHAnsi" w:eastAsia="Times New Roman" w:hAnsiTheme="majorHAnsi" w:cstheme="majorHAnsi"/>
          <w:i/>
          <w:sz w:val="20"/>
          <w:szCs w:val="24"/>
          <w:lang w:val="ro-MD" w:eastAsia="ru-RU"/>
        </w:rPr>
        <w:t xml:space="preserve"> pentru anul 2021 </w:t>
      </w:r>
      <w:r w:rsidR="00F46111" w:rsidRPr="00606103">
        <w:rPr>
          <w:rFonts w:asciiTheme="majorHAnsi" w:eastAsia="Times New Roman" w:hAnsiTheme="majorHAnsi" w:cstheme="majorHAnsi"/>
          <w:i/>
          <w:sz w:val="20"/>
          <w:szCs w:val="24"/>
          <w:lang w:val="ro-MD" w:eastAsia="ru-RU"/>
        </w:rPr>
        <w:t xml:space="preserve">conform datelor preliminare ale BNS </w:t>
      </w:r>
      <w:r w:rsidRPr="00606103">
        <w:rPr>
          <w:rFonts w:asciiTheme="majorHAnsi" w:eastAsia="Times New Roman" w:hAnsiTheme="majorHAnsi" w:cstheme="majorHAnsi"/>
          <w:i/>
          <w:sz w:val="20"/>
          <w:szCs w:val="24"/>
          <w:lang w:val="ro-MD" w:eastAsia="ru-RU"/>
        </w:rPr>
        <w:t>– 241 871,0 mil. lei.</w:t>
      </w:r>
    </w:p>
    <w:p w:rsidR="000E0C22" w:rsidRPr="00606103" w:rsidRDefault="000E0C22">
      <w:pPr>
        <w:spacing w:after="0" w:line="276" w:lineRule="auto"/>
        <w:ind w:left="142"/>
        <w:rPr>
          <w:rFonts w:asciiTheme="majorHAnsi" w:eastAsia="Times New Roman" w:hAnsiTheme="majorHAnsi" w:cstheme="majorHAnsi"/>
          <w:i/>
          <w:sz w:val="20"/>
          <w:szCs w:val="24"/>
          <w:lang w:val="ro-MD" w:eastAsia="ru-RU"/>
        </w:rPr>
      </w:pPr>
      <w:r w:rsidRPr="00606103">
        <w:rPr>
          <w:rFonts w:asciiTheme="majorHAnsi" w:eastAsia="Times New Roman" w:hAnsiTheme="majorHAnsi" w:cstheme="majorHAnsi"/>
          <w:b/>
          <w:i/>
          <w:sz w:val="20"/>
          <w:szCs w:val="24"/>
          <w:lang w:val="ro-MD" w:eastAsia="ru-RU"/>
        </w:rPr>
        <w:t>Sursă:</w:t>
      </w:r>
      <w:r w:rsidRPr="00606103">
        <w:rPr>
          <w:rFonts w:asciiTheme="majorHAnsi" w:eastAsia="Times New Roman" w:hAnsiTheme="majorHAnsi" w:cstheme="majorHAnsi"/>
          <w:sz w:val="20"/>
          <w:szCs w:val="24"/>
          <w:lang w:val="ro-MD" w:eastAsia="ru-RU"/>
        </w:rPr>
        <w:t xml:space="preserve"> </w:t>
      </w:r>
      <w:r w:rsidRPr="00606103">
        <w:rPr>
          <w:rFonts w:asciiTheme="majorHAnsi" w:eastAsia="Times New Roman" w:hAnsiTheme="majorHAnsi" w:cstheme="majorHAnsi"/>
          <w:i/>
          <w:sz w:val="20"/>
          <w:szCs w:val="24"/>
          <w:lang w:val="ro-MD" w:eastAsia="ru-RU"/>
        </w:rPr>
        <w:t>Date generalizate de echipa de audit din</w:t>
      </w:r>
      <w:r w:rsidRPr="00606103">
        <w:rPr>
          <w:rFonts w:asciiTheme="majorHAnsi" w:eastAsia="Times New Roman" w:hAnsiTheme="majorHAnsi" w:cstheme="majorHAnsi"/>
          <w:sz w:val="20"/>
          <w:szCs w:val="24"/>
          <w:lang w:val="ro-MD" w:eastAsia="ru-RU"/>
        </w:rPr>
        <w:t xml:space="preserve"> </w:t>
      </w:r>
      <w:r w:rsidRPr="00606103">
        <w:rPr>
          <w:rFonts w:asciiTheme="majorHAnsi" w:eastAsia="Times New Roman" w:hAnsiTheme="majorHAnsi" w:cstheme="majorHAnsi"/>
          <w:i/>
          <w:sz w:val="20"/>
          <w:szCs w:val="24"/>
          <w:lang w:val="ro-MD" w:eastAsia="ru-RU"/>
        </w:rPr>
        <w:t>Rapoartele privind executarea bugetului de stat pe anii 2020</w:t>
      </w:r>
      <w:r w:rsidR="000C1DD3" w:rsidRPr="00606103">
        <w:rPr>
          <w:rFonts w:asciiTheme="majorHAnsi" w:eastAsia="Times New Roman" w:hAnsiTheme="majorHAnsi" w:cstheme="majorHAnsi"/>
          <w:i/>
          <w:sz w:val="20"/>
          <w:szCs w:val="24"/>
          <w:lang w:val="ro-MD" w:eastAsia="ru-RU"/>
        </w:rPr>
        <w:t xml:space="preserve"> și </w:t>
      </w:r>
      <w:r w:rsidRPr="00606103">
        <w:rPr>
          <w:rFonts w:asciiTheme="majorHAnsi" w:eastAsia="Times New Roman" w:hAnsiTheme="majorHAnsi" w:cstheme="majorHAnsi"/>
          <w:i/>
          <w:sz w:val="20"/>
          <w:szCs w:val="24"/>
          <w:lang w:val="ro-MD" w:eastAsia="ru-RU"/>
        </w:rPr>
        <w:t>2021</w:t>
      </w:r>
      <w:r w:rsidR="000C1DD3" w:rsidRPr="00606103">
        <w:rPr>
          <w:rFonts w:asciiTheme="majorHAnsi" w:eastAsia="Times New Roman" w:hAnsiTheme="majorHAnsi" w:cstheme="majorHAnsi"/>
          <w:i/>
          <w:sz w:val="20"/>
          <w:szCs w:val="24"/>
          <w:lang w:val="ro-MD" w:eastAsia="ru-RU"/>
        </w:rPr>
        <w:t>.</w:t>
      </w:r>
    </w:p>
    <w:p w:rsidR="000E0C22" w:rsidRPr="00606103" w:rsidRDefault="000E0C22">
      <w:pPr>
        <w:spacing w:before="240" w:after="0" w:line="276" w:lineRule="auto"/>
        <w:jc w:val="left"/>
        <w:rPr>
          <w:rFonts w:asciiTheme="majorHAnsi" w:eastAsia="Times New Roman" w:hAnsiTheme="majorHAnsi" w:cstheme="majorHAnsi"/>
          <w:sz w:val="24"/>
          <w:szCs w:val="24"/>
          <w:lang w:val="ro-MD" w:eastAsia="ru-RU"/>
        </w:rPr>
      </w:pPr>
      <w:r w:rsidRPr="005D7D4D">
        <w:rPr>
          <w:rFonts w:asciiTheme="majorHAnsi" w:hAnsiTheme="majorHAnsi" w:cstheme="majorHAnsi"/>
          <w:sz w:val="24"/>
          <w:szCs w:val="24"/>
          <w:lang w:val="ro-MD"/>
        </w:rPr>
        <w:t xml:space="preserve">Deficitul </w:t>
      </w:r>
      <w:r w:rsidRPr="005D7D4D">
        <w:rPr>
          <w:rFonts w:asciiTheme="majorHAnsi" w:eastAsia="Times New Roman" w:hAnsiTheme="majorHAnsi" w:cstheme="majorHAnsi"/>
          <w:sz w:val="24"/>
          <w:szCs w:val="24"/>
          <w:lang w:val="ro-MD" w:eastAsia="ru-RU"/>
        </w:rPr>
        <w:t xml:space="preserve">BS </w:t>
      </w:r>
      <w:r w:rsidR="006A4C7A" w:rsidRPr="005D7D4D">
        <w:rPr>
          <w:rFonts w:asciiTheme="majorHAnsi" w:hAnsiTheme="majorHAnsi" w:cstheme="majorHAnsi"/>
          <w:sz w:val="24"/>
          <w:szCs w:val="24"/>
          <w:lang w:val="ro-MD"/>
        </w:rPr>
        <w:t>ca pondere în PIB a fost</w:t>
      </w:r>
      <w:r w:rsidRPr="005D7D4D">
        <w:rPr>
          <w:rFonts w:asciiTheme="majorHAnsi" w:hAnsiTheme="majorHAnsi" w:cstheme="majorHAnsi"/>
          <w:sz w:val="24"/>
          <w:szCs w:val="24"/>
          <w:lang w:val="ro-MD"/>
        </w:rPr>
        <w:t xml:space="preserve"> în descreștere în anul 2021 și</w:t>
      </w:r>
      <w:r w:rsidRPr="005D7D4D">
        <w:rPr>
          <w:rFonts w:asciiTheme="majorHAnsi" w:eastAsia="Times New Roman" w:hAnsiTheme="majorHAnsi" w:cstheme="majorHAnsi"/>
          <w:sz w:val="24"/>
          <w:szCs w:val="24"/>
          <w:lang w:val="ro-MD" w:eastAsia="ru-RU"/>
        </w:rPr>
        <w:t xml:space="preserve"> a constituit 2,0%, </w:t>
      </w:r>
      <w:r w:rsidR="006A4C7A" w:rsidRPr="005D7D4D">
        <w:rPr>
          <w:rFonts w:asciiTheme="majorHAnsi" w:eastAsia="Times New Roman" w:hAnsiTheme="majorHAnsi" w:cstheme="majorHAnsi"/>
          <w:sz w:val="24"/>
          <w:szCs w:val="24"/>
          <w:lang w:val="ro-MD" w:eastAsia="ru-RU"/>
        </w:rPr>
        <w:t xml:space="preserve">fiind cu 3,8 p.p. </w:t>
      </w:r>
      <w:r w:rsidRPr="005D7D4D">
        <w:rPr>
          <w:rFonts w:asciiTheme="majorHAnsi" w:eastAsia="Times New Roman" w:hAnsiTheme="majorHAnsi" w:cstheme="majorHAnsi"/>
          <w:sz w:val="24"/>
          <w:szCs w:val="24"/>
          <w:lang w:val="ro-MD" w:eastAsia="ru-RU"/>
        </w:rPr>
        <w:t xml:space="preserve">mai puțin față de indicatorul prognozat și cu 3,4 p.p mai puțin față de anul 2020 </w:t>
      </w:r>
      <w:r w:rsidR="006A4C7A" w:rsidRPr="005D7D4D">
        <w:rPr>
          <w:rFonts w:asciiTheme="majorHAnsi" w:eastAsia="Times New Roman" w:hAnsiTheme="majorHAnsi" w:cstheme="majorHAnsi"/>
          <w:sz w:val="24"/>
          <w:szCs w:val="24"/>
          <w:lang w:val="ro-MD" w:eastAsia="ru-RU"/>
        </w:rPr>
        <w:t>(</w:t>
      </w:r>
      <w:r w:rsidRPr="005D7D4D">
        <w:rPr>
          <w:rFonts w:asciiTheme="majorHAnsi" w:eastAsia="Times New Roman" w:hAnsiTheme="majorHAnsi" w:cstheme="majorHAnsi"/>
          <w:sz w:val="24"/>
          <w:szCs w:val="24"/>
          <w:lang w:val="ro-MD" w:eastAsia="ru-RU"/>
        </w:rPr>
        <w:t>5,4%</w:t>
      </w:r>
      <w:r w:rsidR="006A4C7A" w:rsidRPr="005D7D4D">
        <w:rPr>
          <w:rFonts w:asciiTheme="majorHAnsi" w:eastAsia="Times New Roman" w:hAnsiTheme="majorHAnsi" w:cstheme="majorHAnsi"/>
          <w:sz w:val="24"/>
          <w:szCs w:val="24"/>
          <w:lang w:val="ro-MD" w:eastAsia="ru-RU"/>
        </w:rPr>
        <w:t>)</w:t>
      </w:r>
      <w:r w:rsidRPr="005D7D4D">
        <w:rPr>
          <w:rFonts w:asciiTheme="majorHAnsi" w:eastAsia="Times New Roman" w:hAnsiTheme="majorHAnsi" w:cstheme="majorHAnsi"/>
          <w:sz w:val="24"/>
          <w:szCs w:val="24"/>
          <w:lang w:val="ro-MD" w:eastAsia="ru-RU"/>
        </w:rPr>
        <w:t>.</w:t>
      </w:r>
    </w:p>
    <w:p w:rsidR="000E0C22" w:rsidRDefault="000E0C22">
      <w:pPr>
        <w:spacing w:after="0" w:line="276" w:lineRule="auto"/>
        <w:rPr>
          <w:rFonts w:asciiTheme="majorHAnsi" w:hAnsiTheme="majorHAnsi" w:cstheme="majorHAnsi"/>
          <w:bCs/>
          <w:i/>
          <w:iCs/>
          <w:sz w:val="24"/>
          <w:szCs w:val="24"/>
          <w:lang w:val="ro-MD"/>
        </w:rPr>
      </w:pPr>
      <w:r w:rsidRPr="00606103">
        <w:rPr>
          <w:rFonts w:asciiTheme="majorHAnsi" w:eastAsia="Times New Roman" w:hAnsiTheme="majorHAnsi" w:cstheme="majorHAnsi"/>
          <w:sz w:val="24"/>
          <w:szCs w:val="24"/>
          <w:lang w:val="ro-MD"/>
        </w:rPr>
        <w:t>Finanțarea disponibilă pentru acoperirea deficitului bugetar reprezintă volumul total al activelor financiare, datorii</w:t>
      </w:r>
      <w:r w:rsidR="007571C8" w:rsidRPr="00606103">
        <w:rPr>
          <w:rFonts w:asciiTheme="majorHAnsi" w:eastAsia="Times New Roman" w:hAnsiTheme="majorHAnsi" w:cstheme="majorHAnsi"/>
          <w:sz w:val="24"/>
          <w:szCs w:val="24"/>
          <w:lang w:val="ro-MD"/>
        </w:rPr>
        <w:t>le</w:t>
      </w:r>
      <w:r w:rsidRPr="00606103">
        <w:rPr>
          <w:rFonts w:asciiTheme="majorHAnsi" w:eastAsia="Times New Roman" w:hAnsiTheme="majorHAnsi" w:cstheme="majorHAnsi"/>
          <w:sz w:val="24"/>
          <w:szCs w:val="24"/>
          <w:lang w:val="ro-MD"/>
        </w:rPr>
        <w:t xml:space="preserve"> și soldurile mijloacelor bănești. </w:t>
      </w:r>
      <w:r w:rsidRPr="00926FAA">
        <w:rPr>
          <w:rFonts w:asciiTheme="majorHAnsi" w:hAnsiTheme="majorHAnsi" w:cstheme="majorHAnsi"/>
          <w:i/>
          <w:sz w:val="24"/>
          <w:szCs w:val="24"/>
          <w:lang w:val="ro-MD"/>
        </w:rPr>
        <w:t xml:space="preserve">Potrivit datelor raportate de către MF, </w:t>
      </w:r>
      <w:r w:rsidRPr="00926FAA">
        <w:rPr>
          <w:rFonts w:asciiTheme="majorHAnsi" w:hAnsiTheme="majorHAnsi" w:cstheme="majorHAnsi"/>
          <w:i/>
          <w:iCs/>
          <w:sz w:val="24"/>
          <w:szCs w:val="24"/>
          <w:lang w:val="ro-MD"/>
        </w:rPr>
        <w:t xml:space="preserve">sursele de finanțare a deficitului bugetului de stat se prezintă în </w:t>
      </w:r>
      <w:r w:rsidRPr="00926FAA">
        <w:rPr>
          <w:rFonts w:asciiTheme="majorHAnsi" w:hAnsiTheme="majorHAnsi" w:cstheme="majorHAnsi"/>
          <w:bCs/>
          <w:i/>
          <w:iCs/>
          <w:sz w:val="24"/>
          <w:szCs w:val="24"/>
          <w:lang w:val="ro-MD"/>
        </w:rPr>
        <w:t>Tabelul nr</w:t>
      </w:r>
      <w:r w:rsidR="00F46111" w:rsidRPr="00926FAA">
        <w:rPr>
          <w:rFonts w:asciiTheme="majorHAnsi" w:hAnsiTheme="majorHAnsi" w:cstheme="majorHAnsi"/>
          <w:bCs/>
          <w:i/>
          <w:iCs/>
          <w:sz w:val="24"/>
          <w:szCs w:val="24"/>
          <w:lang w:val="ro-MD"/>
        </w:rPr>
        <w:t>.</w:t>
      </w:r>
      <w:r w:rsidRPr="00926FAA">
        <w:rPr>
          <w:rFonts w:asciiTheme="majorHAnsi" w:hAnsiTheme="majorHAnsi" w:cstheme="majorHAnsi"/>
          <w:bCs/>
          <w:i/>
          <w:iCs/>
          <w:sz w:val="24"/>
          <w:szCs w:val="24"/>
          <w:lang w:val="ro-MD"/>
        </w:rPr>
        <w:t>10</w:t>
      </w:r>
      <w:r w:rsidR="00C732E5" w:rsidRPr="00926FAA">
        <w:rPr>
          <w:rFonts w:asciiTheme="majorHAnsi" w:hAnsiTheme="majorHAnsi" w:cstheme="majorHAnsi"/>
          <w:bCs/>
          <w:i/>
          <w:iCs/>
          <w:sz w:val="24"/>
          <w:szCs w:val="24"/>
          <w:lang w:val="ro-MD"/>
        </w:rPr>
        <w:t>.</w:t>
      </w:r>
    </w:p>
    <w:p w:rsidR="00554FDA" w:rsidRDefault="00554FDA">
      <w:pPr>
        <w:spacing w:after="0" w:line="276" w:lineRule="auto"/>
        <w:rPr>
          <w:rFonts w:asciiTheme="majorHAnsi" w:hAnsiTheme="majorHAnsi" w:cstheme="majorHAnsi"/>
          <w:bCs/>
          <w:i/>
          <w:iCs/>
          <w:sz w:val="24"/>
          <w:szCs w:val="24"/>
          <w:lang w:val="ro-MD"/>
        </w:rPr>
      </w:pPr>
    </w:p>
    <w:p w:rsidR="005D235B" w:rsidRDefault="005D235B">
      <w:pPr>
        <w:spacing w:after="0" w:line="276" w:lineRule="auto"/>
        <w:rPr>
          <w:rFonts w:asciiTheme="majorHAnsi" w:hAnsiTheme="majorHAnsi" w:cstheme="majorHAnsi"/>
          <w:bCs/>
          <w:i/>
          <w:iCs/>
          <w:sz w:val="24"/>
          <w:szCs w:val="24"/>
          <w:lang w:val="ro-MD"/>
        </w:rPr>
      </w:pPr>
    </w:p>
    <w:p w:rsidR="005D235B" w:rsidRDefault="005D235B">
      <w:pPr>
        <w:spacing w:after="0" w:line="276" w:lineRule="auto"/>
        <w:rPr>
          <w:rFonts w:asciiTheme="majorHAnsi" w:hAnsiTheme="majorHAnsi" w:cstheme="majorHAnsi"/>
          <w:bCs/>
          <w:i/>
          <w:iCs/>
          <w:sz w:val="24"/>
          <w:szCs w:val="24"/>
          <w:lang w:val="ro-MD"/>
        </w:rPr>
      </w:pPr>
    </w:p>
    <w:p w:rsidR="005D235B" w:rsidRDefault="005D235B">
      <w:pPr>
        <w:spacing w:after="0" w:line="276" w:lineRule="auto"/>
        <w:rPr>
          <w:rFonts w:asciiTheme="majorHAnsi" w:hAnsiTheme="majorHAnsi" w:cstheme="majorHAnsi"/>
          <w:bCs/>
          <w:i/>
          <w:iCs/>
          <w:sz w:val="24"/>
          <w:szCs w:val="24"/>
          <w:lang w:val="ro-MD"/>
        </w:rPr>
      </w:pPr>
    </w:p>
    <w:p w:rsidR="005D235B" w:rsidRDefault="005D235B">
      <w:pPr>
        <w:spacing w:after="0" w:line="276" w:lineRule="auto"/>
        <w:rPr>
          <w:rFonts w:asciiTheme="majorHAnsi" w:hAnsiTheme="majorHAnsi" w:cstheme="majorHAnsi"/>
          <w:bCs/>
          <w:i/>
          <w:iCs/>
          <w:sz w:val="24"/>
          <w:szCs w:val="24"/>
          <w:lang w:val="ro-MD"/>
        </w:rPr>
      </w:pPr>
    </w:p>
    <w:p w:rsidR="005D235B" w:rsidRDefault="005D235B">
      <w:pPr>
        <w:spacing w:after="0" w:line="276" w:lineRule="auto"/>
        <w:rPr>
          <w:rFonts w:asciiTheme="majorHAnsi" w:hAnsiTheme="majorHAnsi" w:cstheme="majorHAnsi"/>
          <w:bCs/>
          <w:i/>
          <w:iCs/>
          <w:sz w:val="24"/>
          <w:szCs w:val="24"/>
          <w:lang w:val="ro-MD"/>
        </w:rPr>
      </w:pPr>
    </w:p>
    <w:p w:rsidR="00554FDA" w:rsidRPr="00926FAA" w:rsidRDefault="00554FDA">
      <w:pPr>
        <w:spacing w:after="0" w:line="276" w:lineRule="auto"/>
        <w:rPr>
          <w:rFonts w:asciiTheme="majorHAnsi" w:hAnsiTheme="majorHAnsi" w:cstheme="majorHAnsi"/>
          <w:bCs/>
          <w:i/>
          <w:iCs/>
          <w:sz w:val="24"/>
          <w:szCs w:val="24"/>
          <w:lang w:val="ro-MD"/>
        </w:rPr>
      </w:pPr>
    </w:p>
    <w:p w:rsidR="00F46111" w:rsidRPr="00606103" w:rsidRDefault="00F46111">
      <w:pPr>
        <w:spacing w:after="0" w:line="276" w:lineRule="auto"/>
        <w:jc w:val="right"/>
        <w:rPr>
          <w:rFonts w:asciiTheme="majorHAnsi" w:hAnsiTheme="majorHAnsi" w:cstheme="majorHAnsi"/>
          <w:b/>
          <w:bCs/>
          <w:i/>
          <w:iCs/>
          <w:sz w:val="24"/>
          <w:szCs w:val="24"/>
          <w:lang w:val="ro-MD"/>
        </w:rPr>
      </w:pPr>
      <w:r w:rsidRPr="00606103">
        <w:rPr>
          <w:rFonts w:asciiTheme="majorHAnsi" w:hAnsiTheme="majorHAnsi" w:cstheme="majorHAnsi"/>
          <w:b/>
          <w:bCs/>
          <w:i/>
          <w:iCs/>
          <w:sz w:val="24"/>
          <w:szCs w:val="24"/>
          <w:lang w:val="ro-MD"/>
        </w:rPr>
        <w:lastRenderedPageBreak/>
        <w:t>Tabelul nr.10</w:t>
      </w:r>
    </w:p>
    <w:p w:rsidR="00F46111" w:rsidRPr="00606103" w:rsidRDefault="00F46111">
      <w:pPr>
        <w:spacing w:after="0" w:line="276" w:lineRule="auto"/>
        <w:jc w:val="center"/>
        <w:rPr>
          <w:rFonts w:asciiTheme="majorHAnsi" w:hAnsiTheme="majorHAnsi" w:cstheme="majorHAnsi"/>
          <w:b/>
          <w:bCs/>
          <w:sz w:val="24"/>
          <w:szCs w:val="24"/>
          <w:lang w:val="ro-MD"/>
        </w:rPr>
      </w:pPr>
      <w:r w:rsidRPr="00606103">
        <w:rPr>
          <w:rFonts w:asciiTheme="majorHAnsi" w:hAnsiTheme="majorHAnsi" w:cstheme="majorHAnsi"/>
          <w:b/>
          <w:bCs/>
          <w:sz w:val="24"/>
          <w:szCs w:val="24"/>
          <w:lang w:val="ro-MD"/>
        </w:rPr>
        <w:t>Sursele de finanțare a deficitului bugetului de stat pe anul 2021</w:t>
      </w:r>
    </w:p>
    <w:p w:rsidR="00F46111" w:rsidRPr="00606103" w:rsidRDefault="00F46111">
      <w:pPr>
        <w:spacing w:after="0" w:line="276" w:lineRule="auto"/>
        <w:ind w:right="1041"/>
        <w:jc w:val="right"/>
        <w:rPr>
          <w:rFonts w:asciiTheme="majorHAnsi" w:eastAsia="Times New Roman" w:hAnsiTheme="majorHAnsi" w:cstheme="majorHAnsi"/>
          <w:i/>
          <w:sz w:val="24"/>
          <w:szCs w:val="24"/>
          <w:lang w:val="ro-MD"/>
        </w:rPr>
      </w:pPr>
      <w:r w:rsidRPr="00606103">
        <w:rPr>
          <w:rFonts w:asciiTheme="majorHAnsi" w:hAnsiTheme="majorHAnsi" w:cstheme="majorHAnsi"/>
          <w:bCs/>
          <w:i/>
          <w:sz w:val="24"/>
          <w:szCs w:val="24"/>
          <w:lang w:val="ro-MD"/>
        </w:rPr>
        <w:t>(mil. lei)</w:t>
      </w:r>
    </w:p>
    <w:tbl>
      <w:tblPr>
        <w:tblW w:w="4466" w:type="pct"/>
        <w:jc w:val="center"/>
        <w:tblCellMar>
          <w:top w:w="15" w:type="dxa"/>
          <w:left w:w="15" w:type="dxa"/>
          <w:bottom w:w="15" w:type="dxa"/>
          <w:right w:w="15" w:type="dxa"/>
        </w:tblCellMar>
        <w:tblLook w:val="04A0" w:firstRow="1" w:lastRow="0" w:firstColumn="1" w:lastColumn="0" w:noHBand="0" w:noVBand="1"/>
      </w:tblPr>
      <w:tblGrid>
        <w:gridCol w:w="4104"/>
        <w:gridCol w:w="1135"/>
        <w:gridCol w:w="1133"/>
        <w:gridCol w:w="2267"/>
      </w:tblGrid>
      <w:tr w:rsidR="000E0C22" w:rsidRPr="00606103" w:rsidTr="000E3A9F">
        <w:trPr>
          <w:trHeight w:val="79"/>
          <w:jc w:val="center"/>
        </w:trPr>
        <w:tc>
          <w:tcPr>
            <w:tcW w:w="23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bCs/>
                <w:sz w:val="20"/>
                <w:szCs w:val="20"/>
                <w:lang w:val="ro-MD"/>
              </w:rPr>
            </w:pPr>
            <w:r w:rsidRPr="00606103">
              <w:rPr>
                <w:rFonts w:asciiTheme="majorHAnsi" w:hAnsiTheme="majorHAnsi" w:cstheme="majorHAnsi"/>
                <w:b/>
                <w:bCs/>
                <w:sz w:val="20"/>
                <w:szCs w:val="20"/>
                <w:lang w:val="ro-MD"/>
              </w:rPr>
              <w:t>Indicatori</w:t>
            </w:r>
          </w:p>
        </w:tc>
        <w:tc>
          <w:tcPr>
            <w:tcW w:w="6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bCs/>
                <w:sz w:val="20"/>
                <w:szCs w:val="20"/>
                <w:lang w:val="ro-MD"/>
              </w:rPr>
            </w:pPr>
            <w:r w:rsidRPr="00606103">
              <w:rPr>
                <w:rFonts w:asciiTheme="majorHAnsi" w:hAnsiTheme="majorHAnsi" w:cstheme="majorHAnsi"/>
                <w:b/>
                <w:bCs/>
                <w:sz w:val="20"/>
                <w:szCs w:val="20"/>
                <w:lang w:val="ro-MD"/>
              </w:rPr>
              <w:t>Precizat</w:t>
            </w: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bCs/>
                <w:sz w:val="20"/>
                <w:szCs w:val="20"/>
                <w:lang w:val="ro-MD"/>
              </w:rPr>
            </w:pPr>
            <w:r w:rsidRPr="00606103">
              <w:rPr>
                <w:rFonts w:asciiTheme="majorHAnsi" w:hAnsiTheme="majorHAnsi" w:cstheme="majorHAnsi"/>
                <w:b/>
                <w:bCs/>
                <w:sz w:val="20"/>
                <w:szCs w:val="20"/>
                <w:lang w:val="ro-MD"/>
              </w:rPr>
              <w:t>Executat</w:t>
            </w:r>
          </w:p>
        </w:tc>
        <w:tc>
          <w:tcPr>
            <w:tcW w:w="13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bCs/>
                <w:sz w:val="20"/>
                <w:szCs w:val="20"/>
                <w:lang w:val="ro-MD"/>
              </w:rPr>
            </w:pPr>
            <w:r w:rsidRPr="00606103">
              <w:rPr>
                <w:rFonts w:asciiTheme="majorHAnsi" w:hAnsiTheme="majorHAnsi" w:cstheme="majorHAnsi"/>
                <w:b/>
                <w:bCs/>
                <w:sz w:val="20"/>
                <w:szCs w:val="20"/>
                <w:lang w:val="ro-MD"/>
              </w:rPr>
              <w:t>Devieri</w:t>
            </w:r>
            <w:r w:rsidR="00713DBF" w:rsidRPr="00606103">
              <w:rPr>
                <w:rFonts w:asciiTheme="majorHAnsi" w:hAnsiTheme="majorHAnsi" w:cstheme="majorHAnsi"/>
                <w:b/>
                <w:bCs/>
                <w:sz w:val="20"/>
                <w:szCs w:val="20"/>
                <w:lang w:val="ro-MD"/>
              </w:rPr>
              <w:t xml:space="preserve"> </w:t>
            </w:r>
            <w:r w:rsidRPr="00606103">
              <w:rPr>
                <w:rFonts w:asciiTheme="majorHAnsi" w:hAnsiTheme="majorHAnsi" w:cstheme="majorHAnsi"/>
                <w:b/>
                <w:bCs/>
                <w:sz w:val="20"/>
                <w:szCs w:val="20"/>
                <w:lang w:val="ro-MD"/>
              </w:rPr>
              <w:t>(+/-)</w:t>
            </w:r>
          </w:p>
        </w:tc>
      </w:tr>
      <w:tr w:rsidR="000E0C22" w:rsidRPr="00606103" w:rsidTr="000E3A9F">
        <w:trPr>
          <w:trHeight w:val="39"/>
          <w:jc w:val="center"/>
        </w:trPr>
        <w:tc>
          <w:tcPr>
            <w:tcW w:w="2375"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0E0C22" w:rsidRPr="00606103" w:rsidRDefault="000E0C22" w:rsidP="00FE3F3B">
            <w:pPr>
              <w:pStyle w:val="NoSpacing"/>
              <w:spacing w:line="276" w:lineRule="auto"/>
              <w:jc w:val="center"/>
              <w:rPr>
                <w:rFonts w:asciiTheme="majorHAnsi" w:hAnsiTheme="majorHAnsi" w:cstheme="majorHAnsi"/>
                <w:sz w:val="16"/>
                <w:szCs w:val="20"/>
                <w:lang w:val="ro-MD"/>
              </w:rPr>
            </w:pPr>
            <w:r w:rsidRPr="00606103">
              <w:rPr>
                <w:rFonts w:asciiTheme="majorHAnsi" w:hAnsiTheme="majorHAnsi" w:cstheme="majorHAnsi"/>
                <w:i/>
                <w:iCs/>
                <w:sz w:val="16"/>
                <w:szCs w:val="20"/>
                <w:lang w:val="ro-MD"/>
              </w:rPr>
              <w:t>1</w:t>
            </w:r>
          </w:p>
        </w:tc>
        <w:tc>
          <w:tcPr>
            <w:tcW w:w="657"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0E0C22" w:rsidRPr="00606103" w:rsidRDefault="000E0C22">
            <w:pPr>
              <w:pStyle w:val="NoSpacing"/>
              <w:spacing w:line="276" w:lineRule="auto"/>
              <w:jc w:val="center"/>
              <w:rPr>
                <w:rFonts w:asciiTheme="majorHAnsi" w:hAnsiTheme="majorHAnsi" w:cstheme="majorHAnsi"/>
                <w:sz w:val="16"/>
                <w:szCs w:val="20"/>
                <w:lang w:val="ro-MD"/>
              </w:rPr>
            </w:pPr>
            <w:r w:rsidRPr="00606103">
              <w:rPr>
                <w:rFonts w:asciiTheme="majorHAnsi" w:hAnsiTheme="majorHAnsi" w:cstheme="majorHAnsi"/>
                <w:i/>
                <w:iCs/>
                <w:sz w:val="16"/>
                <w:szCs w:val="20"/>
                <w:lang w:val="ro-MD"/>
              </w:rPr>
              <w:t>2</w:t>
            </w:r>
          </w:p>
        </w:tc>
        <w:tc>
          <w:tcPr>
            <w:tcW w:w="656"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0E0C22" w:rsidRPr="00606103" w:rsidRDefault="000E0C22">
            <w:pPr>
              <w:pStyle w:val="NoSpacing"/>
              <w:spacing w:line="276" w:lineRule="auto"/>
              <w:jc w:val="center"/>
              <w:rPr>
                <w:rFonts w:asciiTheme="majorHAnsi" w:hAnsiTheme="majorHAnsi" w:cstheme="majorHAnsi"/>
                <w:sz w:val="16"/>
                <w:szCs w:val="20"/>
                <w:lang w:val="ro-MD"/>
              </w:rPr>
            </w:pPr>
            <w:r w:rsidRPr="00606103">
              <w:rPr>
                <w:rFonts w:asciiTheme="majorHAnsi" w:hAnsiTheme="majorHAnsi" w:cstheme="majorHAnsi"/>
                <w:i/>
                <w:iCs/>
                <w:sz w:val="16"/>
                <w:szCs w:val="20"/>
                <w:lang w:val="ro-MD"/>
              </w:rPr>
              <w:t>3</w:t>
            </w:r>
          </w:p>
        </w:tc>
        <w:tc>
          <w:tcPr>
            <w:tcW w:w="131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0E0C22" w:rsidRPr="00606103" w:rsidRDefault="000E0C22">
            <w:pPr>
              <w:pStyle w:val="NoSpacing"/>
              <w:spacing w:line="276" w:lineRule="auto"/>
              <w:jc w:val="center"/>
              <w:rPr>
                <w:rFonts w:asciiTheme="majorHAnsi" w:hAnsiTheme="majorHAnsi" w:cstheme="majorHAnsi"/>
                <w:sz w:val="16"/>
                <w:szCs w:val="20"/>
                <w:lang w:val="ro-MD"/>
              </w:rPr>
            </w:pPr>
            <w:r w:rsidRPr="00606103">
              <w:rPr>
                <w:rFonts w:asciiTheme="majorHAnsi" w:hAnsiTheme="majorHAnsi" w:cstheme="majorHAnsi"/>
                <w:i/>
                <w:iCs/>
                <w:sz w:val="16"/>
                <w:szCs w:val="20"/>
                <w:lang w:val="ro-MD"/>
              </w:rPr>
              <w:t>4=3-2</w:t>
            </w:r>
          </w:p>
        </w:tc>
      </w:tr>
      <w:tr w:rsidR="000E0C22" w:rsidRPr="00606103" w:rsidTr="000E3A9F">
        <w:trPr>
          <w:trHeight w:val="109"/>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rsidP="00FE3F3B">
            <w:pPr>
              <w:pStyle w:val="NoSpacing"/>
              <w:spacing w:line="276" w:lineRule="auto"/>
              <w:rPr>
                <w:rFonts w:asciiTheme="majorHAnsi" w:hAnsiTheme="majorHAnsi" w:cstheme="majorHAnsi"/>
                <w:b/>
                <w:bCs/>
                <w:sz w:val="20"/>
                <w:szCs w:val="20"/>
                <w:lang w:val="ro-MD"/>
              </w:rPr>
            </w:pPr>
            <w:r w:rsidRPr="00606103">
              <w:rPr>
                <w:rFonts w:asciiTheme="majorHAnsi" w:hAnsiTheme="majorHAnsi" w:cstheme="majorHAnsi"/>
                <w:b/>
                <w:bCs/>
                <w:sz w:val="20"/>
                <w:szCs w:val="20"/>
                <w:lang w:val="ro-MD"/>
              </w:rPr>
              <w:t>SURSE DE FINAN</w:t>
            </w:r>
            <w:r w:rsidR="0061185E" w:rsidRPr="00606103">
              <w:rPr>
                <w:rFonts w:asciiTheme="majorHAnsi" w:hAnsiTheme="majorHAnsi" w:cstheme="majorHAnsi"/>
                <w:b/>
                <w:bCs/>
                <w:sz w:val="20"/>
                <w:szCs w:val="20"/>
                <w:lang w:val="ro-MD"/>
              </w:rPr>
              <w:t>Ț</w:t>
            </w:r>
            <w:r w:rsidRPr="00606103">
              <w:rPr>
                <w:rFonts w:asciiTheme="majorHAnsi" w:hAnsiTheme="majorHAnsi" w:cstheme="majorHAnsi"/>
                <w:b/>
                <w:bCs/>
                <w:sz w:val="20"/>
                <w:szCs w:val="20"/>
                <w:lang w:val="ro-MD"/>
              </w:rPr>
              <w:t>ARE, total</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11.791,9</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4.733,1</w:t>
            </w:r>
          </w:p>
        </w:tc>
        <w:tc>
          <w:tcPr>
            <w:tcW w:w="1312"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-7.058,9</w:t>
            </w:r>
          </w:p>
        </w:tc>
      </w:tr>
      <w:tr w:rsidR="000E0C22" w:rsidRPr="00606103" w:rsidTr="000E3A9F">
        <w:trPr>
          <w:trHeight w:val="68"/>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rsidP="00FE3F3B">
            <w:pPr>
              <w:pStyle w:val="NoSpacing"/>
              <w:spacing w:line="276" w:lineRule="auto"/>
              <w:rPr>
                <w:rFonts w:asciiTheme="majorHAnsi" w:hAnsiTheme="majorHAnsi" w:cstheme="majorHAnsi"/>
                <w:b/>
                <w:bCs/>
                <w:sz w:val="20"/>
                <w:szCs w:val="20"/>
                <w:lang w:val="ro-MD"/>
              </w:rPr>
            </w:pPr>
            <w:r w:rsidRPr="00606103">
              <w:rPr>
                <w:rFonts w:asciiTheme="majorHAnsi" w:hAnsiTheme="majorHAnsi" w:cstheme="majorHAnsi"/>
                <w:b/>
                <w:bCs/>
                <w:sz w:val="20"/>
                <w:szCs w:val="20"/>
                <w:lang w:val="ro-MD"/>
              </w:rPr>
              <w:t>ACTIVE FINANCIARE</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-2.672,9</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-2.257,8</w:t>
            </w:r>
          </w:p>
        </w:tc>
        <w:tc>
          <w:tcPr>
            <w:tcW w:w="1312"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415,0</w:t>
            </w:r>
          </w:p>
        </w:tc>
      </w:tr>
      <w:tr w:rsidR="000E0C22" w:rsidRPr="00606103" w:rsidTr="000E3A9F">
        <w:trPr>
          <w:trHeight w:val="156"/>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rsidP="00FE3F3B">
            <w:pPr>
              <w:pStyle w:val="NoSpacing"/>
              <w:spacing w:line="276" w:lineRule="auto"/>
              <w:rPr>
                <w:rFonts w:asciiTheme="majorHAnsi" w:hAnsiTheme="majorHAnsi" w:cstheme="majorHAnsi"/>
                <w:b/>
                <w:bCs/>
                <w:sz w:val="20"/>
                <w:szCs w:val="20"/>
                <w:lang w:val="ro-MD"/>
              </w:rPr>
            </w:pPr>
            <w:r w:rsidRPr="00606103">
              <w:rPr>
                <w:rFonts w:asciiTheme="majorHAnsi" w:hAnsiTheme="majorHAnsi" w:cstheme="majorHAnsi"/>
                <w:b/>
                <w:bCs/>
                <w:sz w:val="20"/>
                <w:szCs w:val="20"/>
                <w:lang w:val="ro-MD"/>
              </w:rPr>
              <w:t>DATORII</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14.460,1</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81093B">
            <w:pPr>
              <w:pStyle w:val="NoSpacing"/>
              <w:spacing w:line="276" w:lineRule="auto"/>
              <w:jc w:val="center"/>
              <w:rPr>
                <w:rFonts w:asciiTheme="majorHAnsi" w:hAnsiTheme="majorHAnsi" w:cstheme="majorHAnsi"/>
                <w:b/>
                <w:sz w:val="20"/>
                <w:szCs w:val="20"/>
                <w:lang w:val="ro-MD"/>
              </w:rPr>
            </w:pPr>
            <w:r>
              <w:rPr>
                <w:rFonts w:asciiTheme="majorHAnsi" w:hAnsiTheme="majorHAnsi" w:cstheme="majorHAnsi"/>
                <w:b/>
                <w:sz w:val="20"/>
                <w:szCs w:val="20"/>
                <w:lang w:val="ro-MD"/>
              </w:rPr>
              <w:t>11.917,6</w:t>
            </w:r>
          </w:p>
        </w:tc>
        <w:tc>
          <w:tcPr>
            <w:tcW w:w="1312"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-2.542,6</w:t>
            </w:r>
          </w:p>
        </w:tc>
      </w:tr>
      <w:tr w:rsidR="000E0C22" w:rsidRPr="00606103" w:rsidTr="000E3A9F">
        <w:trPr>
          <w:trHeight w:val="68"/>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rsidP="00FE3F3B">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sz w:val="20"/>
                <w:szCs w:val="20"/>
                <w:lang w:val="ro-MD"/>
              </w:rPr>
              <w:t>Datorii interne</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4.735,0</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81093B">
            <w:pPr>
              <w:pStyle w:val="NoSpacing"/>
              <w:spacing w:line="276" w:lineRule="auto"/>
              <w:jc w:val="center"/>
              <w:rPr>
                <w:rFonts w:asciiTheme="majorHAnsi" w:hAnsiTheme="majorHAnsi" w:cstheme="majorHAnsi"/>
                <w:sz w:val="20"/>
                <w:szCs w:val="20"/>
                <w:lang w:val="ro-MD"/>
              </w:rPr>
            </w:pPr>
            <w:r>
              <w:rPr>
                <w:rFonts w:asciiTheme="majorHAnsi" w:hAnsiTheme="majorHAnsi" w:cstheme="majorHAnsi"/>
                <w:sz w:val="20"/>
                <w:szCs w:val="20"/>
                <w:lang w:val="ro-MD"/>
              </w:rPr>
              <w:t>3.764,7</w:t>
            </w:r>
          </w:p>
        </w:tc>
        <w:tc>
          <w:tcPr>
            <w:tcW w:w="1312"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-970,4</w:t>
            </w:r>
          </w:p>
        </w:tc>
      </w:tr>
      <w:tr w:rsidR="000E0C22" w:rsidRPr="00606103" w:rsidTr="000E3A9F">
        <w:trPr>
          <w:trHeight w:val="182"/>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rsidP="00FE3F3B">
            <w:pPr>
              <w:pStyle w:val="NoSpacing"/>
              <w:spacing w:line="276" w:lineRule="auto"/>
              <w:rPr>
                <w:rFonts w:asciiTheme="majorHAnsi" w:hAnsiTheme="majorHAnsi" w:cstheme="majorHAnsi"/>
                <w:sz w:val="20"/>
                <w:szCs w:val="20"/>
                <w:lang w:val="ro-MD"/>
              </w:rPr>
            </w:pPr>
            <w:r w:rsidRPr="00606103">
              <w:rPr>
                <w:rFonts w:asciiTheme="majorHAnsi" w:hAnsiTheme="majorHAnsi" w:cstheme="majorHAnsi"/>
                <w:sz w:val="20"/>
                <w:szCs w:val="20"/>
                <w:lang w:val="ro-MD"/>
              </w:rPr>
              <w:t>Împrumuturi externe</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9.725,1</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8.152,9</w:t>
            </w:r>
          </w:p>
        </w:tc>
        <w:tc>
          <w:tcPr>
            <w:tcW w:w="1312"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-1.572,2</w:t>
            </w:r>
          </w:p>
        </w:tc>
      </w:tr>
      <w:tr w:rsidR="000E0C22" w:rsidRPr="00606103" w:rsidTr="000E3A9F">
        <w:trPr>
          <w:trHeight w:val="109"/>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rsidP="00FE3F3B">
            <w:pPr>
              <w:pStyle w:val="NoSpacing"/>
              <w:spacing w:line="276" w:lineRule="auto"/>
              <w:rPr>
                <w:rFonts w:asciiTheme="majorHAnsi" w:hAnsiTheme="majorHAnsi" w:cstheme="majorHAnsi"/>
                <w:b/>
                <w:bCs/>
                <w:sz w:val="20"/>
                <w:szCs w:val="20"/>
                <w:lang w:val="ro-MD"/>
              </w:rPr>
            </w:pPr>
            <w:r w:rsidRPr="00606103">
              <w:rPr>
                <w:rFonts w:asciiTheme="majorHAnsi" w:hAnsiTheme="majorHAnsi" w:cstheme="majorHAnsi"/>
                <w:b/>
                <w:bCs/>
                <w:sz w:val="20"/>
                <w:szCs w:val="20"/>
                <w:lang w:val="ro-MD"/>
              </w:rPr>
              <w:t>MODIFICAREA SOLDULUI DE MIJLOACE B</w:t>
            </w:r>
            <w:r w:rsidR="0061185E" w:rsidRPr="00606103">
              <w:rPr>
                <w:rFonts w:asciiTheme="majorHAnsi" w:hAnsiTheme="majorHAnsi" w:cstheme="majorHAnsi"/>
                <w:b/>
                <w:bCs/>
                <w:sz w:val="20"/>
                <w:szCs w:val="20"/>
                <w:lang w:val="ro-MD"/>
              </w:rPr>
              <w:t>Ă</w:t>
            </w:r>
            <w:r w:rsidRPr="00606103">
              <w:rPr>
                <w:rFonts w:asciiTheme="majorHAnsi" w:hAnsiTheme="majorHAnsi" w:cstheme="majorHAnsi"/>
                <w:b/>
                <w:bCs/>
                <w:sz w:val="20"/>
                <w:szCs w:val="20"/>
                <w:lang w:val="ro-MD"/>
              </w:rPr>
              <w:t>NE</w:t>
            </w:r>
            <w:r w:rsidR="0061185E" w:rsidRPr="00606103">
              <w:rPr>
                <w:rFonts w:asciiTheme="majorHAnsi" w:hAnsiTheme="majorHAnsi" w:cstheme="majorHAnsi"/>
                <w:b/>
                <w:bCs/>
                <w:sz w:val="20"/>
                <w:szCs w:val="20"/>
                <w:lang w:val="ro-MD"/>
              </w:rPr>
              <w:t>Ș</w:t>
            </w:r>
            <w:r w:rsidRPr="00606103">
              <w:rPr>
                <w:rFonts w:asciiTheme="majorHAnsi" w:hAnsiTheme="majorHAnsi" w:cstheme="majorHAnsi"/>
                <w:b/>
                <w:bCs/>
                <w:sz w:val="20"/>
                <w:szCs w:val="20"/>
                <w:lang w:val="ro-MD"/>
              </w:rPr>
              <w:t>TI</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4,7</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-4.926,7</w:t>
            </w:r>
          </w:p>
        </w:tc>
        <w:tc>
          <w:tcPr>
            <w:tcW w:w="1312"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0E0C22" w:rsidRPr="00606103" w:rsidRDefault="000E0C22">
            <w:pPr>
              <w:pStyle w:val="NoSpacing"/>
              <w:spacing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-4.931,3</w:t>
            </w:r>
          </w:p>
        </w:tc>
      </w:tr>
      <w:tr w:rsidR="000E0C22" w:rsidRPr="00606103" w:rsidTr="009649AD">
        <w:trPr>
          <w:trHeight w:val="39"/>
          <w:jc w:val="center"/>
        </w:trPr>
        <w:tc>
          <w:tcPr>
            <w:tcW w:w="5000" w:type="pct"/>
            <w:gridSpan w:val="4"/>
            <w:tcBorders>
              <w:top w:val="single" w:sz="4" w:space="0" w:color="auto"/>
              <w:left w:val="nil"/>
              <w:bottom w:val="nil"/>
              <w:right w:val="nil"/>
            </w:tcBorders>
            <w:tcMar>
              <w:top w:w="15" w:type="dxa"/>
              <w:left w:w="45" w:type="dxa"/>
              <w:bottom w:w="15" w:type="dxa"/>
              <w:right w:w="45" w:type="dxa"/>
            </w:tcMar>
            <w:hideMark/>
          </w:tcPr>
          <w:p w:rsidR="000E0C22" w:rsidRPr="00606103" w:rsidRDefault="000E0C22" w:rsidP="00FE3F3B">
            <w:pPr>
              <w:pStyle w:val="NoSpacing"/>
              <w:spacing w:line="276" w:lineRule="auto"/>
              <w:jc w:val="both"/>
              <w:rPr>
                <w:rFonts w:asciiTheme="majorHAnsi" w:hAnsiTheme="majorHAnsi" w:cstheme="majorHAnsi"/>
                <w:sz w:val="20"/>
                <w:szCs w:val="20"/>
                <w:lang w:val="ro-MD"/>
              </w:rPr>
            </w:pPr>
            <w:r w:rsidRPr="00606103">
              <w:rPr>
                <w:rFonts w:asciiTheme="majorHAnsi" w:hAnsiTheme="majorHAnsi" w:cstheme="majorHAnsi"/>
                <w:sz w:val="20"/>
                <w:szCs w:val="20"/>
                <w:lang w:val="ro-MD"/>
              </w:rPr>
              <w:t> </w:t>
            </w:r>
            <w:r w:rsidR="001E52B6" w:rsidRPr="00606103">
              <w:rPr>
                <w:rFonts w:asciiTheme="majorHAnsi" w:hAnsiTheme="majorHAnsi" w:cstheme="majorHAnsi"/>
                <w:b/>
                <w:i/>
                <w:sz w:val="20"/>
                <w:szCs w:val="24"/>
                <w:lang w:val="ro-MD" w:eastAsia="ru-RU"/>
              </w:rPr>
              <w:t>Sursă:</w:t>
            </w:r>
            <w:r w:rsidR="001E52B6" w:rsidRPr="00606103">
              <w:rPr>
                <w:rFonts w:asciiTheme="majorHAnsi" w:hAnsiTheme="majorHAnsi" w:cstheme="majorHAnsi"/>
                <w:sz w:val="20"/>
                <w:szCs w:val="24"/>
                <w:lang w:val="ro-MD" w:eastAsia="ru-RU"/>
              </w:rPr>
              <w:t xml:space="preserve"> </w:t>
            </w:r>
            <w:r w:rsidR="001E52B6" w:rsidRPr="00606103">
              <w:rPr>
                <w:rFonts w:asciiTheme="majorHAnsi" w:hAnsiTheme="majorHAnsi" w:cstheme="majorHAnsi"/>
                <w:i/>
                <w:sz w:val="20"/>
                <w:szCs w:val="24"/>
                <w:lang w:val="ro-MD" w:eastAsia="ru-RU"/>
              </w:rPr>
              <w:t>Date generalizate de echipa de audit din</w:t>
            </w:r>
            <w:r w:rsidR="001E52B6" w:rsidRPr="00606103">
              <w:rPr>
                <w:rFonts w:asciiTheme="majorHAnsi" w:hAnsiTheme="majorHAnsi" w:cstheme="majorHAnsi"/>
                <w:sz w:val="20"/>
                <w:szCs w:val="24"/>
                <w:lang w:val="ro-MD" w:eastAsia="ru-RU"/>
              </w:rPr>
              <w:t xml:space="preserve"> </w:t>
            </w:r>
            <w:r w:rsidR="001E52B6" w:rsidRPr="00606103">
              <w:rPr>
                <w:rFonts w:asciiTheme="majorHAnsi" w:hAnsiTheme="majorHAnsi" w:cstheme="majorHAnsi"/>
                <w:i/>
                <w:sz w:val="20"/>
                <w:szCs w:val="24"/>
                <w:lang w:val="ro-MD" w:eastAsia="ru-RU"/>
              </w:rPr>
              <w:t>Raportul privind executarea bugetului de stat pe anul 2021.</w:t>
            </w:r>
          </w:p>
        </w:tc>
      </w:tr>
    </w:tbl>
    <w:p w:rsidR="008269A9" w:rsidRDefault="008269A9" w:rsidP="000E3A9F">
      <w:pPr>
        <w:pStyle w:val="FootnoteText"/>
        <w:spacing w:line="276" w:lineRule="auto"/>
        <w:jc w:val="both"/>
        <w:rPr>
          <w:rFonts w:asciiTheme="majorHAnsi" w:hAnsiTheme="majorHAnsi" w:cstheme="majorHAnsi"/>
          <w:sz w:val="24"/>
          <w:szCs w:val="24"/>
          <w:highlight w:val="yellow"/>
          <w:lang w:val="ro-MD"/>
        </w:rPr>
      </w:pPr>
    </w:p>
    <w:p w:rsidR="000E0C22" w:rsidRPr="005D7D4D" w:rsidRDefault="000E3A9F" w:rsidP="005D7D4D">
      <w:pPr>
        <w:rPr>
          <w:rFonts w:asciiTheme="majorHAnsi" w:hAnsiTheme="majorHAnsi" w:cstheme="majorHAnsi"/>
          <w:sz w:val="24"/>
          <w:szCs w:val="24"/>
          <w:lang w:val="ro-MD"/>
        </w:rPr>
      </w:pPr>
      <w:r w:rsidRPr="005D7D4D">
        <w:rPr>
          <w:rFonts w:asciiTheme="majorHAnsi" w:hAnsiTheme="majorHAnsi" w:cstheme="majorHAnsi"/>
          <w:sz w:val="24"/>
          <w:szCs w:val="24"/>
          <w:lang w:val="ro-MD"/>
        </w:rPr>
        <w:t xml:space="preserve">Conform art.30 din Legea nr.181 din 25.07.2014, sursele de finanțare se formează din: operațiuni cu instrumente ale datoriei; operațiuni aferente vânzării și privatizării patrimoniului public; operațiuni cu soldurile în conturile bugetului; alte operațiuni cu activele financiare și cu datoriile bugetului. </w:t>
      </w:r>
    </w:p>
    <w:p w:rsidR="000E3A9F" w:rsidRPr="005D7D4D" w:rsidRDefault="00774E69" w:rsidP="005D7D4D">
      <w:pPr>
        <w:rPr>
          <w:rFonts w:asciiTheme="majorHAnsi" w:hAnsiTheme="majorHAnsi" w:cstheme="majorHAnsi"/>
          <w:sz w:val="24"/>
          <w:szCs w:val="24"/>
          <w:lang w:val="ro-MD"/>
        </w:rPr>
      </w:pPr>
      <w:r w:rsidRPr="005D7D4D">
        <w:rPr>
          <w:rFonts w:asciiTheme="majorHAnsi" w:hAnsiTheme="majorHAnsi" w:cstheme="majorHAnsi"/>
          <w:sz w:val="24"/>
          <w:szCs w:val="24"/>
          <w:lang w:val="ro-MD"/>
        </w:rPr>
        <w:t>Verificările auditului asupra conformității r</w:t>
      </w:r>
      <w:r w:rsidR="00B261EA" w:rsidRPr="005D7D4D">
        <w:rPr>
          <w:rFonts w:asciiTheme="majorHAnsi" w:hAnsiTheme="majorHAnsi" w:cstheme="majorHAnsi"/>
          <w:sz w:val="24"/>
          <w:szCs w:val="24"/>
          <w:lang w:val="ro-MD"/>
        </w:rPr>
        <w:t>aportării surselor de finanțare</w:t>
      </w:r>
      <w:r w:rsidRPr="005D7D4D">
        <w:rPr>
          <w:rFonts w:asciiTheme="majorHAnsi" w:hAnsiTheme="majorHAnsi" w:cstheme="majorHAnsi"/>
          <w:sz w:val="24"/>
          <w:szCs w:val="24"/>
          <w:lang w:val="ro-MD"/>
        </w:rPr>
        <w:t xml:space="preserve"> a deficitului BS în anul 2021 au relevat următoarele.</w:t>
      </w:r>
    </w:p>
    <w:p w:rsidR="00C732E5" w:rsidRPr="005D7D4D" w:rsidRDefault="000E0C22" w:rsidP="005D7D4D">
      <w:pPr>
        <w:rPr>
          <w:rFonts w:asciiTheme="majorHAnsi" w:hAnsiTheme="majorHAnsi" w:cstheme="majorHAnsi"/>
          <w:sz w:val="24"/>
          <w:szCs w:val="24"/>
          <w:lang w:val="ro-MD"/>
        </w:rPr>
      </w:pPr>
      <w:r w:rsidRPr="005D7D4D">
        <w:rPr>
          <w:rFonts w:asciiTheme="majorHAnsi" w:hAnsiTheme="majorHAnsi" w:cstheme="majorHAnsi"/>
          <w:sz w:val="24"/>
          <w:szCs w:val="24"/>
          <w:lang w:val="ro-MD"/>
        </w:rPr>
        <w:t>Potrivit art.6 din Legea bugetului de stat pentru anul 2021, au fost prevăzute mijloace financiare pentru majorarea capitalului social al ÎS „Calea Ferată din Moldova” (48,6 mil. lei, echivalentul a</w:t>
      </w:r>
      <w:r w:rsidR="00B261EA" w:rsidRPr="005D7D4D">
        <w:rPr>
          <w:rFonts w:asciiTheme="majorHAnsi" w:hAnsiTheme="majorHAnsi" w:cstheme="majorHAnsi"/>
          <w:sz w:val="24"/>
          <w:szCs w:val="24"/>
          <w:lang w:val="ro-MD"/>
        </w:rPr>
        <w:t xml:space="preserve">         </w:t>
      </w:r>
      <w:r w:rsidRPr="005D7D4D">
        <w:rPr>
          <w:rFonts w:asciiTheme="majorHAnsi" w:hAnsiTheme="majorHAnsi" w:cstheme="majorHAnsi"/>
          <w:sz w:val="24"/>
          <w:szCs w:val="24"/>
          <w:lang w:val="ro-MD"/>
        </w:rPr>
        <w:t xml:space="preserve"> 2,7 mil. euro)</w:t>
      </w:r>
      <w:r w:rsidRPr="005D7D4D">
        <w:rPr>
          <w:rFonts w:asciiTheme="majorHAnsi" w:hAnsiTheme="majorHAnsi" w:cstheme="majorHAnsi"/>
          <w:sz w:val="24"/>
          <w:szCs w:val="24"/>
          <w:vertAlign w:val="superscript"/>
          <w:lang w:val="ro-MD"/>
        </w:rPr>
        <w:footnoteReference w:id="98"/>
      </w:r>
      <w:r w:rsidRPr="005D7D4D">
        <w:rPr>
          <w:rFonts w:asciiTheme="majorHAnsi" w:hAnsiTheme="majorHAnsi" w:cstheme="majorHAnsi"/>
          <w:sz w:val="24"/>
          <w:szCs w:val="24"/>
          <w:lang w:val="ro-MD"/>
        </w:rPr>
        <w:t>, al SRL „Arena Națională” (67,7 mil. lei) și SA „Energocom” (1 700,0 mil. lei)</w:t>
      </w:r>
      <w:r w:rsidRPr="005D7D4D">
        <w:rPr>
          <w:rStyle w:val="FootnoteReference"/>
          <w:rFonts w:asciiTheme="majorHAnsi" w:hAnsiTheme="majorHAnsi" w:cstheme="majorHAnsi"/>
          <w:sz w:val="24"/>
          <w:szCs w:val="24"/>
          <w:lang w:val="ro-MD"/>
        </w:rPr>
        <w:footnoteReference w:id="99"/>
      </w:r>
      <w:r w:rsidRPr="005D7D4D">
        <w:rPr>
          <w:rFonts w:asciiTheme="majorHAnsi" w:hAnsiTheme="majorHAnsi" w:cstheme="majorHAnsi"/>
          <w:sz w:val="24"/>
          <w:szCs w:val="24"/>
          <w:lang w:val="ro-MD"/>
        </w:rPr>
        <w:t>. Totodată, cota de participare a RM în capitalul statutar al băncilor de dezvoltare internaționale a constituit suma de 38,9 mil. lei (echivalentul a 2,2 mil. dolari SUA).</w:t>
      </w:r>
      <w:r w:rsidR="00C732E5" w:rsidRPr="005D7D4D">
        <w:rPr>
          <w:rFonts w:asciiTheme="majorHAnsi" w:hAnsiTheme="majorHAnsi" w:cstheme="majorHAnsi"/>
          <w:sz w:val="24"/>
          <w:szCs w:val="24"/>
          <w:lang w:val="ro-MD"/>
        </w:rPr>
        <w:t xml:space="preserve"> </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Astfel, în anul 2021, MF a alocat SRL „Arena Națională”</w:t>
      </w:r>
      <w:r w:rsidRPr="00606103">
        <w:rPr>
          <w:rFonts w:asciiTheme="majorHAnsi" w:hAnsiTheme="majorHAnsi" w:cstheme="majorHAnsi"/>
          <w:sz w:val="24"/>
          <w:szCs w:val="24"/>
          <w:vertAlign w:val="superscript"/>
          <w:lang w:val="ro-MD"/>
        </w:rPr>
        <w:footnoteReference w:id="100"/>
      </w:r>
      <w:r w:rsidRPr="00606103">
        <w:rPr>
          <w:rFonts w:asciiTheme="majorHAnsi" w:hAnsiTheme="majorHAnsi" w:cstheme="majorHAnsi"/>
          <w:sz w:val="24"/>
          <w:szCs w:val="24"/>
          <w:lang w:val="ro-MD"/>
        </w:rPr>
        <w:t xml:space="preserve"> 67,7 mil. lei (100%), </w:t>
      </w:r>
      <w:r w:rsidR="00BD47DE" w:rsidRPr="00606103">
        <w:rPr>
          <w:rFonts w:asciiTheme="majorHAnsi" w:hAnsiTheme="majorHAnsi" w:cstheme="majorHAnsi"/>
          <w:sz w:val="24"/>
          <w:szCs w:val="24"/>
          <w:lang w:val="ro-MD"/>
        </w:rPr>
        <w:t xml:space="preserve">iar </w:t>
      </w:r>
      <w:r w:rsidRPr="00606103">
        <w:rPr>
          <w:rFonts w:asciiTheme="majorHAnsi" w:hAnsiTheme="majorHAnsi" w:cstheme="majorHAnsi"/>
          <w:sz w:val="24"/>
          <w:szCs w:val="24"/>
          <w:lang w:val="ro-MD"/>
        </w:rPr>
        <w:t xml:space="preserve">APP </w:t>
      </w:r>
      <w:r w:rsidR="00BD47DE" w:rsidRPr="00606103">
        <w:rPr>
          <w:rFonts w:asciiTheme="majorHAnsi" w:hAnsiTheme="majorHAnsi" w:cstheme="majorHAnsi"/>
          <w:sz w:val="24"/>
          <w:szCs w:val="24"/>
          <w:lang w:val="ro-MD"/>
        </w:rPr>
        <w:t xml:space="preserve">a </w:t>
      </w:r>
      <w:r w:rsidRPr="00606103">
        <w:rPr>
          <w:rFonts w:asciiTheme="majorHAnsi" w:hAnsiTheme="majorHAnsi" w:cstheme="majorHAnsi"/>
          <w:sz w:val="24"/>
          <w:szCs w:val="24"/>
          <w:lang w:val="ro-MD"/>
        </w:rPr>
        <w:t>major</w:t>
      </w:r>
      <w:r w:rsidR="00BD47DE" w:rsidRPr="00606103">
        <w:rPr>
          <w:rFonts w:asciiTheme="majorHAnsi" w:hAnsiTheme="majorHAnsi" w:cstheme="majorHAnsi"/>
          <w:sz w:val="24"/>
          <w:szCs w:val="24"/>
          <w:lang w:val="ro-MD"/>
        </w:rPr>
        <w:t>at</w:t>
      </w:r>
      <w:r w:rsidRPr="00606103">
        <w:rPr>
          <w:rFonts w:asciiTheme="majorHAnsi" w:hAnsiTheme="majorHAnsi" w:cstheme="majorHAnsi"/>
          <w:sz w:val="24"/>
          <w:szCs w:val="24"/>
          <w:lang w:val="ro-MD"/>
        </w:rPr>
        <w:t xml:space="preserve"> capitalul social</w:t>
      </w:r>
      <w:r w:rsidRPr="00606103">
        <w:rPr>
          <w:rFonts w:asciiTheme="majorHAnsi" w:hAnsiTheme="majorHAnsi" w:cstheme="majorHAnsi"/>
          <w:sz w:val="24"/>
          <w:szCs w:val="24"/>
          <w:vertAlign w:val="superscript"/>
          <w:lang w:val="ro-MD"/>
        </w:rPr>
        <w:footnoteReference w:id="101"/>
      </w:r>
      <w:r w:rsidRPr="00606103">
        <w:rPr>
          <w:rFonts w:asciiTheme="majorHAnsi" w:hAnsiTheme="majorHAnsi" w:cstheme="majorHAnsi"/>
          <w:sz w:val="24"/>
          <w:szCs w:val="24"/>
          <w:lang w:val="ro-MD"/>
        </w:rPr>
        <w:t xml:space="preserve"> </w:t>
      </w:r>
      <w:r w:rsidR="00BD47DE" w:rsidRPr="00606103">
        <w:rPr>
          <w:rFonts w:asciiTheme="majorHAnsi" w:hAnsiTheme="majorHAnsi" w:cstheme="majorHAnsi"/>
          <w:sz w:val="24"/>
          <w:szCs w:val="24"/>
          <w:lang w:val="ro-MD"/>
        </w:rPr>
        <w:t xml:space="preserve">al acesteia </w:t>
      </w:r>
      <w:r w:rsidRPr="00606103">
        <w:rPr>
          <w:rFonts w:asciiTheme="majorHAnsi" w:hAnsiTheme="majorHAnsi" w:cstheme="majorHAnsi"/>
          <w:sz w:val="24"/>
          <w:szCs w:val="24"/>
          <w:lang w:val="ro-MD"/>
        </w:rPr>
        <w:t xml:space="preserve">la data de 17.01.2022 și </w:t>
      </w:r>
      <w:r w:rsidRPr="00606103">
        <w:rPr>
          <w:rFonts w:asciiTheme="majorHAnsi" w:eastAsia="Times New Roman" w:hAnsiTheme="majorHAnsi" w:cstheme="majorHAnsi"/>
          <w:sz w:val="24"/>
          <w:szCs w:val="24"/>
          <w:lang w:val="ro-MD"/>
        </w:rPr>
        <w:t>a efectuat înregistrarea de stat</w:t>
      </w:r>
      <w:r w:rsidRPr="00606103">
        <w:rPr>
          <w:rFonts w:asciiTheme="majorHAnsi" w:eastAsia="Times New Roman" w:hAnsiTheme="majorHAnsi" w:cstheme="majorHAnsi"/>
          <w:sz w:val="24"/>
          <w:szCs w:val="24"/>
          <w:vertAlign w:val="superscript"/>
          <w:lang w:val="ro-MD"/>
        </w:rPr>
        <w:t xml:space="preserve"> </w:t>
      </w:r>
      <w:r w:rsidRPr="00606103">
        <w:rPr>
          <w:rFonts w:asciiTheme="majorHAnsi" w:eastAsia="Times New Roman" w:hAnsiTheme="majorHAnsi" w:cstheme="majorHAnsi"/>
          <w:sz w:val="24"/>
          <w:szCs w:val="24"/>
          <w:vertAlign w:val="superscript"/>
          <w:lang w:val="ro-MD"/>
        </w:rPr>
        <w:footnoteReference w:id="102"/>
      </w:r>
      <w:r w:rsidRPr="00606103">
        <w:rPr>
          <w:rFonts w:asciiTheme="majorHAnsi" w:eastAsia="Times New Roman" w:hAnsiTheme="majorHAnsi" w:cstheme="majorHAnsi"/>
          <w:sz w:val="24"/>
          <w:szCs w:val="24"/>
          <w:lang w:val="ro-MD"/>
        </w:rPr>
        <w:t>, încadrând</w:t>
      </w:r>
      <w:r w:rsidR="00BD47DE" w:rsidRPr="00606103">
        <w:rPr>
          <w:rFonts w:asciiTheme="majorHAnsi" w:eastAsia="Times New Roman" w:hAnsiTheme="majorHAnsi" w:cstheme="majorHAnsi"/>
          <w:sz w:val="24"/>
          <w:szCs w:val="24"/>
          <w:lang w:val="ro-MD"/>
        </w:rPr>
        <w:t>u</w:t>
      </w:r>
      <w:r w:rsidRPr="00606103">
        <w:rPr>
          <w:rFonts w:asciiTheme="majorHAnsi" w:eastAsia="Times New Roman" w:hAnsiTheme="majorHAnsi" w:cstheme="majorHAnsi"/>
          <w:sz w:val="24"/>
          <w:szCs w:val="24"/>
          <w:lang w:val="ro-MD"/>
        </w:rPr>
        <w:t xml:space="preserve">-se în termenul stipulat în HG. </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Comisa pentru Situații Excepționale</w:t>
      </w:r>
      <w:r w:rsidRPr="00606103">
        <w:rPr>
          <w:rStyle w:val="FootnoteReference"/>
          <w:rFonts w:asciiTheme="majorHAnsi" w:hAnsiTheme="majorHAnsi" w:cstheme="majorHAnsi"/>
          <w:sz w:val="24"/>
          <w:szCs w:val="24"/>
          <w:lang w:val="ro-MD"/>
        </w:rPr>
        <w:footnoteReference w:id="103"/>
      </w:r>
      <w:r w:rsidRPr="00606103">
        <w:rPr>
          <w:rFonts w:asciiTheme="majorHAnsi" w:hAnsiTheme="majorHAnsi" w:cstheme="majorHAnsi"/>
          <w:sz w:val="24"/>
          <w:szCs w:val="24"/>
          <w:lang w:val="ro-MD"/>
        </w:rPr>
        <w:t>, p</w:t>
      </w:r>
      <w:r w:rsidRPr="00606103">
        <w:rPr>
          <w:rFonts w:asciiTheme="majorHAnsi" w:eastAsia="Times New Roman" w:hAnsiTheme="majorHAnsi" w:cstheme="majorHAnsi"/>
          <w:sz w:val="24"/>
          <w:szCs w:val="24"/>
          <w:lang w:val="ro-MD"/>
        </w:rPr>
        <w:t>rin derogare de la prevederile art. 61 alin. (3) din Legea finanțelor publice şi responsabilității bugetar-fiscale, a modificat Legea bugetului de stat pentru anul 2021 și a alocat mijloace financiare pentru majorarea capitalului social al SA „Energocom”, în sumă de până la 1700,0 mil. de lei</w:t>
      </w:r>
      <w:r w:rsidR="00BD47DE" w:rsidRPr="00606103">
        <w:rPr>
          <w:rFonts w:asciiTheme="majorHAnsi" w:eastAsia="Times New Roman" w:hAnsiTheme="majorHAnsi" w:cstheme="majorHAnsi"/>
          <w:sz w:val="24"/>
          <w:szCs w:val="24"/>
          <w:lang w:val="ro-MD"/>
        </w:rPr>
        <w:t>,</w:t>
      </w:r>
      <w:r w:rsidRPr="00606103">
        <w:rPr>
          <w:rFonts w:asciiTheme="majorHAnsi" w:eastAsia="Times New Roman" w:hAnsiTheme="majorHAnsi" w:cstheme="majorHAnsi"/>
          <w:sz w:val="24"/>
          <w:szCs w:val="24"/>
          <w:lang w:val="ro-MD"/>
        </w:rPr>
        <w:t xml:space="preserve"> din contul modificării soldurilor de mijloace bănești la conturile bugetului de stat. Astfel, În baza Dispoziției Comisiei pentru </w:t>
      </w:r>
      <w:r w:rsidR="00BD47DE" w:rsidRPr="00606103">
        <w:rPr>
          <w:rFonts w:asciiTheme="majorHAnsi" w:eastAsia="Times New Roman" w:hAnsiTheme="majorHAnsi" w:cstheme="majorHAnsi"/>
          <w:sz w:val="24"/>
          <w:szCs w:val="24"/>
          <w:lang w:val="ro-MD"/>
        </w:rPr>
        <w:t>S</w:t>
      </w:r>
      <w:r w:rsidRPr="00606103">
        <w:rPr>
          <w:rFonts w:asciiTheme="majorHAnsi" w:eastAsia="Times New Roman" w:hAnsiTheme="majorHAnsi" w:cstheme="majorHAnsi"/>
          <w:sz w:val="24"/>
          <w:szCs w:val="24"/>
          <w:lang w:val="ro-MD"/>
        </w:rPr>
        <w:t>ituații Excepționale nr. 1 din 22.10.2021 și la solicitarea APP nr. 14-04-6489 din 22.10.</w:t>
      </w:r>
      <w:r w:rsidR="00BD47DE" w:rsidRPr="00606103">
        <w:rPr>
          <w:rFonts w:asciiTheme="majorHAnsi" w:eastAsia="Times New Roman" w:hAnsiTheme="majorHAnsi" w:cstheme="majorHAnsi"/>
          <w:sz w:val="24"/>
          <w:szCs w:val="24"/>
          <w:lang w:val="ro-MD"/>
        </w:rPr>
        <w:t>20</w:t>
      </w:r>
      <w:r w:rsidRPr="00606103">
        <w:rPr>
          <w:rFonts w:asciiTheme="majorHAnsi" w:eastAsia="Times New Roman" w:hAnsiTheme="majorHAnsi" w:cstheme="majorHAnsi"/>
          <w:sz w:val="24"/>
          <w:szCs w:val="24"/>
          <w:lang w:val="ro-MD"/>
        </w:rPr>
        <w:t xml:space="preserve">21 și </w:t>
      </w:r>
      <w:r w:rsidR="009F1008" w:rsidRPr="00606103">
        <w:rPr>
          <w:rFonts w:asciiTheme="majorHAnsi" w:eastAsia="Times New Roman" w:hAnsiTheme="majorHAnsi" w:cstheme="majorHAnsi"/>
          <w:sz w:val="24"/>
          <w:szCs w:val="24"/>
          <w:lang w:val="ro-MD"/>
        </w:rPr>
        <w:t>nr.</w:t>
      </w:r>
      <w:r w:rsidRPr="00606103">
        <w:rPr>
          <w:rFonts w:asciiTheme="majorHAnsi" w:eastAsia="Times New Roman" w:hAnsiTheme="majorHAnsi" w:cstheme="majorHAnsi"/>
          <w:sz w:val="24"/>
          <w:szCs w:val="24"/>
          <w:lang w:val="ro-MD"/>
        </w:rPr>
        <w:t xml:space="preserve"> 07-04-6603 din 29.10.</w:t>
      </w:r>
      <w:r w:rsidR="00BD47DE" w:rsidRPr="00606103">
        <w:rPr>
          <w:rFonts w:asciiTheme="majorHAnsi" w:eastAsia="Times New Roman" w:hAnsiTheme="majorHAnsi" w:cstheme="majorHAnsi"/>
          <w:sz w:val="24"/>
          <w:szCs w:val="24"/>
          <w:lang w:val="ro-MD"/>
        </w:rPr>
        <w:t>20</w:t>
      </w:r>
      <w:r w:rsidRPr="00606103">
        <w:rPr>
          <w:rFonts w:asciiTheme="majorHAnsi" w:eastAsia="Times New Roman" w:hAnsiTheme="majorHAnsi" w:cstheme="majorHAnsi"/>
          <w:sz w:val="24"/>
          <w:szCs w:val="24"/>
          <w:lang w:val="ro-MD"/>
        </w:rPr>
        <w:t>21</w:t>
      </w:r>
      <w:r w:rsidR="00C42A1E" w:rsidRPr="00606103">
        <w:rPr>
          <w:rStyle w:val="FootnoteReference"/>
          <w:rFonts w:asciiTheme="majorHAnsi" w:hAnsiTheme="majorHAnsi" w:cstheme="majorHAnsi"/>
          <w:sz w:val="24"/>
          <w:szCs w:val="24"/>
          <w:lang w:val="ro-MD"/>
        </w:rPr>
        <w:footnoteReference w:id="104"/>
      </w:r>
      <w:r w:rsidR="00C42A1E" w:rsidRPr="00606103">
        <w:rPr>
          <w:rFonts w:asciiTheme="majorHAnsi" w:hAnsiTheme="majorHAnsi" w:cstheme="majorHAnsi"/>
          <w:sz w:val="24"/>
          <w:szCs w:val="24"/>
          <w:lang w:val="ro-MD"/>
        </w:rPr>
        <w:t>,</w:t>
      </w:r>
      <w:r w:rsidRPr="00606103">
        <w:rPr>
          <w:rFonts w:asciiTheme="majorHAnsi" w:eastAsia="Times New Roman" w:hAnsiTheme="majorHAnsi" w:cstheme="majorHAnsi"/>
          <w:sz w:val="24"/>
          <w:szCs w:val="24"/>
          <w:lang w:val="ro-MD"/>
        </w:rPr>
        <w:t xml:space="preserve"> </w:t>
      </w:r>
      <w:r w:rsidRPr="00606103">
        <w:rPr>
          <w:rFonts w:asciiTheme="majorHAnsi" w:hAnsiTheme="majorHAnsi" w:cstheme="majorHAnsi"/>
          <w:sz w:val="24"/>
          <w:szCs w:val="24"/>
          <w:lang w:val="ro-MD"/>
        </w:rPr>
        <w:t>MF a alocat</w:t>
      </w:r>
      <w:r w:rsidR="00B261EA">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lastRenderedPageBreak/>
        <w:t>306,2 mil. lei</w:t>
      </w:r>
      <w:r w:rsidRPr="00606103">
        <w:rPr>
          <w:rStyle w:val="FootnoteReference"/>
          <w:rFonts w:asciiTheme="majorHAnsi" w:hAnsiTheme="majorHAnsi" w:cstheme="majorHAnsi"/>
          <w:sz w:val="24"/>
          <w:szCs w:val="24"/>
          <w:lang w:val="ro-MD"/>
        </w:rPr>
        <w:footnoteReference w:id="105"/>
      </w:r>
      <w:r w:rsidRPr="00606103">
        <w:rPr>
          <w:rFonts w:asciiTheme="majorHAnsi" w:hAnsiTheme="majorHAnsi" w:cstheme="majorHAnsi"/>
          <w:sz w:val="24"/>
          <w:szCs w:val="24"/>
          <w:lang w:val="ro-MD"/>
        </w:rPr>
        <w:t>, iar ulterior, în temeiul HG nr.380 din 26.11.</w:t>
      </w:r>
      <w:r w:rsidR="00BD47DE" w:rsidRPr="00606103">
        <w:rPr>
          <w:rFonts w:asciiTheme="majorHAnsi" w:hAnsiTheme="majorHAnsi" w:cstheme="majorHAnsi"/>
          <w:sz w:val="24"/>
          <w:szCs w:val="24"/>
          <w:lang w:val="ro-MD"/>
        </w:rPr>
        <w:t>20</w:t>
      </w:r>
      <w:r w:rsidRPr="00606103">
        <w:rPr>
          <w:rFonts w:asciiTheme="majorHAnsi" w:hAnsiTheme="majorHAnsi" w:cstheme="majorHAnsi"/>
          <w:sz w:val="24"/>
          <w:szCs w:val="24"/>
          <w:lang w:val="ro-MD"/>
        </w:rPr>
        <w:t>21</w:t>
      </w:r>
      <w:r w:rsidRPr="00606103">
        <w:rPr>
          <w:rFonts w:asciiTheme="majorHAnsi" w:hAnsiTheme="majorHAnsi" w:cstheme="majorHAnsi"/>
          <w:sz w:val="24"/>
          <w:szCs w:val="24"/>
          <w:vertAlign w:val="superscript"/>
          <w:lang w:val="ro-MD"/>
        </w:rPr>
        <w:footnoteReference w:id="106"/>
      </w:r>
      <w:r w:rsidRPr="00606103">
        <w:rPr>
          <w:rFonts w:asciiTheme="majorHAnsi" w:hAnsiTheme="majorHAnsi" w:cstheme="majorHAnsi"/>
          <w:sz w:val="24"/>
          <w:szCs w:val="24"/>
          <w:lang w:val="ro-MD"/>
        </w:rPr>
        <w:t>, a alocat SA „Energocom”</w:t>
      </w:r>
      <w:r w:rsidRPr="00606103">
        <w:rPr>
          <w:rFonts w:asciiTheme="majorHAnsi" w:hAnsiTheme="majorHAnsi" w:cstheme="majorHAnsi"/>
          <w:sz w:val="24"/>
          <w:szCs w:val="24"/>
          <w:vertAlign w:val="superscript"/>
          <w:lang w:val="ro-MD"/>
        </w:rPr>
        <w:footnoteReference w:id="107"/>
      </w:r>
      <w:r w:rsidRPr="00606103">
        <w:rPr>
          <w:rFonts w:asciiTheme="majorHAnsi" w:hAnsiTheme="majorHAnsi" w:cstheme="majorHAnsi"/>
          <w:sz w:val="24"/>
          <w:szCs w:val="24"/>
          <w:lang w:val="ro-MD"/>
        </w:rPr>
        <w:t xml:space="preserve"> suma de 1 393,8 mil. lei. </w:t>
      </w:r>
    </w:p>
    <w:p w:rsidR="000E0C22" w:rsidRPr="00606103" w:rsidRDefault="000E0C22">
      <w:pPr>
        <w:spacing w:line="276" w:lineRule="auto"/>
        <w:rPr>
          <w:rFonts w:asciiTheme="majorHAnsi" w:eastAsia="Times New Roman" w:hAnsiTheme="majorHAnsi" w:cstheme="majorHAnsi"/>
          <w:sz w:val="24"/>
          <w:szCs w:val="24"/>
          <w:lang w:val="ro-MD"/>
        </w:rPr>
      </w:pPr>
      <w:r w:rsidRPr="00606103">
        <w:rPr>
          <w:rFonts w:asciiTheme="majorHAnsi" w:eastAsia="Times New Roman" w:hAnsiTheme="majorHAnsi" w:cstheme="majorHAnsi"/>
          <w:sz w:val="24"/>
          <w:szCs w:val="24"/>
          <w:lang w:val="ro-MD"/>
        </w:rPr>
        <w:t xml:space="preserve">Pentru totalul mijloacelor alocate </w:t>
      </w:r>
      <w:r w:rsidR="009F1008" w:rsidRPr="00606103">
        <w:rPr>
          <w:rFonts w:asciiTheme="majorHAnsi" w:eastAsia="Times New Roman" w:hAnsiTheme="majorHAnsi" w:cstheme="majorHAnsi"/>
          <w:sz w:val="24"/>
          <w:szCs w:val="24"/>
          <w:lang w:val="ro-MD"/>
        </w:rPr>
        <w:t xml:space="preserve">de </w:t>
      </w:r>
      <w:r w:rsidRPr="00606103">
        <w:rPr>
          <w:rFonts w:asciiTheme="majorHAnsi" w:eastAsia="Times New Roman" w:hAnsiTheme="majorHAnsi" w:cstheme="majorHAnsi"/>
          <w:sz w:val="24"/>
          <w:szCs w:val="24"/>
          <w:lang w:val="ro-MD"/>
        </w:rPr>
        <w:t>1</w:t>
      </w:r>
      <w:r w:rsidR="009F1008" w:rsidRPr="00606103">
        <w:rPr>
          <w:rFonts w:asciiTheme="majorHAnsi" w:eastAsia="Times New Roman" w:hAnsiTheme="majorHAnsi" w:cstheme="majorHAnsi"/>
          <w:sz w:val="24"/>
          <w:szCs w:val="24"/>
          <w:lang w:val="ro-MD"/>
        </w:rPr>
        <w:t xml:space="preserve"> </w:t>
      </w:r>
      <w:r w:rsidRPr="00606103">
        <w:rPr>
          <w:rFonts w:asciiTheme="majorHAnsi" w:eastAsia="Times New Roman" w:hAnsiTheme="majorHAnsi" w:cstheme="majorHAnsi"/>
          <w:sz w:val="24"/>
          <w:szCs w:val="24"/>
          <w:lang w:val="ro-MD"/>
        </w:rPr>
        <w:t xml:space="preserve">700, 0 mil. lei, </w:t>
      </w:r>
      <w:r w:rsidR="009F1008" w:rsidRPr="00606103">
        <w:rPr>
          <w:rFonts w:asciiTheme="majorHAnsi" w:hAnsiTheme="majorHAnsi" w:cstheme="majorHAnsi"/>
          <w:sz w:val="24"/>
          <w:szCs w:val="24"/>
          <w:lang w:val="ro-MD"/>
        </w:rPr>
        <w:t xml:space="preserve">la data de 17.01.2022 </w:t>
      </w:r>
      <w:r w:rsidRPr="00606103">
        <w:rPr>
          <w:rFonts w:asciiTheme="majorHAnsi" w:hAnsiTheme="majorHAnsi" w:cstheme="majorHAnsi"/>
          <w:sz w:val="24"/>
          <w:szCs w:val="24"/>
          <w:lang w:val="ro-MD"/>
        </w:rPr>
        <w:t>APP a operat modificările în Statut în vederea majorării capitalului social</w:t>
      </w:r>
      <w:r w:rsidRPr="00606103">
        <w:rPr>
          <w:rFonts w:asciiTheme="majorHAnsi" w:hAnsiTheme="majorHAnsi" w:cstheme="majorHAnsi"/>
          <w:sz w:val="24"/>
          <w:szCs w:val="24"/>
          <w:vertAlign w:val="superscript"/>
          <w:lang w:val="ro-MD"/>
        </w:rPr>
        <w:footnoteReference w:id="108"/>
      </w:r>
      <w:r w:rsidRPr="00606103">
        <w:rPr>
          <w:rFonts w:asciiTheme="majorHAnsi" w:hAnsiTheme="majorHAnsi" w:cstheme="majorHAnsi"/>
          <w:sz w:val="24"/>
          <w:szCs w:val="24"/>
          <w:lang w:val="ro-MD"/>
        </w:rPr>
        <w:t xml:space="preserve"> și </w:t>
      </w:r>
      <w:r w:rsidRPr="00606103">
        <w:rPr>
          <w:rFonts w:asciiTheme="majorHAnsi" w:eastAsia="Times New Roman" w:hAnsiTheme="majorHAnsi" w:cstheme="majorHAnsi"/>
          <w:sz w:val="24"/>
          <w:szCs w:val="24"/>
          <w:lang w:val="ro-MD"/>
        </w:rPr>
        <w:t>a efectuat înregistrarea de stat la</w:t>
      </w:r>
      <w:r w:rsidRPr="00606103">
        <w:rPr>
          <w:rFonts w:asciiTheme="majorHAnsi" w:hAnsiTheme="majorHAnsi" w:cstheme="majorHAnsi"/>
          <w:sz w:val="24"/>
          <w:szCs w:val="24"/>
          <w:lang w:val="ro-MD"/>
        </w:rPr>
        <w:t xml:space="preserve"> </w:t>
      </w:r>
      <w:r w:rsidRPr="00606103">
        <w:rPr>
          <w:rFonts w:asciiTheme="majorHAnsi" w:eastAsia="Times New Roman" w:hAnsiTheme="majorHAnsi" w:cstheme="majorHAnsi"/>
          <w:sz w:val="24"/>
          <w:szCs w:val="24"/>
          <w:lang w:val="ro-MD"/>
        </w:rPr>
        <w:t>IP „Agenția Servicii Publice”</w:t>
      </w:r>
      <w:r w:rsidRPr="00606103">
        <w:rPr>
          <w:rFonts w:asciiTheme="majorHAnsi" w:eastAsia="Times New Roman" w:hAnsiTheme="majorHAnsi" w:cstheme="majorHAnsi"/>
          <w:sz w:val="24"/>
          <w:szCs w:val="24"/>
          <w:vertAlign w:val="superscript"/>
          <w:lang w:val="ro-MD"/>
        </w:rPr>
        <w:t xml:space="preserve"> </w:t>
      </w:r>
      <w:r w:rsidRPr="00606103">
        <w:rPr>
          <w:rFonts w:asciiTheme="majorHAnsi" w:eastAsia="Times New Roman" w:hAnsiTheme="majorHAnsi" w:cstheme="majorHAnsi"/>
          <w:sz w:val="24"/>
          <w:szCs w:val="24"/>
          <w:vertAlign w:val="superscript"/>
          <w:lang w:val="ro-MD"/>
        </w:rPr>
        <w:footnoteReference w:id="109"/>
      </w:r>
      <w:r w:rsidRPr="00606103">
        <w:rPr>
          <w:rFonts w:asciiTheme="majorHAnsi" w:eastAsia="Times New Roman" w:hAnsiTheme="majorHAnsi" w:cstheme="majorHAnsi"/>
          <w:sz w:val="24"/>
          <w:szCs w:val="24"/>
          <w:lang w:val="ro-MD"/>
        </w:rPr>
        <w:t>. Concomitent</w:t>
      </w:r>
      <w:r w:rsidR="009F1008" w:rsidRPr="00606103">
        <w:rPr>
          <w:rFonts w:asciiTheme="majorHAnsi" w:eastAsia="Times New Roman" w:hAnsiTheme="majorHAnsi" w:cstheme="majorHAnsi"/>
          <w:sz w:val="24"/>
          <w:szCs w:val="24"/>
          <w:lang w:val="ro-MD"/>
        </w:rPr>
        <w:t>,</w:t>
      </w:r>
      <w:r w:rsidRPr="00606103">
        <w:rPr>
          <w:rFonts w:asciiTheme="majorHAnsi" w:eastAsia="Times New Roman" w:hAnsiTheme="majorHAnsi" w:cstheme="majorHAnsi"/>
          <w:sz w:val="24"/>
          <w:szCs w:val="24"/>
          <w:lang w:val="ro-MD"/>
        </w:rPr>
        <w:t xml:space="preserve"> se atestă că prin rectificările </w:t>
      </w:r>
      <w:r w:rsidR="00C732E5" w:rsidRPr="00606103">
        <w:rPr>
          <w:rFonts w:asciiTheme="majorHAnsi" w:eastAsia="Times New Roman" w:hAnsiTheme="majorHAnsi" w:cstheme="majorHAnsi"/>
          <w:sz w:val="24"/>
          <w:szCs w:val="24"/>
          <w:lang w:val="ro-MD"/>
        </w:rPr>
        <w:t>ulterioare a fost modificată Leg</w:t>
      </w:r>
      <w:r w:rsidRPr="00606103">
        <w:rPr>
          <w:rFonts w:asciiTheme="majorHAnsi" w:eastAsia="Times New Roman" w:hAnsiTheme="majorHAnsi" w:cstheme="majorHAnsi"/>
          <w:sz w:val="24"/>
          <w:szCs w:val="24"/>
          <w:lang w:val="ro-MD"/>
        </w:rPr>
        <w:t>ea bugetară anuală.</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 xml:space="preserve">Mijloacele financiare prevăzute pentru majorarea capitalului social </w:t>
      </w:r>
      <w:r w:rsidR="00F10E3E" w:rsidRPr="00606103">
        <w:rPr>
          <w:rFonts w:asciiTheme="majorHAnsi" w:hAnsiTheme="majorHAnsi" w:cstheme="majorHAnsi"/>
          <w:sz w:val="24"/>
          <w:szCs w:val="24"/>
          <w:lang w:val="ro-MD"/>
        </w:rPr>
        <w:t xml:space="preserve">al </w:t>
      </w:r>
      <w:r w:rsidRPr="00606103">
        <w:rPr>
          <w:rFonts w:asciiTheme="majorHAnsi" w:hAnsiTheme="majorHAnsi" w:cstheme="majorHAnsi"/>
          <w:sz w:val="24"/>
          <w:szCs w:val="24"/>
          <w:lang w:val="ro-MD"/>
        </w:rPr>
        <w:t>ÎS „Calea Ferată din Moldova”, în sumă de 48,6 mil. lei, nu au fost alocate.</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De asemenea</w:t>
      </w:r>
      <w:r w:rsidR="00F10E3E"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nu au fost executate și alocațiile aprobate (5,5 mil. lei) pentru cota de participare a RM în capitalul statutar al băncilor de dezvoltare internaționale</w:t>
      </w:r>
      <w:r w:rsidRPr="00606103">
        <w:rPr>
          <w:rStyle w:val="FootnoteReference"/>
          <w:rFonts w:asciiTheme="majorHAnsi" w:hAnsiTheme="majorHAnsi" w:cstheme="majorHAnsi"/>
          <w:sz w:val="24"/>
          <w:szCs w:val="24"/>
          <w:lang w:val="ro-MD"/>
        </w:rPr>
        <w:footnoteReference w:id="110"/>
      </w:r>
      <w:r w:rsidRPr="00606103">
        <w:rPr>
          <w:rFonts w:asciiTheme="majorHAnsi" w:hAnsiTheme="majorHAnsi" w:cstheme="majorHAnsi"/>
          <w:sz w:val="24"/>
          <w:szCs w:val="24"/>
          <w:lang w:val="ro-MD"/>
        </w:rPr>
        <w:t>.</w:t>
      </w:r>
    </w:p>
    <w:p w:rsidR="000E0C22" w:rsidRPr="00606103" w:rsidRDefault="000E0C22">
      <w:pPr>
        <w:spacing w:line="276" w:lineRule="auto"/>
        <w:rPr>
          <w:rFonts w:asciiTheme="majorHAnsi" w:eastAsia="Times New Roman" w:hAnsiTheme="majorHAnsi" w:cstheme="majorHAnsi"/>
          <w:sz w:val="24"/>
          <w:szCs w:val="24"/>
          <w:lang w:val="ro-MD"/>
        </w:rPr>
      </w:pPr>
      <w:r w:rsidRPr="00606103">
        <w:rPr>
          <w:rFonts w:asciiTheme="majorHAnsi" w:eastAsia="Times New Roman" w:hAnsiTheme="majorHAnsi" w:cstheme="majorHAnsi"/>
          <w:color w:val="000000"/>
          <w:sz w:val="24"/>
          <w:szCs w:val="24"/>
          <w:lang w:val="ro-MD" w:eastAsia="ru-RU" w:bidi="ro-RO"/>
        </w:rPr>
        <w:t>Din privatizarea bunurilor propriet</w:t>
      </w:r>
      <w:r w:rsidR="00B6758F" w:rsidRPr="00606103">
        <w:rPr>
          <w:rFonts w:asciiTheme="majorHAnsi" w:eastAsia="Times New Roman" w:hAnsiTheme="majorHAnsi" w:cstheme="majorHAnsi"/>
          <w:color w:val="000000"/>
          <w:sz w:val="24"/>
          <w:szCs w:val="24"/>
          <w:lang w:val="ro-MD" w:eastAsia="ru-RU" w:bidi="ro-RO"/>
        </w:rPr>
        <w:t>ate publică, au fost încasate</w:t>
      </w:r>
      <w:r w:rsidRPr="00606103">
        <w:rPr>
          <w:rFonts w:asciiTheme="majorHAnsi" w:eastAsia="Times New Roman" w:hAnsiTheme="majorHAnsi" w:cstheme="majorHAnsi"/>
          <w:color w:val="000000"/>
          <w:sz w:val="24"/>
          <w:szCs w:val="24"/>
          <w:lang w:val="ro-MD" w:eastAsia="ru-RU" w:bidi="ro-RO"/>
        </w:rPr>
        <w:t xml:space="preserve"> 137,6 mil. lei, sau 68,8% față de suma precizată (200, mil. lei) și 19,6% față de suma aprobată inițial (700,0 mil. lei), </w:t>
      </w:r>
      <w:r w:rsidR="00F10E3E" w:rsidRPr="00606103">
        <w:rPr>
          <w:rFonts w:asciiTheme="majorHAnsi" w:eastAsia="Times New Roman" w:hAnsiTheme="majorHAnsi" w:cstheme="majorHAnsi"/>
          <w:color w:val="000000"/>
          <w:sz w:val="24"/>
          <w:szCs w:val="24"/>
          <w:lang w:val="ro-MD" w:eastAsia="ru-RU" w:bidi="ro-RO"/>
        </w:rPr>
        <w:t xml:space="preserve">ca </w:t>
      </w:r>
      <w:r w:rsidRPr="00606103">
        <w:rPr>
          <w:rFonts w:asciiTheme="majorHAnsi" w:eastAsia="Times New Roman" w:hAnsiTheme="majorHAnsi" w:cstheme="majorHAnsi"/>
          <w:color w:val="000000"/>
          <w:sz w:val="24"/>
          <w:szCs w:val="24"/>
          <w:lang w:val="ro-MD" w:eastAsia="ru-RU" w:bidi="ro-RO"/>
        </w:rPr>
        <w:t xml:space="preserve">urmare </w:t>
      </w:r>
      <w:r w:rsidR="00F10E3E" w:rsidRPr="00606103">
        <w:rPr>
          <w:rFonts w:asciiTheme="majorHAnsi" w:eastAsia="Times New Roman" w:hAnsiTheme="majorHAnsi" w:cstheme="majorHAnsi"/>
          <w:color w:val="000000"/>
          <w:sz w:val="24"/>
          <w:szCs w:val="24"/>
          <w:lang w:val="ro-MD" w:eastAsia="ru-RU" w:bidi="ro-RO"/>
        </w:rPr>
        <w:t xml:space="preserve">a </w:t>
      </w:r>
      <w:r w:rsidRPr="00606103">
        <w:rPr>
          <w:rFonts w:asciiTheme="majorHAnsi" w:eastAsia="Times New Roman" w:hAnsiTheme="majorHAnsi" w:cstheme="majorHAnsi"/>
          <w:color w:val="000000"/>
          <w:sz w:val="24"/>
          <w:szCs w:val="24"/>
          <w:lang w:val="ro-MD" w:eastAsia="ru-RU" w:bidi="ro-RO"/>
        </w:rPr>
        <w:t xml:space="preserve">privatizării de: întreprinderi de stat (complexe patrimoniale unice) </w:t>
      </w:r>
      <w:r w:rsidR="00F10E3E" w:rsidRPr="00606103">
        <w:rPr>
          <w:rFonts w:asciiTheme="majorHAnsi" w:eastAsia="Times New Roman" w:hAnsiTheme="majorHAnsi" w:cstheme="majorHAnsi"/>
          <w:color w:val="000000"/>
          <w:sz w:val="24"/>
          <w:szCs w:val="24"/>
          <w:lang w:val="ro-MD" w:eastAsia="ru-RU" w:bidi="ro-RO"/>
        </w:rPr>
        <w:t>–</w:t>
      </w:r>
      <w:r w:rsidRPr="00606103">
        <w:rPr>
          <w:rFonts w:asciiTheme="majorHAnsi" w:eastAsia="Times New Roman" w:hAnsiTheme="majorHAnsi" w:cstheme="majorHAnsi"/>
          <w:color w:val="000000"/>
          <w:sz w:val="24"/>
          <w:szCs w:val="24"/>
          <w:lang w:val="ro-MD" w:eastAsia="ru-RU" w:bidi="ro-RO"/>
        </w:rPr>
        <w:t xml:space="preserve"> </w:t>
      </w:r>
      <w:r w:rsidR="00FD7F3E" w:rsidRPr="00606103">
        <w:rPr>
          <w:rFonts w:asciiTheme="majorHAnsi" w:eastAsia="Times New Roman" w:hAnsiTheme="majorHAnsi" w:cstheme="majorHAnsi"/>
          <w:color w:val="000000"/>
          <w:sz w:val="24"/>
          <w:szCs w:val="24"/>
          <w:lang w:val="ro-MD" w:eastAsia="ru-RU" w:bidi="ro-RO"/>
        </w:rPr>
        <w:t xml:space="preserve">1,9 mil. lei, pachetelor de acțiuni, cotelor sociale ale proprietății publice – 4,8 </w:t>
      </w:r>
      <w:r w:rsidRPr="00606103">
        <w:rPr>
          <w:rFonts w:asciiTheme="majorHAnsi" w:eastAsia="Times New Roman" w:hAnsiTheme="majorHAnsi" w:cstheme="majorHAnsi"/>
          <w:color w:val="000000"/>
          <w:sz w:val="24"/>
          <w:szCs w:val="24"/>
          <w:lang w:val="ro-MD" w:eastAsia="ru-RU" w:bidi="ro-RO"/>
        </w:rPr>
        <w:t xml:space="preserve">mil. lei, complexe de bunuri </w:t>
      </w:r>
      <w:r w:rsidR="00F10E3E" w:rsidRPr="00606103">
        <w:rPr>
          <w:rFonts w:asciiTheme="majorHAnsi" w:eastAsia="Times New Roman" w:hAnsiTheme="majorHAnsi" w:cstheme="majorHAnsi"/>
          <w:color w:val="000000"/>
          <w:sz w:val="24"/>
          <w:szCs w:val="24"/>
          <w:lang w:val="ro-MD" w:eastAsia="ru-RU" w:bidi="ro-RO"/>
        </w:rPr>
        <w:t>–</w:t>
      </w:r>
      <w:r w:rsidRPr="00606103">
        <w:rPr>
          <w:rFonts w:asciiTheme="majorHAnsi" w:eastAsia="Times New Roman" w:hAnsiTheme="majorHAnsi" w:cstheme="majorHAnsi"/>
          <w:color w:val="000000"/>
          <w:sz w:val="24"/>
          <w:szCs w:val="24"/>
          <w:lang w:val="ro-MD" w:eastAsia="ru-RU" w:bidi="ro-RO"/>
        </w:rPr>
        <w:t xml:space="preserve"> 54,0 mil. lei</w:t>
      </w:r>
      <w:r w:rsidR="00F10E3E" w:rsidRPr="00606103">
        <w:rPr>
          <w:rFonts w:asciiTheme="majorHAnsi" w:eastAsia="Times New Roman" w:hAnsiTheme="majorHAnsi" w:cstheme="majorHAnsi"/>
          <w:color w:val="000000"/>
          <w:sz w:val="24"/>
          <w:szCs w:val="24"/>
          <w:lang w:val="ro-MD" w:eastAsia="ru-RU" w:bidi="ro-RO"/>
        </w:rPr>
        <w:t>,</w:t>
      </w:r>
      <w:r w:rsidRPr="00606103">
        <w:rPr>
          <w:rFonts w:asciiTheme="majorHAnsi" w:eastAsia="Times New Roman" w:hAnsiTheme="majorHAnsi" w:cstheme="majorHAnsi"/>
          <w:color w:val="000000"/>
          <w:sz w:val="24"/>
          <w:szCs w:val="24"/>
          <w:lang w:val="ro-MD" w:eastAsia="ru-RU" w:bidi="ro-RO"/>
        </w:rPr>
        <w:t xml:space="preserve"> și vânzarea terenurilor </w:t>
      </w:r>
      <w:r w:rsidR="00F10E3E" w:rsidRPr="00606103">
        <w:rPr>
          <w:rFonts w:asciiTheme="majorHAnsi" w:eastAsia="Times New Roman" w:hAnsiTheme="majorHAnsi" w:cstheme="majorHAnsi"/>
          <w:color w:val="000000"/>
          <w:sz w:val="24"/>
          <w:szCs w:val="24"/>
          <w:lang w:val="ro-MD" w:eastAsia="ru-RU" w:bidi="ro-RO"/>
        </w:rPr>
        <w:t>–</w:t>
      </w:r>
      <w:r w:rsidRPr="00606103">
        <w:rPr>
          <w:rFonts w:asciiTheme="majorHAnsi" w:eastAsia="Times New Roman" w:hAnsiTheme="majorHAnsi" w:cstheme="majorHAnsi"/>
          <w:color w:val="000000"/>
          <w:sz w:val="24"/>
          <w:szCs w:val="24"/>
          <w:lang w:val="ro-MD" w:eastAsia="ru-RU" w:bidi="ro-RO"/>
        </w:rPr>
        <w:t xml:space="preserve"> 76,9 mil. lei.</w:t>
      </w:r>
      <w:r w:rsidRPr="00606103">
        <w:rPr>
          <w:rFonts w:asciiTheme="majorHAnsi" w:hAnsiTheme="majorHAnsi" w:cstheme="majorHAnsi"/>
          <w:sz w:val="24"/>
          <w:szCs w:val="24"/>
          <w:lang w:val="ro-MD"/>
        </w:rPr>
        <w:t xml:space="preserve"> </w:t>
      </w:r>
    </w:p>
    <w:p w:rsidR="000E0C22" w:rsidRPr="00606103" w:rsidRDefault="000E0C22">
      <w:pPr>
        <w:spacing w:line="276" w:lineRule="auto"/>
        <w:rPr>
          <w:rFonts w:asciiTheme="majorHAnsi" w:eastAsia="Times New Roman" w:hAnsiTheme="majorHAnsi" w:cstheme="majorHAnsi"/>
          <w:sz w:val="24"/>
          <w:szCs w:val="24"/>
          <w:lang w:val="ro-MD"/>
        </w:rPr>
      </w:pPr>
      <w:r w:rsidRPr="00606103">
        <w:rPr>
          <w:rFonts w:asciiTheme="majorHAnsi" w:hAnsiTheme="majorHAnsi" w:cstheme="majorHAnsi"/>
          <w:sz w:val="24"/>
          <w:szCs w:val="24"/>
          <w:lang w:val="ro-MD"/>
        </w:rPr>
        <w:t>Totalul creditelor acordate de la bugetul de stat bugetelor de alt nivel (raportate la sursele de finanțare) a însumat 811,1 mil. lei, din care alocate BASS – 800,0 mil. lei, și bugetelor locale de nivelul II – 11,1 mil. lei. În anul 2021, au fost rambursate 813,6 mil. lei, sau cu 2,5 mil. lei mai mult, diferența fiind înregistrată după Primăria mun. Bălți care a rambursat creditul la data de 15.01.2021 (constatarea auditului precedent privind nerambursarea acestuia până la finele anului 2020).</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 xml:space="preserve">Recreditarea de stat executată prin intermediul MF, Oficiului de gestionare a Programelor de asistență externă și Unității consolidate pentru implementarea programelor Fondului </w:t>
      </w:r>
      <w:r w:rsidR="00F10E3E" w:rsidRPr="00606103">
        <w:rPr>
          <w:rFonts w:asciiTheme="majorHAnsi" w:hAnsiTheme="majorHAnsi" w:cstheme="majorHAnsi"/>
          <w:sz w:val="24"/>
          <w:szCs w:val="24"/>
          <w:lang w:val="ro-MD"/>
        </w:rPr>
        <w:t>I</w:t>
      </w:r>
      <w:r w:rsidRPr="00606103">
        <w:rPr>
          <w:rFonts w:asciiTheme="majorHAnsi" w:hAnsiTheme="majorHAnsi" w:cstheme="majorHAnsi"/>
          <w:sz w:val="24"/>
          <w:szCs w:val="24"/>
          <w:lang w:val="ro-MD"/>
        </w:rPr>
        <w:t xml:space="preserve">nternațional pentru </w:t>
      </w:r>
      <w:r w:rsidR="00F10E3E" w:rsidRPr="00606103">
        <w:rPr>
          <w:rFonts w:asciiTheme="majorHAnsi" w:hAnsiTheme="majorHAnsi" w:cstheme="majorHAnsi"/>
          <w:sz w:val="24"/>
          <w:szCs w:val="24"/>
          <w:lang w:val="ro-MD"/>
        </w:rPr>
        <w:t>D</w:t>
      </w:r>
      <w:r w:rsidRPr="00606103">
        <w:rPr>
          <w:rFonts w:asciiTheme="majorHAnsi" w:hAnsiTheme="majorHAnsi" w:cstheme="majorHAnsi"/>
          <w:sz w:val="24"/>
          <w:szCs w:val="24"/>
          <w:lang w:val="ro-MD"/>
        </w:rPr>
        <w:t xml:space="preserve">ezvoltare </w:t>
      </w:r>
      <w:r w:rsidR="00F10E3E" w:rsidRPr="00606103">
        <w:rPr>
          <w:rFonts w:asciiTheme="majorHAnsi" w:hAnsiTheme="majorHAnsi" w:cstheme="majorHAnsi"/>
          <w:sz w:val="24"/>
          <w:szCs w:val="24"/>
          <w:lang w:val="ro-MD"/>
        </w:rPr>
        <w:t>A</w:t>
      </w:r>
      <w:r w:rsidRPr="00606103">
        <w:rPr>
          <w:rFonts w:asciiTheme="majorHAnsi" w:hAnsiTheme="majorHAnsi" w:cstheme="majorHAnsi"/>
          <w:sz w:val="24"/>
          <w:szCs w:val="24"/>
          <w:lang w:val="ro-MD"/>
        </w:rPr>
        <w:t xml:space="preserve">gricolă în anul 2021 a constituit 100,2 mil. lei </w:t>
      </w:r>
      <w:r w:rsidR="00B6187D"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împrumuturi recreditate instituțiilor nefinanciare</w:t>
      </w:r>
      <w:r w:rsidRPr="00606103">
        <w:rPr>
          <w:rStyle w:val="FootnoteReference"/>
          <w:rFonts w:asciiTheme="majorHAnsi" w:hAnsiTheme="majorHAnsi" w:cstheme="majorHAnsi"/>
          <w:sz w:val="24"/>
          <w:szCs w:val="24"/>
          <w:lang w:val="ro-MD"/>
        </w:rPr>
        <w:footnoteReference w:id="111"/>
      </w:r>
      <w:r w:rsidR="00B6187D"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și 1 039,6 mil. lei </w:t>
      </w:r>
      <w:r w:rsidR="00B6187D"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împrumuturi recreditate instituțiilor financiare</w:t>
      </w:r>
      <w:r w:rsidRPr="00606103">
        <w:rPr>
          <w:rStyle w:val="FootnoteReference"/>
          <w:rFonts w:asciiTheme="majorHAnsi" w:hAnsiTheme="majorHAnsi" w:cstheme="majorHAnsi"/>
          <w:sz w:val="24"/>
          <w:szCs w:val="24"/>
          <w:lang w:val="ro-MD"/>
        </w:rPr>
        <w:footnoteReference w:id="112"/>
      </w:r>
      <w:r w:rsidRPr="00606103">
        <w:rPr>
          <w:rFonts w:asciiTheme="majorHAnsi" w:hAnsiTheme="majorHAnsi" w:cstheme="majorHAnsi"/>
          <w:sz w:val="24"/>
          <w:szCs w:val="24"/>
          <w:lang w:val="ro-MD"/>
        </w:rPr>
        <w:t>. La acest compartiment auditul menționează că se menține situația de incertitudine referitor la modul de virare a unei părți de venituri la BS de către IP „Oficiul de Gestionare a Programelor de Asistență Externă”</w:t>
      </w:r>
      <w:r w:rsidR="00321A35"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w:t>
      </w:r>
    </w:p>
    <w:p w:rsidR="00E84679" w:rsidRPr="00606103" w:rsidRDefault="000E0C22">
      <w:pPr>
        <w:spacing w:line="276" w:lineRule="auto"/>
        <w:rPr>
          <w:rFonts w:asciiTheme="majorHAnsi" w:eastAsia="Times New Roman" w:hAnsiTheme="majorHAnsi" w:cstheme="majorHAnsi"/>
          <w:iCs/>
          <w:sz w:val="24"/>
          <w:szCs w:val="24"/>
          <w:lang w:val="ro-MD"/>
        </w:rPr>
      </w:pPr>
      <w:r w:rsidRPr="00606103">
        <w:rPr>
          <w:rFonts w:asciiTheme="majorHAnsi" w:eastAsia="Times New Roman" w:hAnsiTheme="majorHAnsi" w:cstheme="majorHAnsi"/>
          <w:iCs/>
          <w:sz w:val="24"/>
          <w:szCs w:val="24"/>
          <w:lang w:val="ro-MD"/>
        </w:rPr>
        <w:t xml:space="preserve">Soldurile mijloacelor bănești, la </w:t>
      </w:r>
      <w:r w:rsidR="00B6187D" w:rsidRPr="00606103">
        <w:rPr>
          <w:rFonts w:asciiTheme="majorHAnsi" w:eastAsia="Times New Roman" w:hAnsiTheme="majorHAnsi" w:cstheme="majorHAnsi"/>
          <w:iCs/>
          <w:sz w:val="24"/>
          <w:szCs w:val="24"/>
          <w:lang w:val="ro-MD"/>
        </w:rPr>
        <w:t xml:space="preserve">situația din </w:t>
      </w:r>
      <w:r w:rsidRPr="00606103">
        <w:rPr>
          <w:rFonts w:asciiTheme="majorHAnsi" w:eastAsia="Times New Roman" w:hAnsiTheme="majorHAnsi" w:cstheme="majorHAnsi"/>
          <w:iCs/>
          <w:sz w:val="24"/>
          <w:szCs w:val="24"/>
          <w:lang w:val="ro-MD"/>
        </w:rPr>
        <w:t xml:space="preserve">31.12.2021, au însumat 9 056,0 mil. lei, </w:t>
      </w:r>
      <w:r w:rsidRPr="00606103">
        <w:rPr>
          <w:rFonts w:asciiTheme="majorHAnsi" w:hAnsiTheme="majorHAnsi" w:cstheme="majorHAnsi"/>
          <w:color w:val="000000"/>
          <w:sz w:val="24"/>
          <w:szCs w:val="24"/>
          <w:lang w:val="ro-MD"/>
        </w:rPr>
        <w:t>dintre care</w:t>
      </w:r>
      <w:r w:rsidR="00B6187D" w:rsidRPr="00606103">
        <w:rPr>
          <w:rFonts w:asciiTheme="majorHAnsi" w:hAnsiTheme="majorHAnsi" w:cstheme="majorHAnsi"/>
          <w:color w:val="000000"/>
          <w:sz w:val="24"/>
          <w:szCs w:val="24"/>
          <w:lang w:val="ro-MD"/>
        </w:rPr>
        <w:t>:</w:t>
      </w:r>
      <w:r w:rsidRPr="00606103">
        <w:rPr>
          <w:rFonts w:asciiTheme="majorHAnsi" w:hAnsiTheme="majorHAnsi" w:cstheme="majorHAnsi"/>
          <w:color w:val="000000"/>
          <w:sz w:val="24"/>
          <w:szCs w:val="24"/>
          <w:lang w:val="ro-MD"/>
        </w:rPr>
        <w:t xml:space="preserve"> soldurile la componenta de bază – 7 743,7 mil. lei, și soldurile proiectelor finanțate din surse externe – 1 312,3 mil. lei, </w:t>
      </w:r>
      <w:r w:rsidRPr="00606103">
        <w:rPr>
          <w:rFonts w:asciiTheme="majorHAnsi" w:eastAsia="Times New Roman" w:hAnsiTheme="majorHAnsi" w:cstheme="majorHAnsi"/>
          <w:iCs/>
          <w:sz w:val="24"/>
          <w:szCs w:val="24"/>
          <w:lang w:val="ro-MD"/>
        </w:rPr>
        <w:t xml:space="preserve">înregistrând o creștere de 4 923,1 mil. lei (2,2 ori), comparativ cu situația din </w:t>
      </w:r>
      <w:r w:rsidRPr="00606103">
        <w:rPr>
          <w:rFonts w:asciiTheme="majorHAnsi" w:eastAsia="Times New Roman" w:hAnsiTheme="majorHAnsi" w:cstheme="majorHAnsi"/>
          <w:iCs/>
          <w:sz w:val="24"/>
          <w:szCs w:val="24"/>
          <w:lang w:val="ro-MD"/>
        </w:rPr>
        <w:lastRenderedPageBreak/>
        <w:t>31.12.2020.</w:t>
      </w:r>
      <w:r w:rsidR="00E84679" w:rsidRPr="00606103">
        <w:rPr>
          <w:rFonts w:asciiTheme="majorHAnsi" w:eastAsia="Times New Roman" w:hAnsiTheme="majorHAnsi" w:cstheme="majorHAnsi"/>
          <w:iCs/>
          <w:sz w:val="24"/>
          <w:szCs w:val="24"/>
          <w:lang w:val="ro-MD"/>
        </w:rPr>
        <w:t xml:space="preserve"> Soldurile mijloacelor bănești ale BS sunt înregistrate în: </w:t>
      </w:r>
      <w:r w:rsidR="00E84679" w:rsidRPr="00606103">
        <w:rPr>
          <w:rFonts w:asciiTheme="majorHAnsi" w:eastAsia="Times New Roman" w:hAnsiTheme="majorHAnsi" w:cstheme="majorHAnsi"/>
          <w:i/>
          <w:iCs/>
          <w:sz w:val="24"/>
          <w:szCs w:val="24"/>
          <w:lang w:val="ro-MD"/>
        </w:rPr>
        <w:t>i)</w:t>
      </w:r>
      <w:r w:rsidR="00E84679" w:rsidRPr="00606103">
        <w:rPr>
          <w:rFonts w:asciiTheme="majorHAnsi" w:eastAsia="Times New Roman" w:hAnsiTheme="majorHAnsi" w:cstheme="majorHAnsi"/>
          <w:iCs/>
          <w:sz w:val="24"/>
          <w:szCs w:val="24"/>
          <w:lang w:val="ro-MD"/>
        </w:rPr>
        <w:t xml:space="preserve"> conturile curente în sistemul trezorerial în monedă națională în sumă de 2 068,3 mil. lei; </w:t>
      </w:r>
      <w:r w:rsidR="00E84679" w:rsidRPr="00606103">
        <w:rPr>
          <w:rFonts w:asciiTheme="majorHAnsi" w:eastAsia="Times New Roman" w:hAnsiTheme="majorHAnsi" w:cstheme="majorHAnsi"/>
          <w:i/>
          <w:iCs/>
          <w:sz w:val="24"/>
          <w:szCs w:val="24"/>
          <w:lang w:val="ro-MD"/>
        </w:rPr>
        <w:t>ii)</w:t>
      </w:r>
      <w:r w:rsidR="00E84679" w:rsidRPr="00606103">
        <w:rPr>
          <w:rFonts w:asciiTheme="majorHAnsi" w:eastAsia="Times New Roman" w:hAnsiTheme="majorHAnsi" w:cstheme="majorHAnsi"/>
          <w:iCs/>
          <w:sz w:val="24"/>
          <w:szCs w:val="24"/>
          <w:lang w:val="ro-MD"/>
        </w:rPr>
        <w:t xml:space="preserve"> conturile BNM în valută străină, în sumă de 6 820,7 mil. lei; </w:t>
      </w:r>
      <w:r w:rsidR="00E84679" w:rsidRPr="00606103">
        <w:rPr>
          <w:rFonts w:asciiTheme="majorHAnsi" w:eastAsia="Times New Roman" w:hAnsiTheme="majorHAnsi" w:cstheme="majorHAnsi"/>
          <w:i/>
          <w:iCs/>
          <w:sz w:val="24"/>
          <w:szCs w:val="24"/>
          <w:lang w:val="ro-MD"/>
        </w:rPr>
        <w:t>(iii)</w:t>
      </w:r>
      <w:r w:rsidR="00E84679" w:rsidRPr="00606103">
        <w:rPr>
          <w:rFonts w:asciiTheme="majorHAnsi" w:eastAsia="Times New Roman" w:hAnsiTheme="majorHAnsi" w:cstheme="majorHAnsi"/>
          <w:iCs/>
          <w:sz w:val="24"/>
          <w:szCs w:val="24"/>
          <w:lang w:val="ro-MD"/>
        </w:rPr>
        <w:t xml:space="preserve"> pe conturi MAIB </w:t>
      </w:r>
      <w:r w:rsidR="003B3483" w:rsidRPr="00606103">
        <w:rPr>
          <w:rFonts w:asciiTheme="majorHAnsi" w:hAnsiTheme="majorHAnsi" w:cstheme="majorHAnsi"/>
          <w:sz w:val="24"/>
          <w:szCs w:val="24"/>
          <w:lang w:val="ro-MD"/>
        </w:rPr>
        <w:t xml:space="preserve">– </w:t>
      </w:r>
      <w:r w:rsidR="00E84679" w:rsidRPr="00606103">
        <w:rPr>
          <w:rFonts w:asciiTheme="majorHAnsi" w:eastAsia="Times New Roman" w:hAnsiTheme="majorHAnsi" w:cstheme="majorHAnsi"/>
          <w:iCs/>
          <w:sz w:val="24"/>
          <w:szCs w:val="24"/>
          <w:lang w:val="ro-MD"/>
        </w:rPr>
        <w:t xml:space="preserve">2,0 mil. lei; </w:t>
      </w:r>
      <w:r w:rsidR="00E84679" w:rsidRPr="00606103">
        <w:rPr>
          <w:rFonts w:asciiTheme="majorHAnsi" w:eastAsia="Times New Roman" w:hAnsiTheme="majorHAnsi" w:cstheme="majorHAnsi"/>
          <w:i/>
          <w:iCs/>
          <w:sz w:val="24"/>
          <w:szCs w:val="24"/>
          <w:lang w:val="ro-MD"/>
        </w:rPr>
        <w:t>iii)</w:t>
      </w:r>
      <w:r w:rsidR="00E84679" w:rsidRPr="00606103">
        <w:rPr>
          <w:rFonts w:asciiTheme="majorHAnsi" w:eastAsia="Times New Roman" w:hAnsiTheme="majorHAnsi" w:cstheme="majorHAnsi"/>
          <w:iCs/>
          <w:sz w:val="24"/>
          <w:szCs w:val="24"/>
          <w:lang w:val="ro-MD"/>
        </w:rPr>
        <w:t xml:space="preserve"> conturile curente în afara sistemului trezorerial în monedă națională – 164,9 mil. lei.</w:t>
      </w:r>
      <w:r w:rsidR="00E84679" w:rsidRPr="00606103">
        <w:rPr>
          <w:rFonts w:asciiTheme="majorHAnsi" w:hAnsiTheme="majorHAnsi" w:cstheme="majorHAnsi"/>
          <w:i/>
          <w:sz w:val="24"/>
          <w:szCs w:val="24"/>
          <w:lang w:val="ro-MD"/>
        </w:rPr>
        <w:t xml:space="preserve"> </w:t>
      </w:r>
      <w:r w:rsidR="00E84679" w:rsidRPr="00606103">
        <w:rPr>
          <w:rFonts w:asciiTheme="majorHAnsi" w:hAnsiTheme="majorHAnsi" w:cstheme="majorHAnsi"/>
          <w:sz w:val="24"/>
          <w:szCs w:val="24"/>
          <w:lang w:val="ro-MD"/>
        </w:rPr>
        <w:t>Finanțarea deficitului a fost efectuată și din mijloacele bănești din soldurile la conturile bugetelor componente ale BPN.</w:t>
      </w:r>
      <w:r w:rsidRPr="00606103">
        <w:rPr>
          <w:rFonts w:asciiTheme="majorHAnsi" w:eastAsia="Times New Roman" w:hAnsiTheme="majorHAnsi" w:cstheme="majorHAnsi"/>
          <w:iCs/>
          <w:sz w:val="24"/>
          <w:szCs w:val="24"/>
          <w:lang w:val="ro-MD"/>
        </w:rPr>
        <w:t xml:space="preserve"> </w:t>
      </w:r>
    </w:p>
    <w:p w:rsidR="000E0C22" w:rsidRPr="00606103" w:rsidRDefault="000E0C22">
      <w:pPr>
        <w:spacing w:line="276" w:lineRule="auto"/>
        <w:rPr>
          <w:rFonts w:asciiTheme="majorHAnsi" w:eastAsia="Times New Roman" w:hAnsiTheme="majorHAnsi" w:cstheme="majorHAnsi"/>
          <w:iCs/>
          <w:sz w:val="24"/>
          <w:szCs w:val="24"/>
          <w:lang w:val="ro-MD"/>
        </w:rPr>
      </w:pPr>
      <w:r w:rsidRPr="00606103">
        <w:rPr>
          <w:rFonts w:asciiTheme="majorHAnsi" w:eastAsia="Times New Roman" w:hAnsiTheme="majorHAnsi" w:cstheme="majorHAnsi"/>
          <w:iCs/>
          <w:sz w:val="24"/>
          <w:szCs w:val="24"/>
          <w:lang w:val="ro-MD"/>
        </w:rPr>
        <w:t xml:space="preserve">Soldurile mijloacelor bănești la finele anului 2021 s-au format drept urmare </w:t>
      </w:r>
      <w:r w:rsidR="00B6187D" w:rsidRPr="00606103">
        <w:rPr>
          <w:rFonts w:asciiTheme="majorHAnsi" w:eastAsia="Times New Roman" w:hAnsiTheme="majorHAnsi" w:cstheme="majorHAnsi"/>
          <w:iCs/>
          <w:sz w:val="24"/>
          <w:szCs w:val="24"/>
          <w:lang w:val="ro-MD"/>
        </w:rPr>
        <w:t xml:space="preserve">a </w:t>
      </w:r>
      <w:r w:rsidRPr="00606103">
        <w:rPr>
          <w:rFonts w:asciiTheme="majorHAnsi" w:eastAsia="Times New Roman" w:hAnsiTheme="majorHAnsi" w:cstheme="majorHAnsi"/>
          <w:iCs/>
          <w:sz w:val="24"/>
          <w:szCs w:val="24"/>
          <w:lang w:val="ro-MD"/>
        </w:rPr>
        <w:t>încasărilor mai mari a</w:t>
      </w:r>
      <w:r w:rsidR="00B6187D" w:rsidRPr="00606103">
        <w:rPr>
          <w:rFonts w:asciiTheme="majorHAnsi" w:eastAsia="Times New Roman" w:hAnsiTheme="majorHAnsi" w:cstheme="majorHAnsi"/>
          <w:iCs/>
          <w:sz w:val="24"/>
          <w:szCs w:val="24"/>
          <w:lang w:val="ro-MD"/>
        </w:rPr>
        <w:t>le</w:t>
      </w:r>
      <w:r w:rsidRPr="00606103">
        <w:rPr>
          <w:rFonts w:asciiTheme="majorHAnsi" w:eastAsia="Times New Roman" w:hAnsiTheme="majorHAnsi" w:cstheme="majorHAnsi"/>
          <w:iCs/>
          <w:sz w:val="24"/>
          <w:szCs w:val="24"/>
          <w:lang w:val="ro-MD"/>
        </w:rPr>
        <w:t xml:space="preserve"> </w:t>
      </w:r>
      <w:r w:rsidR="009D7032" w:rsidRPr="00606103">
        <w:rPr>
          <w:rFonts w:asciiTheme="majorHAnsi" w:eastAsia="Times New Roman" w:hAnsiTheme="majorHAnsi" w:cstheme="majorHAnsi"/>
          <w:iCs/>
          <w:sz w:val="24"/>
          <w:szCs w:val="24"/>
          <w:lang w:val="ro-MD"/>
        </w:rPr>
        <w:t xml:space="preserve">veniturilor </w:t>
      </w:r>
      <w:r w:rsidRPr="00606103">
        <w:rPr>
          <w:rFonts w:asciiTheme="majorHAnsi" w:eastAsia="Times New Roman" w:hAnsiTheme="majorHAnsi" w:cstheme="majorHAnsi"/>
          <w:iCs/>
          <w:sz w:val="24"/>
          <w:szCs w:val="24"/>
          <w:lang w:val="ro-MD"/>
        </w:rPr>
        <w:t>bugetu</w:t>
      </w:r>
      <w:r w:rsidR="009D7032" w:rsidRPr="00606103">
        <w:rPr>
          <w:rFonts w:asciiTheme="majorHAnsi" w:eastAsia="Times New Roman" w:hAnsiTheme="majorHAnsi" w:cstheme="majorHAnsi"/>
          <w:iCs/>
          <w:sz w:val="24"/>
          <w:szCs w:val="24"/>
          <w:lang w:val="ro-MD"/>
        </w:rPr>
        <w:t>lui de stat și neex</w:t>
      </w:r>
      <w:r w:rsidR="00B6187D" w:rsidRPr="00606103">
        <w:rPr>
          <w:rFonts w:asciiTheme="majorHAnsi" w:eastAsia="Times New Roman" w:hAnsiTheme="majorHAnsi" w:cstheme="majorHAnsi"/>
          <w:iCs/>
          <w:sz w:val="24"/>
          <w:szCs w:val="24"/>
          <w:lang w:val="ro-MD"/>
        </w:rPr>
        <w:t>e</w:t>
      </w:r>
      <w:r w:rsidR="009D7032" w:rsidRPr="00606103">
        <w:rPr>
          <w:rFonts w:asciiTheme="majorHAnsi" w:eastAsia="Times New Roman" w:hAnsiTheme="majorHAnsi" w:cstheme="majorHAnsi"/>
          <w:iCs/>
          <w:sz w:val="24"/>
          <w:szCs w:val="24"/>
          <w:lang w:val="ro-MD"/>
        </w:rPr>
        <w:t>cutării</w:t>
      </w:r>
      <w:r w:rsidRPr="00606103">
        <w:rPr>
          <w:rFonts w:asciiTheme="majorHAnsi" w:eastAsia="Times New Roman" w:hAnsiTheme="majorHAnsi" w:cstheme="majorHAnsi"/>
          <w:iCs/>
          <w:sz w:val="24"/>
          <w:szCs w:val="24"/>
          <w:lang w:val="ro-MD"/>
        </w:rPr>
        <w:t xml:space="preserve"> cheltuielilor. Totodată, de menționat că majorarea soldurilor mijloacelor bănești la finele anului a fost condiționată și de primirea împrumuturilor și granturilor externe de la organizațiile financiare internaționale pentru susținerea bugetară. </w:t>
      </w:r>
    </w:p>
    <w:p w:rsidR="000E0C22" w:rsidRPr="00606103" w:rsidRDefault="000E0C22">
      <w:pPr>
        <w:spacing w:line="276" w:lineRule="auto"/>
        <w:rPr>
          <w:rFonts w:asciiTheme="majorHAnsi" w:hAnsiTheme="majorHAnsi" w:cstheme="majorHAnsi"/>
          <w:sz w:val="24"/>
          <w:szCs w:val="24"/>
          <w:lang w:val="ro-MD"/>
        </w:rPr>
      </w:pPr>
      <w:r w:rsidRPr="00606103">
        <w:rPr>
          <w:rFonts w:asciiTheme="majorHAnsi" w:eastAsia="Times New Roman" w:hAnsiTheme="majorHAnsi" w:cstheme="majorHAnsi"/>
          <w:iCs/>
          <w:sz w:val="24"/>
          <w:szCs w:val="24"/>
          <w:lang w:val="ro-MD"/>
        </w:rPr>
        <w:t xml:space="preserve">Astfel, la finele lunii decembrie 2021 au fost încasate mijloace financiare provenite din grantul din partea Comisiei Europene în sumă de 1 210,6 mil. lei (echivalentul a 60 mil. euro) pentru contractul de consolidare a statului. </w:t>
      </w:r>
    </w:p>
    <w:p w:rsidR="000E0C22" w:rsidRPr="00606103" w:rsidRDefault="00D4347E">
      <w:pPr>
        <w:spacing w:line="276" w:lineRule="auto"/>
        <w:rPr>
          <w:rFonts w:asciiTheme="majorHAnsi" w:hAnsiTheme="majorHAnsi" w:cstheme="majorHAnsi"/>
          <w:sz w:val="24"/>
          <w:szCs w:val="24"/>
          <w:lang w:val="ro-MD"/>
        </w:rPr>
      </w:pPr>
      <w:r w:rsidRPr="00606103">
        <w:rPr>
          <w:rFonts w:asciiTheme="majorHAnsi" w:eastAsia="Times New Roman" w:hAnsiTheme="majorHAnsi" w:cstheme="majorHAnsi"/>
          <w:iCs/>
          <w:sz w:val="24"/>
          <w:szCs w:val="24"/>
          <w:lang w:val="ro-MD"/>
        </w:rPr>
        <w:t>Totodată, prin Legea nr.</w:t>
      </w:r>
      <w:r w:rsidR="000E0C22" w:rsidRPr="00606103">
        <w:rPr>
          <w:rFonts w:asciiTheme="majorHAnsi" w:eastAsia="Times New Roman" w:hAnsiTheme="majorHAnsi" w:cstheme="majorHAnsi"/>
          <w:iCs/>
          <w:sz w:val="24"/>
          <w:szCs w:val="24"/>
          <w:lang w:val="ro-MD"/>
        </w:rPr>
        <w:t>188 din 25.11.2021</w:t>
      </w:r>
      <w:r w:rsidR="000E0C22" w:rsidRPr="00606103">
        <w:rPr>
          <w:rStyle w:val="FootnoteReference"/>
          <w:rFonts w:asciiTheme="majorHAnsi" w:eastAsia="Times New Roman" w:hAnsiTheme="majorHAnsi" w:cstheme="majorHAnsi"/>
          <w:iCs/>
          <w:sz w:val="24"/>
          <w:szCs w:val="24"/>
          <w:lang w:val="ro-MD"/>
        </w:rPr>
        <w:footnoteReference w:id="113"/>
      </w:r>
      <w:r w:rsidR="000E0C22" w:rsidRPr="00606103">
        <w:rPr>
          <w:rFonts w:asciiTheme="majorHAnsi" w:eastAsia="Times New Roman" w:hAnsiTheme="majorHAnsi" w:cstheme="majorHAnsi"/>
          <w:iCs/>
          <w:sz w:val="24"/>
          <w:szCs w:val="24"/>
          <w:lang w:val="ro-MD"/>
        </w:rPr>
        <w:t xml:space="preserve"> a</w:t>
      </w:r>
      <w:r w:rsidR="00402662" w:rsidRPr="00606103">
        <w:rPr>
          <w:rFonts w:asciiTheme="majorHAnsi" w:eastAsia="Times New Roman" w:hAnsiTheme="majorHAnsi" w:cstheme="majorHAnsi"/>
          <w:iCs/>
          <w:sz w:val="24"/>
          <w:szCs w:val="24"/>
          <w:lang w:val="ro-MD"/>
        </w:rPr>
        <w:t>u</w:t>
      </w:r>
      <w:r w:rsidR="000E0C22" w:rsidRPr="00606103">
        <w:rPr>
          <w:rFonts w:asciiTheme="majorHAnsi" w:eastAsia="Times New Roman" w:hAnsiTheme="majorHAnsi" w:cstheme="majorHAnsi"/>
          <w:iCs/>
          <w:sz w:val="24"/>
          <w:szCs w:val="24"/>
          <w:lang w:val="ro-MD"/>
        </w:rPr>
        <w:t xml:space="preserve"> fost operate modificări la sursele de finanțare a deficitului BS</w:t>
      </w:r>
      <w:r w:rsidR="00402662" w:rsidRPr="00606103">
        <w:rPr>
          <w:rFonts w:asciiTheme="majorHAnsi" w:eastAsia="Times New Roman" w:hAnsiTheme="majorHAnsi" w:cstheme="majorHAnsi"/>
          <w:iCs/>
          <w:sz w:val="24"/>
          <w:szCs w:val="24"/>
          <w:lang w:val="ro-MD"/>
        </w:rPr>
        <w:t>,</w:t>
      </w:r>
      <w:r w:rsidR="000E0C22" w:rsidRPr="00606103">
        <w:rPr>
          <w:rFonts w:asciiTheme="majorHAnsi" w:eastAsia="Times New Roman" w:hAnsiTheme="majorHAnsi" w:cstheme="majorHAnsi"/>
          <w:iCs/>
          <w:sz w:val="24"/>
          <w:szCs w:val="24"/>
          <w:lang w:val="ro-MD"/>
        </w:rPr>
        <w:t xml:space="preserve"> care include intrarea tranșei I conform programului nou de reforme susținut prin resursele acordate de FMI în sumă de 1</w:t>
      </w:r>
      <w:r w:rsidRPr="00606103">
        <w:rPr>
          <w:rFonts w:asciiTheme="majorHAnsi" w:eastAsia="Times New Roman" w:hAnsiTheme="majorHAnsi" w:cstheme="majorHAnsi"/>
          <w:iCs/>
          <w:sz w:val="24"/>
          <w:szCs w:val="24"/>
          <w:lang w:val="ro-MD"/>
        </w:rPr>
        <w:t xml:space="preserve"> </w:t>
      </w:r>
      <w:r w:rsidR="000E0C22" w:rsidRPr="00606103">
        <w:rPr>
          <w:rFonts w:asciiTheme="majorHAnsi" w:eastAsia="Times New Roman" w:hAnsiTheme="majorHAnsi" w:cstheme="majorHAnsi"/>
          <w:iCs/>
          <w:sz w:val="24"/>
          <w:szCs w:val="24"/>
          <w:lang w:val="ro-MD"/>
        </w:rPr>
        <w:t xml:space="preserve">395,9 mil. lei. La data de </w:t>
      </w:r>
      <w:r w:rsidR="000E0C22" w:rsidRPr="00606103">
        <w:rPr>
          <w:rFonts w:asciiTheme="majorHAnsi" w:eastAsia="Calibri" w:hAnsiTheme="majorHAnsi" w:cstheme="majorHAnsi"/>
          <w:sz w:val="24"/>
          <w:szCs w:val="24"/>
          <w:lang w:val="ro-MD"/>
        </w:rPr>
        <w:t>22.12.2021</w:t>
      </w:r>
      <w:r w:rsidR="000E0C22" w:rsidRPr="00606103">
        <w:rPr>
          <w:rFonts w:asciiTheme="majorHAnsi" w:eastAsia="Times New Roman" w:hAnsiTheme="majorHAnsi" w:cstheme="majorHAnsi"/>
          <w:iCs/>
          <w:sz w:val="24"/>
          <w:szCs w:val="24"/>
          <w:lang w:val="ro-MD"/>
        </w:rPr>
        <w:t xml:space="preserve"> </w:t>
      </w:r>
      <w:r w:rsidR="000E0C22" w:rsidRPr="00606103">
        <w:rPr>
          <w:rFonts w:asciiTheme="majorHAnsi" w:eastAsia="Calibri" w:hAnsiTheme="majorHAnsi" w:cstheme="majorHAnsi"/>
          <w:sz w:val="24"/>
          <w:szCs w:val="24"/>
          <w:lang w:val="ro-MD"/>
        </w:rPr>
        <w:t>au fost transferate în CUT primele tranșe ale împrumutului sus-menționat, mijloacele respective, conform deciziei BNM</w:t>
      </w:r>
      <w:r w:rsidR="000E0C22" w:rsidRPr="00606103">
        <w:rPr>
          <w:rFonts w:asciiTheme="majorHAnsi" w:eastAsia="Calibri" w:hAnsiTheme="majorHAnsi" w:cstheme="majorHAnsi"/>
          <w:sz w:val="24"/>
          <w:szCs w:val="24"/>
          <w:vertAlign w:val="superscript"/>
          <w:lang w:val="ro-MD"/>
        </w:rPr>
        <w:footnoteReference w:id="114"/>
      </w:r>
      <w:r w:rsidR="000E0C22" w:rsidRPr="00606103">
        <w:rPr>
          <w:rFonts w:asciiTheme="majorHAnsi" w:eastAsia="Calibri" w:hAnsiTheme="majorHAnsi" w:cstheme="majorHAnsi"/>
          <w:sz w:val="24"/>
          <w:szCs w:val="24"/>
          <w:lang w:val="ro-MD"/>
        </w:rPr>
        <w:t>, fiind restricționate pentru utilizare și disponibile spre utilizare de către MF doar după ratificarea de către Parlament a Legilor privind atragerea împrumuturilor de stat externe (EFF și ECF) din partea FMI.</w:t>
      </w:r>
    </w:p>
    <w:p w:rsidR="000E0C22" w:rsidRPr="00606103" w:rsidRDefault="000E0C22">
      <w:pPr>
        <w:spacing w:line="276" w:lineRule="auto"/>
        <w:rPr>
          <w:rFonts w:asciiTheme="majorHAnsi" w:eastAsia="Times New Roman" w:hAnsiTheme="majorHAnsi" w:cstheme="majorHAnsi"/>
          <w:iCs/>
          <w:sz w:val="24"/>
          <w:szCs w:val="24"/>
          <w:lang w:val="ro-MD"/>
        </w:rPr>
      </w:pPr>
      <w:r w:rsidRPr="00606103">
        <w:rPr>
          <w:rFonts w:asciiTheme="majorHAnsi" w:eastAsia="Calibri" w:hAnsiTheme="majorHAnsi" w:cstheme="majorHAnsi"/>
          <w:sz w:val="24"/>
          <w:szCs w:val="24"/>
          <w:lang w:val="ro-MD"/>
        </w:rPr>
        <w:t>Verificările auditului confirmă că mijloacele respective nu au fost utilizate de MF, fiind intangibile până la ratificarea Legilor privind atragerea împrumuturilor de stat externe, situația având impact asupra majorării soldului disponibil de mijloace financiare la finele anului 2021 cu 1</w:t>
      </w:r>
      <w:r w:rsidR="00402662" w:rsidRPr="00606103">
        <w:rPr>
          <w:rFonts w:asciiTheme="majorHAnsi" w:eastAsia="Calibri" w:hAnsiTheme="majorHAnsi" w:cstheme="majorHAnsi"/>
          <w:sz w:val="24"/>
          <w:szCs w:val="24"/>
          <w:lang w:val="ro-MD"/>
        </w:rPr>
        <w:t xml:space="preserve"> </w:t>
      </w:r>
      <w:r w:rsidRPr="00606103">
        <w:rPr>
          <w:rFonts w:asciiTheme="majorHAnsi" w:eastAsia="Calibri" w:hAnsiTheme="majorHAnsi" w:cstheme="majorHAnsi"/>
          <w:sz w:val="24"/>
          <w:szCs w:val="24"/>
          <w:lang w:val="ro-MD"/>
        </w:rPr>
        <w:t>395,9 mil. lei.</w:t>
      </w:r>
      <w:r w:rsidRPr="00606103">
        <w:rPr>
          <w:rFonts w:asciiTheme="majorHAnsi" w:eastAsia="Times New Roman" w:hAnsiTheme="majorHAnsi" w:cstheme="majorHAnsi"/>
          <w:iCs/>
          <w:sz w:val="24"/>
          <w:szCs w:val="24"/>
          <w:lang w:val="ro-MD"/>
        </w:rPr>
        <w:t xml:space="preserve"> Auditul relevă că acest împrumut nu a fost raportat la datoria de stat, deși plafonul prevede această sursă.</w:t>
      </w:r>
    </w:p>
    <w:p w:rsidR="001B020B" w:rsidRPr="00606103" w:rsidRDefault="001B020B">
      <w:pPr>
        <w:pStyle w:val="Heading2"/>
        <w:spacing w:line="276" w:lineRule="auto"/>
        <w:rPr>
          <w:rFonts w:eastAsia="Times New Roman" w:cstheme="majorHAnsi"/>
          <w:b/>
          <w:color w:val="auto"/>
          <w:sz w:val="24"/>
          <w:szCs w:val="24"/>
          <w:lang w:val="ro-MD"/>
        </w:rPr>
      </w:pPr>
      <w:r w:rsidRPr="00606103">
        <w:rPr>
          <w:rFonts w:eastAsia="Times New Roman" w:cstheme="majorHAnsi"/>
          <w:b/>
          <w:color w:val="auto"/>
          <w:sz w:val="24"/>
          <w:szCs w:val="24"/>
          <w:lang w:val="ro-MD"/>
        </w:rPr>
        <w:t>5.1</w:t>
      </w:r>
      <w:r w:rsidR="00AF163C" w:rsidRPr="00606103">
        <w:rPr>
          <w:rFonts w:eastAsia="Times New Roman" w:cstheme="majorHAnsi"/>
          <w:b/>
          <w:color w:val="auto"/>
          <w:sz w:val="24"/>
          <w:szCs w:val="24"/>
          <w:lang w:val="ro-MD"/>
        </w:rPr>
        <w:t>1</w:t>
      </w:r>
      <w:r w:rsidRPr="00606103">
        <w:rPr>
          <w:rFonts w:eastAsia="Times New Roman" w:cstheme="majorHAnsi"/>
          <w:b/>
          <w:color w:val="auto"/>
          <w:sz w:val="24"/>
          <w:szCs w:val="24"/>
          <w:lang w:val="ro-MD"/>
        </w:rPr>
        <w:t xml:space="preserve">. Pentru serviciul datoriei de stat externe și </w:t>
      </w:r>
      <w:r w:rsidR="00402662" w:rsidRPr="00606103">
        <w:rPr>
          <w:rFonts w:eastAsia="Times New Roman" w:cstheme="majorHAnsi"/>
          <w:b/>
          <w:color w:val="auto"/>
          <w:sz w:val="24"/>
          <w:szCs w:val="24"/>
          <w:lang w:val="ro-MD"/>
        </w:rPr>
        <w:t xml:space="preserve">celei </w:t>
      </w:r>
      <w:r w:rsidRPr="00606103">
        <w:rPr>
          <w:rFonts w:eastAsia="Times New Roman" w:cstheme="majorHAnsi"/>
          <w:b/>
          <w:color w:val="auto"/>
          <w:sz w:val="24"/>
          <w:szCs w:val="24"/>
          <w:lang w:val="ro-MD"/>
        </w:rPr>
        <w:t>interne au fost executate mijloace financiare în sumă totală de 1 897,3 mil. lei, care</w:t>
      </w:r>
      <w:r w:rsidR="00402662" w:rsidRPr="00606103">
        <w:rPr>
          <w:rFonts w:eastAsia="Times New Roman" w:cstheme="majorHAnsi"/>
          <w:b/>
          <w:color w:val="auto"/>
          <w:sz w:val="24"/>
          <w:szCs w:val="24"/>
          <w:lang w:val="ro-MD"/>
        </w:rPr>
        <w:t>,</w:t>
      </w:r>
      <w:r w:rsidRPr="00606103">
        <w:rPr>
          <w:rFonts w:eastAsia="Times New Roman" w:cstheme="majorHAnsi"/>
          <w:b/>
          <w:color w:val="auto"/>
          <w:sz w:val="24"/>
          <w:szCs w:val="24"/>
          <w:lang w:val="ro-MD"/>
        </w:rPr>
        <w:t xml:space="preserve"> în comparație cu anul precedent</w:t>
      </w:r>
      <w:r w:rsidR="00402662" w:rsidRPr="00606103">
        <w:rPr>
          <w:rFonts w:eastAsia="Times New Roman" w:cstheme="majorHAnsi"/>
          <w:b/>
          <w:color w:val="auto"/>
          <w:sz w:val="24"/>
          <w:szCs w:val="24"/>
          <w:lang w:val="ro-MD"/>
        </w:rPr>
        <w:t>,</w:t>
      </w:r>
      <w:r w:rsidRPr="00606103">
        <w:rPr>
          <w:rFonts w:eastAsia="Times New Roman" w:cstheme="majorHAnsi"/>
          <w:b/>
          <w:color w:val="auto"/>
          <w:sz w:val="24"/>
          <w:szCs w:val="24"/>
          <w:lang w:val="ro-MD"/>
        </w:rPr>
        <w:t xml:space="preserve"> înregistrează o tendință de creștere.</w:t>
      </w:r>
    </w:p>
    <w:p w:rsidR="001B020B" w:rsidRPr="00606103" w:rsidRDefault="001B020B">
      <w:pPr>
        <w:spacing w:after="0" w:line="276" w:lineRule="auto"/>
        <w:rPr>
          <w:rFonts w:asciiTheme="majorHAnsi" w:eastAsia="Times New Roman" w:hAnsiTheme="majorHAnsi" w:cstheme="majorHAnsi"/>
          <w:sz w:val="24"/>
          <w:szCs w:val="24"/>
          <w:lang w:val="ro-MD"/>
        </w:rPr>
      </w:pPr>
      <w:r w:rsidRPr="00606103">
        <w:rPr>
          <w:rFonts w:asciiTheme="majorHAnsi" w:eastAsia="Times New Roman" w:hAnsiTheme="majorHAnsi" w:cstheme="majorHAnsi"/>
          <w:sz w:val="24"/>
          <w:szCs w:val="24"/>
          <w:lang w:val="ro-MD"/>
        </w:rPr>
        <w:t>Pentru serviciul datoriei de stat externe, au fost executate mijloace financiare din BS în sumă de 378,0 mil. lei (94,9%), sau cu 16,5 mil. lei mai mult față de anul precedent. Totodată, pentru serviciul datoriei de stat interne, au fost executate 1 519,3 mil. lei (100%), sau cu 196,6 mil. lei (14,9%) mai mult decât în anul 2020. Acest fapt, în mare parte, se datorează deservirii unui volum mai mare de VMS emise pe piața primară în anul 2021, comparativ cu anul precedent.</w:t>
      </w:r>
    </w:p>
    <w:p w:rsidR="005D235B" w:rsidRPr="00606103" w:rsidRDefault="005D235B">
      <w:pPr>
        <w:spacing w:line="276" w:lineRule="auto"/>
        <w:rPr>
          <w:rFonts w:asciiTheme="majorHAnsi" w:eastAsia="Calibri" w:hAnsiTheme="majorHAnsi" w:cstheme="majorHAnsi"/>
          <w:sz w:val="24"/>
          <w:szCs w:val="24"/>
          <w:lang w:val="ro-MD"/>
        </w:rPr>
      </w:pPr>
    </w:p>
    <w:p w:rsidR="00C26645" w:rsidRPr="00606103" w:rsidRDefault="00C26645" w:rsidP="00552746">
      <w:pPr>
        <w:pStyle w:val="ListParagraph"/>
        <w:numPr>
          <w:ilvl w:val="0"/>
          <w:numId w:val="1"/>
        </w:numPr>
        <w:tabs>
          <w:tab w:val="left" w:pos="426"/>
        </w:tabs>
        <w:spacing w:after="0" w:line="276" w:lineRule="auto"/>
        <w:ind w:left="0" w:firstLine="0"/>
        <w:jc w:val="left"/>
        <w:outlineLvl w:val="0"/>
        <w:rPr>
          <w:rFonts w:asciiTheme="majorHAnsi" w:hAnsiTheme="majorHAnsi" w:cstheme="majorHAnsi"/>
          <w:b/>
          <w:szCs w:val="28"/>
          <w:lang w:val="ro-MD"/>
        </w:rPr>
      </w:pPr>
      <w:r w:rsidRPr="00606103">
        <w:rPr>
          <w:rFonts w:asciiTheme="majorHAnsi" w:hAnsiTheme="majorHAnsi" w:cstheme="majorHAnsi"/>
          <w:b/>
          <w:szCs w:val="28"/>
          <w:lang w:val="ro-MD"/>
        </w:rPr>
        <w:t>BUNA GUVERNANȚĂ</w:t>
      </w:r>
    </w:p>
    <w:p w:rsidR="00C26645" w:rsidRPr="00606103" w:rsidRDefault="00A871EE">
      <w:pPr>
        <w:pStyle w:val="Heading2"/>
        <w:spacing w:line="276" w:lineRule="auto"/>
        <w:rPr>
          <w:rFonts w:cstheme="majorHAnsi"/>
          <w:b/>
          <w:color w:val="auto"/>
          <w:sz w:val="24"/>
          <w:szCs w:val="24"/>
          <w:lang w:val="ro-MD"/>
        </w:rPr>
      </w:pPr>
      <w:r w:rsidRPr="00606103">
        <w:rPr>
          <w:rFonts w:cstheme="majorHAnsi"/>
          <w:b/>
          <w:color w:val="auto"/>
          <w:sz w:val="24"/>
          <w:szCs w:val="24"/>
          <w:lang w:val="ro-MD"/>
        </w:rPr>
        <w:t>6</w:t>
      </w:r>
      <w:r w:rsidR="00C26645" w:rsidRPr="00606103">
        <w:rPr>
          <w:rFonts w:cstheme="majorHAnsi"/>
          <w:b/>
          <w:color w:val="auto"/>
          <w:sz w:val="24"/>
          <w:szCs w:val="24"/>
          <w:lang w:val="ro-MD"/>
        </w:rPr>
        <w:t>.1. Organizarea, implementarea, evaluarea și raportarea sistemului de control intern</w:t>
      </w:r>
    </w:p>
    <w:p w:rsidR="00086B5C" w:rsidRPr="00606103" w:rsidRDefault="00C26645">
      <w:pPr>
        <w:spacing w:line="276" w:lineRule="auto"/>
        <w:rPr>
          <w:rFonts w:asciiTheme="majorHAnsi" w:hAnsiTheme="majorHAnsi" w:cstheme="majorHAnsi"/>
          <w:i/>
          <w:sz w:val="24"/>
          <w:szCs w:val="24"/>
          <w:lang w:val="ro-MD"/>
        </w:rPr>
      </w:pPr>
      <w:r w:rsidRPr="00606103">
        <w:rPr>
          <w:rFonts w:asciiTheme="majorHAnsi" w:hAnsiTheme="majorHAnsi" w:cstheme="majorHAnsi"/>
          <w:sz w:val="24"/>
          <w:szCs w:val="24"/>
          <w:lang w:val="ro-MD"/>
        </w:rPr>
        <w:t>Potrivit Legii nr.229 din 23.09.2010</w:t>
      </w:r>
      <w:r w:rsidRPr="00606103">
        <w:rPr>
          <w:rFonts w:asciiTheme="majorHAnsi" w:hAnsiTheme="majorHAnsi" w:cstheme="majorHAnsi"/>
          <w:sz w:val="24"/>
          <w:szCs w:val="24"/>
          <w:vertAlign w:val="superscript"/>
          <w:lang w:val="ro-MD"/>
        </w:rPr>
        <w:footnoteReference w:id="115"/>
      </w:r>
      <w:r w:rsidRPr="00606103">
        <w:rPr>
          <w:rFonts w:asciiTheme="majorHAnsi" w:hAnsiTheme="majorHAnsi" w:cstheme="majorHAnsi"/>
          <w:sz w:val="24"/>
          <w:szCs w:val="24"/>
          <w:lang w:val="ro-MD"/>
        </w:rPr>
        <w:t xml:space="preserve">, pentru promovarea unei bune guvernări a entităților publice, se implementează controlul financiar public intern, care include: controlul intern managerial, auditul </w:t>
      </w:r>
      <w:r w:rsidRPr="00606103">
        <w:rPr>
          <w:rFonts w:asciiTheme="majorHAnsi" w:hAnsiTheme="majorHAnsi" w:cstheme="majorHAnsi"/>
          <w:sz w:val="24"/>
          <w:szCs w:val="24"/>
          <w:lang w:val="ro-MD"/>
        </w:rPr>
        <w:lastRenderedPageBreak/>
        <w:t xml:space="preserve">intern, responsabili fiind managerii entităților publice, precum și coordonarea și armonizarea centralizată efectuată de către MF. Potrivit Declarației de răspundere managerială, pe baza rezultatelor autoevaluării, sistemul de control intern managerial al MF este parțial conform cu Standardele naționale de control intern în sectorul public. Astfel, în baza rezultatelor autoevaluării CIM de către MF și constatărilor auditului ca urmare a testării controalelor interne, se confirmă că organizarea și funcționarea sistemului de control intern managerial </w:t>
      </w:r>
      <w:r w:rsidRPr="00606103">
        <w:rPr>
          <w:rFonts w:asciiTheme="majorHAnsi" w:hAnsiTheme="majorHAnsi" w:cstheme="majorHAnsi"/>
          <w:i/>
          <w:sz w:val="24"/>
          <w:szCs w:val="24"/>
          <w:lang w:val="ro-MD"/>
        </w:rPr>
        <w:t>permite furnizarea unei asigurări rezonabile.</w:t>
      </w:r>
    </w:p>
    <w:p w:rsidR="00844E14" w:rsidRPr="00606103" w:rsidRDefault="00C26645">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 xml:space="preserve">Serviciile informatice de administrare, menținere, dezvoltare și asigurare a funcționării </w:t>
      </w:r>
      <w:r w:rsidR="000F6E62" w:rsidRPr="00606103">
        <w:rPr>
          <w:rFonts w:asciiTheme="majorHAnsi" w:hAnsiTheme="majorHAnsi" w:cstheme="majorHAnsi"/>
          <w:sz w:val="24"/>
          <w:szCs w:val="24"/>
          <w:lang w:val="ro-MD"/>
        </w:rPr>
        <w:t>Sistemului Informațional de G</w:t>
      </w:r>
      <w:r w:rsidRPr="00606103">
        <w:rPr>
          <w:rFonts w:asciiTheme="majorHAnsi" w:hAnsiTheme="majorHAnsi" w:cstheme="majorHAnsi"/>
          <w:sz w:val="24"/>
          <w:szCs w:val="24"/>
          <w:lang w:val="ro-MD"/>
        </w:rPr>
        <w:t xml:space="preserve">estionare a </w:t>
      </w:r>
      <w:r w:rsidR="000F6E62" w:rsidRPr="00606103">
        <w:rPr>
          <w:rFonts w:asciiTheme="majorHAnsi" w:hAnsiTheme="majorHAnsi" w:cstheme="majorHAnsi"/>
          <w:sz w:val="24"/>
          <w:szCs w:val="24"/>
          <w:lang w:val="ro-MD"/>
        </w:rPr>
        <w:t>Finanțelor P</w:t>
      </w:r>
      <w:r w:rsidRPr="00606103">
        <w:rPr>
          <w:rFonts w:asciiTheme="majorHAnsi" w:hAnsiTheme="majorHAnsi" w:cstheme="majorHAnsi"/>
          <w:sz w:val="24"/>
          <w:szCs w:val="24"/>
          <w:lang w:val="ro-MD"/>
        </w:rPr>
        <w:t>ublice sunt achiziționate</w:t>
      </w:r>
      <w:r w:rsidR="000F6E62" w:rsidRPr="00606103">
        <w:rPr>
          <w:rFonts w:asciiTheme="majorHAnsi" w:hAnsiTheme="majorHAnsi" w:cstheme="majorHAnsi"/>
          <w:sz w:val="24"/>
          <w:szCs w:val="24"/>
          <w:lang w:val="ro-MD"/>
        </w:rPr>
        <w:t xml:space="preserve"> anual de la IP „CTIF</w:t>
      </w:r>
      <w:r w:rsidRPr="00606103">
        <w:rPr>
          <w:rFonts w:asciiTheme="majorHAnsi" w:hAnsiTheme="majorHAnsi" w:cstheme="majorHAnsi"/>
          <w:sz w:val="24"/>
          <w:szCs w:val="24"/>
          <w:lang w:val="ro-MD"/>
        </w:rPr>
        <w:t>”</w:t>
      </w:r>
      <w:r w:rsidRPr="00606103">
        <w:rPr>
          <w:rFonts w:asciiTheme="majorHAnsi" w:hAnsiTheme="majorHAnsi" w:cstheme="majorHAnsi"/>
          <w:sz w:val="24"/>
          <w:szCs w:val="24"/>
          <w:vertAlign w:val="superscript"/>
          <w:lang w:val="ro-MD"/>
        </w:rPr>
        <w:footnoteReference w:id="116"/>
      </w:r>
      <w:r w:rsidRPr="00606103">
        <w:rPr>
          <w:rFonts w:asciiTheme="majorHAnsi" w:hAnsiTheme="majorHAnsi" w:cstheme="majorHAnsi"/>
          <w:sz w:val="24"/>
          <w:szCs w:val="24"/>
          <w:lang w:val="ro-MD"/>
        </w:rPr>
        <w:t>. Auditul menționează că MF deține o Politică de securitate a informației, aprobată prin Ordinul MF nr.147 din 21 noiembrie 2016. În calitate de operator tehnico-tehnologic a</w:t>
      </w:r>
      <w:r w:rsidR="005703BD" w:rsidRPr="00606103">
        <w:rPr>
          <w:rFonts w:asciiTheme="majorHAnsi" w:hAnsiTheme="majorHAnsi" w:cstheme="majorHAnsi"/>
          <w:sz w:val="24"/>
          <w:szCs w:val="24"/>
          <w:lang w:val="ro-MD"/>
        </w:rPr>
        <w:t>l</w:t>
      </w:r>
      <w:r w:rsidRPr="00606103">
        <w:rPr>
          <w:rFonts w:asciiTheme="majorHAnsi" w:hAnsiTheme="majorHAnsi" w:cstheme="majorHAnsi"/>
          <w:sz w:val="24"/>
          <w:szCs w:val="24"/>
          <w:lang w:val="ro-MD"/>
        </w:rPr>
        <w:t xml:space="preserve"> Sistemului Informațional de Gestionare a Fi</w:t>
      </w:r>
      <w:r w:rsidR="000F6E62" w:rsidRPr="00606103">
        <w:rPr>
          <w:rFonts w:asciiTheme="majorHAnsi" w:hAnsiTheme="majorHAnsi" w:cstheme="majorHAnsi"/>
          <w:sz w:val="24"/>
          <w:szCs w:val="24"/>
          <w:lang w:val="ro-MD"/>
        </w:rPr>
        <w:t xml:space="preserve">nanțelor Publice, IP „CTIF” în anul 2021 a elaborat și </w:t>
      </w:r>
      <w:r w:rsidR="005703BD" w:rsidRPr="00606103">
        <w:rPr>
          <w:rFonts w:asciiTheme="majorHAnsi" w:hAnsiTheme="majorHAnsi" w:cstheme="majorHAnsi"/>
          <w:sz w:val="24"/>
          <w:szCs w:val="24"/>
          <w:lang w:val="ro-MD"/>
        </w:rPr>
        <w:t xml:space="preserve">a </w:t>
      </w:r>
      <w:r w:rsidR="000F6E62" w:rsidRPr="00606103">
        <w:rPr>
          <w:rFonts w:asciiTheme="majorHAnsi" w:hAnsiTheme="majorHAnsi" w:cstheme="majorHAnsi"/>
          <w:sz w:val="24"/>
          <w:szCs w:val="24"/>
          <w:lang w:val="ro-MD"/>
        </w:rPr>
        <w:t xml:space="preserve">prezentat MF </w:t>
      </w:r>
      <w:r w:rsidRPr="00606103">
        <w:rPr>
          <w:rFonts w:asciiTheme="majorHAnsi" w:hAnsiTheme="majorHAnsi" w:cstheme="majorHAnsi"/>
          <w:sz w:val="24"/>
          <w:szCs w:val="24"/>
          <w:lang w:val="ro-MD"/>
        </w:rPr>
        <w:t>cerințe</w:t>
      </w:r>
      <w:r w:rsidR="005703BD" w:rsidRPr="00606103">
        <w:rPr>
          <w:rFonts w:asciiTheme="majorHAnsi" w:hAnsiTheme="majorHAnsi" w:cstheme="majorHAnsi"/>
          <w:sz w:val="24"/>
          <w:szCs w:val="24"/>
          <w:lang w:val="ro-MD"/>
        </w:rPr>
        <w:t>le</w:t>
      </w:r>
      <w:r w:rsidRPr="00606103">
        <w:rPr>
          <w:rFonts w:asciiTheme="majorHAnsi" w:hAnsiTheme="majorHAnsi" w:cstheme="majorHAnsi"/>
          <w:sz w:val="24"/>
          <w:szCs w:val="24"/>
          <w:lang w:val="ro-MD"/>
        </w:rPr>
        <w:t xml:space="preserve"> m</w:t>
      </w:r>
      <w:r w:rsidR="000F6E62" w:rsidRPr="00606103">
        <w:rPr>
          <w:rFonts w:asciiTheme="majorHAnsi" w:hAnsiTheme="majorHAnsi" w:cstheme="majorHAnsi"/>
          <w:sz w:val="24"/>
          <w:szCs w:val="24"/>
          <w:lang w:val="ro-MD"/>
        </w:rPr>
        <w:t xml:space="preserve">inime </w:t>
      </w:r>
      <w:r w:rsidR="005703BD" w:rsidRPr="00606103">
        <w:rPr>
          <w:rFonts w:asciiTheme="majorHAnsi" w:hAnsiTheme="majorHAnsi" w:cstheme="majorHAnsi"/>
          <w:sz w:val="24"/>
          <w:szCs w:val="24"/>
          <w:lang w:val="ro-MD"/>
        </w:rPr>
        <w:t>privind</w:t>
      </w:r>
      <w:r w:rsidRPr="00606103">
        <w:rPr>
          <w:rFonts w:asciiTheme="majorHAnsi" w:hAnsiTheme="majorHAnsi" w:cstheme="majorHAnsi"/>
          <w:sz w:val="24"/>
          <w:szCs w:val="24"/>
          <w:lang w:val="ro-MD"/>
        </w:rPr>
        <w:t xml:space="preserve"> securitatea cibernetică </w:t>
      </w:r>
      <w:r w:rsidR="0041329C" w:rsidRPr="00606103">
        <w:rPr>
          <w:rFonts w:asciiTheme="majorHAnsi" w:hAnsiTheme="majorHAnsi" w:cstheme="majorHAnsi"/>
          <w:sz w:val="24"/>
          <w:szCs w:val="24"/>
          <w:lang w:val="ro-MD"/>
        </w:rPr>
        <w:t>și</w:t>
      </w:r>
      <w:r w:rsidRPr="00606103">
        <w:rPr>
          <w:rFonts w:asciiTheme="majorHAnsi" w:hAnsiTheme="majorHAnsi" w:cstheme="majorHAnsi"/>
          <w:sz w:val="24"/>
          <w:szCs w:val="24"/>
          <w:lang w:val="ro-MD"/>
        </w:rPr>
        <w:t xml:space="preserve"> nivel</w:t>
      </w:r>
      <w:r w:rsidR="005703BD" w:rsidRPr="00606103">
        <w:rPr>
          <w:rFonts w:asciiTheme="majorHAnsi" w:hAnsiTheme="majorHAnsi" w:cstheme="majorHAnsi"/>
          <w:sz w:val="24"/>
          <w:szCs w:val="24"/>
          <w:lang w:val="ro-MD"/>
        </w:rPr>
        <w:t>uril</w:t>
      </w:r>
      <w:r w:rsidRPr="00606103">
        <w:rPr>
          <w:rFonts w:asciiTheme="majorHAnsi" w:hAnsiTheme="majorHAnsi" w:cstheme="majorHAnsi"/>
          <w:sz w:val="24"/>
          <w:szCs w:val="24"/>
          <w:lang w:val="ro-MD"/>
        </w:rPr>
        <w:t>e agreate de servicii pentru sistemele dezvoltate sau achiziționate</w:t>
      </w:r>
      <w:r w:rsidR="005703BD"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w:t>
      </w:r>
    </w:p>
    <w:p w:rsidR="00C26645" w:rsidRPr="00606103" w:rsidRDefault="009F2007">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bidi="ro-RO"/>
        </w:rPr>
        <w:t>Î</w:t>
      </w:r>
      <w:r w:rsidR="00FE1794" w:rsidRPr="00606103">
        <w:rPr>
          <w:rFonts w:asciiTheme="majorHAnsi" w:hAnsiTheme="majorHAnsi" w:cstheme="majorHAnsi"/>
          <w:sz w:val="24"/>
          <w:szCs w:val="24"/>
          <w:lang w:val="ro-MD" w:bidi="ro-RO"/>
        </w:rPr>
        <w:t xml:space="preserve">n conformitate cu </w:t>
      </w:r>
      <w:r w:rsidR="00085018" w:rsidRPr="00606103">
        <w:rPr>
          <w:rFonts w:asciiTheme="majorHAnsi" w:hAnsiTheme="majorHAnsi" w:cstheme="majorHAnsi"/>
          <w:sz w:val="24"/>
          <w:szCs w:val="24"/>
          <w:lang w:val="ro-MD" w:bidi="ro-RO"/>
        </w:rPr>
        <w:t>prevederile Ordinului MF nr.144 din 09.12.</w:t>
      </w:r>
      <w:r w:rsidR="00FE1794" w:rsidRPr="00606103">
        <w:rPr>
          <w:rFonts w:asciiTheme="majorHAnsi" w:hAnsiTheme="majorHAnsi" w:cstheme="majorHAnsi"/>
          <w:sz w:val="24"/>
          <w:szCs w:val="24"/>
          <w:lang w:val="ro-MD" w:bidi="ro-RO"/>
        </w:rPr>
        <w:t>2021 „Cu privire la aprobarea termenelor de prezentare a rapoartelor financiare pentru anul 2021”, autoritățile/instituțiile bugetare au prezentat în termenele stabilite rapoartele fin</w:t>
      </w:r>
      <w:r w:rsidRPr="00606103">
        <w:rPr>
          <w:rFonts w:asciiTheme="majorHAnsi" w:hAnsiTheme="majorHAnsi" w:cstheme="majorHAnsi"/>
          <w:sz w:val="24"/>
          <w:szCs w:val="24"/>
          <w:lang w:val="ro-MD" w:bidi="ro-RO"/>
        </w:rPr>
        <w:t xml:space="preserve">anciare pentru anul 2021. </w:t>
      </w:r>
      <w:r w:rsidR="000F4A31" w:rsidRPr="00606103">
        <w:rPr>
          <w:rFonts w:asciiTheme="majorHAnsi" w:hAnsiTheme="majorHAnsi" w:cstheme="majorHAnsi"/>
          <w:sz w:val="24"/>
          <w:szCs w:val="24"/>
          <w:lang w:val="ro-MD" w:bidi="ro-RO"/>
        </w:rPr>
        <w:t>Excepție au făcut a</w:t>
      </w:r>
      <w:r w:rsidR="00FE1794" w:rsidRPr="00606103">
        <w:rPr>
          <w:rFonts w:asciiTheme="majorHAnsi" w:hAnsiTheme="majorHAnsi" w:cstheme="majorHAnsi"/>
          <w:sz w:val="24"/>
          <w:szCs w:val="24"/>
          <w:lang w:val="ro-MD" w:bidi="ro-RO"/>
        </w:rPr>
        <w:t>utorități</w:t>
      </w:r>
      <w:r w:rsidRPr="00606103">
        <w:rPr>
          <w:rFonts w:asciiTheme="majorHAnsi" w:hAnsiTheme="majorHAnsi" w:cstheme="majorHAnsi"/>
          <w:sz w:val="24"/>
          <w:szCs w:val="24"/>
          <w:lang w:val="ro-MD" w:bidi="ro-RO"/>
        </w:rPr>
        <w:t>le supuse</w:t>
      </w:r>
      <w:r w:rsidR="00FE1794" w:rsidRPr="00606103">
        <w:rPr>
          <w:rFonts w:asciiTheme="majorHAnsi" w:hAnsiTheme="majorHAnsi" w:cstheme="majorHAnsi"/>
          <w:sz w:val="24"/>
          <w:szCs w:val="24"/>
          <w:lang w:val="ro-MD" w:bidi="ro-RO"/>
        </w:rPr>
        <w:t xml:space="preserve"> </w:t>
      </w:r>
      <w:r w:rsidRPr="00606103">
        <w:rPr>
          <w:rFonts w:asciiTheme="majorHAnsi" w:hAnsiTheme="majorHAnsi" w:cstheme="majorHAnsi"/>
          <w:sz w:val="24"/>
          <w:szCs w:val="24"/>
          <w:lang w:val="ro-MD" w:bidi="ro-RO"/>
        </w:rPr>
        <w:t xml:space="preserve">reformei de restructurare a </w:t>
      </w:r>
      <w:r w:rsidR="000F4A31" w:rsidRPr="00606103">
        <w:rPr>
          <w:rFonts w:asciiTheme="majorHAnsi" w:hAnsiTheme="majorHAnsi" w:cstheme="majorHAnsi"/>
          <w:sz w:val="24"/>
          <w:szCs w:val="24"/>
          <w:lang w:val="ro-MD" w:bidi="ro-RO"/>
        </w:rPr>
        <w:t xml:space="preserve">APC, care </w:t>
      </w:r>
      <w:r w:rsidR="00FE1794" w:rsidRPr="00606103">
        <w:rPr>
          <w:rFonts w:asciiTheme="majorHAnsi" w:hAnsiTheme="majorHAnsi" w:cstheme="majorHAnsi"/>
          <w:sz w:val="24"/>
          <w:szCs w:val="24"/>
          <w:lang w:val="ro-MD" w:bidi="ro-RO"/>
        </w:rPr>
        <w:t>au solicitat prelungirea termenului de prezentare a raportului.</w:t>
      </w:r>
      <w:r w:rsidR="00FE1794" w:rsidRPr="00606103">
        <w:rPr>
          <w:rFonts w:asciiTheme="majorHAnsi" w:eastAsia="Courier New" w:hAnsiTheme="majorHAnsi" w:cstheme="majorHAnsi"/>
          <w:color w:val="000000"/>
          <w:sz w:val="24"/>
          <w:szCs w:val="24"/>
          <w:lang w:val="ro-MD" w:eastAsia="ro-RO" w:bidi="ro-RO"/>
        </w:rPr>
        <w:t xml:space="preserve"> </w:t>
      </w:r>
      <w:r w:rsidRPr="00606103">
        <w:rPr>
          <w:rFonts w:asciiTheme="majorHAnsi" w:eastAsia="Courier New" w:hAnsiTheme="majorHAnsi" w:cstheme="majorHAnsi"/>
          <w:color w:val="000000"/>
          <w:sz w:val="24"/>
          <w:szCs w:val="24"/>
          <w:lang w:val="ro-MD" w:eastAsia="ro-RO" w:bidi="ro-RO"/>
        </w:rPr>
        <w:t>Toate rapoartele financiare au fost prezentate în termen, cu excepția MAIA și MEC.</w:t>
      </w:r>
    </w:p>
    <w:p w:rsidR="00C26645" w:rsidRPr="00606103" w:rsidRDefault="00A871EE">
      <w:pPr>
        <w:pStyle w:val="Heading2"/>
        <w:spacing w:line="276" w:lineRule="auto"/>
        <w:rPr>
          <w:rFonts w:cstheme="majorHAnsi"/>
          <w:b/>
          <w:color w:val="auto"/>
          <w:sz w:val="24"/>
          <w:szCs w:val="24"/>
          <w:lang w:val="ro-MD"/>
        </w:rPr>
      </w:pPr>
      <w:r w:rsidRPr="00606103">
        <w:rPr>
          <w:rFonts w:cstheme="majorHAnsi"/>
          <w:b/>
          <w:color w:val="auto"/>
          <w:sz w:val="24"/>
          <w:szCs w:val="24"/>
          <w:lang w:val="ro-MD"/>
        </w:rPr>
        <w:t>6</w:t>
      </w:r>
      <w:r w:rsidR="00C26645" w:rsidRPr="00606103">
        <w:rPr>
          <w:rFonts w:cstheme="majorHAnsi"/>
          <w:b/>
          <w:color w:val="auto"/>
          <w:sz w:val="24"/>
          <w:szCs w:val="24"/>
          <w:lang w:val="ro-MD"/>
        </w:rPr>
        <w:t>.2. Auditul intern nu a evaluat niciun proces cu privire la executarea mijloacelor din BS.</w:t>
      </w:r>
    </w:p>
    <w:p w:rsidR="00844E14" w:rsidRPr="00606103" w:rsidRDefault="00C26645">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În anul 2021, SAI a</w:t>
      </w:r>
      <w:r w:rsidR="005703BD" w:rsidRPr="00606103">
        <w:rPr>
          <w:rFonts w:asciiTheme="majorHAnsi" w:hAnsiTheme="majorHAnsi" w:cstheme="majorHAnsi"/>
          <w:sz w:val="24"/>
          <w:szCs w:val="24"/>
          <w:lang w:val="ro-MD"/>
        </w:rPr>
        <w:t>l</w:t>
      </w:r>
      <w:r w:rsidRPr="00606103">
        <w:rPr>
          <w:rFonts w:asciiTheme="majorHAnsi" w:hAnsiTheme="majorHAnsi" w:cstheme="majorHAnsi"/>
          <w:sz w:val="24"/>
          <w:szCs w:val="24"/>
          <w:lang w:val="ro-MD"/>
        </w:rPr>
        <w:t xml:space="preserve"> MF a realizat 8 misiuni de audit: un audit de consiliere, 4 </w:t>
      </w:r>
      <w:r w:rsidR="005703BD"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de asigurare</w:t>
      </w:r>
      <w:r w:rsidR="005703BD"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și 3 </w:t>
      </w:r>
      <w:r w:rsidR="005703BD"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ad-hoc. Astfel, au fost evaluate riscurile asociate unor procese operaționale aferente achizițiilor publice, securit</w:t>
      </w:r>
      <w:r w:rsidR="005703BD" w:rsidRPr="00606103">
        <w:rPr>
          <w:rFonts w:asciiTheme="majorHAnsi" w:hAnsiTheme="majorHAnsi" w:cstheme="majorHAnsi"/>
          <w:sz w:val="24"/>
          <w:szCs w:val="24"/>
          <w:lang w:val="ro-MD"/>
        </w:rPr>
        <w:t>ății</w:t>
      </w:r>
      <w:r w:rsidRPr="00606103">
        <w:rPr>
          <w:rFonts w:asciiTheme="majorHAnsi" w:hAnsiTheme="majorHAnsi" w:cstheme="majorHAnsi"/>
          <w:sz w:val="24"/>
          <w:szCs w:val="24"/>
          <w:lang w:val="ro-MD"/>
        </w:rPr>
        <w:t xml:space="preserve"> cibernetic</w:t>
      </w:r>
      <w:r w:rsidR="005703BD" w:rsidRPr="00606103">
        <w:rPr>
          <w:rFonts w:asciiTheme="majorHAnsi" w:hAnsiTheme="majorHAnsi" w:cstheme="majorHAnsi"/>
          <w:sz w:val="24"/>
          <w:szCs w:val="24"/>
          <w:lang w:val="ro-MD"/>
        </w:rPr>
        <w:t>e</w:t>
      </w:r>
      <w:r w:rsidRPr="00606103">
        <w:rPr>
          <w:rFonts w:asciiTheme="majorHAnsi" w:hAnsiTheme="majorHAnsi" w:cstheme="majorHAnsi"/>
          <w:sz w:val="24"/>
          <w:szCs w:val="24"/>
          <w:lang w:val="ro-MD"/>
        </w:rPr>
        <w:t xml:space="preserve"> și procesul</w:t>
      </w:r>
      <w:r w:rsidR="005703BD" w:rsidRPr="00606103">
        <w:rPr>
          <w:rFonts w:asciiTheme="majorHAnsi" w:hAnsiTheme="majorHAnsi" w:cstheme="majorHAnsi"/>
          <w:sz w:val="24"/>
          <w:szCs w:val="24"/>
          <w:lang w:val="ro-MD"/>
        </w:rPr>
        <w:t>ui</w:t>
      </w:r>
      <w:r w:rsidRPr="00606103">
        <w:rPr>
          <w:rFonts w:asciiTheme="majorHAnsi" w:hAnsiTheme="majorHAnsi" w:cstheme="majorHAnsi"/>
          <w:sz w:val="24"/>
          <w:szCs w:val="24"/>
          <w:lang w:val="ro-MD"/>
        </w:rPr>
        <w:t xml:space="preserve"> de funcționalitate a controlului intern managerial în cadrul subdiviziunilor structurale ale MF, dar și instituțiilor subordonate ministerului. </w:t>
      </w:r>
    </w:p>
    <w:p w:rsidR="00C26645" w:rsidRPr="00606103" w:rsidRDefault="00C26645">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Conform art.17 alin.(3) din Legea privind controlul financiar public</w:t>
      </w:r>
      <w:r w:rsidR="00AF68D9" w:rsidRPr="00606103">
        <w:rPr>
          <w:rFonts w:asciiTheme="majorHAnsi" w:hAnsiTheme="majorHAnsi" w:cstheme="majorHAnsi"/>
          <w:sz w:val="24"/>
          <w:szCs w:val="24"/>
          <w:lang w:val="ro-MD"/>
        </w:rPr>
        <w:t xml:space="preserve"> intern</w:t>
      </w:r>
      <w:r w:rsidRPr="00606103">
        <w:rPr>
          <w:rFonts w:asciiTheme="majorHAnsi" w:hAnsiTheme="majorHAnsi" w:cstheme="majorHAnsi"/>
          <w:sz w:val="24"/>
          <w:szCs w:val="24"/>
          <w:lang w:val="ro-MD"/>
        </w:rPr>
        <w:t xml:space="preserve">, auditul intern asigură evaluarea cel puțin o dată la trei ani a proceselor cu risc sporit din următoarele domenii: (i) financiar-contabil; (ii) achiziții publice; (iii) administrare a activelor; (iv) tehnologii informaționale. </w:t>
      </w:r>
    </w:p>
    <w:p w:rsidR="00C26645" w:rsidRPr="00606103" w:rsidRDefault="00C26645">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Similar anilor precedenți, se consideră oportun</w:t>
      </w:r>
      <w:r w:rsidR="005703BD" w:rsidRPr="00606103">
        <w:rPr>
          <w:rFonts w:asciiTheme="majorHAnsi" w:hAnsiTheme="majorHAnsi" w:cstheme="majorHAnsi"/>
          <w:sz w:val="24"/>
          <w:szCs w:val="24"/>
          <w:lang w:val="ro-MD"/>
        </w:rPr>
        <w:t>ă</w:t>
      </w:r>
      <w:r w:rsidRPr="00606103">
        <w:rPr>
          <w:rFonts w:asciiTheme="majorHAnsi" w:hAnsiTheme="majorHAnsi" w:cstheme="majorHAnsi"/>
          <w:sz w:val="24"/>
          <w:szCs w:val="24"/>
          <w:lang w:val="ro-MD"/>
        </w:rPr>
        <w:t xml:space="preserve"> evaluarea</w:t>
      </w:r>
      <w:r w:rsidR="005703BD" w:rsidRPr="00606103">
        <w:rPr>
          <w:rFonts w:asciiTheme="majorHAnsi" w:hAnsiTheme="majorHAnsi" w:cstheme="majorHAnsi"/>
          <w:sz w:val="24"/>
          <w:szCs w:val="24"/>
          <w:lang w:val="ro-MD"/>
        </w:rPr>
        <w:t>, de către Serviciul audit intern, a</w:t>
      </w:r>
      <w:r w:rsidRPr="00606103">
        <w:rPr>
          <w:rFonts w:asciiTheme="majorHAnsi" w:hAnsiTheme="majorHAnsi" w:cstheme="majorHAnsi"/>
          <w:sz w:val="24"/>
          <w:szCs w:val="24"/>
          <w:lang w:val="ro-MD"/>
        </w:rPr>
        <w:t xml:space="preserve"> proceselor asupra evidenței contabile a executării de casă a mijloacelor BS, ținând cont de prevederile Cartei de audit intern că cel puțin o dată la 3 ani să fie evaluate procesele cu risc sporit pentru domeniul financiar-contabil și obiectivul stabilit în Planul s</w:t>
      </w:r>
      <w:r w:rsidR="00581C14" w:rsidRPr="00606103">
        <w:rPr>
          <w:rFonts w:asciiTheme="majorHAnsi" w:hAnsiTheme="majorHAnsi" w:cstheme="majorHAnsi"/>
          <w:sz w:val="24"/>
          <w:szCs w:val="24"/>
          <w:lang w:val="ro-MD"/>
        </w:rPr>
        <w:t>trategic pentru anii 2019-2021.</w:t>
      </w:r>
    </w:p>
    <w:p w:rsidR="00C26645" w:rsidRPr="00606103" w:rsidRDefault="00C26645">
      <w:pPr>
        <w:pStyle w:val="Heading2"/>
        <w:spacing w:line="276" w:lineRule="auto"/>
        <w:rPr>
          <w:rFonts w:cstheme="majorHAnsi"/>
          <w:b/>
          <w:color w:val="auto"/>
          <w:sz w:val="24"/>
          <w:szCs w:val="24"/>
          <w:lang w:val="ro-MD"/>
        </w:rPr>
      </w:pPr>
      <w:r w:rsidRPr="00606103">
        <w:rPr>
          <w:rFonts w:cstheme="majorHAnsi"/>
          <w:b/>
          <w:color w:val="auto"/>
          <w:sz w:val="24"/>
          <w:szCs w:val="24"/>
          <w:lang w:val="ro-MD"/>
        </w:rPr>
        <w:t xml:space="preserve">6.3. </w:t>
      </w:r>
      <w:r w:rsidR="00146AA8" w:rsidRPr="00606103">
        <w:rPr>
          <w:rFonts w:cstheme="majorHAnsi"/>
          <w:b/>
          <w:color w:val="auto"/>
          <w:sz w:val="24"/>
          <w:szCs w:val="24"/>
          <w:lang w:val="ro-MD"/>
        </w:rPr>
        <w:t>Recomandările</w:t>
      </w:r>
      <w:r w:rsidR="00581C14" w:rsidRPr="00606103">
        <w:rPr>
          <w:rFonts w:cstheme="majorHAnsi"/>
          <w:b/>
          <w:color w:val="auto"/>
          <w:sz w:val="24"/>
          <w:szCs w:val="24"/>
          <w:lang w:val="ro-MD"/>
        </w:rPr>
        <w:t xml:space="preserve"> din misiunea de audit precedentă sunt implementate</w:t>
      </w:r>
      <w:r w:rsidR="00146AA8" w:rsidRPr="00606103">
        <w:rPr>
          <w:rFonts w:cstheme="majorHAnsi"/>
          <w:b/>
          <w:color w:val="auto"/>
          <w:sz w:val="24"/>
          <w:szCs w:val="24"/>
          <w:lang w:val="ro-MD"/>
        </w:rPr>
        <w:t xml:space="preserve"> parțial</w:t>
      </w:r>
      <w:r w:rsidR="005703BD" w:rsidRPr="00606103">
        <w:rPr>
          <w:rFonts w:cstheme="majorHAnsi"/>
          <w:b/>
          <w:color w:val="auto"/>
          <w:sz w:val="24"/>
          <w:szCs w:val="24"/>
          <w:lang w:val="ro-MD"/>
        </w:rPr>
        <w:t>.</w:t>
      </w:r>
    </w:p>
    <w:p w:rsidR="00C26645" w:rsidRPr="00606103" w:rsidRDefault="00C26645">
      <w:pPr>
        <w:spacing w:line="276" w:lineRule="auto"/>
        <w:rPr>
          <w:rFonts w:asciiTheme="majorHAnsi" w:hAnsiTheme="majorHAnsi" w:cstheme="majorHAnsi"/>
          <w:i/>
          <w:sz w:val="24"/>
          <w:szCs w:val="24"/>
          <w:lang w:val="ro-MD"/>
        </w:rPr>
      </w:pPr>
      <w:r w:rsidRPr="00606103">
        <w:rPr>
          <w:rFonts w:asciiTheme="majorHAnsi" w:hAnsiTheme="majorHAnsi" w:cstheme="majorHAnsi"/>
          <w:sz w:val="24"/>
          <w:szCs w:val="24"/>
          <w:lang w:val="ro-MD"/>
        </w:rPr>
        <w:t>Prin Hotărârea Curții de Conturi nr.30 din 28.06.2021</w:t>
      </w:r>
      <w:r w:rsidRPr="00606103">
        <w:rPr>
          <w:rFonts w:asciiTheme="majorHAnsi" w:hAnsiTheme="majorHAnsi" w:cstheme="majorHAnsi"/>
          <w:sz w:val="24"/>
          <w:szCs w:val="24"/>
          <w:vertAlign w:val="superscript"/>
          <w:lang w:val="ro-MD"/>
        </w:rPr>
        <w:footnoteReference w:id="117"/>
      </w:r>
      <w:r w:rsidRPr="00606103">
        <w:rPr>
          <w:rFonts w:asciiTheme="majorHAnsi" w:hAnsiTheme="majorHAnsi" w:cstheme="majorHAnsi"/>
          <w:sz w:val="24"/>
          <w:szCs w:val="24"/>
          <w:lang w:val="ro-MD"/>
        </w:rPr>
        <w:t>, MF i-au fost înaintate 18 recomandări (inclusiv 8 recomandări reiterate din anul precedent), di</w:t>
      </w:r>
      <w:r w:rsidR="00844E14" w:rsidRPr="00606103">
        <w:rPr>
          <w:rFonts w:asciiTheme="majorHAnsi" w:hAnsiTheme="majorHAnsi" w:cstheme="majorHAnsi"/>
          <w:sz w:val="24"/>
          <w:szCs w:val="24"/>
          <w:lang w:val="ro-MD"/>
        </w:rPr>
        <w:t>n</w:t>
      </w:r>
      <w:r w:rsidR="005C7995" w:rsidRPr="00606103">
        <w:rPr>
          <w:rFonts w:asciiTheme="majorHAnsi" w:hAnsiTheme="majorHAnsi" w:cstheme="majorHAnsi"/>
          <w:sz w:val="24"/>
          <w:szCs w:val="24"/>
          <w:lang w:val="ro-MD"/>
        </w:rPr>
        <w:t>tre</w:t>
      </w:r>
      <w:r w:rsidR="00844E14" w:rsidRPr="00606103">
        <w:rPr>
          <w:rFonts w:asciiTheme="majorHAnsi" w:hAnsiTheme="majorHAnsi" w:cstheme="majorHAnsi"/>
          <w:sz w:val="24"/>
          <w:szCs w:val="24"/>
          <w:lang w:val="ro-MD"/>
        </w:rPr>
        <w:t xml:space="preserve"> care: implementate </w:t>
      </w:r>
      <w:r w:rsidR="005C7995" w:rsidRPr="00606103">
        <w:rPr>
          <w:rFonts w:asciiTheme="majorHAnsi" w:hAnsiTheme="majorHAnsi" w:cstheme="majorHAnsi"/>
          <w:sz w:val="24"/>
          <w:szCs w:val="24"/>
          <w:lang w:val="ro-MD"/>
        </w:rPr>
        <w:t>–</w:t>
      </w:r>
      <w:r w:rsidR="008771CF" w:rsidRPr="00606103">
        <w:rPr>
          <w:rFonts w:asciiTheme="majorHAnsi" w:hAnsiTheme="majorHAnsi" w:cstheme="majorHAnsi"/>
          <w:sz w:val="24"/>
          <w:szCs w:val="24"/>
          <w:lang w:val="ro-MD"/>
        </w:rPr>
        <w:t xml:space="preserve"> 9</w:t>
      </w:r>
      <w:r w:rsidR="00844E14"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parțial implementate</w:t>
      </w:r>
      <w:r w:rsidR="00844E14" w:rsidRPr="00606103">
        <w:rPr>
          <w:rFonts w:asciiTheme="majorHAnsi" w:hAnsiTheme="majorHAnsi" w:cstheme="majorHAnsi"/>
          <w:sz w:val="24"/>
          <w:szCs w:val="24"/>
          <w:lang w:val="ro-MD"/>
        </w:rPr>
        <w:t xml:space="preserve"> </w:t>
      </w:r>
      <w:r w:rsidR="00945F5C" w:rsidRPr="00606103">
        <w:rPr>
          <w:rFonts w:asciiTheme="majorHAnsi" w:hAnsiTheme="majorHAnsi" w:cstheme="majorHAnsi"/>
          <w:sz w:val="24"/>
          <w:szCs w:val="24"/>
          <w:lang w:val="ro-MD"/>
        </w:rPr>
        <w:t>–</w:t>
      </w:r>
      <w:r w:rsidR="00536ABA" w:rsidRPr="00606103">
        <w:rPr>
          <w:rFonts w:asciiTheme="majorHAnsi" w:hAnsiTheme="majorHAnsi" w:cstheme="majorHAnsi"/>
          <w:sz w:val="24"/>
          <w:szCs w:val="24"/>
          <w:lang w:val="ro-MD"/>
        </w:rPr>
        <w:t xml:space="preserve"> </w:t>
      </w:r>
      <w:r w:rsidR="00844E14" w:rsidRPr="00606103">
        <w:rPr>
          <w:rFonts w:asciiTheme="majorHAnsi" w:hAnsiTheme="majorHAnsi" w:cstheme="majorHAnsi"/>
          <w:sz w:val="24"/>
          <w:szCs w:val="24"/>
          <w:lang w:val="ro-MD"/>
        </w:rPr>
        <w:t xml:space="preserve">5; și </w:t>
      </w:r>
      <w:r w:rsidRPr="00606103">
        <w:rPr>
          <w:rFonts w:asciiTheme="majorHAnsi" w:hAnsiTheme="majorHAnsi" w:cstheme="majorHAnsi"/>
          <w:sz w:val="24"/>
          <w:szCs w:val="24"/>
          <w:lang w:val="ro-MD"/>
        </w:rPr>
        <w:t>neimplementate</w:t>
      </w:r>
      <w:r w:rsidR="00844E14" w:rsidRPr="00606103">
        <w:rPr>
          <w:rFonts w:asciiTheme="majorHAnsi" w:hAnsiTheme="majorHAnsi" w:cstheme="majorHAnsi"/>
          <w:sz w:val="24"/>
          <w:szCs w:val="24"/>
          <w:lang w:val="ro-MD"/>
        </w:rPr>
        <w:t xml:space="preserve"> </w:t>
      </w:r>
      <w:r w:rsidR="00945F5C" w:rsidRPr="00606103">
        <w:rPr>
          <w:rFonts w:asciiTheme="majorHAnsi" w:hAnsiTheme="majorHAnsi" w:cstheme="majorHAnsi"/>
          <w:sz w:val="24"/>
          <w:szCs w:val="24"/>
          <w:lang w:val="ro-MD"/>
        </w:rPr>
        <w:t>–</w:t>
      </w:r>
      <w:r w:rsidR="008771CF" w:rsidRPr="00606103">
        <w:rPr>
          <w:rFonts w:asciiTheme="majorHAnsi" w:hAnsiTheme="majorHAnsi" w:cstheme="majorHAnsi"/>
          <w:sz w:val="24"/>
          <w:szCs w:val="24"/>
          <w:lang w:val="ro-MD"/>
        </w:rPr>
        <w:t xml:space="preserve"> 4</w:t>
      </w:r>
      <w:r w:rsidRPr="00606103">
        <w:rPr>
          <w:rFonts w:asciiTheme="majorHAnsi" w:hAnsiTheme="majorHAnsi" w:cstheme="majorHAnsi"/>
          <w:sz w:val="24"/>
          <w:szCs w:val="24"/>
          <w:lang w:val="ro-MD"/>
        </w:rPr>
        <w:t xml:space="preserve">. </w:t>
      </w:r>
      <w:r w:rsidRPr="00606103">
        <w:rPr>
          <w:rFonts w:asciiTheme="majorHAnsi" w:eastAsia="Calibri" w:hAnsiTheme="majorHAnsi" w:cstheme="majorHAnsi"/>
          <w:sz w:val="24"/>
          <w:szCs w:val="24"/>
          <w:lang w:val="ro-MD"/>
        </w:rPr>
        <w:t xml:space="preserve">Recomandările au fost evaluate de audit ca parțial </w:t>
      </w:r>
      <w:r w:rsidRPr="00606103">
        <w:rPr>
          <w:rFonts w:asciiTheme="majorHAnsi" w:eastAsia="Calibri" w:hAnsiTheme="majorHAnsi" w:cstheme="majorHAnsi"/>
          <w:sz w:val="24"/>
          <w:szCs w:val="24"/>
          <w:lang w:val="ro-MD"/>
        </w:rPr>
        <w:lastRenderedPageBreak/>
        <w:t>implementate, deoarece conform răspunsului la solicitarea echipei de audit referitor la implementarea recomandărilor,</w:t>
      </w:r>
      <w:r w:rsidR="00C639B3" w:rsidRPr="00606103">
        <w:rPr>
          <w:rFonts w:asciiTheme="majorHAnsi" w:eastAsia="Calibri" w:hAnsiTheme="majorHAnsi" w:cstheme="majorHAnsi"/>
          <w:sz w:val="24"/>
          <w:szCs w:val="24"/>
          <w:lang w:val="ro-MD"/>
        </w:rPr>
        <w:t xml:space="preserve"> se relevă că</w:t>
      </w:r>
      <w:r w:rsidRPr="00606103">
        <w:rPr>
          <w:rFonts w:asciiTheme="majorHAnsi" w:eastAsia="Calibri" w:hAnsiTheme="majorHAnsi" w:cstheme="majorHAnsi"/>
          <w:sz w:val="24"/>
          <w:szCs w:val="24"/>
          <w:lang w:val="ro-MD"/>
        </w:rPr>
        <w:t xml:space="preserve"> MF</w:t>
      </w:r>
      <w:r w:rsidRPr="00606103">
        <w:rPr>
          <w:rFonts w:asciiTheme="majorHAnsi" w:hAnsiTheme="majorHAnsi" w:cstheme="majorHAnsi"/>
          <w:sz w:val="24"/>
          <w:szCs w:val="24"/>
          <w:lang w:val="ro-MD"/>
        </w:rPr>
        <w:t xml:space="preserve"> a </w:t>
      </w:r>
      <w:r w:rsidRPr="00606103">
        <w:rPr>
          <w:rFonts w:asciiTheme="majorHAnsi" w:eastAsia="Calibri" w:hAnsiTheme="majorHAnsi" w:cstheme="majorHAnsi"/>
          <w:sz w:val="24"/>
          <w:szCs w:val="24"/>
          <w:lang w:val="ro-MD"/>
        </w:rPr>
        <w:t xml:space="preserve">elaborat mai multe proiecte de acte normative, care până la moment nu au fost definitivate și se află la etapa de elaborare sau coordonare în cadrul MF. </w:t>
      </w:r>
      <w:r w:rsidRPr="00606103">
        <w:rPr>
          <w:rFonts w:asciiTheme="majorHAnsi" w:hAnsiTheme="majorHAnsi" w:cstheme="majorHAnsi"/>
          <w:i/>
          <w:sz w:val="24"/>
          <w:szCs w:val="24"/>
          <w:lang w:val="ro-MD"/>
        </w:rPr>
        <w:t>Rezultatele verificărilor efectuate, precum și informațiile prezentate de MF în vederea executării recomandărilor din HCC nr.30 din 28.06.2021 se prezintă în detaliu în Anexa nr.</w:t>
      </w:r>
      <w:r w:rsidR="0041329C" w:rsidRPr="00606103">
        <w:rPr>
          <w:rFonts w:asciiTheme="majorHAnsi" w:hAnsiTheme="majorHAnsi" w:cstheme="majorHAnsi"/>
          <w:i/>
          <w:sz w:val="24"/>
          <w:szCs w:val="24"/>
          <w:lang w:val="ro-MD"/>
        </w:rPr>
        <w:t>11</w:t>
      </w:r>
      <w:r w:rsidRPr="00606103">
        <w:rPr>
          <w:rFonts w:asciiTheme="majorHAnsi" w:hAnsiTheme="majorHAnsi" w:cstheme="majorHAnsi"/>
          <w:i/>
          <w:sz w:val="24"/>
          <w:szCs w:val="24"/>
          <w:lang w:val="ro-MD"/>
        </w:rPr>
        <w:t xml:space="preserve"> la prez</w:t>
      </w:r>
      <w:r w:rsidR="00581C14" w:rsidRPr="00606103">
        <w:rPr>
          <w:rFonts w:asciiTheme="majorHAnsi" w:hAnsiTheme="majorHAnsi" w:cstheme="majorHAnsi"/>
          <w:i/>
          <w:sz w:val="24"/>
          <w:szCs w:val="24"/>
          <w:lang w:val="ro-MD"/>
        </w:rPr>
        <w:t>entul Raport de audit.</w:t>
      </w:r>
    </w:p>
    <w:p w:rsidR="00C26645" w:rsidRPr="00606103" w:rsidRDefault="00146AA8" w:rsidP="00552746">
      <w:pPr>
        <w:pStyle w:val="Heading2"/>
        <w:numPr>
          <w:ilvl w:val="1"/>
          <w:numId w:val="5"/>
        </w:numPr>
        <w:tabs>
          <w:tab w:val="left" w:pos="426"/>
        </w:tabs>
        <w:spacing w:line="276" w:lineRule="auto"/>
        <w:ind w:left="0" w:firstLine="0"/>
        <w:rPr>
          <w:rFonts w:eastAsia="Times New Roman" w:cstheme="majorHAnsi"/>
          <w:b/>
          <w:color w:val="auto"/>
          <w:sz w:val="24"/>
          <w:szCs w:val="24"/>
          <w:lang w:val="ro-MD"/>
        </w:rPr>
      </w:pPr>
      <w:r w:rsidRPr="00606103">
        <w:rPr>
          <w:rFonts w:eastAsia="Times New Roman" w:cstheme="majorHAnsi"/>
          <w:b/>
          <w:color w:val="auto"/>
          <w:sz w:val="24"/>
          <w:szCs w:val="24"/>
          <w:lang w:val="ro-MD"/>
        </w:rPr>
        <w:t>E</w:t>
      </w:r>
      <w:r w:rsidR="00C26645" w:rsidRPr="00606103">
        <w:rPr>
          <w:rFonts w:eastAsia="Times New Roman" w:cstheme="majorHAnsi"/>
          <w:b/>
          <w:color w:val="auto"/>
          <w:sz w:val="24"/>
          <w:szCs w:val="24"/>
          <w:lang w:val="ro-MD"/>
        </w:rPr>
        <w:t xml:space="preserve">laborarea, aprobarea și modificarea </w:t>
      </w:r>
      <w:r w:rsidRPr="00606103">
        <w:rPr>
          <w:rFonts w:eastAsia="Times New Roman" w:cstheme="majorHAnsi"/>
          <w:b/>
          <w:color w:val="auto"/>
          <w:sz w:val="24"/>
          <w:szCs w:val="24"/>
          <w:lang w:val="ro-MD"/>
        </w:rPr>
        <w:t>Legii BS pentru anul 2021 nu a</w:t>
      </w:r>
      <w:r w:rsidR="00C26645" w:rsidRPr="00606103">
        <w:rPr>
          <w:rFonts w:eastAsia="Times New Roman" w:cstheme="majorHAnsi"/>
          <w:b/>
          <w:color w:val="auto"/>
          <w:sz w:val="24"/>
          <w:szCs w:val="24"/>
          <w:lang w:val="ro-MD"/>
        </w:rPr>
        <w:t xml:space="preserve"> respectat </w:t>
      </w:r>
      <w:r w:rsidR="00581C14" w:rsidRPr="00606103">
        <w:rPr>
          <w:rFonts w:eastAsia="Times New Roman" w:cstheme="majorHAnsi"/>
          <w:b/>
          <w:color w:val="auto"/>
          <w:sz w:val="24"/>
          <w:szCs w:val="24"/>
          <w:lang w:val="ro-MD"/>
        </w:rPr>
        <w:t>termen</w:t>
      </w:r>
      <w:r w:rsidR="00945F5C" w:rsidRPr="00606103">
        <w:rPr>
          <w:rFonts w:eastAsia="Times New Roman" w:cstheme="majorHAnsi"/>
          <w:b/>
          <w:color w:val="auto"/>
          <w:sz w:val="24"/>
          <w:szCs w:val="24"/>
          <w:lang w:val="ro-MD"/>
        </w:rPr>
        <w:t>ele</w:t>
      </w:r>
      <w:r w:rsidR="00581C14" w:rsidRPr="00606103">
        <w:rPr>
          <w:rFonts w:eastAsia="Times New Roman" w:cstheme="majorHAnsi"/>
          <w:b/>
          <w:color w:val="auto"/>
          <w:sz w:val="24"/>
          <w:szCs w:val="24"/>
          <w:lang w:val="ro-MD"/>
        </w:rPr>
        <w:t xml:space="preserve"> </w:t>
      </w:r>
      <w:r w:rsidR="00C26645" w:rsidRPr="00606103">
        <w:rPr>
          <w:rFonts w:eastAsia="Times New Roman" w:cstheme="majorHAnsi"/>
          <w:b/>
          <w:color w:val="auto"/>
          <w:sz w:val="24"/>
          <w:szCs w:val="24"/>
          <w:lang w:val="ro-MD"/>
        </w:rPr>
        <w:t>calendarul</w:t>
      </w:r>
      <w:r w:rsidRPr="00606103">
        <w:rPr>
          <w:rFonts w:eastAsia="Times New Roman" w:cstheme="majorHAnsi"/>
          <w:b/>
          <w:color w:val="auto"/>
          <w:sz w:val="24"/>
          <w:szCs w:val="24"/>
          <w:lang w:val="ro-MD"/>
        </w:rPr>
        <w:t>ui</w:t>
      </w:r>
      <w:r w:rsidR="00C26645" w:rsidRPr="00606103">
        <w:rPr>
          <w:rFonts w:eastAsia="Times New Roman" w:cstheme="majorHAnsi"/>
          <w:b/>
          <w:color w:val="auto"/>
          <w:sz w:val="24"/>
          <w:szCs w:val="24"/>
          <w:lang w:val="ro-MD"/>
        </w:rPr>
        <w:t xml:space="preserve"> bugetar.</w:t>
      </w:r>
    </w:p>
    <w:p w:rsidR="0036056A" w:rsidRPr="00606103" w:rsidRDefault="00C26645">
      <w:pPr>
        <w:spacing w:line="276" w:lineRule="auto"/>
        <w:rPr>
          <w:rFonts w:asciiTheme="majorHAnsi" w:hAnsiTheme="majorHAnsi" w:cstheme="majorHAnsi"/>
          <w:sz w:val="24"/>
          <w:szCs w:val="24"/>
          <w:lang w:val="ro-MD" w:eastAsia="ru-RU"/>
        </w:rPr>
      </w:pPr>
      <w:r w:rsidRPr="00606103">
        <w:rPr>
          <w:rFonts w:asciiTheme="majorHAnsi" w:hAnsiTheme="majorHAnsi" w:cstheme="majorHAnsi"/>
          <w:sz w:val="24"/>
          <w:szCs w:val="24"/>
          <w:lang w:val="ro-MD"/>
        </w:rPr>
        <w:t>Legea finanțelor publice și responsabilității bugetar-fiscale stabilește principiile și regulile bugetare și fiscale, reglementează calendarul bugetar și procedurile bugetare generale, delimitează competențe</w:t>
      </w:r>
      <w:r w:rsidR="0036056A" w:rsidRPr="00606103">
        <w:rPr>
          <w:rFonts w:asciiTheme="majorHAnsi" w:hAnsiTheme="majorHAnsi" w:cstheme="majorHAnsi"/>
          <w:sz w:val="24"/>
          <w:szCs w:val="24"/>
          <w:lang w:val="ro-MD"/>
        </w:rPr>
        <w:t>le</w:t>
      </w:r>
      <w:r w:rsidRPr="00606103">
        <w:rPr>
          <w:rFonts w:asciiTheme="majorHAnsi" w:hAnsiTheme="majorHAnsi" w:cstheme="majorHAnsi"/>
          <w:sz w:val="24"/>
          <w:szCs w:val="24"/>
          <w:lang w:val="ro-MD"/>
        </w:rPr>
        <w:t xml:space="preserve"> și responsabilități</w:t>
      </w:r>
      <w:r w:rsidR="0036056A" w:rsidRPr="00606103">
        <w:rPr>
          <w:rFonts w:asciiTheme="majorHAnsi" w:hAnsiTheme="majorHAnsi" w:cstheme="majorHAnsi"/>
          <w:sz w:val="24"/>
          <w:szCs w:val="24"/>
          <w:lang w:val="ro-MD"/>
        </w:rPr>
        <w:t>le</w:t>
      </w:r>
      <w:r w:rsidRPr="00606103">
        <w:rPr>
          <w:rFonts w:asciiTheme="majorHAnsi" w:hAnsiTheme="majorHAnsi" w:cstheme="majorHAnsi"/>
          <w:sz w:val="24"/>
          <w:szCs w:val="24"/>
          <w:lang w:val="ro-MD"/>
        </w:rPr>
        <w:t xml:space="preserve"> </w:t>
      </w:r>
      <w:r w:rsidR="00A871EE" w:rsidRPr="00606103">
        <w:rPr>
          <w:rFonts w:asciiTheme="majorHAnsi" w:hAnsiTheme="majorHAnsi" w:cstheme="majorHAnsi"/>
          <w:sz w:val="24"/>
          <w:szCs w:val="24"/>
          <w:lang w:val="ro-MD"/>
        </w:rPr>
        <w:t xml:space="preserve">în domeniul finanțelor publice. </w:t>
      </w:r>
      <w:r w:rsidRPr="00606103">
        <w:rPr>
          <w:rFonts w:asciiTheme="majorHAnsi" w:hAnsiTheme="majorHAnsi" w:cstheme="majorHAnsi"/>
          <w:sz w:val="24"/>
          <w:szCs w:val="24"/>
          <w:lang w:val="ro-MD" w:eastAsia="ru-RU"/>
        </w:rPr>
        <w:t xml:space="preserve">Elaborarea CBTM constituie prima fază – strategică, în procesul de planificare a bugetului, iar elaborarea și aprobarea proiectului bugetului anual reprezintă a doua fază a ciclului anual de planificare bugetară. </w:t>
      </w:r>
    </w:p>
    <w:p w:rsidR="00146AA8" w:rsidRPr="00606103" w:rsidRDefault="00C26645">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Conform art.12 din Legea nr.181 din 25.07.2014, BS se elaborează, se aprobă și se administrează în mod transparent având la bază procesul bugetar, bazat pe un calendar bugetar și pe proceduri transparente. CBTM este documentul principal în baza căruia se elaborează bugetul</w:t>
      </w:r>
      <w:r w:rsidRPr="00606103">
        <w:rPr>
          <w:rFonts w:asciiTheme="majorHAnsi" w:hAnsiTheme="majorHAnsi" w:cstheme="majorHAnsi"/>
          <w:sz w:val="24"/>
          <w:szCs w:val="24"/>
          <w:lang w:val="ro-MD" w:eastAsia="ru-RU"/>
        </w:rPr>
        <w:t xml:space="preserve"> și care </w:t>
      </w:r>
      <w:r w:rsidRPr="00606103">
        <w:rPr>
          <w:rFonts w:asciiTheme="majorHAnsi" w:hAnsiTheme="majorHAnsi" w:cstheme="majorHAnsi"/>
          <w:color w:val="000000" w:themeColor="text1"/>
          <w:sz w:val="24"/>
          <w:szCs w:val="24"/>
          <w:lang w:val="ro-MD"/>
        </w:rPr>
        <w:t>reprezintă instrumentul ce asigură corelarea alocării resurselor cu prioritățile de politici</w:t>
      </w:r>
      <w:r w:rsidRPr="00606103">
        <w:rPr>
          <w:rFonts w:asciiTheme="majorHAnsi" w:hAnsiTheme="majorHAnsi" w:cstheme="majorHAnsi"/>
          <w:sz w:val="24"/>
          <w:szCs w:val="24"/>
          <w:lang w:val="ro-MD"/>
        </w:rPr>
        <w:t xml:space="preserve">. Anual, în conformitate cu calendarul bugetar, CBTM se elaborează de către MF, în comun cu alte autorități responsabile, în conformitate cu principiile și regulile bugetar-fiscale stabilite, iar Guvernul îl aprobă și îl prezintă spre informare Parlamentului. </w:t>
      </w:r>
    </w:p>
    <w:p w:rsidR="00C26645" w:rsidRPr="00606103" w:rsidRDefault="00C26645">
      <w:pPr>
        <w:spacing w:line="276" w:lineRule="auto"/>
        <w:rPr>
          <w:rFonts w:asciiTheme="majorHAnsi" w:hAnsiTheme="majorHAnsi" w:cstheme="majorHAnsi"/>
          <w:sz w:val="24"/>
          <w:szCs w:val="24"/>
          <w:lang w:val="ro-MD"/>
        </w:rPr>
      </w:pPr>
      <w:r w:rsidRPr="00606103">
        <w:rPr>
          <w:rFonts w:asciiTheme="majorHAnsi" w:hAnsiTheme="majorHAnsi" w:cstheme="majorHAnsi"/>
          <w:color w:val="000000" w:themeColor="text1"/>
          <w:sz w:val="24"/>
          <w:szCs w:val="24"/>
          <w:lang w:val="ro-MD"/>
        </w:rPr>
        <w:t>Auditul a verificat respectarea calendarului bugetar și dacă limita aprobată în CBTM a servit în calitate de reper în estimarea liniei de bază pentru ciclul bugetar, examinările</w:t>
      </w:r>
      <w:r w:rsidRPr="00606103">
        <w:rPr>
          <w:rFonts w:asciiTheme="majorHAnsi" w:hAnsiTheme="majorHAnsi" w:cstheme="majorHAnsi"/>
          <w:sz w:val="24"/>
          <w:szCs w:val="24"/>
          <w:lang w:val="ro-MD"/>
        </w:rPr>
        <w:t xml:space="preserve"> constatând următoarele</w:t>
      </w:r>
      <w:r w:rsidR="0036056A" w:rsidRPr="00606103">
        <w:rPr>
          <w:rFonts w:asciiTheme="majorHAnsi" w:hAnsiTheme="majorHAnsi" w:cstheme="majorHAnsi"/>
          <w:sz w:val="24"/>
          <w:szCs w:val="24"/>
          <w:lang w:val="ro-MD"/>
        </w:rPr>
        <w:t>.</w:t>
      </w:r>
    </w:p>
    <w:p w:rsidR="000A1798" w:rsidRDefault="00C26645">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 xml:space="preserve">MF a prezentat Guvernului </w:t>
      </w:r>
      <w:r w:rsidR="00A41821" w:rsidRPr="00606103">
        <w:rPr>
          <w:rFonts w:asciiTheme="majorHAnsi" w:hAnsiTheme="majorHAnsi" w:cstheme="majorHAnsi"/>
          <w:sz w:val="24"/>
          <w:szCs w:val="24"/>
          <w:lang w:val="ro-MD"/>
        </w:rPr>
        <w:t xml:space="preserve">spre aprobare </w:t>
      </w:r>
      <w:r w:rsidRPr="00606103">
        <w:rPr>
          <w:rFonts w:asciiTheme="majorHAnsi" w:hAnsiTheme="majorHAnsi" w:cstheme="majorHAnsi"/>
          <w:sz w:val="24"/>
          <w:szCs w:val="24"/>
          <w:lang w:val="ro-MD"/>
        </w:rPr>
        <w:t xml:space="preserve">documentul cu privire la CBTM la data de 19.10.2020, </w:t>
      </w:r>
      <w:r w:rsidR="00A41821" w:rsidRPr="00606103">
        <w:rPr>
          <w:rFonts w:asciiTheme="majorHAnsi" w:hAnsiTheme="majorHAnsi" w:cstheme="majorHAnsi"/>
          <w:sz w:val="24"/>
          <w:szCs w:val="24"/>
          <w:lang w:val="ro-MD"/>
        </w:rPr>
        <w:t xml:space="preserve">acesta </w:t>
      </w:r>
      <w:r w:rsidRPr="00606103">
        <w:rPr>
          <w:rFonts w:asciiTheme="majorHAnsi" w:hAnsiTheme="majorHAnsi" w:cstheme="majorHAnsi"/>
          <w:sz w:val="24"/>
          <w:szCs w:val="24"/>
          <w:lang w:val="ro-MD"/>
        </w:rPr>
        <w:t>fiind aprobat de către Guvern</w:t>
      </w:r>
      <w:r w:rsidRPr="00606103">
        <w:rPr>
          <w:rFonts w:asciiTheme="majorHAnsi" w:hAnsiTheme="majorHAnsi" w:cstheme="majorHAnsi"/>
          <w:sz w:val="24"/>
          <w:szCs w:val="24"/>
          <w:vertAlign w:val="superscript"/>
          <w:lang w:val="ro-MD"/>
        </w:rPr>
        <w:footnoteReference w:id="118"/>
      </w:r>
      <w:r w:rsidRPr="00606103">
        <w:rPr>
          <w:rFonts w:asciiTheme="majorHAnsi" w:hAnsiTheme="majorHAnsi" w:cstheme="majorHAnsi"/>
          <w:sz w:val="24"/>
          <w:szCs w:val="24"/>
          <w:lang w:val="ro-MD"/>
        </w:rPr>
        <w:t xml:space="preserve"> la 28.10.2020, ceea ce </w:t>
      </w:r>
      <w:r w:rsidR="00A41821" w:rsidRPr="00606103">
        <w:rPr>
          <w:rFonts w:asciiTheme="majorHAnsi" w:hAnsiTheme="majorHAnsi" w:cstheme="majorHAnsi"/>
          <w:sz w:val="24"/>
          <w:szCs w:val="24"/>
          <w:lang w:val="ro-MD"/>
        </w:rPr>
        <w:t xml:space="preserve">constituie </w:t>
      </w:r>
      <w:r w:rsidR="00C639B3" w:rsidRPr="00606103">
        <w:rPr>
          <w:rFonts w:asciiTheme="majorHAnsi" w:hAnsiTheme="majorHAnsi" w:cstheme="majorHAnsi"/>
          <w:sz w:val="24"/>
          <w:szCs w:val="24"/>
          <w:lang w:val="ro-MD"/>
        </w:rPr>
        <w:t>cu o întârziere de 139 de zile.</w:t>
      </w:r>
    </w:p>
    <w:p w:rsidR="00C26645" w:rsidRPr="00606103" w:rsidRDefault="00C26645">
      <w:pPr>
        <w:spacing w:line="276" w:lineRule="auto"/>
        <w:rPr>
          <w:rFonts w:asciiTheme="majorHAnsi" w:hAnsiTheme="majorHAnsi" w:cstheme="majorHAnsi"/>
          <w:b/>
          <w:sz w:val="24"/>
          <w:szCs w:val="24"/>
          <w:lang w:val="ro-MD"/>
        </w:rPr>
      </w:pPr>
      <w:r w:rsidRPr="00606103">
        <w:rPr>
          <w:rFonts w:asciiTheme="majorHAnsi" w:hAnsiTheme="majorHAnsi" w:cstheme="majorHAnsi"/>
          <w:sz w:val="24"/>
          <w:szCs w:val="24"/>
          <w:lang w:val="ro-MD"/>
        </w:rPr>
        <w:t>MF a remis Guvernului, pentru examinare și aprobare, proiectul Legii bugetului de stat pentru anul 2021 cu întârziere, la data de 30.11.2020, fiind aprobat în aceeași zi</w:t>
      </w:r>
      <w:r w:rsidRPr="00606103">
        <w:rPr>
          <w:rFonts w:asciiTheme="majorHAnsi" w:hAnsiTheme="majorHAnsi" w:cstheme="majorHAnsi"/>
          <w:sz w:val="24"/>
          <w:szCs w:val="24"/>
          <w:vertAlign w:val="superscript"/>
          <w:lang w:val="ro-MD"/>
        </w:rPr>
        <w:footnoteReference w:id="119"/>
      </w:r>
      <w:r w:rsidR="00C639B3" w:rsidRPr="00606103">
        <w:rPr>
          <w:rFonts w:asciiTheme="majorHAnsi" w:hAnsiTheme="majorHAnsi" w:cstheme="majorHAnsi"/>
          <w:sz w:val="24"/>
          <w:szCs w:val="24"/>
          <w:lang w:val="ro-MD"/>
        </w:rPr>
        <w:t>.</w:t>
      </w:r>
    </w:p>
    <w:p w:rsidR="00C639B3" w:rsidRPr="00606103" w:rsidRDefault="00C26645">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Parlamentul a adoptat Legea bugetului de stat pentru anul 2021 la data de 16.12.2020</w:t>
      </w:r>
      <w:r w:rsidRPr="00606103">
        <w:rPr>
          <w:rStyle w:val="FootnoteReference"/>
          <w:rFonts w:asciiTheme="majorHAnsi" w:hAnsiTheme="majorHAnsi" w:cstheme="majorHAnsi"/>
          <w:sz w:val="24"/>
          <w:szCs w:val="24"/>
          <w:lang w:val="ro-MD"/>
        </w:rPr>
        <w:footnoteReference w:id="120"/>
      </w:r>
      <w:r w:rsidRPr="00606103">
        <w:rPr>
          <w:rFonts w:asciiTheme="majorHAnsi" w:hAnsiTheme="majorHAnsi" w:cstheme="majorHAnsi"/>
          <w:sz w:val="24"/>
          <w:szCs w:val="24"/>
          <w:lang w:val="ro-MD"/>
        </w:rPr>
        <w:t>, în aceeași zi cu modificări</w:t>
      </w:r>
      <w:r w:rsidR="00A41821" w:rsidRPr="00606103">
        <w:rPr>
          <w:rFonts w:asciiTheme="majorHAnsi" w:hAnsiTheme="majorHAnsi" w:cstheme="majorHAnsi"/>
          <w:sz w:val="24"/>
          <w:szCs w:val="24"/>
          <w:lang w:val="ro-MD"/>
        </w:rPr>
        <w:t>le</w:t>
      </w:r>
      <w:r w:rsidRPr="00606103">
        <w:rPr>
          <w:rFonts w:asciiTheme="majorHAnsi" w:hAnsiTheme="majorHAnsi" w:cstheme="majorHAnsi"/>
          <w:sz w:val="24"/>
          <w:szCs w:val="24"/>
          <w:lang w:val="ro-MD"/>
        </w:rPr>
        <w:t xml:space="preserve"> și completări</w:t>
      </w:r>
      <w:r w:rsidR="00A41821" w:rsidRPr="00606103">
        <w:rPr>
          <w:rFonts w:asciiTheme="majorHAnsi" w:hAnsiTheme="majorHAnsi" w:cstheme="majorHAnsi"/>
          <w:sz w:val="24"/>
          <w:szCs w:val="24"/>
          <w:lang w:val="ro-MD"/>
        </w:rPr>
        <w:t>le</w:t>
      </w:r>
      <w:r w:rsidRPr="00606103">
        <w:rPr>
          <w:rFonts w:asciiTheme="majorHAnsi" w:hAnsiTheme="majorHAnsi" w:cstheme="majorHAnsi"/>
          <w:sz w:val="24"/>
          <w:szCs w:val="24"/>
          <w:lang w:val="ro-MD"/>
        </w:rPr>
        <w:t xml:space="preserve"> la legislați</w:t>
      </w:r>
      <w:r w:rsidR="00A41821" w:rsidRPr="00606103">
        <w:rPr>
          <w:rFonts w:asciiTheme="majorHAnsi" w:hAnsiTheme="majorHAnsi" w:cstheme="majorHAnsi"/>
          <w:sz w:val="24"/>
          <w:szCs w:val="24"/>
          <w:lang w:val="ro-MD"/>
        </w:rPr>
        <w:t>a</w:t>
      </w:r>
      <w:r w:rsidRPr="00606103">
        <w:rPr>
          <w:rFonts w:asciiTheme="majorHAnsi" w:hAnsiTheme="majorHAnsi" w:cstheme="majorHAnsi"/>
          <w:sz w:val="24"/>
          <w:szCs w:val="24"/>
          <w:lang w:val="ro-MD"/>
        </w:rPr>
        <w:t xml:space="preserve"> ce rezultă din politica bugetar-fiscală</w:t>
      </w:r>
      <w:r w:rsidRPr="00606103">
        <w:rPr>
          <w:rStyle w:val="FootnoteReference"/>
          <w:rFonts w:asciiTheme="majorHAnsi" w:hAnsiTheme="majorHAnsi" w:cstheme="majorHAnsi"/>
          <w:sz w:val="24"/>
          <w:szCs w:val="24"/>
          <w:lang w:val="ro-MD"/>
        </w:rPr>
        <w:footnoteReference w:id="121"/>
      </w:r>
      <w:r w:rsidR="00C639B3" w:rsidRPr="00606103">
        <w:rPr>
          <w:rFonts w:asciiTheme="majorHAnsi" w:hAnsiTheme="majorHAnsi" w:cstheme="majorHAnsi"/>
          <w:sz w:val="24"/>
          <w:szCs w:val="24"/>
          <w:lang w:val="ro-MD"/>
        </w:rPr>
        <w:t>.</w:t>
      </w:r>
    </w:p>
    <w:p w:rsidR="00C639B3" w:rsidRPr="00DF78C0" w:rsidRDefault="00C639B3">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M</w:t>
      </w:r>
      <w:r w:rsidR="00C26645" w:rsidRPr="00606103">
        <w:rPr>
          <w:rFonts w:asciiTheme="majorHAnsi" w:hAnsiTheme="majorHAnsi" w:cstheme="majorHAnsi"/>
          <w:sz w:val="24"/>
          <w:szCs w:val="24"/>
          <w:lang w:val="ro-MD"/>
        </w:rPr>
        <w:t>odificarea de 4 ori</w:t>
      </w:r>
      <w:r w:rsidR="00654AB5" w:rsidRPr="00606103">
        <w:rPr>
          <w:rFonts w:asciiTheme="majorHAnsi" w:hAnsiTheme="majorHAnsi" w:cstheme="majorHAnsi"/>
          <w:sz w:val="24"/>
          <w:szCs w:val="24"/>
          <w:lang w:val="ro-MD"/>
        </w:rPr>
        <w:t xml:space="preserve"> a legii bugetare anuale</w:t>
      </w:r>
      <w:r w:rsidR="00513522" w:rsidRPr="00606103">
        <w:rPr>
          <w:rFonts w:asciiTheme="majorHAnsi" w:hAnsiTheme="majorHAnsi" w:cstheme="majorHAnsi"/>
          <w:sz w:val="24"/>
          <w:szCs w:val="24"/>
          <w:lang w:val="ro-MD"/>
        </w:rPr>
        <w:t xml:space="preserve">, din care prin: Legile nr. 27/2021 si nr. 45/2021 au fost adoptate de către Parlament fără avizul Guvernului; prin  Legea nr. 45/2021 a fost corectata Legea nr. </w:t>
      </w:r>
      <w:r w:rsidR="00513522" w:rsidRPr="00DF78C0">
        <w:rPr>
          <w:rFonts w:asciiTheme="majorHAnsi" w:hAnsiTheme="majorHAnsi" w:cstheme="majorHAnsi"/>
          <w:sz w:val="24"/>
          <w:szCs w:val="24"/>
          <w:lang w:val="ro-MD"/>
        </w:rPr>
        <w:t>27/2021, care inițial nu a inclus toate modificările rezultate din indexarea prestațiilor de asigurări sociale.</w:t>
      </w:r>
      <w:r w:rsidR="00654AB5" w:rsidRPr="00DF78C0">
        <w:rPr>
          <w:rFonts w:asciiTheme="majorHAnsi" w:hAnsiTheme="majorHAnsi" w:cstheme="majorHAnsi"/>
          <w:sz w:val="24"/>
          <w:szCs w:val="24"/>
          <w:lang w:val="ro-MD"/>
        </w:rPr>
        <w:t xml:space="preserve"> Astfel, </w:t>
      </w:r>
      <w:r w:rsidR="00C26645" w:rsidRPr="00DF78C0">
        <w:rPr>
          <w:rFonts w:asciiTheme="majorHAnsi" w:hAnsiTheme="majorHAnsi" w:cstheme="majorHAnsi"/>
          <w:sz w:val="24"/>
          <w:szCs w:val="24"/>
          <w:lang w:val="ro-MD"/>
        </w:rPr>
        <w:t xml:space="preserve">de 2 ori fiind modificată până la 1 iulie și o dată după 15 noiembrie, </w:t>
      </w:r>
      <w:r w:rsidR="00654AB5" w:rsidRPr="00DF78C0">
        <w:rPr>
          <w:rFonts w:asciiTheme="majorHAnsi" w:hAnsiTheme="majorHAnsi" w:cstheme="majorHAnsi"/>
          <w:sz w:val="24"/>
          <w:szCs w:val="24"/>
          <w:lang w:val="ro-MD"/>
        </w:rPr>
        <w:t xml:space="preserve">deși </w:t>
      </w:r>
      <w:r w:rsidR="00C26645" w:rsidRPr="00DF78C0">
        <w:rPr>
          <w:rFonts w:asciiTheme="majorHAnsi" w:hAnsiTheme="majorHAnsi" w:cstheme="majorHAnsi"/>
          <w:sz w:val="24"/>
          <w:szCs w:val="24"/>
          <w:lang w:val="ro-MD"/>
        </w:rPr>
        <w:t xml:space="preserve">de regulă, </w:t>
      </w:r>
      <w:r w:rsidR="00654AB5" w:rsidRPr="00DF78C0">
        <w:rPr>
          <w:rFonts w:asciiTheme="majorHAnsi" w:hAnsiTheme="majorHAnsi" w:cstheme="majorHAnsi"/>
          <w:sz w:val="24"/>
          <w:szCs w:val="24"/>
          <w:lang w:val="ro-MD"/>
        </w:rPr>
        <w:t xml:space="preserve"> </w:t>
      </w:r>
      <w:r w:rsidR="00654AB5" w:rsidRPr="00DF78C0">
        <w:rPr>
          <w:rFonts w:asciiTheme="majorHAnsi" w:hAnsiTheme="majorHAnsi" w:cstheme="majorHAnsi"/>
          <w:sz w:val="24"/>
          <w:szCs w:val="24"/>
          <w:lang w:val="ro-MD"/>
        </w:rPr>
        <w:lastRenderedPageBreak/>
        <w:t xml:space="preserve">modificările </w:t>
      </w:r>
      <w:r w:rsidR="00C26645" w:rsidRPr="00DF78C0">
        <w:rPr>
          <w:rFonts w:asciiTheme="majorHAnsi" w:hAnsiTheme="majorHAnsi" w:cstheme="majorHAnsi"/>
          <w:sz w:val="24"/>
          <w:szCs w:val="24"/>
          <w:lang w:val="ro-MD"/>
        </w:rPr>
        <w:t xml:space="preserve">nu </w:t>
      </w:r>
      <w:r w:rsidR="00654AB5" w:rsidRPr="00DF78C0">
        <w:rPr>
          <w:rFonts w:asciiTheme="majorHAnsi" w:hAnsiTheme="majorHAnsi" w:cstheme="majorHAnsi"/>
          <w:sz w:val="24"/>
          <w:szCs w:val="24"/>
          <w:lang w:val="ro-MD"/>
        </w:rPr>
        <w:t xml:space="preserve">pot </w:t>
      </w:r>
      <w:r w:rsidR="00C26645" w:rsidRPr="00DF78C0">
        <w:rPr>
          <w:rFonts w:asciiTheme="majorHAnsi" w:hAnsiTheme="majorHAnsi" w:cstheme="majorHAnsi"/>
          <w:sz w:val="24"/>
          <w:szCs w:val="24"/>
          <w:lang w:val="ro-MD"/>
        </w:rPr>
        <w:t>mai mult de două ori pe an, nu mai degrabă de 1 iulie și nu mai târziu de 15 noiembrie a anului bugetar</w:t>
      </w:r>
      <w:r w:rsidR="00C26645" w:rsidRPr="00DF78C0">
        <w:rPr>
          <w:rFonts w:asciiTheme="majorHAnsi" w:hAnsiTheme="majorHAnsi" w:cstheme="majorHAnsi"/>
          <w:sz w:val="24"/>
          <w:szCs w:val="24"/>
          <w:lang w:val="ro-MD"/>
        </w:rPr>
        <w:footnoteReference w:id="122"/>
      </w:r>
      <w:r w:rsidRPr="00DF78C0">
        <w:rPr>
          <w:rFonts w:asciiTheme="majorHAnsi" w:hAnsiTheme="majorHAnsi" w:cstheme="majorHAnsi"/>
          <w:sz w:val="24"/>
          <w:szCs w:val="24"/>
          <w:lang w:val="ro-MD"/>
        </w:rPr>
        <w:t>.</w:t>
      </w:r>
    </w:p>
    <w:p w:rsidR="00E833EE" w:rsidRPr="00606103" w:rsidRDefault="00C639B3">
      <w:pPr>
        <w:spacing w:line="276" w:lineRule="auto"/>
        <w:rPr>
          <w:rFonts w:asciiTheme="majorHAnsi" w:hAnsiTheme="majorHAnsi" w:cstheme="majorHAnsi"/>
          <w:b/>
          <w:sz w:val="24"/>
          <w:szCs w:val="24"/>
          <w:lang w:val="ro-MD"/>
        </w:rPr>
      </w:pPr>
      <w:r w:rsidRPr="00606103">
        <w:rPr>
          <w:rFonts w:asciiTheme="majorHAnsi" w:hAnsiTheme="majorHAnsi" w:cstheme="majorHAnsi"/>
          <w:sz w:val="24"/>
          <w:szCs w:val="24"/>
          <w:lang w:val="ro-MD"/>
        </w:rPr>
        <w:t>P</w:t>
      </w:r>
      <w:r w:rsidR="00C26645" w:rsidRPr="00606103">
        <w:rPr>
          <w:rFonts w:asciiTheme="majorHAnsi" w:hAnsiTheme="majorHAnsi" w:cstheme="majorHAnsi"/>
          <w:sz w:val="24"/>
          <w:szCs w:val="24"/>
          <w:lang w:val="ro-MD"/>
        </w:rPr>
        <w:t>e parcursul anului 2021 au fost elaborate și adoptate 4 HG privind redistribuirea unor alocații aprobate prin Legea bugetului de s</w:t>
      </w:r>
      <w:r w:rsidRPr="00606103">
        <w:rPr>
          <w:rFonts w:asciiTheme="majorHAnsi" w:hAnsiTheme="majorHAnsi" w:cstheme="majorHAnsi"/>
          <w:sz w:val="24"/>
          <w:szCs w:val="24"/>
          <w:lang w:val="ro-MD"/>
        </w:rPr>
        <w:t>tat pentru anul 2021</w:t>
      </w:r>
      <w:r w:rsidR="00C26645" w:rsidRPr="00606103">
        <w:rPr>
          <w:rStyle w:val="FootnoteReference"/>
          <w:rFonts w:asciiTheme="majorHAnsi" w:eastAsia="Times New Roman" w:hAnsiTheme="majorHAnsi" w:cstheme="majorHAnsi"/>
          <w:sz w:val="24"/>
          <w:szCs w:val="24"/>
          <w:lang w:val="ro-MD"/>
        </w:rPr>
        <w:footnoteReference w:id="123"/>
      </w:r>
      <w:r w:rsidR="00C26645" w:rsidRPr="00606103">
        <w:rPr>
          <w:rFonts w:asciiTheme="majorHAnsi" w:hAnsiTheme="majorHAnsi" w:cstheme="majorHAnsi"/>
          <w:sz w:val="24"/>
          <w:szCs w:val="24"/>
          <w:lang w:val="ro-MD"/>
        </w:rPr>
        <w:t xml:space="preserve">, între autoritățile publice centrale (cu excepția celor independente) şi între programele unei autorități, până la 10 la sută din volumul alocațiilor bugetare aprobate. </w:t>
      </w:r>
      <w:r w:rsidRPr="00606103">
        <w:rPr>
          <w:rFonts w:asciiTheme="majorHAnsi" w:hAnsiTheme="majorHAnsi" w:cstheme="majorHAnsi"/>
          <w:sz w:val="24"/>
          <w:szCs w:val="24"/>
          <w:lang w:val="ro-MD"/>
        </w:rPr>
        <w:t>Deși, c</w:t>
      </w:r>
      <w:r w:rsidR="00C26645" w:rsidRPr="00606103">
        <w:rPr>
          <w:rFonts w:asciiTheme="majorHAnsi" w:hAnsiTheme="majorHAnsi" w:cstheme="majorHAnsi"/>
          <w:sz w:val="24"/>
          <w:szCs w:val="24"/>
          <w:lang w:val="ro-MD"/>
        </w:rPr>
        <w:t>onform art.60 alin.(4) din Legea nr.181 din 25.07.2014, redistribuirea alocațiilor bugetare se efectuează până la 30 n</w:t>
      </w:r>
      <w:r w:rsidRPr="00606103">
        <w:rPr>
          <w:rFonts w:asciiTheme="majorHAnsi" w:hAnsiTheme="majorHAnsi" w:cstheme="majorHAnsi"/>
          <w:sz w:val="24"/>
          <w:szCs w:val="24"/>
          <w:lang w:val="ro-MD"/>
        </w:rPr>
        <w:t xml:space="preserve">oiembrie a anului bugetar, </w:t>
      </w:r>
      <w:r w:rsidR="00C26645" w:rsidRPr="00606103">
        <w:rPr>
          <w:rFonts w:asciiTheme="majorHAnsi" w:hAnsiTheme="majorHAnsi" w:cstheme="majorHAnsi"/>
          <w:sz w:val="24"/>
          <w:szCs w:val="24"/>
          <w:lang w:val="ro-MD"/>
        </w:rPr>
        <w:t xml:space="preserve">verificările auditului au constatat că în luna decembrie au fost redistribuite alocații cu acordul Guvernului (HG nr.391 din 3.12.2021). </w:t>
      </w:r>
    </w:p>
    <w:p w:rsidR="00AF163C" w:rsidRPr="00606103" w:rsidRDefault="00E833EE">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 xml:space="preserve">Circumstanțele expuse </w:t>
      </w:r>
      <w:r w:rsidR="00C26645" w:rsidRPr="00606103">
        <w:rPr>
          <w:rFonts w:asciiTheme="majorHAnsi" w:hAnsiTheme="majorHAnsi" w:cstheme="majorHAnsi"/>
          <w:sz w:val="24"/>
          <w:szCs w:val="24"/>
          <w:lang w:val="ro-MD"/>
        </w:rPr>
        <w:t>afectează gradul de cr</w:t>
      </w:r>
      <w:r w:rsidRPr="00606103">
        <w:rPr>
          <w:rFonts w:asciiTheme="majorHAnsi" w:hAnsiTheme="majorHAnsi" w:cstheme="majorHAnsi"/>
          <w:sz w:val="24"/>
          <w:szCs w:val="24"/>
          <w:lang w:val="ro-MD"/>
        </w:rPr>
        <w:t>edibilitate a bugetului,</w:t>
      </w:r>
      <w:r w:rsidR="00C26645" w:rsidRPr="00606103">
        <w:rPr>
          <w:rFonts w:asciiTheme="majorHAnsi" w:hAnsiTheme="majorHAnsi" w:cstheme="majorHAnsi"/>
          <w:sz w:val="24"/>
          <w:szCs w:val="24"/>
          <w:lang w:val="ro-MD"/>
        </w:rPr>
        <w:t xml:space="preserve"> nu asigură respectarea principiilor bugetare și atestă rezerve la acuratețea planificării bugetare.</w:t>
      </w:r>
    </w:p>
    <w:p w:rsidR="00832CD8" w:rsidRPr="00606103" w:rsidRDefault="00AF163C" w:rsidP="00552746">
      <w:pPr>
        <w:pStyle w:val="Heading1"/>
        <w:spacing w:line="276" w:lineRule="auto"/>
        <w:rPr>
          <w:rFonts w:eastAsiaTheme="minorHAnsi"/>
          <w:b/>
          <w:color w:val="auto"/>
          <w:sz w:val="24"/>
          <w:szCs w:val="24"/>
          <w:lang w:val="ro-MD"/>
        </w:rPr>
      </w:pPr>
      <w:r w:rsidRPr="00606103">
        <w:rPr>
          <w:b/>
          <w:color w:val="auto"/>
          <w:lang w:val="ro-MD"/>
        </w:rPr>
        <w:t xml:space="preserve">VII. </w:t>
      </w:r>
      <w:r w:rsidR="00C26645" w:rsidRPr="00606103">
        <w:rPr>
          <w:b/>
          <w:color w:val="auto"/>
          <w:lang w:val="ro-MD"/>
        </w:rPr>
        <w:t>PREZENTAREA</w:t>
      </w:r>
      <w:r w:rsidR="00C26645" w:rsidRPr="00606103">
        <w:rPr>
          <w:rFonts w:eastAsia="Times New Roman"/>
          <w:b/>
          <w:color w:val="auto"/>
          <w:lang w:val="ro-MD"/>
        </w:rPr>
        <w:t xml:space="preserve"> BUGETULUI DE STAT </w:t>
      </w:r>
    </w:p>
    <w:p w:rsidR="00F02B82" w:rsidRPr="005D7D4D" w:rsidRDefault="00C26645" w:rsidP="003C4E55">
      <w:pPr>
        <w:spacing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Prin Legea bugetului de stat pe anul 2021</w:t>
      </w:r>
      <w:r w:rsidRPr="00606103">
        <w:rPr>
          <w:rFonts w:asciiTheme="majorHAnsi" w:hAnsiTheme="majorHAnsi" w:cstheme="majorHAnsi"/>
          <w:sz w:val="24"/>
          <w:szCs w:val="24"/>
          <w:vertAlign w:val="superscript"/>
          <w:lang w:val="ro-MD"/>
        </w:rPr>
        <w:footnoteReference w:id="124"/>
      </w:r>
      <w:r w:rsidRPr="00606103">
        <w:rPr>
          <w:rFonts w:asciiTheme="majorHAnsi" w:hAnsiTheme="majorHAnsi" w:cstheme="majorHAnsi"/>
          <w:sz w:val="24"/>
          <w:szCs w:val="24"/>
          <w:lang w:val="ro-MD"/>
        </w:rPr>
        <w:t xml:space="preserve">, parametrii bugetului de stat au fost aprobați: la venituri – în sumă de 41 415,4 mil. lei, la cheltuieli și active nefinanciare – de 55 399,6 mil. lei, cu o depășire a </w:t>
      </w:r>
      <w:r w:rsidRPr="005D7D4D">
        <w:rPr>
          <w:rFonts w:asciiTheme="majorHAnsi" w:hAnsiTheme="majorHAnsi" w:cstheme="majorHAnsi"/>
          <w:sz w:val="24"/>
          <w:szCs w:val="24"/>
          <w:lang w:val="ro-MD"/>
        </w:rPr>
        <w:t xml:space="preserve">cheltuielilor asupra veniturilor de 13 984,2 mil. lei. </w:t>
      </w:r>
    </w:p>
    <w:p w:rsidR="00C26645" w:rsidRPr="005D7D4D" w:rsidRDefault="00E318BB" w:rsidP="003C4E55">
      <w:pPr>
        <w:spacing w:line="276" w:lineRule="auto"/>
        <w:rPr>
          <w:rFonts w:asciiTheme="majorHAnsi" w:hAnsiTheme="majorHAnsi" w:cstheme="majorHAnsi"/>
          <w:sz w:val="24"/>
          <w:szCs w:val="24"/>
          <w:lang w:val="ro-MD"/>
        </w:rPr>
      </w:pPr>
      <w:r w:rsidRPr="005D7D4D">
        <w:rPr>
          <w:rFonts w:asciiTheme="majorHAnsi" w:hAnsiTheme="majorHAnsi" w:cstheme="majorHAnsi"/>
          <w:sz w:val="24"/>
          <w:szCs w:val="24"/>
          <w:lang w:val="ro-MD"/>
        </w:rPr>
        <w:t>În rezultatul</w:t>
      </w:r>
      <w:r w:rsidR="00C26645" w:rsidRPr="005D7D4D">
        <w:rPr>
          <w:rFonts w:asciiTheme="majorHAnsi" w:hAnsiTheme="majorHAnsi" w:cstheme="majorHAnsi"/>
          <w:sz w:val="24"/>
          <w:szCs w:val="24"/>
          <w:lang w:val="ro-MD"/>
        </w:rPr>
        <w:t xml:space="preserve"> modificării Legii bugetare anuale, </w:t>
      </w:r>
      <w:r w:rsidRPr="005D7D4D">
        <w:rPr>
          <w:rFonts w:asciiTheme="majorHAnsi" w:hAnsiTheme="majorHAnsi" w:cstheme="majorHAnsi"/>
          <w:sz w:val="24"/>
          <w:szCs w:val="24"/>
          <w:lang w:val="ro-MD"/>
        </w:rPr>
        <w:t>precum și</w:t>
      </w:r>
      <w:r w:rsidR="005D7D4D" w:rsidRPr="005D7D4D">
        <w:rPr>
          <w:rFonts w:asciiTheme="majorHAnsi" w:hAnsiTheme="majorHAnsi" w:cstheme="majorHAnsi"/>
          <w:sz w:val="24"/>
          <w:szCs w:val="24"/>
          <w:lang w:val="ro-MD"/>
        </w:rPr>
        <w:t xml:space="preserve"> a modificărilor</w:t>
      </w:r>
      <w:r w:rsidRPr="005D7D4D">
        <w:rPr>
          <w:rFonts w:asciiTheme="majorHAnsi" w:hAnsiTheme="majorHAnsi" w:cstheme="majorHAnsi"/>
          <w:sz w:val="24"/>
          <w:szCs w:val="24"/>
          <w:lang w:val="ro-MD"/>
        </w:rPr>
        <w:t xml:space="preserve"> operate de MF</w:t>
      </w:r>
      <w:r w:rsidR="00F02B82" w:rsidRPr="005D7D4D">
        <w:rPr>
          <w:rFonts w:asciiTheme="majorHAnsi" w:hAnsiTheme="majorHAnsi" w:cstheme="majorHAnsi"/>
          <w:sz w:val="24"/>
          <w:szCs w:val="24"/>
          <w:lang w:val="ro-MD"/>
        </w:rPr>
        <w:t xml:space="preserve"> în temeiul art.17 din Legea bu</w:t>
      </w:r>
      <w:r w:rsidRPr="005D7D4D">
        <w:rPr>
          <w:rFonts w:asciiTheme="majorHAnsi" w:hAnsiTheme="majorHAnsi" w:cstheme="majorHAnsi"/>
          <w:sz w:val="24"/>
          <w:szCs w:val="24"/>
          <w:lang w:val="ro-MD"/>
        </w:rPr>
        <w:t>getară anuală</w:t>
      </w:r>
      <w:r w:rsidR="00F02B82" w:rsidRPr="005D7D4D">
        <w:rPr>
          <w:rFonts w:asciiTheme="majorHAnsi" w:hAnsiTheme="majorHAnsi" w:cstheme="majorHAnsi"/>
          <w:sz w:val="24"/>
          <w:szCs w:val="24"/>
          <w:lang w:val="ro-MD"/>
        </w:rPr>
        <w:t xml:space="preserve"> </w:t>
      </w:r>
      <w:r w:rsidRPr="005D7D4D">
        <w:rPr>
          <w:rFonts w:asciiTheme="majorHAnsi" w:hAnsiTheme="majorHAnsi" w:cstheme="majorHAnsi"/>
          <w:sz w:val="24"/>
          <w:szCs w:val="24"/>
          <w:lang w:val="ro-MD"/>
        </w:rPr>
        <w:t>(</w:t>
      </w:r>
      <w:r w:rsidR="00F02B82" w:rsidRPr="005D7D4D">
        <w:rPr>
          <w:rFonts w:asciiTheme="majorHAnsi" w:hAnsiTheme="majorHAnsi" w:cstheme="majorHAnsi"/>
          <w:sz w:val="24"/>
          <w:szCs w:val="24"/>
          <w:lang w:val="ro-MD"/>
        </w:rPr>
        <w:t>în baza propunerilor prezentate de executorii de buget</w:t>
      </w:r>
      <w:r w:rsidRPr="005D7D4D">
        <w:rPr>
          <w:rFonts w:asciiTheme="majorHAnsi" w:hAnsiTheme="majorHAnsi" w:cstheme="majorHAnsi"/>
          <w:sz w:val="24"/>
          <w:szCs w:val="24"/>
          <w:lang w:val="ro-MD"/>
        </w:rPr>
        <w:t>)</w:t>
      </w:r>
      <w:r w:rsidR="00F02B82" w:rsidRPr="005D7D4D">
        <w:rPr>
          <w:rFonts w:asciiTheme="majorHAnsi" w:hAnsiTheme="majorHAnsi" w:cstheme="majorHAnsi"/>
          <w:sz w:val="24"/>
          <w:szCs w:val="24"/>
          <w:lang w:val="ro-MD"/>
        </w:rPr>
        <w:t xml:space="preserve">, </w:t>
      </w:r>
      <w:r w:rsidR="00C26645" w:rsidRPr="005D7D4D">
        <w:rPr>
          <w:rFonts w:asciiTheme="majorHAnsi" w:hAnsiTheme="majorHAnsi" w:cstheme="majorHAnsi"/>
          <w:sz w:val="24"/>
          <w:szCs w:val="24"/>
          <w:lang w:val="ro-MD"/>
        </w:rPr>
        <w:t>v</w:t>
      </w:r>
      <w:r w:rsidR="00F02B82" w:rsidRPr="005D7D4D">
        <w:rPr>
          <w:rFonts w:asciiTheme="majorHAnsi" w:hAnsiTheme="majorHAnsi" w:cstheme="majorHAnsi"/>
          <w:sz w:val="24"/>
          <w:szCs w:val="24"/>
          <w:lang w:val="ro-MD"/>
        </w:rPr>
        <w:t>eniturile</w:t>
      </w:r>
      <w:r w:rsidR="00E95D93" w:rsidRPr="005D7D4D">
        <w:rPr>
          <w:rFonts w:asciiTheme="majorHAnsi" w:hAnsiTheme="majorHAnsi" w:cstheme="majorHAnsi"/>
          <w:sz w:val="24"/>
          <w:szCs w:val="24"/>
          <w:lang w:val="ro-MD"/>
        </w:rPr>
        <w:t xml:space="preserve"> </w:t>
      </w:r>
      <w:r w:rsidR="00F02B82" w:rsidRPr="005D7D4D">
        <w:rPr>
          <w:rFonts w:asciiTheme="majorHAnsi" w:hAnsiTheme="majorHAnsi" w:cstheme="majorHAnsi"/>
          <w:sz w:val="24"/>
          <w:szCs w:val="24"/>
          <w:lang w:val="ro-MD"/>
        </w:rPr>
        <w:t>precizate</w:t>
      </w:r>
      <w:r w:rsidR="00E95D93" w:rsidRPr="005D7D4D">
        <w:rPr>
          <w:rFonts w:asciiTheme="majorHAnsi" w:hAnsiTheme="majorHAnsi" w:cstheme="majorHAnsi"/>
          <w:sz w:val="24"/>
          <w:szCs w:val="24"/>
          <w:lang w:val="ro-MD"/>
        </w:rPr>
        <w:t xml:space="preserve"> </w:t>
      </w:r>
      <w:r w:rsidRPr="005D7D4D">
        <w:rPr>
          <w:rFonts w:asciiTheme="majorHAnsi" w:hAnsiTheme="majorHAnsi" w:cstheme="majorHAnsi"/>
          <w:sz w:val="24"/>
          <w:szCs w:val="24"/>
          <w:lang w:val="ro-MD"/>
        </w:rPr>
        <w:t>au constituit 45 864,9</w:t>
      </w:r>
      <w:r w:rsidR="00C26645" w:rsidRPr="005D7D4D">
        <w:rPr>
          <w:rFonts w:asciiTheme="majorHAnsi" w:hAnsiTheme="majorHAnsi" w:cstheme="majorHAnsi"/>
          <w:sz w:val="24"/>
          <w:szCs w:val="24"/>
          <w:lang w:val="ro-MD"/>
        </w:rPr>
        <w:t xml:space="preserve"> mil. lei, iar </w:t>
      </w:r>
      <w:r w:rsidR="00F02B82" w:rsidRPr="005D7D4D">
        <w:rPr>
          <w:rFonts w:asciiTheme="majorHAnsi" w:hAnsiTheme="majorHAnsi" w:cstheme="majorHAnsi"/>
          <w:sz w:val="24"/>
          <w:szCs w:val="24"/>
          <w:lang w:val="ro-MD"/>
        </w:rPr>
        <w:t xml:space="preserve">cheltuielile </w:t>
      </w:r>
      <w:r w:rsidR="00A41821" w:rsidRPr="005D7D4D">
        <w:rPr>
          <w:rFonts w:asciiTheme="majorHAnsi" w:hAnsiTheme="majorHAnsi" w:cstheme="majorHAnsi"/>
          <w:sz w:val="24"/>
          <w:szCs w:val="24"/>
          <w:lang w:val="ro-MD"/>
        </w:rPr>
        <w:t>–</w:t>
      </w:r>
      <w:r w:rsidRPr="005D7D4D">
        <w:rPr>
          <w:rFonts w:asciiTheme="majorHAnsi" w:hAnsiTheme="majorHAnsi" w:cstheme="majorHAnsi"/>
          <w:sz w:val="24"/>
          <w:szCs w:val="24"/>
          <w:lang w:val="ro-MD"/>
        </w:rPr>
        <w:t xml:space="preserve"> 57 656,8</w:t>
      </w:r>
      <w:r w:rsidR="00C26645" w:rsidRPr="005D7D4D">
        <w:rPr>
          <w:rFonts w:asciiTheme="majorHAnsi" w:hAnsiTheme="majorHAnsi" w:cstheme="majorHAnsi"/>
          <w:sz w:val="24"/>
          <w:szCs w:val="24"/>
          <w:lang w:val="ro-MD"/>
        </w:rPr>
        <w:t xml:space="preserve"> mil.</w:t>
      </w:r>
      <w:r w:rsidR="00F02B82" w:rsidRPr="005D7D4D">
        <w:rPr>
          <w:rFonts w:asciiTheme="majorHAnsi" w:hAnsiTheme="majorHAnsi" w:cstheme="majorHAnsi"/>
          <w:sz w:val="24"/>
          <w:szCs w:val="24"/>
          <w:lang w:val="ro-MD"/>
        </w:rPr>
        <w:t xml:space="preserve"> lei</w:t>
      </w:r>
      <w:r w:rsidR="0087369A" w:rsidRPr="005D7D4D">
        <w:rPr>
          <w:rFonts w:asciiTheme="majorHAnsi" w:hAnsiTheme="majorHAnsi" w:cstheme="majorHAnsi"/>
          <w:sz w:val="24"/>
          <w:szCs w:val="24"/>
          <w:lang w:val="ro-MD"/>
        </w:rPr>
        <w:t>,</w:t>
      </w:r>
      <w:r w:rsidR="00F02B82" w:rsidRPr="005D7D4D">
        <w:rPr>
          <w:rFonts w:asciiTheme="majorHAnsi" w:hAnsiTheme="majorHAnsi" w:cstheme="majorHAnsi"/>
          <w:sz w:val="24"/>
          <w:szCs w:val="24"/>
          <w:lang w:val="ro-MD"/>
        </w:rPr>
        <w:t xml:space="preserve"> deficitul</w:t>
      </w:r>
      <w:r w:rsidR="00C26645" w:rsidRPr="005D7D4D">
        <w:rPr>
          <w:rFonts w:asciiTheme="majorHAnsi" w:hAnsiTheme="majorHAnsi" w:cstheme="majorHAnsi"/>
          <w:sz w:val="24"/>
          <w:szCs w:val="24"/>
          <w:lang w:val="ro-MD"/>
        </w:rPr>
        <w:t xml:space="preserve"> </w:t>
      </w:r>
      <w:r w:rsidR="00540489" w:rsidRPr="005D7D4D">
        <w:rPr>
          <w:rFonts w:asciiTheme="majorHAnsi" w:hAnsiTheme="majorHAnsi" w:cstheme="majorHAnsi"/>
          <w:sz w:val="24"/>
          <w:szCs w:val="24"/>
          <w:lang w:val="ro-MD"/>
        </w:rPr>
        <w:t>fiind diminuat</w:t>
      </w:r>
      <w:r w:rsidR="00925400" w:rsidRPr="005D7D4D">
        <w:rPr>
          <w:rFonts w:asciiTheme="majorHAnsi" w:hAnsiTheme="majorHAnsi" w:cstheme="majorHAnsi"/>
          <w:sz w:val="24"/>
          <w:szCs w:val="24"/>
          <w:lang w:val="ro-MD"/>
        </w:rPr>
        <w:t xml:space="preserve"> </w:t>
      </w:r>
      <w:r w:rsidR="00C26645" w:rsidRPr="005D7D4D">
        <w:rPr>
          <w:rFonts w:asciiTheme="majorHAnsi" w:hAnsiTheme="majorHAnsi" w:cstheme="majorHAnsi"/>
          <w:sz w:val="24"/>
          <w:szCs w:val="24"/>
          <w:lang w:val="ro-MD"/>
        </w:rPr>
        <w:t xml:space="preserve">cu </w:t>
      </w:r>
      <w:r w:rsidRPr="005D7D4D">
        <w:rPr>
          <w:rFonts w:asciiTheme="majorHAnsi" w:hAnsiTheme="majorHAnsi" w:cstheme="majorHAnsi"/>
          <w:sz w:val="24"/>
          <w:szCs w:val="24"/>
          <w:lang w:val="ro-MD"/>
        </w:rPr>
        <w:t xml:space="preserve">      </w:t>
      </w:r>
      <w:r w:rsidR="00C26645" w:rsidRPr="005D7D4D">
        <w:rPr>
          <w:rFonts w:asciiTheme="majorHAnsi" w:hAnsiTheme="majorHAnsi" w:cstheme="majorHAnsi"/>
          <w:sz w:val="24"/>
          <w:szCs w:val="24"/>
          <w:lang w:val="ro-MD"/>
        </w:rPr>
        <w:t>2</w:t>
      </w:r>
      <w:r w:rsidR="00925400" w:rsidRPr="005D7D4D">
        <w:rPr>
          <w:rFonts w:asciiTheme="majorHAnsi" w:hAnsiTheme="majorHAnsi" w:cstheme="majorHAnsi"/>
          <w:sz w:val="24"/>
          <w:szCs w:val="24"/>
          <w:lang w:val="ro-MD"/>
        </w:rPr>
        <w:t xml:space="preserve"> </w:t>
      </w:r>
      <w:r w:rsidR="00C26645" w:rsidRPr="005D7D4D">
        <w:rPr>
          <w:rFonts w:asciiTheme="majorHAnsi" w:hAnsiTheme="majorHAnsi" w:cstheme="majorHAnsi"/>
          <w:sz w:val="24"/>
          <w:szCs w:val="24"/>
          <w:lang w:val="ro-MD"/>
        </w:rPr>
        <w:t xml:space="preserve">192,3 mil. lei. </w:t>
      </w:r>
    </w:p>
    <w:p w:rsidR="00E03D02" w:rsidRDefault="00C26645" w:rsidP="00082C8F">
      <w:pPr>
        <w:spacing w:after="0" w:line="276" w:lineRule="auto"/>
        <w:rPr>
          <w:rFonts w:asciiTheme="majorHAnsi" w:hAnsiTheme="majorHAnsi" w:cstheme="majorHAnsi"/>
          <w:i/>
          <w:iCs/>
          <w:sz w:val="24"/>
          <w:szCs w:val="24"/>
          <w:lang w:val="ro-MD"/>
        </w:rPr>
      </w:pPr>
      <w:r w:rsidRPr="005D7D4D">
        <w:rPr>
          <w:rFonts w:asciiTheme="majorHAnsi" w:hAnsiTheme="majorHAnsi" w:cstheme="majorHAnsi"/>
          <w:sz w:val="24"/>
          <w:szCs w:val="24"/>
          <w:lang w:val="ro-MD"/>
        </w:rPr>
        <w:t>Analizând datele privind executarea bugetului de stat pe anul 2021, față de indicatorii precizați, prin</w:t>
      </w:r>
      <w:r w:rsidRPr="00606103">
        <w:rPr>
          <w:rFonts w:asciiTheme="majorHAnsi" w:hAnsiTheme="majorHAnsi" w:cstheme="majorHAnsi"/>
          <w:sz w:val="24"/>
          <w:szCs w:val="24"/>
          <w:lang w:val="ro-MD"/>
        </w:rPr>
        <w:t xml:space="preserve"> prisma responsabilităților MF de a menține în permanență un echilibru bugetar corespunzător, auditul rel</w:t>
      </w:r>
      <w:r w:rsidR="00E318BB">
        <w:rPr>
          <w:rFonts w:asciiTheme="majorHAnsi" w:hAnsiTheme="majorHAnsi" w:cstheme="majorHAnsi"/>
          <w:sz w:val="24"/>
          <w:szCs w:val="24"/>
          <w:lang w:val="ro-MD"/>
        </w:rPr>
        <w:t>evă că veniturile (</w:t>
      </w:r>
      <w:r w:rsidRPr="00606103">
        <w:rPr>
          <w:rFonts w:asciiTheme="majorHAnsi" w:hAnsiTheme="majorHAnsi" w:cstheme="majorHAnsi"/>
          <w:sz w:val="24"/>
          <w:szCs w:val="24"/>
          <w:lang w:val="ro-MD"/>
        </w:rPr>
        <w:t>49 383,8 mil. lei</w:t>
      </w:r>
      <w:r w:rsidR="00E318BB">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au fost supraexecutate cu 3 518,9 mil. lei (7,7%), iar </w:t>
      </w:r>
      <w:r w:rsidR="00E318BB">
        <w:rPr>
          <w:rFonts w:asciiTheme="majorHAnsi" w:hAnsiTheme="majorHAnsi" w:cstheme="majorHAnsi"/>
          <w:sz w:val="24"/>
          <w:szCs w:val="24"/>
          <w:lang w:val="ro-MD"/>
        </w:rPr>
        <w:t>cheltuielile de casă (</w:t>
      </w:r>
      <w:r w:rsidRPr="00606103">
        <w:rPr>
          <w:rFonts w:asciiTheme="majorHAnsi" w:hAnsiTheme="majorHAnsi" w:cstheme="majorHAnsi"/>
          <w:sz w:val="24"/>
          <w:szCs w:val="24"/>
          <w:lang w:val="ro-MD"/>
        </w:rPr>
        <w:t>54 116,9 mil. lei</w:t>
      </w:r>
      <w:r w:rsidR="00E318BB">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au fost executate sub nivelul precizat cu </w:t>
      </w:r>
      <w:r w:rsidR="00F02B82" w:rsidRPr="00606103">
        <w:rPr>
          <w:rFonts w:asciiTheme="majorHAnsi" w:hAnsiTheme="majorHAnsi" w:cstheme="majorHAnsi"/>
          <w:sz w:val="24"/>
          <w:szCs w:val="24"/>
          <w:lang w:val="ro-MD"/>
        </w:rPr>
        <w:t>3</w:t>
      </w:r>
      <w:r w:rsidR="00A41821" w:rsidRPr="00606103">
        <w:rPr>
          <w:rFonts w:asciiTheme="majorHAnsi" w:hAnsiTheme="majorHAnsi" w:cstheme="majorHAnsi"/>
          <w:sz w:val="24"/>
          <w:szCs w:val="24"/>
          <w:lang w:val="ro-MD"/>
        </w:rPr>
        <w:t xml:space="preserve"> </w:t>
      </w:r>
      <w:r w:rsidR="00F02B82" w:rsidRPr="00606103">
        <w:rPr>
          <w:rFonts w:asciiTheme="majorHAnsi" w:hAnsiTheme="majorHAnsi" w:cstheme="majorHAnsi"/>
          <w:sz w:val="24"/>
          <w:szCs w:val="24"/>
          <w:lang w:val="ro-MD"/>
        </w:rPr>
        <w:t>539,9</w:t>
      </w:r>
      <w:r w:rsidRPr="00606103">
        <w:rPr>
          <w:rFonts w:asciiTheme="majorHAnsi" w:hAnsiTheme="majorHAnsi" w:cstheme="majorHAnsi"/>
          <w:sz w:val="24"/>
          <w:szCs w:val="24"/>
          <w:lang w:val="ro-MD"/>
        </w:rPr>
        <w:t xml:space="preserve"> mil. lei (6,</w:t>
      </w:r>
      <w:r w:rsidR="00090BB7" w:rsidRPr="00606103">
        <w:rPr>
          <w:rFonts w:asciiTheme="majorHAnsi" w:hAnsiTheme="majorHAnsi" w:cstheme="majorHAnsi"/>
          <w:sz w:val="24"/>
          <w:szCs w:val="24"/>
          <w:lang w:val="ro-MD"/>
        </w:rPr>
        <w:t>1%)</w:t>
      </w:r>
      <w:r w:rsidR="00A41821" w:rsidRPr="00606103">
        <w:rPr>
          <w:rFonts w:asciiTheme="majorHAnsi" w:hAnsiTheme="majorHAnsi" w:cstheme="majorHAnsi"/>
          <w:sz w:val="24"/>
          <w:szCs w:val="24"/>
          <w:lang w:val="ro-MD"/>
        </w:rPr>
        <w:t>.</w:t>
      </w:r>
      <w:r w:rsidR="00090BB7" w:rsidRPr="00606103">
        <w:rPr>
          <w:rFonts w:asciiTheme="majorHAnsi" w:hAnsiTheme="majorHAnsi" w:cstheme="majorHAnsi"/>
          <w:sz w:val="24"/>
          <w:szCs w:val="24"/>
          <w:lang w:val="ro-MD"/>
        </w:rPr>
        <w:t xml:space="preserve"> </w:t>
      </w:r>
      <w:r w:rsidR="00A41821" w:rsidRPr="00606103">
        <w:rPr>
          <w:rFonts w:asciiTheme="majorHAnsi" w:hAnsiTheme="majorHAnsi" w:cstheme="majorHAnsi"/>
          <w:i/>
          <w:sz w:val="24"/>
          <w:szCs w:val="24"/>
          <w:lang w:val="ro-MD"/>
        </w:rPr>
        <w:t>A</w:t>
      </w:r>
      <w:r w:rsidRPr="00606103">
        <w:rPr>
          <w:rFonts w:asciiTheme="majorHAnsi" w:hAnsiTheme="majorHAnsi" w:cstheme="majorHAnsi"/>
          <w:i/>
          <w:sz w:val="24"/>
          <w:szCs w:val="24"/>
          <w:lang w:val="ro-MD"/>
        </w:rPr>
        <w:t>naliza</w:t>
      </w:r>
      <w:r w:rsidR="00090BB7" w:rsidRPr="00606103">
        <w:rPr>
          <w:rFonts w:asciiTheme="majorHAnsi" w:hAnsiTheme="majorHAnsi" w:cstheme="majorHAnsi"/>
          <w:i/>
          <w:sz w:val="24"/>
          <w:szCs w:val="24"/>
          <w:lang w:val="ro-MD"/>
        </w:rPr>
        <w:t xml:space="preserve"> execuției în ansamblul a</w:t>
      </w:r>
      <w:r w:rsidR="00A41821" w:rsidRPr="00606103">
        <w:rPr>
          <w:rFonts w:asciiTheme="majorHAnsi" w:hAnsiTheme="majorHAnsi" w:cstheme="majorHAnsi"/>
          <w:i/>
          <w:sz w:val="24"/>
          <w:szCs w:val="24"/>
          <w:lang w:val="ro-MD"/>
        </w:rPr>
        <w:t xml:space="preserve"> bugetului de stat</w:t>
      </w:r>
      <w:r w:rsidR="00090BB7" w:rsidRPr="00606103">
        <w:rPr>
          <w:rFonts w:asciiTheme="majorHAnsi" w:hAnsiTheme="majorHAnsi" w:cstheme="majorHAnsi"/>
          <w:i/>
          <w:iCs/>
          <w:sz w:val="24"/>
          <w:szCs w:val="24"/>
          <w:lang w:val="ro-MD"/>
        </w:rPr>
        <w:t xml:space="preserve"> se prezintă în Tabelul nr.1</w:t>
      </w:r>
      <w:r w:rsidR="007D770C" w:rsidRPr="00606103">
        <w:rPr>
          <w:rFonts w:asciiTheme="majorHAnsi" w:hAnsiTheme="majorHAnsi" w:cstheme="majorHAnsi"/>
          <w:i/>
          <w:iCs/>
          <w:sz w:val="24"/>
          <w:szCs w:val="24"/>
          <w:lang w:val="ro-MD"/>
        </w:rPr>
        <w:t>1</w:t>
      </w:r>
      <w:r w:rsidR="00A41821" w:rsidRPr="00606103">
        <w:rPr>
          <w:rFonts w:asciiTheme="majorHAnsi" w:hAnsiTheme="majorHAnsi" w:cstheme="majorHAnsi"/>
          <w:i/>
          <w:iCs/>
          <w:sz w:val="24"/>
          <w:szCs w:val="24"/>
          <w:lang w:val="ro-MD"/>
        </w:rPr>
        <w:t>.</w:t>
      </w:r>
    </w:p>
    <w:p w:rsidR="00C26645" w:rsidRPr="00606103" w:rsidRDefault="0073010C" w:rsidP="00082C8F">
      <w:pPr>
        <w:spacing w:after="0" w:line="276" w:lineRule="auto"/>
        <w:jc w:val="right"/>
        <w:rPr>
          <w:rFonts w:asciiTheme="majorHAnsi" w:eastAsia="Times New Roman" w:hAnsiTheme="majorHAnsi" w:cstheme="majorHAnsi"/>
          <w:b/>
          <w:i/>
          <w:sz w:val="24"/>
          <w:szCs w:val="24"/>
          <w:lang w:val="ro-MD"/>
        </w:rPr>
      </w:pPr>
      <w:r w:rsidRPr="00606103">
        <w:rPr>
          <w:rFonts w:asciiTheme="majorHAnsi" w:eastAsia="Times New Roman" w:hAnsiTheme="majorHAnsi" w:cstheme="majorHAnsi"/>
          <w:b/>
          <w:i/>
          <w:sz w:val="24"/>
          <w:szCs w:val="24"/>
          <w:lang w:val="ro-MD"/>
        </w:rPr>
        <w:t>Tabelul nr.1</w:t>
      </w:r>
      <w:r w:rsidR="007D770C" w:rsidRPr="00606103">
        <w:rPr>
          <w:rFonts w:asciiTheme="majorHAnsi" w:eastAsia="Times New Roman" w:hAnsiTheme="majorHAnsi" w:cstheme="majorHAnsi"/>
          <w:b/>
          <w:i/>
          <w:sz w:val="24"/>
          <w:szCs w:val="24"/>
          <w:lang w:val="ro-MD"/>
        </w:rPr>
        <w:t>1</w:t>
      </w:r>
    </w:p>
    <w:p w:rsidR="00E03D02" w:rsidRDefault="00C26645">
      <w:pPr>
        <w:spacing w:after="0" w:line="276" w:lineRule="auto"/>
        <w:jc w:val="center"/>
        <w:rPr>
          <w:rFonts w:asciiTheme="majorHAnsi" w:eastAsia="Times New Roman" w:hAnsiTheme="majorHAnsi" w:cstheme="majorHAnsi"/>
          <w:b/>
          <w:bCs/>
          <w:sz w:val="24"/>
          <w:szCs w:val="24"/>
          <w:lang w:val="ro-MD"/>
        </w:rPr>
      </w:pPr>
      <w:r w:rsidRPr="00606103">
        <w:rPr>
          <w:rFonts w:asciiTheme="majorHAnsi" w:eastAsia="Times New Roman" w:hAnsiTheme="majorHAnsi" w:cstheme="majorHAnsi"/>
          <w:b/>
          <w:bCs/>
          <w:sz w:val="24"/>
          <w:szCs w:val="24"/>
          <w:lang w:val="ro-MD"/>
        </w:rPr>
        <w:t>Executarea bugetului de stat față de sumele aprobate și precizate pe anul 2021</w:t>
      </w:r>
    </w:p>
    <w:p w:rsidR="00C26645" w:rsidRPr="00E03D02" w:rsidRDefault="00E03D02" w:rsidP="00800FBF">
      <w:pPr>
        <w:spacing w:after="0" w:line="276" w:lineRule="auto"/>
        <w:ind w:right="474"/>
        <w:jc w:val="right"/>
        <w:rPr>
          <w:rFonts w:asciiTheme="majorHAnsi" w:eastAsia="Times New Roman" w:hAnsiTheme="majorHAnsi" w:cstheme="majorHAnsi"/>
          <w:sz w:val="24"/>
          <w:szCs w:val="24"/>
          <w:lang w:val="ro-MD"/>
        </w:rPr>
      </w:pPr>
      <w:r w:rsidRPr="00E03D02">
        <w:rPr>
          <w:rFonts w:asciiTheme="majorHAnsi" w:eastAsia="Times New Roman" w:hAnsiTheme="majorHAnsi" w:cstheme="majorHAnsi"/>
          <w:i/>
          <w:iCs/>
          <w:sz w:val="20"/>
          <w:szCs w:val="20"/>
          <w:lang w:val="ro-MD"/>
        </w:rPr>
        <w:t xml:space="preserve"> (mil. lei)</w:t>
      </w:r>
    </w:p>
    <w:tbl>
      <w:tblPr>
        <w:tblStyle w:val="GridTable1Light1"/>
        <w:tblW w:w="4848" w:type="pct"/>
        <w:tblLook w:val="04A0" w:firstRow="1" w:lastRow="0" w:firstColumn="1" w:lastColumn="0" w:noHBand="0" w:noVBand="1"/>
      </w:tblPr>
      <w:tblGrid>
        <w:gridCol w:w="1222"/>
        <w:gridCol w:w="1015"/>
        <w:gridCol w:w="1075"/>
        <w:gridCol w:w="988"/>
        <w:gridCol w:w="923"/>
        <w:gridCol w:w="942"/>
        <w:gridCol w:w="1263"/>
        <w:gridCol w:w="954"/>
        <w:gridCol w:w="1002"/>
      </w:tblGrid>
      <w:tr w:rsidR="00962E8A" w:rsidRPr="00E03D02" w:rsidTr="00962E8A">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69" w:type="pct"/>
            <w:vMerge w:val="restart"/>
            <w:tcBorders>
              <w:top w:val="single" w:sz="4" w:space="0" w:color="auto"/>
              <w:left w:val="single" w:sz="4" w:space="0" w:color="auto"/>
              <w:bottom w:val="single" w:sz="4" w:space="0" w:color="auto"/>
              <w:right w:val="single" w:sz="4" w:space="0" w:color="auto"/>
            </w:tcBorders>
            <w:vAlign w:val="center"/>
            <w:hideMark/>
          </w:tcPr>
          <w:p w:rsidR="00C26645" w:rsidRPr="00E03D02" w:rsidRDefault="00C26645" w:rsidP="00E03D02">
            <w:pPr>
              <w:pStyle w:val="NoSpacing"/>
              <w:jc w:val="center"/>
              <w:rPr>
                <w:rFonts w:asciiTheme="majorHAnsi" w:hAnsiTheme="majorHAnsi" w:cstheme="majorHAnsi"/>
                <w:sz w:val="20"/>
                <w:szCs w:val="20"/>
                <w:lang w:val="ro-MD"/>
              </w:rPr>
            </w:pPr>
            <w:r w:rsidRPr="00E03D02">
              <w:rPr>
                <w:rFonts w:asciiTheme="majorHAnsi" w:hAnsiTheme="majorHAnsi" w:cstheme="majorHAnsi"/>
                <w:sz w:val="20"/>
                <w:szCs w:val="20"/>
                <w:lang w:val="ro-MD"/>
              </w:rPr>
              <w:t>Indicatori sintetici</w:t>
            </w:r>
          </w:p>
        </w:tc>
        <w:tc>
          <w:tcPr>
            <w:tcW w:w="541" w:type="pct"/>
            <w:vMerge w:val="restart"/>
            <w:tcBorders>
              <w:top w:val="single" w:sz="4" w:space="0" w:color="auto"/>
              <w:left w:val="single" w:sz="4" w:space="0" w:color="auto"/>
              <w:bottom w:val="single" w:sz="4" w:space="0" w:color="auto"/>
              <w:right w:val="single" w:sz="4" w:space="0" w:color="auto"/>
            </w:tcBorders>
            <w:vAlign w:val="center"/>
            <w:hideMark/>
          </w:tcPr>
          <w:p w:rsidR="00C26645" w:rsidRPr="00E03D02" w:rsidRDefault="00C26645" w:rsidP="00E03D02">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lang w:val="ro-MD"/>
              </w:rPr>
            </w:pPr>
            <w:r w:rsidRPr="00E03D02">
              <w:rPr>
                <w:rFonts w:asciiTheme="majorHAnsi" w:hAnsiTheme="majorHAnsi" w:cstheme="majorHAnsi"/>
                <w:b w:val="0"/>
                <w:bCs w:val="0"/>
                <w:sz w:val="20"/>
                <w:szCs w:val="20"/>
                <w:lang w:val="ro-MD"/>
              </w:rPr>
              <w:t>Prevederi bugetare aprobate</w:t>
            </w:r>
            <w:r w:rsidRPr="00E03D02">
              <w:rPr>
                <w:rFonts w:asciiTheme="majorHAnsi" w:hAnsiTheme="majorHAnsi" w:cstheme="majorHAnsi"/>
                <w:b w:val="0"/>
                <w:bCs w:val="0"/>
                <w:sz w:val="20"/>
                <w:szCs w:val="20"/>
                <w:vertAlign w:val="superscript"/>
                <w:lang w:val="ro-MD"/>
              </w:rPr>
              <w:t>*</w:t>
            </w:r>
          </w:p>
        </w:tc>
        <w:tc>
          <w:tcPr>
            <w:tcW w:w="573" w:type="pct"/>
            <w:vMerge w:val="restart"/>
            <w:tcBorders>
              <w:top w:val="single" w:sz="4" w:space="0" w:color="auto"/>
              <w:left w:val="single" w:sz="4" w:space="0" w:color="auto"/>
              <w:bottom w:val="single" w:sz="4" w:space="0" w:color="auto"/>
              <w:right w:val="single" w:sz="4" w:space="0" w:color="auto"/>
            </w:tcBorders>
            <w:vAlign w:val="center"/>
          </w:tcPr>
          <w:p w:rsidR="00C26645" w:rsidRPr="00E03D02" w:rsidRDefault="00C26645" w:rsidP="00E03D02">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lang w:val="ro-MD"/>
              </w:rPr>
            </w:pPr>
            <w:r w:rsidRPr="00E03D02">
              <w:rPr>
                <w:rFonts w:asciiTheme="majorHAnsi" w:hAnsiTheme="majorHAnsi" w:cstheme="majorHAnsi"/>
                <w:b w:val="0"/>
                <w:bCs w:val="0"/>
                <w:sz w:val="20"/>
                <w:szCs w:val="20"/>
                <w:lang w:val="ro-MD"/>
              </w:rPr>
              <w:t>Prevederi modificate prin Lege</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rsidR="00C26645" w:rsidRPr="00E03D02" w:rsidRDefault="00C26645" w:rsidP="00E03D02">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lang w:val="ro-MD"/>
              </w:rPr>
            </w:pPr>
            <w:r w:rsidRPr="00E03D02">
              <w:rPr>
                <w:rFonts w:asciiTheme="majorHAnsi" w:hAnsiTheme="majorHAnsi" w:cstheme="majorHAnsi"/>
                <w:b w:val="0"/>
                <w:bCs w:val="0"/>
                <w:sz w:val="20"/>
                <w:szCs w:val="20"/>
                <w:lang w:val="ro-MD"/>
              </w:rPr>
              <w:t>Prevederi bugetare</w:t>
            </w:r>
            <w:r w:rsidRPr="00E03D02">
              <w:rPr>
                <w:rFonts w:asciiTheme="majorHAnsi" w:hAnsiTheme="majorHAnsi" w:cstheme="majorHAnsi"/>
                <w:b w:val="0"/>
                <w:bCs w:val="0"/>
                <w:sz w:val="20"/>
                <w:szCs w:val="20"/>
                <w:lang w:val="ro-MD"/>
              </w:rPr>
              <w:br/>
              <w:t>precizate</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C26645" w:rsidRPr="00E03D02" w:rsidRDefault="00C26645" w:rsidP="00E03D02">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lang w:val="ro-MD"/>
              </w:rPr>
            </w:pPr>
            <w:r w:rsidRPr="00E03D02">
              <w:rPr>
                <w:rFonts w:asciiTheme="majorHAnsi" w:hAnsiTheme="majorHAnsi" w:cstheme="majorHAnsi"/>
                <w:b w:val="0"/>
                <w:bCs w:val="0"/>
                <w:sz w:val="20"/>
                <w:szCs w:val="20"/>
                <w:lang w:val="ro-MD"/>
              </w:rPr>
              <w:t>Executat</w:t>
            </w:r>
          </w:p>
        </w:tc>
        <w:tc>
          <w:tcPr>
            <w:tcW w:w="1139" w:type="pct"/>
            <w:gridSpan w:val="2"/>
            <w:tcBorders>
              <w:top w:val="single" w:sz="4" w:space="0" w:color="auto"/>
              <w:left w:val="single" w:sz="4" w:space="0" w:color="auto"/>
              <w:bottom w:val="single" w:sz="4" w:space="0" w:color="auto"/>
              <w:right w:val="single" w:sz="4" w:space="0" w:color="auto"/>
            </w:tcBorders>
            <w:vAlign w:val="center"/>
            <w:hideMark/>
          </w:tcPr>
          <w:p w:rsidR="00C26645" w:rsidRPr="00E03D02" w:rsidRDefault="00C26645" w:rsidP="00E03D02">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lang w:val="ro-MD"/>
              </w:rPr>
            </w:pPr>
            <w:r w:rsidRPr="00E03D02">
              <w:rPr>
                <w:rFonts w:asciiTheme="majorHAnsi" w:hAnsiTheme="majorHAnsi" w:cstheme="majorHAnsi"/>
                <w:b w:val="0"/>
                <w:bCs w:val="0"/>
                <w:sz w:val="20"/>
                <w:szCs w:val="20"/>
                <w:lang w:val="ro-MD"/>
              </w:rPr>
              <w:t>Executat față</w:t>
            </w:r>
            <w:r w:rsidRPr="00E03D02">
              <w:rPr>
                <w:rFonts w:asciiTheme="majorHAnsi" w:hAnsiTheme="majorHAnsi" w:cstheme="majorHAnsi"/>
                <w:b w:val="0"/>
                <w:bCs w:val="0"/>
                <w:sz w:val="20"/>
                <w:szCs w:val="20"/>
                <w:lang w:val="ro-MD"/>
              </w:rPr>
              <w:br/>
              <w:t>de aprobat</w:t>
            </w:r>
          </w:p>
        </w:tc>
        <w:tc>
          <w:tcPr>
            <w:tcW w:w="1060" w:type="pct"/>
            <w:gridSpan w:val="2"/>
            <w:tcBorders>
              <w:top w:val="single" w:sz="4" w:space="0" w:color="auto"/>
              <w:left w:val="single" w:sz="4" w:space="0" w:color="auto"/>
              <w:bottom w:val="single" w:sz="4" w:space="0" w:color="auto"/>
              <w:right w:val="single" w:sz="4" w:space="0" w:color="auto"/>
            </w:tcBorders>
            <w:vAlign w:val="center"/>
            <w:hideMark/>
          </w:tcPr>
          <w:p w:rsidR="00C26645" w:rsidRPr="00E03D02" w:rsidRDefault="00C26645" w:rsidP="00E03D02">
            <w:pPr>
              <w:pStyle w:val="No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lang w:val="ro-MD"/>
              </w:rPr>
            </w:pPr>
            <w:r w:rsidRPr="00E03D02">
              <w:rPr>
                <w:rFonts w:asciiTheme="majorHAnsi" w:hAnsiTheme="majorHAnsi" w:cstheme="majorHAnsi"/>
                <w:b w:val="0"/>
                <w:bCs w:val="0"/>
                <w:sz w:val="20"/>
                <w:szCs w:val="20"/>
                <w:lang w:val="ro-MD"/>
              </w:rPr>
              <w:t>Executat față</w:t>
            </w:r>
            <w:r w:rsidRPr="00E03D02">
              <w:rPr>
                <w:rFonts w:asciiTheme="majorHAnsi" w:hAnsiTheme="majorHAnsi" w:cstheme="majorHAnsi"/>
                <w:b w:val="0"/>
                <w:bCs w:val="0"/>
                <w:sz w:val="20"/>
                <w:szCs w:val="20"/>
                <w:lang w:val="ro-MD"/>
              </w:rPr>
              <w:br/>
              <w:t>de precizat</w:t>
            </w:r>
          </w:p>
        </w:tc>
      </w:tr>
      <w:tr w:rsidR="00962E8A" w:rsidRPr="00E03D02" w:rsidTr="00962E8A">
        <w:trPr>
          <w:trHeight w:val="806"/>
        </w:trPr>
        <w:tc>
          <w:tcPr>
            <w:cnfStyle w:val="001000000000" w:firstRow="0" w:lastRow="0" w:firstColumn="1" w:lastColumn="0" w:oddVBand="0" w:evenVBand="0" w:oddHBand="0" w:evenHBand="0" w:firstRowFirstColumn="0" w:firstRowLastColumn="0" w:lastRowFirstColumn="0" w:lastRowLastColumn="0"/>
            <w:tcW w:w="669" w:type="pct"/>
            <w:vMerge/>
            <w:tcBorders>
              <w:top w:val="single" w:sz="4" w:space="0" w:color="auto"/>
              <w:left w:val="single" w:sz="4" w:space="0" w:color="auto"/>
              <w:bottom w:val="single" w:sz="4" w:space="0" w:color="auto"/>
              <w:right w:val="single" w:sz="4" w:space="0" w:color="auto"/>
            </w:tcBorders>
            <w:vAlign w:val="center"/>
            <w:hideMark/>
          </w:tcPr>
          <w:p w:rsidR="00C26645" w:rsidRPr="00E03D02" w:rsidRDefault="00C26645" w:rsidP="00E03D02">
            <w:pPr>
              <w:pStyle w:val="NoSpacing"/>
              <w:jc w:val="center"/>
              <w:rPr>
                <w:rFonts w:asciiTheme="majorHAnsi" w:hAnsiTheme="majorHAnsi" w:cstheme="majorHAnsi"/>
                <w:sz w:val="20"/>
                <w:szCs w:val="20"/>
                <w:lang w:val="ro-MD"/>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C26645" w:rsidRPr="00E03D02" w:rsidRDefault="00C26645" w:rsidP="00E03D0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573" w:type="pct"/>
            <w:vMerge/>
            <w:tcBorders>
              <w:top w:val="single" w:sz="4" w:space="0" w:color="auto"/>
              <w:left w:val="single" w:sz="4" w:space="0" w:color="auto"/>
              <w:bottom w:val="single" w:sz="4" w:space="0" w:color="auto"/>
              <w:right w:val="single" w:sz="4" w:space="0" w:color="auto"/>
            </w:tcBorders>
            <w:vAlign w:val="center"/>
          </w:tcPr>
          <w:p w:rsidR="00C26645" w:rsidRPr="00E03D02" w:rsidRDefault="00C26645" w:rsidP="00E03D0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C26645" w:rsidRPr="00E03D02" w:rsidRDefault="00C26645" w:rsidP="00E03D0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C26645" w:rsidRPr="00E03D02" w:rsidRDefault="00C26645" w:rsidP="00E03D0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520" w:type="pct"/>
            <w:tcBorders>
              <w:top w:val="single" w:sz="4" w:space="0" w:color="auto"/>
              <w:left w:val="single" w:sz="4" w:space="0" w:color="auto"/>
              <w:bottom w:val="single" w:sz="4" w:space="0" w:color="auto"/>
              <w:right w:val="single" w:sz="4" w:space="0" w:color="auto"/>
            </w:tcBorders>
            <w:vAlign w:val="center"/>
            <w:hideMark/>
          </w:tcPr>
          <w:p w:rsidR="00C26645" w:rsidRPr="00E03D02" w:rsidRDefault="00C26645" w:rsidP="00E03D0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MD"/>
              </w:rPr>
            </w:pPr>
            <w:r w:rsidRPr="00E03D02">
              <w:rPr>
                <w:rFonts w:asciiTheme="majorHAnsi" w:hAnsiTheme="majorHAnsi" w:cstheme="majorHAnsi"/>
                <w:i/>
                <w:sz w:val="20"/>
                <w:szCs w:val="20"/>
                <w:lang w:val="ro-MD"/>
              </w:rPr>
              <w:t xml:space="preserve">suma </w:t>
            </w:r>
            <w:r w:rsidRPr="00E03D02">
              <w:rPr>
                <w:rFonts w:asciiTheme="majorHAnsi" w:hAnsiTheme="majorHAnsi" w:cstheme="majorHAnsi"/>
                <w:i/>
                <w:sz w:val="20"/>
                <w:szCs w:val="20"/>
                <w:lang w:val="ro-MD"/>
              </w:rPr>
              <w:br/>
              <w:t>(+/-)</w:t>
            </w:r>
          </w:p>
        </w:tc>
        <w:tc>
          <w:tcPr>
            <w:tcW w:w="619" w:type="pct"/>
            <w:tcBorders>
              <w:top w:val="single" w:sz="4" w:space="0" w:color="auto"/>
              <w:left w:val="single" w:sz="4" w:space="0" w:color="auto"/>
              <w:bottom w:val="single" w:sz="4" w:space="0" w:color="auto"/>
              <w:right w:val="single" w:sz="4" w:space="0" w:color="auto"/>
            </w:tcBorders>
            <w:vAlign w:val="center"/>
            <w:hideMark/>
          </w:tcPr>
          <w:p w:rsidR="00C26645" w:rsidRPr="00E03D02" w:rsidRDefault="00E03D02" w:rsidP="00E03D0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MD"/>
              </w:rPr>
            </w:pPr>
            <w:r>
              <w:rPr>
                <w:rFonts w:asciiTheme="majorHAnsi" w:hAnsiTheme="majorHAnsi" w:cstheme="majorHAnsi"/>
                <w:i/>
                <w:sz w:val="20"/>
                <w:szCs w:val="20"/>
                <w:lang w:val="ro-MD"/>
              </w:rPr>
              <w:t xml:space="preserve">nivelul de </w:t>
            </w:r>
            <w:r>
              <w:rPr>
                <w:rFonts w:asciiTheme="majorHAnsi" w:hAnsiTheme="majorHAnsi" w:cstheme="majorHAnsi"/>
                <w:i/>
                <w:sz w:val="20"/>
                <w:szCs w:val="20"/>
                <w:lang w:val="ro-MD"/>
              </w:rPr>
              <w:br/>
              <w:t>executare</w:t>
            </w:r>
            <w:r w:rsidR="00C26645" w:rsidRPr="00E03D02">
              <w:rPr>
                <w:rFonts w:asciiTheme="majorHAnsi" w:hAnsiTheme="majorHAnsi" w:cstheme="majorHAnsi"/>
                <w:i/>
                <w:sz w:val="20"/>
                <w:szCs w:val="20"/>
                <w:lang w:val="ro-MD"/>
              </w:rPr>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C26645" w:rsidRPr="00E03D02" w:rsidRDefault="00C26645" w:rsidP="00E03D0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MD"/>
              </w:rPr>
            </w:pPr>
            <w:r w:rsidRPr="00E03D02">
              <w:rPr>
                <w:rFonts w:asciiTheme="majorHAnsi" w:hAnsiTheme="majorHAnsi" w:cstheme="majorHAnsi"/>
                <w:i/>
                <w:sz w:val="20"/>
                <w:szCs w:val="20"/>
                <w:lang w:val="ro-MD"/>
              </w:rPr>
              <w:t>suma</w:t>
            </w:r>
            <w:r w:rsidRPr="00E03D02">
              <w:rPr>
                <w:rFonts w:asciiTheme="majorHAnsi" w:hAnsiTheme="majorHAnsi" w:cstheme="majorHAnsi"/>
                <w:i/>
                <w:sz w:val="20"/>
                <w:szCs w:val="20"/>
                <w:lang w:val="ro-MD"/>
              </w:rPr>
              <w:br/>
              <w:t>(+/-)</w:t>
            </w:r>
          </w:p>
        </w:tc>
        <w:tc>
          <w:tcPr>
            <w:tcW w:w="534" w:type="pct"/>
            <w:tcBorders>
              <w:top w:val="single" w:sz="4" w:space="0" w:color="auto"/>
              <w:left w:val="single" w:sz="4" w:space="0" w:color="auto"/>
              <w:bottom w:val="single" w:sz="4" w:space="0" w:color="auto"/>
              <w:right w:val="single" w:sz="4" w:space="0" w:color="auto"/>
            </w:tcBorders>
            <w:vAlign w:val="center"/>
            <w:hideMark/>
          </w:tcPr>
          <w:p w:rsidR="00C26645" w:rsidRPr="00E03D02" w:rsidRDefault="00C26645" w:rsidP="00E03D02">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MD"/>
              </w:rPr>
            </w:pPr>
            <w:r w:rsidRPr="00E03D02">
              <w:rPr>
                <w:rFonts w:asciiTheme="majorHAnsi" w:hAnsiTheme="majorHAnsi" w:cstheme="majorHAnsi"/>
                <w:i/>
                <w:sz w:val="20"/>
                <w:szCs w:val="20"/>
                <w:lang w:val="ro-MD"/>
              </w:rPr>
              <w:t>nivelul de</w:t>
            </w:r>
            <w:r w:rsidRPr="00E03D02">
              <w:rPr>
                <w:rFonts w:asciiTheme="majorHAnsi" w:hAnsiTheme="majorHAnsi" w:cstheme="majorHAnsi"/>
                <w:i/>
                <w:sz w:val="20"/>
                <w:szCs w:val="20"/>
                <w:lang w:val="ro-MD"/>
              </w:rPr>
              <w:br/>
              <w:t>executare</w:t>
            </w:r>
            <w:r w:rsidRPr="00E03D02">
              <w:rPr>
                <w:rFonts w:asciiTheme="majorHAnsi" w:hAnsiTheme="majorHAnsi" w:cstheme="majorHAnsi"/>
                <w:i/>
                <w:sz w:val="20"/>
                <w:szCs w:val="20"/>
                <w:lang w:val="ro-MD"/>
              </w:rPr>
              <w:br/>
              <w:t>(%)</w:t>
            </w:r>
          </w:p>
        </w:tc>
      </w:tr>
      <w:tr w:rsidR="00962E8A" w:rsidRPr="00E03D02" w:rsidTr="00962E8A">
        <w:trPr>
          <w:trHeight w:val="243"/>
        </w:trPr>
        <w:tc>
          <w:tcPr>
            <w:cnfStyle w:val="001000000000" w:firstRow="0" w:lastRow="0" w:firstColumn="1" w:lastColumn="0" w:oddVBand="0" w:evenVBand="0" w:oddHBand="0" w:evenHBand="0" w:firstRowFirstColumn="0" w:firstRowLastColumn="0" w:lastRowFirstColumn="0" w:lastRowLastColumn="0"/>
            <w:tcW w:w="669" w:type="pct"/>
            <w:tcBorders>
              <w:top w:val="single" w:sz="4" w:space="0" w:color="auto"/>
              <w:left w:val="single" w:sz="4" w:space="0" w:color="auto"/>
              <w:bottom w:val="single" w:sz="4" w:space="0" w:color="auto"/>
              <w:right w:val="single" w:sz="4" w:space="0" w:color="auto"/>
            </w:tcBorders>
            <w:hideMark/>
          </w:tcPr>
          <w:p w:rsidR="00C26645" w:rsidRPr="00E03D02" w:rsidRDefault="00C26645" w:rsidP="00FE3F3B">
            <w:pPr>
              <w:spacing w:line="276" w:lineRule="auto"/>
              <w:jc w:val="center"/>
              <w:rPr>
                <w:rFonts w:asciiTheme="majorHAnsi" w:eastAsia="Times New Roman" w:hAnsiTheme="majorHAnsi" w:cstheme="majorHAnsi"/>
                <w:i/>
                <w:sz w:val="16"/>
                <w:szCs w:val="16"/>
                <w:lang w:val="ro-MD"/>
              </w:rPr>
            </w:pPr>
            <w:r w:rsidRPr="00E03D02">
              <w:rPr>
                <w:rFonts w:asciiTheme="majorHAnsi" w:eastAsia="Times New Roman" w:hAnsiTheme="majorHAnsi" w:cstheme="majorHAnsi"/>
                <w:i/>
                <w:sz w:val="16"/>
                <w:szCs w:val="16"/>
                <w:lang w:val="ro-MD"/>
              </w:rPr>
              <w:t>1</w:t>
            </w:r>
          </w:p>
        </w:tc>
        <w:tc>
          <w:tcPr>
            <w:tcW w:w="541" w:type="pct"/>
            <w:tcBorders>
              <w:top w:val="single" w:sz="4" w:space="0" w:color="auto"/>
              <w:left w:val="single" w:sz="4" w:space="0" w:color="auto"/>
              <w:bottom w:val="single" w:sz="4" w:space="0" w:color="auto"/>
              <w:right w:val="single" w:sz="4" w:space="0" w:color="auto"/>
            </w:tcBorders>
            <w:hideMark/>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03D02">
              <w:rPr>
                <w:rFonts w:asciiTheme="majorHAnsi" w:eastAsia="Times New Roman" w:hAnsiTheme="majorHAnsi" w:cstheme="majorHAnsi"/>
                <w:bCs/>
                <w:i/>
                <w:sz w:val="16"/>
                <w:szCs w:val="16"/>
                <w:lang w:val="ro-MD"/>
              </w:rPr>
              <w:t>2</w:t>
            </w:r>
          </w:p>
        </w:tc>
        <w:tc>
          <w:tcPr>
            <w:tcW w:w="573" w:type="pct"/>
            <w:tcBorders>
              <w:top w:val="single" w:sz="4" w:space="0" w:color="auto"/>
              <w:left w:val="single" w:sz="4" w:space="0" w:color="auto"/>
              <w:bottom w:val="single" w:sz="4" w:space="0" w:color="auto"/>
              <w:right w:val="single" w:sz="4" w:space="0" w:color="auto"/>
            </w:tcBorders>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03D02">
              <w:rPr>
                <w:rFonts w:asciiTheme="majorHAnsi" w:eastAsia="Times New Roman" w:hAnsiTheme="majorHAnsi" w:cstheme="majorHAnsi"/>
                <w:bCs/>
                <w:i/>
                <w:sz w:val="16"/>
                <w:szCs w:val="16"/>
                <w:lang w:val="ro-MD"/>
              </w:rPr>
              <w:t>3</w:t>
            </w:r>
          </w:p>
        </w:tc>
        <w:tc>
          <w:tcPr>
            <w:tcW w:w="526" w:type="pct"/>
            <w:tcBorders>
              <w:top w:val="single" w:sz="4" w:space="0" w:color="auto"/>
              <w:left w:val="single" w:sz="4" w:space="0" w:color="auto"/>
              <w:bottom w:val="single" w:sz="4" w:space="0" w:color="auto"/>
              <w:right w:val="single" w:sz="4" w:space="0" w:color="auto"/>
            </w:tcBorders>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03D02">
              <w:rPr>
                <w:rFonts w:asciiTheme="majorHAnsi" w:eastAsia="Times New Roman" w:hAnsiTheme="majorHAnsi" w:cstheme="majorHAnsi"/>
                <w:bCs/>
                <w:i/>
                <w:sz w:val="16"/>
                <w:szCs w:val="16"/>
                <w:lang w:val="ro-MD"/>
              </w:rPr>
              <w:t>4</w:t>
            </w:r>
          </w:p>
        </w:tc>
        <w:tc>
          <w:tcPr>
            <w:tcW w:w="492" w:type="pct"/>
            <w:tcBorders>
              <w:top w:val="single" w:sz="4" w:space="0" w:color="auto"/>
              <w:left w:val="single" w:sz="4" w:space="0" w:color="auto"/>
              <w:bottom w:val="single" w:sz="4" w:space="0" w:color="auto"/>
              <w:right w:val="single" w:sz="4" w:space="0" w:color="auto"/>
            </w:tcBorders>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03D02">
              <w:rPr>
                <w:rFonts w:asciiTheme="majorHAnsi" w:eastAsia="Times New Roman" w:hAnsiTheme="majorHAnsi" w:cstheme="majorHAnsi"/>
                <w:bCs/>
                <w:i/>
                <w:sz w:val="16"/>
                <w:szCs w:val="16"/>
                <w:lang w:val="ro-MD"/>
              </w:rPr>
              <w:t>5</w:t>
            </w:r>
          </w:p>
        </w:tc>
        <w:tc>
          <w:tcPr>
            <w:tcW w:w="520" w:type="pct"/>
            <w:tcBorders>
              <w:top w:val="single" w:sz="4" w:space="0" w:color="auto"/>
              <w:left w:val="single" w:sz="4" w:space="0" w:color="auto"/>
              <w:bottom w:val="single" w:sz="4" w:space="0" w:color="auto"/>
              <w:right w:val="single" w:sz="4" w:space="0" w:color="auto"/>
            </w:tcBorders>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03D02">
              <w:rPr>
                <w:rFonts w:asciiTheme="majorHAnsi" w:eastAsia="Times New Roman" w:hAnsiTheme="majorHAnsi" w:cstheme="majorHAnsi"/>
                <w:bCs/>
                <w:i/>
                <w:sz w:val="16"/>
                <w:szCs w:val="16"/>
                <w:lang w:val="ro-MD"/>
              </w:rPr>
              <w:t>6=5-2</w:t>
            </w:r>
          </w:p>
        </w:tc>
        <w:tc>
          <w:tcPr>
            <w:tcW w:w="619" w:type="pct"/>
            <w:tcBorders>
              <w:top w:val="single" w:sz="4" w:space="0" w:color="auto"/>
              <w:left w:val="single" w:sz="4" w:space="0" w:color="auto"/>
              <w:bottom w:val="single" w:sz="4" w:space="0" w:color="auto"/>
              <w:right w:val="single" w:sz="4" w:space="0" w:color="auto"/>
            </w:tcBorders>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03D02">
              <w:rPr>
                <w:rFonts w:asciiTheme="majorHAnsi" w:eastAsia="Times New Roman" w:hAnsiTheme="majorHAnsi" w:cstheme="majorHAnsi"/>
                <w:bCs/>
                <w:i/>
                <w:sz w:val="16"/>
                <w:szCs w:val="16"/>
                <w:lang w:val="ro-MD"/>
              </w:rPr>
              <w:t>7=5/2*100</w:t>
            </w:r>
          </w:p>
        </w:tc>
        <w:tc>
          <w:tcPr>
            <w:tcW w:w="526" w:type="pct"/>
            <w:tcBorders>
              <w:top w:val="single" w:sz="4" w:space="0" w:color="auto"/>
              <w:left w:val="single" w:sz="4" w:space="0" w:color="auto"/>
              <w:bottom w:val="single" w:sz="4" w:space="0" w:color="auto"/>
              <w:right w:val="single" w:sz="4" w:space="0" w:color="auto"/>
            </w:tcBorders>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03D02">
              <w:rPr>
                <w:rFonts w:asciiTheme="majorHAnsi" w:eastAsia="Times New Roman" w:hAnsiTheme="majorHAnsi" w:cstheme="majorHAnsi"/>
                <w:bCs/>
                <w:i/>
                <w:sz w:val="16"/>
                <w:szCs w:val="16"/>
                <w:lang w:val="ro-MD"/>
              </w:rPr>
              <w:t>8=5-4</w:t>
            </w:r>
          </w:p>
        </w:tc>
        <w:tc>
          <w:tcPr>
            <w:tcW w:w="534" w:type="pct"/>
            <w:tcBorders>
              <w:top w:val="single" w:sz="4" w:space="0" w:color="auto"/>
              <w:left w:val="single" w:sz="4" w:space="0" w:color="auto"/>
              <w:bottom w:val="single" w:sz="4" w:space="0" w:color="auto"/>
              <w:right w:val="single" w:sz="4" w:space="0" w:color="auto"/>
            </w:tcBorders>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E03D02">
              <w:rPr>
                <w:rFonts w:asciiTheme="majorHAnsi" w:eastAsia="Times New Roman" w:hAnsiTheme="majorHAnsi" w:cstheme="majorHAnsi"/>
                <w:bCs/>
                <w:i/>
                <w:sz w:val="16"/>
                <w:szCs w:val="16"/>
                <w:lang w:val="ro-MD"/>
              </w:rPr>
              <w:t>9=5/4*100</w:t>
            </w:r>
          </w:p>
        </w:tc>
      </w:tr>
      <w:tr w:rsidR="00962E8A" w:rsidRPr="00E03D02" w:rsidTr="00962E8A">
        <w:trPr>
          <w:trHeight w:val="299"/>
        </w:trPr>
        <w:tc>
          <w:tcPr>
            <w:cnfStyle w:val="001000000000" w:firstRow="0" w:lastRow="0" w:firstColumn="1" w:lastColumn="0" w:oddVBand="0" w:evenVBand="0" w:oddHBand="0" w:evenHBand="0" w:firstRowFirstColumn="0" w:firstRowLastColumn="0" w:lastRowFirstColumn="0" w:lastRowLastColumn="0"/>
            <w:tcW w:w="669" w:type="pct"/>
            <w:tcBorders>
              <w:top w:val="single" w:sz="4" w:space="0" w:color="auto"/>
              <w:left w:val="single" w:sz="4" w:space="0" w:color="auto"/>
              <w:bottom w:val="single" w:sz="4" w:space="0" w:color="auto"/>
              <w:right w:val="single" w:sz="4" w:space="0" w:color="auto"/>
            </w:tcBorders>
            <w:hideMark/>
          </w:tcPr>
          <w:p w:rsidR="00C26645" w:rsidRPr="00E03D02" w:rsidRDefault="00C26645" w:rsidP="00FE3F3B">
            <w:pPr>
              <w:spacing w:line="276" w:lineRule="auto"/>
              <w:jc w:val="left"/>
              <w:rPr>
                <w:rFonts w:asciiTheme="majorHAnsi" w:eastAsia="Times New Roman" w:hAnsiTheme="majorHAnsi" w:cstheme="majorHAnsi"/>
                <w:sz w:val="20"/>
                <w:szCs w:val="20"/>
                <w:lang w:val="ro-MD"/>
              </w:rPr>
            </w:pPr>
            <w:r w:rsidRPr="00E03D02">
              <w:rPr>
                <w:rFonts w:asciiTheme="majorHAnsi" w:eastAsia="Times New Roman" w:hAnsiTheme="majorHAnsi" w:cstheme="majorHAnsi"/>
                <w:iCs/>
                <w:sz w:val="20"/>
                <w:szCs w:val="20"/>
                <w:lang w:val="ro-MD"/>
              </w:rPr>
              <w:t>Venituri</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tcPr>
          <w:p w:rsidR="00C26645" w:rsidRPr="00E03D02" w:rsidRDefault="00C266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41.415,4</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C26645" w:rsidRPr="00E03D02" w:rsidRDefault="00C266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45.862,4</w:t>
            </w:r>
          </w:p>
        </w:tc>
        <w:tc>
          <w:tcPr>
            <w:tcW w:w="526" w:type="pct"/>
            <w:tcBorders>
              <w:top w:val="single" w:sz="4" w:space="0" w:color="auto"/>
              <w:left w:val="single" w:sz="4" w:space="0" w:color="auto"/>
              <w:bottom w:val="single" w:sz="4" w:space="0" w:color="auto"/>
              <w:right w:val="single" w:sz="4" w:space="0" w:color="auto"/>
            </w:tcBorders>
            <w:shd w:val="clear" w:color="auto" w:fill="auto"/>
            <w:vAlign w:val="bottom"/>
          </w:tcPr>
          <w:p w:rsidR="00C26645" w:rsidRPr="00E03D02" w:rsidRDefault="00C266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45.864,9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rsidR="00C26645" w:rsidRPr="00E03D02" w:rsidRDefault="00C266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49.383,8</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7.968,4</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119,2</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3.518,9</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107,7</w:t>
            </w:r>
          </w:p>
        </w:tc>
      </w:tr>
      <w:tr w:rsidR="00962E8A" w:rsidRPr="00E03D02" w:rsidTr="00962E8A">
        <w:trPr>
          <w:trHeight w:val="299"/>
        </w:trPr>
        <w:tc>
          <w:tcPr>
            <w:cnfStyle w:val="001000000000" w:firstRow="0" w:lastRow="0" w:firstColumn="1" w:lastColumn="0" w:oddVBand="0" w:evenVBand="0" w:oddHBand="0" w:evenHBand="0" w:firstRowFirstColumn="0" w:firstRowLastColumn="0" w:lastRowFirstColumn="0" w:lastRowLastColumn="0"/>
            <w:tcW w:w="669" w:type="pct"/>
            <w:tcBorders>
              <w:top w:val="single" w:sz="4" w:space="0" w:color="auto"/>
              <w:left w:val="single" w:sz="4" w:space="0" w:color="auto"/>
              <w:bottom w:val="single" w:sz="4" w:space="0" w:color="auto"/>
              <w:right w:val="single" w:sz="4" w:space="0" w:color="auto"/>
            </w:tcBorders>
            <w:hideMark/>
          </w:tcPr>
          <w:p w:rsidR="00C26645" w:rsidRPr="00E03D02" w:rsidRDefault="00C26645" w:rsidP="00FE3F3B">
            <w:pPr>
              <w:spacing w:line="276" w:lineRule="auto"/>
              <w:jc w:val="left"/>
              <w:rPr>
                <w:rFonts w:asciiTheme="majorHAnsi" w:eastAsia="Times New Roman" w:hAnsiTheme="majorHAnsi" w:cstheme="majorHAnsi"/>
                <w:sz w:val="20"/>
                <w:szCs w:val="20"/>
                <w:lang w:val="ro-MD"/>
              </w:rPr>
            </w:pPr>
            <w:r w:rsidRPr="00E03D02">
              <w:rPr>
                <w:rFonts w:asciiTheme="majorHAnsi" w:eastAsia="Times New Roman" w:hAnsiTheme="majorHAnsi" w:cstheme="majorHAnsi"/>
                <w:iCs/>
                <w:sz w:val="20"/>
                <w:szCs w:val="20"/>
                <w:lang w:val="ro-MD"/>
              </w:rPr>
              <w:t>Cheltuieli</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tcPr>
          <w:p w:rsidR="00C26645" w:rsidRPr="00E03D02" w:rsidRDefault="00C266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55.399,6</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C26645" w:rsidRPr="00E03D02" w:rsidRDefault="00C266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57.654,3</w:t>
            </w:r>
          </w:p>
        </w:tc>
        <w:tc>
          <w:tcPr>
            <w:tcW w:w="526" w:type="pct"/>
            <w:tcBorders>
              <w:top w:val="single" w:sz="4" w:space="0" w:color="auto"/>
              <w:left w:val="single" w:sz="4" w:space="0" w:color="auto"/>
              <w:bottom w:val="single" w:sz="4" w:space="0" w:color="auto"/>
              <w:right w:val="single" w:sz="4" w:space="0" w:color="auto"/>
            </w:tcBorders>
            <w:shd w:val="clear" w:color="auto" w:fill="auto"/>
            <w:vAlign w:val="bottom"/>
          </w:tcPr>
          <w:p w:rsidR="00C26645" w:rsidRPr="00E03D02" w:rsidRDefault="00C266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57.656,8</w:t>
            </w: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rsidR="00C26645" w:rsidRPr="00E03D02" w:rsidRDefault="00C266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54.116,9</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-1.282,7</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97,7</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-3.539,9</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93,9</w:t>
            </w:r>
          </w:p>
        </w:tc>
      </w:tr>
      <w:tr w:rsidR="00962E8A" w:rsidRPr="00E03D02" w:rsidTr="00962E8A">
        <w:trPr>
          <w:trHeight w:val="299"/>
        </w:trPr>
        <w:tc>
          <w:tcPr>
            <w:cnfStyle w:val="001000000000" w:firstRow="0" w:lastRow="0" w:firstColumn="1" w:lastColumn="0" w:oddVBand="0" w:evenVBand="0" w:oddHBand="0" w:evenHBand="0" w:firstRowFirstColumn="0" w:firstRowLastColumn="0" w:lastRowFirstColumn="0" w:lastRowLastColumn="0"/>
            <w:tcW w:w="669" w:type="pct"/>
            <w:tcBorders>
              <w:top w:val="single" w:sz="4" w:space="0" w:color="auto"/>
              <w:left w:val="single" w:sz="4" w:space="0" w:color="auto"/>
              <w:bottom w:val="single" w:sz="4" w:space="0" w:color="auto"/>
              <w:right w:val="single" w:sz="4" w:space="0" w:color="auto"/>
            </w:tcBorders>
            <w:hideMark/>
          </w:tcPr>
          <w:p w:rsidR="00C26645" w:rsidRPr="00E03D02" w:rsidRDefault="00C26645" w:rsidP="00FE3F3B">
            <w:pPr>
              <w:spacing w:line="276" w:lineRule="auto"/>
              <w:jc w:val="left"/>
              <w:rPr>
                <w:rFonts w:asciiTheme="majorHAnsi" w:eastAsia="Times New Roman" w:hAnsiTheme="majorHAnsi" w:cstheme="majorHAnsi"/>
                <w:sz w:val="20"/>
                <w:szCs w:val="20"/>
                <w:lang w:val="ro-MD"/>
              </w:rPr>
            </w:pPr>
            <w:r w:rsidRPr="00E03D02">
              <w:rPr>
                <w:rFonts w:asciiTheme="majorHAnsi" w:eastAsia="Times New Roman" w:hAnsiTheme="majorHAnsi" w:cstheme="majorHAnsi"/>
                <w:iCs/>
                <w:sz w:val="20"/>
                <w:szCs w:val="20"/>
                <w:lang w:val="ro-MD"/>
              </w:rPr>
              <w:t>Deficit</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tcPr>
          <w:p w:rsidR="00C26645" w:rsidRPr="00E03D02" w:rsidRDefault="00C266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-13.984,2</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tcPr>
          <w:p w:rsidR="00C26645" w:rsidRPr="00E03D02" w:rsidRDefault="00C266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-11.791,9</w:t>
            </w:r>
          </w:p>
        </w:tc>
        <w:tc>
          <w:tcPr>
            <w:tcW w:w="526" w:type="pct"/>
            <w:tcBorders>
              <w:top w:val="single" w:sz="4" w:space="0" w:color="auto"/>
              <w:left w:val="single" w:sz="4" w:space="0" w:color="auto"/>
              <w:bottom w:val="single" w:sz="4" w:space="0" w:color="auto"/>
              <w:right w:val="single" w:sz="4" w:space="0" w:color="auto"/>
            </w:tcBorders>
            <w:shd w:val="clear" w:color="auto" w:fill="auto"/>
            <w:vAlign w:val="bottom"/>
          </w:tcPr>
          <w:p w:rsidR="00C26645" w:rsidRPr="00E03D02" w:rsidRDefault="00C266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-11.791,9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rsidR="00C26645" w:rsidRPr="00E03D02" w:rsidRDefault="00C26645">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-4.733,1</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9.251,1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33,8</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7.058,9</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C26645" w:rsidRPr="00E03D02" w:rsidRDefault="00C2664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E03D02">
              <w:rPr>
                <w:rFonts w:asciiTheme="majorHAnsi" w:hAnsiTheme="majorHAnsi" w:cstheme="majorHAnsi"/>
                <w:color w:val="000000"/>
                <w:sz w:val="20"/>
                <w:szCs w:val="20"/>
                <w:lang w:val="ro-MD"/>
              </w:rPr>
              <w:t>40,1</w:t>
            </w:r>
          </w:p>
        </w:tc>
      </w:tr>
    </w:tbl>
    <w:p w:rsidR="00E03D02" w:rsidRPr="00E03D02" w:rsidRDefault="00E03D02" w:rsidP="00E03D02">
      <w:pPr>
        <w:pStyle w:val="NoSpacing"/>
        <w:rPr>
          <w:rFonts w:asciiTheme="majorHAnsi" w:hAnsiTheme="majorHAnsi" w:cstheme="majorHAnsi"/>
          <w:sz w:val="16"/>
          <w:szCs w:val="16"/>
          <w:lang w:val="ro-MD"/>
        </w:rPr>
      </w:pPr>
      <w:r w:rsidRPr="00E03D02">
        <w:rPr>
          <w:rFonts w:asciiTheme="majorHAnsi" w:hAnsiTheme="majorHAnsi" w:cstheme="majorHAnsi"/>
          <w:b/>
          <w:sz w:val="16"/>
          <w:szCs w:val="16"/>
          <w:lang w:val="ro-MD"/>
        </w:rPr>
        <w:t>Sursă:</w:t>
      </w:r>
      <w:r w:rsidRPr="00E03D02">
        <w:rPr>
          <w:rFonts w:asciiTheme="majorHAnsi" w:hAnsiTheme="majorHAnsi" w:cstheme="majorHAnsi"/>
          <w:sz w:val="16"/>
          <w:szCs w:val="16"/>
          <w:lang w:val="ro-MD"/>
        </w:rPr>
        <w:t xml:space="preserve"> Date generalizate de echipa de audit din Raportul privind executarea bugetului de stat pe anul 2021.</w:t>
      </w:r>
    </w:p>
    <w:p w:rsidR="00E03D02" w:rsidRPr="00E03D02" w:rsidRDefault="00E03D02" w:rsidP="00E03D02">
      <w:pPr>
        <w:pStyle w:val="NoSpacing"/>
        <w:rPr>
          <w:rFonts w:asciiTheme="majorHAnsi" w:hAnsiTheme="majorHAnsi" w:cstheme="majorHAnsi"/>
          <w:i/>
          <w:sz w:val="16"/>
          <w:szCs w:val="16"/>
          <w:lang w:val="ro-MD"/>
        </w:rPr>
      </w:pPr>
      <w:r w:rsidRPr="00E03D02">
        <w:rPr>
          <w:rFonts w:asciiTheme="majorHAnsi" w:hAnsiTheme="majorHAnsi" w:cstheme="majorHAnsi"/>
          <w:i/>
          <w:sz w:val="16"/>
          <w:szCs w:val="16"/>
          <w:lang w:val="ro-MD"/>
        </w:rPr>
        <w:t>* Prevederi bugetare aprobate prin Legea bugetului de stat pe anul 2021.</w:t>
      </w:r>
    </w:p>
    <w:p w:rsidR="00E03D02" w:rsidRPr="006A6B75" w:rsidRDefault="00E03D02" w:rsidP="00E03D02">
      <w:pPr>
        <w:pStyle w:val="NoSpacing"/>
        <w:rPr>
          <w:rFonts w:asciiTheme="majorHAnsi" w:hAnsiTheme="majorHAnsi" w:cstheme="majorHAnsi"/>
          <w:i/>
          <w:sz w:val="16"/>
          <w:szCs w:val="16"/>
          <w:lang w:val="en-US"/>
        </w:rPr>
      </w:pPr>
    </w:p>
    <w:p w:rsidR="00C26645" w:rsidRPr="002E248E" w:rsidRDefault="00865D2D" w:rsidP="00E03D02">
      <w:pPr>
        <w:rPr>
          <w:rFonts w:asciiTheme="majorHAnsi" w:hAnsiTheme="majorHAnsi" w:cstheme="majorHAnsi"/>
          <w:i/>
          <w:sz w:val="24"/>
          <w:szCs w:val="24"/>
          <w:lang w:val="ro-MD"/>
        </w:rPr>
      </w:pPr>
      <w:r w:rsidRPr="00606103">
        <w:rPr>
          <w:rFonts w:asciiTheme="majorHAnsi" w:hAnsiTheme="majorHAnsi" w:cstheme="majorHAnsi"/>
          <w:sz w:val="24"/>
          <w:szCs w:val="24"/>
          <w:lang w:val="ro-MD"/>
        </w:rPr>
        <w:t xml:space="preserve">Astfel, </w:t>
      </w:r>
      <w:r w:rsidR="00ED647A" w:rsidRPr="00606103">
        <w:rPr>
          <w:rFonts w:asciiTheme="majorHAnsi" w:hAnsiTheme="majorHAnsi" w:cstheme="majorHAnsi"/>
          <w:sz w:val="24"/>
          <w:szCs w:val="24"/>
          <w:lang w:val="ro-MD"/>
        </w:rPr>
        <w:t>ca</w:t>
      </w:r>
      <w:r w:rsidRPr="00606103">
        <w:rPr>
          <w:rFonts w:asciiTheme="majorHAnsi" w:hAnsiTheme="majorHAnsi" w:cstheme="majorHAnsi"/>
          <w:sz w:val="24"/>
          <w:szCs w:val="24"/>
          <w:lang w:val="ro-MD"/>
        </w:rPr>
        <w:t xml:space="preserve"> rezultat</w:t>
      </w:r>
      <w:r w:rsidR="00ED647A" w:rsidRPr="00606103">
        <w:rPr>
          <w:rFonts w:asciiTheme="majorHAnsi" w:hAnsiTheme="majorHAnsi" w:cstheme="majorHAnsi"/>
          <w:sz w:val="24"/>
          <w:szCs w:val="24"/>
          <w:lang w:val="ro-MD"/>
        </w:rPr>
        <w:t xml:space="preserve"> al</w:t>
      </w:r>
      <w:r w:rsidRPr="00606103">
        <w:rPr>
          <w:rFonts w:asciiTheme="majorHAnsi" w:hAnsiTheme="majorHAnsi" w:cstheme="majorHAnsi"/>
          <w:sz w:val="24"/>
          <w:szCs w:val="24"/>
          <w:lang w:val="ro-MD"/>
        </w:rPr>
        <w:t xml:space="preserve"> exercițiului bugetar 2021, deficitul bugetar</w:t>
      </w:r>
      <w:r w:rsidR="00932DF6"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 xml:space="preserve">executat în sumă de 4 733,1 mil. lei este cu 9 251,1 mil. lei sub nivelul prevederilor bugetare aprobate și cu 7 058,9 mil. lei sub nivelul </w:t>
      </w:r>
      <w:r w:rsidRPr="005D7D4D">
        <w:rPr>
          <w:rFonts w:asciiTheme="majorHAnsi" w:hAnsiTheme="majorHAnsi" w:cstheme="majorHAnsi"/>
          <w:sz w:val="24"/>
          <w:szCs w:val="24"/>
          <w:lang w:val="ro-MD"/>
        </w:rPr>
        <w:t>prevederilor bugetare precizate definitiv.</w:t>
      </w:r>
      <w:r w:rsidR="00932DF6" w:rsidRPr="005D7D4D">
        <w:rPr>
          <w:rFonts w:asciiTheme="majorHAnsi" w:hAnsiTheme="majorHAnsi" w:cstheme="majorHAnsi"/>
          <w:sz w:val="24"/>
          <w:szCs w:val="24"/>
          <w:lang w:val="ro-MD"/>
        </w:rPr>
        <w:t xml:space="preserve"> </w:t>
      </w:r>
      <w:r w:rsidR="00932DF6" w:rsidRPr="005D7D4D">
        <w:rPr>
          <w:rFonts w:asciiTheme="majorHAnsi" w:hAnsiTheme="majorHAnsi" w:cstheme="majorHAnsi"/>
          <w:i/>
          <w:sz w:val="24"/>
          <w:szCs w:val="24"/>
          <w:lang w:val="ro-MD"/>
        </w:rPr>
        <w:t>Informații</w:t>
      </w:r>
      <w:r w:rsidR="002E248E" w:rsidRPr="005D7D4D">
        <w:rPr>
          <w:rFonts w:asciiTheme="majorHAnsi" w:hAnsiTheme="majorHAnsi" w:cstheme="majorHAnsi"/>
          <w:i/>
          <w:sz w:val="24"/>
          <w:szCs w:val="24"/>
          <w:lang w:val="ro-MD"/>
        </w:rPr>
        <w:t>le</w:t>
      </w:r>
      <w:r w:rsidR="00932DF6" w:rsidRPr="005D7D4D">
        <w:rPr>
          <w:rFonts w:asciiTheme="majorHAnsi" w:hAnsiTheme="majorHAnsi" w:cstheme="majorHAnsi"/>
          <w:i/>
          <w:sz w:val="24"/>
          <w:szCs w:val="24"/>
          <w:lang w:val="ro-MD"/>
        </w:rPr>
        <w:t xml:space="preserve"> privind e</w:t>
      </w:r>
      <w:r w:rsidR="002E248E" w:rsidRPr="005D7D4D">
        <w:rPr>
          <w:rFonts w:asciiTheme="majorHAnsi" w:hAnsiTheme="majorHAnsi" w:cstheme="majorHAnsi"/>
          <w:i/>
          <w:sz w:val="24"/>
          <w:szCs w:val="24"/>
          <w:lang w:val="ro-MD"/>
        </w:rPr>
        <w:t>xecutarea cheltuielilor bugetului</w:t>
      </w:r>
      <w:r w:rsidR="00932DF6" w:rsidRPr="005D7D4D">
        <w:rPr>
          <w:rFonts w:asciiTheme="majorHAnsi" w:hAnsiTheme="majorHAnsi" w:cstheme="majorHAnsi"/>
          <w:i/>
          <w:sz w:val="24"/>
          <w:szCs w:val="24"/>
          <w:lang w:val="ro-MD"/>
        </w:rPr>
        <w:t xml:space="preserve"> de stat sub aspectul clasif</w:t>
      </w:r>
      <w:r w:rsidR="00B51E49" w:rsidRPr="005D7D4D">
        <w:rPr>
          <w:rFonts w:asciiTheme="majorHAnsi" w:hAnsiTheme="majorHAnsi" w:cstheme="majorHAnsi"/>
          <w:i/>
          <w:sz w:val="24"/>
          <w:szCs w:val="24"/>
          <w:lang w:val="ro-MD"/>
        </w:rPr>
        <w:t>icației economice</w:t>
      </w:r>
      <w:r w:rsidR="005D7D4D" w:rsidRPr="005D7D4D">
        <w:rPr>
          <w:rFonts w:asciiTheme="majorHAnsi" w:hAnsiTheme="majorHAnsi" w:cstheme="majorHAnsi"/>
          <w:i/>
          <w:sz w:val="24"/>
          <w:szCs w:val="24"/>
          <w:lang w:val="ro-MD"/>
        </w:rPr>
        <w:t xml:space="preserve"> și</w:t>
      </w:r>
      <w:r w:rsidR="00B51E49" w:rsidRPr="005D7D4D">
        <w:rPr>
          <w:rFonts w:asciiTheme="majorHAnsi" w:hAnsiTheme="majorHAnsi" w:cstheme="majorHAnsi"/>
          <w:i/>
          <w:sz w:val="24"/>
          <w:szCs w:val="24"/>
          <w:lang w:val="ro-MD"/>
        </w:rPr>
        <w:t xml:space="preserve"> </w:t>
      </w:r>
      <w:r w:rsidR="002E248E" w:rsidRPr="005D7D4D">
        <w:rPr>
          <w:rFonts w:asciiTheme="majorHAnsi" w:hAnsiTheme="majorHAnsi" w:cstheme="majorHAnsi"/>
          <w:i/>
          <w:sz w:val="24"/>
          <w:szCs w:val="24"/>
          <w:lang w:val="ro-MD"/>
        </w:rPr>
        <w:t xml:space="preserve">sub aspectul clasificației funcționale </w:t>
      </w:r>
      <w:r w:rsidR="00B51E49" w:rsidRPr="005D7D4D">
        <w:rPr>
          <w:rFonts w:asciiTheme="majorHAnsi" w:hAnsiTheme="majorHAnsi" w:cstheme="majorHAnsi"/>
          <w:i/>
          <w:sz w:val="24"/>
          <w:szCs w:val="24"/>
          <w:lang w:val="ro-MD"/>
        </w:rPr>
        <w:t>se prezintă în Anexa nr.12</w:t>
      </w:r>
      <w:r w:rsidR="005D7D4D">
        <w:rPr>
          <w:rFonts w:asciiTheme="majorHAnsi" w:hAnsiTheme="majorHAnsi" w:cstheme="majorHAnsi"/>
          <w:i/>
          <w:sz w:val="24"/>
          <w:szCs w:val="24"/>
          <w:lang w:val="ro-MD"/>
        </w:rPr>
        <w:t xml:space="preserve"> </w:t>
      </w:r>
      <w:r w:rsidR="002E248E" w:rsidRPr="005D7D4D">
        <w:rPr>
          <w:rFonts w:asciiTheme="majorHAnsi" w:hAnsiTheme="majorHAnsi" w:cstheme="majorHAnsi"/>
          <w:i/>
          <w:sz w:val="24"/>
          <w:szCs w:val="24"/>
          <w:lang w:val="ro-MD"/>
        </w:rPr>
        <w:t xml:space="preserve"> și</w:t>
      </w:r>
      <w:r w:rsidR="005D7D4D">
        <w:rPr>
          <w:rFonts w:asciiTheme="majorHAnsi" w:hAnsiTheme="majorHAnsi" w:cstheme="majorHAnsi"/>
          <w:i/>
          <w:sz w:val="24"/>
          <w:szCs w:val="24"/>
          <w:lang w:val="ro-MD"/>
        </w:rPr>
        <w:t>,</w:t>
      </w:r>
      <w:r w:rsidR="002E248E" w:rsidRPr="005D7D4D">
        <w:rPr>
          <w:rFonts w:asciiTheme="majorHAnsi" w:hAnsiTheme="majorHAnsi" w:cstheme="majorHAnsi"/>
          <w:i/>
          <w:sz w:val="24"/>
          <w:szCs w:val="24"/>
          <w:lang w:val="ro-MD"/>
        </w:rPr>
        <w:t xml:space="preserve"> respectiv în Anexa nr.13 </w:t>
      </w:r>
      <w:r w:rsidR="00B51E49" w:rsidRPr="005D7D4D">
        <w:rPr>
          <w:rFonts w:asciiTheme="majorHAnsi" w:hAnsiTheme="majorHAnsi" w:cstheme="majorHAnsi"/>
          <w:i/>
          <w:sz w:val="24"/>
          <w:szCs w:val="24"/>
          <w:lang w:val="ro-MD"/>
        </w:rPr>
        <w:t>la prezentul Raport de audit.</w:t>
      </w:r>
    </w:p>
    <w:p w:rsidR="00090BB7" w:rsidRPr="00606103" w:rsidRDefault="00C26645" w:rsidP="003C4E55">
      <w:pPr>
        <w:rPr>
          <w:rFonts w:asciiTheme="majorHAnsi" w:eastAsia="Times New Roman" w:hAnsiTheme="majorHAnsi" w:cstheme="majorHAnsi"/>
          <w:sz w:val="24"/>
          <w:szCs w:val="24"/>
          <w:lang w:val="ro-MD"/>
        </w:rPr>
      </w:pPr>
      <w:r w:rsidRPr="00606103">
        <w:rPr>
          <w:rFonts w:asciiTheme="majorHAnsi" w:eastAsia="Times New Roman" w:hAnsiTheme="majorHAnsi" w:cstheme="majorHAnsi"/>
          <w:sz w:val="24"/>
          <w:szCs w:val="24"/>
          <w:lang w:val="ro-MD"/>
        </w:rPr>
        <w:t xml:space="preserve">MF anual întocmește și plasează pe pagina </w:t>
      </w:r>
      <w:r w:rsidR="00ED647A" w:rsidRPr="00606103">
        <w:rPr>
          <w:rFonts w:asciiTheme="majorHAnsi" w:eastAsia="Times New Roman" w:hAnsiTheme="majorHAnsi" w:cstheme="majorHAnsi"/>
          <w:sz w:val="24"/>
          <w:szCs w:val="24"/>
          <w:lang w:val="ro-MD"/>
        </w:rPr>
        <w:t xml:space="preserve">sa </w:t>
      </w:r>
      <w:r w:rsidRPr="00606103">
        <w:rPr>
          <w:rFonts w:asciiTheme="majorHAnsi" w:eastAsia="Times New Roman" w:hAnsiTheme="majorHAnsi" w:cstheme="majorHAnsi"/>
          <w:sz w:val="24"/>
          <w:szCs w:val="24"/>
          <w:lang w:val="ro-MD"/>
        </w:rPr>
        <w:t xml:space="preserve">oficială Bilanțul contabil consolidat </w:t>
      </w:r>
      <w:r w:rsidR="00ED647A" w:rsidRPr="00606103">
        <w:rPr>
          <w:rFonts w:asciiTheme="majorHAnsi" w:eastAsia="Times New Roman" w:hAnsiTheme="majorHAnsi" w:cstheme="majorHAnsi"/>
          <w:sz w:val="24"/>
          <w:szCs w:val="24"/>
          <w:lang w:val="ro-MD"/>
        </w:rPr>
        <w:t xml:space="preserve">central </w:t>
      </w:r>
      <w:r w:rsidRPr="00606103">
        <w:rPr>
          <w:rFonts w:asciiTheme="majorHAnsi" w:eastAsia="Times New Roman" w:hAnsiTheme="majorHAnsi" w:cstheme="majorHAnsi"/>
          <w:sz w:val="24"/>
          <w:szCs w:val="24"/>
          <w:lang w:val="ro-MD"/>
        </w:rPr>
        <w:t xml:space="preserve">al Guvernului, care include bilanțul contabil consolidat al APC, CNAS și CNAM. Trezoreria de Stat şi trezoreriile regionale ale MF asigură evidența contabilă a executării de casă a mijloacelor BPN. </w:t>
      </w:r>
      <w:r w:rsidR="0015656B" w:rsidRPr="00606103">
        <w:rPr>
          <w:rFonts w:asciiTheme="majorHAnsi" w:hAnsiTheme="majorHAnsi" w:cstheme="majorHAnsi"/>
          <w:sz w:val="24"/>
          <w:szCs w:val="24"/>
          <w:lang w:val="ro-MD"/>
        </w:rPr>
        <w:t>Componentele BPN cuprind BS</w:t>
      </w:r>
      <w:r w:rsidR="0015656B" w:rsidRPr="00606103">
        <w:rPr>
          <w:rFonts w:asciiTheme="majorHAnsi" w:hAnsiTheme="majorHAnsi" w:cstheme="majorHAnsi"/>
          <w:sz w:val="24"/>
          <w:szCs w:val="24"/>
          <w:vertAlign w:val="superscript"/>
          <w:lang w:val="ro-MD"/>
        </w:rPr>
        <w:footnoteReference w:id="125"/>
      </w:r>
      <w:r w:rsidR="0015656B" w:rsidRPr="00606103">
        <w:rPr>
          <w:rFonts w:asciiTheme="majorHAnsi" w:hAnsiTheme="majorHAnsi" w:cstheme="majorHAnsi"/>
          <w:sz w:val="24"/>
          <w:szCs w:val="24"/>
          <w:lang w:val="ro-MD"/>
        </w:rPr>
        <w:t>, BASS, FAOAM și BL, din care bugetul consolidat central se formează din BS, BASS și FAOAM, iar bugetele locale de nivelul întâi și de nivelul al doilea formează în ansamblu bugetul consolidat local</w:t>
      </w:r>
      <w:r w:rsidR="0015656B" w:rsidRPr="00606103">
        <w:rPr>
          <w:rFonts w:asciiTheme="majorHAnsi" w:hAnsiTheme="majorHAnsi" w:cstheme="majorHAnsi"/>
          <w:sz w:val="24"/>
          <w:szCs w:val="24"/>
          <w:vertAlign w:val="superscript"/>
          <w:lang w:val="ro-MD"/>
        </w:rPr>
        <w:footnoteReference w:id="126"/>
      </w:r>
      <w:r w:rsidR="0015656B" w:rsidRPr="00606103">
        <w:rPr>
          <w:rFonts w:asciiTheme="majorHAnsi" w:hAnsiTheme="majorHAnsi" w:cstheme="majorHAnsi"/>
          <w:sz w:val="24"/>
          <w:szCs w:val="24"/>
          <w:lang w:val="ro-MD"/>
        </w:rPr>
        <w:t>.</w:t>
      </w:r>
    </w:p>
    <w:p w:rsidR="00C26645" w:rsidRPr="00606103" w:rsidRDefault="00C26645" w:rsidP="003C4E55">
      <w:pPr>
        <w:rPr>
          <w:rFonts w:asciiTheme="majorHAnsi" w:eastAsia="Times New Roman" w:hAnsiTheme="majorHAnsi" w:cstheme="majorHAnsi"/>
          <w:color w:val="000000"/>
          <w:spacing w:val="-1"/>
          <w:sz w:val="24"/>
          <w:szCs w:val="24"/>
          <w:lang w:val="ro-MD" w:eastAsia="ru-RU"/>
        </w:rPr>
      </w:pPr>
      <w:r w:rsidRPr="00606103">
        <w:rPr>
          <w:rFonts w:asciiTheme="majorHAnsi" w:hAnsiTheme="majorHAnsi" w:cstheme="majorHAnsi"/>
          <w:sz w:val="24"/>
          <w:szCs w:val="24"/>
          <w:lang w:val="ro-MD"/>
        </w:rPr>
        <w:t>Potrivit Raportului privind executarea bugetului public național pe anul 2021</w:t>
      </w:r>
      <w:r w:rsidRPr="00606103">
        <w:rPr>
          <w:rFonts w:asciiTheme="majorHAnsi" w:hAnsiTheme="majorHAnsi" w:cstheme="majorHAnsi"/>
          <w:sz w:val="24"/>
          <w:szCs w:val="24"/>
          <w:vertAlign w:val="superscript"/>
          <w:lang w:val="ro-MD"/>
        </w:rPr>
        <w:footnoteReference w:id="127"/>
      </w:r>
      <w:r w:rsidRPr="00606103">
        <w:rPr>
          <w:rFonts w:asciiTheme="majorHAnsi" w:hAnsiTheme="majorHAnsi" w:cstheme="majorHAnsi"/>
          <w:sz w:val="24"/>
          <w:szCs w:val="24"/>
          <w:lang w:val="ro-MD"/>
        </w:rPr>
        <w:t>, au fost încasate ven</w:t>
      </w:r>
      <w:r w:rsidR="009208D2" w:rsidRPr="00606103">
        <w:rPr>
          <w:rFonts w:asciiTheme="majorHAnsi" w:hAnsiTheme="majorHAnsi" w:cstheme="majorHAnsi"/>
          <w:sz w:val="24"/>
          <w:szCs w:val="24"/>
          <w:lang w:val="ro-MD"/>
        </w:rPr>
        <w:t>ituri în sumă totală de 77 373,0</w:t>
      </w:r>
      <w:r w:rsidRPr="00606103">
        <w:rPr>
          <w:rFonts w:asciiTheme="majorHAnsi" w:hAnsiTheme="majorHAnsi" w:cstheme="majorHAnsi"/>
          <w:sz w:val="24"/>
          <w:szCs w:val="24"/>
          <w:lang w:val="ro-MD"/>
        </w:rPr>
        <w:t xml:space="preserve"> mil. lei, ceea ce reprezin</w:t>
      </w:r>
      <w:r w:rsidR="009208D2" w:rsidRPr="00606103">
        <w:rPr>
          <w:rFonts w:asciiTheme="majorHAnsi" w:hAnsiTheme="majorHAnsi" w:cstheme="majorHAnsi"/>
          <w:sz w:val="24"/>
          <w:szCs w:val="24"/>
          <w:lang w:val="ro-MD"/>
        </w:rPr>
        <w:t>tă 32</w:t>
      </w:r>
      <w:r w:rsidR="003862C0" w:rsidRPr="00606103">
        <w:rPr>
          <w:rFonts w:asciiTheme="majorHAnsi" w:hAnsiTheme="majorHAnsi" w:cstheme="majorHAnsi"/>
          <w:sz w:val="24"/>
          <w:szCs w:val="24"/>
          <w:lang w:val="ro-MD"/>
        </w:rPr>
        <w:t>,0</w:t>
      </w:r>
      <w:r w:rsidRPr="00606103">
        <w:rPr>
          <w:rFonts w:asciiTheme="majorHAnsi" w:hAnsiTheme="majorHAnsi" w:cstheme="majorHAnsi"/>
          <w:sz w:val="24"/>
          <w:szCs w:val="24"/>
          <w:lang w:val="ro-MD"/>
        </w:rPr>
        <w:t xml:space="preserve">% din PIB. Veniturile BPN, în comparație cu indicatorii precizați, </w:t>
      </w:r>
      <w:r w:rsidR="003862C0" w:rsidRPr="00606103">
        <w:rPr>
          <w:rFonts w:asciiTheme="majorHAnsi" w:hAnsiTheme="majorHAnsi" w:cstheme="majorHAnsi"/>
          <w:sz w:val="24"/>
          <w:szCs w:val="24"/>
          <w:lang w:val="ro-MD"/>
        </w:rPr>
        <w:t xml:space="preserve">au înregistrat o creștere cu 5,6%, echivalentă cu 4 109,6 </w:t>
      </w:r>
      <w:r w:rsidRPr="00606103">
        <w:rPr>
          <w:rFonts w:asciiTheme="majorHAnsi" w:hAnsiTheme="majorHAnsi" w:cstheme="majorHAnsi"/>
          <w:sz w:val="24"/>
          <w:szCs w:val="24"/>
          <w:lang w:val="ro-MD"/>
        </w:rPr>
        <w:t>mil. lei. T</w:t>
      </w:r>
      <w:r w:rsidR="003862C0" w:rsidRPr="00606103">
        <w:rPr>
          <w:rFonts w:asciiTheme="majorHAnsi" w:hAnsiTheme="majorHAnsi" w:cstheme="majorHAnsi"/>
          <w:sz w:val="24"/>
          <w:szCs w:val="24"/>
          <w:lang w:val="ro-MD"/>
        </w:rPr>
        <w:t>otodată, comparativ cu anul 2020</w:t>
      </w:r>
      <w:r w:rsidRPr="00606103">
        <w:rPr>
          <w:rFonts w:asciiTheme="majorHAnsi" w:hAnsiTheme="majorHAnsi" w:cstheme="majorHAnsi"/>
          <w:sz w:val="24"/>
          <w:szCs w:val="24"/>
          <w:lang w:val="ro-MD"/>
        </w:rPr>
        <w:t>, venituril</w:t>
      </w:r>
      <w:r w:rsidR="003862C0" w:rsidRPr="00606103">
        <w:rPr>
          <w:rFonts w:asciiTheme="majorHAnsi" w:hAnsiTheme="majorHAnsi" w:cstheme="majorHAnsi"/>
          <w:sz w:val="24"/>
          <w:szCs w:val="24"/>
          <w:lang w:val="ro-MD"/>
        </w:rPr>
        <w:t>e încasate în BPN au fost în creștere cu 23,5%, sau cu</w:t>
      </w:r>
      <w:r w:rsidR="00DA78C6">
        <w:rPr>
          <w:rFonts w:asciiTheme="majorHAnsi" w:hAnsiTheme="majorHAnsi" w:cstheme="majorHAnsi"/>
          <w:sz w:val="24"/>
          <w:szCs w:val="24"/>
          <w:lang w:val="ro-MD"/>
        </w:rPr>
        <w:t xml:space="preserve">    </w:t>
      </w:r>
      <w:r w:rsidR="003862C0" w:rsidRPr="00606103">
        <w:rPr>
          <w:rFonts w:asciiTheme="majorHAnsi" w:hAnsiTheme="majorHAnsi" w:cstheme="majorHAnsi"/>
          <w:sz w:val="24"/>
          <w:szCs w:val="24"/>
          <w:lang w:val="ro-MD"/>
        </w:rPr>
        <w:t xml:space="preserve"> 14 723,0</w:t>
      </w:r>
      <w:r w:rsidRPr="00606103">
        <w:rPr>
          <w:rFonts w:asciiTheme="majorHAnsi" w:hAnsiTheme="majorHAnsi" w:cstheme="majorHAnsi"/>
          <w:sz w:val="24"/>
          <w:szCs w:val="24"/>
          <w:lang w:val="ro-MD"/>
        </w:rPr>
        <w:t xml:space="preserve"> mil. lei.</w:t>
      </w:r>
      <w:r w:rsidRPr="00606103">
        <w:rPr>
          <w:rFonts w:asciiTheme="majorHAnsi" w:eastAsia="Times New Roman" w:hAnsiTheme="majorHAnsi" w:cstheme="majorHAnsi"/>
          <w:color w:val="000000"/>
          <w:spacing w:val="-1"/>
          <w:sz w:val="24"/>
          <w:szCs w:val="24"/>
          <w:lang w:val="ro-MD" w:eastAsia="ru-RU"/>
        </w:rPr>
        <w:t xml:space="preserve"> Exe</w:t>
      </w:r>
      <w:r w:rsidR="003862C0" w:rsidRPr="00606103">
        <w:rPr>
          <w:rFonts w:asciiTheme="majorHAnsi" w:eastAsia="Times New Roman" w:hAnsiTheme="majorHAnsi" w:cstheme="majorHAnsi"/>
          <w:color w:val="000000"/>
          <w:spacing w:val="-1"/>
          <w:sz w:val="24"/>
          <w:szCs w:val="24"/>
          <w:lang w:val="ro-MD" w:eastAsia="ru-RU"/>
        </w:rPr>
        <w:t>rcițiul bugetar pentru anul 2021</w:t>
      </w:r>
      <w:r w:rsidRPr="00606103">
        <w:rPr>
          <w:rFonts w:asciiTheme="majorHAnsi" w:eastAsia="Times New Roman" w:hAnsiTheme="majorHAnsi" w:cstheme="majorHAnsi"/>
          <w:color w:val="000000"/>
          <w:spacing w:val="-1"/>
          <w:sz w:val="24"/>
          <w:szCs w:val="24"/>
          <w:lang w:val="ro-MD" w:eastAsia="ru-RU"/>
        </w:rPr>
        <w:t xml:space="preserve"> s-a încheiat cu un sold b</w:t>
      </w:r>
      <w:r w:rsidR="00301268" w:rsidRPr="00606103">
        <w:rPr>
          <w:rFonts w:asciiTheme="majorHAnsi" w:eastAsia="Times New Roman" w:hAnsiTheme="majorHAnsi" w:cstheme="majorHAnsi"/>
          <w:color w:val="000000"/>
          <w:spacing w:val="-1"/>
          <w:sz w:val="24"/>
          <w:szCs w:val="24"/>
          <w:lang w:val="ro-MD" w:eastAsia="ru-RU"/>
        </w:rPr>
        <w:t>ugetar (deficit) la nivel de 1,9% din PIB, față de 5,1% în anul 2020</w:t>
      </w:r>
      <w:r w:rsidR="002E248E">
        <w:rPr>
          <w:rFonts w:asciiTheme="majorHAnsi" w:eastAsia="Times New Roman" w:hAnsiTheme="majorHAnsi" w:cstheme="majorHAnsi"/>
          <w:color w:val="000000"/>
          <w:spacing w:val="-1"/>
          <w:sz w:val="24"/>
          <w:szCs w:val="24"/>
          <w:lang w:val="ro-MD" w:eastAsia="ru-RU"/>
        </w:rPr>
        <w:t>, r</w:t>
      </w:r>
      <w:r w:rsidRPr="00606103">
        <w:rPr>
          <w:rFonts w:asciiTheme="majorHAnsi" w:hAnsiTheme="majorHAnsi" w:cstheme="majorHAnsi"/>
          <w:sz w:val="24"/>
          <w:szCs w:val="24"/>
          <w:lang w:val="ro-MD"/>
        </w:rPr>
        <w:t xml:space="preserve">egula fiscală generală, stabilită în art.15 alin.(1) din </w:t>
      </w:r>
      <w:r w:rsidR="002E248E">
        <w:rPr>
          <w:rFonts w:asciiTheme="majorHAnsi" w:hAnsiTheme="majorHAnsi" w:cstheme="majorHAnsi"/>
          <w:sz w:val="24"/>
          <w:szCs w:val="24"/>
          <w:lang w:val="ro-MD"/>
        </w:rPr>
        <w:t xml:space="preserve">Legea nr.181, fiind </w:t>
      </w:r>
      <w:r w:rsidR="00337FE5" w:rsidRPr="00606103">
        <w:rPr>
          <w:rFonts w:asciiTheme="majorHAnsi" w:hAnsiTheme="majorHAnsi" w:cstheme="majorHAnsi"/>
          <w:sz w:val="24"/>
          <w:szCs w:val="24"/>
          <w:lang w:val="ro-MD"/>
        </w:rPr>
        <w:t xml:space="preserve">respectată. </w:t>
      </w:r>
      <w:r w:rsidRPr="00606103">
        <w:rPr>
          <w:rFonts w:asciiTheme="majorHAnsi" w:eastAsia="Times New Roman" w:hAnsiTheme="majorHAnsi" w:cstheme="majorHAnsi"/>
          <w:i/>
          <w:color w:val="000000"/>
          <w:spacing w:val="-1"/>
          <w:sz w:val="24"/>
          <w:szCs w:val="24"/>
          <w:lang w:val="ro-MD" w:eastAsia="ru-RU"/>
        </w:rPr>
        <w:t>Executarea principalilo</w:t>
      </w:r>
      <w:r w:rsidR="00337FE5" w:rsidRPr="00606103">
        <w:rPr>
          <w:rFonts w:asciiTheme="majorHAnsi" w:eastAsia="Times New Roman" w:hAnsiTheme="majorHAnsi" w:cstheme="majorHAnsi"/>
          <w:i/>
          <w:color w:val="000000"/>
          <w:spacing w:val="-1"/>
          <w:sz w:val="24"/>
          <w:szCs w:val="24"/>
          <w:lang w:val="ro-MD" w:eastAsia="ru-RU"/>
        </w:rPr>
        <w:t>r indicatori ai BPN pe anul 2021</w:t>
      </w:r>
      <w:r w:rsidR="00932DF6" w:rsidRPr="00606103">
        <w:rPr>
          <w:rFonts w:asciiTheme="majorHAnsi" w:eastAsia="Times New Roman" w:hAnsiTheme="majorHAnsi" w:cstheme="majorHAnsi"/>
          <w:i/>
          <w:color w:val="000000"/>
          <w:spacing w:val="-1"/>
          <w:sz w:val="24"/>
          <w:szCs w:val="24"/>
          <w:lang w:val="ro-MD" w:eastAsia="ru-RU"/>
        </w:rPr>
        <w:t>, comparativ cu anul 2020, și ponderea acestora în PIB</w:t>
      </w:r>
      <w:r w:rsidRPr="00606103">
        <w:rPr>
          <w:rFonts w:asciiTheme="majorHAnsi" w:eastAsia="Times New Roman" w:hAnsiTheme="majorHAnsi" w:cstheme="majorHAnsi"/>
          <w:i/>
          <w:color w:val="000000"/>
          <w:spacing w:val="-1"/>
          <w:sz w:val="24"/>
          <w:szCs w:val="24"/>
          <w:lang w:val="ro-MD" w:eastAsia="ru-RU"/>
        </w:rPr>
        <w:t xml:space="preserve"> se prezintă în Anexa nr.1</w:t>
      </w:r>
      <w:r w:rsidR="00B51E49" w:rsidRPr="00606103">
        <w:rPr>
          <w:rFonts w:asciiTheme="majorHAnsi" w:eastAsia="Times New Roman" w:hAnsiTheme="majorHAnsi" w:cstheme="majorHAnsi"/>
          <w:i/>
          <w:color w:val="000000"/>
          <w:spacing w:val="-1"/>
          <w:sz w:val="24"/>
          <w:szCs w:val="24"/>
          <w:lang w:val="ro-MD" w:eastAsia="ru-RU"/>
        </w:rPr>
        <w:t>4</w:t>
      </w:r>
      <w:r w:rsidRPr="00606103">
        <w:rPr>
          <w:rFonts w:asciiTheme="majorHAnsi" w:eastAsia="Times New Roman" w:hAnsiTheme="majorHAnsi" w:cstheme="majorHAnsi"/>
          <w:i/>
          <w:color w:val="000000"/>
          <w:spacing w:val="-1"/>
          <w:sz w:val="24"/>
          <w:szCs w:val="24"/>
          <w:lang w:val="ro-MD" w:eastAsia="ru-RU"/>
        </w:rPr>
        <w:t xml:space="preserve"> la prezentul Raport de audit.</w:t>
      </w:r>
    </w:p>
    <w:p w:rsidR="00554FDA" w:rsidRPr="00606103" w:rsidRDefault="00554FDA">
      <w:pPr>
        <w:spacing w:after="0" w:line="276" w:lineRule="auto"/>
        <w:rPr>
          <w:rFonts w:asciiTheme="majorHAnsi" w:hAnsiTheme="majorHAnsi" w:cstheme="majorHAnsi"/>
          <w:sz w:val="24"/>
          <w:szCs w:val="24"/>
          <w:lang w:val="ro-MD"/>
        </w:rPr>
      </w:pPr>
    </w:p>
    <w:p w:rsidR="00C26645" w:rsidRPr="00606103" w:rsidRDefault="00C26645" w:rsidP="00552746">
      <w:pPr>
        <w:pStyle w:val="ListParagraph"/>
        <w:numPr>
          <w:ilvl w:val="0"/>
          <w:numId w:val="7"/>
        </w:numPr>
        <w:tabs>
          <w:tab w:val="left" w:pos="284"/>
        </w:tabs>
        <w:spacing w:after="0" w:line="276" w:lineRule="auto"/>
        <w:ind w:left="0" w:firstLine="0"/>
        <w:jc w:val="left"/>
        <w:outlineLvl w:val="0"/>
        <w:rPr>
          <w:rFonts w:asciiTheme="majorHAnsi" w:hAnsiTheme="majorHAnsi" w:cstheme="majorHAnsi"/>
          <w:b/>
          <w:szCs w:val="28"/>
          <w:lang w:val="ro-MD"/>
        </w:rPr>
      </w:pPr>
      <w:r w:rsidRPr="00606103">
        <w:rPr>
          <w:rFonts w:asciiTheme="majorHAnsi" w:hAnsiTheme="majorHAnsi" w:cstheme="majorHAnsi"/>
          <w:b/>
          <w:szCs w:val="28"/>
          <w:lang w:val="ro-MD"/>
        </w:rPr>
        <w:t>RECOMANDĂRI MINISTERULUI FINANȚELOR</w:t>
      </w:r>
    </w:p>
    <w:p w:rsidR="00FC0277" w:rsidRPr="00606103" w:rsidRDefault="00D30ECF" w:rsidP="00B80331">
      <w:pPr>
        <w:pStyle w:val="ListParagraph"/>
        <w:numPr>
          <w:ilvl w:val="0"/>
          <w:numId w:val="52"/>
        </w:numPr>
        <w:tabs>
          <w:tab w:val="left" w:pos="284"/>
        </w:tabs>
        <w:spacing w:after="0" w:line="276" w:lineRule="auto"/>
        <w:ind w:left="0" w:firstLine="0"/>
        <w:rPr>
          <w:rFonts w:ascii="Calibri Light" w:eastAsia="Calibri" w:hAnsi="Calibri Light" w:cs="Calibri Light"/>
          <w:sz w:val="24"/>
          <w:szCs w:val="24"/>
          <w:lang w:val="ro-MD"/>
        </w:rPr>
      </w:pPr>
      <w:r w:rsidRPr="00606103">
        <w:rPr>
          <w:rFonts w:asciiTheme="majorHAnsi" w:hAnsiTheme="majorHAnsi" w:cstheme="majorHAnsi"/>
          <w:sz w:val="24"/>
          <w:szCs w:val="24"/>
          <w:lang w:val="ro-MD"/>
        </w:rPr>
        <w:t>Examinarea</w:t>
      </w:r>
      <w:r w:rsidR="00FC0277" w:rsidRPr="00606103">
        <w:rPr>
          <w:rFonts w:asciiTheme="majorHAnsi" w:hAnsiTheme="majorHAnsi" w:cstheme="majorHAnsi"/>
          <w:sz w:val="24"/>
          <w:szCs w:val="24"/>
          <w:lang w:val="ro-MD"/>
        </w:rPr>
        <w:t xml:space="preserve"> oportunităților de dezvoltare continuă și durabilă prin prisma elaborării noii strategii pe termen mediu în domeniul managementului finanțelor publice, inclusiv cu determinarea necesităților de implementare a sistemul de evidență pe baza de angajamente</w:t>
      </w:r>
      <w:r w:rsidR="00B51E49" w:rsidRPr="00606103">
        <w:rPr>
          <w:rFonts w:asciiTheme="majorHAnsi" w:hAnsiTheme="majorHAnsi" w:cstheme="majorHAnsi"/>
          <w:sz w:val="24"/>
          <w:szCs w:val="24"/>
          <w:lang w:val="ro-MD"/>
        </w:rPr>
        <w:t xml:space="preserve"> în sectorul public</w:t>
      </w:r>
      <w:r w:rsidR="00FC0277" w:rsidRPr="00606103">
        <w:rPr>
          <w:rFonts w:asciiTheme="majorHAnsi" w:hAnsiTheme="majorHAnsi" w:cstheme="majorHAnsi"/>
          <w:sz w:val="24"/>
          <w:szCs w:val="24"/>
          <w:lang w:val="ro-MD"/>
        </w:rPr>
        <w:t>.</w:t>
      </w:r>
      <w:r w:rsidR="00B80331" w:rsidRPr="00606103">
        <w:rPr>
          <w:rFonts w:ascii="Calibri Light" w:eastAsia="Calibri" w:hAnsi="Calibri Light" w:cs="Calibri Light"/>
          <w:b/>
          <w:sz w:val="24"/>
          <w:szCs w:val="24"/>
          <w:lang w:val="ro-MD"/>
        </w:rPr>
        <w:t xml:space="preserve"> (Secțiunea III, pct. 3.1)</w:t>
      </w:r>
    </w:p>
    <w:p w:rsidR="004D713A" w:rsidRPr="00606103" w:rsidRDefault="004D713A" w:rsidP="00B80331">
      <w:pPr>
        <w:pStyle w:val="ListParagraph"/>
        <w:numPr>
          <w:ilvl w:val="0"/>
          <w:numId w:val="52"/>
        </w:numPr>
        <w:tabs>
          <w:tab w:val="left" w:pos="284"/>
        </w:tabs>
        <w:spacing w:after="0" w:line="276" w:lineRule="auto"/>
        <w:ind w:left="0" w:firstLine="0"/>
        <w:rPr>
          <w:rFonts w:ascii="Calibri Light" w:eastAsia="Calibri" w:hAnsi="Calibri Light" w:cs="Calibri Light"/>
          <w:sz w:val="24"/>
          <w:szCs w:val="24"/>
          <w:lang w:val="ro-MD"/>
        </w:rPr>
      </w:pPr>
      <w:r w:rsidRPr="00606103">
        <w:rPr>
          <w:rFonts w:asciiTheme="majorHAnsi" w:hAnsiTheme="majorHAnsi" w:cstheme="majorHAnsi"/>
          <w:sz w:val="24"/>
          <w:szCs w:val="24"/>
          <w:lang w:val="ro-MD"/>
        </w:rPr>
        <w:t>Reglementarea exhaustivă</w:t>
      </w:r>
      <w:r w:rsidR="009D62FD" w:rsidRPr="00606103">
        <w:rPr>
          <w:rFonts w:asciiTheme="majorHAnsi" w:hAnsiTheme="majorHAnsi" w:cstheme="majorHAnsi"/>
          <w:sz w:val="24"/>
          <w:szCs w:val="24"/>
          <w:lang w:val="ro-MD"/>
        </w:rPr>
        <w:t xml:space="preserve"> și uniformizarea</w:t>
      </w:r>
      <w:r w:rsidR="00526A7D" w:rsidRPr="00606103">
        <w:rPr>
          <w:rFonts w:asciiTheme="majorHAnsi" w:hAnsiTheme="majorHAnsi" w:cstheme="majorHAnsi"/>
          <w:sz w:val="24"/>
          <w:szCs w:val="24"/>
          <w:lang w:val="ro-MD"/>
        </w:rPr>
        <w:t>,</w:t>
      </w:r>
      <w:r w:rsidR="009D62FD" w:rsidRPr="00606103">
        <w:rPr>
          <w:rFonts w:asciiTheme="majorHAnsi" w:hAnsiTheme="majorHAnsi" w:cstheme="majorHAnsi"/>
          <w:sz w:val="24"/>
          <w:szCs w:val="24"/>
          <w:lang w:val="ro-MD"/>
        </w:rPr>
        <w:t xml:space="preserve"> pentru</w:t>
      </w:r>
      <w:r w:rsidRPr="00606103">
        <w:rPr>
          <w:rFonts w:asciiTheme="majorHAnsi" w:hAnsiTheme="majorHAnsi" w:cstheme="majorHAnsi"/>
          <w:sz w:val="24"/>
          <w:szCs w:val="24"/>
          <w:lang w:val="ro-MD"/>
        </w:rPr>
        <w:t xml:space="preserve"> administratorii de venit</w:t>
      </w:r>
      <w:r w:rsidR="000A1FE5" w:rsidRPr="00606103">
        <w:rPr>
          <w:rFonts w:asciiTheme="majorHAnsi" w:hAnsiTheme="majorHAnsi" w:cstheme="majorHAnsi"/>
          <w:sz w:val="24"/>
          <w:szCs w:val="24"/>
          <w:lang w:val="ro-MD"/>
        </w:rPr>
        <w:t>uri</w:t>
      </w:r>
      <w:r w:rsidR="00526A7D" w:rsidRPr="00606103">
        <w:rPr>
          <w:rFonts w:asciiTheme="majorHAnsi" w:hAnsiTheme="majorHAnsi" w:cstheme="majorHAnsi"/>
          <w:sz w:val="24"/>
          <w:szCs w:val="24"/>
          <w:lang w:val="ro-MD"/>
        </w:rPr>
        <w:t>,</w:t>
      </w:r>
      <w:r w:rsidRPr="00606103">
        <w:rPr>
          <w:rFonts w:asciiTheme="majorHAnsi" w:hAnsiTheme="majorHAnsi" w:cstheme="majorHAnsi"/>
          <w:sz w:val="24"/>
          <w:szCs w:val="24"/>
          <w:lang w:val="ro-MD"/>
        </w:rPr>
        <w:t xml:space="preserve"> </w:t>
      </w:r>
      <w:r w:rsidR="00526A7D" w:rsidRPr="00606103">
        <w:rPr>
          <w:rFonts w:asciiTheme="majorHAnsi" w:hAnsiTheme="majorHAnsi" w:cstheme="majorHAnsi"/>
          <w:sz w:val="24"/>
          <w:szCs w:val="24"/>
          <w:lang w:val="ro-MD"/>
        </w:rPr>
        <w:t>a</w:t>
      </w:r>
      <w:r w:rsidRPr="00606103">
        <w:rPr>
          <w:rFonts w:asciiTheme="majorHAnsi" w:hAnsiTheme="majorHAnsi" w:cstheme="majorHAnsi"/>
          <w:sz w:val="24"/>
          <w:szCs w:val="24"/>
          <w:lang w:val="ro-MD"/>
        </w:rPr>
        <w:t xml:space="preserve"> modalit</w:t>
      </w:r>
      <w:r w:rsidR="00526A7D" w:rsidRPr="00606103">
        <w:rPr>
          <w:rFonts w:asciiTheme="majorHAnsi" w:hAnsiTheme="majorHAnsi" w:cstheme="majorHAnsi"/>
          <w:sz w:val="24"/>
          <w:szCs w:val="24"/>
          <w:lang w:val="ro-MD"/>
        </w:rPr>
        <w:t>ății</w:t>
      </w:r>
      <w:r w:rsidRPr="00606103">
        <w:rPr>
          <w:rFonts w:asciiTheme="majorHAnsi" w:hAnsiTheme="majorHAnsi" w:cstheme="majorHAnsi"/>
          <w:sz w:val="24"/>
          <w:szCs w:val="24"/>
          <w:lang w:val="ro-MD"/>
        </w:rPr>
        <w:t xml:space="preserve"> și formatul</w:t>
      </w:r>
      <w:r w:rsidR="00526A7D" w:rsidRPr="00606103">
        <w:rPr>
          <w:rFonts w:asciiTheme="majorHAnsi" w:hAnsiTheme="majorHAnsi" w:cstheme="majorHAnsi"/>
          <w:sz w:val="24"/>
          <w:szCs w:val="24"/>
          <w:lang w:val="ro-MD"/>
        </w:rPr>
        <w:t>ui</w:t>
      </w:r>
      <w:r w:rsidRPr="00606103">
        <w:rPr>
          <w:rFonts w:asciiTheme="majorHAnsi" w:hAnsiTheme="majorHAnsi" w:cstheme="majorHAnsi"/>
          <w:sz w:val="24"/>
          <w:szCs w:val="24"/>
          <w:lang w:val="ro-MD"/>
        </w:rPr>
        <w:t xml:space="preserve"> de raportare către MF a restanțelor față de BS</w:t>
      </w:r>
      <w:r w:rsidR="00B80331" w:rsidRPr="00606103">
        <w:rPr>
          <w:rFonts w:asciiTheme="majorHAnsi" w:hAnsiTheme="majorHAnsi" w:cstheme="majorHAnsi"/>
          <w:sz w:val="24"/>
          <w:szCs w:val="24"/>
          <w:lang w:val="ro-MD"/>
        </w:rPr>
        <w:t>.</w:t>
      </w:r>
      <w:r w:rsidR="00B80331" w:rsidRPr="00606103">
        <w:rPr>
          <w:rFonts w:ascii="Calibri Light" w:eastAsia="Calibri" w:hAnsi="Calibri Light" w:cs="Calibri Light"/>
          <w:b/>
          <w:sz w:val="24"/>
          <w:szCs w:val="24"/>
          <w:lang w:val="ro-MD"/>
        </w:rPr>
        <w:t xml:space="preserve"> (Secțiunea III, pct. 3.2)</w:t>
      </w:r>
    </w:p>
    <w:p w:rsidR="004D713A" w:rsidRPr="00606103" w:rsidRDefault="004D713A" w:rsidP="00B80331">
      <w:pPr>
        <w:pStyle w:val="ListParagraph"/>
        <w:numPr>
          <w:ilvl w:val="0"/>
          <w:numId w:val="52"/>
        </w:numPr>
        <w:tabs>
          <w:tab w:val="left" w:pos="284"/>
        </w:tabs>
        <w:spacing w:after="0" w:line="276" w:lineRule="auto"/>
        <w:ind w:left="0" w:firstLine="0"/>
        <w:rPr>
          <w:rFonts w:ascii="Calibri Light" w:eastAsia="Calibri" w:hAnsi="Calibri Light" w:cs="Calibri Light"/>
          <w:sz w:val="24"/>
          <w:szCs w:val="24"/>
          <w:lang w:val="ro-MD"/>
        </w:rPr>
      </w:pPr>
      <w:r w:rsidRPr="00606103">
        <w:rPr>
          <w:rFonts w:asciiTheme="majorHAnsi" w:hAnsiTheme="majorHAnsi" w:cstheme="majorHAnsi"/>
          <w:bCs/>
          <w:iCs/>
          <w:sz w:val="24"/>
          <w:szCs w:val="24"/>
          <w:lang w:val="ro-MD"/>
        </w:rPr>
        <w:t>Dezvoltarea normelor metodologice</w:t>
      </w:r>
      <w:r w:rsidRPr="00606103">
        <w:rPr>
          <w:rFonts w:asciiTheme="majorHAnsi" w:hAnsiTheme="majorHAnsi" w:cstheme="majorHAnsi"/>
          <w:sz w:val="24"/>
          <w:szCs w:val="24"/>
          <w:vertAlign w:val="superscript"/>
          <w:lang w:val="ro-MD"/>
        </w:rPr>
        <w:t xml:space="preserve"> </w:t>
      </w:r>
      <w:r w:rsidRPr="00606103">
        <w:rPr>
          <w:rFonts w:asciiTheme="majorHAnsi" w:hAnsiTheme="majorHAnsi" w:cstheme="majorHAnsi"/>
          <w:sz w:val="24"/>
          <w:szCs w:val="24"/>
          <w:lang w:val="ro-MD"/>
        </w:rPr>
        <w:t xml:space="preserve">privind evidența contabilă și raportarea financiară în sistemul bugetar aprobat prin Ordinul MF nr.216 din 28.12.2015, la poziția </w:t>
      </w:r>
      <w:r w:rsidR="000A1FE5" w:rsidRPr="00606103">
        <w:rPr>
          <w:rFonts w:asciiTheme="majorHAnsi" w:hAnsiTheme="majorHAnsi" w:cstheme="majorHAnsi"/>
          <w:bCs/>
          <w:iCs/>
          <w:sz w:val="24"/>
          <w:szCs w:val="24"/>
          <w:lang w:val="ro-MD"/>
        </w:rPr>
        <w:t>„</w:t>
      </w:r>
      <w:r w:rsidRPr="00606103">
        <w:rPr>
          <w:rFonts w:asciiTheme="majorHAnsi" w:hAnsiTheme="majorHAnsi" w:cstheme="majorHAnsi"/>
          <w:bCs/>
          <w:i/>
          <w:iCs/>
          <w:sz w:val="24"/>
          <w:szCs w:val="24"/>
          <w:lang w:val="ro-MD"/>
        </w:rPr>
        <w:t>Creanțe ale contribuabililor”</w:t>
      </w:r>
      <w:r w:rsidR="00B80331" w:rsidRPr="00606103">
        <w:rPr>
          <w:rFonts w:asciiTheme="majorHAnsi" w:hAnsiTheme="majorHAnsi" w:cstheme="majorHAnsi"/>
          <w:bCs/>
          <w:i/>
          <w:iCs/>
          <w:sz w:val="24"/>
          <w:szCs w:val="24"/>
          <w:lang w:val="ro-MD"/>
        </w:rPr>
        <w:t xml:space="preserve">. </w:t>
      </w:r>
      <w:r w:rsidR="00B80331" w:rsidRPr="00606103">
        <w:rPr>
          <w:rFonts w:ascii="Calibri Light" w:eastAsia="Calibri" w:hAnsi="Calibri Light" w:cs="Calibri Light"/>
          <w:b/>
          <w:sz w:val="24"/>
          <w:szCs w:val="24"/>
          <w:lang w:val="ro-MD"/>
        </w:rPr>
        <w:t>(Secțiunea III, pct. 3.2)</w:t>
      </w:r>
    </w:p>
    <w:p w:rsidR="004D713A" w:rsidRPr="00D55C66" w:rsidRDefault="00605A54" w:rsidP="00B80331">
      <w:pPr>
        <w:pStyle w:val="ListParagraph"/>
        <w:numPr>
          <w:ilvl w:val="0"/>
          <w:numId w:val="52"/>
        </w:numPr>
        <w:tabs>
          <w:tab w:val="left" w:pos="284"/>
        </w:tabs>
        <w:spacing w:after="0" w:line="276" w:lineRule="auto"/>
        <w:ind w:left="0" w:firstLine="0"/>
        <w:rPr>
          <w:rFonts w:ascii="Calibri Light" w:eastAsia="Calibri" w:hAnsi="Calibri Light" w:cs="Calibri Light"/>
          <w:sz w:val="24"/>
          <w:szCs w:val="24"/>
          <w:lang w:val="ro-MD"/>
        </w:rPr>
      </w:pPr>
      <w:r w:rsidRPr="00606103">
        <w:rPr>
          <w:rFonts w:asciiTheme="majorHAnsi" w:eastAsia="Times New Roman" w:hAnsiTheme="majorHAnsi" w:cstheme="majorHAnsi"/>
          <w:sz w:val="24"/>
          <w:szCs w:val="24"/>
          <w:lang w:val="ro-MD"/>
        </w:rPr>
        <w:t>M</w:t>
      </w:r>
      <w:r w:rsidR="004D713A" w:rsidRPr="00606103">
        <w:rPr>
          <w:rFonts w:asciiTheme="majorHAnsi" w:eastAsia="Times New Roman" w:hAnsiTheme="majorHAnsi" w:cstheme="majorHAnsi"/>
          <w:sz w:val="24"/>
          <w:szCs w:val="24"/>
          <w:lang w:val="ro-MD"/>
        </w:rPr>
        <w:t>onitoriz</w:t>
      </w:r>
      <w:r w:rsidR="000A1FE5" w:rsidRPr="00606103">
        <w:rPr>
          <w:rFonts w:asciiTheme="majorHAnsi" w:eastAsia="Times New Roman" w:hAnsiTheme="majorHAnsi" w:cstheme="majorHAnsi"/>
          <w:sz w:val="24"/>
          <w:szCs w:val="24"/>
          <w:lang w:val="ro-MD"/>
        </w:rPr>
        <w:t>area</w:t>
      </w:r>
      <w:r w:rsidR="004D713A" w:rsidRPr="00606103">
        <w:rPr>
          <w:rFonts w:asciiTheme="majorHAnsi" w:eastAsia="Times New Roman" w:hAnsiTheme="majorHAnsi" w:cstheme="majorHAnsi"/>
          <w:sz w:val="24"/>
          <w:szCs w:val="24"/>
          <w:lang w:val="ro-MD"/>
        </w:rPr>
        <w:t xml:space="preserve"> asigur</w:t>
      </w:r>
      <w:r w:rsidR="000A1FE5" w:rsidRPr="00606103">
        <w:rPr>
          <w:rFonts w:asciiTheme="majorHAnsi" w:eastAsia="Times New Roman" w:hAnsiTheme="majorHAnsi" w:cstheme="majorHAnsi"/>
          <w:sz w:val="24"/>
          <w:szCs w:val="24"/>
          <w:lang w:val="ro-MD"/>
        </w:rPr>
        <w:t>ării</w:t>
      </w:r>
      <w:r w:rsidR="004D713A" w:rsidRPr="00606103">
        <w:rPr>
          <w:rFonts w:asciiTheme="majorHAnsi" w:eastAsia="Times New Roman" w:hAnsiTheme="majorHAnsi" w:cstheme="majorHAnsi"/>
          <w:sz w:val="24"/>
          <w:szCs w:val="24"/>
          <w:lang w:val="ro-MD"/>
        </w:rPr>
        <w:t xml:space="preserve"> de către SV a procesului de calculare a majorărilor de întârziere la plățile de bază și asigurarea plenitudinii raportării către MF a datoriilor agenților economici și ale persoanelor fizice</w:t>
      </w:r>
      <w:r w:rsidR="00526A7D" w:rsidRPr="00606103">
        <w:rPr>
          <w:rFonts w:asciiTheme="majorHAnsi" w:eastAsia="Times New Roman" w:hAnsiTheme="majorHAnsi" w:cstheme="majorHAnsi"/>
          <w:sz w:val="24"/>
          <w:szCs w:val="24"/>
          <w:lang w:val="ro-MD"/>
        </w:rPr>
        <w:t>.</w:t>
      </w:r>
      <w:r w:rsidR="00B80331" w:rsidRPr="00606103">
        <w:rPr>
          <w:rFonts w:ascii="Calibri Light" w:eastAsia="Calibri" w:hAnsi="Calibri Light" w:cs="Calibri Light"/>
          <w:b/>
          <w:sz w:val="24"/>
          <w:szCs w:val="24"/>
          <w:lang w:val="ro-MD"/>
        </w:rPr>
        <w:t xml:space="preserve"> (Secțiunea III, pct. 3.2)</w:t>
      </w:r>
    </w:p>
    <w:p w:rsidR="004D713A" w:rsidRPr="00606103" w:rsidRDefault="00605A54" w:rsidP="00B80331">
      <w:pPr>
        <w:pStyle w:val="ListParagraph"/>
        <w:numPr>
          <w:ilvl w:val="0"/>
          <w:numId w:val="52"/>
        </w:numPr>
        <w:tabs>
          <w:tab w:val="left" w:pos="284"/>
        </w:tabs>
        <w:spacing w:after="0" w:line="276" w:lineRule="auto"/>
        <w:ind w:left="0" w:firstLine="0"/>
        <w:rPr>
          <w:rFonts w:ascii="Calibri Light" w:eastAsia="Calibri" w:hAnsi="Calibri Light" w:cs="Calibri Light"/>
          <w:sz w:val="24"/>
          <w:szCs w:val="24"/>
          <w:lang w:val="ro-MD"/>
        </w:rPr>
      </w:pPr>
      <w:r w:rsidRPr="00606103">
        <w:rPr>
          <w:rFonts w:asciiTheme="majorHAnsi" w:hAnsiTheme="majorHAnsi" w:cstheme="majorHAnsi"/>
          <w:sz w:val="24"/>
          <w:szCs w:val="24"/>
          <w:lang w:val="ro-MD"/>
        </w:rPr>
        <w:t xml:space="preserve">Monitorizarea instituirii de către SFS a </w:t>
      </w:r>
      <w:r w:rsidR="004D713A" w:rsidRPr="00606103">
        <w:rPr>
          <w:rFonts w:asciiTheme="majorHAnsi" w:hAnsiTheme="majorHAnsi" w:cstheme="majorHAnsi"/>
          <w:sz w:val="24"/>
          <w:szCs w:val="24"/>
          <w:lang w:val="ro-MD"/>
        </w:rPr>
        <w:t xml:space="preserve">unor mecanisme de conlucrare </w:t>
      </w:r>
      <w:r w:rsidR="00526A7D" w:rsidRPr="00606103">
        <w:rPr>
          <w:rFonts w:asciiTheme="majorHAnsi" w:hAnsiTheme="majorHAnsi" w:cstheme="majorHAnsi"/>
          <w:sz w:val="24"/>
          <w:szCs w:val="24"/>
          <w:lang w:val="ro-MD"/>
        </w:rPr>
        <w:t>între</w:t>
      </w:r>
      <w:r w:rsidR="004D713A" w:rsidRPr="00606103">
        <w:rPr>
          <w:rFonts w:asciiTheme="majorHAnsi" w:hAnsiTheme="majorHAnsi" w:cstheme="majorHAnsi"/>
          <w:sz w:val="24"/>
          <w:szCs w:val="24"/>
          <w:lang w:val="ro-MD"/>
        </w:rPr>
        <w:t xml:space="preserve"> instituțiile statului </w:t>
      </w:r>
      <w:r w:rsidR="009F4951" w:rsidRPr="00606103">
        <w:rPr>
          <w:rFonts w:asciiTheme="majorHAnsi" w:hAnsiTheme="majorHAnsi" w:cstheme="majorHAnsi"/>
          <w:sz w:val="24"/>
          <w:szCs w:val="24"/>
          <w:lang w:val="ro-MD"/>
        </w:rPr>
        <w:t>privind</w:t>
      </w:r>
      <w:r w:rsidR="004D713A" w:rsidRPr="00606103">
        <w:rPr>
          <w:rFonts w:asciiTheme="majorHAnsi" w:hAnsiTheme="majorHAnsi" w:cstheme="majorHAnsi"/>
          <w:sz w:val="24"/>
          <w:szCs w:val="24"/>
          <w:lang w:val="ro-MD"/>
        </w:rPr>
        <w:t xml:space="preserve"> calcularea și raportarea taxelor, amenzilor, altor plăți la buget, </w:t>
      </w:r>
      <w:r w:rsidR="000A1FE5" w:rsidRPr="00606103">
        <w:rPr>
          <w:rFonts w:asciiTheme="majorHAnsi" w:hAnsiTheme="majorHAnsi" w:cstheme="majorHAnsi"/>
          <w:sz w:val="24"/>
          <w:szCs w:val="24"/>
          <w:lang w:val="ro-MD"/>
        </w:rPr>
        <w:t xml:space="preserve">a căror </w:t>
      </w:r>
      <w:r w:rsidR="004D713A" w:rsidRPr="00606103">
        <w:rPr>
          <w:rFonts w:asciiTheme="majorHAnsi" w:hAnsiTheme="majorHAnsi" w:cstheme="majorHAnsi"/>
          <w:sz w:val="24"/>
          <w:szCs w:val="24"/>
          <w:lang w:val="ro-MD"/>
        </w:rPr>
        <w:t>administrare este pusă în seama organelor fiscale</w:t>
      </w:r>
      <w:r w:rsidR="00B80331" w:rsidRPr="00606103">
        <w:rPr>
          <w:rFonts w:asciiTheme="majorHAnsi" w:hAnsiTheme="majorHAnsi" w:cstheme="majorHAnsi"/>
          <w:sz w:val="24"/>
          <w:szCs w:val="24"/>
          <w:lang w:val="ro-MD"/>
        </w:rPr>
        <w:t>.</w:t>
      </w:r>
      <w:r w:rsidR="00B80331" w:rsidRPr="00606103">
        <w:rPr>
          <w:rFonts w:ascii="Calibri Light" w:eastAsia="Calibri" w:hAnsi="Calibri Light" w:cs="Calibri Light"/>
          <w:b/>
          <w:sz w:val="24"/>
          <w:szCs w:val="24"/>
          <w:lang w:val="ro-MD"/>
        </w:rPr>
        <w:t xml:space="preserve"> (Secțiunea III, pct. 3.2)</w:t>
      </w:r>
    </w:p>
    <w:p w:rsidR="004D713A" w:rsidRPr="00606103" w:rsidRDefault="004D713A" w:rsidP="00B80331">
      <w:pPr>
        <w:pStyle w:val="ListParagraph"/>
        <w:numPr>
          <w:ilvl w:val="0"/>
          <w:numId w:val="52"/>
        </w:numPr>
        <w:tabs>
          <w:tab w:val="left" w:pos="284"/>
        </w:tabs>
        <w:spacing w:after="0" w:line="276" w:lineRule="auto"/>
        <w:ind w:left="0" w:firstLine="0"/>
        <w:rPr>
          <w:rFonts w:ascii="Calibri Light" w:eastAsia="Calibri" w:hAnsi="Calibri Light" w:cs="Calibri Light"/>
          <w:sz w:val="24"/>
          <w:szCs w:val="24"/>
          <w:lang w:val="ro-MD"/>
        </w:rPr>
      </w:pPr>
      <w:r w:rsidRPr="00606103">
        <w:rPr>
          <w:rFonts w:asciiTheme="majorHAnsi" w:hAnsiTheme="majorHAnsi" w:cstheme="majorHAnsi"/>
          <w:color w:val="000000" w:themeColor="text1"/>
          <w:sz w:val="24"/>
          <w:szCs w:val="24"/>
          <w:lang w:val="ro-MD"/>
        </w:rPr>
        <w:lastRenderedPageBreak/>
        <w:t>Stabilirea unor mecanisme eficiente de examinare a estimărilor pentru cheltuieli</w:t>
      </w:r>
      <w:r w:rsidR="000A1FE5" w:rsidRPr="00606103">
        <w:rPr>
          <w:rFonts w:asciiTheme="majorHAnsi" w:hAnsiTheme="majorHAnsi" w:cstheme="majorHAnsi"/>
          <w:color w:val="000000" w:themeColor="text1"/>
          <w:sz w:val="24"/>
          <w:szCs w:val="24"/>
          <w:lang w:val="ro-MD"/>
        </w:rPr>
        <w:t>le</w:t>
      </w:r>
      <w:r w:rsidRPr="00606103">
        <w:rPr>
          <w:rFonts w:asciiTheme="majorHAnsi" w:hAnsiTheme="majorHAnsi" w:cstheme="majorHAnsi"/>
          <w:color w:val="000000" w:themeColor="text1"/>
          <w:sz w:val="24"/>
          <w:szCs w:val="24"/>
          <w:lang w:val="ro-MD"/>
        </w:rPr>
        <w:t xml:space="preserve"> de personal de către autoritățile/instituțiile bugetare</w:t>
      </w:r>
      <w:r w:rsidR="002848E0" w:rsidRPr="00606103">
        <w:rPr>
          <w:rFonts w:asciiTheme="majorHAnsi" w:hAnsiTheme="majorHAnsi" w:cstheme="majorHAnsi"/>
          <w:color w:val="000000" w:themeColor="text1"/>
          <w:sz w:val="24"/>
          <w:szCs w:val="24"/>
          <w:lang w:val="ro-MD"/>
        </w:rPr>
        <w:t>,</w:t>
      </w:r>
      <w:r w:rsidR="009F4951" w:rsidRPr="00606103">
        <w:rPr>
          <w:rFonts w:asciiTheme="majorHAnsi" w:hAnsiTheme="majorHAnsi" w:cstheme="majorHAnsi"/>
          <w:color w:val="000000" w:themeColor="text1"/>
          <w:sz w:val="24"/>
          <w:szCs w:val="24"/>
          <w:lang w:val="ro-MD"/>
        </w:rPr>
        <w:t xml:space="preserve"> </w:t>
      </w:r>
      <w:r w:rsidRPr="00606103">
        <w:rPr>
          <w:rFonts w:asciiTheme="majorHAnsi" w:hAnsiTheme="majorHAnsi" w:cstheme="majorHAnsi"/>
          <w:color w:val="000000" w:themeColor="text1"/>
          <w:sz w:val="24"/>
          <w:szCs w:val="24"/>
          <w:lang w:val="ro-MD"/>
        </w:rPr>
        <w:t xml:space="preserve">în vederea excluderii aprobării fondurilor centralizate </w:t>
      </w:r>
      <w:r w:rsidR="002848E0" w:rsidRPr="00606103">
        <w:rPr>
          <w:rFonts w:asciiTheme="majorHAnsi" w:hAnsiTheme="majorHAnsi" w:cstheme="majorHAnsi"/>
          <w:color w:val="000000" w:themeColor="text1"/>
          <w:sz w:val="24"/>
          <w:szCs w:val="24"/>
          <w:lang w:val="ro-MD"/>
        </w:rPr>
        <w:t>cu</w:t>
      </w:r>
      <w:r w:rsidRPr="00606103">
        <w:rPr>
          <w:rFonts w:asciiTheme="majorHAnsi" w:hAnsiTheme="majorHAnsi" w:cstheme="majorHAnsi"/>
          <w:color w:val="000000" w:themeColor="text1"/>
          <w:sz w:val="24"/>
          <w:szCs w:val="24"/>
          <w:lang w:val="ro-MD"/>
        </w:rPr>
        <w:t xml:space="preserve"> ulterioare redistribuiri</w:t>
      </w:r>
      <w:r w:rsidR="00B80331" w:rsidRPr="00606103">
        <w:rPr>
          <w:rFonts w:asciiTheme="majorHAnsi" w:hAnsiTheme="majorHAnsi" w:cstheme="majorHAnsi"/>
          <w:color w:val="000000" w:themeColor="text1"/>
          <w:sz w:val="24"/>
          <w:szCs w:val="24"/>
          <w:lang w:val="ro-MD"/>
        </w:rPr>
        <w:t xml:space="preserve">. </w:t>
      </w:r>
      <w:r w:rsidR="00B80331" w:rsidRPr="00606103">
        <w:rPr>
          <w:rFonts w:ascii="Calibri Light" w:eastAsia="Calibri" w:hAnsi="Calibri Light" w:cs="Calibri Light"/>
          <w:b/>
          <w:sz w:val="24"/>
          <w:szCs w:val="24"/>
          <w:lang w:val="ro-MD"/>
        </w:rPr>
        <w:t>(Secțiunea V, pct. 5.6)</w:t>
      </w:r>
    </w:p>
    <w:p w:rsidR="00860BEC" w:rsidRPr="00606103" w:rsidRDefault="00AC5597" w:rsidP="00860BEC">
      <w:pPr>
        <w:pStyle w:val="ListParagraph"/>
        <w:numPr>
          <w:ilvl w:val="0"/>
          <w:numId w:val="52"/>
        </w:numPr>
        <w:tabs>
          <w:tab w:val="left" w:pos="284"/>
        </w:tabs>
        <w:spacing w:after="0" w:line="276" w:lineRule="auto"/>
        <w:ind w:left="0" w:firstLine="0"/>
        <w:rPr>
          <w:rFonts w:ascii="Calibri Light" w:eastAsia="Calibri" w:hAnsi="Calibri Light" w:cs="Calibri Light"/>
          <w:sz w:val="24"/>
          <w:szCs w:val="24"/>
          <w:lang w:val="ro-MD"/>
        </w:rPr>
      </w:pPr>
      <w:r w:rsidRPr="00606103">
        <w:rPr>
          <w:rFonts w:asciiTheme="majorHAnsi" w:hAnsiTheme="majorHAnsi" w:cstheme="majorHAnsi"/>
          <w:bCs/>
          <w:sz w:val="24"/>
          <w:szCs w:val="24"/>
          <w:lang w:val="ro-MD"/>
        </w:rPr>
        <w:t>R</w:t>
      </w:r>
      <w:r w:rsidR="006827CB" w:rsidRPr="00606103">
        <w:rPr>
          <w:rFonts w:asciiTheme="majorHAnsi" w:hAnsiTheme="majorHAnsi" w:cstheme="majorHAnsi"/>
          <w:bCs/>
          <w:sz w:val="24"/>
          <w:szCs w:val="24"/>
          <w:lang w:val="ro-MD"/>
        </w:rPr>
        <w:t xml:space="preserve">eglementarea modului de ținere a Registrului debitorilor și modului de evidență a executării sancțiunilor și amenzilor </w:t>
      </w:r>
      <w:r w:rsidR="006827CB" w:rsidRPr="00606103">
        <w:rPr>
          <w:rFonts w:asciiTheme="majorHAnsi" w:eastAsia="Times New Roman" w:hAnsiTheme="majorHAnsi" w:cstheme="majorHAnsi"/>
          <w:bCs/>
          <w:i/>
          <w:color w:val="000000"/>
          <w:sz w:val="24"/>
          <w:szCs w:val="24"/>
          <w:lang w:val="ro-MD"/>
        </w:rPr>
        <w:t>(reiterată din</w:t>
      </w:r>
      <w:r w:rsidR="006827CB" w:rsidRPr="00606103">
        <w:rPr>
          <w:rFonts w:asciiTheme="majorHAnsi" w:hAnsiTheme="majorHAnsi"/>
          <w:bCs/>
          <w:i/>
          <w:sz w:val="24"/>
          <w:szCs w:val="24"/>
          <w:lang w:val="ro-MD"/>
        </w:rPr>
        <w:t xml:space="preserve"> Hotărârea Curții de Conturi nr.30 din 28 iunie 2021</w:t>
      </w:r>
      <w:r w:rsidR="00860BEC" w:rsidRPr="00606103">
        <w:rPr>
          <w:rFonts w:asciiTheme="majorHAnsi" w:eastAsia="Times New Roman" w:hAnsiTheme="majorHAnsi" w:cstheme="majorHAnsi"/>
          <w:bCs/>
          <w:i/>
          <w:color w:val="000000"/>
          <w:sz w:val="24"/>
          <w:szCs w:val="24"/>
          <w:lang w:val="ro-MD"/>
        </w:rPr>
        <w:t>).</w:t>
      </w:r>
    </w:p>
    <w:p w:rsidR="00860BEC" w:rsidRPr="00606103" w:rsidRDefault="00AC5597" w:rsidP="00860BEC">
      <w:pPr>
        <w:pStyle w:val="ListParagraph"/>
        <w:numPr>
          <w:ilvl w:val="0"/>
          <w:numId w:val="52"/>
        </w:numPr>
        <w:tabs>
          <w:tab w:val="left" w:pos="284"/>
        </w:tabs>
        <w:spacing w:after="0" w:line="276" w:lineRule="auto"/>
        <w:ind w:left="0" w:firstLine="0"/>
        <w:rPr>
          <w:rFonts w:ascii="Calibri Light" w:eastAsia="Calibri" w:hAnsi="Calibri Light" w:cs="Calibri Light"/>
          <w:sz w:val="24"/>
          <w:szCs w:val="24"/>
          <w:lang w:val="ro-MD"/>
        </w:rPr>
      </w:pPr>
      <w:r w:rsidRPr="00606103">
        <w:rPr>
          <w:rFonts w:asciiTheme="majorHAnsi" w:hAnsiTheme="majorHAnsi" w:cstheme="majorHAnsi"/>
          <w:sz w:val="24"/>
          <w:szCs w:val="24"/>
          <w:lang w:val="ro-MD"/>
        </w:rPr>
        <w:t>A</w:t>
      </w:r>
      <w:r w:rsidR="006827CB" w:rsidRPr="00606103">
        <w:rPr>
          <w:rFonts w:asciiTheme="majorHAnsi" w:hAnsiTheme="majorHAnsi" w:cstheme="majorHAnsi"/>
          <w:sz w:val="24"/>
          <w:szCs w:val="24"/>
          <w:lang w:val="ro-MD"/>
        </w:rPr>
        <w:t>sigurarea funcționalității grupului de lucru pentru investiții capitale, în vederea respectării procesului de includere și monitorizare a obiectelor de investiții capitale</w:t>
      </w:r>
      <w:r w:rsidR="006827CB" w:rsidRPr="00606103">
        <w:rPr>
          <w:rFonts w:asciiTheme="majorHAnsi" w:hAnsiTheme="majorHAnsi" w:cstheme="majorHAnsi"/>
          <w:bCs/>
          <w:i/>
          <w:sz w:val="24"/>
          <w:szCs w:val="24"/>
          <w:lang w:val="ro-MD"/>
        </w:rPr>
        <w:t xml:space="preserve"> </w:t>
      </w:r>
      <w:r w:rsidR="006827CB" w:rsidRPr="00606103">
        <w:rPr>
          <w:rFonts w:asciiTheme="majorHAnsi" w:eastAsia="Times New Roman" w:hAnsiTheme="majorHAnsi" w:cstheme="majorHAnsi"/>
          <w:bCs/>
          <w:i/>
          <w:color w:val="000000"/>
          <w:sz w:val="24"/>
          <w:szCs w:val="24"/>
          <w:lang w:val="ro-MD"/>
        </w:rPr>
        <w:t>(reiterată din</w:t>
      </w:r>
      <w:r w:rsidR="006827CB" w:rsidRPr="00606103">
        <w:rPr>
          <w:rFonts w:asciiTheme="majorHAnsi" w:hAnsiTheme="majorHAnsi"/>
          <w:bCs/>
          <w:i/>
          <w:sz w:val="24"/>
          <w:szCs w:val="24"/>
          <w:lang w:val="ro-MD"/>
        </w:rPr>
        <w:t xml:space="preserve"> Hotărârea Curții de Conturi nr.30 din 28 iunie 2021</w:t>
      </w:r>
      <w:r w:rsidR="00860BEC" w:rsidRPr="00606103">
        <w:rPr>
          <w:rFonts w:asciiTheme="majorHAnsi" w:eastAsia="Times New Roman" w:hAnsiTheme="majorHAnsi" w:cstheme="majorHAnsi"/>
          <w:bCs/>
          <w:i/>
          <w:color w:val="000000"/>
          <w:sz w:val="24"/>
          <w:szCs w:val="24"/>
          <w:lang w:val="ro-MD"/>
        </w:rPr>
        <w:t>).</w:t>
      </w:r>
    </w:p>
    <w:p w:rsidR="006827CB" w:rsidRPr="00606103" w:rsidRDefault="00AC5597" w:rsidP="00860BEC">
      <w:pPr>
        <w:pStyle w:val="ListParagraph"/>
        <w:numPr>
          <w:ilvl w:val="0"/>
          <w:numId w:val="52"/>
        </w:numPr>
        <w:tabs>
          <w:tab w:val="left" w:pos="0"/>
          <w:tab w:val="left" w:pos="426"/>
        </w:tabs>
        <w:spacing w:after="0" w:line="276" w:lineRule="auto"/>
        <w:ind w:left="0" w:firstLine="0"/>
        <w:rPr>
          <w:rFonts w:ascii="Calibri Light" w:eastAsia="Calibri" w:hAnsi="Calibri Light" w:cs="Calibri Light"/>
          <w:sz w:val="24"/>
          <w:szCs w:val="24"/>
          <w:lang w:val="ro-MD"/>
        </w:rPr>
      </w:pPr>
      <w:r w:rsidRPr="00606103">
        <w:rPr>
          <w:rFonts w:asciiTheme="majorHAnsi" w:hAnsiTheme="majorHAnsi" w:cstheme="majorHAnsi"/>
          <w:sz w:val="24"/>
          <w:szCs w:val="24"/>
          <w:lang w:val="ro-MD"/>
        </w:rPr>
        <w:t>A</w:t>
      </w:r>
      <w:r w:rsidR="006827CB" w:rsidRPr="00606103">
        <w:rPr>
          <w:rFonts w:asciiTheme="majorHAnsi" w:hAnsiTheme="majorHAnsi" w:cstheme="majorHAnsi"/>
          <w:sz w:val="24"/>
          <w:szCs w:val="24"/>
          <w:lang w:val="ro-MD"/>
        </w:rPr>
        <w:t xml:space="preserve">sigurarea respectării prevederilor regulamentare privind procesul de examinare și de confirmare a eligibilității propunerilor de proiecte pentru investiții capitale, respectând principiile de prioritizare și de conformitate ale acestora cu documentele de planificare strategică națională și sectorială </w:t>
      </w:r>
      <w:r w:rsidR="006827CB" w:rsidRPr="00606103">
        <w:rPr>
          <w:rFonts w:asciiTheme="majorHAnsi" w:eastAsia="Times New Roman" w:hAnsiTheme="majorHAnsi" w:cstheme="majorHAnsi"/>
          <w:bCs/>
          <w:i/>
          <w:color w:val="000000"/>
          <w:sz w:val="24"/>
          <w:szCs w:val="24"/>
          <w:lang w:val="ro-MD"/>
        </w:rPr>
        <w:t>(reiterată din</w:t>
      </w:r>
      <w:r w:rsidR="006827CB" w:rsidRPr="00606103">
        <w:rPr>
          <w:rFonts w:asciiTheme="majorHAnsi" w:hAnsiTheme="majorHAnsi"/>
          <w:bCs/>
          <w:i/>
          <w:sz w:val="24"/>
          <w:szCs w:val="24"/>
          <w:lang w:val="ro-MD"/>
        </w:rPr>
        <w:t xml:space="preserve"> Hotărârea Curții de Conturi nr.30 din 28 iunie 2021</w:t>
      </w:r>
      <w:r w:rsidR="00860BEC" w:rsidRPr="00606103">
        <w:rPr>
          <w:rFonts w:asciiTheme="majorHAnsi" w:eastAsia="Times New Roman" w:hAnsiTheme="majorHAnsi" w:cstheme="majorHAnsi"/>
          <w:bCs/>
          <w:i/>
          <w:color w:val="000000"/>
          <w:sz w:val="24"/>
          <w:szCs w:val="24"/>
          <w:lang w:val="ro-MD"/>
        </w:rPr>
        <w:t>).</w:t>
      </w:r>
    </w:p>
    <w:p w:rsidR="00FF680A" w:rsidRPr="00606103" w:rsidRDefault="00FF680A" w:rsidP="0013348D">
      <w:pPr>
        <w:pStyle w:val="ListParagraph"/>
        <w:spacing w:after="0" w:line="276" w:lineRule="auto"/>
        <w:rPr>
          <w:rFonts w:asciiTheme="majorHAnsi" w:eastAsia="Times New Roman" w:hAnsiTheme="majorHAnsi" w:cstheme="majorHAnsi"/>
          <w:bCs/>
          <w:i/>
          <w:color w:val="000000"/>
          <w:sz w:val="24"/>
          <w:szCs w:val="24"/>
          <w:lang w:val="ro-MD"/>
        </w:rPr>
      </w:pPr>
    </w:p>
    <w:p w:rsidR="00C26645" w:rsidRPr="00606103" w:rsidRDefault="00C26645" w:rsidP="00FE3F3B">
      <w:pPr>
        <w:numPr>
          <w:ilvl w:val="0"/>
          <w:numId w:val="7"/>
        </w:numPr>
        <w:tabs>
          <w:tab w:val="left" w:pos="426"/>
        </w:tabs>
        <w:spacing w:after="0" w:line="276" w:lineRule="auto"/>
        <w:ind w:left="0" w:firstLine="0"/>
        <w:contextualSpacing/>
        <w:jc w:val="left"/>
        <w:outlineLvl w:val="0"/>
        <w:rPr>
          <w:rFonts w:asciiTheme="majorHAnsi" w:hAnsiTheme="majorHAnsi" w:cstheme="majorHAnsi"/>
          <w:b/>
          <w:szCs w:val="28"/>
          <w:lang w:val="ro-MD"/>
        </w:rPr>
      </w:pPr>
      <w:r w:rsidRPr="00606103">
        <w:rPr>
          <w:rFonts w:asciiTheme="majorHAnsi" w:hAnsiTheme="majorHAnsi" w:cstheme="majorHAnsi"/>
          <w:b/>
          <w:szCs w:val="28"/>
          <w:lang w:val="ro-MD"/>
        </w:rPr>
        <w:t>RESPONSABILITĂȚILE CELOR ÎNSĂRCINAȚI CU GUVERNANȚA PENTRU RAPOARTELE GUVERNULUI</w:t>
      </w:r>
    </w:p>
    <w:p w:rsidR="00C26645" w:rsidRPr="00606103" w:rsidRDefault="00C26645">
      <w:pPr>
        <w:spacing w:line="276" w:lineRule="auto"/>
        <w:rPr>
          <w:rFonts w:asciiTheme="majorHAnsi" w:hAnsiTheme="majorHAnsi" w:cstheme="majorHAnsi"/>
          <w:sz w:val="24"/>
          <w:szCs w:val="24"/>
          <w:lang w:val="ro-MD"/>
        </w:rPr>
      </w:pPr>
      <w:r w:rsidRPr="00606103">
        <w:rPr>
          <w:rFonts w:asciiTheme="majorHAnsi" w:hAnsiTheme="majorHAnsi" w:cstheme="majorHAnsi"/>
          <w:b/>
          <w:sz w:val="24"/>
          <w:szCs w:val="24"/>
          <w:lang w:val="ro-MD"/>
        </w:rPr>
        <w:t>Responsabilitatea Guvernului</w:t>
      </w:r>
      <w:r w:rsidRPr="00606103">
        <w:rPr>
          <w:rFonts w:asciiTheme="majorHAnsi" w:hAnsiTheme="majorHAnsi" w:cstheme="majorHAnsi"/>
          <w:sz w:val="24"/>
          <w:szCs w:val="24"/>
          <w:lang w:val="ro-MD"/>
        </w:rPr>
        <w:t xml:space="preserve">, în domeniul finanțelor publice, constă în conducerea generală a activității executive în domeniul gestionării finanțelor publice, în conformitate cu principiile și regulile stabilite, și prezentarea Raportului privind executarea </w:t>
      </w:r>
      <w:r w:rsidR="00BC6D81" w:rsidRPr="00606103">
        <w:rPr>
          <w:rFonts w:asciiTheme="majorHAnsi" w:hAnsiTheme="majorHAnsi" w:cstheme="majorHAnsi"/>
          <w:sz w:val="24"/>
          <w:szCs w:val="24"/>
          <w:lang w:val="ro-MD"/>
        </w:rPr>
        <w:t xml:space="preserve">bugetului de stat </w:t>
      </w:r>
      <w:r w:rsidRPr="00606103">
        <w:rPr>
          <w:rFonts w:asciiTheme="majorHAnsi" w:hAnsiTheme="majorHAnsi" w:cstheme="majorHAnsi"/>
          <w:sz w:val="24"/>
          <w:szCs w:val="24"/>
          <w:lang w:val="ro-MD"/>
        </w:rPr>
        <w:t>către Parlament</w:t>
      </w:r>
      <w:r w:rsidRPr="00606103">
        <w:rPr>
          <w:rFonts w:asciiTheme="majorHAnsi" w:hAnsiTheme="majorHAnsi" w:cstheme="majorHAnsi"/>
          <w:sz w:val="24"/>
          <w:szCs w:val="24"/>
          <w:vertAlign w:val="superscript"/>
          <w:lang w:val="ro-MD"/>
        </w:rPr>
        <w:footnoteReference w:id="128"/>
      </w:r>
      <w:r w:rsidRPr="00606103">
        <w:rPr>
          <w:rFonts w:asciiTheme="majorHAnsi" w:hAnsiTheme="majorHAnsi" w:cstheme="majorHAnsi"/>
          <w:sz w:val="24"/>
          <w:szCs w:val="24"/>
          <w:lang w:val="ro-MD"/>
        </w:rPr>
        <w:t>.</w:t>
      </w:r>
    </w:p>
    <w:p w:rsidR="00C26645" w:rsidRPr="00606103" w:rsidRDefault="00C26645">
      <w:pPr>
        <w:spacing w:line="276" w:lineRule="auto"/>
        <w:rPr>
          <w:rFonts w:asciiTheme="majorHAnsi" w:hAnsiTheme="majorHAnsi" w:cstheme="majorHAnsi"/>
          <w:sz w:val="24"/>
          <w:szCs w:val="24"/>
          <w:lang w:val="ro-MD"/>
        </w:rPr>
      </w:pPr>
      <w:r w:rsidRPr="00606103">
        <w:rPr>
          <w:rFonts w:asciiTheme="majorHAnsi" w:eastAsia="Calibri" w:hAnsiTheme="majorHAnsi" w:cstheme="majorHAnsi"/>
          <w:b/>
          <w:sz w:val="24"/>
          <w:szCs w:val="24"/>
          <w:lang w:val="ro-MD" w:eastAsia="ru-RU"/>
        </w:rPr>
        <w:t>Responsabilitatea Ministerului Finanțelor</w:t>
      </w:r>
      <w:r w:rsidRPr="00606103">
        <w:rPr>
          <w:rFonts w:asciiTheme="majorHAnsi" w:eastAsia="Calibri" w:hAnsiTheme="majorHAnsi" w:cstheme="majorHAnsi"/>
          <w:sz w:val="24"/>
          <w:szCs w:val="24"/>
          <w:vertAlign w:val="superscript"/>
          <w:lang w:val="ro-MD" w:eastAsia="ru-RU"/>
        </w:rPr>
        <w:footnoteReference w:id="129"/>
      </w:r>
      <w:r w:rsidRPr="00606103">
        <w:rPr>
          <w:rFonts w:asciiTheme="majorHAnsi" w:eastAsia="Calibri" w:hAnsiTheme="majorHAnsi" w:cstheme="majorHAnsi"/>
          <w:sz w:val="24"/>
          <w:szCs w:val="24"/>
          <w:lang w:val="ro-MD" w:eastAsia="ru-RU"/>
        </w:rPr>
        <w:t xml:space="preserve"> </w:t>
      </w:r>
      <w:r w:rsidRPr="00606103">
        <w:rPr>
          <w:rFonts w:asciiTheme="majorHAnsi" w:hAnsiTheme="majorHAnsi" w:cstheme="majorHAnsi"/>
          <w:sz w:val="24"/>
          <w:szCs w:val="24"/>
          <w:lang w:val="ro-MD"/>
        </w:rPr>
        <w:t xml:space="preserve">a constat în pregătirea și prezentarea fidelă către Guvern a </w:t>
      </w:r>
      <w:r w:rsidRPr="00606103">
        <w:rPr>
          <w:rFonts w:asciiTheme="majorHAnsi" w:eastAsia="SimSun" w:hAnsiTheme="majorHAnsi" w:cstheme="majorHAnsi"/>
          <w:sz w:val="24"/>
          <w:szCs w:val="24"/>
          <w:lang w:val="ro-MD"/>
        </w:rPr>
        <w:t xml:space="preserve">Raportului privind executarea </w:t>
      </w:r>
      <w:r w:rsidR="00BC6D81" w:rsidRPr="00606103">
        <w:rPr>
          <w:rFonts w:asciiTheme="majorHAnsi" w:eastAsia="SimSun" w:hAnsiTheme="majorHAnsi" w:cstheme="majorHAnsi"/>
          <w:sz w:val="24"/>
          <w:szCs w:val="24"/>
          <w:lang w:val="ro-MD"/>
        </w:rPr>
        <w:t>bugetului de stat</w:t>
      </w:r>
      <w:r w:rsidRPr="00606103">
        <w:rPr>
          <w:rFonts w:asciiTheme="majorHAnsi" w:eastAsia="SimSun" w:hAnsiTheme="majorHAnsi" w:cstheme="majorHAnsi"/>
          <w:sz w:val="24"/>
          <w:szCs w:val="24"/>
          <w:lang w:val="ro-MD"/>
        </w:rPr>
        <w:t xml:space="preserve"> în termenul prevăzut de calendarul bugetar, în conformitate cu cadrul de raportare aplicabil și asigurarea publicării acestuia</w:t>
      </w:r>
      <w:r w:rsidRPr="00606103">
        <w:rPr>
          <w:rFonts w:asciiTheme="majorHAnsi" w:hAnsiTheme="majorHAnsi" w:cstheme="majorHAnsi"/>
          <w:sz w:val="24"/>
          <w:szCs w:val="24"/>
          <w:vertAlign w:val="superscript"/>
          <w:lang w:val="ro-MD" w:eastAsia="ro-RO"/>
        </w:rPr>
        <w:footnoteReference w:id="130"/>
      </w:r>
      <w:r w:rsidRPr="00606103">
        <w:rPr>
          <w:rFonts w:asciiTheme="majorHAnsi" w:hAnsiTheme="majorHAnsi" w:cstheme="majorHAnsi"/>
          <w:sz w:val="24"/>
          <w:szCs w:val="24"/>
          <w:lang w:val="ro-MD"/>
        </w:rPr>
        <w:t>.</w:t>
      </w:r>
      <w:r w:rsidRPr="00606103">
        <w:rPr>
          <w:rFonts w:asciiTheme="majorHAnsi" w:eastAsia="Calibri" w:hAnsiTheme="majorHAnsi" w:cstheme="majorHAnsi"/>
          <w:sz w:val="24"/>
          <w:szCs w:val="24"/>
          <w:lang w:val="ro-MD" w:eastAsia="ru-RU"/>
        </w:rPr>
        <w:t xml:space="preserve"> Totodată, în calitate de autoritate publică centrală în domeniul finanțelor publice, MF este responsabil de: </w:t>
      </w:r>
      <w:r w:rsidRPr="00606103">
        <w:rPr>
          <w:rFonts w:asciiTheme="majorHAnsi" w:eastAsia="Calibri" w:hAnsiTheme="majorHAnsi" w:cstheme="majorHAnsi"/>
          <w:b/>
          <w:sz w:val="24"/>
          <w:szCs w:val="24"/>
          <w:lang w:val="ro-MD" w:eastAsia="ru-RU"/>
        </w:rPr>
        <w:t>(i)</w:t>
      </w:r>
      <w:r w:rsidRPr="00606103">
        <w:rPr>
          <w:rFonts w:asciiTheme="majorHAnsi" w:eastAsia="Calibri" w:hAnsiTheme="majorHAnsi" w:cstheme="majorHAnsi"/>
          <w:sz w:val="24"/>
          <w:szCs w:val="24"/>
          <w:lang w:val="ro-MD" w:eastAsia="ru-RU"/>
        </w:rPr>
        <w:t xml:space="preserve"> </w:t>
      </w:r>
      <w:r w:rsidRPr="00606103">
        <w:rPr>
          <w:rFonts w:asciiTheme="majorHAnsi" w:hAnsiTheme="majorHAnsi" w:cstheme="majorHAnsi"/>
          <w:sz w:val="24"/>
          <w:szCs w:val="24"/>
          <w:lang w:val="ro-MD"/>
        </w:rPr>
        <w:t xml:space="preserve">stabilirea activităților intermediare ale calendarului bugetar și monitorizarea implementării acestuia, precum și asigurarea coordonării generale a procesului bugetar; </w:t>
      </w:r>
      <w:r w:rsidRPr="00606103">
        <w:rPr>
          <w:rFonts w:asciiTheme="majorHAnsi" w:hAnsiTheme="majorHAnsi" w:cstheme="majorHAnsi"/>
          <w:b/>
          <w:sz w:val="24"/>
          <w:szCs w:val="24"/>
          <w:lang w:val="ro-MD"/>
        </w:rPr>
        <w:t>(ii)</w:t>
      </w:r>
      <w:r w:rsidRPr="00606103">
        <w:rPr>
          <w:rFonts w:asciiTheme="majorHAnsi" w:hAnsiTheme="majorHAnsi" w:cstheme="majorHAnsi"/>
          <w:sz w:val="24"/>
          <w:szCs w:val="24"/>
          <w:lang w:val="ro-MD"/>
        </w:rPr>
        <w:t xml:space="preserve"> elaborarea și asigurarea implementării politicii bugetar-fiscale în conformitate cu principiile și regulile bugetar-fiscale stabilite; </w:t>
      </w:r>
      <w:r w:rsidRPr="00606103">
        <w:rPr>
          <w:rFonts w:asciiTheme="majorHAnsi" w:hAnsiTheme="majorHAnsi" w:cstheme="majorHAnsi"/>
          <w:b/>
          <w:sz w:val="24"/>
          <w:szCs w:val="24"/>
          <w:lang w:val="ro-MD"/>
        </w:rPr>
        <w:t>(iii)</w:t>
      </w:r>
      <w:r w:rsidRPr="00606103">
        <w:rPr>
          <w:rFonts w:asciiTheme="majorHAnsi" w:hAnsiTheme="majorHAnsi" w:cstheme="majorHAnsi"/>
          <w:sz w:val="24"/>
          <w:szCs w:val="24"/>
          <w:lang w:val="ro-MD"/>
        </w:rPr>
        <w:t xml:space="preserve"> elaborarea și prezentarea Guvernului spre aprobare a CBTM etc.</w:t>
      </w:r>
    </w:p>
    <w:p w:rsidR="00C26645" w:rsidRPr="00606103" w:rsidRDefault="00C26645">
      <w:pPr>
        <w:spacing w:after="0" w:line="276" w:lineRule="auto"/>
        <w:rPr>
          <w:rFonts w:asciiTheme="majorHAnsi" w:eastAsia="Times New Roman" w:hAnsiTheme="majorHAnsi" w:cstheme="majorHAnsi"/>
          <w:sz w:val="24"/>
          <w:szCs w:val="24"/>
          <w:lang w:val="ro-MD"/>
        </w:rPr>
      </w:pPr>
      <w:r w:rsidRPr="00606103">
        <w:rPr>
          <w:rFonts w:asciiTheme="majorHAnsi" w:eastAsia="Times New Roman" w:hAnsiTheme="majorHAnsi" w:cstheme="majorHAnsi"/>
          <w:b/>
          <w:sz w:val="24"/>
          <w:szCs w:val="24"/>
          <w:lang w:val="ro-MD"/>
        </w:rPr>
        <w:t>Responsabilitatea autorităților/instituțiilor bugetare</w:t>
      </w:r>
      <w:r w:rsidRPr="00606103">
        <w:rPr>
          <w:rFonts w:asciiTheme="majorHAnsi" w:eastAsia="Times New Roman" w:hAnsiTheme="majorHAnsi" w:cstheme="majorHAnsi"/>
          <w:sz w:val="24"/>
          <w:szCs w:val="24"/>
          <w:lang w:val="ro-MD"/>
        </w:rPr>
        <w:t xml:space="preserve"> constă în întocmirea și prezentarea rapoartelor financiare în baza Legii contabilității și în conformitate cu termenele și cerințele stabilite de Ministerul Finanțelor</w:t>
      </w:r>
      <w:r w:rsidRPr="00606103">
        <w:rPr>
          <w:rFonts w:asciiTheme="majorHAnsi" w:eastAsia="Times New Roman" w:hAnsiTheme="majorHAnsi" w:cstheme="majorHAnsi"/>
          <w:sz w:val="24"/>
          <w:szCs w:val="24"/>
          <w:vertAlign w:val="superscript"/>
          <w:lang w:val="ro-MD"/>
        </w:rPr>
        <w:footnoteReference w:id="131"/>
      </w:r>
      <w:r w:rsidRPr="00606103">
        <w:rPr>
          <w:rFonts w:asciiTheme="majorHAnsi" w:eastAsia="Times New Roman" w:hAnsiTheme="majorHAnsi" w:cstheme="majorHAnsi"/>
          <w:sz w:val="24"/>
          <w:szCs w:val="24"/>
          <w:lang w:val="ro-MD"/>
        </w:rPr>
        <w:t>.</w:t>
      </w:r>
    </w:p>
    <w:p w:rsidR="00C26645" w:rsidRPr="00606103" w:rsidRDefault="00C26645" w:rsidP="00552746">
      <w:pPr>
        <w:numPr>
          <w:ilvl w:val="0"/>
          <w:numId w:val="7"/>
        </w:numPr>
        <w:tabs>
          <w:tab w:val="left" w:pos="0"/>
          <w:tab w:val="left" w:pos="426"/>
        </w:tabs>
        <w:spacing w:after="0" w:line="276" w:lineRule="auto"/>
        <w:ind w:left="0" w:firstLine="0"/>
        <w:contextualSpacing/>
        <w:outlineLvl w:val="0"/>
        <w:rPr>
          <w:rFonts w:asciiTheme="majorHAnsi" w:hAnsiTheme="majorHAnsi" w:cstheme="majorHAnsi"/>
          <w:b/>
          <w:szCs w:val="28"/>
          <w:lang w:val="ro-MD"/>
        </w:rPr>
      </w:pPr>
      <w:bookmarkStart w:id="3" w:name="_Toc9324231"/>
      <w:r w:rsidRPr="00606103">
        <w:rPr>
          <w:rFonts w:asciiTheme="majorHAnsi" w:hAnsiTheme="majorHAnsi" w:cstheme="majorHAnsi"/>
          <w:b/>
          <w:szCs w:val="28"/>
          <w:lang w:val="ro-MD"/>
        </w:rPr>
        <w:t>RESPONSABILITĂȚILE AUDITORULUI</w:t>
      </w:r>
      <w:bookmarkEnd w:id="3"/>
      <w:r w:rsidRPr="00606103">
        <w:rPr>
          <w:rFonts w:asciiTheme="majorHAnsi" w:hAnsiTheme="majorHAnsi" w:cstheme="majorHAnsi"/>
          <w:b/>
          <w:szCs w:val="28"/>
          <w:lang w:val="ro-MD"/>
        </w:rPr>
        <w:t xml:space="preserve"> ÎNTR-UN AUDIT AL RAPOARTELOR GUVERNULUI</w:t>
      </w:r>
    </w:p>
    <w:p w:rsidR="00C26645" w:rsidRPr="00606103" w:rsidRDefault="00C26645">
      <w:pPr>
        <w:tabs>
          <w:tab w:val="left" w:pos="720"/>
        </w:tabs>
        <w:spacing w:after="0" w:line="276" w:lineRule="auto"/>
        <w:contextualSpacing/>
        <w:rPr>
          <w:rFonts w:asciiTheme="majorHAnsi" w:hAnsiTheme="majorHAnsi" w:cstheme="majorHAnsi"/>
          <w:sz w:val="24"/>
          <w:szCs w:val="24"/>
          <w:lang w:val="ro-MD"/>
        </w:rPr>
      </w:pPr>
      <w:r w:rsidRPr="00606103">
        <w:rPr>
          <w:rFonts w:asciiTheme="majorHAnsi" w:hAnsiTheme="majorHAnsi" w:cstheme="majorHAnsi"/>
          <w:sz w:val="24"/>
          <w:szCs w:val="24"/>
          <w:lang w:val="ro-MD"/>
        </w:rPr>
        <w:t>Auditorul este responsabil de planificarea și realizarea misiunii de audit, cu obținerea probelor suficiente și adecvate în vederea susținerii bazei pentru opinia de audit.</w:t>
      </w:r>
    </w:p>
    <w:p w:rsidR="00C26645" w:rsidRPr="00606103" w:rsidRDefault="00C26645">
      <w:pPr>
        <w:tabs>
          <w:tab w:val="left" w:pos="720"/>
        </w:tabs>
        <w:spacing w:after="0" w:line="276" w:lineRule="auto"/>
        <w:contextualSpacing/>
        <w:rPr>
          <w:rFonts w:asciiTheme="majorHAnsi" w:hAnsiTheme="majorHAnsi" w:cstheme="majorHAnsi"/>
          <w:sz w:val="24"/>
          <w:szCs w:val="24"/>
          <w:lang w:val="ro-MD"/>
        </w:rPr>
      </w:pPr>
      <w:r w:rsidRPr="00606103">
        <w:rPr>
          <w:rFonts w:asciiTheme="majorHAnsi" w:hAnsiTheme="majorHAnsi" w:cstheme="majorHAnsi"/>
          <w:sz w:val="24"/>
          <w:szCs w:val="24"/>
          <w:lang w:val="ro-MD"/>
        </w:rPr>
        <w:lastRenderedPageBreak/>
        <w:t xml:space="preserve">Obiectivele auditorului sunt: obținerea unei asigurări rezonabile că </w:t>
      </w:r>
      <w:r w:rsidRPr="00606103">
        <w:rPr>
          <w:rFonts w:asciiTheme="majorHAnsi" w:hAnsiTheme="majorHAnsi" w:cstheme="majorHAnsi"/>
          <w:bCs/>
          <w:iCs/>
          <w:sz w:val="24"/>
          <w:szCs w:val="24"/>
          <w:lang w:val="ro-MD"/>
        </w:rPr>
        <w:t xml:space="preserve">Raportul Guvernului privind executarea bugetului de stat </w:t>
      </w:r>
      <w:r w:rsidRPr="00606103">
        <w:rPr>
          <w:rFonts w:asciiTheme="majorHAnsi" w:hAnsiTheme="majorHAnsi" w:cstheme="majorHAnsi"/>
          <w:sz w:val="24"/>
          <w:szCs w:val="24"/>
          <w:lang w:val="ro-MD"/>
        </w:rPr>
        <w:t>nu este afectat de denaturări semnificative, cauzate de fraude sau erori, precum și emiterea unei opinii.</w:t>
      </w:r>
    </w:p>
    <w:p w:rsidR="00C26645" w:rsidRPr="00606103" w:rsidRDefault="00C26645">
      <w:pPr>
        <w:tabs>
          <w:tab w:val="left" w:pos="720"/>
        </w:tabs>
        <w:spacing w:after="0" w:line="276" w:lineRule="auto"/>
        <w:contextualSpacing/>
        <w:rPr>
          <w:rFonts w:asciiTheme="majorHAnsi" w:hAnsiTheme="majorHAnsi" w:cstheme="majorHAnsi"/>
          <w:sz w:val="24"/>
          <w:szCs w:val="24"/>
          <w:lang w:val="ro-MD"/>
        </w:rPr>
      </w:pPr>
      <w:r w:rsidRPr="00606103">
        <w:rPr>
          <w:rFonts w:asciiTheme="majorHAnsi" w:hAnsiTheme="majorHAnsi" w:cstheme="majorHAnsi"/>
          <w:sz w:val="24"/>
          <w:szCs w:val="24"/>
          <w:lang w:val="ro-MD"/>
        </w:rPr>
        <w:t xml:space="preserve">Asigurarea rezonabilă este un nivel ridicat de asigurare, dar nu este o garanție că un audit efectuat în conformitate cu SIA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rsidR="00C26645" w:rsidRPr="00606103" w:rsidRDefault="00C26645">
      <w:pPr>
        <w:tabs>
          <w:tab w:val="left" w:pos="720"/>
        </w:tabs>
        <w:spacing w:after="0" w:line="276" w:lineRule="auto"/>
        <w:contextualSpacing/>
        <w:rPr>
          <w:rFonts w:asciiTheme="majorHAnsi" w:eastAsia="SimSun" w:hAnsiTheme="majorHAnsi" w:cstheme="majorHAnsi"/>
          <w:b/>
          <w:sz w:val="24"/>
          <w:szCs w:val="24"/>
          <w:lang w:val="ro-MD"/>
        </w:rPr>
      </w:pPr>
      <w:r w:rsidRPr="00606103">
        <w:rPr>
          <w:rFonts w:asciiTheme="majorHAnsi" w:eastAsia="SimSun" w:hAnsiTheme="majorHAnsi" w:cstheme="majorHAnsi"/>
          <w:i/>
          <w:sz w:val="24"/>
          <w:szCs w:val="24"/>
          <w:lang w:val="ro-MD"/>
        </w:rPr>
        <w:t xml:space="preserve">O informație mai detaliată privind responsabilitățile auditorului este prezentată pe pagina web a Curții de Conturi, la adresa: </w:t>
      </w:r>
      <w:hyperlink r:id="rId17" w:history="1">
        <w:r w:rsidRPr="00606103">
          <w:rPr>
            <w:rFonts w:asciiTheme="majorHAnsi" w:eastAsia="SimSun" w:hAnsiTheme="majorHAnsi" w:cstheme="majorHAnsi"/>
            <w:i/>
            <w:color w:val="0563C1" w:themeColor="hyperlink"/>
            <w:sz w:val="24"/>
            <w:szCs w:val="24"/>
            <w:u w:val="single"/>
            <w:lang w:val="ro-MD"/>
          </w:rPr>
          <w:t>http://www.ccrm.md/activitatea-curtii-de-conturi-1-25</w:t>
        </w:r>
      </w:hyperlink>
      <w:r w:rsidRPr="00606103">
        <w:rPr>
          <w:rFonts w:asciiTheme="majorHAnsi" w:eastAsia="SimSun" w:hAnsiTheme="majorHAnsi" w:cstheme="majorHAnsi"/>
          <w:i/>
          <w:sz w:val="24"/>
          <w:szCs w:val="24"/>
          <w:lang w:val="ro-MD"/>
        </w:rPr>
        <w:t>.</w:t>
      </w:r>
      <w:r w:rsidRPr="00606103">
        <w:rPr>
          <w:rFonts w:asciiTheme="majorHAnsi" w:eastAsia="SimSun" w:hAnsiTheme="majorHAnsi" w:cstheme="majorHAnsi"/>
          <w:sz w:val="24"/>
          <w:szCs w:val="24"/>
          <w:lang w:val="ro-MD"/>
        </w:rPr>
        <w:t xml:space="preserve"> </w:t>
      </w:r>
    </w:p>
    <w:p w:rsidR="00C26645" w:rsidRPr="00606103" w:rsidRDefault="00C26645">
      <w:pPr>
        <w:tabs>
          <w:tab w:val="left" w:pos="993"/>
        </w:tabs>
        <w:spacing w:after="0" w:line="276" w:lineRule="auto"/>
        <w:rPr>
          <w:rFonts w:asciiTheme="majorHAnsi" w:hAnsiTheme="majorHAnsi" w:cstheme="majorHAnsi"/>
          <w:b/>
          <w:szCs w:val="28"/>
          <w:lang w:val="ro-MD"/>
        </w:rPr>
      </w:pPr>
    </w:p>
    <w:p w:rsidR="00C26645" w:rsidRPr="00606103" w:rsidRDefault="00C26645">
      <w:pPr>
        <w:tabs>
          <w:tab w:val="left" w:pos="993"/>
        </w:tabs>
        <w:spacing w:after="0" w:line="276" w:lineRule="auto"/>
        <w:rPr>
          <w:rFonts w:asciiTheme="majorHAnsi" w:hAnsiTheme="majorHAnsi" w:cstheme="majorHAnsi"/>
          <w:b/>
          <w:szCs w:val="28"/>
          <w:lang w:val="ro-MD"/>
        </w:rPr>
      </w:pPr>
      <w:r w:rsidRPr="00606103">
        <w:rPr>
          <w:rFonts w:asciiTheme="majorHAnsi" w:hAnsiTheme="majorHAnsi" w:cstheme="majorHAnsi"/>
          <w:b/>
          <w:szCs w:val="28"/>
          <w:lang w:val="ro-MD"/>
        </w:rPr>
        <w:t>SEMNĂTURA AUDITORULUI</w:t>
      </w:r>
    </w:p>
    <w:p w:rsidR="00C26645" w:rsidRPr="00606103" w:rsidRDefault="00C26645">
      <w:pPr>
        <w:spacing w:after="0" w:line="276" w:lineRule="auto"/>
        <w:jc w:val="left"/>
        <w:rPr>
          <w:rFonts w:asciiTheme="majorHAnsi" w:eastAsia="Times New Roman" w:hAnsiTheme="majorHAnsi" w:cstheme="majorHAnsi"/>
          <w:bCs/>
          <w:sz w:val="24"/>
          <w:szCs w:val="24"/>
          <w:lang w:val="ro-MD" w:eastAsia="ru-RU"/>
        </w:rPr>
      </w:pPr>
      <w:r w:rsidRPr="00606103">
        <w:rPr>
          <w:rFonts w:asciiTheme="majorHAnsi" w:eastAsia="Times New Roman" w:hAnsiTheme="majorHAnsi" w:cstheme="majorHAnsi"/>
          <w:iCs/>
          <w:sz w:val="24"/>
          <w:szCs w:val="24"/>
          <w:lang w:val="ro-MD" w:eastAsia="ru-RU"/>
        </w:rPr>
        <w:t>Șef</w:t>
      </w:r>
      <w:r w:rsidR="00BC6D81" w:rsidRPr="00606103">
        <w:rPr>
          <w:rFonts w:asciiTheme="majorHAnsi" w:eastAsia="Times New Roman" w:hAnsiTheme="majorHAnsi" w:cstheme="majorHAnsi"/>
          <w:iCs/>
          <w:sz w:val="24"/>
          <w:szCs w:val="24"/>
          <w:lang w:val="ro-MD" w:eastAsia="ru-RU"/>
        </w:rPr>
        <w:t>a</w:t>
      </w:r>
      <w:r w:rsidRPr="00606103">
        <w:rPr>
          <w:rFonts w:asciiTheme="majorHAnsi" w:eastAsia="Times New Roman" w:hAnsiTheme="majorHAnsi" w:cstheme="majorHAnsi"/>
          <w:iCs/>
          <w:sz w:val="24"/>
          <w:szCs w:val="24"/>
          <w:lang w:val="ro-MD" w:eastAsia="ru-RU"/>
        </w:rPr>
        <w:t xml:space="preserve"> echipei de audit,</w:t>
      </w:r>
      <w:r w:rsidRPr="00606103">
        <w:rPr>
          <w:rFonts w:asciiTheme="majorHAnsi" w:eastAsia="Times New Roman" w:hAnsiTheme="majorHAnsi" w:cstheme="majorHAnsi"/>
          <w:bCs/>
          <w:sz w:val="24"/>
          <w:szCs w:val="24"/>
          <w:lang w:val="ro-MD" w:eastAsia="ru-RU"/>
        </w:rPr>
        <w:t xml:space="preserve"> </w:t>
      </w:r>
    </w:p>
    <w:p w:rsidR="00C26645" w:rsidRPr="00606103" w:rsidRDefault="00C26645">
      <w:pPr>
        <w:spacing w:after="0" w:line="276" w:lineRule="auto"/>
        <w:jc w:val="left"/>
        <w:rPr>
          <w:rFonts w:asciiTheme="majorHAnsi" w:eastAsia="Times New Roman" w:hAnsiTheme="majorHAnsi" w:cstheme="majorHAnsi"/>
          <w:iCs/>
          <w:sz w:val="24"/>
          <w:szCs w:val="24"/>
          <w:lang w:val="ro-MD" w:eastAsia="ru-RU"/>
        </w:rPr>
      </w:pPr>
      <w:r w:rsidRPr="00606103">
        <w:rPr>
          <w:rFonts w:asciiTheme="majorHAnsi" w:hAnsiTheme="majorHAnsi" w:cstheme="majorHAnsi"/>
          <w:sz w:val="24"/>
          <w:szCs w:val="24"/>
          <w:lang w:val="ro-MD"/>
        </w:rPr>
        <w:t>audito</w:t>
      </w:r>
      <w:r w:rsidR="00BC6D81" w:rsidRPr="00606103">
        <w:rPr>
          <w:rFonts w:asciiTheme="majorHAnsi" w:hAnsiTheme="majorHAnsi" w:cstheme="majorHAnsi"/>
          <w:sz w:val="24"/>
          <w:szCs w:val="24"/>
          <w:lang w:val="ro-MD"/>
        </w:rPr>
        <w:t>a</w:t>
      </w:r>
      <w:r w:rsidRPr="00606103">
        <w:rPr>
          <w:rFonts w:asciiTheme="majorHAnsi" w:hAnsiTheme="majorHAnsi" w:cstheme="majorHAnsi"/>
          <w:sz w:val="24"/>
          <w:szCs w:val="24"/>
          <w:lang w:val="ro-MD"/>
        </w:rPr>
        <w:t>r</w:t>
      </w:r>
      <w:r w:rsidR="00BC6D81" w:rsidRPr="00606103">
        <w:rPr>
          <w:rFonts w:asciiTheme="majorHAnsi" w:hAnsiTheme="majorHAnsi" w:cstheme="majorHAnsi"/>
          <w:sz w:val="24"/>
          <w:szCs w:val="24"/>
          <w:lang w:val="ro-MD"/>
        </w:rPr>
        <w:t>e</w:t>
      </w:r>
      <w:r w:rsidRPr="00606103">
        <w:rPr>
          <w:rFonts w:asciiTheme="majorHAnsi" w:hAnsiTheme="majorHAnsi" w:cstheme="majorHAnsi"/>
          <w:sz w:val="24"/>
          <w:szCs w:val="24"/>
          <w:lang w:val="ro-MD"/>
        </w:rPr>
        <w:t xml:space="preserve"> public</w:t>
      </w:r>
      <w:r w:rsidR="00BC6D81" w:rsidRPr="00606103">
        <w:rPr>
          <w:rFonts w:asciiTheme="majorHAnsi" w:hAnsiTheme="majorHAnsi" w:cstheme="majorHAnsi"/>
          <w:sz w:val="24"/>
          <w:szCs w:val="24"/>
          <w:lang w:val="ro-MD"/>
        </w:rPr>
        <w:t>ă</w:t>
      </w:r>
      <w:r w:rsidRPr="00606103">
        <w:rPr>
          <w:rFonts w:asciiTheme="majorHAnsi" w:hAnsiTheme="majorHAnsi" w:cstheme="majorHAnsi"/>
          <w:sz w:val="24"/>
          <w:szCs w:val="24"/>
          <w:lang w:val="ro-MD"/>
        </w:rPr>
        <w:t xml:space="preserve"> principal</w:t>
      </w:r>
      <w:r w:rsidR="00BC6D81" w:rsidRPr="00606103">
        <w:rPr>
          <w:rFonts w:asciiTheme="majorHAnsi" w:hAnsiTheme="majorHAnsi" w:cstheme="majorHAnsi"/>
          <w:sz w:val="24"/>
          <w:szCs w:val="24"/>
          <w:lang w:val="ro-MD"/>
        </w:rPr>
        <w:t>ă</w:t>
      </w:r>
      <w:r w:rsidRPr="00606103">
        <w:rPr>
          <w:rFonts w:asciiTheme="majorHAnsi" w:hAnsiTheme="majorHAnsi" w:cstheme="majorHAnsi"/>
          <w:sz w:val="24"/>
          <w:szCs w:val="24"/>
          <w:lang w:val="ro-MD"/>
        </w:rPr>
        <w:t>,</w:t>
      </w:r>
      <w:r w:rsidR="00E95D93" w:rsidRPr="00606103">
        <w:rPr>
          <w:rFonts w:asciiTheme="majorHAnsi" w:hAnsiTheme="majorHAnsi" w:cstheme="majorHAnsi"/>
          <w:sz w:val="24"/>
          <w:szCs w:val="24"/>
          <w:lang w:val="ro-MD"/>
        </w:rPr>
        <w:t xml:space="preserve">            </w:t>
      </w:r>
      <w:r w:rsidR="00E95D93" w:rsidRPr="00606103">
        <w:rPr>
          <w:rFonts w:asciiTheme="majorHAnsi" w:eastAsia="Times New Roman" w:hAnsiTheme="majorHAnsi" w:cstheme="majorHAnsi"/>
          <w:iCs/>
          <w:sz w:val="24"/>
          <w:szCs w:val="24"/>
          <w:lang w:val="ro-MD" w:eastAsia="ru-RU"/>
        </w:rPr>
        <w:t xml:space="preserve">            </w:t>
      </w:r>
      <w:r w:rsidRPr="00606103">
        <w:rPr>
          <w:rFonts w:asciiTheme="majorHAnsi" w:eastAsia="Times New Roman" w:hAnsiTheme="majorHAnsi" w:cstheme="majorHAnsi"/>
          <w:iCs/>
          <w:sz w:val="24"/>
          <w:szCs w:val="24"/>
          <w:lang w:val="ro-MD" w:eastAsia="ru-RU"/>
        </w:rPr>
        <w:t xml:space="preserve"> </w:t>
      </w:r>
      <w:r w:rsidRPr="00606103">
        <w:rPr>
          <w:rFonts w:asciiTheme="majorHAnsi" w:eastAsia="Times New Roman" w:hAnsiTheme="majorHAnsi" w:cstheme="majorHAnsi"/>
          <w:bCs/>
          <w:sz w:val="24"/>
          <w:szCs w:val="24"/>
          <w:lang w:val="ro-MD" w:eastAsia="ru-RU"/>
        </w:rPr>
        <w:t>Svetlana Ostafi</w:t>
      </w:r>
    </w:p>
    <w:p w:rsidR="00C26645" w:rsidRPr="00606103" w:rsidRDefault="00C26645">
      <w:pPr>
        <w:tabs>
          <w:tab w:val="left" w:pos="993"/>
        </w:tabs>
        <w:spacing w:after="0" w:line="276" w:lineRule="auto"/>
        <w:rPr>
          <w:rFonts w:asciiTheme="majorHAnsi" w:hAnsiTheme="majorHAnsi" w:cstheme="majorHAnsi"/>
          <w:sz w:val="24"/>
          <w:szCs w:val="24"/>
          <w:lang w:val="ro-MD"/>
        </w:rPr>
      </w:pPr>
    </w:p>
    <w:p w:rsidR="00C26645" w:rsidRPr="00606103" w:rsidRDefault="00C26645">
      <w:pPr>
        <w:tabs>
          <w:tab w:val="left" w:pos="993"/>
        </w:tabs>
        <w:spacing w:after="0"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Audito</w:t>
      </w:r>
      <w:r w:rsidR="00BC6D81" w:rsidRPr="00606103">
        <w:rPr>
          <w:rFonts w:asciiTheme="majorHAnsi" w:hAnsiTheme="majorHAnsi" w:cstheme="majorHAnsi"/>
          <w:sz w:val="24"/>
          <w:szCs w:val="24"/>
          <w:lang w:val="ro-MD"/>
        </w:rPr>
        <w:t>a</w:t>
      </w:r>
      <w:r w:rsidRPr="00606103">
        <w:rPr>
          <w:rFonts w:asciiTheme="majorHAnsi" w:hAnsiTheme="majorHAnsi" w:cstheme="majorHAnsi"/>
          <w:sz w:val="24"/>
          <w:szCs w:val="24"/>
          <w:lang w:val="ro-MD"/>
        </w:rPr>
        <w:t>r</w:t>
      </w:r>
      <w:r w:rsidR="00BC6D81" w:rsidRPr="00606103">
        <w:rPr>
          <w:rFonts w:asciiTheme="majorHAnsi" w:hAnsiTheme="majorHAnsi" w:cstheme="majorHAnsi"/>
          <w:sz w:val="24"/>
          <w:szCs w:val="24"/>
          <w:lang w:val="ro-MD"/>
        </w:rPr>
        <w:t>e</w:t>
      </w:r>
      <w:r w:rsidRPr="00606103">
        <w:rPr>
          <w:rFonts w:asciiTheme="majorHAnsi" w:hAnsiTheme="majorHAnsi" w:cstheme="majorHAnsi"/>
          <w:sz w:val="24"/>
          <w:szCs w:val="24"/>
          <w:lang w:val="ro-MD"/>
        </w:rPr>
        <w:t xml:space="preserve"> public</w:t>
      </w:r>
      <w:r w:rsidR="00BC6D81" w:rsidRPr="00606103">
        <w:rPr>
          <w:rFonts w:asciiTheme="majorHAnsi" w:hAnsiTheme="majorHAnsi" w:cstheme="majorHAnsi"/>
          <w:sz w:val="24"/>
          <w:szCs w:val="24"/>
          <w:lang w:val="ro-MD"/>
        </w:rPr>
        <w:t>ă</w:t>
      </w:r>
      <w:r w:rsidRPr="00606103">
        <w:rPr>
          <w:rFonts w:asciiTheme="majorHAnsi" w:hAnsiTheme="majorHAnsi" w:cstheme="majorHAnsi"/>
          <w:sz w:val="24"/>
          <w:szCs w:val="24"/>
          <w:lang w:val="ro-MD"/>
        </w:rPr>
        <w:t xml:space="preserve"> superio</w:t>
      </w:r>
      <w:r w:rsidR="00BC6D81" w:rsidRPr="00606103">
        <w:rPr>
          <w:rFonts w:asciiTheme="majorHAnsi" w:hAnsiTheme="majorHAnsi" w:cstheme="majorHAnsi"/>
          <w:sz w:val="24"/>
          <w:szCs w:val="24"/>
          <w:lang w:val="ro-MD"/>
        </w:rPr>
        <w:t>a</w:t>
      </w:r>
      <w:r w:rsidRPr="00606103">
        <w:rPr>
          <w:rFonts w:asciiTheme="majorHAnsi" w:hAnsiTheme="majorHAnsi" w:cstheme="majorHAnsi"/>
          <w:sz w:val="24"/>
          <w:szCs w:val="24"/>
          <w:lang w:val="ro-MD"/>
        </w:rPr>
        <w:t>r</w:t>
      </w:r>
      <w:r w:rsidR="00BC6D81" w:rsidRPr="00606103">
        <w:rPr>
          <w:rFonts w:asciiTheme="majorHAnsi" w:hAnsiTheme="majorHAnsi" w:cstheme="majorHAnsi"/>
          <w:sz w:val="24"/>
          <w:szCs w:val="24"/>
          <w:lang w:val="ro-MD"/>
        </w:rPr>
        <w:t>ă</w:t>
      </w:r>
      <w:r w:rsidRPr="00606103">
        <w:rPr>
          <w:rFonts w:asciiTheme="majorHAnsi" w:hAnsiTheme="majorHAnsi" w:cstheme="majorHAnsi"/>
          <w:sz w:val="24"/>
          <w:szCs w:val="24"/>
          <w:lang w:val="ro-MD"/>
        </w:rPr>
        <w:t>,</w:t>
      </w:r>
      <w:r w:rsidR="00E95D93"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Vera Borșevschi</w:t>
      </w:r>
    </w:p>
    <w:p w:rsidR="00C26645" w:rsidRPr="00606103" w:rsidRDefault="00C26645">
      <w:pPr>
        <w:tabs>
          <w:tab w:val="left" w:pos="993"/>
        </w:tabs>
        <w:spacing w:after="0" w:line="276" w:lineRule="auto"/>
        <w:rPr>
          <w:rFonts w:asciiTheme="majorHAnsi" w:hAnsiTheme="majorHAnsi" w:cstheme="majorHAnsi"/>
          <w:sz w:val="24"/>
          <w:szCs w:val="24"/>
          <w:lang w:val="ro-MD"/>
        </w:rPr>
      </w:pPr>
    </w:p>
    <w:p w:rsidR="00C26645" w:rsidRPr="00606103" w:rsidRDefault="00C26645">
      <w:pPr>
        <w:tabs>
          <w:tab w:val="left" w:pos="993"/>
        </w:tabs>
        <w:spacing w:after="0" w:line="276" w:lineRule="auto"/>
        <w:rPr>
          <w:rFonts w:asciiTheme="majorHAnsi" w:hAnsiTheme="majorHAnsi" w:cstheme="majorHAnsi"/>
          <w:sz w:val="24"/>
          <w:szCs w:val="24"/>
          <w:lang w:val="ro-MD"/>
        </w:rPr>
      </w:pPr>
      <w:r w:rsidRPr="00606103">
        <w:rPr>
          <w:rFonts w:asciiTheme="majorHAnsi" w:hAnsiTheme="majorHAnsi" w:cstheme="majorHAnsi"/>
          <w:sz w:val="24"/>
          <w:szCs w:val="24"/>
          <w:lang w:val="ro-MD"/>
        </w:rPr>
        <w:t>Audito</w:t>
      </w:r>
      <w:r w:rsidR="00BC6D81" w:rsidRPr="00606103">
        <w:rPr>
          <w:rFonts w:asciiTheme="majorHAnsi" w:hAnsiTheme="majorHAnsi" w:cstheme="majorHAnsi"/>
          <w:sz w:val="24"/>
          <w:szCs w:val="24"/>
          <w:lang w:val="ro-MD"/>
        </w:rPr>
        <w:t>a</w:t>
      </w:r>
      <w:r w:rsidRPr="00606103">
        <w:rPr>
          <w:rFonts w:asciiTheme="majorHAnsi" w:hAnsiTheme="majorHAnsi" w:cstheme="majorHAnsi"/>
          <w:sz w:val="24"/>
          <w:szCs w:val="24"/>
          <w:lang w:val="ro-MD"/>
        </w:rPr>
        <w:t>r</w:t>
      </w:r>
      <w:r w:rsidR="00BC6D81" w:rsidRPr="00606103">
        <w:rPr>
          <w:rFonts w:asciiTheme="majorHAnsi" w:hAnsiTheme="majorHAnsi" w:cstheme="majorHAnsi"/>
          <w:sz w:val="24"/>
          <w:szCs w:val="24"/>
          <w:lang w:val="ro-MD"/>
        </w:rPr>
        <w:t>e</w:t>
      </w:r>
      <w:r w:rsidRPr="00606103">
        <w:rPr>
          <w:rFonts w:asciiTheme="majorHAnsi" w:hAnsiTheme="majorHAnsi" w:cstheme="majorHAnsi"/>
          <w:sz w:val="24"/>
          <w:szCs w:val="24"/>
          <w:lang w:val="ro-MD"/>
        </w:rPr>
        <w:t xml:space="preserve"> public</w:t>
      </w:r>
      <w:r w:rsidR="00BC6D81" w:rsidRPr="00606103">
        <w:rPr>
          <w:rFonts w:asciiTheme="majorHAnsi" w:hAnsiTheme="majorHAnsi" w:cstheme="majorHAnsi"/>
          <w:sz w:val="24"/>
          <w:szCs w:val="24"/>
          <w:lang w:val="ro-MD"/>
        </w:rPr>
        <w:t>ă</w:t>
      </w:r>
      <w:r w:rsidRPr="00606103">
        <w:rPr>
          <w:rFonts w:asciiTheme="majorHAnsi" w:hAnsiTheme="majorHAnsi" w:cstheme="majorHAnsi"/>
          <w:sz w:val="24"/>
          <w:szCs w:val="24"/>
          <w:lang w:val="ro-MD"/>
        </w:rPr>
        <w:t xml:space="preserve"> superio</w:t>
      </w:r>
      <w:r w:rsidR="00BC6D81" w:rsidRPr="00606103">
        <w:rPr>
          <w:rFonts w:asciiTheme="majorHAnsi" w:hAnsiTheme="majorHAnsi" w:cstheme="majorHAnsi"/>
          <w:sz w:val="24"/>
          <w:szCs w:val="24"/>
          <w:lang w:val="ro-MD"/>
        </w:rPr>
        <w:t>a</w:t>
      </w:r>
      <w:r w:rsidRPr="00606103">
        <w:rPr>
          <w:rFonts w:asciiTheme="majorHAnsi" w:hAnsiTheme="majorHAnsi" w:cstheme="majorHAnsi"/>
          <w:sz w:val="24"/>
          <w:szCs w:val="24"/>
          <w:lang w:val="ro-MD"/>
        </w:rPr>
        <w:t>r</w:t>
      </w:r>
      <w:r w:rsidR="00BC6D81" w:rsidRPr="00606103">
        <w:rPr>
          <w:rFonts w:asciiTheme="majorHAnsi" w:hAnsiTheme="majorHAnsi" w:cstheme="majorHAnsi"/>
          <w:sz w:val="24"/>
          <w:szCs w:val="24"/>
          <w:lang w:val="ro-MD"/>
        </w:rPr>
        <w:t>ă</w:t>
      </w:r>
      <w:r w:rsidRPr="00606103">
        <w:rPr>
          <w:rFonts w:asciiTheme="majorHAnsi" w:hAnsiTheme="majorHAnsi" w:cstheme="majorHAnsi"/>
          <w:sz w:val="24"/>
          <w:szCs w:val="24"/>
          <w:lang w:val="ro-MD"/>
        </w:rPr>
        <w:t>,</w:t>
      </w:r>
      <w:r w:rsidR="00E95D93" w:rsidRPr="00606103">
        <w:rPr>
          <w:rFonts w:asciiTheme="majorHAnsi" w:hAnsiTheme="majorHAnsi" w:cstheme="majorHAnsi"/>
          <w:sz w:val="24"/>
          <w:szCs w:val="24"/>
          <w:lang w:val="ro-MD"/>
        </w:rPr>
        <w:t xml:space="preserve">                         </w:t>
      </w:r>
      <w:r w:rsidRPr="00606103">
        <w:rPr>
          <w:rFonts w:asciiTheme="majorHAnsi" w:hAnsiTheme="majorHAnsi" w:cstheme="majorHAnsi"/>
          <w:sz w:val="24"/>
          <w:szCs w:val="24"/>
          <w:lang w:val="ro-MD"/>
        </w:rPr>
        <w:t>Natalia Cabac</w:t>
      </w:r>
    </w:p>
    <w:p w:rsidR="00C26645" w:rsidRPr="00606103" w:rsidRDefault="00C26645">
      <w:pPr>
        <w:tabs>
          <w:tab w:val="left" w:pos="993"/>
        </w:tabs>
        <w:spacing w:after="0" w:line="276" w:lineRule="auto"/>
        <w:rPr>
          <w:rFonts w:asciiTheme="majorHAnsi" w:hAnsiTheme="majorHAnsi" w:cstheme="majorHAnsi"/>
          <w:sz w:val="24"/>
          <w:szCs w:val="24"/>
          <w:lang w:val="ro-MD"/>
        </w:rPr>
      </w:pPr>
    </w:p>
    <w:p w:rsidR="00C26645" w:rsidRPr="00606103" w:rsidRDefault="00C26645">
      <w:pPr>
        <w:spacing w:after="0" w:line="276" w:lineRule="auto"/>
        <w:jc w:val="left"/>
        <w:rPr>
          <w:rFonts w:asciiTheme="majorHAnsi" w:eastAsia="Times New Roman" w:hAnsiTheme="majorHAnsi" w:cstheme="majorHAnsi"/>
          <w:b/>
          <w:bCs/>
          <w:i/>
          <w:iCs/>
          <w:sz w:val="24"/>
          <w:szCs w:val="24"/>
          <w:lang w:val="ro-MD"/>
        </w:rPr>
      </w:pPr>
      <w:r w:rsidRPr="00606103">
        <w:rPr>
          <w:rFonts w:asciiTheme="majorHAnsi" w:eastAsia="Times New Roman" w:hAnsiTheme="majorHAnsi" w:cstheme="majorHAnsi"/>
          <w:b/>
          <w:bCs/>
          <w:i/>
          <w:iCs/>
          <w:sz w:val="24"/>
          <w:szCs w:val="24"/>
          <w:lang w:val="ro-MD"/>
        </w:rPr>
        <w:t>Responsabil</w:t>
      </w:r>
      <w:r w:rsidR="00BC6D81" w:rsidRPr="00606103">
        <w:rPr>
          <w:rFonts w:asciiTheme="majorHAnsi" w:eastAsia="Times New Roman" w:hAnsiTheme="majorHAnsi" w:cstheme="majorHAnsi"/>
          <w:b/>
          <w:bCs/>
          <w:i/>
          <w:iCs/>
          <w:sz w:val="24"/>
          <w:szCs w:val="24"/>
          <w:lang w:val="ro-MD"/>
        </w:rPr>
        <w:t>ă</w:t>
      </w:r>
      <w:r w:rsidRPr="00606103">
        <w:rPr>
          <w:rFonts w:asciiTheme="majorHAnsi" w:eastAsia="Times New Roman" w:hAnsiTheme="majorHAnsi" w:cstheme="majorHAnsi"/>
          <w:b/>
          <w:bCs/>
          <w:i/>
          <w:iCs/>
          <w:sz w:val="24"/>
          <w:szCs w:val="24"/>
          <w:lang w:val="ro-MD"/>
        </w:rPr>
        <w:t xml:space="preserve"> de audit: </w:t>
      </w:r>
    </w:p>
    <w:p w:rsidR="00C26645" w:rsidRDefault="00C26645">
      <w:pPr>
        <w:tabs>
          <w:tab w:val="left" w:pos="1080"/>
        </w:tabs>
        <w:spacing w:line="276" w:lineRule="auto"/>
        <w:contextualSpacing/>
        <w:rPr>
          <w:rFonts w:asciiTheme="majorHAnsi" w:eastAsia="Times New Roman" w:hAnsiTheme="majorHAnsi" w:cstheme="majorHAnsi"/>
          <w:sz w:val="24"/>
          <w:szCs w:val="24"/>
          <w:lang w:val="ro-MD"/>
        </w:rPr>
      </w:pPr>
      <w:r w:rsidRPr="00606103">
        <w:rPr>
          <w:rFonts w:asciiTheme="majorHAnsi" w:eastAsia="Times New Roman" w:hAnsiTheme="majorHAnsi" w:cstheme="majorHAnsi"/>
          <w:sz w:val="24"/>
          <w:szCs w:val="24"/>
          <w:lang w:val="ro-MD"/>
        </w:rPr>
        <w:t>Șef</w:t>
      </w:r>
      <w:r w:rsidR="00BC6D81" w:rsidRPr="00606103">
        <w:rPr>
          <w:rFonts w:asciiTheme="majorHAnsi" w:eastAsia="Times New Roman" w:hAnsiTheme="majorHAnsi" w:cstheme="majorHAnsi"/>
          <w:sz w:val="24"/>
          <w:szCs w:val="24"/>
          <w:lang w:val="ro-MD"/>
        </w:rPr>
        <w:t>a</w:t>
      </w:r>
      <w:r w:rsidRPr="00606103">
        <w:rPr>
          <w:rFonts w:asciiTheme="majorHAnsi" w:eastAsia="Times New Roman" w:hAnsiTheme="majorHAnsi" w:cstheme="majorHAnsi"/>
          <w:sz w:val="24"/>
          <w:szCs w:val="24"/>
          <w:lang w:val="ro-MD"/>
        </w:rPr>
        <w:t xml:space="preserve"> Direcției generale audit I,</w:t>
      </w:r>
      <w:r w:rsidR="00E95D93" w:rsidRPr="00606103">
        <w:rPr>
          <w:rFonts w:asciiTheme="majorHAnsi" w:eastAsia="Times New Roman" w:hAnsiTheme="majorHAnsi" w:cstheme="majorHAnsi"/>
          <w:sz w:val="24"/>
          <w:szCs w:val="24"/>
          <w:lang w:val="ro-MD"/>
        </w:rPr>
        <w:t xml:space="preserve">                      </w:t>
      </w:r>
      <w:r w:rsidRPr="00606103">
        <w:rPr>
          <w:rFonts w:asciiTheme="majorHAnsi" w:eastAsia="Times New Roman" w:hAnsiTheme="majorHAnsi" w:cstheme="majorHAnsi"/>
          <w:sz w:val="24"/>
          <w:szCs w:val="24"/>
          <w:lang w:val="ro-MD"/>
        </w:rPr>
        <w:t>Natalia Trofim</w:t>
      </w:r>
    </w:p>
    <w:p w:rsidR="00082C8F" w:rsidRDefault="00082C8F">
      <w:pPr>
        <w:jc w:val="left"/>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br w:type="page"/>
      </w:r>
    </w:p>
    <w:p w:rsidR="001C2BF4" w:rsidRPr="00606103" w:rsidRDefault="001C2BF4" w:rsidP="00552746">
      <w:pPr>
        <w:numPr>
          <w:ilvl w:val="0"/>
          <w:numId w:val="7"/>
        </w:numPr>
        <w:tabs>
          <w:tab w:val="left" w:pos="426"/>
        </w:tabs>
        <w:spacing w:line="276" w:lineRule="auto"/>
        <w:ind w:left="0" w:firstLine="0"/>
        <w:contextualSpacing/>
        <w:rPr>
          <w:rFonts w:asciiTheme="majorHAnsi" w:hAnsiTheme="majorHAnsi" w:cstheme="majorHAnsi"/>
          <w:b/>
          <w:lang w:val="ro-MD"/>
        </w:rPr>
      </w:pPr>
      <w:r w:rsidRPr="00606103">
        <w:rPr>
          <w:rFonts w:asciiTheme="majorHAnsi" w:hAnsiTheme="majorHAnsi" w:cstheme="majorHAnsi"/>
          <w:b/>
          <w:lang w:val="ro-MD"/>
        </w:rPr>
        <w:lastRenderedPageBreak/>
        <w:t>ANEXE</w:t>
      </w:r>
    </w:p>
    <w:p w:rsidR="001C2BF4" w:rsidRPr="00606103" w:rsidRDefault="001C2BF4">
      <w:pPr>
        <w:spacing w:line="276" w:lineRule="auto"/>
        <w:jc w:val="right"/>
        <w:rPr>
          <w:rFonts w:asciiTheme="majorHAnsi" w:hAnsiTheme="majorHAnsi" w:cstheme="majorHAnsi"/>
          <w:b/>
          <w:sz w:val="24"/>
          <w:szCs w:val="24"/>
          <w:lang w:val="ro-MD"/>
        </w:rPr>
      </w:pPr>
      <w:r w:rsidRPr="00606103">
        <w:rPr>
          <w:rFonts w:asciiTheme="majorHAnsi" w:hAnsiTheme="majorHAnsi" w:cstheme="majorHAnsi"/>
          <w:b/>
          <w:sz w:val="24"/>
          <w:szCs w:val="24"/>
          <w:lang w:val="ro-MD"/>
        </w:rPr>
        <w:t>Anexa nr.1</w:t>
      </w:r>
    </w:p>
    <w:p w:rsidR="001C2BF4" w:rsidRPr="00606103" w:rsidRDefault="001C2BF4">
      <w:pPr>
        <w:spacing w:after="0" w:line="276" w:lineRule="auto"/>
        <w:jc w:val="center"/>
        <w:rPr>
          <w:rFonts w:asciiTheme="majorHAnsi" w:hAnsiTheme="majorHAnsi" w:cstheme="majorHAnsi"/>
          <w:b/>
          <w:sz w:val="24"/>
          <w:szCs w:val="24"/>
          <w:lang w:val="ro-MD"/>
        </w:rPr>
      </w:pPr>
      <w:r w:rsidRPr="00606103">
        <w:rPr>
          <w:rFonts w:asciiTheme="majorHAnsi" w:hAnsiTheme="majorHAnsi" w:cstheme="majorHAnsi"/>
          <w:b/>
          <w:sz w:val="24"/>
          <w:szCs w:val="24"/>
          <w:lang w:val="ro-MD"/>
        </w:rPr>
        <w:t xml:space="preserve">Componența și formatul formularelor la Raportul anual privind executarea bugetului de stat </w:t>
      </w:r>
    </w:p>
    <w:p w:rsidR="001C2BF4" w:rsidRPr="00606103" w:rsidRDefault="001C2BF4">
      <w:pPr>
        <w:spacing w:after="0" w:line="276" w:lineRule="auto"/>
        <w:jc w:val="center"/>
        <w:rPr>
          <w:rFonts w:asciiTheme="majorHAnsi" w:hAnsiTheme="majorHAnsi" w:cstheme="majorHAnsi"/>
          <w:b/>
          <w:sz w:val="24"/>
          <w:szCs w:val="24"/>
          <w:lang w:val="ro-MD"/>
        </w:rPr>
      </w:pPr>
      <w:r w:rsidRPr="00606103">
        <w:rPr>
          <w:rFonts w:asciiTheme="majorHAnsi" w:hAnsiTheme="majorHAnsi" w:cstheme="majorHAnsi"/>
          <w:b/>
          <w:sz w:val="24"/>
          <w:szCs w:val="24"/>
          <w:lang w:val="ro-MD"/>
        </w:rPr>
        <w:t>pe anul 2021</w:t>
      </w:r>
    </w:p>
    <w:tbl>
      <w:tblPr>
        <w:tblStyle w:val="TableGrid23"/>
        <w:tblW w:w="10174" w:type="dxa"/>
        <w:tblInd w:w="-572" w:type="dxa"/>
        <w:tblLayout w:type="fixed"/>
        <w:tblLook w:val="04A0" w:firstRow="1" w:lastRow="0" w:firstColumn="1" w:lastColumn="0" w:noHBand="0" w:noVBand="1"/>
      </w:tblPr>
      <w:tblGrid>
        <w:gridCol w:w="1532"/>
        <w:gridCol w:w="8642"/>
      </w:tblGrid>
      <w:tr w:rsidR="001C2BF4" w:rsidRPr="00606103" w:rsidTr="007E3F1A">
        <w:trPr>
          <w:trHeight w:val="303"/>
        </w:trPr>
        <w:tc>
          <w:tcPr>
            <w:tcW w:w="1532" w:type="dxa"/>
            <w:tcBorders>
              <w:right w:val="single" w:sz="12" w:space="0" w:color="auto"/>
            </w:tcBorders>
          </w:tcPr>
          <w:p w:rsidR="001C2BF4" w:rsidRPr="00606103" w:rsidRDefault="001C2BF4">
            <w:pPr>
              <w:spacing w:line="276" w:lineRule="auto"/>
              <w:jc w:val="center"/>
              <w:rPr>
                <w:rFonts w:asciiTheme="majorHAnsi" w:eastAsia="Times New Roman" w:hAnsiTheme="majorHAnsi" w:cstheme="majorHAnsi"/>
                <w:b/>
                <w:bCs/>
                <w:iCs/>
                <w:sz w:val="18"/>
                <w:szCs w:val="18"/>
                <w:lang w:val="ro-MD" w:eastAsia="ru-RU"/>
              </w:rPr>
            </w:pPr>
            <w:r w:rsidRPr="00606103">
              <w:rPr>
                <w:rFonts w:asciiTheme="majorHAnsi" w:eastAsia="Times New Roman" w:hAnsiTheme="majorHAnsi" w:cstheme="majorHAnsi"/>
                <w:b/>
                <w:bCs/>
                <w:iCs/>
                <w:sz w:val="18"/>
                <w:szCs w:val="18"/>
                <w:lang w:val="ro-MD" w:eastAsia="ru-RU"/>
              </w:rPr>
              <w:t>Nr. formularului</w:t>
            </w:r>
          </w:p>
        </w:tc>
        <w:tc>
          <w:tcPr>
            <w:tcW w:w="8642" w:type="dxa"/>
            <w:tcBorders>
              <w:left w:val="single" w:sz="12" w:space="0" w:color="auto"/>
              <w:right w:val="single" w:sz="12" w:space="0" w:color="auto"/>
            </w:tcBorders>
          </w:tcPr>
          <w:p w:rsidR="001C2BF4" w:rsidRPr="00606103" w:rsidRDefault="001C2BF4">
            <w:pPr>
              <w:spacing w:line="276" w:lineRule="auto"/>
              <w:jc w:val="center"/>
              <w:rPr>
                <w:rFonts w:asciiTheme="majorHAnsi" w:eastAsia="Times New Roman" w:hAnsiTheme="majorHAnsi" w:cstheme="majorHAnsi"/>
                <w:b/>
                <w:bCs/>
                <w:iCs/>
                <w:sz w:val="18"/>
                <w:szCs w:val="18"/>
                <w:lang w:val="ro-MD" w:eastAsia="ru-RU"/>
              </w:rPr>
            </w:pPr>
            <w:r w:rsidRPr="00606103">
              <w:rPr>
                <w:rFonts w:asciiTheme="majorHAnsi" w:eastAsia="Times New Roman" w:hAnsiTheme="majorHAnsi" w:cstheme="majorHAnsi"/>
                <w:b/>
                <w:bCs/>
                <w:iCs/>
                <w:sz w:val="18"/>
                <w:szCs w:val="18"/>
                <w:lang w:val="ro-MD" w:eastAsia="ru-RU"/>
              </w:rPr>
              <w:t>Denumirea conform Ordinului MF nr.18 din 27.01.2021</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nr.1*</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indicatorilor generali și surselor de finanțare ale bugetului de stat pe anul 2021 (conform Anexei nr.1 la</w:t>
            </w:r>
            <w:r w:rsidRPr="00606103">
              <w:rPr>
                <w:rFonts w:asciiTheme="majorHAnsi" w:hAnsiTheme="majorHAnsi" w:cstheme="majorHAnsi"/>
                <w:sz w:val="18"/>
                <w:szCs w:val="18"/>
                <w:lang w:val="ro-MD"/>
              </w:rPr>
              <w:t xml:space="preserve"> </w:t>
            </w:r>
            <w:r w:rsidRPr="00606103">
              <w:rPr>
                <w:rFonts w:asciiTheme="majorHAnsi" w:eastAsia="Times New Roman" w:hAnsiTheme="majorHAnsi" w:cstheme="majorHAnsi"/>
                <w:bCs/>
                <w:iCs/>
                <w:sz w:val="18"/>
                <w:szCs w:val="18"/>
                <w:lang w:val="ro-MD" w:eastAsia="ru-RU"/>
              </w:rPr>
              <w:t>Legea bugetului de stat pe anul 2021)</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nr.2*</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veniturilor bugetului de stat și surselor de finanțare a soldului bugetar pe anul 2021 (conform Anexei nr.2</w:t>
            </w:r>
            <w:r w:rsidRPr="00606103">
              <w:rPr>
                <w:rFonts w:asciiTheme="majorHAnsi" w:hAnsiTheme="majorHAnsi" w:cstheme="majorHAnsi"/>
                <w:sz w:val="18"/>
                <w:szCs w:val="18"/>
                <w:lang w:val="ro-MD"/>
              </w:rPr>
              <w:t xml:space="preserve"> la </w:t>
            </w:r>
            <w:r w:rsidRPr="00606103">
              <w:rPr>
                <w:rFonts w:asciiTheme="majorHAnsi" w:eastAsia="Times New Roman" w:hAnsiTheme="majorHAnsi" w:cstheme="majorHAnsi"/>
                <w:bCs/>
                <w:iCs/>
                <w:sz w:val="18"/>
                <w:szCs w:val="18"/>
                <w:lang w:val="ro-MD" w:eastAsia="ru-RU"/>
              </w:rPr>
              <w:t>Legea bugetului de stat pe anul 2021)</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nr.3*</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bugetelor autorităților finanțate de la bugetul de stat la partea de cheltuieli pe anul 2021 (conform Anexei nr.3</w:t>
            </w:r>
            <w:r w:rsidRPr="00606103">
              <w:rPr>
                <w:rFonts w:asciiTheme="majorHAnsi" w:hAnsiTheme="majorHAnsi" w:cstheme="majorHAnsi"/>
                <w:sz w:val="18"/>
                <w:szCs w:val="18"/>
                <w:lang w:val="ro-MD"/>
              </w:rPr>
              <w:t xml:space="preserve"> la </w:t>
            </w:r>
            <w:r w:rsidRPr="00606103">
              <w:rPr>
                <w:rFonts w:asciiTheme="majorHAnsi" w:eastAsia="Times New Roman" w:hAnsiTheme="majorHAnsi" w:cstheme="majorHAnsi"/>
                <w:bCs/>
                <w:iCs/>
                <w:sz w:val="18"/>
                <w:szCs w:val="18"/>
                <w:lang w:val="ro-MD" w:eastAsia="ru-RU"/>
              </w:rPr>
              <w:t>Legea bugetului de stat pe anul 2021)</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nr.3.1</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bugetelor autorităților finanțate de la bugetul de stat la partea de resurse totale pe anul 2021 (conform Anexei nr.3</w:t>
            </w:r>
            <w:r w:rsidRPr="00606103">
              <w:rPr>
                <w:rFonts w:asciiTheme="majorHAnsi" w:hAnsiTheme="majorHAnsi" w:cstheme="majorHAnsi"/>
                <w:sz w:val="18"/>
                <w:szCs w:val="18"/>
                <w:lang w:val="ro-MD"/>
              </w:rPr>
              <w:t xml:space="preserve"> la </w:t>
            </w:r>
            <w:r w:rsidRPr="00606103">
              <w:rPr>
                <w:rFonts w:asciiTheme="majorHAnsi" w:eastAsia="Times New Roman" w:hAnsiTheme="majorHAnsi" w:cstheme="majorHAnsi"/>
                <w:bCs/>
                <w:iCs/>
                <w:sz w:val="18"/>
                <w:szCs w:val="18"/>
                <w:lang w:val="ro-MD" w:eastAsia="ru-RU"/>
              </w:rPr>
              <w:t xml:space="preserve">Legea bugetului de stat pe anul 2021) </w:t>
            </w:r>
          </w:p>
        </w:tc>
      </w:tr>
      <w:tr w:rsidR="001C2BF4" w:rsidRPr="00606103" w:rsidTr="007E3F1A">
        <w:trPr>
          <w:trHeight w:val="516"/>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nr.3.2</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bugetelor autorităților finanțate de la bugetul de stat la partea de resurse generale pe anul 2021 (conform Anexei nr.3 la</w:t>
            </w:r>
            <w:r w:rsidRPr="00606103">
              <w:rPr>
                <w:rFonts w:asciiTheme="majorHAnsi" w:hAnsiTheme="majorHAnsi" w:cstheme="majorHAnsi"/>
                <w:sz w:val="18"/>
                <w:szCs w:val="18"/>
                <w:lang w:val="ro-MD"/>
              </w:rPr>
              <w:t xml:space="preserve"> </w:t>
            </w:r>
            <w:r w:rsidRPr="00606103">
              <w:rPr>
                <w:rFonts w:asciiTheme="majorHAnsi" w:eastAsia="Times New Roman" w:hAnsiTheme="majorHAnsi" w:cstheme="majorHAnsi"/>
                <w:bCs/>
                <w:iCs/>
                <w:sz w:val="18"/>
                <w:szCs w:val="18"/>
                <w:lang w:val="ro-MD" w:eastAsia="ru-RU"/>
              </w:rPr>
              <w:t xml:space="preserve">Legea bugetului de stat pe anul 2021) </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nr.3.3</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bugetelor autorităților finanțate de la bugetul de stat la partea de venituri colectate pe anul 2021 (conform Anexei nr.3 la</w:t>
            </w:r>
            <w:r w:rsidRPr="00606103">
              <w:rPr>
                <w:rFonts w:asciiTheme="majorHAnsi" w:hAnsiTheme="majorHAnsi" w:cstheme="majorHAnsi"/>
                <w:sz w:val="18"/>
                <w:szCs w:val="18"/>
                <w:lang w:val="ro-MD"/>
              </w:rPr>
              <w:t xml:space="preserve"> </w:t>
            </w:r>
            <w:r w:rsidRPr="00606103">
              <w:rPr>
                <w:rFonts w:asciiTheme="majorHAnsi" w:eastAsia="Times New Roman" w:hAnsiTheme="majorHAnsi" w:cstheme="majorHAnsi"/>
                <w:bCs/>
                <w:iCs/>
                <w:sz w:val="18"/>
                <w:szCs w:val="18"/>
                <w:lang w:val="ro-MD" w:eastAsia="ru-RU"/>
              </w:rPr>
              <w:t xml:space="preserve">Legea bugetului de stat pe anul 2021) </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nr.3.4</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bugetelor autorităților finanțate de la bugetul de stat la partea de resurse ale proiectelor finanțate din surse externe pe anul 2021 (conform Anexei nr.3</w:t>
            </w:r>
            <w:r w:rsidRPr="00606103">
              <w:rPr>
                <w:rFonts w:asciiTheme="majorHAnsi" w:hAnsiTheme="majorHAnsi" w:cstheme="majorHAnsi"/>
                <w:sz w:val="18"/>
                <w:szCs w:val="18"/>
                <w:lang w:val="ro-MD"/>
              </w:rPr>
              <w:t xml:space="preserve"> la </w:t>
            </w:r>
            <w:r w:rsidRPr="00606103">
              <w:rPr>
                <w:rFonts w:asciiTheme="majorHAnsi" w:eastAsia="Times New Roman" w:hAnsiTheme="majorHAnsi" w:cstheme="majorHAnsi"/>
                <w:bCs/>
                <w:iCs/>
                <w:sz w:val="18"/>
                <w:szCs w:val="18"/>
                <w:lang w:val="ro-MD" w:eastAsia="ru-RU"/>
              </w:rPr>
              <w:t>Legea bugetului de stat pe anul 2021)</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nr.4*</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cheltuielilor bugetului de stat conform clasificației funcționale pe anul 2021 ( conform Anexei nr.4</w:t>
            </w:r>
            <w:r w:rsidRPr="00606103">
              <w:rPr>
                <w:rFonts w:asciiTheme="majorHAnsi" w:hAnsiTheme="majorHAnsi" w:cstheme="majorHAnsi"/>
                <w:sz w:val="18"/>
                <w:szCs w:val="18"/>
                <w:lang w:val="ro-MD"/>
              </w:rPr>
              <w:t xml:space="preserve"> la </w:t>
            </w:r>
            <w:r w:rsidRPr="00606103">
              <w:rPr>
                <w:rFonts w:asciiTheme="majorHAnsi" w:eastAsia="Times New Roman" w:hAnsiTheme="majorHAnsi" w:cstheme="majorHAnsi"/>
                <w:bCs/>
                <w:iCs/>
                <w:sz w:val="18"/>
                <w:szCs w:val="18"/>
                <w:lang w:val="ro-MD" w:eastAsia="ru-RU"/>
              </w:rPr>
              <w:t>Legea bugetului de stat pe anul 2021)</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nr.5*</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cheltuielilor de personal pe autorități publice centrale pe anul 2021 (conform Anexei nr.5</w:t>
            </w:r>
            <w:r w:rsidRPr="00606103">
              <w:rPr>
                <w:rFonts w:asciiTheme="majorHAnsi" w:hAnsiTheme="majorHAnsi" w:cstheme="majorHAnsi"/>
                <w:sz w:val="18"/>
                <w:szCs w:val="18"/>
                <w:lang w:val="ro-MD"/>
              </w:rPr>
              <w:t xml:space="preserve"> la </w:t>
            </w:r>
            <w:r w:rsidRPr="00606103">
              <w:rPr>
                <w:rFonts w:asciiTheme="majorHAnsi" w:eastAsia="Times New Roman" w:hAnsiTheme="majorHAnsi" w:cstheme="majorHAnsi"/>
                <w:bCs/>
                <w:iCs/>
                <w:sz w:val="18"/>
                <w:szCs w:val="18"/>
                <w:lang w:val="ro-MD" w:eastAsia="ru-RU"/>
              </w:rPr>
              <w:t>Legea bugetului de stat pe anul 2021)</w:t>
            </w:r>
          </w:p>
        </w:tc>
      </w:tr>
      <w:tr w:rsidR="001C2BF4" w:rsidRPr="00606103" w:rsidTr="007E3F1A">
        <w:trPr>
          <w:trHeight w:val="490"/>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nr.6*</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investițiilor capitale pe autorități publice centrale la total pe anul 2021 (conform Anexei nr.6</w:t>
            </w:r>
            <w:r w:rsidRPr="00606103">
              <w:rPr>
                <w:rFonts w:asciiTheme="majorHAnsi" w:hAnsiTheme="majorHAnsi" w:cstheme="majorHAnsi"/>
                <w:sz w:val="18"/>
                <w:szCs w:val="18"/>
                <w:lang w:val="ro-MD"/>
              </w:rPr>
              <w:t xml:space="preserve"> la </w:t>
            </w:r>
            <w:r w:rsidRPr="00606103">
              <w:rPr>
                <w:rFonts w:asciiTheme="majorHAnsi" w:eastAsia="Times New Roman" w:hAnsiTheme="majorHAnsi" w:cstheme="majorHAnsi"/>
                <w:bCs/>
                <w:iCs/>
                <w:sz w:val="18"/>
                <w:szCs w:val="18"/>
                <w:lang w:val="ro-MD" w:eastAsia="ru-RU"/>
              </w:rPr>
              <w:t>Legea bugetului de stat pe anul 2021)</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nr.6.1</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investițiilor capitale pe autorități publice centrale din contul resurselor generale și veniturilor colectate pe anul 2021 (conform Anexei nr.6</w:t>
            </w:r>
            <w:r w:rsidRPr="00606103">
              <w:rPr>
                <w:rFonts w:asciiTheme="majorHAnsi" w:hAnsiTheme="majorHAnsi" w:cstheme="majorHAnsi"/>
                <w:sz w:val="18"/>
                <w:szCs w:val="18"/>
                <w:lang w:val="ro-MD"/>
              </w:rPr>
              <w:t xml:space="preserve"> la </w:t>
            </w:r>
            <w:r w:rsidRPr="00606103">
              <w:rPr>
                <w:rFonts w:asciiTheme="majorHAnsi" w:eastAsia="Times New Roman" w:hAnsiTheme="majorHAnsi" w:cstheme="majorHAnsi"/>
                <w:bCs/>
                <w:iCs/>
                <w:sz w:val="18"/>
                <w:szCs w:val="18"/>
                <w:lang w:val="ro-MD" w:eastAsia="ru-RU"/>
              </w:rPr>
              <w:t>Legea bugetului de stat pe anul 2021)</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nr.6.2</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investițiilor capitale pe autorități publice centrale din contul proiectelor finanțate din surse externe pe anul 2021 (conform Anexei nr.6</w:t>
            </w:r>
            <w:r w:rsidRPr="00606103">
              <w:rPr>
                <w:rFonts w:asciiTheme="majorHAnsi" w:hAnsiTheme="majorHAnsi" w:cstheme="majorHAnsi"/>
                <w:sz w:val="18"/>
                <w:szCs w:val="18"/>
                <w:lang w:val="ro-MD"/>
              </w:rPr>
              <w:t xml:space="preserve"> la </w:t>
            </w:r>
            <w:r w:rsidRPr="00606103">
              <w:rPr>
                <w:rFonts w:asciiTheme="majorHAnsi" w:eastAsia="Times New Roman" w:hAnsiTheme="majorHAnsi" w:cstheme="majorHAnsi"/>
                <w:bCs/>
                <w:iCs/>
                <w:sz w:val="18"/>
                <w:szCs w:val="18"/>
                <w:lang w:val="ro-MD" w:eastAsia="ru-RU"/>
              </w:rPr>
              <w:t>Legea bugetului de stat pe anul 2021)</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nr.7*</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transferurile de la bugetul de stat către bugetele locale pe anul 2021 (conform Anexei nr.7</w:t>
            </w:r>
            <w:r w:rsidRPr="00606103">
              <w:rPr>
                <w:rFonts w:asciiTheme="majorHAnsi" w:hAnsiTheme="majorHAnsi" w:cstheme="majorHAnsi"/>
                <w:sz w:val="18"/>
                <w:szCs w:val="18"/>
                <w:lang w:val="ro-MD"/>
              </w:rPr>
              <w:t xml:space="preserve"> la </w:t>
            </w:r>
            <w:r w:rsidRPr="00606103">
              <w:rPr>
                <w:rFonts w:asciiTheme="majorHAnsi" w:eastAsia="Times New Roman" w:hAnsiTheme="majorHAnsi" w:cstheme="majorHAnsi"/>
                <w:bCs/>
                <w:iCs/>
                <w:sz w:val="18"/>
                <w:szCs w:val="18"/>
                <w:lang w:val="ro-MD" w:eastAsia="ru-RU"/>
              </w:rPr>
              <w:t>Legea bugetului de stat pe anul 2021)</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nr.7.1</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transferurile cu destinație specială de la bugetul de stat către bugetele locale pe anul 2021 (conform Anexei nr.7</w:t>
            </w:r>
            <w:r w:rsidRPr="00606103">
              <w:rPr>
                <w:rFonts w:asciiTheme="majorHAnsi" w:hAnsiTheme="majorHAnsi" w:cstheme="majorHAnsi"/>
                <w:sz w:val="18"/>
                <w:szCs w:val="18"/>
                <w:lang w:val="ro-MD"/>
              </w:rPr>
              <w:t xml:space="preserve"> la </w:t>
            </w:r>
            <w:r w:rsidRPr="00606103">
              <w:rPr>
                <w:rFonts w:asciiTheme="majorHAnsi" w:eastAsia="Times New Roman" w:hAnsiTheme="majorHAnsi" w:cstheme="majorHAnsi"/>
                <w:bCs/>
                <w:iCs/>
                <w:sz w:val="18"/>
                <w:szCs w:val="18"/>
                <w:lang w:val="ro-MD" w:eastAsia="ru-RU"/>
              </w:rPr>
              <w:t>Legea bugetului de stat pe anul 2021)</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nr.7.1.1</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transferurile cu destinație specială pentru asistența socială de la bugetul de stat către bugetele locale pe anul 2021 (conform Anexei nr.7</w:t>
            </w:r>
            <w:r w:rsidRPr="00606103">
              <w:rPr>
                <w:rFonts w:asciiTheme="majorHAnsi" w:hAnsiTheme="majorHAnsi" w:cstheme="majorHAnsi"/>
                <w:sz w:val="18"/>
                <w:szCs w:val="18"/>
                <w:lang w:val="ro-MD"/>
              </w:rPr>
              <w:t xml:space="preserve"> la </w:t>
            </w:r>
            <w:r w:rsidRPr="00606103">
              <w:rPr>
                <w:rFonts w:asciiTheme="majorHAnsi" w:eastAsia="Times New Roman" w:hAnsiTheme="majorHAnsi" w:cstheme="majorHAnsi"/>
                <w:bCs/>
                <w:iCs/>
                <w:sz w:val="18"/>
                <w:szCs w:val="18"/>
                <w:lang w:val="ro-MD" w:eastAsia="ru-RU"/>
              </w:rPr>
              <w:t>Legea bugetului de stat pe anul 2021)</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nr.8*</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cheltuielilor și activelor nefinanciare ale bugetului de stat sub aspectul clasificației economice pe anul 2021</w:t>
            </w:r>
          </w:p>
        </w:tc>
      </w:tr>
      <w:tr w:rsidR="001C2BF4" w:rsidRPr="00606103" w:rsidTr="007E3F1A">
        <w:trPr>
          <w:trHeight w:val="499"/>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nr.9*</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creanțele și datoriile la venituri, cheltuieli și active nefinanciare formate în autoritățile/instituțiile bugetare finanțate de la bugetul de stat conform clasificației economice pe anul 2021</w:t>
            </w:r>
          </w:p>
        </w:tc>
      </w:tr>
      <w:tr w:rsidR="001C2BF4" w:rsidRPr="00606103" w:rsidTr="007E3F1A">
        <w:trPr>
          <w:trHeight w:val="257"/>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nr.10*</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repartizarea și utilizarea mijloacelor fondului de rezervă al Guvernului pe anul 2021</w:t>
            </w:r>
          </w:p>
        </w:tc>
      </w:tr>
      <w:tr w:rsidR="001C2BF4" w:rsidRPr="00606103" w:rsidTr="007E3F1A">
        <w:trPr>
          <w:trHeight w:val="240"/>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nr.11*</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repartizarea și utilizarea mijloacelor fondului de intervenție al Guvernului pe anul 2021</w:t>
            </w:r>
          </w:p>
        </w:tc>
      </w:tr>
      <w:tr w:rsidR="001C2BF4" w:rsidRPr="00606103" w:rsidTr="007E3F1A">
        <w:trPr>
          <w:trHeight w:val="240"/>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nr.12*</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repartizarea și utilizarea mijloacelor Programului de reintegrare a țării pe anul 2021</w:t>
            </w:r>
          </w:p>
        </w:tc>
      </w:tr>
      <w:tr w:rsidR="001C2BF4" w:rsidRPr="00606103" w:rsidTr="007E3F1A">
        <w:trPr>
          <w:trHeight w:val="257"/>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nr.13*</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Bilanțul contabil privind executarea bugetului de stat pe anul 2021</w:t>
            </w:r>
          </w:p>
        </w:tc>
      </w:tr>
      <w:tr w:rsidR="001C2BF4" w:rsidRPr="00606103" w:rsidTr="007E3F1A">
        <w:trPr>
          <w:trHeight w:val="223"/>
        </w:trPr>
        <w:tc>
          <w:tcPr>
            <w:tcW w:w="1532" w:type="dxa"/>
            <w:tcBorders>
              <w:right w:val="single" w:sz="12" w:space="0" w:color="auto"/>
            </w:tcBorders>
          </w:tcPr>
          <w:p w:rsidR="001C2BF4" w:rsidRPr="00606103" w:rsidRDefault="001C2BF4" w:rsidP="00FE3F3B">
            <w:pPr>
              <w:spacing w:line="276" w:lineRule="auto"/>
              <w:jc w:val="center"/>
              <w:rPr>
                <w:rFonts w:asciiTheme="majorHAnsi" w:eastAsia="Times New Roman" w:hAnsiTheme="majorHAnsi" w:cstheme="majorHAnsi"/>
                <w:bCs/>
                <w:i/>
                <w:iCs/>
                <w:sz w:val="18"/>
                <w:szCs w:val="18"/>
                <w:lang w:val="ro-MD" w:eastAsia="ru-RU"/>
              </w:rPr>
            </w:pPr>
            <w:r w:rsidRPr="00606103">
              <w:rPr>
                <w:rFonts w:asciiTheme="majorHAnsi" w:eastAsia="Times New Roman" w:hAnsiTheme="majorHAnsi" w:cstheme="majorHAnsi"/>
                <w:bCs/>
                <w:i/>
                <w:iCs/>
                <w:sz w:val="18"/>
                <w:szCs w:val="18"/>
                <w:lang w:val="ro-MD" w:eastAsia="ru-RU"/>
              </w:rPr>
              <w:t>Formularul nr.14</w:t>
            </w:r>
          </w:p>
        </w:tc>
        <w:tc>
          <w:tcPr>
            <w:tcW w:w="8642" w:type="dxa"/>
            <w:tcBorders>
              <w:left w:val="single" w:sz="12" w:space="0" w:color="auto"/>
              <w:right w:val="single" w:sz="12" w:space="0" w:color="auto"/>
            </w:tcBorders>
          </w:tcPr>
          <w:p w:rsidR="001C2BF4" w:rsidRPr="00606103" w:rsidRDefault="001C2BF4">
            <w:pPr>
              <w:spacing w:line="276" w:lineRule="auto"/>
              <w:rPr>
                <w:rFonts w:asciiTheme="majorHAnsi" w:eastAsia="Times New Roman" w:hAnsiTheme="majorHAnsi" w:cstheme="majorHAnsi"/>
                <w:bCs/>
                <w:iCs/>
                <w:sz w:val="18"/>
                <w:szCs w:val="18"/>
                <w:lang w:val="ro-MD" w:eastAsia="ru-RU"/>
              </w:rPr>
            </w:pPr>
            <w:r w:rsidRPr="00606103">
              <w:rPr>
                <w:rFonts w:asciiTheme="majorHAnsi" w:eastAsia="Times New Roman" w:hAnsiTheme="majorHAnsi" w:cstheme="majorHAnsi"/>
                <w:bCs/>
                <w:iCs/>
                <w:sz w:val="18"/>
                <w:szCs w:val="18"/>
                <w:lang w:val="ro-MD" w:eastAsia="ru-RU"/>
              </w:rPr>
              <w:t>Raport privind executarea bugetului public național pe anul 2021</w:t>
            </w:r>
          </w:p>
        </w:tc>
      </w:tr>
    </w:tbl>
    <w:p w:rsidR="001C2BF4" w:rsidRPr="00606103" w:rsidRDefault="00E95D93" w:rsidP="00FE3F3B">
      <w:pPr>
        <w:spacing w:after="0" w:line="276" w:lineRule="auto"/>
        <w:ind w:left="-993"/>
        <w:rPr>
          <w:rFonts w:asciiTheme="majorHAnsi" w:hAnsiTheme="majorHAnsi" w:cstheme="majorHAnsi"/>
          <w:i/>
          <w:sz w:val="20"/>
          <w:szCs w:val="20"/>
          <w:lang w:val="ro-MD"/>
        </w:rPr>
      </w:pPr>
      <w:r w:rsidRPr="00606103">
        <w:rPr>
          <w:rFonts w:asciiTheme="majorHAnsi" w:hAnsiTheme="majorHAnsi" w:cstheme="majorHAnsi"/>
          <w:b/>
          <w:i/>
          <w:sz w:val="20"/>
          <w:szCs w:val="20"/>
          <w:lang w:val="ro-MD"/>
        </w:rPr>
        <w:t xml:space="preserve">    </w:t>
      </w:r>
      <w:r w:rsidR="001C2BF4" w:rsidRPr="00606103">
        <w:rPr>
          <w:rFonts w:asciiTheme="majorHAnsi" w:hAnsiTheme="majorHAnsi" w:cstheme="majorHAnsi"/>
          <w:b/>
          <w:i/>
          <w:sz w:val="20"/>
          <w:szCs w:val="20"/>
          <w:lang w:val="ro-MD"/>
        </w:rPr>
        <w:t xml:space="preserve"> Notă:</w:t>
      </w:r>
      <w:r w:rsidR="001C2BF4" w:rsidRPr="00606103">
        <w:rPr>
          <w:rFonts w:asciiTheme="majorHAnsi" w:hAnsiTheme="majorHAnsi" w:cstheme="majorHAnsi"/>
          <w:i/>
          <w:sz w:val="20"/>
          <w:szCs w:val="20"/>
          <w:lang w:val="ro-MD"/>
        </w:rPr>
        <w:t xml:space="preserve"> Cu asterisc (*) sunt marcate formularele Rapoartelor, parte componentă a Raportului privind executarea bugetului de stat</w:t>
      </w:r>
    </w:p>
    <w:p w:rsidR="00B51E49" w:rsidRPr="000A1798" w:rsidRDefault="00E95D93" w:rsidP="000A1798">
      <w:pPr>
        <w:spacing w:after="0" w:line="276" w:lineRule="auto"/>
        <w:ind w:left="-993"/>
        <w:rPr>
          <w:rFonts w:asciiTheme="majorHAnsi" w:hAnsiTheme="majorHAnsi" w:cstheme="majorHAnsi"/>
          <w:i/>
          <w:sz w:val="20"/>
          <w:szCs w:val="20"/>
          <w:lang w:val="ro-MD"/>
        </w:rPr>
      </w:pPr>
      <w:r w:rsidRPr="00606103">
        <w:rPr>
          <w:rFonts w:asciiTheme="majorHAnsi" w:hAnsiTheme="majorHAnsi" w:cstheme="majorHAnsi"/>
          <w:i/>
          <w:sz w:val="20"/>
          <w:szCs w:val="20"/>
          <w:lang w:val="ro-MD"/>
        </w:rPr>
        <w:t xml:space="preserve">     </w:t>
      </w:r>
      <w:r w:rsidR="001C2BF4" w:rsidRPr="00606103">
        <w:rPr>
          <w:rFonts w:asciiTheme="majorHAnsi" w:hAnsiTheme="majorHAnsi" w:cstheme="majorHAnsi"/>
          <w:i/>
          <w:sz w:val="20"/>
          <w:szCs w:val="20"/>
          <w:lang w:val="ro-MD"/>
        </w:rPr>
        <w:t>pe anul 2021, testate de către audit sub aspect financiar și regulam</w:t>
      </w:r>
      <w:r w:rsidR="000A1798">
        <w:rPr>
          <w:rFonts w:asciiTheme="majorHAnsi" w:hAnsiTheme="majorHAnsi" w:cstheme="majorHAnsi"/>
          <w:i/>
          <w:sz w:val="20"/>
          <w:szCs w:val="20"/>
          <w:lang w:val="ro-MD"/>
        </w:rPr>
        <w:t>entar.</w:t>
      </w:r>
    </w:p>
    <w:p w:rsidR="007E3F1A" w:rsidRDefault="007E3F1A">
      <w:pPr>
        <w:spacing w:line="276" w:lineRule="auto"/>
        <w:jc w:val="right"/>
        <w:rPr>
          <w:rFonts w:asciiTheme="majorHAnsi" w:hAnsiTheme="majorHAnsi" w:cstheme="majorHAnsi"/>
          <w:b/>
          <w:sz w:val="24"/>
          <w:szCs w:val="24"/>
          <w:lang w:val="ro-MD"/>
        </w:rPr>
      </w:pPr>
    </w:p>
    <w:p w:rsidR="00225042" w:rsidRDefault="00225042">
      <w:pPr>
        <w:spacing w:line="276" w:lineRule="auto"/>
        <w:jc w:val="right"/>
        <w:rPr>
          <w:rFonts w:asciiTheme="majorHAnsi" w:hAnsiTheme="majorHAnsi" w:cstheme="majorHAnsi"/>
          <w:b/>
          <w:sz w:val="24"/>
          <w:szCs w:val="24"/>
          <w:lang w:val="ro-MD"/>
        </w:rPr>
      </w:pPr>
    </w:p>
    <w:p w:rsidR="00225042" w:rsidRDefault="00225042">
      <w:pPr>
        <w:spacing w:line="276" w:lineRule="auto"/>
        <w:jc w:val="right"/>
        <w:rPr>
          <w:rFonts w:asciiTheme="majorHAnsi" w:hAnsiTheme="majorHAnsi" w:cstheme="majorHAnsi"/>
          <w:b/>
          <w:sz w:val="24"/>
          <w:szCs w:val="24"/>
          <w:lang w:val="ro-MD"/>
        </w:rPr>
      </w:pPr>
    </w:p>
    <w:p w:rsidR="001C2BF4" w:rsidRPr="00606103" w:rsidRDefault="001C2BF4">
      <w:pPr>
        <w:spacing w:line="276" w:lineRule="auto"/>
        <w:jc w:val="right"/>
        <w:rPr>
          <w:rFonts w:asciiTheme="majorHAnsi" w:hAnsiTheme="majorHAnsi" w:cstheme="majorHAnsi"/>
          <w:b/>
          <w:sz w:val="24"/>
          <w:szCs w:val="24"/>
          <w:lang w:val="ro-MD"/>
        </w:rPr>
      </w:pPr>
      <w:r w:rsidRPr="00606103">
        <w:rPr>
          <w:rFonts w:asciiTheme="majorHAnsi" w:hAnsiTheme="majorHAnsi" w:cstheme="majorHAnsi"/>
          <w:b/>
          <w:sz w:val="24"/>
          <w:szCs w:val="24"/>
          <w:lang w:val="ro-MD"/>
        </w:rPr>
        <w:lastRenderedPageBreak/>
        <w:t>Anexa nr.2</w:t>
      </w:r>
    </w:p>
    <w:p w:rsidR="001C2BF4" w:rsidRPr="00606103" w:rsidRDefault="001C2BF4">
      <w:pPr>
        <w:shd w:val="clear" w:color="auto" w:fill="FFFFFF" w:themeFill="background1"/>
        <w:spacing w:after="0" w:line="276" w:lineRule="auto"/>
        <w:ind w:right="1"/>
        <w:jc w:val="right"/>
        <w:rPr>
          <w:rFonts w:asciiTheme="majorHAnsi" w:eastAsia="MS Mincho" w:hAnsiTheme="majorHAnsi" w:cstheme="majorHAnsi"/>
          <w:b/>
          <w:i/>
          <w:sz w:val="24"/>
          <w:szCs w:val="24"/>
          <w:lang w:val="ro-MD" w:eastAsia="ja-JP"/>
        </w:rPr>
      </w:pPr>
      <w:r w:rsidRPr="00606103">
        <w:rPr>
          <w:rFonts w:asciiTheme="majorHAnsi" w:eastAsia="MS Mincho" w:hAnsiTheme="majorHAnsi" w:cstheme="majorHAnsi"/>
          <w:b/>
          <w:i/>
          <w:sz w:val="24"/>
          <w:szCs w:val="24"/>
          <w:lang w:val="ro-MD" w:eastAsia="ja-JP"/>
        </w:rPr>
        <w:t>Tabelul nr.1</w:t>
      </w:r>
    </w:p>
    <w:p w:rsidR="001C2BF4" w:rsidRPr="00606103" w:rsidRDefault="001C2BF4">
      <w:pPr>
        <w:spacing w:after="0" w:line="276" w:lineRule="auto"/>
        <w:ind w:right="1"/>
        <w:jc w:val="center"/>
        <w:rPr>
          <w:rFonts w:asciiTheme="majorHAnsi" w:eastAsia="MS Mincho" w:hAnsiTheme="majorHAnsi" w:cstheme="majorHAnsi"/>
          <w:b/>
          <w:sz w:val="24"/>
          <w:szCs w:val="24"/>
          <w:lang w:val="ro-MD" w:eastAsia="ja-JP"/>
        </w:rPr>
      </w:pPr>
      <w:r w:rsidRPr="00606103">
        <w:rPr>
          <w:rFonts w:asciiTheme="majorHAnsi" w:eastAsia="MS Mincho" w:hAnsiTheme="majorHAnsi" w:cstheme="majorHAnsi"/>
          <w:b/>
          <w:sz w:val="24"/>
          <w:szCs w:val="24"/>
          <w:lang w:val="ro-MD" w:eastAsia="ja-JP"/>
        </w:rPr>
        <w:t>Sinteza executării transferurilor de la BS către BUAT în anul 2021</w:t>
      </w:r>
    </w:p>
    <w:p w:rsidR="001C2BF4" w:rsidRPr="00606103" w:rsidRDefault="001C2BF4">
      <w:pPr>
        <w:spacing w:after="0" w:line="276" w:lineRule="auto"/>
        <w:ind w:right="1"/>
        <w:jc w:val="center"/>
        <w:rPr>
          <w:rFonts w:asciiTheme="majorHAnsi" w:eastAsia="MS Mincho" w:hAnsiTheme="majorHAnsi" w:cstheme="majorHAnsi"/>
          <w:i/>
          <w:sz w:val="24"/>
          <w:szCs w:val="24"/>
          <w:lang w:val="ro-MD" w:eastAsia="ja-JP"/>
        </w:rPr>
      </w:pPr>
      <w:r w:rsidRPr="00606103">
        <w:rPr>
          <w:rFonts w:asciiTheme="majorHAnsi" w:eastAsia="MS Mincho" w:hAnsiTheme="majorHAnsi" w:cstheme="majorHAnsi"/>
          <w:i/>
          <w:sz w:val="24"/>
          <w:szCs w:val="24"/>
          <w:lang w:val="ro-MD" w:eastAsia="ja-JP"/>
        </w:rPr>
        <w:t>(conform Anexei nr.7 la Legea bugetului de stat pentru anul 2021)</w:t>
      </w:r>
    </w:p>
    <w:p w:rsidR="001C2BF4" w:rsidRPr="00606103" w:rsidRDefault="001C2BF4">
      <w:pPr>
        <w:spacing w:after="0" w:line="276" w:lineRule="auto"/>
        <w:ind w:right="1"/>
        <w:jc w:val="right"/>
        <w:rPr>
          <w:rFonts w:asciiTheme="majorHAnsi" w:eastAsia="MS Mincho" w:hAnsiTheme="majorHAnsi" w:cstheme="majorHAnsi"/>
          <w:b/>
          <w:sz w:val="24"/>
          <w:szCs w:val="24"/>
          <w:lang w:val="ro-MD" w:eastAsia="ja-JP"/>
        </w:rPr>
      </w:pPr>
      <w:r w:rsidRPr="00606103">
        <w:rPr>
          <w:rFonts w:asciiTheme="majorHAnsi" w:eastAsia="MS Mincho" w:hAnsiTheme="majorHAnsi" w:cstheme="majorHAnsi"/>
          <w:b/>
          <w:sz w:val="24"/>
          <w:szCs w:val="24"/>
          <w:lang w:val="ro-MD" w:eastAsia="ja-JP"/>
        </w:rPr>
        <w:t xml:space="preserve"> </w:t>
      </w:r>
      <w:r w:rsidRPr="00606103">
        <w:rPr>
          <w:rFonts w:asciiTheme="majorHAnsi" w:eastAsia="MS Mincho" w:hAnsiTheme="majorHAnsi" w:cstheme="majorHAnsi"/>
          <w:i/>
          <w:sz w:val="24"/>
          <w:szCs w:val="24"/>
          <w:lang w:val="ro-MD" w:eastAsia="ja-JP"/>
        </w:rPr>
        <w:t>(mil. lei)</w:t>
      </w:r>
    </w:p>
    <w:tbl>
      <w:tblPr>
        <w:tblStyle w:val="GridTable4-Accent62"/>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993"/>
        <w:gridCol w:w="992"/>
        <w:gridCol w:w="992"/>
        <w:gridCol w:w="850"/>
        <w:gridCol w:w="993"/>
        <w:gridCol w:w="850"/>
        <w:gridCol w:w="1134"/>
      </w:tblGrid>
      <w:tr w:rsidR="000A1798" w:rsidRPr="000A1798" w:rsidTr="000A1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Merge w:val="restart"/>
            <w:tcBorders>
              <w:top w:val="none" w:sz="0" w:space="0" w:color="auto"/>
              <w:left w:val="none" w:sz="0" w:space="0" w:color="auto"/>
              <w:bottom w:val="none" w:sz="0" w:space="0" w:color="auto"/>
              <w:right w:val="none" w:sz="0" w:space="0" w:color="auto"/>
            </w:tcBorders>
            <w:shd w:val="clear" w:color="auto" w:fill="auto"/>
          </w:tcPr>
          <w:p w:rsidR="001C2BF4" w:rsidRPr="000A1798" w:rsidRDefault="001C2BF4" w:rsidP="000A1798">
            <w:pPr>
              <w:spacing w:after="40" w:line="276" w:lineRule="auto"/>
              <w:ind w:right="1"/>
              <w:jc w:val="center"/>
              <w:rPr>
                <w:rFonts w:asciiTheme="majorHAnsi" w:eastAsia="MS Mincho" w:hAnsiTheme="majorHAnsi" w:cstheme="majorHAnsi"/>
                <w:color w:val="auto"/>
                <w:sz w:val="20"/>
                <w:szCs w:val="20"/>
                <w:lang w:val="ro-MD"/>
              </w:rPr>
            </w:pPr>
            <w:r w:rsidRPr="000A1798">
              <w:rPr>
                <w:rFonts w:asciiTheme="majorHAnsi" w:eastAsia="MS Mincho" w:hAnsiTheme="majorHAnsi" w:cstheme="majorHAnsi"/>
                <w:color w:val="auto"/>
                <w:sz w:val="20"/>
                <w:szCs w:val="20"/>
                <w:lang w:val="ro-MD"/>
              </w:rPr>
              <w:t>Transferuri</w:t>
            </w:r>
          </w:p>
        </w:tc>
        <w:tc>
          <w:tcPr>
            <w:tcW w:w="993" w:type="dxa"/>
            <w:vMerge w:val="restart"/>
            <w:tcBorders>
              <w:top w:val="none" w:sz="0" w:space="0" w:color="auto"/>
              <w:left w:val="none" w:sz="0" w:space="0" w:color="auto"/>
              <w:bottom w:val="none" w:sz="0" w:space="0" w:color="auto"/>
              <w:right w:val="none" w:sz="0" w:space="0" w:color="auto"/>
            </w:tcBorders>
            <w:shd w:val="clear" w:color="auto" w:fill="auto"/>
          </w:tcPr>
          <w:p w:rsidR="001C2BF4" w:rsidRPr="000A1798" w:rsidRDefault="001C2BF4" w:rsidP="000A1798">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rPr>
            </w:pPr>
            <w:r w:rsidRPr="000A1798">
              <w:rPr>
                <w:rFonts w:asciiTheme="majorHAnsi" w:eastAsia="MS Mincho" w:hAnsiTheme="majorHAnsi" w:cstheme="majorHAnsi"/>
                <w:color w:val="auto"/>
                <w:sz w:val="20"/>
                <w:szCs w:val="20"/>
                <w:lang w:val="ro-MD"/>
              </w:rPr>
              <w:t>Aprobat</w:t>
            </w:r>
          </w:p>
        </w:tc>
        <w:tc>
          <w:tcPr>
            <w:tcW w:w="992" w:type="dxa"/>
            <w:vMerge w:val="restart"/>
            <w:tcBorders>
              <w:top w:val="none" w:sz="0" w:space="0" w:color="auto"/>
              <w:left w:val="none" w:sz="0" w:space="0" w:color="auto"/>
              <w:bottom w:val="none" w:sz="0" w:space="0" w:color="auto"/>
              <w:right w:val="none" w:sz="0" w:space="0" w:color="auto"/>
            </w:tcBorders>
            <w:shd w:val="clear" w:color="auto" w:fill="auto"/>
          </w:tcPr>
          <w:p w:rsidR="001C2BF4" w:rsidRPr="000A1798" w:rsidRDefault="001C2BF4" w:rsidP="000A1798">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rPr>
            </w:pPr>
            <w:r w:rsidRPr="000A1798">
              <w:rPr>
                <w:rFonts w:asciiTheme="majorHAnsi" w:eastAsia="MS Mincho" w:hAnsiTheme="majorHAnsi" w:cstheme="majorHAnsi"/>
                <w:color w:val="auto"/>
                <w:sz w:val="20"/>
                <w:szCs w:val="20"/>
                <w:lang w:val="ro-MD"/>
              </w:rPr>
              <w:t>Precizat</w:t>
            </w:r>
          </w:p>
        </w:tc>
        <w:tc>
          <w:tcPr>
            <w:tcW w:w="1842" w:type="dxa"/>
            <w:gridSpan w:val="2"/>
            <w:tcBorders>
              <w:top w:val="none" w:sz="0" w:space="0" w:color="auto"/>
              <w:left w:val="none" w:sz="0" w:space="0" w:color="auto"/>
              <w:bottom w:val="none" w:sz="0" w:space="0" w:color="auto"/>
              <w:right w:val="none" w:sz="0" w:space="0" w:color="auto"/>
            </w:tcBorders>
            <w:shd w:val="clear" w:color="auto" w:fill="auto"/>
          </w:tcPr>
          <w:p w:rsidR="001C2BF4" w:rsidRPr="000A1798" w:rsidRDefault="001C2BF4" w:rsidP="000A1798">
            <w:pPr>
              <w:spacing w:line="276" w:lineRule="auto"/>
              <w:ind w:left="-102" w:right="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ro-MD" w:eastAsia="ru-RU"/>
              </w:rPr>
            </w:pPr>
            <w:r w:rsidRPr="000A1798">
              <w:rPr>
                <w:rFonts w:asciiTheme="majorHAnsi" w:eastAsia="Times New Roman" w:hAnsiTheme="majorHAnsi" w:cstheme="majorHAnsi"/>
                <w:color w:val="auto"/>
                <w:sz w:val="20"/>
                <w:szCs w:val="20"/>
                <w:lang w:val="ro-MD" w:eastAsia="ru-RU"/>
              </w:rPr>
              <w:t>Precizat față de aprobat</w:t>
            </w:r>
          </w:p>
        </w:tc>
        <w:tc>
          <w:tcPr>
            <w:tcW w:w="993" w:type="dxa"/>
            <w:vMerge w:val="restart"/>
            <w:tcBorders>
              <w:top w:val="none" w:sz="0" w:space="0" w:color="auto"/>
              <w:left w:val="none" w:sz="0" w:space="0" w:color="auto"/>
              <w:bottom w:val="none" w:sz="0" w:space="0" w:color="auto"/>
              <w:right w:val="none" w:sz="0" w:space="0" w:color="auto"/>
            </w:tcBorders>
            <w:shd w:val="clear" w:color="auto" w:fill="auto"/>
          </w:tcPr>
          <w:p w:rsidR="001C2BF4" w:rsidRPr="000A1798" w:rsidRDefault="001C2BF4" w:rsidP="000A1798">
            <w:pPr>
              <w:spacing w:line="276" w:lineRule="auto"/>
              <w:ind w:left="-115" w:right="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20"/>
                <w:szCs w:val="20"/>
                <w:lang w:val="ro-MD" w:eastAsia="ru-RU"/>
              </w:rPr>
            </w:pPr>
            <w:r w:rsidRPr="000A1798">
              <w:rPr>
                <w:rFonts w:asciiTheme="majorHAnsi" w:eastAsia="Times New Roman" w:hAnsiTheme="majorHAnsi" w:cstheme="majorHAnsi"/>
                <w:color w:val="auto"/>
                <w:sz w:val="20"/>
                <w:szCs w:val="20"/>
                <w:lang w:val="ro-MD" w:eastAsia="ru-RU"/>
              </w:rPr>
              <w:t>Executat</w:t>
            </w:r>
          </w:p>
        </w:tc>
        <w:tc>
          <w:tcPr>
            <w:tcW w:w="1984" w:type="dxa"/>
            <w:gridSpan w:val="2"/>
            <w:tcBorders>
              <w:top w:val="none" w:sz="0" w:space="0" w:color="auto"/>
              <w:left w:val="none" w:sz="0" w:space="0" w:color="auto"/>
              <w:bottom w:val="none" w:sz="0" w:space="0" w:color="auto"/>
              <w:right w:val="none" w:sz="0" w:space="0" w:color="auto"/>
            </w:tcBorders>
            <w:shd w:val="clear" w:color="auto" w:fill="auto"/>
          </w:tcPr>
          <w:p w:rsidR="001C2BF4" w:rsidRPr="000A1798" w:rsidRDefault="001C2BF4" w:rsidP="000A1798">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rPr>
            </w:pPr>
            <w:r w:rsidRPr="000A1798">
              <w:rPr>
                <w:rFonts w:asciiTheme="majorHAnsi" w:eastAsia="MS Mincho" w:hAnsiTheme="majorHAnsi" w:cstheme="majorHAnsi"/>
                <w:color w:val="auto"/>
                <w:sz w:val="20"/>
                <w:szCs w:val="20"/>
                <w:lang w:val="ro-MD"/>
              </w:rPr>
              <w:t>Executat față</w:t>
            </w:r>
          </w:p>
          <w:p w:rsidR="001C2BF4" w:rsidRPr="000A1798" w:rsidRDefault="001C2BF4" w:rsidP="000A1798">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color w:val="auto"/>
                <w:sz w:val="20"/>
                <w:szCs w:val="20"/>
                <w:lang w:val="ro-MD"/>
              </w:rPr>
            </w:pPr>
            <w:r w:rsidRPr="000A1798">
              <w:rPr>
                <w:rFonts w:asciiTheme="majorHAnsi" w:eastAsia="MS Mincho" w:hAnsiTheme="majorHAnsi" w:cstheme="majorHAnsi"/>
                <w:color w:val="auto"/>
                <w:sz w:val="20"/>
                <w:szCs w:val="20"/>
                <w:lang w:val="ro-MD"/>
              </w:rPr>
              <w:t>de precizat</w:t>
            </w:r>
          </w:p>
        </w:tc>
      </w:tr>
      <w:tr w:rsidR="000A1798" w:rsidRPr="000A1798" w:rsidTr="000A1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Merge/>
            <w:shd w:val="clear" w:color="auto" w:fill="auto"/>
          </w:tcPr>
          <w:p w:rsidR="001C2BF4" w:rsidRPr="000A1798" w:rsidRDefault="001C2BF4" w:rsidP="000A1798">
            <w:pPr>
              <w:spacing w:line="276" w:lineRule="auto"/>
              <w:ind w:right="1"/>
              <w:jc w:val="center"/>
              <w:rPr>
                <w:rFonts w:asciiTheme="majorHAnsi" w:eastAsia="MS Mincho" w:hAnsiTheme="majorHAnsi" w:cstheme="majorHAnsi"/>
                <w:sz w:val="20"/>
                <w:szCs w:val="20"/>
                <w:lang w:val="ro-MD"/>
              </w:rPr>
            </w:pPr>
          </w:p>
        </w:tc>
        <w:tc>
          <w:tcPr>
            <w:tcW w:w="993" w:type="dxa"/>
            <w:vMerge/>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
                <w:sz w:val="20"/>
                <w:szCs w:val="20"/>
                <w:lang w:val="ro-MD"/>
              </w:rPr>
            </w:pPr>
          </w:p>
        </w:tc>
        <w:tc>
          <w:tcPr>
            <w:tcW w:w="992" w:type="dxa"/>
            <w:vMerge/>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
                <w:sz w:val="20"/>
                <w:szCs w:val="20"/>
                <w:lang w:val="ro-MD"/>
              </w:rPr>
            </w:pPr>
          </w:p>
        </w:tc>
        <w:tc>
          <w:tcPr>
            <w:tcW w:w="992" w:type="dxa"/>
            <w:shd w:val="clear" w:color="auto" w:fill="auto"/>
          </w:tcPr>
          <w:p w:rsidR="001C2BF4" w:rsidRPr="000A1798" w:rsidRDefault="001C2BF4" w:rsidP="000A1798">
            <w:pPr>
              <w:spacing w:line="276" w:lineRule="auto"/>
              <w:ind w:left="-113" w:right="1"/>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MD" w:eastAsia="ru-RU"/>
              </w:rPr>
            </w:pPr>
            <w:r w:rsidRPr="000A1798">
              <w:rPr>
                <w:rFonts w:asciiTheme="majorHAnsi" w:eastAsia="Times New Roman" w:hAnsiTheme="majorHAnsi" w:cstheme="majorHAnsi"/>
                <w:b/>
                <w:sz w:val="20"/>
                <w:szCs w:val="20"/>
                <w:lang w:val="ro-MD" w:eastAsia="ru-RU"/>
              </w:rPr>
              <w:t>(+/-)</w:t>
            </w:r>
          </w:p>
        </w:tc>
        <w:tc>
          <w:tcPr>
            <w:tcW w:w="850" w:type="dxa"/>
            <w:shd w:val="clear" w:color="auto" w:fill="auto"/>
          </w:tcPr>
          <w:p w:rsidR="001C2BF4" w:rsidRPr="000A1798" w:rsidRDefault="001C2BF4" w:rsidP="000A1798">
            <w:pPr>
              <w:spacing w:line="276" w:lineRule="auto"/>
              <w:ind w:left="-113" w:right="1"/>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MD" w:eastAsia="ru-RU"/>
              </w:rPr>
            </w:pPr>
            <w:r w:rsidRPr="000A1798">
              <w:rPr>
                <w:rFonts w:asciiTheme="majorHAnsi" w:eastAsia="Times New Roman" w:hAnsiTheme="majorHAnsi" w:cstheme="majorHAnsi"/>
                <w:b/>
                <w:sz w:val="20"/>
                <w:szCs w:val="20"/>
                <w:lang w:val="ro-MD" w:eastAsia="ru-RU"/>
              </w:rPr>
              <w:t>(%)</w:t>
            </w:r>
          </w:p>
        </w:tc>
        <w:tc>
          <w:tcPr>
            <w:tcW w:w="993" w:type="dxa"/>
            <w:vMerge/>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
                <w:sz w:val="20"/>
                <w:szCs w:val="20"/>
                <w:lang w:val="ro-MD"/>
              </w:rPr>
            </w:pPr>
          </w:p>
        </w:tc>
        <w:tc>
          <w:tcPr>
            <w:tcW w:w="850" w:type="dxa"/>
            <w:shd w:val="clear" w:color="auto" w:fill="auto"/>
          </w:tcPr>
          <w:p w:rsidR="001C2BF4" w:rsidRPr="000A1798" w:rsidRDefault="001C2BF4" w:rsidP="000A1798">
            <w:pPr>
              <w:spacing w:line="276" w:lineRule="auto"/>
              <w:ind w:left="-113" w:right="1"/>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MD" w:eastAsia="ru-RU"/>
              </w:rPr>
            </w:pPr>
            <w:r w:rsidRPr="000A1798">
              <w:rPr>
                <w:rFonts w:asciiTheme="majorHAnsi" w:eastAsia="Times New Roman" w:hAnsiTheme="majorHAnsi" w:cstheme="majorHAnsi"/>
                <w:b/>
                <w:sz w:val="20"/>
                <w:szCs w:val="20"/>
                <w:lang w:val="ro-MD" w:eastAsia="ru-RU"/>
              </w:rPr>
              <w:t>(+/-)</w:t>
            </w:r>
          </w:p>
        </w:tc>
        <w:tc>
          <w:tcPr>
            <w:tcW w:w="1134" w:type="dxa"/>
            <w:shd w:val="clear" w:color="auto" w:fill="auto"/>
          </w:tcPr>
          <w:p w:rsidR="001C2BF4" w:rsidRPr="000A1798" w:rsidRDefault="001C2BF4" w:rsidP="000A1798">
            <w:pPr>
              <w:spacing w:line="276" w:lineRule="auto"/>
              <w:ind w:left="-113" w:right="1"/>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MD" w:eastAsia="ru-RU"/>
              </w:rPr>
            </w:pPr>
            <w:r w:rsidRPr="000A1798">
              <w:rPr>
                <w:rFonts w:asciiTheme="majorHAnsi" w:eastAsia="Times New Roman" w:hAnsiTheme="majorHAnsi" w:cstheme="majorHAnsi"/>
                <w:b/>
                <w:sz w:val="20"/>
                <w:szCs w:val="20"/>
                <w:lang w:val="ro-MD" w:eastAsia="ru-RU"/>
              </w:rPr>
              <w:t>(%)</w:t>
            </w:r>
          </w:p>
        </w:tc>
      </w:tr>
      <w:tr w:rsidR="000A1798" w:rsidRPr="000A1798" w:rsidTr="000A1798">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C2BF4" w:rsidRPr="000A1798" w:rsidRDefault="001C2BF4" w:rsidP="000A1798">
            <w:pPr>
              <w:spacing w:line="276" w:lineRule="auto"/>
              <w:ind w:right="1"/>
              <w:jc w:val="center"/>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1</w:t>
            </w:r>
          </w:p>
        </w:tc>
        <w:tc>
          <w:tcPr>
            <w:tcW w:w="993" w:type="dxa"/>
            <w:shd w:val="clear" w:color="auto" w:fill="auto"/>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2</w:t>
            </w:r>
          </w:p>
        </w:tc>
        <w:tc>
          <w:tcPr>
            <w:tcW w:w="992" w:type="dxa"/>
            <w:shd w:val="clear" w:color="auto" w:fill="auto"/>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3</w:t>
            </w:r>
          </w:p>
        </w:tc>
        <w:tc>
          <w:tcPr>
            <w:tcW w:w="992" w:type="dxa"/>
            <w:shd w:val="clear" w:color="auto" w:fill="auto"/>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4=3-2</w:t>
            </w:r>
          </w:p>
        </w:tc>
        <w:tc>
          <w:tcPr>
            <w:tcW w:w="850" w:type="dxa"/>
            <w:shd w:val="clear" w:color="auto" w:fill="auto"/>
          </w:tcPr>
          <w:p w:rsidR="001C2BF4" w:rsidRPr="000A1798" w:rsidRDefault="001C2BF4" w:rsidP="000A1798">
            <w:pPr>
              <w:spacing w:line="276" w:lineRule="auto"/>
              <w:ind w:left="-102" w:right="-250"/>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4=3/2*100</w:t>
            </w:r>
          </w:p>
        </w:tc>
        <w:tc>
          <w:tcPr>
            <w:tcW w:w="993" w:type="dxa"/>
            <w:shd w:val="clear" w:color="auto" w:fill="auto"/>
          </w:tcPr>
          <w:p w:rsidR="001C2BF4" w:rsidRPr="000A1798" w:rsidRDefault="001C2BF4" w:rsidP="000A1798">
            <w:pPr>
              <w:spacing w:line="276" w:lineRule="auto"/>
              <w:ind w:left="-115"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5</w:t>
            </w:r>
          </w:p>
        </w:tc>
        <w:tc>
          <w:tcPr>
            <w:tcW w:w="850" w:type="dxa"/>
            <w:shd w:val="clear" w:color="auto" w:fill="auto"/>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6=5-3</w:t>
            </w:r>
          </w:p>
        </w:tc>
        <w:tc>
          <w:tcPr>
            <w:tcW w:w="1134" w:type="dxa"/>
            <w:shd w:val="clear" w:color="auto" w:fill="auto"/>
          </w:tcPr>
          <w:p w:rsidR="001C2BF4" w:rsidRPr="000A1798" w:rsidRDefault="001C2BF4" w:rsidP="000A1798">
            <w:pPr>
              <w:spacing w:line="276" w:lineRule="auto"/>
              <w:ind w:left="-111" w:right="-104"/>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7=5/3*100</w:t>
            </w:r>
          </w:p>
        </w:tc>
      </w:tr>
      <w:tr w:rsidR="000A1798" w:rsidRPr="000A1798" w:rsidTr="000A179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C2BF4" w:rsidRPr="000A1798" w:rsidRDefault="001C2BF4" w:rsidP="000A1798">
            <w:pPr>
              <w:spacing w:line="276" w:lineRule="auto"/>
              <w:ind w:right="1"/>
              <w:jc w:val="left"/>
              <w:rPr>
                <w:rFonts w:asciiTheme="majorHAnsi" w:eastAsia="MS Mincho" w:hAnsiTheme="majorHAnsi" w:cstheme="majorHAnsi"/>
                <w:sz w:val="20"/>
                <w:szCs w:val="20"/>
                <w:lang w:val="ro-MD"/>
              </w:rPr>
            </w:pPr>
            <w:r w:rsidRPr="000A1798">
              <w:rPr>
                <w:rFonts w:asciiTheme="majorHAnsi" w:eastAsia="MS Mincho" w:hAnsiTheme="majorHAnsi" w:cstheme="majorHAnsi"/>
                <w:i/>
                <w:sz w:val="20"/>
                <w:szCs w:val="20"/>
                <w:lang w:val="ro-MD"/>
              </w:rPr>
              <w:t>Total general</w:t>
            </w:r>
            <w:r w:rsidRPr="000A1798">
              <w:rPr>
                <w:rFonts w:asciiTheme="majorHAnsi" w:eastAsia="MS Mincho" w:hAnsiTheme="majorHAnsi" w:cstheme="majorHAnsi"/>
                <w:sz w:val="20"/>
                <w:szCs w:val="20"/>
                <w:lang w:val="ro-MD"/>
              </w:rPr>
              <w:t xml:space="preserve">, </w:t>
            </w:r>
            <w:r w:rsidRPr="000A1798">
              <w:rPr>
                <w:rFonts w:asciiTheme="majorHAnsi" w:eastAsia="MS Mincho" w:hAnsiTheme="majorHAnsi" w:cstheme="majorHAnsi"/>
                <w:i/>
                <w:sz w:val="20"/>
                <w:szCs w:val="20"/>
                <w:lang w:val="ro-MD"/>
              </w:rPr>
              <w:t>inclusiv:</w:t>
            </w:r>
          </w:p>
        </w:tc>
        <w:tc>
          <w:tcPr>
            <w:tcW w:w="993"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
                <w:sz w:val="20"/>
                <w:szCs w:val="20"/>
                <w:lang w:val="ro-MD"/>
              </w:rPr>
            </w:pPr>
            <w:r w:rsidRPr="000A1798">
              <w:rPr>
                <w:rFonts w:asciiTheme="majorHAnsi" w:eastAsia="MS Mincho" w:hAnsiTheme="majorHAnsi" w:cstheme="majorHAnsi"/>
                <w:b/>
                <w:sz w:val="20"/>
                <w:szCs w:val="20"/>
                <w:lang w:val="ro-MD"/>
              </w:rPr>
              <w:t>14 202,5</w:t>
            </w:r>
          </w:p>
        </w:tc>
        <w:tc>
          <w:tcPr>
            <w:tcW w:w="992"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
                <w:sz w:val="20"/>
                <w:szCs w:val="20"/>
                <w:lang w:val="ro-MD"/>
              </w:rPr>
            </w:pPr>
            <w:r w:rsidRPr="000A1798">
              <w:rPr>
                <w:rFonts w:asciiTheme="majorHAnsi" w:eastAsia="MS Mincho" w:hAnsiTheme="majorHAnsi" w:cstheme="majorHAnsi"/>
                <w:b/>
                <w:sz w:val="20"/>
                <w:szCs w:val="20"/>
                <w:lang w:val="ro-MD"/>
              </w:rPr>
              <w:t>14 355,4</w:t>
            </w:r>
          </w:p>
        </w:tc>
        <w:tc>
          <w:tcPr>
            <w:tcW w:w="992"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
                <w:sz w:val="20"/>
                <w:szCs w:val="20"/>
                <w:lang w:val="ro-MD"/>
              </w:rPr>
            </w:pPr>
            <w:r w:rsidRPr="000A1798">
              <w:rPr>
                <w:rFonts w:asciiTheme="majorHAnsi" w:eastAsia="MS Mincho" w:hAnsiTheme="majorHAnsi" w:cstheme="majorHAnsi"/>
                <w:b/>
                <w:sz w:val="20"/>
                <w:szCs w:val="20"/>
                <w:lang w:val="ro-MD"/>
              </w:rPr>
              <w:t>+152,9</w:t>
            </w:r>
          </w:p>
        </w:tc>
        <w:tc>
          <w:tcPr>
            <w:tcW w:w="850"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
                <w:i/>
                <w:sz w:val="20"/>
                <w:szCs w:val="20"/>
                <w:lang w:val="ro-MD"/>
              </w:rPr>
            </w:pPr>
            <w:r w:rsidRPr="000A1798">
              <w:rPr>
                <w:rFonts w:asciiTheme="majorHAnsi" w:eastAsia="MS Mincho" w:hAnsiTheme="majorHAnsi" w:cstheme="majorHAnsi"/>
                <w:b/>
                <w:i/>
                <w:sz w:val="20"/>
                <w:szCs w:val="20"/>
                <w:lang w:val="ro-MD"/>
              </w:rPr>
              <w:t>101,1</w:t>
            </w:r>
          </w:p>
        </w:tc>
        <w:tc>
          <w:tcPr>
            <w:tcW w:w="993"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
                <w:sz w:val="20"/>
                <w:szCs w:val="20"/>
                <w:lang w:val="ro-MD"/>
              </w:rPr>
            </w:pPr>
            <w:r w:rsidRPr="000A1798">
              <w:rPr>
                <w:rFonts w:asciiTheme="majorHAnsi" w:eastAsia="MS Mincho" w:hAnsiTheme="majorHAnsi" w:cstheme="majorHAnsi"/>
                <w:b/>
                <w:sz w:val="20"/>
                <w:szCs w:val="20"/>
                <w:lang w:val="ro-MD"/>
              </w:rPr>
              <w:t>14 137,5</w:t>
            </w:r>
          </w:p>
        </w:tc>
        <w:tc>
          <w:tcPr>
            <w:tcW w:w="850"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
                <w:sz w:val="20"/>
                <w:szCs w:val="20"/>
                <w:lang w:val="ro-MD"/>
              </w:rPr>
            </w:pPr>
            <w:r w:rsidRPr="000A1798">
              <w:rPr>
                <w:rFonts w:asciiTheme="majorHAnsi" w:eastAsia="MS Mincho" w:hAnsiTheme="majorHAnsi" w:cstheme="majorHAnsi"/>
                <w:b/>
                <w:sz w:val="20"/>
                <w:szCs w:val="20"/>
                <w:lang w:val="ro-MD"/>
              </w:rPr>
              <w:t>-217,9</w:t>
            </w:r>
          </w:p>
        </w:tc>
        <w:tc>
          <w:tcPr>
            <w:tcW w:w="1134"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b/>
                <w:i/>
                <w:sz w:val="20"/>
                <w:szCs w:val="20"/>
                <w:lang w:val="ro-MD"/>
              </w:rPr>
            </w:pPr>
            <w:r w:rsidRPr="000A1798">
              <w:rPr>
                <w:rFonts w:asciiTheme="majorHAnsi" w:eastAsia="MS Mincho" w:hAnsiTheme="majorHAnsi" w:cstheme="majorHAnsi"/>
                <w:b/>
                <w:i/>
                <w:sz w:val="20"/>
                <w:szCs w:val="20"/>
                <w:lang w:val="ro-MD"/>
              </w:rPr>
              <w:t>98,5</w:t>
            </w:r>
          </w:p>
        </w:tc>
      </w:tr>
      <w:tr w:rsidR="000A1798" w:rsidRPr="000A1798" w:rsidTr="000A1798">
        <w:trPr>
          <w:trHeight w:val="203"/>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C2BF4" w:rsidRPr="000A1798" w:rsidRDefault="001C2BF4" w:rsidP="000A1798">
            <w:pPr>
              <w:spacing w:line="276" w:lineRule="auto"/>
              <w:ind w:right="1"/>
              <w:jc w:val="left"/>
              <w:rPr>
                <w:rFonts w:asciiTheme="majorHAnsi" w:eastAsia="MS Mincho" w:hAnsiTheme="majorHAnsi" w:cstheme="majorHAnsi"/>
                <w:b w:val="0"/>
                <w:sz w:val="20"/>
                <w:szCs w:val="20"/>
                <w:lang w:val="ro-MD"/>
              </w:rPr>
            </w:pPr>
            <w:r w:rsidRPr="000A1798">
              <w:rPr>
                <w:rFonts w:asciiTheme="majorHAnsi" w:eastAsia="MS Mincho" w:hAnsiTheme="majorHAnsi" w:cstheme="majorHAnsi"/>
                <w:b w:val="0"/>
                <w:sz w:val="20"/>
                <w:szCs w:val="20"/>
                <w:lang w:val="ro-MD"/>
              </w:rPr>
              <w:t>cu destinație generală</w:t>
            </w:r>
          </w:p>
        </w:tc>
        <w:tc>
          <w:tcPr>
            <w:tcW w:w="993" w:type="dxa"/>
            <w:shd w:val="clear" w:color="auto" w:fill="auto"/>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2 038,2</w:t>
            </w:r>
          </w:p>
        </w:tc>
        <w:tc>
          <w:tcPr>
            <w:tcW w:w="992" w:type="dxa"/>
            <w:shd w:val="clear" w:color="auto" w:fill="auto"/>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2 038,2</w:t>
            </w:r>
          </w:p>
        </w:tc>
        <w:tc>
          <w:tcPr>
            <w:tcW w:w="992" w:type="dxa"/>
            <w:shd w:val="clear" w:color="auto" w:fill="auto"/>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w:t>
            </w:r>
          </w:p>
        </w:tc>
        <w:tc>
          <w:tcPr>
            <w:tcW w:w="850" w:type="dxa"/>
            <w:shd w:val="clear" w:color="auto" w:fill="auto"/>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100,0</w:t>
            </w:r>
          </w:p>
        </w:tc>
        <w:tc>
          <w:tcPr>
            <w:tcW w:w="993" w:type="dxa"/>
            <w:shd w:val="clear" w:color="auto" w:fill="auto"/>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2 038,2</w:t>
            </w:r>
          </w:p>
        </w:tc>
        <w:tc>
          <w:tcPr>
            <w:tcW w:w="850" w:type="dxa"/>
            <w:shd w:val="clear" w:color="auto" w:fill="auto"/>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w:t>
            </w:r>
          </w:p>
        </w:tc>
        <w:tc>
          <w:tcPr>
            <w:tcW w:w="1134" w:type="dxa"/>
            <w:shd w:val="clear" w:color="auto" w:fill="auto"/>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100,0</w:t>
            </w:r>
          </w:p>
        </w:tc>
      </w:tr>
      <w:tr w:rsidR="000A1798" w:rsidRPr="000A1798" w:rsidTr="000A1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C2BF4" w:rsidRPr="000A1798" w:rsidRDefault="001C2BF4" w:rsidP="000A1798">
            <w:pPr>
              <w:spacing w:line="276" w:lineRule="auto"/>
              <w:ind w:right="1"/>
              <w:jc w:val="left"/>
              <w:rPr>
                <w:rFonts w:asciiTheme="majorHAnsi" w:eastAsia="MS Mincho" w:hAnsiTheme="majorHAnsi" w:cstheme="majorHAnsi"/>
                <w:b w:val="0"/>
                <w:sz w:val="20"/>
                <w:szCs w:val="20"/>
                <w:lang w:val="ro-MD"/>
              </w:rPr>
            </w:pPr>
            <w:r w:rsidRPr="000A1798">
              <w:rPr>
                <w:rFonts w:asciiTheme="majorHAnsi" w:eastAsia="MS Mincho" w:hAnsiTheme="majorHAnsi" w:cstheme="majorHAnsi"/>
                <w:b w:val="0"/>
                <w:sz w:val="20"/>
                <w:szCs w:val="20"/>
                <w:lang w:val="ro-MD"/>
              </w:rPr>
              <w:t>cu destinație specială</w:t>
            </w:r>
          </w:p>
        </w:tc>
        <w:tc>
          <w:tcPr>
            <w:tcW w:w="993"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11 923,3</w:t>
            </w:r>
          </w:p>
        </w:tc>
        <w:tc>
          <w:tcPr>
            <w:tcW w:w="992"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12 076,0</w:t>
            </w:r>
          </w:p>
        </w:tc>
        <w:tc>
          <w:tcPr>
            <w:tcW w:w="992"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+152,7</w:t>
            </w:r>
          </w:p>
        </w:tc>
        <w:tc>
          <w:tcPr>
            <w:tcW w:w="850"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101,3</w:t>
            </w:r>
          </w:p>
        </w:tc>
        <w:tc>
          <w:tcPr>
            <w:tcW w:w="993"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11 858,1</w:t>
            </w:r>
          </w:p>
        </w:tc>
        <w:tc>
          <w:tcPr>
            <w:tcW w:w="850"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-217,9</w:t>
            </w:r>
          </w:p>
        </w:tc>
        <w:tc>
          <w:tcPr>
            <w:tcW w:w="1134" w:type="dxa"/>
            <w:shd w:val="clear" w:color="auto" w:fill="auto"/>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98,2</w:t>
            </w:r>
          </w:p>
        </w:tc>
      </w:tr>
      <w:tr w:rsidR="000A1798" w:rsidRPr="000A1798" w:rsidTr="000A1798">
        <w:trPr>
          <w:trHeight w:val="276"/>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C2BF4" w:rsidRPr="000A1798" w:rsidRDefault="001C2BF4" w:rsidP="000A1798">
            <w:pPr>
              <w:spacing w:line="276" w:lineRule="auto"/>
              <w:ind w:right="1"/>
              <w:jc w:val="left"/>
              <w:rPr>
                <w:rFonts w:asciiTheme="majorHAnsi" w:eastAsia="MS Mincho" w:hAnsiTheme="majorHAnsi" w:cstheme="majorHAnsi"/>
                <w:b w:val="0"/>
                <w:sz w:val="20"/>
                <w:szCs w:val="20"/>
                <w:lang w:val="ro-MD"/>
              </w:rPr>
            </w:pPr>
            <w:r w:rsidRPr="000A1798">
              <w:rPr>
                <w:rFonts w:asciiTheme="majorHAnsi" w:eastAsia="MS Mincho" w:hAnsiTheme="majorHAnsi" w:cstheme="majorHAnsi"/>
                <w:b w:val="0"/>
                <w:sz w:val="20"/>
                <w:szCs w:val="20"/>
                <w:lang w:val="ro-MD"/>
              </w:rPr>
              <w:t>pentru acoperirea insuficienței costurilor salariale aferente domeniilor proprii de activitate</w:t>
            </w:r>
          </w:p>
        </w:tc>
        <w:tc>
          <w:tcPr>
            <w:tcW w:w="993" w:type="dxa"/>
            <w:shd w:val="clear" w:color="auto" w:fill="auto"/>
            <w:vAlign w:val="center"/>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241,0</w:t>
            </w:r>
          </w:p>
        </w:tc>
        <w:tc>
          <w:tcPr>
            <w:tcW w:w="992" w:type="dxa"/>
            <w:shd w:val="clear" w:color="auto" w:fill="auto"/>
            <w:vAlign w:val="center"/>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241,0</w:t>
            </w:r>
          </w:p>
        </w:tc>
        <w:tc>
          <w:tcPr>
            <w:tcW w:w="992" w:type="dxa"/>
            <w:shd w:val="clear" w:color="auto" w:fill="auto"/>
            <w:vAlign w:val="center"/>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w:t>
            </w:r>
          </w:p>
        </w:tc>
        <w:tc>
          <w:tcPr>
            <w:tcW w:w="850" w:type="dxa"/>
            <w:shd w:val="clear" w:color="auto" w:fill="auto"/>
            <w:vAlign w:val="center"/>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100,0</w:t>
            </w:r>
          </w:p>
        </w:tc>
        <w:tc>
          <w:tcPr>
            <w:tcW w:w="993" w:type="dxa"/>
            <w:shd w:val="clear" w:color="auto" w:fill="auto"/>
            <w:vAlign w:val="center"/>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241,0</w:t>
            </w:r>
          </w:p>
        </w:tc>
        <w:tc>
          <w:tcPr>
            <w:tcW w:w="850" w:type="dxa"/>
            <w:shd w:val="clear" w:color="auto" w:fill="auto"/>
            <w:vAlign w:val="center"/>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w:t>
            </w:r>
          </w:p>
        </w:tc>
        <w:tc>
          <w:tcPr>
            <w:tcW w:w="1134" w:type="dxa"/>
            <w:shd w:val="clear" w:color="auto" w:fill="auto"/>
            <w:vAlign w:val="center"/>
          </w:tcPr>
          <w:p w:rsidR="001C2BF4" w:rsidRPr="000A1798" w:rsidRDefault="001C2BF4" w:rsidP="000A1798">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100,0</w:t>
            </w:r>
          </w:p>
        </w:tc>
      </w:tr>
      <w:tr w:rsidR="000A1798" w:rsidRPr="000A1798" w:rsidTr="000A1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1C2BF4" w:rsidRPr="000A1798" w:rsidRDefault="001C2BF4" w:rsidP="000A1798">
            <w:pPr>
              <w:spacing w:line="276" w:lineRule="auto"/>
              <w:ind w:right="1"/>
              <w:jc w:val="left"/>
              <w:rPr>
                <w:rFonts w:asciiTheme="majorHAnsi" w:eastAsia="MS Mincho" w:hAnsiTheme="majorHAnsi" w:cstheme="majorHAnsi"/>
                <w:b w:val="0"/>
                <w:sz w:val="20"/>
                <w:szCs w:val="20"/>
                <w:lang w:val="ro-MD"/>
              </w:rPr>
            </w:pPr>
            <w:r w:rsidRPr="000A1798">
              <w:rPr>
                <w:rFonts w:asciiTheme="majorHAnsi" w:eastAsia="MS Mincho" w:hAnsiTheme="majorHAnsi" w:cstheme="majorHAnsi"/>
                <w:b w:val="0"/>
                <w:sz w:val="20"/>
                <w:szCs w:val="20"/>
                <w:lang w:val="ro-MD"/>
              </w:rPr>
              <w:t>alte transferuri curente</w:t>
            </w:r>
          </w:p>
          <w:p w:rsidR="001C2BF4" w:rsidRPr="000A1798" w:rsidRDefault="001C2BF4" w:rsidP="000A1798">
            <w:pPr>
              <w:spacing w:line="276" w:lineRule="auto"/>
              <w:ind w:right="1"/>
              <w:jc w:val="left"/>
              <w:rPr>
                <w:rFonts w:asciiTheme="majorHAnsi" w:eastAsia="MS Mincho" w:hAnsiTheme="majorHAnsi" w:cstheme="majorHAnsi"/>
                <w:b w:val="0"/>
                <w:sz w:val="20"/>
                <w:szCs w:val="20"/>
                <w:lang w:val="ro-MD"/>
              </w:rPr>
            </w:pPr>
            <w:r w:rsidRPr="000A1798">
              <w:rPr>
                <w:rFonts w:asciiTheme="majorHAnsi" w:eastAsia="MS Mincho" w:hAnsiTheme="majorHAnsi" w:cstheme="majorHAnsi"/>
                <w:b w:val="0"/>
                <w:sz w:val="20"/>
                <w:szCs w:val="20"/>
                <w:lang w:val="ro-MD"/>
              </w:rPr>
              <w:t>cu destinație generală</w:t>
            </w:r>
          </w:p>
        </w:tc>
        <w:tc>
          <w:tcPr>
            <w:tcW w:w="993" w:type="dxa"/>
            <w:shd w:val="clear" w:color="auto" w:fill="auto"/>
            <w:vAlign w:val="center"/>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0,0</w:t>
            </w:r>
          </w:p>
        </w:tc>
        <w:tc>
          <w:tcPr>
            <w:tcW w:w="992" w:type="dxa"/>
            <w:shd w:val="clear" w:color="auto" w:fill="auto"/>
            <w:vAlign w:val="center"/>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0,2</w:t>
            </w:r>
          </w:p>
        </w:tc>
        <w:tc>
          <w:tcPr>
            <w:tcW w:w="992" w:type="dxa"/>
            <w:shd w:val="clear" w:color="auto" w:fill="auto"/>
            <w:vAlign w:val="center"/>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+0,2</w:t>
            </w:r>
          </w:p>
        </w:tc>
        <w:tc>
          <w:tcPr>
            <w:tcW w:w="850" w:type="dxa"/>
            <w:shd w:val="clear" w:color="auto" w:fill="auto"/>
            <w:vAlign w:val="center"/>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w:t>
            </w:r>
          </w:p>
        </w:tc>
        <w:tc>
          <w:tcPr>
            <w:tcW w:w="993" w:type="dxa"/>
            <w:shd w:val="clear" w:color="auto" w:fill="auto"/>
            <w:vAlign w:val="center"/>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0,2</w:t>
            </w:r>
          </w:p>
        </w:tc>
        <w:tc>
          <w:tcPr>
            <w:tcW w:w="850" w:type="dxa"/>
            <w:shd w:val="clear" w:color="auto" w:fill="auto"/>
            <w:vAlign w:val="center"/>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w:t>
            </w:r>
          </w:p>
        </w:tc>
        <w:tc>
          <w:tcPr>
            <w:tcW w:w="1134" w:type="dxa"/>
            <w:shd w:val="clear" w:color="auto" w:fill="auto"/>
            <w:vAlign w:val="center"/>
          </w:tcPr>
          <w:p w:rsidR="001C2BF4" w:rsidRPr="000A1798" w:rsidRDefault="001C2BF4" w:rsidP="000A1798">
            <w:pPr>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i/>
                <w:sz w:val="20"/>
                <w:szCs w:val="20"/>
                <w:lang w:val="ro-MD"/>
              </w:rPr>
            </w:pPr>
            <w:r w:rsidRPr="000A1798">
              <w:rPr>
                <w:rFonts w:asciiTheme="majorHAnsi" w:eastAsia="MS Mincho" w:hAnsiTheme="majorHAnsi" w:cstheme="majorHAnsi"/>
                <w:i/>
                <w:sz w:val="20"/>
                <w:szCs w:val="20"/>
                <w:lang w:val="ro-MD"/>
              </w:rPr>
              <w:t>100,0</w:t>
            </w:r>
          </w:p>
        </w:tc>
      </w:tr>
    </w:tbl>
    <w:p w:rsidR="001C2BF4" w:rsidRPr="00606103" w:rsidRDefault="001C2BF4" w:rsidP="00FE3F3B">
      <w:pPr>
        <w:spacing w:after="0" w:line="276" w:lineRule="auto"/>
        <w:ind w:right="1"/>
        <w:rPr>
          <w:rFonts w:asciiTheme="majorHAnsi" w:eastAsia="MS Mincho" w:hAnsiTheme="majorHAnsi" w:cstheme="majorHAnsi"/>
          <w:i/>
          <w:sz w:val="20"/>
          <w:szCs w:val="20"/>
          <w:lang w:val="ro-MD" w:eastAsia="ja-JP"/>
        </w:rPr>
      </w:pPr>
      <w:r w:rsidRPr="00606103">
        <w:rPr>
          <w:rFonts w:asciiTheme="majorHAnsi" w:eastAsia="MS Mincho" w:hAnsiTheme="majorHAnsi" w:cstheme="majorHAnsi"/>
          <w:b/>
          <w:i/>
          <w:sz w:val="20"/>
          <w:szCs w:val="20"/>
          <w:lang w:val="ro-MD" w:eastAsia="ja-JP"/>
        </w:rPr>
        <w:t>Sursă:</w:t>
      </w:r>
      <w:r w:rsidRPr="00606103">
        <w:rPr>
          <w:rFonts w:asciiTheme="majorHAnsi" w:eastAsia="MS Mincho" w:hAnsiTheme="majorHAnsi" w:cstheme="majorHAnsi"/>
          <w:b/>
          <w:sz w:val="20"/>
          <w:szCs w:val="20"/>
          <w:lang w:val="ro-MD" w:eastAsia="ja-JP"/>
        </w:rPr>
        <w:t xml:space="preserve"> </w:t>
      </w:r>
      <w:r w:rsidRPr="00606103">
        <w:rPr>
          <w:rFonts w:asciiTheme="majorHAnsi" w:eastAsia="MS Mincho" w:hAnsiTheme="majorHAnsi" w:cstheme="majorHAnsi"/>
          <w:i/>
          <w:sz w:val="20"/>
          <w:szCs w:val="20"/>
          <w:lang w:val="ro-MD" w:eastAsia="ja-JP"/>
        </w:rPr>
        <w:t>Informații generalizate de echipa de audit în baza datelor din Raportul privind transferurile de la bugetul de stat către bugetele locale pe anul 2021 (conform Anexei nr.7 la Legea bugetului de stat pentru anul 2021), Formularul nr.7.</w:t>
      </w:r>
    </w:p>
    <w:p w:rsidR="001C2BF4" w:rsidRPr="00606103" w:rsidRDefault="001C2BF4">
      <w:pPr>
        <w:spacing w:line="276" w:lineRule="auto"/>
        <w:jc w:val="right"/>
        <w:rPr>
          <w:rFonts w:asciiTheme="majorHAnsi" w:eastAsia="Times New Roman" w:hAnsiTheme="majorHAnsi" w:cstheme="majorHAnsi"/>
          <w:b/>
          <w:i/>
          <w:sz w:val="24"/>
          <w:szCs w:val="24"/>
          <w:lang w:val="ro-MD"/>
        </w:rPr>
      </w:pPr>
      <w:r w:rsidRPr="00606103">
        <w:rPr>
          <w:rFonts w:asciiTheme="majorHAnsi" w:eastAsia="Times New Roman" w:hAnsiTheme="majorHAnsi" w:cstheme="majorHAnsi"/>
          <w:b/>
          <w:i/>
          <w:sz w:val="24"/>
          <w:szCs w:val="24"/>
          <w:lang w:val="ro-MD"/>
        </w:rPr>
        <w:t>Tabelul nr.2</w:t>
      </w:r>
    </w:p>
    <w:p w:rsidR="001C2BF4" w:rsidRPr="00606103" w:rsidRDefault="001C2BF4">
      <w:pPr>
        <w:spacing w:after="0" w:line="276" w:lineRule="auto"/>
        <w:ind w:right="1"/>
        <w:jc w:val="center"/>
        <w:rPr>
          <w:rFonts w:asciiTheme="majorHAnsi" w:eastAsia="MS Mincho" w:hAnsiTheme="majorHAnsi" w:cstheme="majorHAnsi"/>
          <w:b/>
          <w:sz w:val="24"/>
          <w:szCs w:val="24"/>
          <w:lang w:val="ro-MD" w:eastAsia="ja-JP"/>
        </w:rPr>
      </w:pPr>
      <w:r w:rsidRPr="00606103">
        <w:rPr>
          <w:rFonts w:asciiTheme="majorHAnsi" w:eastAsia="MS Mincho" w:hAnsiTheme="majorHAnsi" w:cstheme="majorHAnsi"/>
          <w:b/>
          <w:sz w:val="24"/>
          <w:szCs w:val="24"/>
          <w:lang w:val="ro-MD" w:eastAsia="ja-JP"/>
        </w:rPr>
        <w:t>Sinteza executării transferurilor cu destinație specială de la BS către BUAT în anul 2021</w:t>
      </w:r>
    </w:p>
    <w:p w:rsidR="001C2BF4" w:rsidRPr="00606103" w:rsidRDefault="001C2BF4">
      <w:pPr>
        <w:spacing w:after="0" w:line="276" w:lineRule="auto"/>
        <w:ind w:right="-37"/>
        <w:jc w:val="right"/>
        <w:rPr>
          <w:rFonts w:asciiTheme="majorHAnsi" w:eastAsia="MS Mincho" w:hAnsiTheme="majorHAnsi" w:cstheme="majorHAnsi"/>
          <w:i/>
          <w:sz w:val="24"/>
          <w:szCs w:val="24"/>
          <w:lang w:val="ro-MD" w:eastAsia="ja-JP"/>
        </w:rPr>
      </w:pPr>
      <w:r w:rsidRPr="00606103">
        <w:rPr>
          <w:rFonts w:asciiTheme="majorHAnsi" w:eastAsia="MS Mincho" w:hAnsiTheme="majorHAnsi" w:cstheme="majorHAnsi"/>
          <w:i/>
          <w:sz w:val="24"/>
          <w:szCs w:val="24"/>
          <w:lang w:val="ro-MD" w:eastAsia="ja-JP"/>
        </w:rPr>
        <w:t>(mil. lei)</w:t>
      </w:r>
    </w:p>
    <w:tbl>
      <w:tblPr>
        <w:tblStyle w:val="GridTable1Light-Accent52"/>
        <w:tblW w:w="10490" w:type="dxa"/>
        <w:tblInd w:w="-431" w:type="dxa"/>
        <w:tblLayout w:type="fixed"/>
        <w:tblLook w:val="04A0" w:firstRow="1" w:lastRow="0" w:firstColumn="1" w:lastColumn="0" w:noHBand="0" w:noVBand="1"/>
      </w:tblPr>
      <w:tblGrid>
        <w:gridCol w:w="3261"/>
        <w:gridCol w:w="851"/>
        <w:gridCol w:w="992"/>
        <w:gridCol w:w="850"/>
        <w:gridCol w:w="851"/>
        <w:gridCol w:w="850"/>
        <w:gridCol w:w="851"/>
        <w:gridCol w:w="992"/>
        <w:gridCol w:w="992"/>
      </w:tblGrid>
      <w:tr w:rsidR="001C2BF4" w:rsidRPr="000A1798" w:rsidTr="000A1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hideMark/>
          </w:tcPr>
          <w:p w:rsidR="001C2BF4" w:rsidRPr="000A1798" w:rsidRDefault="001C2BF4">
            <w:pPr>
              <w:spacing w:line="276" w:lineRule="auto"/>
              <w:ind w:right="1"/>
              <w:jc w:val="center"/>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Transferuri</w:t>
            </w:r>
          </w:p>
        </w:tc>
        <w:tc>
          <w:tcPr>
            <w:tcW w:w="851" w:type="dxa"/>
            <w:vMerge w:val="restart"/>
            <w:hideMark/>
          </w:tcPr>
          <w:p w:rsidR="001C2BF4" w:rsidRPr="000A1798" w:rsidRDefault="001C2BF4">
            <w:pPr>
              <w:spacing w:line="276" w:lineRule="auto"/>
              <w:ind w:left="-104"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 xml:space="preserve">Aprobat </w:t>
            </w:r>
          </w:p>
        </w:tc>
        <w:tc>
          <w:tcPr>
            <w:tcW w:w="992" w:type="dxa"/>
            <w:vMerge w:val="restart"/>
            <w:hideMark/>
          </w:tcPr>
          <w:p w:rsidR="001C2BF4" w:rsidRPr="000A1798" w:rsidRDefault="001C2BF4">
            <w:pPr>
              <w:spacing w:line="276" w:lineRule="auto"/>
              <w:ind w:left="-108"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Precizat</w:t>
            </w:r>
          </w:p>
        </w:tc>
        <w:tc>
          <w:tcPr>
            <w:tcW w:w="850" w:type="dxa"/>
            <w:vMerge w:val="restart"/>
            <w:hideMark/>
          </w:tcPr>
          <w:p w:rsidR="001C2BF4" w:rsidRPr="000A1798" w:rsidRDefault="001C2BF4">
            <w:pPr>
              <w:spacing w:line="276" w:lineRule="auto"/>
              <w:ind w:left="-115" w:right="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0A1798">
              <w:rPr>
                <w:rFonts w:asciiTheme="majorHAnsi" w:eastAsia="Times New Roman" w:hAnsiTheme="majorHAnsi" w:cstheme="majorHAnsi"/>
                <w:sz w:val="20"/>
                <w:szCs w:val="20"/>
                <w:lang w:val="ro-MD" w:eastAsia="ru-RU"/>
              </w:rPr>
              <w:t>Executat</w:t>
            </w:r>
          </w:p>
        </w:tc>
        <w:tc>
          <w:tcPr>
            <w:tcW w:w="1701" w:type="dxa"/>
            <w:gridSpan w:val="2"/>
            <w:tcBorders>
              <w:bottom w:val="single" w:sz="4" w:space="0" w:color="8EAADB" w:themeColor="accent5" w:themeTint="99"/>
            </w:tcBorders>
            <w:hideMark/>
          </w:tcPr>
          <w:p w:rsidR="001C2BF4" w:rsidRPr="000A1798" w:rsidRDefault="001C2BF4">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Executat față</w:t>
            </w:r>
          </w:p>
          <w:p w:rsidR="001C2BF4" w:rsidRPr="000A1798" w:rsidRDefault="001C2BF4">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de precizat</w:t>
            </w:r>
          </w:p>
        </w:tc>
        <w:tc>
          <w:tcPr>
            <w:tcW w:w="851" w:type="dxa"/>
            <w:vMerge w:val="restart"/>
            <w:hideMark/>
          </w:tcPr>
          <w:p w:rsidR="001C2BF4" w:rsidRPr="000A1798" w:rsidRDefault="001C2BF4">
            <w:pPr>
              <w:spacing w:line="276" w:lineRule="auto"/>
              <w:ind w:left="-115" w:right="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0A1798">
              <w:rPr>
                <w:rFonts w:asciiTheme="majorHAnsi" w:eastAsia="Times New Roman" w:hAnsiTheme="majorHAnsi" w:cstheme="majorHAnsi"/>
                <w:sz w:val="20"/>
                <w:szCs w:val="20"/>
                <w:lang w:val="ro-MD" w:eastAsia="ru-RU"/>
              </w:rPr>
              <w:t>Executat în 2020</w:t>
            </w:r>
          </w:p>
        </w:tc>
        <w:tc>
          <w:tcPr>
            <w:tcW w:w="1984" w:type="dxa"/>
            <w:gridSpan w:val="2"/>
            <w:tcBorders>
              <w:bottom w:val="single" w:sz="4" w:space="0" w:color="8EAADB" w:themeColor="accent5" w:themeTint="99"/>
            </w:tcBorders>
            <w:hideMark/>
          </w:tcPr>
          <w:p w:rsidR="001C2BF4" w:rsidRPr="000A1798" w:rsidRDefault="001C2BF4">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Executat în 2021 față de anul 2020</w:t>
            </w:r>
          </w:p>
        </w:tc>
      </w:tr>
      <w:tr w:rsidR="001C2BF4" w:rsidRPr="000A1798" w:rsidTr="000A1798">
        <w:tc>
          <w:tcPr>
            <w:cnfStyle w:val="001000000000" w:firstRow="0" w:lastRow="0" w:firstColumn="1" w:lastColumn="0" w:oddVBand="0" w:evenVBand="0" w:oddHBand="0" w:evenHBand="0" w:firstRowFirstColumn="0" w:firstRowLastColumn="0" w:lastRowFirstColumn="0" w:lastRowLastColumn="0"/>
            <w:tcW w:w="3261" w:type="dxa"/>
            <w:vMerge/>
            <w:tcBorders>
              <w:bottom w:val="single" w:sz="18" w:space="0" w:color="8EAADB" w:themeColor="accent5" w:themeTint="99"/>
            </w:tcBorders>
            <w:hideMark/>
          </w:tcPr>
          <w:p w:rsidR="001C2BF4" w:rsidRPr="000A1798" w:rsidRDefault="001C2BF4">
            <w:pPr>
              <w:spacing w:line="276" w:lineRule="auto"/>
              <w:jc w:val="left"/>
              <w:rPr>
                <w:rFonts w:asciiTheme="majorHAnsi" w:eastAsia="MS Mincho" w:hAnsiTheme="majorHAnsi" w:cstheme="majorHAnsi"/>
                <w:sz w:val="20"/>
                <w:szCs w:val="20"/>
                <w:lang w:val="ro-MD"/>
              </w:rPr>
            </w:pPr>
          </w:p>
        </w:tc>
        <w:tc>
          <w:tcPr>
            <w:tcW w:w="851" w:type="dxa"/>
            <w:vMerge/>
            <w:tcBorders>
              <w:bottom w:val="single" w:sz="18" w:space="0" w:color="8EAADB" w:themeColor="accent5" w:themeTint="99"/>
            </w:tcBorders>
            <w:hideMark/>
          </w:tcPr>
          <w:p w:rsidR="001C2BF4" w:rsidRPr="000A1798" w:rsidRDefault="001C2BF4">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bCs/>
                <w:sz w:val="20"/>
                <w:szCs w:val="20"/>
                <w:lang w:val="ro-MD"/>
              </w:rPr>
            </w:pPr>
          </w:p>
        </w:tc>
        <w:tc>
          <w:tcPr>
            <w:tcW w:w="992" w:type="dxa"/>
            <w:vMerge/>
            <w:tcBorders>
              <w:bottom w:val="single" w:sz="18" w:space="0" w:color="8EAADB" w:themeColor="accent5" w:themeTint="99"/>
            </w:tcBorders>
            <w:hideMark/>
          </w:tcPr>
          <w:p w:rsidR="001C2BF4" w:rsidRPr="000A1798" w:rsidRDefault="001C2BF4">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bCs/>
                <w:sz w:val="20"/>
                <w:szCs w:val="20"/>
                <w:lang w:val="ro-MD"/>
              </w:rPr>
            </w:pPr>
          </w:p>
        </w:tc>
        <w:tc>
          <w:tcPr>
            <w:tcW w:w="850" w:type="dxa"/>
            <w:vMerge/>
            <w:tcBorders>
              <w:bottom w:val="single" w:sz="18" w:space="0" w:color="8EAADB" w:themeColor="accent5" w:themeTint="99"/>
            </w:tcBorders>
            <w:hideMark/>
          </w:tcPr>
          <w:p w:rsidR="001C2BF4" w:rsidRPr="000A1798" w:rsidRDefault="001C2BF4">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p>
        </w:tc>
        <w:tc>
          <w:tcPr>
            <w:tcW w:w="851" w:type="dxa"/>
            <w:tcBorders>
              <w:top w:val="single" w:sz="4" w:space="0" w:color="8EAADB" w:themeColor="accent5" w:themeTint="99"/>
              <w:bottom w:val="single" w:sz="18" w:space="0" w:color="8EAADB" w:themeColor="accent5" w:themeTint="99"/>
            </w:tcBorders>
            <w:hideMark/>
          </w:tcPr>
          <w:p w:rsidR="001C2BF4" w:rsidRPr="000A1798" w:rsidRDefault="001C2BF4">
            <w:pPr>
              <w:spacing w:line="276" w:lineRule="auto"/>
              <w:ind w:left="-113" w:right="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MD" w:eastAsia="ru-RU"/>
              </w:rPr>
            </w:pPr>
            <w:r w:rsidRPr="000A1798">
              <w:rPr>
                <w:rFonts w:asciiTheme="majorHAnsi" w:eastAsia="Times New Roman" w:hAnsiTheme="majorHAnsi" w:cstheme="majorHAnsi"/>
                <w:b/>
                <w:color w:val="000000" w:themeColor="text1"/>
                <w:sz w:val="20"/>
                <w:szCs w:val="20"/>
                <w:lang w:val="ro-MD" w:eastAsia="ru-RU"/>
              </w:rPr>
              <w:t>(+/-)</w:t>
            </w:r>
          </w:p>
        </w:tc>
        <w:tc>
          <w:tcPr>
            <w:tcW w:w="850" w:type="dxa"/>
            <w:tcBorders>
              <w:top w:val="single" w:sz="4" w:space="0" w:color="8EAADB" w:themeColor="accent5" w:themeTint="99"/>
              <w:bottom w:val="single" w:sz="18" w:space="0" w:color="8EAADB" w:themeColor="accent5" w:themeTint="99"/>
            </w:tcBorders>
            <w:hideMark/>
          </w:tcPr>
          <w:p w:rsidR="001C2BF4" w:rsidRPr="000A1798" w:rsidRDefault="001C2BF4">
            <w:pPr>
              <w:spacing w:line="276" w:lineRule="auto"/>
              <w:ind w:left="-113" w:right="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MD" w:eastAsia="ru-RU"/>
              </w:rPr>
            </w:pPr>
            <w:r w:rsidRPr="000A1798">
              <w:rPr>
                <w:rFonts w:asciiTheme="majorHAnsi" w:eastAsia="Times New Roman" w:hAnsiTheme="majorHAnsi" w:cstheme="majorHAnsi"/>
                <w:b/>
                <w:color w:val="000000" w:themeColor="text1"/>
                <w:sz w:val="20"/>
                <w:szCs w:val="20"/>
                <w:lang w:val="ro-MD" w:eastAsia="ru-RU"/>
              </w:rPr>
              <w:t>(%)</w:t>
            </w:r>
          </w:p>
        </w:tc>
        <w:tc>
          <w:tcPr>
            <w:tcW w:w="851" w:type="dxa"/>
            <w:vMerge/>
            <w:tcBorders>
              <w:bottom w:val="single" w:sz="18" w:space="0" w:color="8EAADB" w:themeColor="accent5" w:themeTint="99"/>
            </w:tcBorders>
            <w:hideMark/>
          </w:tcPr>
          <w:p w:rsidR="001C2BF4" w:rsidRPr="000A1798" w:rsidRDefault="001C2BF4">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p>
        </w:tc>
        <w:tc>
          <w:tcPr>
            <w:tcW w:w="992" w:type="dxa"/>
            <w:tcBorders>
              <w:top w:val="single" w:sz="4" w:space="0" w:color="8EAADB" w:themeColor="accent5" w:themeTint="99"/>
              <w:bottom w:val="single" w:sz="18" w:space="0" w:color="8EAADB" w:themeColor="accent5" w:themeTint="99"/>
            </w:tcBorders>
            <w:hideMark/>
          </w:tcPr>
          <w:p w:rsidR="001C2BF4" w:rsidRPr="000A1798" w:rsidRDefault="001C2BF4">
            <w:pPr>
              <w:spacing w:line="276" w:lineRule="auto"/>
              <w:ind w:left="-113" w:right="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MD" w:eastAsia="ru-RU"/>
              </w:rPr>
            </w:pPr>
            <w:r w:rsidRPr="000A1798">
              <w:rPr>
                <w:rFonts w:asciiTheme="majorHAnsi" w:eastAsia="Times New Roman" w:hAnsiTheme="majorHAnsi" w:cstheme="majorHAnsi"/>
                <w:b/>
                <w:color w:val="000000" w:themeColor="text1"/>
                <w:sz w:val="20"/>
                <w:szCs w:val="20"/>
                <w:lang w:val="ro-MD" w:eastAsia="ru-RU"/>
              </w:rPr>
              <w:t>(+/-)</w:t>
            </w:r>
          </w:p>
        </w:tc>
        <w:tc>
          <w:tcPr>
            <w:tcW w:w="992" w:type="dxa"/>
            <w:tcBorders>
              <w:top w:val="single" w:sz="4" w:space="0" w:color="8EAADB" w:themeColor="accent5" w:themeTint="99"/>
              <w:bottom w:val="single" w:sz="18" w:space="0" w:color="8EAADB" w:themeColor="accent5" w:themeTint="99"/>
              <w:right w:val="single" w:sz="4" w:space="0" w:color="8EAADB" w:themeColor="accent5" w:themeTint="99"/>
            </w:tcBorders>
            <w:hideMark/>
          </w:tcPr>
          <w:p w:rsidR="001C2BF4" w:rsidRPr="000A1798" w:rsidRDefault="001C2BF4">
            <w:pPr>
              <w:spacing w:line="276" w:lineRule="auto"/>
              <w:ind w:left="-113" w:right="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MD" w:eastAsia="ru-RU"/>
              </w:rPr>
            </w:pPr>
            <w:r w:rsidRPr="000A1798">
              <w:rPr>
                <w:rFonts w:asciiTheme="majorHAnsi" w:eastAsia="Times New Roman" w:hAnsiTheme="majorHAnsi" w:cstheme="majorHAnsi"/>
                <w:b/>
                <w:color w:val="000000" w:themeColor="text1"/>
                <w:sz w:val="20"/>
                <w:szCs w:val="20"/>
                <w:lang w:val="ro-MD" w:eastAsia="ru-RU"/>
              </w:rPr>
              <w:t>(%)</w:t>
            </w:r>
          </w:p>
        </w:tc>
      </w:tr>
      <w:tr w:rsidR="001C2BF4" w:rsidRPr="000A1798" w:rsidTr="000A1798">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8EAADB" w:themeColor="accent5" w:themeTint="99"/>
            </w:tcBorders>
            <w:hideMark/>
          </w:tcPr>
          <w:p w:rsidR="001C2BF4" w:rsidRPr="000A1798" w:rsidRDefault="001C2BF4" w:rsidP="00FE3F3B">
            <w:pPr>
              <w:spacing w:line="276" w:lineRule="auto"/>
              <w:ind w:right="1"/>
              <w:jc w:val="center"/>
              <w:rPr>
                <w:rFonts w:asciiTheme="majorHAnsi" w:eastAsia="MS Mincho" w:hAnsiTheme="majorHAnsi" w:cstheme="majorHAnsi"/>
                <w:i/>
                <w:sz w:val="16"/>
                <w:szCs w:val="20"/>
                <w:lang w:val="ro-MD"/>
              </w:rPr>
            </w:pPr>
            <w:r w:rsidRPr="000A1798">
              <w:rPr>
                <w:rFonts w:asciiTheme="majorHAnsi" w:eastAsia="MS Mincho" w:hAnsiTheme="majorHAnsi" w:cstheme="majorHAnsi"/>
                <w:i/>
                <w:sz w:val="16"/>
                <w:szCs w:val="20"/>
                <w:lang w:val="ro-MD"/>
              </w:rPr>
              <w:t>1</w:t>
            </w:r>
          </w:p>
        </w:tc>
        <w:tc>
          <w:tcPr>
            <w:tcW w:w="851" w:type="dxa"/>
            <w:tcBorders>
              <w:top w:val="single" w:sz="18" w:space="0" w:color="8EAADB" w:themeColor="accent5" w:themeTint="99"/>
            </w:tcBorders>
            <w:hideMark/>
          </w:tcPr>
          <w:p w:rsidR="001C2BF4" w:rsidRPr="000A1798" w:rsidRDefault="001C2BF4">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0A1798">
              <w:rPr>
                <w:rFonts w:asciiTheme="majorHAnsi" w:eastAsia="MS Mincho" w:hAnsiTheme="majorHAnsi" w:cstheme="majorHAnsi"/>
                <w:i/>
                <w:sz w:val="16"/>
                <w:szCs w:val="20"/>
                <w:lang w:val="ro-MD"/>
              </w:rPr>
              <w:t>2</w:t>
            </w:r>
          </w:p>
        </w:tc>
        <w:tc>
          <w:tcPr>
            <w:tcW w:w="992" w:type="dxa"/>
            <w:tcBorders>
              <w:top w:val="single" w:sz="18" w:space="0" w:color="8EAADB" w:themeColor="accent5" w:themeTint="99"/>
            </w:tcBorders>
            <w:hideMark/>
          </w:tcPr>
          <w:p w:rsidR="001C2BF4" w:rsidRPr="000A1798" w:rsidRDefault="001C2BF4">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0A1798">
              <w:rPr>
                <w:rFonts w:asciiTheme="majorHAnsi" w:eastAsia="MS Mincho" w:hAnsiTheme="majorHAnsi" w:cstheme="majorHAnsi"/>
                <w:i/>
                <w:sz w:val="16"/>
                <w:szCs w:val="20"/>
                <w:lang w:val="ro-MD"/>
              </w:rPr>
              <w:t>3</w:t>
            </w:r>
          </w:p>
        </w:tc>
        <w:tc>
          <w:tcPr>
            <w:tcW w:w="850" w:type="dxa"/>
            <w:tcBorders>
              <w:top w:val="single" w:sz="18" w:space="0" w:color="8EAADB" w:themeColor="accent5" w:themeTint="99"/>
            </w:tcBorders>
            <w:hideMark/>
          </w:tcPr>
          <w:p w:rsidR="001C2BF4" w:rsidRPr="000A1798" w:rsidRDefault="001C2BF4">
            <w:pPr>
              <w:spacing w:line="276" w:lineRule="auto"/>
              <w:ind w:left="-115"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0A1798">
              <w:rPr>
                <w:rFonts w:asciiTheme="majorHAnsi" w:eastAsia="MS Mincho" w:hAnsiTheme="majorHAnsi" w:cstheme="majorHAnsi"/>
                <w:i/>
                <w:sz w:val="16"/>
                <w:szCs w:val="20"/>
                <w:lang w:val="ro-MD"/>
              </w:rPr>
              <w:t>4</w:t>
            </w:r>
          </w:p>
        </w:tc>
        <w:tc>
          <w:tcPr>
            <w:tcW w:w="851" w:type="dxa"/>
            <w:tcBorders>
              <w:top w:val="single" w:sz="18" w:space="0" w:color="8EAADB" w:themeColor="accent5" w:themeTint="99"/>
            </w:tcBorders>
            <w:hideMark/>
          </w:tcPr>
          <w:p w:rsidR="001C2BF4" w:rsidRPr="000A1798" w:rsidRDefault="001C2BF4">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0A1798">
              <w:rPr>
                <w:rFonts w:asciiTheme="majorHAnsi" w:eastAsia="MS Mincho" w:hAnsiTheme="majorHAnsi" w:cstheme="majorHAnsi"/>
                <w:i/>
                <w:sz w:val="16"/>
                <w:szCs w:val="20"/>
                <w:lang w:val="ro-MD"/>
              </w:rPr>
              <w:t>5=4-3</w:t>
            </w:r>
          </w:p>
        </w:tc>
        <w:tc>
          <w:tcPr>
            <w:tcW w:w="850" w:type="dxa"/>
            <w:tcBorders>
              <w:top w:val="single" w:sz="18" w:space="0" w:color="8EAADB" w:themeColor="accent5" w:themeTint="99"/>
            </w:tcBorders>
            <w:hideMark/>
          </w:tcPr>
          <w:p w:rsidR="001C2BF4" w:rsidRPr="000A1798" w:rsidRDefault="001C2BF4">
            <w:pPr>
              <w:spacing w:line="276" w:lineRule="auto"/>
              <w:ind w:left="-102"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0A1798">
              <w:rPr>
                <w:rFonts w:asciiTheme="majorHAnsi" w:eastAsia="MS Mincho" w:hAnsiTheme="majorHAnsi" w:cstheme="majorHAnsi"/>
                <w:i/>
                <w:sz w:val="16"/>
                <w:szCs w:val="20"/>
                <w:lang w:val="ro-MD"/>
              </w:rPr>
              <w:t>6=4/3*100</w:t>
            </w:r>
          </w:p>
        </w:tc>
        <w:tc>
          <w:tcPr>
            <w:tcW w:w="851" w:type="dxa"/>
            <w:tcBorders>
              <w:top w:val="single" w:sz="18" w:space="0" w:color="8EAADB" w:themeColor="accent5" w:themeTint="99"/>
            </w:tcBorders>
            <w:hideMark/>
          </w:tcPr>
          <w:p w:rsidR="001C2BF4" w:rsidRPr="000A1798" w:rsidRDefault="001C2BF4">
            <w:pPr>
              <w:spacing w:line="276" w:lineRule="auto"/>
              <w:ind w:left="-115"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0A1798">
              <w:rPr>
                <w:rFonts w:asciiTheme="majorHAnsi" w:eastAsia="MS Mincho" w:hAnsiTheme="majorHAnsi" w:cstheme="majorHAnsi"/>
                <w:i/>
                <w:sz w:val="16"/>
                <w:szCs w:val="20"/>
                <w:lang w:val="ro-MD"/>
              </w:rPr>
              <w:t>7</w:t>
            </w:r>
          </w:p>
        </w:tc>
        <w:tc>
          <w:tcPr>
            <w:tcW w:w="992" w:type="dxa"/>
            <w:tcBorders>
              <w:top w:val="single" w:sz="18" w:space="0" w:color="8EAADB" w:themeColor="accent5" w:themeTint="99"/>
            </w:tcBorders>
            <w:hideMark/>
          </w:tcPr>
          <w:p w:rsidR="001C2BF4" w:rsidRPr="000A1798" w:rsidRDefault="001C2BF4">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0A1798">
              <w:rPr>
                <w:rFonts w:asciiTheme="majorHAnsi" w:eastAsia="MS Mincho" w:hAnsiTheme="majorHAnsi" w:cstheme="majorHAnsi"/>
                <w:i/>
                <w:sz w:val="16"/>
                <w:szCs w:val="20"/>
                <w:lang w:val="ro-MD"/>
              </w:rPr>
              <w:t>8=4-7</w:t>
            </w:r>
          </w:p>
        </w:tc>
        <w:tc>
          <w:tcPr>
            <w:tcW w:w="992" w:type="dxa"/>
            <w:tcBorders>
              <w:top w:val="single" w:sz="18" w:space="0" w:color="8EAADB" w:themeColor="accent5" w:themeTint="99"/>
              <w:right w:val="single" w:sz="4" w:space="0" w:color="8EAADB" w:themeColor="accent5" w:themeTint="99"/>
            </w:tcBorders>
            <w:hideMark/>
          </w:tcPr>
          <w:p w:rsidR="001C2BF4" w:rsidRPr="000A1798" w:rsidRDefault="001C2BF4">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6"/>
                <w:szCs w:val="20"/>
                <w:lang w:val="ro-MD"/>
              </w:rPr>
            </w:pPr>
            <w:r w:rsidRPr="000A1798">
              <w:rPr>
                <w:rFonts w:asciiTheme="majorHAnsi" w:eastAsia="MS Mincho" w:hAnsiTheme="majorHAnsi" w:cstheme="majorHAnsi"/>
                <w:i/>
                <w:sz w:val="16"/>
                <w:szCs w:val="20"/>
                <w:lang w:val="ro-MD"/>
              </w:rPr>
              <w:t>9=4/7*100</w:t>
            </w:r>
          </w:p>
        </w:tc>
      </w:tr>
      <w:tr w:rsidR="001C2BF4" w:rsidRPr="000A1798" w:rsidTr="000A1798">
        <w:trPr>
          <w:trHeight w:val="420"/>
        </w:trPr>
        <w:tc>
          <w:tcPr>
            <w:cnfStyle w:val="001000000000" w:firstRow="0" w:lastRow="0" w:firstColumn="1" w:lastColumn="0" w:oddVBand="0" w:evenVBand="0" w:oddHBand="0" w:evenHBand="0" w:firstRowFirstColumn="0" w:firstRowLastColumn="0" w:lastRowFirstColumn="0" w:lastRowLastColumn="0"/>
            <w:tcW w:w="3261" w:type="dxa"/>
            <w:hideMark/>
          </w:tcPr>
          <w:p w:rsidR="001C2BF4" w:rsidRPr="000A1798" w:rsidRDefault="001C2BF4" w:rsidP="00FE3F3B">
            <w:pPr>
              <w:spacing w:line="276" w:lineRule="auto"/>
              <w:ind w:right="-104"/>
              <w:jc w:val="left"/>
              <w:rPr>
                <w:rFonts w:asciiTheme="majorHAnsi" w:eastAsia="MS Mincho" w:hAnsiTheme="majorHAnsi" w:cstheme="majorHAnsi"/>
                <w:sz w:val="20"/>
                <w:szCs w:val="20"/>
                <w:lang w:val="ro-MD"/>
              </w:rPr>
            </w:pPr>
            <w:r w:rsidRPr="000A1798">
              <w:rPr>
                <w:rFonts w:asciiTheme="majorHAnsi" w:eastAsia="MS Mincho" w:hAnsiTheme="majorHAnsi" w:cstheme="majorHAnsi"/>
                <w:i/>
                <w:sz w:val="20"/>
                <w:szCs w:val="20"/>
                <w:lang w:val="ro-MD"/>
              </w:rPr>
              <w:t>Total general</w:t>
            </w:r>
            <w:r w:rsidRPr="000A1798">
              <w:rPr>
                <w:rFonts w:asciiTheme="majorHAnsi" w:eastAsia="MS Mincho" w:hAnsiTheme="majorHAnsi" w:cstheme="majorHAnsi"/>
                <w:sz w:val="20"/>
                <w:szCs w:val="20"/>
                <w:lang w:val="ro-MD"/>
              </w:rPr>
              <w:t xml:space="preserve">, </w:t>
            </w:r>
            <w:r w:rsidRPr="000A1798">
              <w:rPr>
                <w:rFonts w:asciiTheme="majorHAnsi" w:eastAsia="MS Mincho" w:hAnsiTheme="majorHAnsi" w:cstheme="majorHAnsi"/>
                <w:i/>
                <w:sz w:val="20"/>
                <w:szCs w:val="20"/>
                <w:lang w:val="ro-MD"/>
              </w:rPr>
              <w:t>inclusiv pentru:</w:t>
            </w:r>
          </w:p>
        </w:tc>
        <w:tc>
          <w:tcPr>
            <w:tcW w:w="851" w:type="dxa"/>
            <w:hideMark/>
          </w:tcPr>
          <w:p w:rsidR="001C2BF4" w:rsidRPr="000A1798" w:rsidRDefault="001C2BF4">
            <w:pPr>
              <w:spacing w:line="276" w:lineRule="auto"/>
              <w:ind w:left="-114"/>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0A1798">
              <w:rPr>
                <w:rFonts w:asciiTheme="majorHAnsi" w:hAnsiTheme="majorHAnsi" w:cstheme="majorHAnsi"/>
                <w:b/>
                <w:sz w:val="20"/>
                <w:szCs w:val="20"/>
                <w:lang w:val="ro-MD"/>
              </w:rPr>
              <w:t>11.923,3</w:t>
            </w:r>
          </w:p>
        </w:tc>
        <w:tc>
          <w:tcPr>
            <w:tcW w:w="992" w:type="dxa"/>
            <w:hideMark/>
          </w:tcPr>
          <w:p w:rsidR="001C2BF4" w:rsidRPr="000A1798" w:rsidRDefault="001C2BF4">
            <w:pPr>
              <w:spacing w:line="276" w:lineRule="auto"/>
              <w:ind w:left="-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0A1798">
              <w:rPr>
                <w:rFonts w:asciiTheme="majorHAnsi" w:hAnsiTheme="majorHAnsi" w:cstheme="majorHAnsi"/>
                <w:b/>
                <w:sz w:val="20"/>
                <w:szCs w:val="20"/>
                <w:lang w:val="ro-MD"/>
              </w:rPr>
              <w:t>12.076,0</w:t>
            </w:r>
          </w:p>
        </w:tc>
        <w:tc>
          <w:tcPr>
            <w:tcW w:w="850" w:type="dxa"/>
            <w:hideMark/>
          </w:tcPr>
          <w:p w:rsidR="001C2BF4" w:rsidRPr="000A1798" w:rsidRDefault="001C2BF4">
            <w:pPr>
              <w:spacing w:line="276" w:lineRule="auto"/>
              <w:ind w:left="-117"/>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0A1798">
              <w:rPr>
                <w:rFonts w:asciiTheme="majorHAnsi" w:hAnsiTheme="majorHAnsi" w:cstheme="majorHAnsi"/>
                <w:b/>
                <w:sz w:val="20"/>
                <w:szCs w:val="20"/>
                <w:lang w:val="ro-MD"/>
              </w:rPr>
              <w:t>11.858,1</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rPr>
            </w:pPr>
            <w:r w:rsidRPr="000A1798">
              <w:rPr>
                <w:rFonts w:asciiTheme="majorHAnsi" w:hAnsiTheme="majorHAnsi" w:cstheme="majorHAnsi"/>
                <w:b/>
                <w:color w:val="000000"/>
                <w:sz w:val="20"/>
                <w:szCs w:val="20"/>
                <w:lang w:val="ro-MD"/>
              </w:rPr>
              <w:t>-217,9</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rPr>
            </w:pPr>
            <w:r w:rsidRPr="000A1798">
              <w:rPr>
                <w:rFonts w:asciiTheme="majorHAnsi" w:hAnsiTheme="majorHAnsi" w:cstheme="majorHAnsi"/>
                <w:b/>
                <w:color w:val="000000"/>
                <w:sz w:val="20"/>
                <w:szCs w:val="20"/>
                <w:lang w:val="ro-MD"/>
              </w:rPr>
              <w:t>98,2</w:t>
            </w:r>
          </w:p>
        </w:tc>
        <w:tc>
          <w:tcPr>
            <w:tcW w:w="851" w:type="dxa"/>
            <w:hideMark/>
          </w:tcPr>
          <w:p w:rsidR="001C2BF4" w:rsidRPr="000A1798" w:rsidRDefault="001C2BF4">
            <w:pPr>
              <w:spacing w:line="276" w:lineRule="auto"/>
              <w:ind w:left="-11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rPr>
            </w:pPr>
            <w:r w:rsidRPr="000A1798">
              <w:rPr>
                <w:rFonts w:asciiTheme="majorHAnsi" w:hAnsiTheme="majorHAnsi" w:cstheme="majorHAnsi"/>
                <w:b/>
                <w:color w:val="000000"/>
                <w:sz w:val="20"/>
                <w:szCs w:val="20"/>
                <w:lang w:val="ro-MD"/>
              </w:rPr>
              <w:t>10.770,4</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rPr>
            </w:pPr>
            <w:r w:rsidRPr="000A1798">
              <w:rPr>
                <w:rFonts w:asciiTheme="majorHAnsi" w:hAnsiTheme="majorHAnsi" w:cstheme="majorHAnsi"/>
                <w:b/>
                <w:color w:val="000000"/>
                <w:sz w:val="20"/>
                <w:szCs w:val="20"/>
                <w:lang w:val="ro-MD"/>
              </w:rPr>
              <w:t>1.087,7</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iCs/>
                <w:color w:val="000000"/>
                <w:sz w:val="20"/>
                <w:szCs w:val="20"/>
                <w:lang w:val="ro-MD"/>
              </w:rPr>
            </w:pPr>
            <w:r w:rsidRPr="000A1798">
              <w:rPr>
                <w:rFonts w:asciiTheme="majorHAnsi" w:hAnsiTheme="majorHAnsi" w:cstheme="majorHAnsi"/>
                <w:b/>
                <w:i/>
                <w:iCs/>
                <w:color w:val="000000"/>
                <w:sz w:val="20"/>
                <w:szCs w:val="20"/>
                <w:lang w:val="ro-MD"/>
              </w:rPr>
              <w:t>110,1</w:t>
            </w:r>
          </w:p>
        </w:tc>
      </w:tr>
      <w:tr w:rsidR="001C2BF4" w:rsidRPr="000A1798" w:rsidTr="000A1798">
        <w:trPr>
          <w:trHeight w:val="203"/>
        </w:trPr>
        <w:tc>
          <w:tcPr>
            <w:cnfStyle w:val="001000000000" w:firstRow="0" w:lastRow="0" w:firstColumn="1" w:lastColumn="0" w:oddVBand="0" w:evenVBand="0" w:oddHBand="0" w:evenHBand="0" w:firstRowFirstColumn="0" w:firstRowLastColumn="0" w:lastRowFirstColumn="0" w:lastRowLastColumn="0"/>
            <w:tcW w:w="3261" w:type="dxa"/>
            <w:hideMark/>
          </w:tcPr>
          <w:p w:rsidR="001C2BF4" w:rsidRPr="000A1798" w:rsidRDefault="001C2BF4" w:rsidP="00FE3F3B">
            <w:pPr>
              <w:spacing w:line="276" w:lineRule="auto"/>
              <w:ind w:right="1"/>
              <w:jc w:val="left"/>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Învățământul general</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9.861,1</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9.996,0</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9.857,5</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-138,5</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98,6</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9.141,7</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715,8</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0A1798">
              <w:rPr>
                <w:rFonts w:asciiTheme="majorHAnsi" w:hAnsiTheme="majorHAnsi" w:cstheme="majorHAnsi"/>
                <w:i/>
                <w:iCs/>
                <w:color w:val="000000"/>
                <w:sz w:val="20"/>
                <w:szCs w:val="20"/>
                <w:lang w:val="ro-MD"/>
              </w:rPr>
              <w:t>107,8</w:t>
            </w:r>
          </w:p>
        </w:tc>
      </w:tr>
      <w:tr w:rsidR="001C2BF4" w:rsidRPr="000A1798" w:rsidTr="000A1798">
        <w:tc>
          <w:tcPr>
            <w:cnfStyle w:val="001000000000" w:firstRow="0" w:lastRow="0" w:firstColumn="1" w:lastColumn="0" w:oddVBand="0" w:evenVBand="0" w:oddHBand="0" w:evenHBand="0" w:firstRowFirstColumn="0" w:firstRowLastColumn="0" w:lastRowFirstColumn="0" w:lastRowLastColumn="0"/>
            <w:tcW w:w="3261" w:type="dxa"/>
            <w:hideMark/>
          </w:tcPr>
          <w:p w:rsidR="001C2BF4" w:rsidRPr="000A1798" w:rsidRDefault="001C2BF4" w:rsidP="00FE3F3B">
            <w:pPr>
              <w:spacing w:line="276" w:lineRule="auto"/>
              <w:ind w:right="-104"/>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Procurarea utilajului școlar și mobilierului școlar și dotarea laboratoarelor în cadrul PRIM</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25,4</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29,5</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27,2</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-2,3</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92,1</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41,1</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-13,9</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0A1798">
              <w:rPr>
                <w:rFonts w:asciiTheme="majorHAnsi" w:hAnsiTheme="majorHAnsi" w:cstheme="majorHAnsi"/>
                <w:i/>
                <w:iCs/>
                <w:color w:val="000000"/>
                <w:sz w:val="20"/>
                <w:szCs w:val="20"/>
                <w:lang w:val="ro-MD"/>
              </w:rPr>
              <w:t>66,2</w:t>
            </w:r>
          </w:p>
        </w:tc>
      </w:tr>
      <w:tr w:rsidR="001C2BF4" w:rsidRPr="000A1798" w:rsidTr="000A1798">
        <w:trPr>
          <w:trHeight w:val="276"/>
        </w:trPr>
        <w:tc>
          <w:tcPr>
            <w:cnfStyle w:val="001000000000" w:firstRow="0" w:lastRow="0" w:firstColumn="1" w:lastColumn="0" w:oddVBand="0" w:evenVBand="0" w:oddHBand="0" w:evenHBand="0" w:firstRowFirstColumn="0" w:firstRowLastColumn="0" w:lastRowFirstColumn="0" w:lastRowLastColumn="0"/>
            <w:tcW w:w="3261" w:type="dxa"/>
            <w:hideMark/>
          </w:tcPr>
          <w:p w:rsidR="001C2BF4" w:rsidRPr="000A1798" w:rsidRDefault="001C2BF4" w:rsidP="00FE3F3B">
            <w:pPr>
              <w:spacing w:line="276" w:lineRule="auto"/>
              <w:ind w:right="1"/>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Școli sportive</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237,6</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239,7</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236,6</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-3,0</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98,7</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210,8</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25,8</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0A1798">
              <w:rPr>
                <w:rFonts w:asciiTheme="majorHAnsi" w:hAnsiTheme="majorHAnsi" w:cstheme="majorHAnsi"/>
                <w:i/>
                <w:iCs/>
                <w:color w:val="000000"/>
                <w:sz w:val="20"/>
                <w:szCs w:val="20"/>
                <w:lang w:val="ro-MD"/>
              </w:rPr>
              <w:t>112,2</w:t>
            </w:r>
          </w:p>
        </w:tc>
      </w:tr>
      <w:tr w:rsidR="001C2BF4" w:rsidRPr="000A1798" w:rsidTr="000A1798">
        <w:tc>
          <w:tcPr>
            <w:cnfStyle w:val="001000000000" w:firstRow="0" w:lastRow="0" w:firstColumn="1" w:lastColumn="0" w:oddVBand="0" w:evenVBand="0" w:oddHBand="0" w:evenHBand="0" w:firstRowFirstColumn="0" w:firstRowLastColumn="0" w:lastRowFirstColumn="0" w:lastRowLastColumn="0"/>
            <w:tcW w:w="3261" w:type="dxa"/>
            <w:hideMark/>
          </w:tcPr>
          <w:p w:rsidR="001C2BF4" w:rsidRPr="000A1798" w:rsidRDefault="001C2BF4" w:rsidP="00FE3F3B">
            <w:pPr>
              <w:spacing w:line="276" w:lineRule="auto"/>
              <w:ind w:right="1"/>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Asistența socială</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301,1</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301,2</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251,8</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-49,4</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83,6</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200,9</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50,9</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0A1798">
              <w:rPr>
                <w:rFonts w:asciiTheme="majorHAnsi" w:hAnsiTheme="majorHAnsi" w:cstheme="majorHAnsi"/>
                <w:i/>
                <w:iCs/>
                <w:color w:val="000000"/>
                <w:sz w:val="20"/>
                <w:szCs w:val="20"/>
                <w:lang w:val="ro-MD"/>
              </w:rPr>
              <w:t>125,3</w:t>
            </w:r>
          </w:p>
        </w:tc>
      </w:tr>
      <w:tr w:rsidR="001C2BF4" w:rsidRPr="000A1798" w:rsidTr="000A1798">
        <w:tc>
          <w:tcPr>
            <w:cnfStyle w:val="001000000000" w:firstRow="0" w:lastRow="0" w:firstColumn="1" w:lastColumn="0" w:oddVBand="0" w:evenVBand="0" w:oddHBand="0" w:evenHBand="0" w:firstRowFirstColumn="0" w:firstRowLastColumn="0" w:lastRowFirstColumn="0" w:lastRowLastColumn="0"/>
            <w:tcW w:w="3261" w:type="dxa"/>
            <w:hideMark/>
          </w:tcPr>
          <w:p w:rsidR="001C2BF4" w:rsidRPr="000A1798" w:rsidRDefault="001C2BF4" w:rsidP="00FE3F3B">
            <w:pPr>
              <w:spacing w:line="276" w:lineRule="auto"/>
              <w:ind w:right="1"/>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Compensarea scutirilor de la plata impozitului funciar al deținătorilor de terenuri agricole situate după traseul Râbnița-Tiraspol</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0,6</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0,6</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0,6</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0,0</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100,0</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0,6</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0,0</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0A1798">
              <w:rPr>
                <w:rFonts w:asciiTheme="majorHAnsi" w:hAnsiTheme="majorHAnsi" w:cstheme="majorHAnsi"/>
                <w:i/>
                <w:iCs/>
                <w:color w:val="000000"/>
                <w:sz w:val="20"/>
                <w:szCs w:val="20"/>
                <w:lang w:val="ro-MD"/>
              </w:rPr>
              <w:t>100,0</w:t>
            </w:r>
          </w:p>
        </w:tc>
      </w:tr>
      <w:tr w:rsidR="001C2BF4" w:rsidRPr="000A1798" w:rsidTr="000A1798">
        <w:tc>
          <w:tcPr>
            <w:cnfStyle w:val="001000000000" w:firstRow="0" w:lastRow="0" w:firstColumn="1" w:lastColumn="0" w:oddVBand="0" w:evenVBand="0" w:oddHBand="0" w:evenHBand="0" w:firstRowFirstColumn="0" w:firstRowLastColumn="0" w:lastRowFirstColumn="0" w:lastRowLastColumn="0"/>
            <w:tcW w:w="3261" w:type="dxa"/>
            <w:hideMark/>
          </w:tcPr>
          <w:p w:rsidR="001C2BF4" w:rsidRPr="000A1798" w:rsidRDefault="001C2BF4" w:rsidP="00FE3F3B">
            <w:pPr>
              <w:spacing w:line="276" w:lineRule="auto"/>
              <w:ind w:right="1"/>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Cheltuieli capitale</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408,8</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409,5</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400,0</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-9,5</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97,7</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104,4</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295,6</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0A1798">
              <w:rPr>
                <w:rFonts w:asciiTheme="majorHAnsi" w:hAnsiTheme="majorHAnsi" w:cstheme="majorHAnsi"/>
                <w:i/>
                <w:iCs/>
                <w:color w:val="000000"/>
                <w:sz w:val="20"/>
                <w:szCs w:val="20"/>
                <w:lang w:val="ro-MD"/>
              </w:rPr>
              <w:t>383,1</w:t>
            </w:r>
          </w:p>
        </w:tc>
      </w:tr>
      <w:tr w:rsidR="001C2BF4" w:rsidRPr="000A1798" w:rsidTr="000A1798">
        <w:tc>
          <w:tcPr>
            <w:cnfStyle w:val="001000000000" w:firstRow="0" w:lastRow="0" w:firstColumn="1" w:lastColumn="0" w:oddVBand="0" w:evenVBand="0" w:oddHBand="0" w:evenHBand="0" w:firstRowFirstColumn="0" w:firstRowLastColumn="0" w:lastRowFirstColumn="0" w:lastRowLastColumn="0"/>
            <w:tcW w:w="3261" w:type="dxa"/>
            <w:hideMark/>
          </w:tcPr>
          <w:p w:rsidR="001C2BF4" w:rsidRPr="000A1798" w:rsidRDefault="001C2BF4" w:rsidP="00FE3F3B">
            <w:pPr>
              <w:spacing w:line="276" w:lineRule="auto"/>
              <w:ind w:right="1"/>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Infrastructura drumurilor publice locale</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958,3</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958,3</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944,9</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-13,4</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98,6</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988,6</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-43,7</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0A1798">
              <w:rPr>
                <w:rFonts w:asciiTheme="majorHAnsi" w:hAnsiTheme="majorHAnsi" w:cstheme="majorHAnsi"/>
                <w:i/>
                <w:iCs/>
                <w:color w:val="000000"/>
                <w:sz w:val="20"/>
                <w:szCs w:val="20"/>
                <w:lang w:val="ro-MD"/>
              </w:rPr>
              <w:t>95,6</w:t>
            </w:r>
          </w:p>
        </w:tc>
      </w:tr>
      <w:tr w:rsidR="001C2BF4" w:rsidRPr="000A1798" w:rsidTr="000A1798">
        <w:tc>
          <w:tcPr>
            <w:cnfStyle w:val="001000000000" w:firstRow="0" w:lastRow="0" w:firstColumn="1" w:lastColumn="0" w:oddVBand="0" w:evenVBand="0" w:oddHBand="0" w:evenHBand="0" w:firstRowFirstColumn="0" w:firstRowLastColumn="0" w:lastRowFirstColumn="0" w:lastRowLastColumn="0"/>
            <w:tcW w:w="3261" w:type="dxa"/>
            <w:hideMark/>
          </w:tcPr>
          <w:p w:rsidR="001C2BF4" w:rsidRPr="000A1798" w:rsidRDefault="001C2BF4" w:rsidP="00FE3F3B">
            <w:pPr>
              <w:spacing w:line="276" w:lineRule="auto"/>
              <w:ind w:right="1"/>
              <w:rPr>
                <w:rFonts w:asciiTheme="majorHAnsi" w:eastAsia="MS Mincho" w:hAnsiTheme="majorHAnsi" w:cstheme="majorHAnsi"/>
                <w:sz w:val="20"/>
                <w:szCs w:val="20"/>
                <w:lang w:val="ro-MD"/>
              </w:rPr>
            </w:pPr>
            <w:r w:rsidRPr="000A1798">
              <w:rPr>
                <w:rFonts w:asciiTheme="majorHAnsi" w:eastAsia="MS Mincho" w:hAnsiTheme="majorHAnsi" w:cstheme="majorHAnsi"/>
                <w:sz w:val="20"/>
                <w:szCs w:val="20"/>
                <w:lang w:val="ro-MD"/>
              </w:rPr>
              <w:t>Fondul de susținere a populației pentru pachetul minim de servicii</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130,4</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141,2</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0A1798">
              <w:rPr>
                <w:rFonts w:asciiTheme="majorHAnsi" w:hAnsiTheme="majorHAnsi" w:cstheme="majorHAnsi"/>
                <w:sz w:val="20"/>
                <w:szCs w:val="20"/>
                <w:lang w:val="ro-MD"/>
              </w:rPr>
              <w:t>139,4</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-1,8</w:t>
            </w:r>
          </w:p>
        </w:tc>
        <w:tc>
          <w:tcPr>
            <w:tcW w:w="850"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98,7</w:t>
            </w:r>
          </w:p>
        </w:tc>
        <w:tc>
          <w:tcPr>
            <w:tcW w:w="851"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82,2</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0A1798">
              <w:rPr>
                <w:rFonts w:asciiTheme="majorHAnsi" w:hAnsiTheme="majorHAnsi" w:cstheme="majorHAnsi"/>
                <w:color w:val="000000"/>
                <w:sz w:val="20"/>
                <w:szCs w:val="20"/>
                <w:lang w:val="ro-MD"/>
              </w:rPr>
              <w:t>57,2</w:t>
            </w:r>
          </w:p>
        </w:tc>
        <w:tc>
          <w:tcPr>
            <w:tcW w:w="992" w:type="dxa"/>
            <w:hideMark/>
          </w:tcPr>
          <w:p w:rsidR="001C2BF4" w:rsidRPr="000A1798"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0A1798">
              <w:rPr>
                <w:rFonts w:asciiTheme="majorHAnsi" w:hAnsiTheme="majorHAnsi" w:cstheme="majorHAnsi"/>
                <w:i/>
                <w:iCs/>
                <w:color w:val="000000"/>
                <w:sz w:val="20"/>
                <w:szCs w:val="20"/>
                <w:lang w:val="ro-MD"/>
              </w:rPr>
              <w:t>169,6</w:t>
            </w:r>
          </w:p>
        </w:tc>
      </w:tr>
    </w:tbl>
    <w:p w:rsidR="001C2BF4" w:rsidRPr="00606103" w:rsidRDefault="001C2BF4" w:rsidP="00FE3F3B">
      <w:pPr>
        <w:shd w:val="clear" w:color="auto" w:fill="FFFFFF" w:themeFill="background1"/>
        <w:spacing w:after="0" w:line="276" w:lineRule="auto"/>
        <w:ind w:right="1"/>
        <w:rPr>
          <w:rFonts w:asciiTheme="majorHAnsi" w:eastAsia="MS Mincho" w:hAnsiTheme="majorHAnsi" w:cstheme="majorHAnsi"/>
          <w:sz w:val="32"/>
          <w:szCs w:val="24"/>
          <w:lang w:val="ro-MD" w:eastAsia="ja-JP"/>
        </w:rPr>
      </w:pPr>
      <w:r w:rsidRPr="00606103">
        <w:rPr>
          <w:rFonts w:asciiTheme="majorHAnsi" w:eastAsia="MS Mincho" w:hAnsiTheme="majorHAnsi" w:cstheme="majorHAnsi"/>
          <w:b/>
          <w:i/>
          <w:sz w:val="20"/>
          <w:szCs w:val="20"/>
          <w:lang w:val="ro-MD" w:eastAsia="ja-JP"/>
        </w:rPr>
        <w:t>Sursă:</w:t>
      </w:r>
      <w:r w:rsidRPr="00606103">
        <w:rPr>
          <w:rFonts w:asciiTheme="majorHAnsi" w:eastAsia="MS Mincho" w:hAnsiTheme="majorHAnsi" w:cstheme="majorHAnsi"/>
          <w:b/>
          <w:sz w:val="20"/>
          <w:szCs w:val="20"/>
          <w:lang w:val="ro-MD" w:eastAsia="ja-JP"/>
        </w:rPr>
        <w:t xml:space="preserve"> </w:t>
      </w:r>
      <w:r w:rsidRPr="00606103">
        <w:rPr>
          <w:rFonts w:asciiTheme="majorHAnsi" w:hAnsiTheme="majorHAnsi" w:cstheme="majorHAnsi"/>
          <w:i/>
          <w:sz w:val="20"/>
          <w:szCs w:val="16"/>
          <w:lang w:val="ro-MD"/>
        </w:rPr>
        <w:t>Date generalizate de echipa de audit din Rapoartele Ministerului Finanțelor privind executarea bugetului de stat pe anii 2020-2021.</w:t>
      </w:r>
    </w:p>
    <w:p w:rsidR="00082C8F" w:rsidRDefault="00082C8F">
      <w:pPr>
        <w:jc w:val="left"/>
        <w:rPr>
          <w:rFonts w:asciiTheme="majorHAnsi" w:eastAsia="MS Mincho" w:hAnsiTheme="majorHAnsi" w:cstheme="majorHAnsi"/>
          <w:b/>
          <w:i/>
          <w:sz w:val="24"/>
          <w:szCs w:val="24"/>
          <w:lang w:val="ro-MD" w:eastAsia="ja-JP"/>
        </w:rPr>
      </w:pPr>
      <w:r>
        <w:rPr>
          <w:rFonts w:asciiTheme="majorHAnsi" w:eastAsia="MS Mincho" w:hAnsiTheme="majorHAnsi" w:cstheme="majorHAnsi"/>
          <w:b/>
          <w:i/>
          <w:sz w:val="24"/>
          <w:szCs w:val="24"/>
          <w:lang w:val="ro-MD" w:eastAsia="ja-JP"/>
        </w:rPr>
        <w:br w:type="page"/>
      </w:r>
    </w:p>
    <w:p w:rsidR="001C2BF4" w:rsidRPr="00606103" w:rsidRDefault="001C2BF4">
      <w:pPr>
        <w:shd w:val="clear" w:color="auto" w:fill="FFFFFF" w:themeFill="background1"/>
        <w:spacing w:after="0" w:line="276" w:lineRule="auto"/>
        <w:ind w:right="1" w:firstLine="720"/>
        <w:jc w:val="right"/>
        <w:rPr>
          <w:rFonts w:asciiTheme="majorHAnsi" w:eastAsia="MS Mincho" w:hAnsiTheme="majorHAnsi" w:cstheme="majorHAnsi"/>
          <w:b/>
          <w:i/>
          <w:sz w:val="24"/>
          <w:szCs w:val="24"/>
          <w:lang w:val="ro-MD" w:eastAsia="ja-JP"/>
        </w:rPr>
      </w:pPr>
      <w:r w:rsidRPr="00606103">
        <w:rPr>
          <w:rFonts w:asciiTheme="majorHAnsi" w:eastAsia="MS Mincho" w:hAnsiTheme="majorHAnsi" w:cstheme="majorHAnsi"/>
          <w:b/>
          <w:i/>
          <w:sz w:val="24"/>
          <w:szCs w:val="24"/>
          <w:lang w:val="ro-MD" w:eastAsia="ja-JP"/>
        </w:rPr>
        <w:lastRenderedPageBreak/>
        <w:t>Tabelul nr.3</w:t>
      </w:r>
    </w:p>
    <w:p w:rsidR="001C2BF4" w:rsidRPr="00606103" w:rsidRDefault="001C2BF4">
      <w:pPr>
        <w:shd w:val="clear" w:color="auto" w:fill="FFFFFF" w:themeFill="background1"/>
        <w:spacing w:after="0" w:line="276" w:lineRule="auto"/>
        <w:ind w:right="1" w:firstLine="720"/>
        <w:jc w:val="center"/>
        <w:rPr>
          <w:rFonts w:asciiTheme="majorHAnsi" w:eastAsia="MS Mincho" w:hAnsiTheme="majorHAnsi" w:cstheme="majorHAnsi"/>
          <w:b/>
          <w:sz w:val="24"/>
          <w:szCs w:val="24"/>
          <w:lang w:val="ro-MD" w:eastAsia="ja-JP"/>
        </w:rPr>
      </w:pPr>
      <w:r w:rsidRPr="00606103">
        <w:rPr>
          <w:rFonts w:asciiTheme="majorHAnsi" w:eastAsia="MS Mincho" w:hAnsiTheme="majorHAnsi" w:cstheme="majorHAnsi"/>
          <w:b/>
          <w:sz w:val="24"/>
          <w:szCs w:val="24"/>
          <w:lang w:val="ro-MD" w:eastAsia="ja-JP"/>
        </w:rPr>
        <w:t>Analiza privind executarea în anul 2021 a transferurilor cu destinație specială pentru învățământul general sub aspectul clasificației funcționale</w:t>
      </w:r>
    </w:p>
    <w:p w:rsidR="001C2BF4" w:rsidRPr="00606103" w:rsidRDefault="001C2BF4">
      <w:pPr>
        <w:shd w:val="clear" w:color="auto" w:fill="FFFFFF" w:themeFill="background1"/>
        <w:spacing w:after="0" w:line="276" w:lineRule="auto"/>
        <w:ind w:right="710" w:firstLine="720"/>
        <w:jc w:val="right"/>
        <w:rPr>
          <w:rFonts w:asciiTheme="majorHAnsi" w:eastAsia="MS Mincho" w:hAnsiTheme="majorHAnsi" w:cstheme="majorHAnsi"/>
          <w:i/>
          <w:sz w:val="24"/>
          <w:szCs w:val="24"/>
          <w:lang w:val="ro-MD" w:eastAsia="ja-JP"/>
        </w:rPr>
      </w:pPr>
      <w:r w:rsidRPr="00606103">
        <w:rPr>
          <w:rFonts w:asciiTheme="majorHAnsi" w:eastAsia="MS Mincho" w:hAnsiTheme="majorHAnsi" w:cstheme="majorHAnsi"/>
          <w:i/>
          <w:sz w:val="24"/>
          <w:szCs w:val="24"/>
          <w:lang w:val="ro-MD" w:eastAsia="ja-JP"/>
        </w:rPr>
        <w:t>(mil. lei)</w:t>
      </w:r>
    </w:p>
    <w:tbl>
      <w:tblPr>
        <w:tblStyle w:val="GridTable1Light-Accent62"/>
        <w:tblW w:w="0" w:type="auto"/>
        <w:jc w:val="center"/>
        <w:tblLook w:val="04A0" w:firstRow="1" w:lastRow="0" w:firstColumn="1" w:lastColumn="0" w:noHBand="0" w:noVBand="1"/>
      </w:tblPr>
      <w:tblGrid>
        <w:gridCol w:w="3256"/>
        <w:gridCol w:w="1129"/>
        <w:gridCol w:w="1559"/>
        <w:gridCol w:w="2698"/>
      </w:tblGrid>
      <w:tr w:rsidR="001C2BF4" w:rsidRPr="00606103" w:rsidTr="00C201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rsidR="001C2BF4" w:rsidRPr="00606103" w:rsidRDefault="001C2BF4">
            <w:pPr>
              <w:spacing w:line="276" w:lineRule="auto"/>
              <w:ind w:right="1"/>
              <w:jc w:val="center"/>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Denumire</w:t>
            </w:r>
          </w:p>
        </w:tc>
        <w:tc>
          <w:tcPr>
            <w:tcW w:w="1129" w:type="dxa"/>
          </w:tcPr>
          <w:p w:rsidR="001C2BF4" w:rsidRPr="00606103" w:rsidRDefault="001C2BF4">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Funcți</w:t>
            </w:r>
            <w:r w:rsidR="00FE0444" w:rsidRPr="00606103">
              <w:rPr>
                <w:rFonts w:asciiTheme="majorHAnsi" w:eastAsia="MS Mincho" w:hAnsiTheme="majorHAnsi" w:cstheme="majorHAnsi"/>
                <w:sz w:val="22"/>
                <w:lang w:val="ro-MD" w:eastAsia="ja-JP"/>
              </w:rPr>
              <w:t>e</w:t>
            </w:r>
          </w:p>
        </w:tc>
        <w:tc>
          <w:tcPr>
            <w:tcW w:w="1559" w:type="dxa"/>
          </w:tcPr>
          <w:p w:rsidR="001C2BF4" w:rsidRPr="00606103" w:rsidRDefault="001C2BF4">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Program</w:t>
            </w:r>
          </w:p>
        </w:tc>
        <w:tc>
          <w:tcPr>
            <w:tcW w:w="2698" w:type="dxa"/>
          </w:tcPr>
          <w:p w:rsidR="001C2BF4" w:rsidRPr="00606103" w:rsidRDefault="001C2BF4">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Cheltuielile BL</w:t>
            </w:r>
          </w:p>
        </w:tc>
      </w:tr>
      <w:tr w:rsidR="001C2BF4" w:rsidRPr="00606103" w:rsidTr="00C20148">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1C2BF4" w:rsidRPr="00606103" w:rsidRDefault="001C2BF4" w:rsidP="00FE3F3B">
            <w:pPr>
              <w:spacing w:line="276" w:lineRule="auto"/>
              <w:ind w:right="1"/>
              <w:jc w:val="left"/>
              <w:rPr>
                <w:rFonts w:asciiTheme="majorHAnsi" w:eastAsia="MS Mincho" w:hAnsiTheme="majorHAnsi" w:cstheme="majorHAnsi"/>
                <w:i/>
                <w:sz w:val="22"/>
                <w:lang w:val="ro-MD" w:eastAsia="ja-JP"/>
              </w:rPr>
            </w:pPr>
            <w:r w:rsidRPr="00606103">
              <w:rPr>
                <w:rFonts w:asciiTheme="majorHAnsi" w:eastAsia="MS Mincho" w:hAnsiTheme="majorHAnsi" w:cstheme="majorHAnsi"/>
                <w:i/>
                <w:sz w:val="22"/>
                <w:lang w:val="ro-MD" w:eastAsia="ja-JP"/>
              </w:rPr>
              <w:t>Total*</w:t>
            </w:r>
          </w:p>
        </w:tc>
        <w:tc>
          <w:tcPr>
            <w:tcW w:w="1129" w:type="dxa"/>
          </w:tcPr>
          <w:p w:rsidR="001C2BF4" w:rsidRPr="00606103" w:rsidRDefault="001C2BF4">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2"/>
                <w:lang w:val="ro-MD" w:eastAsia="ja-JP"/>
              </w:rPr>
            </w:pPr>
          </w:p>
        </w:tc>
        <w:tc>
          <w:tcPr>
            <w:tcW w:w="1559" w:type="dxa"/>
          </w:tcPr>
          <w:p w:rsidR="001C2BF4" w:rsidRPr="00606103" w:rsidRDefault="001C2BF4">
            <w:pPr>
              <w:spacing w:line="276" w:lineRule="auto"/>
              <w:ind w:right="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2"/>
                <w:lang w:val="ro-MD" w:eastAsia="ja-JP"/>
              </w:rPr>
            </w:pPr>
          </w:p>
        </w:tc>
        <w:tc>
          <w:tcPr>
            <w:tcW w:w="2698" w:type="dxa"/>
          </w:tcPr>
          <w:p w:rsidR="001C2BF4" w:rsidRPr="00606103" w:rsidRDefault="001C2BF4">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2"/>
                <w:lang w:val="ro-MD" w:eastAsia="ja-JP"/>
              </w:rPr>
            </w:pPr>
            <w:r w:rsidRPr="00606103">
              <w:rPr>
                <w:rFonts w:asciiTheme="majorHAnsi" w:eastAsia="MS Mincho" w:hAnsiTheme="majorHAnsi" w:cstheme="majorHAnsi"/>
                <w:b/>
                <w:sz w:val="22"/>
                <w:lang w:val="ro-MD" w:eastAsia="ja-JP"/>
              </w:rPr>
              <w:t>9.860,0</w:t>
            </w:r>
          </w:p>
        </w:tc>
      </w:tr>
      <w:tr w:rsidR="001C2BF4" w:rsidRPr="00606103" w:rsidTr="00C20148">
        <w:trPr>
          <w:trHeight w:val="58"/>
          <w:jc w:val="center"/>
        </w:trPr>
        <w:tc>
          <w:tcPr>
            <w:cnfStyle w:val="001000000000" w:firstRow="0" w:lastRow="0" w:firstColumn="1" w:lastColumn="0" w:oddVBand="0" w:evenVBand="0" w:oddHBand="0" w:evenHBand="0" w:firstRowFirstColumn="0" w:firstRowLastColumn="0" w:lastRowFirstColumn="0" w:lastRowLastColumn="0"/>
            <w:tcW w:w="3256" w:type="dxa"/>
          </w:tcPr>
          <w:p w:rsidR="001C2BF4" w:rsidRPr="00606103" w:rsidRDefault="001C2BF4" w:rsidP="00FE3F3B">
            <w:pPr>
              <w:spacing w:line="276" w:lineRule="auto"/>
              <w:ind w:right="1"/>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Educație timpurie (grădinițe)</w:t>
            </w:r>
          </w:p>
        </w:tc>
        <w:tc>
          <w:tcPr>
            <w:tcW w:w="1129"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0911</w:t>
            </w:r>
          </w:p>
        </w:tc>
        <w:tc>
          <w:tcPr>
            <w:tcW w:w="1559"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8802</w:t>
            </w:r>
          </w:p>
        </w:tc>
        <w:tc>
          <w:tcPr>
            <w:tcW w:w="2698"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3.524,3</w:t>
            </w:r>
          </w:p>
        </w:tc>
      </w:tr>
      <w:tr w:rsidR="001C2BF4" w:rsidRPr="00606103" w:rsidTr="00C20148">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1C2BF4" w:rsidRPr="00606103" w:rsidRDefault="001C2BF4" w:rsidP="00FE3F3B">
            <w:pPr>
              <w:spacing w:line="276" w:lineRule="auto"/>
              <w:ind w:right="1"/>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Învățământ primar (școli primare)</w:t>
            </w:r>
          </w:p>
        </w:tc>
        <w:tc>
          <w:tcPr>
            <w:tcW w:w="1129"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0912</w:t>
            </w:r>
          </w:p>
        </w:tc>
        <w:tc>
          <w:tcPr>
            <w:tcW w:w="1559"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8803</w:t>
            </w:r>
          </w:p>
        </w:tc>
        <w:tc>
          <w:tcPr>
            <w:tcW w:w="2698"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207,1</w:t>
            </w:r>
          </w:p>
        </w:tc>
      </w:tr>
      <w:tr w:rsidR="001C2BF4" w:rsidRPr="00606103" w:rsidTr="00C20148">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1C2BF4" w:rsidRPr="00606103" w:rsidRDefault="001C2BF4" w:rsidP="00FE3F3B">
            <w:pPr>
              <w:spacing w:line="276" w:lineRule="auto"/>
              <w:ind w:right="1"/>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Gimnazii</w:t>
            </w:r>
          </w:p>
        </w:tc>
        <w:tc>
          <w:tcPr>
            <w:tcW w:w="1129"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0921</w:t>
            </w:r>
          </w:p>
        </w:tc>
        <w:tc>
          <w:tcPr>
            <w:tcW w:w="1559"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8804</w:t>
            </w:r>
          </w:p>
        </w:tc>
        <w:tc>
          <w:tcPr>
            <w:tcW w:w="2698"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2.536,2</w:t>
            </w:r>
          </w:p>
        </w:tc>
      </w:tr>
      <w:tr w:rsidR="001C2BF4" w:rsidRPr="00606103" w:rsidTr="00C20148">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1C2BF4" w:rsidRPr="00606103" w:rsidRDefault="001C2BF4" w:rsidP="00FE3F3B">
            <w:pPr>
              <w:spacing w:line="276" w:lineRule="auto"/>
              <w:ind w:right="1"/>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Învățământ special</w:t>
            </w:r>
          </w:p>
        </w:tc>
        <w:tc>
          <w:tcPr>
            <w:tcW w:w="1129"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0921</w:t>
            </w:r>
          </w:p>
        </w:tc>
        <w:tc>
          <w:tcPr>
            <w:tcW w:w="1559"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8805</w:t>
            </w:r>
          </w:p>
        </w:tc>
        <w:tc>
          <w:tcPr>
            <w:tcW w:w="2698"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53,3</w:t>
            </w:r>
          </w:p>
        </w:tc>
      </w:tr>
      <w:tr w:rsidR="001C2BF4" w:rsidRPr="00606103" w:rsidTr="00C20148">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1C2BF4" w:rsidRPr="00606103" w:rsidRDefault="001C2BF4" w:rsidP="00FE3F3B">
            <w:pPr>
              <w:spacing w:line="276" w:lineRule="auto"/>
              <w:ind w:right="1"/>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Licee</w:t>
            </w:r>
          </w:p>
        </w:tc>
        <w:tc>
          <w:tcPr>
            <w:tcW w:w="1129"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0922</w:t>
            </w:r>
          </w:p>
        </w:tc>
        <w:tc>
          <w:tcPr>
            <w:tcW w:w="1559"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8806</w:t>
            </w:r>
          </w:p>
        </w:tc>
        <w:tc>
          <w:tcPr>
            <w:tcW w:w="2698" w:type="dxa"/>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3.034,3</w:t>
            </w:r>
          </w:p>
        </w:tc>
      </w:tr>
      <w:tr w:rsidR="001C2BF4" w:rsidRPr="00606103" w:rsidTr="00C20148">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1C2BF4" w:rsidRPr="00606103" w:rsidRDefault="001C2BF4" w:rsidP="00FE3F3B">
            <w:pPr>
              <w:spacing w:line="276" w:lineRule="auto"/>
              <w:ind w:right="1"/>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Învățământ extrașcolar</w:t>
            </w:r>
          </w:p>
        </w:tc>
        <w:tc>
          <w:tcPr>
            <w:tcW w:w="1129" w:type="dxa"/>
            <w:vAlign w:val="center"/>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0950</w:t>
            </w:r>
          </w:p>
        </w:tc>
        <w:tc>
          <w:tcPr>
            <w:tcW w:w="1559" w:type="dxa"/>
            <w:vAlign w:val="center"/>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ro-MD"/>
              </w:rPr>
            </w:pPr>
            <w:r w:rsidRPr="00606103">
              <w:rPr>
                <w:rFonts w:asciiTheme="majorHAnsi" w:hAnsiTheme="majorHAnsi" w:cstheme="majorHAnsi"/>
                <w:sz w:val="22"/>
                <w:lang w:val="ro-MD"/>
              </w:rPr>
              <w:t>8814</w:t>
            </w:r>
            <w:r w:rsidR="00290E51" w:rsidRPr="00606103">
              <w:rPr>
                <w:rFonts w:asciiTheme="majorHAnsi" w:hAnsiTheme="majorHAnsi" w:cstheme="majorHAnsi"/>
                <w:sz w:val="22"/>
                <w:lang w:val="ro-MD"/>
              </w:rPr>
              <w:t>;</w:t>
            </w:r>
            <w:r w:rsidRPr="00606103">
              <w:rPr>
                <w:rFonts w:asciiTheme="majorHAnsi" w:hAnsiTheme="majorHAnsi" w:cstheme="majorHAnsi"/>
                <w:sz w:val="22"/>
                <w:lang w:val="ro-MD"/>
              </w:rPr>
              <w:t xml:space="preserve"> 8815</w:t>
            </w:r>
          </w:p>
        </w:tc>
        <w:tc>
          <w:tcPr>
            <w:tcW w:w="2698" w:type="dxa"/>
            <w:vAlign w:val="center"/>
          </w:tcPr>
          <w:p w:rsidR="001C2BF4" w:rsidRPr="00606103" w:rsidRDefault="001C2BF4">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504,8</w:t>
            </w:r>
          </w:p>
        </w:tc>
      </w:tr>
    </w:tbl>
    <w:p w:rsidR="001C2BF4" w:rsidRPr="00606103" w:rsidRDefault="001C2BF4" w:rsidP="00FE3F3B">
      <w:pPr>
        <w:shd w:val="clear" w:color="auto" w:fill="FFFFFF" w:themeFill="background1"/>
        <w:spacing w:after="0" w:line="276" w:lineRule="auto"/>
        <w:ind w:right="1"/>
        <w:rPr>
          <w:rFonts w:asciiTheme="majorHAnsi" w:eastAsia="MS Mincho" w:hAnsiTheme="majorHAnsi" w:cstheme="majorHAnsi"/>
          <w:i/>
          <w:sz w:val="20"/>
          <w:szCs w:val="20"/>
          <w:lang w:val="ro-MD" w:eastAsia="ja-JP"/>
        </w:rPr>
      </w:pPr>
      <w:r w:rsidRPr="00606103">
        <w:rPr>
          <w:rFonts w:asciiTheme="majorHAnsi" w:eastAsia="MS Mincho" w:hAnsiTheme="majorHAnsi" w:cstheme="majorHAnsi"/>
          <w:b/>
          <w:i/>
          <w:sz w:val="20"/>
          <w:szCs w:val="20"/>
          <w:lang w:val="ro-MD" w:eastAsia="ja-JP"/>
        </w:rPr>
        <w:t xml:space="preserve">Notă*: </w:t>
      </w:r>
      <w:r w:rsidRPr="00606103">
        <w:rPr>
          <w:rFonts w:asciiTheme="majorHAnsi" w:eastAsia="MS Mincho" w:hAnsiTheme="majorHAnsi" w:cstheme="majorHAnsi"/>
          <w:i/>
          <w:sz w:val="20"/>
          <w:szCs w:val="20"/>
          <w:lang w:val="ro-MD" w:eastAsia="ja-JP"/>
        </w:rPr>
        <w:t>Se prezintă volumul executat, inclusiv soldurile de lichidități ale APL din anul precedent</w:t>
      </w:r>
      <w:r w:rsidR="00FE0444" w:rsidRPr="00606103">
        <w:rPr>
          <w:rFonts w:asciiTheme="majorHAnsi" w:eastAsia="MS Mincho" w:hAnsiTheme="majorHAnsi" w:cstheme="majorHAnsi"/>
          <w:i/>
          <w:sz w:val="20"/>
          <w:szCs w:val="20"/>
          <w:lang w:val="ro-MD" w:eastAsia="ja-JP"/>
        </w:rPr>
        <w:t>,</w:t>
      </w:r>
      <w:r w:rsidRPr="00606103">
        <w:rPr>
          <w:rFonts w:asciiTheme="majorHAnsi" w:eastAsia="MS Mincho" w:hAnsiTheme="majorHAnsi" w:cstheme="majorHAnsi"/>
          <w:i/>
          <w:sz w:val="20"/>
          <w:szCs w:val="20"/>
          <w:lang w:val="ro-MD" w:eastAsia="ja-JP"/>
        </w:rPr>
        <w:t xml:space="preserve"> în sumă de 2,4 mil. lei.</w:t>
      </w:r>
    </w:p>
    <w:p w:rsidR="001C2BF4" w:rsidRPr="00606103" w:rsidRDefault="001C2BF4">
      <w:pPr>
        <w:shd w:val="clear" w:color="auto" w:fill="FFFFFF" w:themeFill="background1"/>
        <w:spacing w:after="0" w:line="276" w:lineRule="auto"/>
        <w:ind w:right="1"/>
        <w:rPr>
          <w:rFonts w:asciiTheme="majorHAnsi" w:eastAsia="MS Mincho" w:hAnsiTheme="majorHAnsi" w:cstheme="majorHAnsi"/>
          <w:b/>
          <w:i/>
          <w:sz w:val="18"/>
          <w:szCs w:val="18"/>
          <w:lang w:val="ro-MD" w:eastAsia="ja-JP"/>
        </w:rPr>
      </w:pPr>
      <w:r w:rsidRPr="00606103">
        <w:rPr>
          <w:rFonts w:asciiTheme="majorHAnsi" w:eastAsia="MS Mincho" w:hAnsiTheme="majorHAnsi" w:cstheme="majorHAnsi"/>
          <w:b/>
          <w:i/>
          <w:sz w:val="20"/>
          <w:szCs w:val="20"/>
          <w:lang w:val="ro-MD" w:eastAsia="ja-JP"/>
        </w:rPr>
        <w:t>Sursă:</w:t>
      </w:r>
      <w:r w:rsidRPr="00606103">
        <w:rPr>
          <w:rFonts w:asciiTheme="majorHAnsi" w:eastAsia="MS Mincho" w:hAnsiTheme="majorHAnsi" w:cstheme="majorHAnsi"/>
          <w:i/>
          <w:sz w:val="20"/>
          <w:szCs w:val="20"/>
          <w:lang w:val="ro-MD" w:eastAsia="ja-JP"/>
        </w:rPr>
        <w:t xml:space="preserve"> </w:t>
      </w:r>
      <w:r w:rsidRPr="00606103">
        <w:rPr>
          <w:rFonts w:asciiTheme="majorHAnsi" w:hAnsiTheme="majorHAnsi" w:cstheme="majorHAnsi"/>
          <w:i/>
          <w:sz w:val="20"/>
          <w:szCs w:val="20"/>
          <w:lang w:val="ro-MD"/>
        </w:rPr>
        <w:t xml:space="preserve">Date generalizate de echipa de audit </w:t>
      </w:r>
      <w:r w:rsidRPr="00606103">
        <w:rPr>
          <w:rFonts w:asciiTheme="majorHAnsi" w:eastAsia="MS Mincho" w:hAnsiTheme="majorHAnsi" w:cstheme="majorHAnsi"/>
          <w:i/>
          <w:sz w:val="20"/>
          <w:szCs w:val="20"/>
          <w:lang w:val="ro-MD" w:eastAsia="ja-JP"/>
        </w:rPr>
        <w:t>în baza datelor prezentate de Ministerul Finanțelor.</w:t>
      </w:r>
    </w:p>
    <w:p w:rsidR="001C2BF4" w:rsidRPr="00606103" w:rsidRDefault="001C2BF4">
      <w:pPr>
        <w:shd w:val="clear" w:color="auto" w:fill="FFFFFF" w:themeFill="background1"/>
        <w:spacing w:after="0" w:line="276" w:lineRule="auto"/>
        <w:ind w:right="1"/>
        <w:jc w:val="right"/>
        <w:rPr>
          <w:rFonts w:asciiTheme="majorHAnsi" w:eastAsia="MS Mincho" w:hAnsiTheme="majorHAnsi" w:cstheme="majorHAnsi"/>
          <w:b/>
          <w:i/>
          <w:sz w:val="24"/>
          <w:szCs w:val="24"/>
          <w:lang w:val="ro-MD" w:eastAsia="ja-JP"/>
        </w:rPr>
      </w:pPr>
      <w:r w:rsidRPr="00606103">
        <w:rPr>
          <w:rFonts w:asciiTheme="majorHAnsi" w:eastAsia="MS Mincho" w:hAnsiTheme="majorHAnsi" w:cstheme="majorHAnsi"/>
          <w:b/>
          <w:i/>
          <w:sz w:val="24"/>
          <w:szCs w:val="24"/>
          <w:lang w:val="ro-MD" w:eastAsia="ja-JP"/>
        </w:rPr>
        <w:t>Tabelul nr.4</w:t>
      </w:r>
    </w:p>
    <w:p w:rsidR="001C2BF4" w:rsidRPr="00606103" w:rsidRDefault="001C2BF4">
      <w:pPr>
        <w:shd w:val="clear" w:color="auto" w:fill="FFFFFF" w:themeFill="background1"/>
        <w:spacing w:after="0" w:line="276" w:lineRule="auto"/>
        <w:ind w:right="1" w:firstLine="720"/>
        <w:jc w:val="center"/>
        <w:rPr>
          <w:rFonts w:asciiTheme="majorHAnsi" w:eastAsia="MS Mincho" w:hAnsiTheme="majorHAnsi" w:cstheme="majorHAnsi"/>
          <w:b/>
          <w:sz w:val="24"/>
          <w:szCs w:val="24"/>
          <w:lang w:val="ro-MD" w:eastAsia="ja-JP"/>
        </w:rPr>
      </w:pPr>
      <w:r w:rsidRPr="00606103">
        <w:rPr>
          <w:rFonts w:asciiTheme="majorHAnsi" w:eastAsia="MS Mincho" w:hAnsiTheme="majorHAnsi" w:cstheme="majorHAnsi"/>
          <w:b/>
          <w:sz w:val="24"/>
          <w:szCs w:val="24"/>
          <w:lang w:val="ro-MD" w:eastAsia="ja-JP"/>
        </w:rPr>
        <w:t>Analiza privind executarea în anul 2021 a transferurilor cu destinație specială pentru învățământul general</w:t>
      </w:r>
      <w:r w:rsidR="00FE0444" w:rsidRPr="00606103">
        <w:rPr>
          <w:rFonts w:asciiTheme="majorHAnsi" w:eastAsia="MS Mincho" w:hAnsiTheme="majorHAnsi" w:cstheme="majorHAnsi"/>
          <w:b/>
          <w:sz w:val="24"/>
          <w:szCs w:val="24"/>
          <w:lang w:val="ro-MD" w:eastAsia="ja-JP"/>
        </w:rPr>
        <w:t>,</w:t>
      </w:r>
      <w:r w:rsidRPr="00606103">
        <w:rPr>
          <w:rFonts w:asciiTheme="majorHAnsi" w:eastAsia="MS Mincho" w:hAnsiTheme="majorHAnsi" w:cstheme="majorHAnsi"/>
          <w:b/>
          <w:sz w:val="24"/>
          <w:szCs w:val="24"/>
          <w:lang w:val="ro-MD" w:eastAsia="ja-JP"/>
        </w:rPr>
        <w:t xml:space="preserve"> pe activități</w:t>
      </w:r>
    </w:p>
    <w:p w:rsidR="001C2BF4" w:rsidRPr="00606103" w:rsidRDefault="001C2BF4">
      <w:pPr>
        <w:shd w:val="clear" w:color="auto" w:fill="FFFFFF" w:themeFill="background1"/>
        <w:spacing w:after="0" w:line="276" w:lineRule="auto"/>
        <w:ind w:right="1" w:firstLine="720"/>
        <w:jc w:val="right"/>
        <w:rPr>
          <w:rFonts w:asciiTheme="majorHAnsi" w:eastAsia="MS Mincho" w:hAnsiTheme="majorHAnsi" w:cstheme="majorHAnsi"/>
          <w:i/>
          <w:sz w:val="24"/>
          <w:szCs w:val="24"/>
          <w:lang w:val="ro-MD" w:eastAsia="ja-JP"/>
        </w:rPr>
      </w:pPr>
      <w:r w:rsidRPr="00606103">
        <w:rPr>
          <w:rFonts w:asciiTheme="majorHAnsi" w:eastAsia="MS Mincho" w:hAnsiTheme="majorHAnsi" w:cstheme="majorHAnsi"/>
          <w:i/>
          <w:sz w:val="24"/>
          <w:szCs w:val="24"/>
          <w:lang w:val="ro-MD" w:eastAsia="ja-JP"/>
        </w:rPr>
        <w:t>(mil. lei)</w:t>
      </w:r>
    </w:p>
    <w:tbl>
      <w:tblPr>
        <w:tblStyle w:val="GridTable1Light-Accent62"/>
        <w:tblW w:w="9636" w:type="dxa"/>
        <w:tblLook w:val="04A0" w:firstRow="1" w:lastRow="0" w:firstColumn="1" w:lastColumn="0" w:noHBand="0" w:noVBand="1"/>
      </w:tblPr>
      <w:tblGrid>
        <w:gridCol w:w="7366"/>
        <w:gridCol w:w="1064"/>
        <w:gridCol w:w="1206"/>
      </w:tblGrid>
      <w:tr w:rsidR="001C2BF4" w:rsidRPr="00606103" w:rsidTr="0029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rsidR="001C2BF4" w:rsidRPr="00606103" w:rsidRDefault="001C2BF4">
            <w:pPr>
              <w:spacing w:line="276" w:lineRule="auto"/>
              <w:ind w:right="1"/>
              <w:jc w:val="center"/>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Denumire</w:t>
            </w:r>
          </w:p>
        </w:tc>
        <w:tc>
          <w:tcPr>
            <w:tcW w:w="1064" w:type="dxa"/>
          </w:tcPr>
          <w:p w:rsidR="001C2BF4" w:rsidRPr="00606103" w:rsidRDefault="001C2BF4">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Activitate</w:t>
            </w:r>
          </w:p>
        </w:tc>
        <w:tc>
          <w:tcPr>
            <w:tcW w:w="1206" w:type="dxa"/>
          </w:tcPr>
          <w:p w:rsidR="001C2BF4" w:rsidRPr="00606103" w:rsidRDefault="001C2BF4">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sz w:val="22"/>
                <w:lang w:val="ro-MD" w:eastAsia="ja-JP"/>
              </w:rPr>
            </w:pPr>
            <w:r w:rsidRPr="00606103">
              <w:rPr>
                <w:rFonts w:asciiTheme="majorHAnsi" w:eastAsia="MS Mincho" w:hAnsiTheme="majorHAnsi" w:cstheme="majorHAnsi"/>
                <w:sz w:val="22"/>
                <w:lang w:val="ro-MD" w:eastAsia="ja-JP"/>
              </w:rPr>
              <w:t>Cheltuielile BL</w:t>
            </w:r>
          </w:p>
        </w:tc>
      </w:tr>
      <w:tr w:rsidR="001C2BF4" w:rsidRPr="00606103" w:rsidTr="00290E51">
        <w:tc>
          <w:tcPr>
            <w:cnfStyle w:val="001000000000" w:firstRow="0" w:lastRow="0" w:firstColumn="1" w:lastColumn="0" w:oddVBand="0" w:evenVBand="0" w:oddHBand="0" w:evenHBand="0" w:firstRowFirstColumn="0" w:firstRowLastColumn="0" w:lastRowFirstColumn="0" w:lastRowLastColumn="0"/>
            <w:tcW w:w="7366" w:type="dxa"/>
          </w:tcPr>
          <w:p w:rsidR="001C2BF4" w:rsidRPr="00606103" w:rsidRDefault="001C2BF4" w:rsidP="00FE3F3B">
            <w:pPr>
              <w:spacing w:line="276" w:lineRule="auto"/>
              <w:ind w:right="1"/>
              <w:jc w:val="left"/>
              <w:rPr>
                <w:rFonts w:asciiTheme="majorHAnsi" w:eastAsia="MS Mincho" w:hAnsiTheme="majorHAnsi" w:cstheme="majorHAnsi"/>
                <w:i/>
                <w:sz w:val="22"/>
                <w:lang w:val="ro-MD" w:eastAsia="ja-JP"/>
              </w:rPr>
            </w:pPr>
            <w:r w:rsidRPr="00606103">
              <w:rPr>
                <w:rFonts w:asciiTheme="majorHAnsi" w:eastAsia="MS Mincho" w:hAnsiTheme="majorHAnsi" w:cstheme="majorHAnsi"/>
                <w:i/>
                <w:sz w:val="22"/>
                <w:lang w:val="ro-MD" w:eastAsia="ja-JP"/>
              </w:rPr>
              <w:t>Total*</w:t>
            </w:r>
          </w:p>
        </w:tc>
        <w:tc>
          <w:tcPr>
            <w:tcW w:w="1064" w:type="dxa"/>
          </w:tcPr>
          <w:p w:rsidR="001C2BF4" w:rsidRPr="00606103" w:rsidRDefault="001C2BF4">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sz w:val="24"/>
                <w:szCs w:val="24"/>
                <w:lang w:val="ro-MD" w:eastAsia="ja-JP"/>
              </w:rPr>
            </w:pPr>
          </w:p>
        </w:tc>
        <w:tc>
          <w:tcPr>
            <w:tcW w:w="1206" w:type="dxa"/>
          </w:tcPr>
          <w:p w:rsidR="001C2BF4" w:rsidRPr="00606103" w:rsidRDefault="001C2BF4">
            <w:pPr>
              <w:spacing w:line="276" w:lineRule="auto"/>
              <w:ind w:right="1"/>
              <w:jc w:val="right"/>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sz w:val="22"/>
                <w:lang w:val="ro-MD" w:eastAsia="ja-JP"/>
              </w:rPr>
            </w:pPr>
            <w:r w:rsidRPr="00606103">
              <w:rPr>
                <w:rFonts w:asciiTheme="majorHAnsi" w:eastAsia="MS Mincho" w:hAnsiTheme="majorHAnsi" w:cstheme="majorHAnsi"/>
                <w:b/>
                <w:sz w:val="22"/>
                <w:lang w:val="ro-MD" w:eastAsia="ja-JP"/>
              </w:rPr>
              <w:t>9.860,0</w:t>
            </w:r>
          </w:p>
        </w:tc>
      </w:tr>
      <w:tr w:rsidR="001C2BF4" w:rsidRPr="00606103" w:rsidTr="00290E51">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Educație timpurie</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00199</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2.961,5</w:t>
            </w:r>
          </w:p>
        </w:tc>
      </w:tr>
      <w:tr w:rsidR="001C2BF4" w:rsidRPr="00606103" w:rsidTr="00290E51">
        <w:trPr>
          <w:trHeight w:val="157"/>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Învățământ primar</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00200</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183,8</w:t>
            </w:r>
          </w:p>
        </w:tc>
      </w:tr>
      <w:tr w:rsidR="001C2BF4" w:rsidRPr="00606103" w:rsidTr="00290E51">
        <w:trPr>
          <w:trHeight w:val="261"/>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Învățământ gimnazial</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00201</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2.337,8</w:t>
            </w:r>
          </w:p>
        </w:tc>
      </w:tr>
      <w:tr w:rsidR="001C2BF4" w:rsidRPr="00606103" w:rsidTr="00290E51">
        <w:trPr>
          <w:trHeight w:val="81"/>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Învățământ pentru copii cu cerințe educaționale speciale</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00202</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50,6</w:t>
            </w:r>
          </w:p>
        </w:tc>
      </w:tr>
      <w:tr w:rsidR="001C2BF4" w:rsidRPr="00606103" w:rsidTr="00290E51">
        <w:trPr>
          <w:trHeight w:val="114"/>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Învățământ liceal</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00203</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2.786,5</w:t>
            </w:r>
          </w:p>
        </w:tc>
      </w:tr>
      <w:tr w:rsidR="001C2BF4" w:rsidRPr="00606103" w:rsidTr="00290E51">
        <w:trPr>
          <w:trHeight w:val="75"/>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Întreținerea căminelor</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00204</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10,5</w:t>
            </w:r>
          </w:p>
        </w:tc>
      </w:tr>
      <w:tr w:rsidR="001C2BF4" w:rsidRPr="00606103" w:rsidTr="00290E51">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Învățământ extrașcolar</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00209</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457,0</w:t>
            </w:r>
          </w:p>
        </w:tc>
      </w:tr>
      <w:tr w:rsidR="001C2BF4" w:rsidRPr="00606103" w:rsidTr="00290E51">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Organizarea odihnei de vară a copiilor și adolescenților</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00211</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39,3</w:t>
            </w:r>
          </w:p>
        </w:tc>
      </w:tr>
      <w:tr w:rsidR="001C2BF4" w:rsidRPr="00606103" w:rsidTr="00290E51">
        <w:trPr>
          <w:trHeight w:val="159"/>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Desfășurarea examenelor de absolvire</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00215</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3,1</w:t>
            </w:r>
          </w:p>
        </w:tc>
      </w:tr>
      <w:tr w:rsidR="001C2BF4" w:rsidRPr="00606103" w:rsidTr="00290E51">
        <w:trPr>
          <w:trHeight w:val="135"/>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Proiecte de investiții publice</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00319</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3,2</w:t>
            </w:r>
          </w:p>
        </w:tc>
      </w:tr>
      <w:tr w:rsidR="001C2BF4" w:rsidRPr="00606103" w:rsidTr="00290E51">
        <w:trPr>
          <w:trHeight w:val="60"/>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Activitatea sportivă în liceele de tip internat</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00358</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26,4</w:t>
            </w:r>
          </w:p>
        </w:tc>
      </w:tr>
      <w:tr w:rsidR="001C2BF4" w:rsidRPr="00606103" w:rsidTr="00290E51">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Susținerea elevilor dotați</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00380</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0,5</w:t>
            </w:r>
          </w:p>
        </w:tc>
      </w:tr>
      <w:tr w:rsidR="001C2BF4" w:rsidRPr="00606103" w:rsidTr="00290E51">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Transportarea elevilor</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00389</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68,2</w:t>
            </w:r>
          </w:p>
        </w:tc>
      </w:tr>
      <w:tr w:rsidR="001C2BF4" w:rsidRPr="00606103" w:rsidTr="00290E51">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Formarea componentei unității administrativ-teritoriale</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00391</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0,2</w:t>
            </w:r>
          </w:p>
        </w:tc>
      </w:tr>
      <w:tr w:rsidR="001C2BF4" w:rsidRPr="00606103" w:rsidTr="00290E51">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Formarea fondului de educație incluzivă</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00392</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1,5</w:t>
            </w:r>
          </w:p>
        </w:tc>
      </w:tr>
      <w:tr w:rsidR="001C2BF4" w:rsidRPr="00606103" w:rsidTr="00290E51">
        <w:trPr>
          <w:trHeight w:val="217"/>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Contribuția autorităților publice locale pentru implementarea proiectelor finanțate de către donatorii externi</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00436</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1,1</w:t>
            </w:r>
          </w:p>
        </w:tc>
      </w:tr>
      <w:tr w:rsidR="001C2BF4" w:rsidRPr="00606103" w:rsidTr="00290E51">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Asigurarea alimentării copiilor/elevilor din instituțiile de învățământ</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00448</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849,0</w:t>
            </w:r>
          </w:p>
        </w:tc>
      </w:tr>
      <w:tr w:rsidR="001C2BF4" w:rsidRPr="00606103" w:rsidTr="00290E51">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Compensații bănești pentru personalul didactic</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00492</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76,0</w:t>
            </w:r>
          </w:p>
        </w:tc>
      </w:tr>
      <w:tr w:rsidR="001C2BF4" w:rsidRPr="00606103" w:rsidTr="00290E51">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1C2BF4" w:rsidRPr="00606103" w:rsidRDefault="001C2BF4" w:rsidP="00FE3F3B">
            <w:pPr>
              <w:spacing w:line="276" w:lineRule="auto"/>
              <w:jc w:val="lef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Activități aferente învățământului la distanță</w:t>
            </w:r>
          </w:p>
        </w:tc>
        <w:tc>
          <w:tcPr>
            <w:tcW w:w="1064"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00504</w:t>
            </w:r>
          </w:p>
        </w:tc>
        <w:tc>
          <w:tcPr>
            <w:tcW w:w="1206" w:type="dxa"/>
            <w:noWrap/>
            <w:hideMark/>
          </w:tcPr>
          <w:p w:rsidR="001C2BF4" w:rsidRPr="00606103" w:rsidRDefault="001C2BF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3,8</w:t>
            </w:r>
          </w:p>
        </w:tc>
      </w:tr>
    </w:tbl>
    <w:p w:rsidR="001C2BF4" w:rsidRPr="00606103" w:rsidRDefault="001C2BF4" w:rsidP="00FE3F3B">
      <w:pPr>
        <w:shd w:val="clear" w:color="auto" w:fill="FFFFFF" w:themeFill="background1"/>
        <w:spacing w:after="0" w:line="276" w:lineRule="auto"/>
        <w:ind w:right="1"/>
        <w:rPr>
          <w:rFonts w:asciiTheme="majorHAnsi" w:eastAsia="MS Mincho" w:hAnsiTheme="majorHAnsi" w:cstheme="majorHAnsi"/>
          <w:i/>
          <w:sz w:val="20"/>
          <w:szCs w:val="20"/>
          <w:lang w:val="ro-MD" w:eastAsia="ja-JP"/>
        </w:rPr>
      </w:pPr>
      <w:r w:rsidRPr="00606103">
        <w:rPr>
          <w:rFonts w:asciiTheme="majorHAnsi" w:eastAsia="MS Mincho" w:hAnsiTheme="majorHAnsi" w:cstheme="majorHAnsi"/>
          <w:b/>
          <w:i/>
          <w:sz w:val="20"/>
          <w:szCs w:val="20"/>
          <w:lang w:val="ro-MD" w:eastAsia="ja-JP"/>
        </w:rPr>
        <w:t xml:space="preserve">Notă*: </w:t>
      </w:r>
      <w:r w:rsidRPr="00606103">
        <w:rPr>
          <w:rFonts w:asciiTheme="majorHAnsi" w:eastAsia="MS Mincho" w:hAnsiTheme="majorHAnsi" w:cstheme="majorHAnsi"/>
          <w:i/>
          <w:sz w:val="20"/>
          <w:szCs w:val="20"/>
          <w:lang w:val="ro-MD" w:eastAsia="ja-JP"/>
        </w:rPr>
        <w:t>Se prezintă volumul executat, inclusiv soldurile de lichidități ale APL din anul precedent</w:t>
      </w:r>
      <w:r w:rsidR="00FE0444" w:rsidRPr="00606103">
        <w:rPr>
          <w:rFonts w:asciiTheme="majorHAnsi" w:eastAsia="MS Mincho" w:hAnsiTheme="majorHAnsi" w:cstheme="majorHAnsi"/>
          <w:i/>
          <w:sz w:val="20"/>
          <w:szCs w:val="20"/>
          <w:lang w:val="ro-MD" w:eastAsia="ja-JP"/>
        </w:rPr>
        <w:t>,</w:t>
      </w:r>
      <w:r w:rsidRPr="00606103">
        <w:rPr>
          <w:rFonts w:asciiTheme="majorHAnsi" w:eastAsia="MS Mincho" w:hAnsiTheme="majorHAnsi" w:cstheme="majorHAnsi"/>
          <w:i/>
          <w:sz w:val="20"/>
          <w:szCs w:val="20"/>
          <w:lang w:val="ro-MD" w:eastAsia="ja-JP"/>
        </w:rPr>
        <w:t xml:space="preserve"> în sumă de 2,4 mil. lei.</w:t>
      </w:r>
    </w:p>
    <w:p w:rsidR="001C2BF4" w:rsidRPr="00606103" w:rsidRDefault="001C2BF4">
      <w:pPr>
        <w:shd w:val="clear" w:color="auto" w:fill="FFFFFF" w:themeFill="background1"/>
        <w:spacing w:after="0" w:line="276" w:lineRule="auto"/>
        <w:ind w:right="1"/>
        <w:rPr>
          <w:rFonts w:asciiTheme="majorHAnsi" w:eastAsia="MS Mincho" w:hAnsiTheme="majorHAnsi" w:cstheme="majorHAnsi"/>
          <w:sz w:val="20"/>
          <w:szCs w:val="20"/>
          <w:lang w:val="ro-MD" w:eastAsia="ja-JP"/>
        </w:rPr>
      </w:pPr>
      <w:r w:rsidRPr="00606103">
        <w:rPr>
          <w:rFonts w:asciiTheme="majorHAnsi" w:eastAsia="MS Mincho" w:hAnsiTheme="majorHAnsi" w:cstheme="majorHAnsi"/>
          <w:b/>
          <w:i/>
          <w:sz w:val="20"/>
          <w:szCs w:val="20"/>
          <w:lang w:val="ro-MD" w:eastAsia="ja-JP"/>
        </w:rPr>
        <w:t>Sursă:</w:t>
      </w:r>
      <w:r w:rsidRPr="00606103">
        <w:rPr>
          <w:rFonts w:asciiTheme="majorHAnsi" w:eastAsia="MS Mincho" w:hAnsiTheme="majorHAnsi" w:cstheme="majorHAnsi"/>
          <w:i/>
          <w:sz w:val="20"/>
          <w:szCs w:val="20"/>
          <w:lang w:val="ro-MD" w:eastAsia="ja-JP"/>
        </w:rPr>
        <w:t xml:space="preserve"> </w:t>
      </w:r>
      <w:r w:rsidRPr="00606103">
        <w:rPr>
          <w:rFonts w:asciiTheme="majorHAnsi" w:hAnsiTheme="majorHAnsi" w:cstheme="majorHAnsi"/>
          <w:i/>
          <w:sz w:val="20"/>
          <w:szCs w:val="20"/>
          <w:lang w:val="ro-MD"/>
        </w:rPr>
        <w:t xml:space="preserve">Date generalizate de echipa de audit </w:t>
      </w:r>
      <w:r w:rsidRPr="00606103">
        <w:rPr>
          <w:rFonts w:asciiTheme="majorHAnsi" w:eastAsia="MS Mincho" w:hAnsiTheme="majorHAnsi" w:cstheme="majorHAnsi"/>
          <w:i/>
          <w:sz w:val="20"/>
          <w:szCs w:val="20"/>
          <w:lang w:val="ro-MD" w:eastAsia="ja-JP"/>
        </w:rPr>
        <w:t>în baza datelor prezentate de Ministerul Finanțelor.</w:t>
      </w:r>
    </w:p>
    <w:p w:rsidR="003C4E55" w:rsidRPr="00606103" w:rsidRDefault="003C4E55">
      <w:pPr>
        <w:spacing w:after="0" w:line="276" w:lineRule="auto"/>
        <w:jc w:val="right"/>
        <w:rPr>
          <w:rFonts w:asciiTheme="majorHAnsi" w:eastAsia="Times New Roman" w:hAnsiTheme="majorHAnsi" w:cstheme="majorHAnsi"/>
          <w:b/>
          <w:sz w:val="24"/>
          <w:szCs w:val="24"/>
          <w:lang w:val="ro-MD"/>
        </w:rPr>
      </w:pPr>
    </w:p>
    <w:p w:rsidR="00082C8F" w:rsidRDefault="00082C8F">
      <w:pPr>
        <w:jc w:val="left"/>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lang w:val="ro-MD"/>
        </w:rPr>
        <w:br w:type="page"/>
      </w:r>
    </w:p>
    <w:p w:rsidR="00DD1A5A" w:rsidRPr="00606103" w:rsidRDefault="00DD1A5A">
      <w:pPr>
        <w:spacing w:after="0" w:line="276" w:lineRule="auto"/>
        <w:jc w:val="right"/>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lastRenderedPageBreak/>
        <w:t>Anexa nr.3</w:t>
      </w:r>
    </w:p>
    <w:p w:rsidR="00DD1A5A" w:rsidRPr="00606103" w:rsidRDefault="00DD1A5A">
      <w:pPr>
        <w:spacing w:after="0" w:line="276" w:lineRule="auto"/>
        <w:jc w:val="center"/>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t>Executarea prin intermediul executorilor de buget a documentelor executorii în anul 2021</w:t>
      </w:r>
    </w:p>
    <w:p w:rsidR="00DD1A5A" w:rsidRPr="00606103" w:rsidRDefault="00DD1A5A">
      <w:pPr>
        <w:spacing w:after="0" w:line="276" w:lineRule="auto"/>
        <w:ind w:right="49"/>
        <w:jc w:val="right"/>
        <w:rPr>
          <w:rFonts w:asciiTheme="majorHAnsi" w:eastAsia="Times New Roman" w:hAnsiTheme="majorHAnsi" w:cstheme="majorHAnsi"/>
          <w:i/>
          <w:sz w:val="24"/>
          <w:szCs w:val="24"/>
          <w:lang w:val="ro-MD"/>
        </w:rPr>
      </w:pPr>
      <w:r w:rsidRPr="00606103">
        <w:rPr>
          <w:rFonts w:asciiTheme="majorHAnsi" w:eastAsia="Times New Roman" w:hAnsiTheme="majorHAnsi" w:cstheme="majorHAnsi"/>
          <w:i/>
          <w:sz w:val="24"/>
          <w:szCs w:val="24"/>
          <w:lang w:val="ro-MD"/>
        </w:rPr>
        <w:t xml:space="preserve">     (mil. lei)</w:t>
      </w:r>
    </w:p>
    <w:tbl>
      <w:tblPr>
        <w:tblW w:w="8364" w:type="dxa"/>
        <w:jc w:val="center"/>
        <w:tblLook w:val="04A0" w:firstRow="1" w:lastRow="0" w:firstColumn="1" w:lastColumn="0" w:noHBand="0" w:noVBand="1"/>
      </w:tblPr>
      <w:tblGrid>
        <w:gridCol w:w="1560"/>
        <w:gridCol w:w="4678"/>
        <w:gridCol w:w="2126"/>
      </w:tblGrid>
      <w:tr w:rsidR="00DD1A5A" w:rsidRPr="00606103" w:rsidTr="00C20148">
        <w:trPr>
          <w:trHeight w:val="576"/>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b/>
                <w:bCs/>
                <w:color w:val="000000"/>
                <w:sz w:val="22"/>
                <w:lang w:val="ro-MD"/>
              </w:rPr>
            </w:pPr>
            <w:r w:rsidRPr="00606103">
              <w:rPr>
                <w:rFonts w:asciiTheme="majorHAnsi" w:eastAsia="Times New Roman" w:hAnsiTheme="majorHAnsi" w:cstheme="majorHAnsi"/>
                <w:b/>
                <w:bCs/>
                <w:color w:val="000000"/>
                <w:sz w:val="22"/>
                <w:lang w:val="ro-MD"/>
              </w:rPr>
              <w:t>Cod Org1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2"/>
                <w:lang w:val="ro-MD"/>
              </w:rPr>
            </w:pPr>
            <w:r w:rsidRPr="00606103">
              <w:rPr>
                <w:rFonts w:asciiTheme="majorHAnsi" w:eastAsia="Times New Roman" w:hAnsiTheme="majorHAnsi" w:cstheme="majorHAnsi"/>
                <w:b/>
                <w:bCs/>
                <w:color w:val="000000"/>
                <w:sz w:val="22"/>
                <w:lang w:val="ro-MD"/>
              </w:rPr>
              <w:t>Executorul de buget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2"/>
                <w:lang w:val="ro-MD"/>
              </w:rPr>
            </w:pPr>
            <w:r w:rsidRPr="00606103">
              <w:rPr>
                <w:rFonts w:asciiTheme="majorHAnsi" w:eastAsia="Times New Roman" w:hAnsiTheme="majorHAnsi" w:cstheme="majorHAnsi"/>
                <w:b/>
                <w:bCs/>
                <w:color w:val="000000"/>
                <w:sz w:val="22"/>
                <w:lang w:val="ro-MD"/>
              </w:rPr>
              <w:t>Executat</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201</w:t>
            </w:r>
          </w:p>
        </w:tc>
        <w:tc>
          <w:tcPr>
            <w:tcW w:w="4678"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 xml:space="preserve">Cancelaria de </w:t>
            </w:r>
            <w:r w:rsidR="00FE0444" w:rsidRPr="00606103">
              <w:rPr>
                <w:rFonts w:asciiTheme="majorHAnsi" w:eastAsia="Times New Roman" w:hAnsiTheme="majorHAnsi" w:cstheme="majorHAnsi"/>
                <w:color w:val="000000"/>
                <w:sz w:val="22"/>
                <w:lang w:val="ro-MD"/>
              </w:rPr>
              <w:t>S</w:t>
            </w:r>
            <w:r w:rsidRPr="00606103">
              <w:rPr>
                <w:rFonts w:asciiTheme="majorHAnsi" w:eastAsia="Times New Roman" w:hAnsiTheme="majorHAnsi" w:cstheme="majorHAnsi"/>
                <w:color w:val="000000"/>
                <w:sz w:val="22"/>
                <w:lang w:val="ro-MD"/>
              </w:rPr>
              <w:t>tat</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0,8</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203</w:t>
            </w:r>
          </w:p>
        </w:tc>
        <w:tc>
          <w:tcPr>
            <w:tcW w:w="4678"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Ministerul Finanțelor</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1,3</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204</w:t>
            </w:r>
          </w:p>
        </w:tc>
        <w:tc>
          <w:tcPr>
            <w:tcW w:w="4678"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Ministerul Justiției</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1,1</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205</w:t>
            </w:r>
          </w:p>
        </w:tc>
        <w:tc>
          <w:tcPr>
            <w:tcW w:w="4678"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Ministerul Afacerilor Interne</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3,1</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207</w:t>
            </w:r>
          </w:p>
        </w:tc>
        <w:tc>
          <w:tcPr>
            <w:tcW w:w="4678"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Ministerul Apărării</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0,1</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218</w:t>
            </w:r>
          </w:p>
        </w:tc>
        <w:tc>
          <w:tcPr>
            <w:tcW w:w="4678"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Ministerul Economiei și Infrastructurii</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0,2</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220</w:t>
            </w:r>
          </w:p>
        </w:tc>
        <w:tc>
          <w:tcPr>
            <w:tcW w:w="4678"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Ministerul Educației, Culturii și Cercetării</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0,1</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223</w:t>
            </w:r>
          </w:p>
        </w:tc>
        <w:tc>
          <w:tcPr>
            <w:tcW w:w="4678"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Ministerul Infrastructurii și Dezvoltării Regionale</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74,4</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225</w:t>
            </w:r>
          </w:p>
        </w:tc>
        <w:tc>
          <w:tcPr>
            <w:tcW w:w="4678"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Ministerul Mediului</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0,1</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226</w:t>
            </w:r>
          </w:p>
        </w:tc>
        <w:tc>
          <w:tcPr>
            <w:tcW w:w="4678"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Ministerul Educației și Cercetării</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0,1</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249</w:t>
            </w:r>
          </w:p>
        </w:tc>
        <w:tc>
          <w:tcPr>
            <w:tcW w:w="4678"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 xml:space="preserve">Agenția Proprietății Publice </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0,2</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252</w:t>
            </w:r>
          </w:p>
        </w:tc>
        <w:tc>
          <w:tcPr>
            <w:tcW w:w="4678"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Agenția de Stat pentru Proprietatea Intelectuală</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0,5</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301</w:t>
            </w:r>
          </w:p>
        </w:tc>
        <w:tc>
          <w:tcPr>
            <w:tcW w:w="4678"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Consiliul Superior al Magistraturii</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0,4</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303</w:t>
            </w:r>
          </w:p>
        </w:tc>
        <w:tc>
          <w:tcPr>
            <w:tcW w:w="4678"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Procuratura Generală</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0,3</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406</w:t>
            </w:r>
          </w:p>
        </w:tc>
        <w:tc>
          <w:tcPr>
            <w:tcW w:w="4678"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Serviciul de Informații și Securitate</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0,1</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408</w:t>
            </w:r>
          </w:p>
        </w:tc>
        <w:tc>
          <w:tcPr>
            <w:tcW w:w="4678"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Serviciul de Protecție și Pază de Stat</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2"/>
                <w:lang w:val="ro-MD"/>
              </w:rPr>
            </w:pPr>
            <w:r w:rsidRPr="00606103">
              <w:rPr>
                <w:rFonts w:asciiTheme="majorHAnsi" w:eastAsia="Times New Roman" w:hAnsiTheme="majorHAnsi" w:cstheme="majorHAnsi"/>
                <w:color w:val="000000"/>
                <w:sz w:val="22"/>
                <w:lang w:val="ro-MD"/>
              </w:rPr>
              <w:t>0,2</w:t>
            </w:r>
          </w:p>
        </w:tc>
      </w:tr>
      <w:tr w:rsidR="00DD1A5A" w:rsidRPr="00606103" w:rsidTr="00C20148">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b/>
                <w:bCs/>
                <w:color w:val="000000"/>
                <w:sz w:val="22"/>
                <w:lang w:val="ro-MD"/>
              </w:rPr>
            </w:pPr>
            <w:r w:rsidRPr="00606103">
              <w:rPr>
                <w:rFonts w:asciiTheme="majorHAnsi" w:eastAsia="Times New Roman" w:hAnsiTheme="majorHAnsi" w:cstheme="majorHAnsi"/>
                <w:b/>
                <w:bCs/>
                <w:color w:val="000000"/>
                <w:sz w:val="22"/>
                <w:lang w:val="ro-MD"/>
              </w:rPr>
              <w:t> </w:t>
            </w:r>
          </w:p>
        </w:tc>
        <w:tc>
          <w:tcPr>
            <w:tcW w:w="4678"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left"/>
              <w:rPr>
                <w:rFonts w:asciiTheme="majorHAnsi" w:eastAsia="Times New Roman" w:hAnsiTheme="majorHAnsi" w:cstheme="majorHAnsi"/>
                <w:b/>
                <w:bCs/>
                <w:color w:val="000000"/>
                <w:sz w:val="22"/>
                <w:lang w:val="ro-MD"/>
              </w:rPr>
            </w:pPr>
            <w:r w:rsidRPr="00606103">
              <w:rPr>
                <w:rFonts w:asciiTheme="majorHAnsi" w:eastAsia="Times New Roman" w:hAnsiTheme="majorHAnsi" w:cstheme="majorHAnsi"/>
                <w:b/>
                <w:bCs/>
                <w:color w:val="000000"/>
                <w:sz w:val="22"/>
                <w:lang w:val="ro-MD"/>
              </w:rPr>
              <w:t>TOTAL</w:t>
            </w:r>
          </w:p>
        </w:tc>
        <w:tc>
          <w:tcPr>
            <w:tcW w:w="2126"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2"/>
                <w:lang w:val="ro-MD"/>
              </w:rPr>
            </w:pPr>
            <w:r w:rsidRPr="00606103">
              <w:rPr>
                <w:rFonts w:asciiTheme="majorHAnsi" w:eastAsia="Times New Roman" w:hAnsiTheme="majorHAnsi" w:cstheme="majorHAnsi"/>
                <w:b/>
                <w:bCs/>
                <w:color w:val="000000"/>
                <w:sz w:val="22"/>
                <w:lang w:val="ro-MD"/>
              </w:rPr>
              <w:t>83,0</w:t>
            </w:r>
          </w:p>
        </w:tc>
      </w:tr>
    </w:tbl>
    <w:p w:rsidR="00DD1A5A" w:rsidRPr="00606103" w:rsidRDefault="00DD1A5A" w:rsidP="00552746">
      <w:pPr>
        <w:spacing w:line="276" w:lineRule="auto"/>
        <w:ind w:right="49"/>
        <w:rPr>
          <w:rFonts w:asciiTheme="majorHAnsi" w:eastAsia="Times New Roman" w:hAnsiTheme="majorHAnsi" w:cstheme="majorHAnsi"/>
          <w:color w:val="000000" w:themeColor="text1"/>
          <w:sz w:val="24"/>
          <w:szCs w:val="24"/>
          <w:lang w:val="ro-MD"/>
        </w:rPr>
      </w:pPr>
      <w:r w:rsidRPr="00606103">
        <w:rPr>
          <w:rFonts w:asciiTheme="majorHAnsi" w:eastAsia="Times New Roman" w:hAnsiTheme="majorHAnsi" w:cstheme="majorHAnsi"/>
          <w:b/>
          <w:i/>
          <w:sz w:val="20"/>
          <w:szCs w:val="20"/>
          <w:lang w:val="ro-MD"/>
        </w:rPr>
        <w:t>Sursă:</w:t>
      </w:r>
      <w:r w:rsidRPr="00606103">
        <w:rPr>
          <w:rFonts w:asciiTheme="majorHAnsi" w:eastAsia="Times New Roman" w:hAnsiTheme="majorHAnsi" w:cstheme="majorHAnsi"/>
          <w:i/>
          <w:sz w:val="20"/>
          <w:szCs w:val="20"/>
          <w:lang w:val="ro-MD"/>
        </w:rPr>
        <w:t xml:space="preserve"> Informație generalizată de către echipa de audit conform Raportului privind executarea bugetului de stat pentru anul 2021.</w:t>
      </w:r>
    </w:p>
    <w:p w:rsidR="00DD1A5A" w:rsidRPr="00606103" w:rsidRDefault="00DD1A5A" w:rsidP="00552746">
      <w:pPr>
        <w:spacing w:line="276" w:lineRule="auto"/>
        <w:ind w:firstLine="567"/>
        <w:rPr>
          <w:rFonts w:asciiTheme="majorHAnsi" w:eastAsia="Times New Roman" w:hAnsiTheme="majorHAnsi" w:cstheme="majorHAnsi"/>
          <w:color w:val="000000" w:themeColor="text1"/>
          <w:sz w:val="24"/>
          <w:szCs w:val="24"/>
          <w:lang w:val="ro-MD"/>
        </w:rPr>
      </w:pPr>
    </w:p>
    <w:p w:rsidR="00DD1A5A" w:rsidRPr="00606103" w:rsidRDefault="00DD1A5A" w:rsidP="00552746">
      <w:pPr>
        <w:spacing w:line="276" w:lineRule="auto"/>
        <w:ind w:firstLine="567"/>
        <w:rPr>
          <w:rFonts w:asciiTheme="majorHAnsi" w:hAnsiTheme="majorHAnsi" w:cstheme="majorHAnsi"/>
          <w:sz w:val="24"/>
          <w:szCs w:val="24"/>
          <w:lang w:val="ro-MD"/>
        </w:rPr>
      </w:pPr>
    </w:p>
    <w:p w:rsidR="00DD1A5A" w:rsidRPr="00606103" w:rsidRDefault="00DD1A5A" w:rsidP="00552746">
      <w:pPr>
        <w:spacing w:line="276" w:lineRule="auto"/>
        <w:rPr>
          <w:rFonts w:asciiTheme="majorHAnsi" w:hAnsiTheme="majorHAnsi" w:cstheme="majorHAnsi"/>
          <w:sz w:val="22"/>
          <w:lang w:val="ro-MD"/>
        </w:rPr>
      </w:pPr>
    </w:p>
    <w:p w:rsidR="00DD1A5A" w:rsidRPr="00606103" w:rsidRDefault="00DD1A5A" w:rsidP="00552746">
      <w:pPr>
        <w:spacing w:line="276" w:lineRule="auto"/>
        <w:jc w:val="left"/>
        <w:rPr>
          <w:rFonts w:asciiTheme="majorHAnsi" w:hAnsiTheme="majorHAnsi" w:cstheme="majorHAnsi"/>
          <w:sz w:val="22"/>
          <w:lang w:val="ro-MD"/>
        </w:rPr>
      </w:pPr>
    </w:p>
    <w:p w:rsidR="00DD1A5A" w:rsidRPr="00606103" w:rsidRDefault="00DD1A5A" w:rsidP="00FE3F3B">
      <w:pPr>
        <w:spacing w:after="0" w:line="276" w:lineRule="auto"/>
        <w:jc w:val="right"/>
        <w:rPr>
          <w:rFonts w:asciiTheme="majorHAnsi" w:eastAsia="Times New Roman" w:hAnsiTheme="majorHAnsi" w:cstheme="majorHAnsi"/>
          <w:b/>
          <w:sz w:val="24"/>
          <w:szCs w:val="24"/>
          <w:lang w:val="ro-MD" w:eastAsia="ru-RU"/>
        </w:rPr>
      </w:pPr>
    </w:p>
    <w:p w:rsidR="00DD1A5A" w:rsidRPr="00606103" w:rsidRDefault="00DD1A5A">
      <w:pPr>
        <w:spacing w:after="0" w:line="276" w:lineRule="auto"/>
        <w:jc w:val="right"/>
        <w:rPr>
          <w:rFonts w:asciiTheme="majorHAnsi" w:eastAsia="Times New Roman" w:hAnsiTheme="majorHAnsi" w:cstheme="majorHAnsi"/>
          <w:b/>
          <w:sz w:val="24"/>
          <w:szCs w:val="24"/>
          <w:lang w:val="ro-MD" w:eastAsia="ru-RU"/>
        </w:rPr>
      </w:pPr>
    </w:p>
    <w:p w:rsidR="00DD1A5A" w:rsidRPr="00606103" w:rsidRDefault="00DD1A5A">
      <w:pPr>
        <w:spacing w:after="0" w:line="276" w:lineRule="auto"/>
        <w:jc w:val="right"/>
        <w:rPr>
          <w:rFonts w:asciiTheme="majorHAnsi" w:eastAsia="Times New Roman" w:hAnsiTheme="majorHAnsi" w:cstheme="majorHAnsi"/>
          <w:b/>
          <w:sz w:val="24"/>
          <w:szCs w:val="24"/>
          <w:lang w:val="ro-MD" w:eastAsia="ru-RU"/>
        </w:rPr>
      </w:pPr>
    </w:p>
    <w:p w:rsidR="00DD1A5A" w:rsidRPr="00606103" w:rsidRDefault="00DD1A5A">
      <w:pPr>
        <w:spacing w:after="0" w:line="276" w:lineRule="auto"/>
        <w:rPr>
          <w:rFonts w:asciiTheme="majorHAnsi" w:eastAsia="Times New Roman" w:hAnsiTheme="majorHAnsi" w:cstheme="majorHAnsi"/>
          <w:b/>
          <w:sz w:val="24"/>
          <w:szCs w:val="24"/>
          <w:lang w:val="ro-MD" w:eastAsia="ru-RU"/>
        </w:rPr>
        <w:sectPr w:rsidR="00DD1A5A" w:rsidRPr="00606103" w:rsidSect="00800FBF">
          <w:footerReference w:type="default" r:id="rId18"/>
          <w:pgSz w:w="12240" w:h="15840"/>
          <w:pgMar w:top="851" w:right="851" w:bottom="851" w:left="1701" w:header="709" w:footer="709" w:gutter="0"/>
          <w:cols w:space="708"/>
          <w:titlePg/>
          <w:docGrid w:linePitch="381"/>
        </w:sectPr>
      </w:pPr>
    </w:p>
    <w:p w:rsidR="00DD1A5A" w:rsidRPr="00606103" w:rsidRDefault="00DD1A5A">
      <w:pPr>
        <w:spacing w:after="0" w:line="276" w:lineRule="auto"/>
        <w:jc w:val="right"/>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lastRenderedPageBreak/>
        <w:t>Anexa nr.4</w:t>
      </w:r>
    </w:p>
    <w:p w:rsidR="00DD1A5A" w:rsidRPr="00606103" w:rsidRDefault="00B51E49" w:rsidP="00B51E49">
      <w:pPr>
        <w:spacing w:after="0" w:line="276" w:lineRule="auto"/>
        <w:jc w:val="center"/>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t xml:space="preserve">Analiza </w:t>
      </w:r>
      <w:r w:rsidR="00DD1A5A" w:rsidRPr="00606103">
        <w:rPr>
          <w:rFonts w:asciiTheme="majorHAnsi" w:eastAsia="Times New Roman" w:hAnsiTheme="majorHAnsi" w:cstheme="majorHAnsi"/>
          <w:b/>
          <w:sz w:val="24"/>
          <w:szCs w:val="24"/>
          <w:lang w:val="ro-MD"/>
        </w:rPr>
        <w:t>cheltuielilor de personal</w:t>
      </w:r>
      <w:r w:rsidRPr="00606103">
        <w:rPr>
          <w:rFonts w:asciiTheme="majorHAnsi" w:eastAsia="Times New Roman" w:hAnsiTheme="majorHAnsi" w:cstheme="majorHAnsi"/>
          <w:b/>
          <w:sz w:val="24"/>
          <w:szCs w:val="24"/>
          <w:lang w:val="ro-MD"/>
        </w:rPr>
        <w:t xml:space="preserve"> pe autorități publice centrale</w:t>
      </w:r>
    </w:p>
    <w:p w:rsidR="00DD1A5A" w:rsidRPr="00606103" w:rsidRDefault="00DD1A5A">
      <w:pPr>
        <w:spacing w:after="0" w:line="276" w:lineRule="auto"/>
        <w:jc w:val="right"/>
        <w:rPr>
          <w:rFonts w:asciiTheme="majorHAnsi" w:eastAsia="Times New Roman" w:hAnsiTheme="majorHAnsi" w:cstheme="majorHAnsi"/>
          <w:i/>
          <w:sz w:val="24"/>
          <w:szCs w:val="24"/>
          <w:lang w:val="ro-MD"/>
        </w:rPr>
      </w:pPr>
      <w:r w:rsidRPr="00606103">
        <w:rPr>
          <w:rFonts w:asciiTheme="majorHAnsi" w:eastAsia="Times New Roman" w:hAnsiTheme="majorHAnsi" w:cstheme="majorHAnsi"/>
          <w:i/>
          <w:sz w:val="24"/>
          <w:szCs w:val="24"/>
          <w:lang w:val="ro-MD"/>
        </w:rPr>
        <w:t>(mil. lei)</w:t>
      </w:r>
    </w:p>
    <w:tbl>
      <w:tblPr>
        <w:tblStyle w:val="TableGrid"/>
        <w:tblW w:w="14459" w:type="dxa"/>
        <w:tblInd w:w="-147" w:type="dxa"/>
        <w:tblLayout w:type="fixed"/>
        <w:tblLook w:val="04A0" w:firstRow="1" w:lastRow="0" w:firstColumn="1" w:lastColumn="0" w:noHBand="0" w:noVBand="1"/>
      </w:tblPr>
      <w:tblGrid>
        <w:gridCol w:w="2264"/>
        <w:gridCol w:w="848"/>
        <w:gridCol w:w="850"/>
        <w:gridCol w:w="992"/>
        <w:gridCol w:w="858"/>
        <w:gridCol w:w="851"/>
        <w:gridCol w:w="850"/>
        <w:gridCol w:w="843"/>
        <w:gridCol w:w="8"/>
        <w:gridCol w:w="992"/>
        <w:gridCol w:w="38"/>
        <w:gridCol w:w="1092"/>
        <w:gridCol w:w="996"/>
        <w:gridCol w:w="993"/>
        <w:gridCol w:w="992"/>
        <w:gridCol w:w="992"/>
      </w:tblGrid>
      <w:tr w:rsidR="00DD1A5A" w:rsidRPr="00606103" w:rsidTr="00860020">
        <w:trPr>
          <w:trHeight w:val="1539"/>
        </w:trPr>
        <w:tc>
          <w:tcPr>
            <w:tcW w:w="2264" w:type="dxa"/>
            <w:hideMark/>
          </w:tcPr>
          <w:p w:rsidR="00DD1A5A" w:rsidRPr="00606103" w:rsidRDefault="00DD1A5A">
            <w:pPr>
              <w:spacing w:line="276" w:lineRule="auto"/>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Denumirea</w:t>
            </w:r>
          </w:p>
        </w:tc>
        <w:tc>
          <w:tcPr>
            <w:tcW w:w="848" w:type="dxa"/>
            <w:hideMark/>
          </w:tcPr>
          <w:p w:rsidR="00DD1A5A" w:rsidRPr="00606103" w:rsidRDefault="00DD1A5A">
            <w:pPr>
              <w:spacing w:line="276" w:lineRule="auto"/>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 xml:space="preserve">Plan </w:t>
            </w:r>
            <w:r w:rsidR="00FE0444" w:rsidRPr="00606103">
              <w:rPr>
                <w:rFonts w:asciiTheme="majorHAnsi" w:eastAsia="Times New Roman" w:hAnsiTheme="majorHAnsi" w:cstheme="majorHAnsi"/>
                <w:b/>
                <w:bCs/>
                <w:sz w:val="18"/>
                <w:szCs w:val="18"/>
                <w:lang w:val="ro-MD"/>
              </w:rPr>
              <w:t>a</w:t>
            </w:r>
            <w:r w:rsidRPr="00606103">
              <w:rPr>
                <w:rFonts w:asciiTheme="majorHAnsi" w:eastAsia="Times New Roman" w:hAnsiTheme="majorHAnsi" w:cstheme="majorHAnsi"/>
                <w:b/>
                <w:bCs/>
                <w:sz w:val="18"/>
                <w:szCs w:val="18"/>
                <w:lang w:val="ro-MD"/>
              </w:rPr>
              <w:t>probat LBS</w:t>
            </w:r>
          </w:p>
        </w:tc>
        <w:tc>
          <w:tcPr>
            <w:tcW w:w="850" w:type="dxa"/>
            <w:hideMark/>
          </w:tcPr>
          <w:p w:rsidR="00DD1A5A" w:rsidRPr="00606103" w:rsidRDefault="00DD1A5A">
            <w:pPr>
              <w:spacing w:line="276" w:lineRule="auto"/>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 xml:space="preserve">Plan </w:t>
            </w:r>
            <w:r w:rsidR="00FE0444" w:rsidRPr="00606103">
              <w:rPr>
                <w:rFonts w:asciiTheme="majorHAnsi" w:eastAsia="Times New Roman" w:hAnsiTheme="majorHAnsi" w:cstheme="majorHAnsi"/>
                <w:b/>
                <w:bCs/>
                <w:sz w:val="18"/>
                <w:szCs w:val="18"/>
                <w:lang w:val="ro-MD"/>
              </w:rPr>
              <w:t>p</w:t>
            </w:r>
            <w:r w:rsidRPr="00606103">
              <w:rPr>
                <w:rFonts w:asciiTheme="majorHAnsi" w:eastAsia="Times New Roman" w:hAnsiTheme="majorHAnsi" w:cstheme="majorHAnsi"/>
                <w:b/>
                <w:bCs/>
                <w:sz w:val="18"/>
                <w:szCs w:val="18"/>
                <w:lang w:val="ro-MD"/>
              </w:rPr>
              <w:t>recizat LBS</w:t>
            </w:r>
          </w:p>
        </w:tc>
        <w:tc>
          <w:tcPr>
            <w:tcW w:w="992" w:type="dxa"/>
            <w:hideMark/>
          </w:tcPr>
          <w:p w:rsidR="00DD1A5A" w:rsidRPr="00606103" w:rsidRDefault="00DD1A5A">
            <w:pPr>
              <w:spacing w:line="276" w:lineRule="auto"/>
              <w:ind w:left="-96" w:right="-116"/>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 xml:space="preserve">Devieri Plan </w:t>
            </w:r>
            <w:r w:rsidR="00FE0444" w:rsidRPr="00606103">
              <w:rPr>
                <w:rFonts w:asciiTheme="majorHAnsi" w:eastAsia="Times New Roman" w:hAnsiTheme="majorHAnsi" w:cstheme="majorHAnsi"/>
                <w:b/>
                <w:bCs/>
                <w:sz w:val="18"/>
                <w:szCs w:val="18"/>
                <w:lang w:val="ro-MD"/>
              </w:rPr>
              <w:t>p</w:t>
            </w:r>
            <w:r w:rsidRPr="00606103">
              <w:rPr>
                <w:rFonts w:asciiTheme="majorHAnsi" w:eastAsia="Times New Roman" w:hAnsiTheme="majorHAnsi" w:cstheme="majorHAnsi"/>
                <w:b/>
                <w:bCs/>
                <w:sz w:val="18"/>
                <w:szCs w:val="18"/>
                <w:lang w:val="ro-MD"/>
              </w:rPr>
              <w:t xml:space="preserve">recizat/ Plan </w:t>
            </w:r>
            <w:r w:rsidR="00FE0444" w:rsidRPr="00606103">
              <w:rPr>
                <w:rFonts w:asciiTheme="majorHAnsi" w:eastAsia="Times New Roman" w:hAnsiTheme="majorHAnsi" w:cstheme="majorHAnsi"/>
                <w:b/>
                <w:bCs/>
                <w:sz w:val="18"/>
                <w:szCs w:val="18"/>
                <w:lang w:val="ro-MD"/>
              </w:rPr>
              <w:t>a</w:t>
            </w:r>
            <w:r w:rsidRPr="00606103">
              <w:rPr>
                <w:rFonts w:asciiTheme="majorHAnsi" w:eastAsia="Times New Roman" w:hAnsiTheme="majorHAnsi" w:cstheme="majorHAnsi"/>
                <w:b/>
                <w:bCs/>
                <w:sz w:val="18"/>
                <w:szCs w:val="18"/>
                <w:lang w:val="ro-MD"/>
              </w:rPr>
              <w:t>probat</w:t>
            </w:r>
          </w:p>
        </w:tc>
        <w:tc>
          <w:tcPr>
            <w:tcW w:w="858" w:type="dxa"/>
            <w:hideMark/>
          </w:tcPr>
          <w:p w:rsidR="00DD1A5A" w:rsidRPr="00606103" w:rsidRDefault="00DD1A5A">
            <w:pPr>
              <w:spacing w:line="276" w:lineRule="auto"/>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 xml:space="preserve">Plan </w:t>
            </w:r>
            <w:r w:rsidR="00FE0444" w:rsidRPr="00606103">
              <w:rPr>
                <w:rFonts w:asciiTheme="majorHAnsi" w:eastAsia="Times New Roman" w:hAnsiTheme="majorHAnsi" w:cstheme="majorHAnsi"/>
                <w:b/>
                <w:bCs/>
                <w:sz w:val="18"/>
                <w:szCs w:val="18"/>
                <w:lang w:val="ro-MD"/>
              </w:rPr>
              <w:t>p</w:t>
            </w:r>
            <w:r w:rsidRPr="00606103">
              <w:rPr>
                <w:rFonts w:asciiTheme="majorHAnsi" w:eastAsia="Times New Roman" w:hAnsiTheme="majorHAnsi" w:cstheme="majorHAnsi"/>
                <w:b/>
                <w:bCs/>
                <w:sz w:val="18"/>
                <w:szCs w:val="18"/>
                <w:lang w:val="ro-MD"/>
              </w:rPr>
              <w:t>recizat SIMF</w:t>
            </w:r>
          </w:p>
        </w:tc>
        <w:tc>
          <w:tcPr>
            <w:tcW w:w="851" w:type="dxa"/>
            <w:hideMark/>
          </w:tcPr>
          <w:p w:rsidR="00DD1A5A" w:rsidRPr="00606103" w:rsidRDefault="00DD1A5A">
            <w:pPr>
              <w:spacing w:line="276" w:lineRule="auto"/>
              <w:ind w:left="-114" w:right="-113"/>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 xml:space="preserve">Devieri Plan precizat </w:t>
            </w:r>
            <w:r w:rsidR="00FE0444" w:rsidRPr="00606103">
              <w:rPr>
                <w:rFonts w:asciiTheme="majorHAnsi" w:eastAsia="Times New Roman" w:hAnsiTheme="majorHAnsi" w:cstheme="majorHAnsi"/>
                <w:b/>
                <w:bCs/>
                <w:sz w:val="18"/>
                <w:szCs w:val="18"/>
                <w:lang w:val="ro-MD"/>
              </w:rPr>
              <w:t>î</w:t>
            </w:r>
            <w:r w:rsidRPr="00606103">
              <w:rPr>
                <w:rFonts w:asciiTheme="majorHAnsi" w:eastAsia="Times New Roman" w:hAnsiTheme="majorHAnsi" w:cstheme="majorHAnsi"/>
                <w:b/>
                <w:bCs/>
                <w:sz w:val="18"/>
                <w:szCs w:val="18"/>
                <w:lang w:val="ro-MD"/>
              </w:rPr>
              <w:t>n SIMF /Plan precizat LBS</w:t>
            </w:r>
          </w:p>
        </w:tc>
        <w:tc>
          <w:tcPr>
            <w:tcW w:w="850" w:type="dxa"/>
            <w:hideMark/>
          </w:tcPr>
          <w:p w:rsidR="00DD1A5A" w:rsidRPr="00606103" w:rsidRDefault="00DD1A5A">
            <w:pPr>
              <w:spacing w:line="276" w:lineRule="auto"/>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Executat</w:t>
            </w:r>
          </w:p>
        </w:tc>
        <w:tc>
          <w:tcPr>
            <w:tcW w:w="843" w:type="dxa"/>
            <w:hideMark/>
          </w:tcPr>
          <w:p w:rsidR="00DD1A5A" w:rsidRPr="00606103" w:rsidRDefault="00DD1A5A">
            <w:pPr>
              <w:spacing w:line="276" w:lineRule="auto"/>
              <w:ind w:left="-105" w:right="-110"/>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Devieri Plan executat/ Plan precizat</w:t>
            </w:r>
          </w:p>
        </w:tc>
        <w:tc>
          <w:tcPr>
            <w:tcW w:w="1038" w:type="dxa"/>
            <w:gridSpan w:val="3"/>
            <w:hideMark/>
          </w:tcPr>
          <w:p w:rsidR="00DD1A5A" w:rsidRPr="00606103" w:rsidRDefault="00DD1A5A">
            <w:pPr>
              <w:spacing w:line="276" w:lineRule="auto"/>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Număr de unități aprobat la 01.01.2021</w:t>
            </w:r>
          </w:p>
        </w:tc>
        <w:tc>
          <w:tcPr>
            <w:tcW w:w="1092" w:type="dxa"/>
            <w:hideMark/>
          </w:tcPr>
          <w:p w:rsidR="00DD1A5A" w:rsidRPr="00606103" w:rsidRDefault="00DD1A5A">
            <w:pPr>
              <w:spacing w:line="276" w:lineRule="auto"/>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Număr de unități precizat la 31.12.2021</w:t>
            </w:r>
          </w:p>
        </w:tc>
        <w:tc>
          <w:tcPr>
            <w:tcW w:w="996" w:type="dxa"/>
            <w:hideMark/>
          </w:tcPr>
          <w:p w:rsidR="00DD1A5A" w:rsidRPr="00606103" w:rsidRDefault="00DD1A5A">
            <w:pPr>
              <w:spacing w:line="276" w:lineRule="auto"/>
              <w:ind w:left="-104" w:right="-106"/>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Număr de unități vacante pentru care se suspendă încadrarea</w:t>
            </w:r>
            <w:r w:rsidRPr="00606103">
              <w:rPr>
                <w:rFonts w:asciiTheme="majorHAnsi" w:eastAsia="MS Mincho" w:hAnsiTheme="majorHAnsi" w:cstheme="majorHAnsi"/>
                <w:b/>
                <w:i/>
                <w:sz w:val="20"/>
                <w:szCs w:val="20"/>
                <w:lang w:val="ro-MD" w:eastAsia="ja-JP"/>
              </w:rPr>
              <w:t>*</w:t>
            </w:r>
            <w:r w:rsidRPr="00606103">
              <w:rPr>
                <w:rFonts w:asciiTheme="majorHAnsi" w:eastAsia="Times New Roman" w:hAnsiTheme="majorHAnsi" w:cstheme="majorHAnsi"/>
                <w:b/>
                <w:bCs/>
                <w:sz w:val="18"/>
                <w:szCs w:val="18"/>
                <w:lang w:val="ro-MD"/>
              </w:rPr>
              <w:t xml:space="preserve"> </w:t>
            </w:r>
          </w:p>
        </w:tc>
        <w:tc>
          <w:tcPr>
            <w:tcW w:w="993" w:type="dxa"/>
            <w:hideMark/>
          </w:tcPr>
          <w:p w:rsidR="00DD1A5A" w:rsidRPr="00606103" w:rsidRDefault="00DD1A5A">
            <w:pPr>
              <w:spacing w:line="276" w:lineRule="auto"/>
              <w:ind w:left="-110" w:right="-105"/>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Număr de unități aprobat de către MF, la solicitarea ORG1</w:t>
            </w:r>
            <w:r w:rsidRPr="00606103">
              <w:rPr>
                <w:rFonts w:asciiTheme="majorHAnsi" w:eastAsia="MS Mincho" w:hAnsiTheme="majorHAnsi" w:cstheme="majorHAnsi"/>
                <w:b/>
                <w:i/>
                <w:sz w:val="20"/>
                <w:szCs w:val="20"/>
                <w:lang w:val="ro-MD" w:eastAsia="ja-JP"/>
              </w:rPr>
              <w:t>**</w:t>
            </w:r>
          </w:p>
        </w:tc>
        <w:tc>
          <w:tcPr>
            <w:tcW w:w="992" w:type="dxa"/>
            <w:hideMark/>
          </w:tcPr>
          <w:p w:rsidR="00DD1A5A" w:rsidRPr="00606103" w:rsidRDefault="00DD1A5A">
            <w:pPr>
              <w:spacing w:line="276" w:lineRule="auto"/>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Număr de unități mediu realizat</w:t>
            </w:r>
          </w:p>
        </w:tc>
        <w:tc>
          <w:tcPr>
            <w:tcW w:w="992" w:type="dxa"/>
            <w:hideMark/>
          </w:tcPr>
          <w:p w:rsidR="00DD1A5A" w:rsidRPr="00606103" w:rsidRDefault="00DD1A5A">
            <w:pPr>
              <w:spacing w:line="276" w:lineRule="auto"/>
              <w:ind w:left="-103" w:right="-109"/>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 xml:space="preserve">Devieri </w:t>
            </w:r>
            <w:r w:rsidR="00FE0444" w:rsidRPr="00606103">
              <w:rPr>
                <w:rFonts w:asciiTheme="majorHAnsi" w:eastAsia="Times New Roman" w:hAnsiTheme="majorHAnsi" w:cstheme="majorHAnsi"/>
                <w:b/>
                <w:bCs/>
                <w:sz w:val="18"/>
                <w:szCs w:val="18"/>
                <w:lang w:val="ro-MD"/>
              </w:rPr>
              <w:t>n</w:t>
            </w:r>
            <w:r w:rsidRPr="00606103">
              <w:rPr>
                <w:rFonts w:asciiTheme="majorHAnsi" w:eastAsia="Times New Roman" w:hAnsiTheme="majorHAnsi" w:cstheme="majorHAnsi"/>
                <w:b/>
                <w:bCs/>
                <w:sz w:val="18"/>
                <w:szCs w:val="18"/>
                <w:lang w:val="ro-MD"/>
              </w:rPr>
              <w:t>r</w:t>
            </w:r>
            <w:r w:rsidR="00FE0444" w:rsidRPr="00606103">
              <w:rPr>
                <w:rFonts w:asciiTheme="majorHAnsi" w:eastAsia="Times New Roman" w:hAnsiTheme="majorHAnsi" w:cstheme="majorHAnsi"/>
                <w:b/>
                <w:bCs/>
                <w:sz w:val="18"/>
                <w:szCs w:val="18"/>
                <w:lang w:val="ro-MD"/>
              </w:rPr>
              <w:t>.</w:t>
            </w:r>
            <w:r w:rsidR="00860020" w:rsidRPr="00606103">
              <w:rPr>
                <w:rFonts w:asciiTheme="majorHAnsi" w:eastAsia="Times New Roman" w:hAnsiTheme="majorHAnsi" w:cstheme="majorHAnsi"/>
                <w:b/>
                <w:bCs/>
                <w:sz w:val="18"/>
                <w:szCs w:val="18"/>
                <w:lang w:val="ro-MD"/>
              </w:rPr>
              <w:t xml:space="preserve"> </w:t>
            </w:r>
            <w:r w:rsidRPr="00606103">
              <w:rPr>
                <w:rFonts w:asciiTheme="majorHAnsi" w:eastAsia="Times New Roman" w:hAnsiTheme="majorHAnsi" w:cstheme="majorHAnsi"/>
                <w:b/>
                <w:bCs/>
                <w:sz w:val="18"/>
                <w:szCs w:val="18"/>
                <w:lang w:val="ro-MD"/>
              </w:rPr>
              <w:t>unități prevăzut/Nr</w:t>
            </w:r>
            <w:r w:rsidR="00FE0444" w:rsidRPr="00606103">
              <w:rPr>
                <w:rFonts w:asciiTheme="majorHAnsi" w:eastAsia="Times New Roman" w:hAnsiTheme="majorHAnsi" w:cstheme="majorHAnsi"/>
                <w:b/>
                <w:bCs/>
                <w:sz w:val="18"/>
                <w:szCs w:val="18"/>
                <w:lang w:val="ro-MD"/>
              </w:rPr>
              <w:t>.</w:t>
            </w:r>
            <w:r w:rsidRPr="00606103">
              <w:rPr>
                <w:rFonts w:asciiTheme="majorHAnsi" w:eastAsia="Times New Roman" w:hAnsiTheme="majorHAnsi" w:cstheme="majorHAnsi"/>
                <w:b/>
                <w:bCs/>
                <w:sz w:val="18"/>
                <w:szCs w:val="18"/>
                <w:lang w:val="ro-MD"/>
              </w:rPr>
              <w:t xml:space="preserve"> unități mediu realizat</w:t>
            </w:r>
          </w:p>
        </w:tc>
      </w:tr>
      <w:tr w:rsidR="00DD1A5A" w:rsidRPr="00606103" w:rsidTr="00860020">
        <w:trPr>
          <w:trHeight w:val="69"/>
        </w:trPr>
        <w:tc>
          <w:tcPr>
            <w:tcW w:w="2264" w:type="dxa"/>
            <w:hideMark/>
          </w:tcPr>
          <w:p w:rsidR="00DD1A5A" w:rsidRPr="00606103" w:rsidRDefault="00DD1A5A" w:rsidP="00FE3F3B">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1</w:t>
            </w:r>
          </w:p>
        </w:tc>
        <w:tc>
          <w:tcPr>
            <w:tcW w:w="848" w:type="dxa"/>
            <w:hideMark/>
          </w:tcPr>
          <w:p w:rsidR="00DD1A5A" w:rsidRPr="00606103" w:rsidRDefault="00DD1A5A">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2</w:t>
            </w:r>
          </w:p>
        </w:tc>
        <w:tc>
          <w:tcPr>
            <w:tcW w:w="850" w:type="dxa"/>
            <w:hideMark/>
          </w:tcPr>
          <w:p w:rsidR="00DD1A5A" w:rsidRPr="00606103" w:rsidRDefault="00DD1A5A">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3</w:t>
            </w:r>
          </w:p>
        </w:tc>
        <w:tc>
          <w:tcPr>
            <w:tcW w:w="992" w:type="dxa"/>
            <w:hideMark/>
          </w:tcPr>
          <w:p w:rsidR="00DD1A5A" w:rsidRPr="00606103" w:rsidRDefault="00DD1A5A">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4=3-2</w:t>
            </w:r>
          </w:p>
        </w:tc>
        <w:tc>
          <w:tcPr>
            <w:tcW w:w="858" w:type="dxa"/>
            <w:hideMark/>
          </w:tcPr>
          <w:p w:rsidR="00DD1A5A" w:rsidRPr="00606103" w:rsidRDefault="00DD1A5A">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5</w:t>
            </w:r>
          </w:p>
        </w:tc>
        <w:tc>
          <w:tcPr>
            <w:tcW w:w="851" w:type="dxa"/>
            <w:hideMark/>
          </w:tcPr>
          <w:p w:rsidR="00DD1A5A" w:rsidRPr="00606103" w:rsidRDefault="00DD1A5A">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6=5-3</w:t>
            </w:r>
          </w:p>
        </w:tc>
        <w:tc>
          <w:tcPr>
            <w:tcW w:w="850" w:type="dxa"/>
            <w:hideMark/>
          </w:tcPr>
          <w:p w:rsidR="00DD1A5A" w:rsidRPr="00606103" w:rsidRDefault="00DD1A5A">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7</w:t>
            </w:r>
          </w:p>
        </w:tc>
        <w:tc>
          <w:tcPr>
            <w:tcW w:w="851" w:type="dxa"/>
            <w:gridSpan w:val="2"/>
            <w:hideMark/>
          </w:tcPr>
          <w:p w:rsidR="00DD1A5A" w:rsidRPr="00606103" w:rsidRDefault="00DD1A5A">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8=7-3</w:t>
            </w:r>
          </w:p>
        </w:tc>
        <w:tc>
          <w:tcPr>
            <w:tcW w:w="992" w:type="dxa"/>
            <w:hideMark/>
          </w:tcPr>
          <w:p w:rsidR="00DD1A5A" w:rsidRPr="00606103" w:rsidRDefault="00DD1A5A">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9</w:t>
            </w:r>
          </w:p>
        </w:tc>
        <w:tc>
          <w:tcPr>
            <w:tcW w:w="1130" w:type="dxa"/>
            <w:gridSpan w:val="2"/>
            <w:hideMark/>
          </w:tcPr>
          <w:p w:rsidR="00DD1A5A" w:rsidRPr="00606103" w:rsidRDefault="00DD1A5A">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10</w:t>
            </w:r>
          </w:p>
        </w:tc>
        <w:tc>
          <w:tcPr>
            <w:tcW w:w="996" w:type="dxa"/>
            <w:hideMark/>
          </w:tcPr>
          <w:p w:rsidR="00DD1A5A" w:rsidRPr="00606103" w:rsidRDefault="00DD1A5A">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11</w:t>
            </w:r>
          </w:p>
        </w:tc>
        <w:tc>
          <w:tcPr>
            <w:tcW w:w="993" w:type="dxa"/>
            <w:hideMark/>
          </w:tcPr>
          <w:p w:rsidR="00DD1A5A" w:rsidRPr="00606103" w:rsidRDefault="00DD1A5A">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12</w:t>
            </w:r>
          </w:p>
        </w:tc>
        <w:tc>
          <w:tcPr>
            <w:tcW w:w="992" w:type="dxa"/>
            <w:hideMark/>
          </w:tcPr>
          <w:p w:rsidR="00DD1A5A" w:rsidRPr="00606103" w:rsidRDefault="00DD1A5A">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13</w:t>
            </w:r>
          </w:p>
        </w:tc>
        <w:tc>
          <w:tcPr>
            <w:tcW w:w="992" w:type="dxa"/>
            <w:hideMark/>
          </w:tcPr>
          <w:p w:rsidR="00DD1A5A" w:rsidRPr="00606103" w:rsidRDefault="00DD1A5A">
            <w:pPr>
              <w:spacing w:line="276" w:lineRule="auto"/>
              <w:jc w:val="center"/>
              <w:rPr>
                <w:rFonts w:asciiTheme="majorHAnsi" w:eastAsia="Times New Roman" w:hAnsiTheme="majorHAnsi" w:cstheme="majorHAnsi"/>
                <w:bCs/>
                <w:i/>
                <w:sz w:val="16"/>
                <w:szCs w:val="16"/>
                <w:lang w:val="ro-MD"/>
              </w:rPr>
            </w:pPr>
            <w:r w:rsidRPr="00606103">
              <w:rPr>
                <w:rFonts w:asciiTheme="majorHAnsi" w:eastAsia="Times New Roman" w:hAnsiTheme="majorHAnsi" w:cstheme="majorHAnsi"/>
                <w:bCs/>
                <w:i/>
                <w:sz w:val="16"/>
                <w:szCs w:val="16"/>
                <w:lang w:val="ro-MD"/>
              </w:rPr>
              <w:t>14=10-13</w:t>
            </w:r>
          </w:p>
        </w:tc>
      </w:tr>
      <w:tr w:rsidR="00DD1A5A" w:rsidRPr="00606103" w:rsidTr="00860020">
        <w:trPr>
          <w:trHeight w:val="235"/>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Secretariatul Paramentului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118,7</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118,7</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118,7</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115,4</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519,0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519,0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52,0</w:t>
            </w:r>
          </w:p>
        </w:tc>
        <w:tc>
          <w:tcPr>
            <w:tcW w:w="993"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461,9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57,1</w:t>
            </w:r>
          </w:p>
        </w:tc>
      </w:tr>
      <w:tr w:rsidR="00DD1A5A" w:rsidRPr="00606103" w:rsidTr="00860020">
        <w:trPr>
          <w:trHeight w:val="217"/>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Aparatul Președintelui RM</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17,2</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19,3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2,1</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19,3</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17,5</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164,0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150,0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50,0</w:t>
            </w:r>
          </w:p>
        </w:tc>
        <w:tc>
          <w:tcPr>
            <w:tcW w:w="993"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99,8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50,2</w:t>
            </w:r>
          </w:p>
        </w:tc>
      </w:tr>
      <w:tr w:rsidR="00DD1A5A" w:rsidRPr="00606103" w:rsidTr="00860020">
        <w:trPr>
          <w:trHeight w:val="235"/>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Curtea Constituțională</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12,0</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12,0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12,1</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0,1</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12,1</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61,0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61,0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4,0</w:t>
            </w:r>
          </w:p>
        </w:tc>
        <w:tc>
          <w:tcPr>
            <w:tcW w:w="993"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56,4</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4,6</w:t>
            </w:r>
          </w:p>
        </w:tc>
      </w:tr>
      <w:tr w:rsidR="00DD1A5A" w:rsidRPr="00606103" w:rsidTr="00860020">
        <w:trPr>
          <w:trHeight w:val="276"/>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Curtea de Conturi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41,2</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39,8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39,8</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39,8</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160,0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160,0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13,0</w:t>
            </w:r>
          </w:p>
        </w:tc>
        <w:tc>
          <w:tcPr>
            <w:tcW w:w="993"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147,0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13,0</w:t>
            </w:r>
          </w:p>
        </w:tc>
      </w:tr>
      <w:tr w:rsidR="00DD1A5A" w:rsidRPr="00606103" w:rsidTr="00860020">
        <w:trPr>
          <w:trHeight w:val="276"/>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Cancelaria de Stat</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100,8</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100,8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100,8</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99,7</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1.008,0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1.009,0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126,0</w:t>
            </w:r>
          </w:p>
        </w:tc>
        <w:tc>
          <w:tcPr>
            <w:tcW w:w="993"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872,1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136,9</w:t>
            </w:r>
          </w:p>
        </w:tc>
      </w:tr>
      <w:tr w:rsidR="00DD1A5A" w:rsidRPr="00606103" w:rsidTr="00860020">
        <w:trPr>
          <w:trHeight w:val="187"/>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Finanțelor</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989,9</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990,3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0,3</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990,1</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-0,1</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979,9</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4.187,0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4.187,0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434,0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26,0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3.618,9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568,1</w:t>
            </w:r>
          </w:p>
        </w:tc>
      </w:tr>
      <w:tr w:rsidR="00DD1A5A" w:rsidRPr="00606103" w:rsidTr="00860020">
        <w:trPr>
          <w:trHeight w:val="276"/>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Justiției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467,2</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481,8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14,6</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481,8</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481,1</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-0,7</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3.576,0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3.576,0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331,0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3.211,7</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364,3</w:t>
            </w:r>
          </w:p>
        </w:tc>
      </w:tr>
      <w:tr w:rsidR="00DD1A5A" w:rsidRPr="00606103" w:rsidTr="00860020">
        <w:trPr>
          <w:trHeight w:val="209"/>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Afacerilor Interne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2.201,7</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2.331,4</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129,7</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2.331,4</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2.329,0</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-2,5</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18.178,0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18.178,0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2.046,0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11.615,3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6.562,7</w:t>
            </w:r>
          </w:p>
        </w:tc>
      </w:tr>
      <w:tr w:rsidR="00DD1A5A" w:rsidRPr="00606103" w:rsidTr="00860020">
        <w:trPr>
          <w:trHeight w:val="217"/>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Afacerilor Externe și Integrării Europene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63,4</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63,4</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63,4</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61,0</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-2,5</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388,0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388,0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42,0</w:t>
            </w:r>
          </w:p>
        </w:tc>
        <w:tc>
          <w:tcPr>
            <w:tcW w:w="993"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338,7</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49,3</w:t>
            </w:r>
          </w:p>
        </w:tc>
      </w:tr>
      <w:tr w:rsidR="00DD1A5A" w:rsidRPr="00606103" w:rsidTr="00860020">
        <w:trPr>
          <w:trHeight w:val="195"/>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Apărării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559,9</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567,0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7,1</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567,0</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567,0</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5.509,0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5.509,0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1.496,0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4.025,1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1.483,9</w:t>
            </w:r>
          </w:p>
        </w:tc>
      </w:tr>
      <w:tr w:rsidR="00DD1A5A" w:rsidRPr="00606103" w:rsidTr="00860020">
        <w:trPr>
          <w:trHeight w:val="214"/>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Economiei și Infrastructurii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136,2</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90,9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-45,3</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90,9</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90,9</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680,0</w:t>
            </w:r>
          </w:p>
        </w:tc>
        <w:tc>
          <w:tcPr>
            <w:tcW w:w="1130" w:type="dxa"/>
            <w:gridSpan w:val="2"/>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148,0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515,3</w:t>
            </w:r>
          </w:p>
        </w:tc>
        <w:tc>
          <w:tcPr>
            <w:tcW w:w="992"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r>
      <w:tr w:rsidR="00DD1A5A" w:rsidRPr="00606103" w:rsidTr="00860020">
        <w:trPr>
          <w:trHeight w:val="333"/>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Agriculturii, Dezvoltării Regionale și Mediului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253,6</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155,1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-98,4</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155,1</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155,1</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2.825,5</w:t>
            </w:r>
          </w:p>
        </w:tc>
        <w:tc>
          <w:tcPr>
            <w:tcW w:w="1130" w:type="dxa"/>
            <w:gridSpan w:val="2"/>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447,0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2.448,3</w:t>
            </w:r>
          </w:p>
        </w:tc>
        <w:tc>
          <w:tcPr>
            <w:tcW w:w="992"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r>
      <w:tr w:rsidR="00DD1A5A" w:rsidRPr="00606103" w:rsidTr="00860020">
        <w:trPr>
          <w:trHeight w:val="270"/>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Educației, Culturii și Cercetării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499,3</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326,2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-173,2</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326,2</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326,2</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5.542,2</w:t>
            </w:r>
          </w:p>
        </w:tc>
        <w:tc>
          <w:tcPr>
            <w:tcW w:w="1130" w:type="dxa"/>
            <w:gridSpan w:val="2"/>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377,0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5.187,2</w:t>
            </w:r>
          </w:p>
        </w:tc>
        <w:tc>
          <w:tcPr>
            <w:tcW w:w="992"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r>
      <w:tr w:rsidR="00DD1A5A" w:rsidRPr="00606103" w:rsidTr="00860020">
        <w:trPr>
          <w:trHeight w:val="207"/>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Sănătății, Muncii și Protecției Sociale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673,2</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413,1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-260,1</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413,1</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413,1</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6.286,8</w:t>
            </w:r>
          </w:p>
        </w:tc>
        <w:tc>
          <w:tcPr>
            <w:tcW w:w="1130" w:type="dxa"/>
            <w:gridSpan w:val="2"/>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529,0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9,5</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5.645,6</w:t>
            </w:r>
          </w:p>
        </w:tc>
        <w:tc>
          <w:tcPr>
            <w:tcW w:w="992"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Economiei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6,1</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6,1</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5,0</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w:t>
            </w:r>
          </w:p>
        </w:tc>
        <w:tc>
          <w:tcPr>
            <w:tcW w:w="992"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137,0</w:t>
            </w:r>
          </w:p>
        </w:tc>
        <w:tc>
          <w:tcPr>
            <w:tcW w:w="996"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23,0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92,8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44,2</w:t>
            </w:r>
          </w:p>
        </w:tc>
      </w:tr>
      <w:tr w:rsidR="00DD1A5A" w:rsidRPr="00606103" w:rsidTr="00860020">
        <w:trPr>
          <w:trHeight w:val="190"/>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Infrastructurii și Dezvoltării Regionale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41,0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41,0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42,8</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1,9</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42,2</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-0,6</w:t>
            </w:r>
          </w:p>
        </w:tc>
        <w:tc>
          <w:tcPr>
            <w:tcW w:w="992"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550,0</w:t>
            </w:r>
          </w:p>
        </w:tc>
        <w:tc>
          <w:tcPr>
            <w:tcW w:w="996"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22,0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418,3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131,7</w:t>
            </w:r>
          </w:p>
        </w:tc>
      </w:tr>
      <w:tr w:rsidR="00DD1A5A" w:rsidRPr="00606103" w:rsidTr="00860020">
        <w:trPr>
          <w:trHeight w:val="42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Agriculturii și Industriei Alimentare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66,2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66,2</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66,2</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63,0</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-3,2</w:t>
            </w:r>
          </w:p>
        </w:tc>
        <w:tc>
          <w:tcPr>
            <w:tcW w:w="992"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1.973,0</w:t>
            </w:r>
          </w:p>
        </w:tc>
        <w:tc>
          <w:tcPr>
            <w:tcW w:w="996"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3"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1.728,4</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244,6</w:t>
            </w:r>
          </w:p>
        </w:tc>
      </w:tr>
      <w:tr w:rsidR="00DD1A5A" w:rsidRPr="00606103" w:rsidTr="00860020">
        <w:trPr>
          <w:trHeight w:val="231"/>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Mediului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35,7</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35,7</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35,7</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33,0</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-2,7</w:t>
            </w:r>
          </w:p>
        </w:tc>
        <w:tc>
          <w:tcPr>
            <w:tcW w:w="992"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858,0</w:t>
            </w:r>
          </w:p>
        </w:tc>
        <w:tc>
          <w:tcPr>
            <w:tcW w:w="996"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3" w:type="dxa"/>
            <w:noWrap/>
            <w:hideMark/>
          </w:tcPr>
          <w:p w:rsidR="00DD1A5A" w:rsidRPr="00606103" w:rsidRDefault="00860020">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w:t>
            </w:r>
            <w:r w:rsidR="00DD1A5A"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651,4</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206,6</w:t>
            </w:r>
          </w:p>
        </w:tc>
      </w:tr>
      <w:tr w:rsidR="00DD1A5A" w:rsidRPr="00606103" w:rsidTr="00860020">
        <w:trPr>
          <w:trHeight w:val="136"/>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Educației și Cercetării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152,2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152,2</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153,2</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144,1</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4.583,5</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4.280,2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303,3</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Culturii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28,2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28,2</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28,8</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0,6</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27,3</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-1,5</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975,3</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16,0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904,3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71,0</w:t>
            </w:r>
          </w:p>
        </w:tc>
      </w:tr>
      <w:tr w:rsidR="00DD1A5A" w:rsidRPr="00606103" w:rsidTr="00860020">
        <w:trPr>
          <w:trHeight w:val="246"/>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lastRenderedPageBreak/>
              <w:t>Ministerul Muncii și Protecției Sociale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99,9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99,9</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99,9</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83,3</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-16,6</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2.563,0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2.377,8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185,2</w:t>
            </w:r>
          </w:p>
        </w:tc>
      </w:tr>
      <w:tr w:rsidR="00DD1A5A" w:rsidRPr="00606103" w:rsidTr="00860020">
        <w:trPr>
          <w:trHeight w:val="81"/>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Ministerul Sănătății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164,5</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164,5</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165,5</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141,9</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-23,6</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3.723,8</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31,0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3.273,9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449,9</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Biroul Național de Statistică</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79,7</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82,9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3,3</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82,9</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82,9</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705,0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705,0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61,0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642,8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62,2</w:t>
            </w:r>
          </w:p>
        </w:tc>
      </w:tr>
      <w:tr w:rsidR="00DD1A5A" w:rsidRPr="00606103" w:rsidTr="00860020">
        <w:trPr>
          <w:trHeight w:val="397"/>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Agenția Relații Funciare și Cadastru</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4,9</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4,9</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4,9</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42,0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42,0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30,9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11,1</w:t>
            </w:r>
          </w:p>
        </w:tc>
      </w:tr>
      <w:tr w:rsidR="00DD1A5A" w:rsidRPr="00606103" w:rsidTr="00860020">
        <w:trPr>
          <w:trHeight w:val="283"/>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Agenția Relații Interetnice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2,2</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2,2</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2,0</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20,0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20,0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5,9</w:t>
            </w:r>
          </w:p>
        </w:tc>
      </w:tr>
      <w:tr w:rsidR="00DD1A5A" w:rsidRPr="00606103" w:rsidTr="00860020">
        <w:trPr>
          <w:trHeight w:val="451"/>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Agenția Medicamentului și Dispozitivelor Medicale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14,7</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0,2</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14,9</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14,9</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110,0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110,0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12,0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89,0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21,0</w:t>
            </w:r>
          </w:p>
        </w:tc>
      </w:tr>
      <w:tr w:rsidR="00DD1A5A" w:rsidRPr="00606103" w:rsidTr="00860020">
        <w:trPr>
          <w:trHeight w:val="280"/>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Agenția Proprietății Publice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14,0</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14,0</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12,4</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-1,6</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99,0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99,0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21,0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77,5</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21,5</w:t>
            </w:r>
          </w:p>
        </w:tc>
      </w:tr>
      <w:tr w:rsidR="00DD1A5A" w:rsidRPr="00606103" w:rsidTr="00860020">
        <w:trPr>
          <w:trHeight w:val="399"/>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Agenția Națională pentru Cercetare și Dezvoltare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3,6</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0,2</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4,0</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0,1</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3,9</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34,0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34,0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23,9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10,1</w:t>
            </w:r>
          </w:p>
        </w:tc>
      </w:tr>
      <w:tr w:rsidR="00DD1A5A" w:rsidRPr="00606103" w:rsidTr="00860020">
        <w:trPr>
          <w:trHeight w:val="179"/>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Agenția de Investiții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3,5</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0,4</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3,9</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3,8</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30,0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26,0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11,7</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Agenția de Stat pentru Proprietate Intelectuală</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34,1</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35,3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35,3</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34,4</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131,0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131,0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18,0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109,9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21,1</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Agenția Națională pentru Siguranța Alimentelor</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132,4</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146,5</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14,1</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146,5</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129,6</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-16,9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1.330,0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1.510,0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252,0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1.059,7</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450,3</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Agenția Națională Antidoping</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0,8</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0,8</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0,7</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0,2</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Centrul Serviciului Civil</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6,5</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2,5</w:t>
            </w:r>
          </w:p>
        </w:tc>
      </w:tr>
      <w:tr w:rsidR="00DD1A5A" w:rsidRPr="00606103" w:rsidTr="00860020">
        <w:trPr>
          <w:trHeight w:val="401"/>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Consiliul Superior al Magistraturii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369,9</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377,8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7,9</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377,8</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375,9</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2.721,5</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2.720,5</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309,0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2.374,8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345,7</w:t>
            </w:r>
          </w:p>
        </w:tc>
      </w:tr>
      <w:tr w:rsidR="00DD1A5A" w:rsidRPr="00606103" w:rsidTr="00860020">
        <w:trPr>
          <w:trHeight w:val="309"/>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Consiliul Superior al Procurorilor</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7,1</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7,4</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0,3</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7,4</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7,0</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43,0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43,0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3,0</w:t>
            </w:r>
          </w:p>
        </w:tc>
      </w:tr>
      <w:tr w:rsidR="00DD1A5A" w:rsidRPr="00606103" w:rsidTr="00860020">
        <w:trPr>
          <w:trHeight w:val="153"/>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Procuratura Generală</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315,0</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323,7</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8,7</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323,7</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313,2</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-10,5</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1.420,0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1.420,0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241,0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1.186,8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233,2</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Oficiul Avocatului Poporului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8,6</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8,6</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8,6</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8,3</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65,0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65,0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23,0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45,3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19,7</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Comisia Electorală Centrală</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10,6</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11,5</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0,9</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14,2</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2,7</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13,8</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-0,4</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57,0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57,0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52,4</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4,6</w:t>
            </w:r>
          </w:p>
        </w:tc>
      </w:tr>
      <w:tr w:rsidR="00DD1A5A" w:rsidRPr="00606103" w:rsidTr="00860020">
        <w:trPr>
          <w:trHeight w:val="350"/>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Centrul Național pentru Protecția Datelor cu Caracter Personal</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6,1</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7,1</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6,9</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45,0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45,0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36,9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8,1</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Consiliul Audiovizualului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6,9</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0,2</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7,0</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7,0</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64,0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64,0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27,0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40,1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23,9</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Consiliul Concurenței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17,6</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17,6</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17,6</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17,6</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130,0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130,0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39,0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91,0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39,0</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Serviciul de Informații și Securitate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249,3</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250,4</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250,4</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250,1</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Autoritatea Națională de Integritate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14,9</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14,9</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12,6</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76,0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76,0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32,0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48,4</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27,6</w:t>
            </w:r>
          </w:p>
        </w:tc>
      </w:tr>
      <w:tr w:rsidR="00DD1A5A" w:rsidRPr="00606103" w:rsidTr="00860020">
        <w:trPr>
          <w:trHeight w:val="481"/>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Serviciul de Protecție și Pază de Stat</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100,8</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134,7</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33,9</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134,7</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130,8</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r>
      <w:tr w:rsidR="00DD1A5A" w:rsidRPr="00606103" w:rsidTr="00860020">
        <w:trPr>
          <w:trHeight w:val="420"/>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Consiliul pentru prevenirea şi eliminarea discriminării și asigurarea egalității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2,8</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2,8</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2,8</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21,0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21,0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15,3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5,7</w:t>
            </w:r>
          </w:p>
        </w:tc>
      </w:tr>
      <w:tr w:rsidR="00DD1A5A" w:rsidRPr="00606103" w:rsidTr="00860020">
        <w:trPr>
          <w:trHeight w:val="174"/>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lastRenderedPageBreak/>
              <w:t>Agenția Națională pentru Soluționarea Contestațiilor</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5,5</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5,5</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5,5</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5,2</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-0,3</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30,0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30,0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5,0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23,8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6,2</w:t>
            </w:r>
          </w:p>
        </w:tc>
      </w:tr>
      <w:tr w:rsidR="00DD1A5A" w:rsidRPr="00606103" w:rsidTr="00860020">
        <w:trPr>
          <w:trHeight w:val="375"/>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Serviciul Prevenirea și Combaterea Spălării Banilor</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8,0</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0,1</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8,1</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8,1</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30,0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30,0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27,2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2,8</w:t>
            </w:r>
          </w:p>
        </w:tc>
      </w:tr>
      <w:tr w:rsidR="00DD1A5A" w:rsidRPr="00606103" w:rsidTr="00860020">
        <w:trPr>
          <w:trHeight w:val="141"/>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Centrul Național Anticorupție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104,7</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106,2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1,6</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107,0</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0,7</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106,8</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359,0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359,0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20,0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332,8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26,2</w:t>
            </w:r>
          </w:p>
        </w:tc>
      </w:tr>
      <w:tr w:rsidR="00DD1A5A" w:rsidRPr="00606103" w:rsidTr="00860020">
        <w:trPr>
          <w:trHeight w:val="275"/>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Academia de Științe a Moldovei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8,5</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8,5</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8,5</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8,4</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-0,1</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98,0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98,0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12,0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83,8</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14,2</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Institutul Național al Justiției</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11,9</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11,9</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10,7</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-1,2</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73,0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73,0</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3,0</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68,9</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4,1</w:t>
            </w:r>
          </w:p>
        </w:tc>
      </w:tr>
      <w:tr w:rsidR="00DD1A5A" w:rsidRPr="00606103" w:rsidTr="00860020">
        <w:trPr>
          <w:trHeight w:val="58"/>
        </w:trPr>
        <w:tc>
          <w:tcPr>
            <w:tcW w:w="2264" w:type="dxa"/>
            <w:hideMark/>
          </w:tcPr>
          <w:p w:rsidR="00DD1A5A" w:rsidRPr="00606103" w:rsidRDefault="00DD1A5A" w:rsidP="00552746">
            <w:pPr>
              <w:spacing w:line="276" w:lineRule="auto"/>
              <w:ind w:left="-106"/>
              <w:rPr>
                <w:rFonts w:asciiTheme="majorHAnsi" w:eastAsia="Times New Roman" w:hAnsiTheme="majorHAnsi" w:cstheme="majorHAnsi"/>
                <w:b/>
                <w:sz w:val="18"/>
                <w:szCs w:val="18"/>
                <w:lang w:val="ro-MD"/>
              </w:rPr>
            </w:pPr>
            <w:r w:rsidRPr="00606103">
              <w:rPr>
                <w:rFonts w:asciiTheme="majorHAnsi" w:eastAsia="Times New Roman" w:hAnsiTheme="majorHAnsi" w:cstheme="majorHAnsi"/>
                <w:b/>
                <w:sz w:val="18"/>
                <w:szCs w:val="18"/>
                <w:lang w:val="ro-MD"/>
              </w:rPr>
              <w:t>Acțiuni generale</w:t>
            </w:r>
          </w:p>
        </w:tc>
        <w:tc>
          <w:tcPr>
            <w:tcW w:w="848" w:type="dxa"/>
            <w:hideMark/>
          </w:tcPr>
          <w:p w:rsidR="00DD1A5A" w:rsidRPr="00606103" w:rsidRDefault="00DD1A5A" w:rsidP="00FE3F3B">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0" w:type="dxa"/>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170,0</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170,0</w:t>
            </w:r>
          </w:p>
        </w:tc>
        <w:tc>
          <w:tcPr>
            <w:tcW w:w="858"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32,5</w:t>
            </w:r>
          </w:p>
        </w:tc>
        <w:tc>
          <w:tcPr>
            <w:tcW w:w="851"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-137,5</w:t>
            </w:r>
          </w:p>
        </w:tc>
        <w:tc>
          <w:tcPr>
            <w:tcW w:w="850"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c>
          <w:tcPr>
            <w:tcW w:w="851"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-32,5</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6"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3"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 </w:t>
            </w:r>
          </w:p>
        </w:tc>
        <w:tc>
          <w:tcPr>
            <w:tcW w:w="992" w:type="dxa"/>
            <w:noWrap/>
            <w:hideMark/>
          </w:tcPr>
          <w:p w:rsidR="00DD1A5A" w:rsidRPr="00606103" w:rsidRDefault="00DD1A5A">
            <w:pPr>
              <w:spacing w:line="276"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0,0</w:t>
            </w:r>
          </w:p>
        </w:tc>
      </w:tr>
      <w:tr w:rsidR="00DD1A5A" w:rsidRPr="00606103" w:rsidTr="00860020">
        <w:trPr>
          <w:trHeight w:val="276"/>
        </w:trPr>
        <w:tc>
          <w:tcPr>
            <w:tcW w:w="2264" w:type="dxa"/>
            <w:hideMark/>
          </w:tcPr>
          <w:p w:rsidR="00DD1A5A" w:rsidRPr="00606103" w:rsidRDefault="00DD1A5A" w:rsidP="00FE3F3B">
            <w:pPr>
              <w:spacing w:line="276" w:lineRule="auto"/>
              <w:jc w:val="center"/>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TOTAL</w:t>
            </w:r>
          </w:p>
        </w:tc>
        <w:tc>
          <w:tcPr>
            <w:tcW w:w="848" w:type="dxa"/>
            <w:hideMark/>
          </w:tcPr>
          <w:p w:rsidR="00DD1A5A" w:rsidRPr="00606103" w:rsidRDefault="00DD1A5A">
            <w:pPr>
              <w:spacing w:line="276" w:lineRule="auto"/>
              <w:jc w:val="right"/>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7.673,6</w:t>
            </w:r>
          </w:p>
        </w:tc>
        <w:tc>
          <w:tcPr>
            <w:tcW w:w="850" w:type="dxa"/>
            <w:hideMark/>
          </w:tcPr>
          <w:p w:rsidR="00DD1A5A" w:rsidRPr="00606103" w:rsidRDefault="00DD1A5A">
            <w:pPr>
              <w:spacing w:line="276" w:lineRule="auto"/>
              <w:jc w:val="right"/>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8.087,7</w:t>
            </w:r>
          </w:p>
        </w:tc>
        <w:tc>
          <w:tcPr>
            <w:tcW w:w="992" w:type="dxa"/>
            <w:hideMark/>
          </w:tcPr>
          <w:p w:rsidR="00DD1A5A" w:rsidRPr="00606103" w:rsidRDefault="00DD1A5A">
            <w:pPr>
              <w:spacing w:line="276" w:lineRule="auto"/>
              <w:jc w:val="right"/>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414,1</w:t>
            </w:r>
          </w:p>
        </w:tc>
        <w:tc>
          <w:tcPr>
            <w:tcW w:w="858" w:type="dxa"/>
            <w:hideMark/>
          </w:tcPr>
          <w:p w:rsidR="00DD1A5A" w:rsidRPr="00606103" w:rsidRDefault="00DD1A5A">
            <w:pPr>
              <w:spacing w:line="276" w:lineRule="auto"/>
              <w:jc w:val="right"/>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7.958,2</w:t>
            </w:r>
          </w:p>
        </w:tc>
        <w:tc>
          <w:tcPr>
            <w:tcW w:w="851" w:type="dxa"/>
            <w:hideMark/>
          </w:tcPr>
          <w:p w:rsidR="00DD1A5A" w:rsidRPr="00606103" w:rsidRDefault="00DD1A5A">
            <w:pPr>
              <w:spacing w:line="276" w:lineRule="auto"/>
              <w:jc w:val="right"/>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-129,5</w:t>
            </w:r>
          </w:p>
        </w:tc>
        <w:tc>
          <w:tcPr>
            <w:tcW w:w="850" w:type="dxa"/>
            <w:hideMark/>
          </w:tcPr>
          <w:p w:rsidR="00DD1A5A" w:rsidRPr="00606103" w:rsidRDefault="00DD1A5A">
            <w:pPr>
              <w:spacing w:line="276" w:lineRule="auto"/>
              <w:jc w:val="right"/>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7.803,8</w:t>
            </w:r>
          </w:p>
        </w:tc>
        <w:tc>
          <w:tcPr>
            <w:tcW w:w="851" w:type="dxa"/>
            <w:gridSpan w:val="2"/>
            <w:hideMark/>
          </w:tcPr>
          <w:p w:rsidR="00DD1A5A" w:rsidRPr="00606103" w:rsidRDefault="00DD1A5A">
            <w:pPr>
              <w:spacing w:line="276" w:lineRule="auto"/>
              <w:jc w:val="right"/>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-154,4</w:t>
            </w:r>
          </w:p>
        </w:tc>
        <w:tc>
          <w:tcPr>
            <w:tcW w:w="992" w:type="dxa"/>
            <w:noWrap/>
            <w:hideMark/>
          </w:tcPr>
          <w:p w:rsidR="00DD1A5A" w:rsidRPr="00606103" w:rsidRDefault="00DD1A5A">
            <w:pPr>
              <w:spacing w:line="276" w:lineRule="auto"/>
              <w:jc w:val="right"/>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56.833,0</w:t>
            </w:r>
          </w:p>
        </w:tc>
        <w:tc>
          <w:tcPr>
            <w:tcW w:w="1130" w:type="dxa"/>
            <w:gridSpan w:val="2"/>
            <w:noWrap/>
            <w:hideMark/>
          </w:tcPr>
          <w:p w:rsidR="00DD1A5A" w:rsidRPr="00606103" w:rsidRDefault="00DD1A5A">
            <w:pPr>
              <w:spacing w:line="276" w:lineRule="auto"/>
              <w:jc w:val="right"/>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57.044,0</w:t>
            </w:r>
          </w:p>
        </w:tc>
        <w:tc>
          <w:tcPr>
            <w:tcW w:w="996" w:type="dxa"/>
            <w:noWrap/>
            <w:hideMark/>
          </w:tcPr>
          <w:p w:rsidR="00DD1A5A" w:rsidRPr="00606103" w:rsidRDefault="00DD1A5A">
            <w:pPr>
              <w:spacing w:line="276" w:lineRule="auto"/>
              <w:jc w:val="right"/>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7.237,0</w:t>
            </w:r>
          </w:p>
        </w:tc>
        <w:tc>
          <w:tcPr>
            <w:tcW w:w="993" w:type="dxa"/>
            <w:noWrap/>
            <w:hideMark/>
          </w:tcPr>
          <w:p w:rsidR="00DD1A5A" w:rsidRPr="00606103" w:rsidRDefault="00DD1A5A">
            <w:pPr>
              <w:spacing w:line="276" w:lineRule="auto"/>
              <w:jc w:val="right"/>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176,5</w:t>
            </w:r>
          </w:p>
        </w:tc>
        <w:tc>
          <w:tcPr>
            <w:tcW w:w="992" w:type="dxa"/>
            <w:noWrap/>
            <w:hideMark/>
          </w:tcPr>
          <w:p w:rsidR="00DD1A5A" w:rsidRPr="00606103" w:rsidRDefault="00DD1A5A">
            <w:pPr>
              <w:spacing w:line="276" w:lineRule="auto"/>
              <w:jc w:val="right"/>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58.512,3</w:t>
            </w:r>
          </w:p>
        </w:tc>
        <w:tc>
          <w:tcPr>
            <w:tcW w:w="992" w:type="dxa"/>
            <w:noWrap/>
            <w:hideMark/>
          </w:tcPr>
          <w:p w:rsidR="00DD1A5A" w:rsidRPr="00606103" w:rsidRDefault="00DD1A5A">
            <w:pPr>
              <w:spacing w:line="276" w:lineRule="auto"/>
              <w:jc w:val="right"/>
              <w:rPr>
                <w:rFonts w:asciiTheme="majorHAnsi" w:eastAsia="Times New Roman" w:hAnsiTheme="majorHAnsi" w:cstheme="majorHAnsi"/>
                <w:b/>
                <w:bCs/>
                <w:sz w:val="18"/>
                <w:szCs w:val="18"/>
                <w:lang w:val="ro-MD"/>
              </w:rPr>
            </w:pPr>
            <w:r w:rsidRPr="00606103">
              <w:rPr>
                <w:rFonts w:asciiTheme="majorHAnsi" w:eastAsia="Times New Roman" w:hAnsiTheme="majorHAnsi" w:cstheme="majorHAnsi"/>
                <w:b/>
                <w:bCs/>
                <w:sz w:val="18"/>
                <w:szCs w:val="18"/>
                <w:lang w:val="ro-MD"/>
              </w:rPr>
              <w:t>12.308,1</w:t>
            </w:r>
          </w:p>
        </w:tc>
      </w:tr>
    </w:tbl>
    <w:p w:rsidR="007554E3" w:rsidRPr="00606103" w:rsidRDefault="00DD1A5A" w:rsidP="007554E3">
      <w:pPr>
        <w:pStyle w:val="NoSpacing"/>
        <w:rPr>
          <w:rFonts w:asciiTheme="majorHAnsi" w:hAnsiTheme="majorHAnsi" w:cstheme="majorHAnsi"/>
          <w:sz w:val="20"/>
          <w:szCs w:val="20"/>
          <w:lang w:val="ro-MD"/>
        </w:rPr>
      </w:pPr>
      <w:r w:rsidRPr="00606103">
        <w:rPr>
          <w:rFonts w:asciiTheme="majorHAnsi" w:eastAsia="MS Mincho" w:hAnsiTheme="majorHAnsi" w:cstheme="majorHAnsi"/>
          <w:i/>
          <w:sz w:val="20"/>
          <w:szCs w:val="20"/>
          <w:lang w:val="ro-MD" w:eastAsia="ja-JP"/>
        </w:rPr>
        <w:t>Notă: *</w:t>
      </w:r>
      <w:r w:rsidRPr="00606103">
        <w:rPr>
          <w:rFonts w:asciiTheme="majorHAnsi" w:hAnsiTheme="majorHAnsi" w:cstheme="majorHAnsi"/>
          <w:sz w:val="20"/>
          <w:szCs w:val="20"/>
          <w:lang w:val="ro-MD"/>
        </w:rPr>
        <w:t xml:space="preserve"> conform prevederilor HG </w:t>
      </w:r>
      <w:r w:rsidR="00FE0444" w:rsidRPr="00606103">
        <w:rPr>
          <w:rFonts w:asciiTheme="majorHAnsi" w:hAnsiTheme="majorHAnsi" w:cstheme="majorHAnsi"/>
          <w:sz w:val="20"/>
          <w:szCs w:val="20"/>
          <w:lang w:val="ro-MD"/>
        </w:rPr>
        <w:t>nr.</w:t>
      </w:r>
      <w:r w:rsidRPr="00606103">
        <w:rPr>
          <w:rFonts w:asciiTheme="majorHAnsi" w:hAnsiTheme="majorHAnsi" w:cstheme="majorHAnsi"/>
          <w:sz w:val="20"/>
          <w:szCs w:val="20"/>
          <w:lang w:val="ro-MD"/>
        </w:rPr>
        <w:t>942/2020</w:t>
      </w:r>
    </w:p>
    <w:p w:rsidR="00DD1A5A" w:rsidRPr="00606103" w:rsidRDefault="00DD1A5A" w:rsidP="007554E3">
      <w:pPr>
        <w:pStyle w:val="NoSpacing"/>
        <w:rPr>
          <w:rFonts w:asciiTheme="majorHAnsi" w:hAnsiTheme="majorHAnsi" w:cstheme="majorHAnsi"/>
          <w:sz w:val="20"/>
          <w:szCs w:val="20"/>
          <w:lang w:val="ro-MD"/>
        </w:rPr>
      </w:pPr>
      <w:r w:rsidRPr="00606103">
        <w:rPr>
          <w:rFonts w:asciiTheme="majorHAnsi" w:hAnsiTheme="majorHAnsi" w:cstheme="majorHAnsi"/>
          <w:bCs/>
          <w:sz w:val="20"/>
          <w:szCs w:val="20"/>
          <w:lang w:val="ro-MD"/>
        </w:rPr>
        <w:t xml:space="preserve">   </w:t>
      </w:r>
      <w:r w:rsidRPr="00606103">
        <w:rPr>
          <w:rFonts w:asciiTheme="majorHAnsi" w:eastAsia="MS Mincho" w:hAnsiTheme="majorHAnsi" w:cstheme="majorHAnsi"/>
          <w:b/>
          <w:i/>
          <w:sz w:val="20"/>
          <w:szCs w:val="20"/>
          <w:lang w:val="ro-MD" w:eastAsia="ja-JP"/>
        </w:rPr>
        <w:t>**</w:t>
      </w:r>
      <w:r w:rsidRPr="00606103">
        <w:rPr>
          <w:rFonts w:asciiTheme="majorHAnsi" w:hAnsiTheme="majorHAnsi" w:cstheme="majorHAnsi"/>
          <w:bCs/>
          <w:sz w:val="20"/>
          <w:szCs w:val="20"/>
          <w:lang w:val="ro-MD"/>
        </w:rPr>
        <w:t>Număr de unități aprobat de către MF, la solicitarea ORG1</w:t>
      </w:r>
      <w:r w:rsidRPr="00606103">
        <w:rPr>
          <w:rFonts w:asciiTheme="majorHAnsi" w:eastAsia="MS Mincho" w:hAnsiTheme="majorHAnsi" w:cstheme="majorHAnsi"/>
          <w:sz w:val="20"/>
          <w:szCs w:val="20"/>
          <w:lang w:val="ro-MD" w:eastAsia="ja-JP"/>
        </w:rPr>
        <w:t>*</w:t>
      </w:r>
      <w:r w:rsidRPr="00606103">
        <w:rPr>
          <w:rFonts w:asciiTheme="majorHAnsi" w:hAnsiTheme="majorHAnsi" w:cstheme="majorHAnsi"/>
          <w:bCs/>
          <w:sz w:val="20"/>
          <w:szCs w:val="20"/>
          <w:lang w:val="ro-MD"/>
        </w:rPr>
        <w:t xml:space="preserve"> (din contul locurilor vacante supuse moratoriului)</w:t>
      </w:r>
      <w:r w:rsidR="00FE0444" w:rsidRPr="00606103">
        <w:rPr>
          <w:rFonts w:asciiTheme="majorHAnsi" w:hAnsiTheme="majorHAnsi" w:cstheme="majorHAnsi"/>
          <w:bCs/>
          <w:sz w:val="20"/>
          <w:szCs w:val="20"/>
          <w:lang w:val="ro-MD"/>
        </w:rPr>
        <w:t>.</w:t>
      </w:r>
    </w:p>
    <w:p w:rsidR="00DD1A5A" w:rsidRPr="00606103" w:rsidRDefault="00DD1A5A" w:rsidP="007554E3">
      <w:pPr>
        <w:pStyle w:val="NoSpacing"/>
        <w:rPr>
          <w:rFonts w:asciiTheme="majorHAnsi" w:hAnsiTheme="majorHAnsi" w:cstheme="majorHAnsi"/>
          <w:b/>
          <w:sz w:val="20"/>
          <w:szCs w:val="20"/>
          <w:lang w:val="ro-MD"/>
        </w:rPr>
      </w:pPr>
      <w:r w:rsidRPr="00606103">
        <w:rPr>
          <w:rFonts w:asciiTheme="majorHAnsi" w:hAnsiTheme="majorHAnsi" w:cstheme="majorHAnsi"/>
          <w:b/>
          <w:i/>
          <w:sz w:val="20"/>
          <w:szCs w:val="20"/>
          <w:lang w:val="ro-MD"/>
        </w:rPr>
        <w:t xml:space="preserve">Sursă: </w:t>
      </w:r>
      <w:r w:rsidRPr="00606103">
        <w:rPr>
          <w:rFonts w:asciiTheme="majorHAnsi" w:hAnsiTheme="majorHAnsi" w:cstheme="majorHAnsi"/>
          <w:i/>
          <w:sz w:val="20"/>
          <w:szCs w:val="20"/>
          <w:lang w:val="ro-MD"/>
        </w:rPr>
        <w:t>Rapoartele narative privind executarea bugetelor autorităților/instituțiilor bugetare pentru anul 2021.</w:t>
      </w:r>
    </w:p>
    <w:p w:rsidR="007554E3" w:rsidRPr="00606103" w:rsidRDefault="00DD1A5A" w:rsidP="007554E3">
      <w:pPr>
        <w:spacing w:line="276" w:lineRule="auto"/>
        <w:jc w:val="right"/>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t>Anexa nr.5</w:t>
      </w:r>
    </w:p>
    <w:p w:rsidR="007554E3" w:rsidRPr="00606103" w:rsidRDefault="00DD1A5A" w:rsidP="007554E3">
      <w:pPr>
        <w:spacing w:line="276" w:lineRule="auto"/>
        <w:jc w:val="right"/>
        <w:rPr>
          <w:rFonts w:asciiTheme="majorHAnsi" w:eastAsia="Times New Roman" w:hAnsiTheme="majorHAnsi" w:cstheme="majorHAnsi"/>
          <w:b/>
          <w:sz w:val="24"/>
          <w:szCs w:val="24"/>
          <w:lang w:val="ro-MD"/>
        </w:rPr>
      </w:pPr>
      <w:r w:rsidRPr="00606103">
        <w:rPr>
          <w:rFonts w:asciiTheme="majorHAnsi" w:eastAsia="Times New Roman" w:hAnsiTheme="majorHAnsi" w:cstheme="majorHAnsi"/>
          <w:b/>
          <w:bCs/>
          <w:sz w:val="24"/>
          <w:szCs w:val="24"/>
          <w:lang w:val="ro-MD"/>
        </w:rPr>
        <w:t>Sinteza subvențiilor executate din BS în anul 2021 și solduril</w:t>
      </w:r>
      <w:r w:rsidR="00FE0444" w:rsidRPr="00606103">
        <w:rPr>
          <w:rFonts w:asciiTheme="majorHAnsi" w:eastAsia="Times New Roman" w:hAnsiTheme="majorHAnsi" w:cstheme="majorHAnsi"/>
          <w:b/>
          <w:bCs/>
          <w:sz w:val="24"/>
          <w:szCs w:val="24"/>
          <w:lang w:val="ro-MD"/>
        </w:rPr>
        <w:t>or</w:t>
      </w:r>
      <w:r w:rsidRPr="00606103">
        <w:rPr>
          <w:rFonts w:asciiTheme="majorHAnsi" w:eastAsia="Times New Roman" w:hAnsiTheme="majorHAnsi" w:cstheme="majorHAnsi"/>
          <w:b/>
          <w:bCs/>
          <w:sz w:val="24"/>
          <w:szCs w:val="24"/>
          <w:lang w:val="ro-MD"/>
        </w:rPr>
        <w:t xml:space="preserve"> de mijloace bănești acumulate la beneficiarii de subvenții</w:t>
      </w:r>
    </w:p>
    <w:p w:rsidR="00DD1A5A" w:rsidRPr="00606103" w:rsidRDefault="00DD1A5A" w:rsidP="007554E3">
      <w:pPr>
        <w:spacing w:line="276" w:lineRule="auto"/>
        <w:jc w:val="right"/>
        <w:rPr>
          <w:rFonts w:asciiTheme="majorHAnsi" w:eastAsia="Times New Roman" w:hAnsiTheme="majorHAnsi" w:cstheme="majorHAnsi"/>
          <w:b/>
          <w:sz w:val="24"/>
          <w:szCs w:val="24"/>
          <w:lang w:val="ro-MD"/>
        </w:rPr>
      </w:pPr>
      <w:r w:rsidRPr="00606103">
        <w:rPr>
          <w:rFonts w:asciiTheme="majorHAnsi" w:eastAsia="Times New Roman" w:hAnsiTheme="majorHAnsi" w:cstheme="majorHAnsi"/>
          <w:bCs/>
          <w:sz w:val="24"/>
          <w:szCs w:val="24"/>
          <w:lang w:val="ro-MD"/>
        </w:rPr>
        <w:t xml:space="preserve">   </w:t>
      </w:r>
      <w:r w:rsidRPr="00606103">
        <w:rPr>
          <w:rFonts w:asciiTheme="majorHAnsi" w:eastAsia="Times New Roman" w:hAnsiTheme="majorHAnsi" w:cstheme="majorHAnsi"/>
          <w:bCs/>
          <w:i/>
          <w:sz w:val="24"/>
          <w:szCs w:val="24"/>
          <w:lang w:val="ro-MD"/>
        </w:rPr>
        <w:t xml:space="preserve"> (mil. lei)</w:t>
      </w:r>
    </w:p>
    <w:tbl>
      <w:tblPr>
        <w:tblW w:w="14428" w:type="dxa"/>
        <w:tblLook w:val="04A0" w:firstRow="1" w:lastRow="0" w:firstColumn="1" w:lastColumn="0" w:noHBand="0" w:noVBand="1"/>
      </w:tblPr>
      <w:tblGrid>
        <w:gridCol w:w="4248"/>
        <w:gridCol w:w="939"/>
        <w:gridCol w:w="1003"/>
        <w:gridCol w:w="992"/>
        <w:gridCol w:w="1057"/>
        <w:gridCol w:w="1039"/>
        <w:gridCol w:w="992"/>
        <w:gridCol w:w="1050"/>
        <w:gridCol w:w="972"/>
        <w:gridCol w:w="1005"/>
        <w:gridCol w:w="1131"/>
      </w:tblGrid>
      <w:tr w:rsidR="00DD1A5A" w:rsidRPr="00606103" w:rsidTr="00F605B0">
        <w:trPr>
          <w:trHeight w:val="946"/>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Denumirea</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Aprobat</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Precizat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Executat</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Executat conform Raportului instituției</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ind w:left="-203" w:right="-159"/>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Soldul mijloacelor bănești la începutul anului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Suma primită</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Cheltuieli executate</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Cheltuieli efective</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ind w:left="-105" w:right="-105"/>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Soldul mijloacelor bănești la sfârșitul perioadei</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DD1A5A" w:rsidRPr="00606103" w:rsidRDefault="00DD1A5A" w:rsidP="00552746">
            <w:pPr>
              <w:spacing w:after="0" w:line="276" w:lineRule="auto"/>
              <w:ind w:left="-111" w:right="-49"/>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Sold recalculat de către echipa de audit</w:t>
            </w:r>
          </w:p>
        </w:tc>
      </w:tr>
      <w:tr w:rsidR="00DD1A5A" w:rsidRPr="00606103" w:rsidTr="00F605B0">
        <w:trPr>
          <w:trHeight w:val="10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1</w:t>
            </w:r>
          </w:p>
        </w:tc>
        <w:tc>
          <w:tcPr>
            <w:tcW w:w="939"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2</w:t>
            </w:r>
          </w:p>
        </w:tc>
        <w:tc>
          <w:tcPr>
            <w:tcW w:w="1003"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3</w:t>
            </w:r>
          </w:p>
        </w:tc>
        <w:tc>
          <w:tcPr>
            <w:tcW w:w="992"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4</w:t>
            </w:r>
          </w:p>
        </w:tc>
        <w:tc>
          <w:tcPr>
            <w:tcW w:w="1057"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5</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eastAsia="Times New Roman" w:hAnsiTheme="majorHAnsi" w:cstheme="majorHAnsi"/>
                <w:i/>
                <w:sz w:val="16"/>
                <w:szCs w:val="16"/>
                <w:lang w:val="ro-MD"/>
              </w:rPr>
            </w:pPr>
            <w:r w:rsidRPr="00606103">
              <w:rPr>
                <w:rFonts w:asciiTheme="majorHAnsi" w:eastAsia="Times New Roman" w:hAnsiTheme="majorHAnsi" w:cstheme="majorHAnsi"/>
                <w:i/>
                <w:sz w:val="16"/>
                <w:szCs w:val="16"/>
                <w:lang w:val="ro-MD"/>
              </w:rPr>
              <w:t>6</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eastAsia="Times New Roman" w:hAnsiTheme="majorHAnsi" w:cstheme="majorHAnsi"/>
                <w:i/>
                <w:sz w:val="16"/>
                <w:szCs w:val="16"/>
                <w:lang w:val="ro-MD"/>
              </w:rPr>
            </w:pPr>
            <w:r w:rsidRPr="00606103">
              <w:rPr>
                <w:rFonts w:asciiTheme="majorHAnsi" w:eastAsia="Times New Roman" w:hAnsiTheme="majorHAnsi" w:cstheme="majorHAnsi"/>
                <w:i/>
                <w:sz w:val="16"/>
                <w:szCs w:val="16"/>
                <w:lang w:val="ro-MD"/>
              </w:rPr>
              <w:t>7</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eastAsia="Times New Roman" w:hAnsiTheme="majorHAnsi" w:cstheme="majorHAnsi"/>
                <w:i/>
                <w:sz w:val="16"/>
                <w:szCs w:val="16"/>
                <w:lang w:val="ro-MD"/>
              </w:rPr>
            </w:pPr>
            <w:r w:rsidRPr="00606103">
              <w:rPr>
                <w:rFonts w:asciiTheme="majorHAnsi" w:eastAsia="Times New Roman" w:hAnsiTheme="majorHAnsi" w:cstheme="majorHAnsi"/>
                <w:i/>
                <w:sz w:val="16"/>
                <w:szCs w:val="16"/>
                <w:lang w:val="ro-MD"/>
              </w:rPr>
              <w:t>8</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eastAsia="Times New Roman" w:hAnsiTheme="majorHAnsi" w:cstheme="majorHAnsi"/>
                <w:i/>
                <w:sz w:val="16"/>
                <w:szCs w:val="16"/>
                <w:lang w:val="ro-MD"/>
              </w:rPr>
            </w:pPr>
            <w:r w:rsidRPr="00606103">
              <w:rPr>
                <w:rFonts w:asciiTheme="majorHAnsi" w:eastAsia="Times New Roman" w:hAnsiTheme="majorHAnsi" w:cstheme="majorHAnsi"/>
                <w:i/>
                <w:sz w:val="16"/>
                <w:szCs w:val="16"/>
                <w:lang w:val="ro-MD"/>
              </w:rPr>
              <w:t>9</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eastAsia="Times New Roman" w:hAnsiTheme="majorHAnsi" w:cstheme="majorHAnsi"/>
                <w:i/>
                <w:sz w:val="16"/>
                <w:szCs w:val="16"/>
                <w:lang w:val="ro-MD"/>
              </w:rPr>
            </w:pPr>
            <w:r w:rsidRPr="00606103">
              <w:rPr>
                <w:rFonts w:asciiTheme="majorHAnsi" w:eastAsia="Times New Roman" w:hAnsiTheme="majorHAnsi" w:cstheme="majorHAnsi"/>
                <w:i/>
                <w:sz w:val="16"/>
                <w:szCs w:val="16"/>
                <w:lang w:val="ro-MD"/>
              </w:rPr>
              <w:t>10</w:t>
            </w:r>
          </w:p>
        </w:tc>
        <w:tc>
          <w:tcPr>
            <w:tcW w:w="1131"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11=6+7-8</w:t>
            </w:r>
          </w:p>
        </w:tc>
      </w:tr>
      <w:tr w:rsidR="00DD1A5A" w:rsidRPr="00606103" w:rsidTr="00F605B0">
        <w:trPr>
          <w:trHeight w:val="2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Cancelaria de Stat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7,9</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7,4</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7,4</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7,4</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7,4</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7,4</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7,4</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r>
      <w:tr w:rsidR="00DD1A5A" w:rsidRPr="00606103" w:rsidTr="00F605B0">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Ministerul Economiei </w:t>
            </w:r>
            <w:r w:rsidR="00F605B0" w:rsidRPr="00606103">
              <w:rPr>
                <w:rFonts w:asciiTheme="majorHAnsi" w:eastAsia="Times New Roman" w:hAnsiTheme="majorHAnsi" w:cstheme="majorHAnsi"/>
                <w:i/>
                <w:iCs/>
                <w:color w:val="000000"/>
                <w:sz w:val="20"/>
                <w:szCs w:val="20"/>
                <w:lang w:val="ro-MD"/>
              </w:rPr>
              <w:t>ș</w:t>
            </w:r>
            <w:r w:rsidRPr="00606103">
              <w:rPr>
                <w:rFonts w:asciiTheme="majorHAnsi" w:eastAsia="Times New Roman" w:hAnsiTheme="majorHAnsi" w:cstheme="majorHAnsi"/>
                <w:i/>
                <w:iCs/>
                <w:color w:val="000000"/>
                <w:sz w:val="20"/>
                <w:szCs w:val="20"/>
                <w:lang w:val="ro-MD"/>
              </w:rPr>
              <w:t xml:space="preserve">i Infrastructurii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1.539,9</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387,0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387,0</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387,0</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130,2</w:t>
            </w:r>
          </w:p>
        </w:tc>
        <w:tc>
          <w:tcPr>
            <w:tcW w:w="992"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387,0</w:t>
            </w:r>
          </w:p>
        </w:tc>
        <w:tc>
          <w:tcPr>
            <w:tcW w:w="1050"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517,1</w:t>
            </w:r>
          </w:p>
        </w:tc>
        <w:tc>
          <w:tcPr>
            <w:tcW w:w="972"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600,1</w:t>
            </w:r>
          </w:p>
        </w:tc>
        <w:tc>
          <w:tcPr>
            <w:tcW w:w="1005"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0,1</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0,1</w:t>
            </w:r>
          </w:p>
        </w:tc>
      </w:tr>
      <w:tr w:rsidR="00DD1A5A" w:rsidRPr="00606103" w:rsidTr="00F605B0">
        <w:trPr>
          <w:trHeight w:val="319"/>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Ministerul Agriculturii, Dezvoltării Regionale </w:t>
            </w:r>
            <w:r w:rsidR="00F605B0" w:rsidRPr="00606103">
              <w:rPr>
                <w:rFonts w:asciiTheme="majorHAnsi" w:eastAsia="Times New Roman" w:hAnsiTheme="majorHAnsi" w:cstheme="majorHAnsi"/>
                <w:i/>
                <w:iCs/>
                <w:color w:val="000000"/>
                <w:sz w:val="20"/>
                <w:szCs w:val="20"/>
                <w:lang w:val="ro-MD"/>
              </w:rPr>
              <w:t>ș</w:t>
            </w:r>
            <w:r w:rsidRPr="00606103">
              <w:rPr>
                <w:rFonts w:asciiTheme="majorHAnsi" w:eastAsia="Times New Roman" w:hAnsiTheme="majorHAnsi" w:cstheme="majorHAnsi"/>
                <w:i/>
                <w:iCs/>
                <w:color w:val="000000"/>
                <w:sz w:val="20"/>
                <w:szCs w:val="20"/>
                <w:lang w:val="ro-MD"/>
              </w:rPr>
              <w:t xml:space="preserve">i Mediului                                                                                            </w:t>
            </w:r>
          </w:p>
        </w:tc>
        <w:tc>
          <w:tcPr>
            <w:tcW w:w="939"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1.187,1</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801,4</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801,4</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801,4</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3,0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801,4</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802,4</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800,1</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1,9</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1,9</w:t>
            </w:r>
          </w:p>
        </w:tc>
      </w:tr>
      <w:tr w:rsidR="00DD1A5A" w:rsidRPr="00606103" w:rsidTr="00F605B0">
        <w:trPr>
          <w:trHeight w:val="256"/>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Ministerul Educației, Culturii </w:t>
            </w:r>
            <w:r w:rsidR="00F605B0" w:rsidRPr="00606103">
              <w:rPr>
                <w:rFonts w:asciiTheme="majorHAnsi" w:eastAsia="Times New Roman" w:hAnsiTheme="majorHAnsi" w:cstheme="majorHAnsi"/>
                <w:i/>
                <w:iCs/>
                <w:color w:val="000000"/>
                <w:sz w:val="20"/>
                <w:szCs w:val="20"/>
                <w:lang w:val="ro-MD"/>
              </w:rPr>
              <w:t>ș</w:t>
            </w:r>
            <w:r w:rsidRPr="00606103">
              <w:rPr>
                <w:rFonts w:asciiTheme="majorHAnsi" w:eastAsia="Times New Roman" w:hAnsiTheme="majorHAnsi" w:cstheme="majorHAnsi"/>
                <w:i/>
                <w:iCs/>
                <w:color w:val="000000"/>
                <w:sz w:val="20"/>
                <w:szCs w:val="20"/>
                <w:lang w:val="ro-MD"/>
              </w:rPr>
              <w:t xml:space="preserve">i Cercetării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249,6</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147,2</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147,2</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147,2</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17,9</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147,2</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147,2</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120,1</w:t>
            </w:r>
          </w:p>
        </w:tc>
        <w:tc>
          <w:tcPr>
            <w:tcW w:w="1005"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c>
          <w:tcPr>
            <w:tcW w:w="1131"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17,9</w:t>
            </w:r>
          </w:p>
        </w:tc>
      </w:tr>
      <w:tr w:rsidR="00DD1A5A" w:rsidRPr="00606103" w:rsidTr="00F605B0">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Ministerul Sănătății, Muncii </w:t>
            </w:r>
            <w:r w:rsidR="00F605B0" w:rsidRPr="00606103">
              <w:rPr>
                <w:rFonts w:asciiTheme="majorHAnsi" w:eastAsia="Times New Roman" w:hAnsiTheme="majorHAnsi" w:cstheme="majorHAnsi"/>
                <w:i/>
                <w:iCs/>
                <w:color w:val="000000"/>
                <w:sz w:val="20"/>
                <w:szCs w:val="20"/>
                <w:lang w:val="ro-MD"/>
              </w:rPr>
              <w:t>ș</w:t>
            </w:r>
            <w:r w:rsidRPr="00606103">
              <w:rPr>
                <w:rFonts w:asciiTheme="majorHAnsi" w:eastAsia="Times New Roman" w:hAnsiTheme="majorHAnsi" w:cstheme="majorHAnsi"/>
                <w:i/>
                <w:iCs/>
                <w:color w:val="000000"/>
                <w:sz w:val="20"/>
                <w:szCs w:val="20"/>
                <w:lang w:val="ro-MD"/>
              </w:rPr>
              <w:t xml:space="preserve">i Protecției Sociale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76,3</w:t>
            </w:r>
          </w:p>
        </w:tc>
        <w:tc>
          <w:tcPr>
            <w:tcW w:w="1003"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38,1</w:t>
            </w:r>
          </w:p>
        </w:tc>
        <w:tc>
          <w:tcPr>
            <w:tcW w:w="992"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38,1</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38,1</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7,4</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36,8</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44,2</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44,6</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r>
      <w:tr w:rsidR="00DD1A5A" w:rsidRPr="00606103" w:rsidTr="00F605B0">
        <w:trPr>
          <w:trHeight w:val="58"/>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Ministerul Economiei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4,3</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2,9</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2,9</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2,9</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2,9</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2,9</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r>
      <w:tr w:rsidR="00DD1A5A" w:rsidRPr="00606103" w:rsidTr="00F605B0">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Ministerul Infrastructurii </w:t>
            </w:r>
            <w:r w:rsidR="00F605B0" w:rsidRPr="00606103">
              <w:rPr>
                <w:rFonts w:asciiTheme="majorHAnsi" w:eastAsia="Times New Roman" w:hAnsiTheme="majorHAnsi" w:cstheme="majorHAnsi"/>
                <w:i/>
                <w:iCs/>
                <w:color w:val="000000"/>
                <w:sz w:val="20"/>
                <w:szCs w:val="20"/>
                <w:lang w:val="ro-MD"/>
              </w:rPr>
              <w:t>ș</w:t>
            </w:r>
            <w:r w:rsidRPr="00606103">
              <w:rPr>
                <w:rFonts w:asciiTheme="majorHAnsi" w:eastAsia="Times New Roman" w:hAnsiTheme="majorHAnsi" w:cstheme="majorHAnsi"/>
                <w:i/>
                <w:iCs/>
                <w:color w:val="000000"/>
                <w:sz w:val="20"/>
                <w:szCs w:val="20"/>
                <w:lang w:val="ro-MD"/>
              </w:rPr>
              <w:t xml:space="preserve">i Dezvoltării Regionale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1.163,2</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1.019,5</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1.019,5</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15,3</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1.103,2</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1.001,1</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904,9</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117,3</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117,3</w:t>
            </w:r>
          </w:p>
        </w:tc>
      </w:tr>
      <w:tr w:rsidR="00DD1A5A" w:rsidRPr="00606103" w:rsidTr="00F605B0">
        <w:trPr>
          <w:trHeight w:val="21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Ministerul Agriculturii </w:t>
            </w:r>
            <w:r w:rsidR="00F605B0" w:rsidRPr="00606103">
              <w:rPr>
                <w:rFonts w:asciiTheme="majorHAnsi" w:eastAsia="Times New Roman" w:hAnsiTheme="majorHAnsi" w:cstheme="majorHAnsi"/>
                <w:i/>
                <w:iCs/>
                <w:color w:val="000000"/>
                <w:sz w:val="20"/>
                <w:szCs w:val="20"/>
                <w:lang w:val="ro-MD"/>
              </w:rPr>
              <w:t>ș</w:t>
            </w:r>
            <w:r w:rsidRPr="00606103">
              <w:rPr>
                <w:rFonts w:asciiTheme="majorHAnsi" w:eastAsia="Times New Roman" w:hAnsiTheme="majorHAnsi" w:cstheme="majorHAnsi"/>
                <w:i/>
                <w:iCs/>
                <w:color w:val="000000"/>
                <w:sz w:val="20"/>
                <w:szCs w:val="20"/>
                <w:lang w:val="ro-MD"/>
              </w:rPr>
              <w:t xml:space="preserve">i Industriei Alimentare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708,6</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628,0</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628,0</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628,0</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622,9</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626,2</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5,0</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5,0</w:t>
            </w:r>
          </w:p>
        </w:tc>
      </w:tr>
      <w:tr w:rsidR="00DD1A5A" w:rsidRPr="00606103" w:rsidTr="00F605B0">
        <w:trPr>
          <w:trHeight w:val="13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Ministerul Mediului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8,4</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4,8</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4,8</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4,8</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2,8</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1,8</w:t>
            </w:r>
          </w:p>
        </w:tc>
        <w:tc>
          <w:tcPr>
            <w:tcW w:w="1005"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3,5</w:t>
            </w:r>
          </w:p>
        </w:tc>
        <w:tc>
          <w:tcPr>
            <w:tcW w:w="1131"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3,5</w:t>
            </w:r>
          </w:p>
        </w:tc>
      </w:tr>
      <w:tr w:rsidR="00DD1A5A" w:rsidRPr="00606103" w:rsidTr="00F605B0">
        <w:trPr>
          <w:trHeight w:val="58"/>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Ministerul Educației </w:t>
            </w:r>
            <w:r w:rsidR="00F605B0" w:rsidRPr="00606103">
              <w:rPr>
                <w:rFonts w:asciiTheme="majorHAnsi" w:eastAsia="Times New Roman" w:hAnsiTheme="majorHAnsi" w:cstheme="majorHAnsi"/>
                <w:i/>
                <w:iCs/>
                <w:color w:val="000000"/>
                <w:sz w:val="20"/>
                <w:szCs w:val="20"/>
                <w:lang w:val="ro-MD"/>
              </w:rPr>
              <w:t>ș</w:t>
            </w:r>
            <w:r w:rsidRPr="00606103">
              <w:rPr>
                <w:rFonts w:asciiTheme="majorHAnsi" w:eastAsia="Times New Roman" w:hAnsiTheme="majorHAnsi" w:cstheme="majorHAnsi"/>
                <w:i/>
                <w:iCs/>
                <w:color w:val="000000"/>
                <w:sz w:val="20"/>
                <w:szCs w:val="20"/>
                <w:lang w:val="ro-MD"/>
              </w:rPr>
              <w:t xml:space="preserve">i Cercetării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15,4</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9,7</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9,7</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9,7</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9,7</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41,9</w:t>
            </w:r>
          </w:p>
        </w:tc>
        <w:tc>
          <w:tcPr>
            <w:tcW w:w="1005"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4,2</w:t>
            </w:r>
          </w:p>
        </w:tc>
        <w:tc>
          <w:tcPr>
            <w:tcW w:w="1131"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r>
      <w:tr w:rsidR="00DD1A5A" w:rsidRPr="00606103" w:rsidTr="00F605B0">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Ministerul Culturii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100,9</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98,6</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98,6</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98,6</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98,6</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100,8</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r>
      <w:tr w:rsidR="00DD1A5A" w:rsidRPr="00606103" w:rsidTr="00F605B0">
        <w:trPr>
          <w:trHeight w:val="86"/>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Ministerul Muncii </w:t>
            </w:r>
            <w:r w:rsidR="00F605B0" w:rsidRPr="00606103">
              <w:rPr>
                <w:rFonts w:asciiTheme="majorHAnsi" w:eastAsia="Times New Roman" w:hAnsiTheme="majorHAnsi" w:cstheme="majorHAnsi"/>
                <w:i/>
                <w:iCs/>
                <w:color w:val="000000"/>
                <w:sz w:val="20"/>
                <w:szCs w:val="20"/>
                <w:lang w:val="ro-MD"/>
              </w:rPr>
              <w:t>ș</w:t>
            </w:r>
            <w:r w:rsidRPr="00606103">
              <w:rPr>
                <w:rFonts w:asciiTheme="majorHAnsi" w:eastAsia="Times New Roman" w:hAnsiTheme="majorHAnsi" w:cstheme="majorHAnsi"/>
                <w:i/>
                <w:iCs/>
                <w:color w:val="000000"/>
                <w:sz w:val="20"/>
                <w:szCs w:val="20"/>
                <w:lang w:val="ro-MD"/>
              </w:rPr>
              <w:t xml:space="preserve">i Protecției Sociale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43,6</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38,5</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38,5</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0,9</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38,5</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38,5</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37,8</w:t>
            </w:r>
          </w:p>
        </w:tc>
        <w:tc>
          <w:tcPr>
            <w:tcW w:w="1005"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0,7</w:t>
            </w:r>
          </w:p>
        </w:tc>
        <w:tc>
          <w:tcPr>
            <w:tcW w:w="1131"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0,9</w:t>
            </w:r>
          </w:p>
        </w:tc>
      </w:tr>
      <w:tr w:rsidR="00DD1A5A" w:rsidRPr="00606103" w:rsidTr="00F605B0">
        <w:trPr>
          <w:trHeight w:val="22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lastRenderedPageBreak/>
              <w:t xml:space="preserve">Agenția Relații Funciare </w:t>
            </w:r>
            <w:r w:rsidR="00F605B0" w:rsidRPr="00606103">
              <w:rPr>
                <w:rFonts w:asciiTheme="majorHAnsi" w:eastAsia="Times New Roman" w:hAnsiTheme="majorHAnsi" w:cstheme="majorHAnsi"/>
                <w:i/>
                <w:iCs/>
                <w:color w:val="000000"/>
                <w:sz w:val="20"/>
                <w:szCs w:val="20"/>
                <w:lang w:val="ro-MD"/>
              </w:rPr>
              <w:t>ș</w:t>
            </w:r>
            <w:r w:rsidRPr="00606103">
              <w:rPr>
                <w:rFonts w:asciiTheme="majorHAnsi" w:eastAsia="Times New Roman" w:hAnsiTheme="majorHAnsi" w:cstheme="majorHAnsi"/>
                <w:i/>
                <w:iCs/>
                <w:color w:val="000000"/>
                <w:sz w:val="20"/>
                <w:szCs w:val="20"/>
                <w:lang w:val="ro-MD"/>
              </w:rPr>
              <w:t xml:space="preserve">i Cadastru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0,0</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r>
      <w:tr w:rsidR="00DD1A5A" w:rsidRPr="00606103" w:rsidTr="00F605B0">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Agenția Proprietății Publice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14,1</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9,7</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9,7</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9,7</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9,7</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9,7</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r>
      <w:tr w:rsidR="00DD1A5A" w:rsidRPr="00606103" w:rsidTr="00F605B0">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Agenția de Investiții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5,0</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5,0</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5,0</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5,0</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5,0</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5,0</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r>
      <w:tr w:rsidR="00DD1A5A" w:rsidRPr="00606103" w:rsidTr="00F605B0">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Consiliul Audiovizualului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0,0</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89,1</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-63,2</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25,9</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25,9</w:t>
            </w:r>
          </w:p>
        </w:tc>
      </w:tr>
      <w:tr w:rsidR="00DD1A5A" w:rsidRPr="00606103" w:rsidTr="00F605B0">
        <w:trPr>
          <w:trHeight w:val="5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Instituția Public</w:t>
            </w:r>
            <w:r w:rsidR="00F605B0" w:rsidRPr="00606103">
              <w:rPr>
                <w:rFonts w:asciiTheme="majorHAnsi" w:eastAsia="Times New Roman" w:hAnsiTheme="majorHAnsi" w:cstheme="majorHAnsi"/>
                <w:i/>
                <w:iCs/>
                <w:color w:val="000000"/>
                <w:sz w:val="20"/>
                <w:szCs w:val="20"/>
                <w:lang w:val="ro-MD"/>
              </w:rPr>
              <w:t>ă</w:t>
            </w:r>
            <w:r w:rsidRPr="00606103">
              <w:rPr>
                <w:rFonts w:asciiTheme="majorHAnsi" w:eastAsia="Times New Roman" w:hAnsiTheme="majorHAnsi" w:cstheme="majorHAnsi"/>
                <w:i/>
                <w:iCs/>
                <w:color w:val="000000"/>
                <w:sz w:val="20"/>
                <w:szCs w:val="20"/>
                <w:lang w:val="ro-MD"/>
              </w:rPr>
              <w:t xml:space="preserve"> Național</w:t>
            </w:r>
            <w:r w:rsidR="00F605B0" w:rsidRPr="00606103">
              <w:rPr>
                <w:rFonts w:asciiTheme="majorHAnsi" w:eastAsia="Times New Roman" w:hAnsiTheme="majorHAnsi" w:cstheme="majorHAnsi"/>
                <w:i/>
                <w:iCs/>
                <w:color w:val="000000"/>
                <w:sz w:val="20"/>
                <w:szCs w:val="20"/>
                <w:lang w:val="ro-MD"/>
              </w:rPr>
              <w:t>ă</w:t>
            </w:r>
            <w:r w:rsidRPr="00606103">
              <w:rPr>
                <w:rFonts w:asciiTheme="majorHAnsi" w:eastAsia="Times New Roman" w:hAnsiTheme="majorHAnsi" w:cstheme="majorHAnsi"/>
                <w:i/>
                <w:iCs/>
                <w:color w:val="000000"/>
                <w:sz w:val="20"/>
                <w:szCs w:val="20"/>
                <w:lang w:val="ro-MD"/>
              </w:rPr>
              <w:t xml:space="preserve"> a Audiovizualului Compania </w:t>
            </w:r>
            <w:r w:rsidR="00FE0444" w:rsidRPr="00606103">
              <w:rPr>
                <w:rFonts w:asciiTheme="majorHAnsi" w:eastAsia="Times New Roman" w:hAnsiTheme="majorHAnsi" w:cstheme="majorHAnsi"/>
                <w:i/>
                <w:iCs/>
                <w:color w:val="000000"/>
                <w:sz w:val="20"/>
                <w:szCs w:val="20"/>
                <w:lang w:val="ro-MD"/>
              </w:rPr>
              <w:t>„</w:t>
            </w:r>
            <w:r w:rsidRPr="00606103">
              <w:rPr>
                <w:rFonts w:asciiTheme="majorHAnsi" w:eastAsia="Times New Roman" w:hAnsiTheme="majorHAnsi" w:cstheme="majorHAnsi"/>
                <w:i/>
                <w:iCs/>
                <w:color w:val="000000"/>
                <w:sz w:val="20"/>
                <w:szCs w:val="20"/>
                <w:lang w:val="ro-MD"/>
              </w:rPr>
              <w:t xml:space="preserve">Teleradio-Moldova"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132,3</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132,3</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132,3</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132,3</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26,6</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132,3</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133,2</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131,5</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25,7</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25,7</w:t>
            </w:r>
          </w:p>
        </w:tc>
      </w:tr>
      <w:tr w:rsidR="00DD1A5A" w:rsidRPr="00606103" w:rsidTr="00F605B0">
        <w:trPr>
          <w:trHeight w:val="58"/>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left"/>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 xml:space="preserve">Acțiuni generale                                                                                                                                      </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240,0</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43,8</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14,1</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0,0</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c>
          <w:tcPr>
            <w:tcW w:w="100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c>
          <w:tcPr>
            <w:tcW w:w="113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0,0</w:t>
            </w:r>
          </w:p>
        </w:tc>
      </w:tr>
      <w:tr w:rsidR="00DD1A5A" w:rsidRPr="00606103" w:rsidTr="00F605B0">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Total</w:t>
            </w:r>
          </w:p>
        </w:tc>
        <w:tc>
          <w:tcPr>
            <w:tcW w:w="9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3.449,2</w:t>
            </w:r>
          </w:p>
        </w:tc>
        <w:tc>
          <w:tcPr>
            <w:tcW w:w="100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3.620,8</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3.344,1</w:t>
            </w:r>
          </w:p>
        </w:tc>
        <w:tc>
          <w:tcPr>
            <w:tcW w:w="1057"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3.330,0</w:t>
            </w:r>
          </w:p>
        </w:tc>
        <w:tc>
          <w:tcPr>
            <w:tcW w:w="1039"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291,66</w:t>
            </w:r>
          </w:p>
        </w:tc>
        <w:tc>
          <w:tcPr>
            <w:tcW w:w="99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3.349,24</w:t>
            </w:r>
          </w:p>
        </w:tc>
        <w:tc>
          <w:tcPr>
            <w:tcW w:w="1050"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3.442,7</w:t>
            </w:r>
          </w:p>
        </w:tc>
        <w:tc>
          <w:tcPr>
            <w:tcW w:w="97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3.434,51</w:t>
            </w:r>
          </w:p>
        </w:tc>
        <w:tc>
          <w:tcPr>
            <w:tcW w:w="1005"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184,3</w:t>
            </w:r>
          </w:p>
        </w:tc>
        <w:tc>
          <w:tcPr>
            <w:tcW w:w="1131" w:type="dxa"/>
            <w:tcBorders>
              <w:top w:val="nil"/>
              <w:left w:val="nil"/>
              <w:bottom w:val="single" w:sz="4" w:space="0" w:color="auto"/>
              <w:right w:val="single" w:sz="4" w:space="0" w:color="auto"/>
            </w:tcBorders>
            <w:shd w:val="clear" w:color="000000" w:fill="FFFFFF"/>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198,2</w:t>
            </w:r>
          </w:p>
        </w:tc>
      </w:tr>
    </w:tbl>
    <w:p w:rsidR="00DD1A5A" w:rsidRPr="00606103" w:rsidRDefault="00DD1A5A" w:rsidP="007554E3">
      <w:pPr>
        <w:rPr>
          <w:rFonts w:asciiTheme="majorHAnsi" w:hAnsiTheme="majorHAnsi" w:cstheme="majorHAnsi"/>
          <w:b/>
          <w:sz w:val="20"/>
          <w:szCs w:val="20"/>
          <w:lang w:val="ro-MD"/>
        </w:rPr>
      </w:pPr>
      <w:r w:rsidRPr="00606103">
        <w:rPr>
          <w:rFonts w:asciiTheme="majorHAnsi" w:hAnsiTheme="majorHAnsi" w:cstheme="majorHAnsi"/>
          <w:b/>
          <w:sz w:val="20"/>
          <w:szCs w:val="20"/>
          <w:lang w:val="ro-MD"/>
        </w:rPr>
        <w:t>Sursă:</w:t>
      </w:r>
      <w:r w:rsidRPr="00606103">
        <w:rPr>
          <w:rFonts w:asciiTheme="majorHAnsi" w:hAnsiTheme="majorHAnsi" w:cstheme="majorHAnsi"/>
          <w:sz w:val="20"/>
          <w:szCs w:val="20"/>
          <w:lang w:val="ro-MD"/>
        </w:rPr>
        <w:t xml:space="preserve"> Rapoartele narative privind executarea bugetelor autorităților/instituțiilor bugetare pentru anul 2021.</w:t>
      </w:r>
    </w:p>
    <w:p w:rsidR="00DD1A5A" w:rsidRPr="00606103" w:rsidRDefault="00DD1A5A">
      <w:pPr>
        <w:tabs>
          <w:tab w:val="left" w:pos="993"/>
        </w:tabs>
        <w:spacing w:after="0" w:line="276" w:lineRule="auto"/>
        <w:ind w:firstLine="540"/>
        <w:jc w:val="center"/>
        <w:outlineLvl w:val="2"/>
        <w:rPr>
          <w:rFonts w:asciiTheme="majorHAnsi" w:hAnsiTheme="majorHAnsi" w:cstheme="majorHAnsi"/>
          <w:b/>
          <w:sz w:val="18"/>
          <w:szCs w:val="18"/>
          <w:lang w:val="ro-MD"/>
        </w:rPr>
      </w:pPr>
    </w:p>
    <w:p w:rsidR="00DD1A5A" w:rsidRPr="00606103" w:rsidRDefault="00DD1A5A">
      <w:pPr>
        <w:spacing w:line="276" w:lineRule="auto"/>
        <w:ind w:firstLine="709"/>
        <w:contextualSpacing/>
        <w:jc w:val="right"/>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t>Anexa nr.6</w:t>
      </w:r>
    </w:p>
    <w:p w:rsidR="00DD1A5A" w:rsidRPr="00606103" w:rsidRDefault="00DD1A5A">
      <w:pPr>
        <w:shd w:val="clear" w:color="auto" w:fill="FFFFFF" w:themeFill="background1"/>
        <w:tabs>
          <w:tab w:val="left" w:pos="284"/>
          <w:tab w:val="left" w:pos="993"/>
          <w:tab w:val="left" w:pos="6663"/>
        </w:tabs>
        <w:spacing w:after="0" w:line="276" w:lineRule="auto"/>
        <w:jc w:val="center"/>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t>Sinteza executării alocațiilor aprobate prin Legea bugetară anuală destinate investițiilor capitale pe surse de finanțare pentru anul 2021</w:t>
      </w:r>
      <w:r w:rsidR="00162C73" w:rsidRPr="00606103">
        <w:rPr>
          <w:rFonts w:asciiTheme="majorHAnsi" w:eastAsia="Times New Roman" w:hAnsiTheme="majorHAnsi" w:cstheme="majorHAnsi"/>
          <w:b/>
          <w:sz w:val="24"/>
          <w:szCs w:val="24"/>
          <w:lang w:val="ro-MD"/>
        </w:rPr>
        <w:t>,</w:t>
      </w:r>
      <w:r w:rsidRPr="00606103">
        <w:rPr>
          <w:rFonts w:asciiTheme="majorHAnsi" w:eastAsia="Times New Roman" w:hAnsiTheme="majorHAnsi" w:cstheme="majorHAnsi"/>
          <w:b/>
          <w:sz w:val="24"/>
          <w:szCs w:val="24"/>
          <w:lang w:val="ro-MD"/>
        </w:rPr>
        <w:t xml:space="preserve"> </w:t>
      </w:r>
    </w:p>
    <w:p w:rsidR="00DD1A5A" w:rsidRPr="00606103" w:rsidRDefault="00DD1A5A">
      <w:pPr>
        <w:shd w:val="clear" w:color="auto" w:fill="FFFFFF" w:themeFill="background1"/>
        <w:tabs>
          <w:tab w:val="left" w:pos="284"/>
          <w:tab w:val="left" w:pos="993"/>
          <w:tab w:val="left" w:pos="6663"/>
        </w:tabs>
        <w:spacing w:after="0" w:line="276" w:lineRule="auto"/>
        <w:jc w:val="center"/>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t>față de anii 2019 și 2020</w:t>
      </w:r>
    </w:p>
    <w:p w:rsidR="00DD1A5A" w:rsidRPr="00606103" w:rsidRDefault="00DD1A5A">
      <w:pPr>
        <w:shd w:val="clear" w:color="auto" w:fill="FFFFFF" w:themeFill="background1"/>
        <w:tabs>
          <w:tab w:val="left" w:pos="284"/>
          <w:tab w:val="left" w:pos="567"/>
          <w:tab w:val="left" w:pos="6237"/>
          <w:tab w:val="left" w:pos="6379"/>
        </w:tabs>
        <w:spacing w:after="0" w:line="276" w:lineRule="auto"/>
        <w:contextualSpacing/>
        <w:jc w:val="center"/>
        <w:rPr>
          <w:rFonts w:asciiTheme="majorHAnsi" w:eastAsia="Times New Roman" w:hAnsiTheme="majorHAnsi" w:cstheme="majorHAnsi"/>
          <w:i/>
          <w:sz w:val="24"/>
          <w:szCs w:val="24"/>
          <w:lang w:val="ro-MD"/>
        </w:rPr>
      </w:pPr>
      <w:r w:rsidRPr="00606103">
        <w:rPr>
          <w:rFonts w:asciiTheme="majorHAnsi" w:eastAsia="Times New Roman" w:hAnsiTheme="majorHAnsi" w:cstheme="majorHAnsi"/>
          <w:i/>
          <w:sz w:val="24"/>
          <w:szCs w:val="24"/>
          <w:lang w:val="ro-MD"/>
        </w:rPr>
        <w:t xml:space="preserve">                                                                                                                                                                                                                                                            (mil. lei)</w:t>
      </w:r>
    </w:p>
    <w:tbl>
      <w:tblPr>
        <w:tblW w:w="14467" w:type="dxa"/>
        <w:tblInd w:w="-5" w:type="dxa"/>
        <w:tblLook w:val="04A0" w:firstRow="1" w:lastRow="0" w:firstColumn="1" w:lastColumn="0" w:noHBand="0" w:noVBand="1"/>
      </w:tblPr>
      <w:tblGrid>
        <w:gridCol w:w="1701"/>
        <w:gridCol w:w="993"/>
        <w:gridCol w:w="1173"/>
        <w:gridCol w:w="1021"/>
        <w:gridCol w:w="1088"/>
        <w:gridCol w:w="24"/>
        <w:gridCol w:w="923"/>
        <w:gridCol w:w="959"/>
        <w:gridCol w:w="952"/>
        <w:gridCol w:w="1070"/>
        <w:gridCol w:w="26"/>
        <w:gridCol w:w="921"/>
        <w:gridCol w:w="946"/>
        <w:gridCol w:w="819"/>
        <w:gridCol w:w="992"/>
        <w:gridCol w:w="850"/>
        <w:gridCol w:w="9"/>
      </w:tblGrid>
      <w:tr w:rsidR="00DD1A5A" w:rsidRPr="00606103" w:rsidTr="00936774">
        <w:trPr>
          <w:trHeight w:val="254"/>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right="-101"/>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Indicator</w:t>
            </w:r>
          </w:p>
        </w:tc>
        <w:tc>
          <w:tcPr>
            <w:tcW w:w="4299" w:type="dxa"/>
            <w:gridSpan w:val="5"/>
            <w:tcBorders>
              <w:top w:val="single" w:sz="4" w:space="0" w:color="auto"/>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Anul 2019</w:t>
            </w:r>
          </w:p>
        </w:tc>
        <w:tc>
          <w:tcPr>
            <w:tcW w:w="3930" w:type="dxa"/>
            <w:gridSpan w:val="5"/>
            <w:tcBorders>
              <w:top w:val="single" w:sz="4" w:space="0" w:color="auto"/>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Anul 2020</w:t>
            </w:r>
          </w:p>
        </w:tc>
        <w:tc>
          <w:tcPr>
            <w:tcW w:w="4537" w:type="dxa"/>
            <w:gridSpan w:val="6"/>
            <w:tcBorders>
              <w:top w:val="single" w:sz="4" w:space="0" w:color="auto"/>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Anul 2021</w:t>
            </w:r>
          </w:p>
        </w:tc>
      </w:tr>
      <w:tr w:rsidR="00DD1A5A" w:rsidRPr="00606103" w:rsidTr="00936774">
        <w:trPr>
          <w:gridAfter w:val="1"/>
          <w:wAfter w:w="9" w:type="dxa"/>
          <w:trHeight w:val="43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D1A5A" w:rsidRPr="00606103" w:rsidRDefault="00DD1A5A" w:rsidP="00552746">
            <w:pPr>
              <w:spacing w:after="0" w:line="276" w:lineRule="auto"/>
              <w:ind w:right="-101"/>
              <w:jc w:val="left"/>
              <w:rPr>
                <w:rFonts w:asciiTheme="majorHAnsi" w:eastAsia="Times New Roman" w:hAnsiTheme="majorHAnsi" w:cstheme="majorHAnsi"/>
                <w:b/>
                <w:bCs/>
                <w:color w:val="000000"/>
                <w:sz w:val="18"/>
                <w:szCs w:val="20"/>
                <w:lang w:val="ro-MD"/>
              </w:rPr>
            </w:pPr>
          </w:p>
        </w:tc>
        <w:tc>
          <w:tcPr>
            <w:tcW w:w="993"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01" w:right="-103"/>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aprobat</w:t>
            </w:r>
          </w:p>
        </w:tc>
        <w:tc>
          <w:tcPr>
            <w:tcW w:w="1173"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06" w:right="-99"/>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precizat</w:t>
            </w:r>
          </w:p>
        </w:tc>
        <w:tc>
          <w:tcPr>
            <w:tcW w:w="1021"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10" w:right="-176"/>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executat</w:t>
            </w:r>
          </w:p>
        </w:tc>
        <w:tc>
          <w:tcPr>
            <w:tcW w:w="1088"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ind w:left="-175" w:right="-186"/>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executat/ precizat</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64" w:right="-197"/>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aprobat</w:t>
            </w:r>
          </w:p>
        </w:tc>
        <w:tc>
          <w:tcPr>
            <w:tcW w:w="959"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39" w:right="-81"/>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precizat</w:t>
            </w:r>
          </w:p>
        </w:tc>
        <w:tc>
          <w:tcPr>
            <w:tcW w:w="952"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43" w:right="-158"/>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executat</w:t>
            </w:r>
          </w:p>
        </w:tc>
        <w:tc>
          <w:tcPr>
            <w:tcW w:w="107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ind w:left="-163" w:right="-190"/>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executat/ precizat</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61" w:right="-186"/>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aprobat</w:t>
            </w:r>
          </w:p>
        </w:tc>
        <w:tc>
          <w:tcPr>
            <w:tcW w:w="94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65" w:right="-181"/>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precizat</w:t>
            </w:r>
          </w:p>
        </w:tc>
        <w:tc>
          <w:tcPr>
            <w:tcW w:w="819"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86" w:right="-111"/>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executat</w:t>
            </w:r>
          </w:p>
        </w:tc>
        <w:tc>
          <w:tcPr>
            <w:tcW w:w="992"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ind w:left="-98" w:right="-128"/>
              <w:jc w:val="center"/>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executat/ aprobat</w:t>
            </w:r>
          </w:p>
        </w:tc>
        <w:tc>
          <w:tcPr>
            <w:tcW w:w="85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ind w:left="-230" w:right="-80"/>
              <w:jc w:val="right"/>
              <w:rPr>
                <w:rFonts w:asciiTheme="majorHAnsi" w:eastAsia="Times New Roman" w:hAnsiTheme="majorHAnsi" w:cstheme="majorHAnsi"/>
                <w:b/>
                <w:bCs/>
                <w:color w:val="000000"/>
                <w:sz w:val="18"/>
                <w:szCs w:val="20"/>
                <w:lang w:val="ro-MD"/>
              </w:rPr>
            </w:pPr>
            <w:r w:rsidRPr="00606103">
              <w:rPr>
                <w:rFonts w:asciiTheme="majorHAnsi" w:eastAsia="Times New Roman" w:hAnsiTheme="majorHAnsi" w:cstheme="majorHAnsi"/>
                <w:b/>
                <w:bCs/>
                <w:color w:val="000000"/>
                <w:sz w:val="18"/>
                <w:szCs w:val="20"/>
                <w:lang w:val="ro-MD"/>
              </w:rPr>
              <w:t>executat/ precizat</w:t>
            </w:r>
          </w:p>
        </w:tc>
      </w:tr>
      <w:tr w:rsidR="00DD1A5A" w:rsidRPr="00606103" w:rsidTr="00936774">
        <w:trPr>
          <w:gridAfter w:val="1"/>
          <w:wAfter w:w="9" w:type="dxa"/>
          <w:trHeight w:val="21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right="-101"/>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1</w:t>
            </w:r>
          </w:p>
        </w:tc>
        <w:tc>
          <w:tcPr>
            <w:tcW w:w="993"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2</w:t>
            </w:r>
          </w:p>
        </w:tc>
        <w:tc>
          <w:tcPr>
            <w:tcW w:w="1173"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3</w:t>
            </w:r>
          </w:p>
        </w:tc>
        <w:tc>
          <w:tcPr>
            <w:tcW w:w="1021"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4</w:t>
            </w:r>
          </w:p>
        </w:tc>
        <w:tc>
          <w:tcPr>
            <w:tcW w:w="1088"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02" w:right="-87"/>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5=4/3*100</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6</w:t>
            </w:r>
          </w:p>
        </w:tc>
        <w:tc>
          <w:tcPr>
            <w:tcW w:w="959"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7</w:t>
            </w:r>
          </w:p>
        </w:tc>
        <w:tc>
          <w:tcPr>
            <w:tcW w:w="952"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8</w:t>
            </w:r>
          </w:p>
        </w:tc>
        <w:tc>
          <w:tcPr>
            <w:tcW w:w="107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15" w:right="-105"/>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9=8/7*100</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10</w:t>
            </w:r>
          </w:p>
        </w:tc>
        <w:tc>
          <w:tcPr>
            <w:tcW w:w="94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11</w:t>
            </w:r>
          </w:p>
        </w:tc>
        <w:tc>
          <w:tcPr>
            <w:tcW w:w="819"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12</w:t>
            </w:r>
          </w:p>
        </w:tc>
        <w:tc>
          <w:tcPr>
            <w:tcW w:w="992"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13=12/10</w:t>
            </w:r>
          </w:p>
          <w:p w:rsidR="00DD1A5A" w:rsidRPr="00606103" w:rsidRDefault="00DD1A5A" w:rsidP="00552746">
            <w:pPr>
              <w:spacing w:after="0" w:line="276" w:lineRule="auto"/>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*100</w:t>
            </w:r>
          </w:p>
        </w:tc>
        <w:tc>
          <w:tcPr>
            <w:tcW w:w="85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63" w:right="-89"/>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14=12/11</w:t>
            </w:r>
          </w:p>
          <w:p w:rsidR="00DD1A5A" w:rsidRPr="00606103" w:rsidRDefault="00DD1A5A" w:rsidP="00552746">
            <w:pPr>
              <w:spacing w:after="0" w:line="276" w:lineRule="auto"/>
              <w:ind w:left="-63" w:right="-89"/>
              <w:jc w:val="center"/>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*100</w:t>
            </w:r>
          </w:p>
        </w:tc>
      </w:tr>
      <w:tr w:rsidR="00DD1A5A" w:rsidRPr="00606103" w:rsidTr="00936774">
        <w:trPr>
          <w:gridAfter w:val="1"/>
          <w:wAfter w:w="9" w:type="dxa"/>
          <w:trHeight w:val="2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04" w:right="-108"/>
              <w:jc w:val="lef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 xml:space="preserve">Total, </w:t>
            </w:r>
            <w:r w:rsidRPr="00606103">
              <w:rPr>
                <w:rFonts w:asciiTheme="majorHAnsi" w:eastAsia="Times New Roman" w:hAnsiTheme="majorHAnsi" w:cstheme="majorHAnsi"/>
                <w:bCs/>
                <w:i/>
                <w:color w:val="000000"/>
                <w:sz w:val="20"/>
                <w:szCs w:val="20"/>
                <w:lang w:val="ro-MD"/>
              </w:rPr>
              <w:t>inclusiv:</w:t>
            </w:r>
          </w:p>
        </w:tc>
        <w:tc>
          <w:tcPr>
            <w:tcW w:w="993"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ind w:left="-126" w:right="-123"/>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2.374,2</w:t>
            </w:r>
          </w:p>
        </w:tc>
        <w:tc>
          <w:tcPr>
            <w:tcW w:w="1173"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ind w:left="-101" w:right="-149"/>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1.665,4</w:t>
            </w:r>
          </w:p>
        </w:tc>
        <w:tc>
          <w:tcPr>
            <w:tcW w:w="1021"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ind w:left="-119" w:right="-116"/>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1.278,7</w:t>
            </w:r>
          </w:p>
        </w:tc>
        <w:tc>
          <w:tcPr>
            <w:tcW w:w="1088"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76,8%</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15" w:right="-135"/>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4.133,4</w:t>
            </w:r>
          </w:p>
        </w:tc>
        <w:tc>
          <w:tcPr>
            <w:tcW w:w="959"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11" w:right="-138"/>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1.598,7</w:t>
            </w:r>
          </w:p>
        </w:tc>
        <w:tc>
          <w:tcPr>
            <w:tcW w:w="952"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07" w:right="-142"/>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1.524,2</w:t>
            </w:r>
          </w:p>
        </w:tc>
        <w:tc>
          <w:tcPr>
            <w:tcW w:w="107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95,3%</w:t>
            </w:r>
          </w:p>
        </w:tc>
        <w:tc>
          <w:tcPr>
            <w:tcW w:w="947" w:type="dxa"/>
            <w:gridSpan w:val="2"/>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ind w:left="-115" w:right="-135"/>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1.648,0</w:t>
            </w:r>
          </w:p>
        </w:tc>
        <w:tc>
          <w:tcPr>
            <w:tcW w:w="946"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ind w:left="-111" w:right="-138"/>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2.257,2</w:t>
            </w:r>
          </w:p>
        </w:tc>
        <w:tc>
          <w:tcPr>
            <w:tcW w:w="819"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ind w:left="-107" w:right="-142"/>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1.665,2</w:t>
            </w:r>
          </w:p>
        </w:tc>
        <w:tc>
          <w:tcPr>
            <w:tcW w:w="992"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101,0%</w:t>
            </w:r>
          </w:p>
        </w:tc>
        <w:tc>
          <w:tcPr>
            <w:tcW w:w="85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73,8%</w:t>
            </w:r>
          </w:p>
        </w:tc>
      </w:tr>
      <w:tr w:rsidR="00DD1A5A" w:rsidRPr="00606103" w:rsidTr="00936774">
        <w:trPr>
          <w:gridAfter w:val="1"/>
          <w:wAfter w:w="9" w:type="dxa"/>
          <w:trHeight w:val="383"/>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ind w:right="-114"/>
              <w:jc w:val="lef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Resurse generale și colectate</w:t>
            </w:r>
          </w:p>
        </w:tc>
        <w:tc>
          <w:tcPr>
            <w:tcW w:w="993"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520,1</w:t>
            </w:r>
          </w:p>
        </w:tc>
        <w:tc>
          <w:tcPr>
            <w:tcW w:w="1173"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314,9</w:t>
            </w:r>
          </w:p>
        </w:tc>
        <w:tc>
          <w:tcPr>
            <w:tcW w:w="1021"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204,0</w:t>
            </w:r>
          </w:p>
        </w:tc>
        <w:tc>
          <w:tcPr>
            <w:tcW w:w="1088"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64,8%</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433,8</w:t>
            </w:r>
          </w:p>
        </w:tc>
        <w:tc>
          <w:tcPr>
            <w:tcW w:w="959"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242,4</w:t>
            </w:r>
          </w:p>
        </w:tc>
        <w:tc>
          <w:tcPr>
            <w:tcW w:w="952"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193,1</w:t>
            </w:r>
          </w:p>
        </w:tc>
        <w:tc>
          <w:tcPr>
            <w:tcW w:w="107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79,7%</w:t>
            </w:r>
          </w:p>
        </w:tc>
        <w:tc>
          <w:tcPr>
            <w:tcW w:w="947" w:type="dxa"/>
            <w:gridSpan w:val="2"/>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259,5</w:t>
            </w:r>
          </w:p>
        </w:tc>
        <w:tc>
          <w:tcPr>
            <w:tcW w:w="946"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178,9</w:t>
            </w:r>
          </w:p>
        </w:tc>
        <w:tc>
          <w:tcPr>
            <w:tcW w:w="819"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146,7</w:t>
            </w:r>
          </w:p>
        </w:tc>
        <w:tc>
          <w:tcPr>
            <w:tcW w:w="992"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56,5%</w:t>
            </w:r>
          </w:p>
        </w:tc>
        <w:tc>
          <w:tcPr>
            <w:tcW w:w="85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82,0%</w:t>
            </w:r>
          </w:p>
        </w:tc>
      </w:tr>
      <w:tr w:rsidR="00DD1A5A" w:rsidRPr="00606103" w:rsidTr="00936774">
        <w:trPr>
          <w:gridAfter w:val="1"/>
          <w:wAfter w:w="9" w:type="dxa"/>
          <w:trHeight w:val="25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ind w:right="-101"/>
              <w:jc w:val="left"/>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Surse externe</w:t>
            </w:r>
          </w:p>
        </w:tc>
        <w:tc>
          <w:tcPr>
            <w:tcW w:w="993"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ind w:left="-126" w:right="-102"/>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1.854,1</w:t>
            </w:r>
          </w:p>
        </w:tc>
        <w:tc>
          <w:tcPr>
            <w:tcW w:w="1173"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ind w:left="-249" w:right="-232"/>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1.350,5</w:t>
            </w:r>
          </w:p>
        </w:tc>
        <w:tc>
          <w:tcPr>
            <w:tcW w:w="1021"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ind w:left="-119" w:right="-116"/>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1.074,7</w:t>
            </w:r>
          </w:p>
        </w:tc>
        <w:tc>
          <w:tcPr>
            <w:tcW w:w="1088"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79,6%</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15" w:right="-113"/>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3.699,6</w:t>
            </w:r>
          </w:p>
        </w:tc>
        <w:tc>
          <w:tcPr>
            <w:tcW w:w="959"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11" w:right="-138"/>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1.356,3</w:t>
            </w:r>
          </w:p>
        </w:tc>
        <w:tc>
          <w:tcPr>
            <w:tcW w:w="952"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ind w:left="-107" w:right="-142"/>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1.331,1</w:t>
            </w:r>
          </w:p>
        </w:tc>
        <w:tc>
          <w:tcPr>
            <w:tcW w:w="107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98,1%</w:t>
            </w:r>
          </w:p>
        </w:tc>
        <w:tc>
          <w:tcPr>
            <w:tcW w:w="947" w:type="dxa"/>
            <w:gridSpan w:val="2"/>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ind w:left="-115" w:right="-113"/>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1.388,5</w:t>
            </w:r>
          </w:p>
        </w:tc>
        <w:tc>
          <w:tcPr>
            <w:tcW w:w="946"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ind w:left="-111" w:right="-138"/>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2.078,3</w:t>
            </w:r>
          </w:p>
        </w:tc>
        <w:tc>
          <w:tcPr>
            <w:tcW w:w="819"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ind w:left="-107" w:right="-142"/>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1.518,5</w:t>
            </w:r>
          </w:p>
        </w:tc>
        <w:tc>
          <w:tcPr>
            <w:tcW w:w="992"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109,4%</w:t>
            </w:r>
          </w:p>
        </w:tc>
        <w:tc>
          <w:tcPr>
            <w:tcW w:w="85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73,1%</w:t>
            </w:r>
          </w:p>
        </w:tc>
      </w:tr>
    </w:tbl>
    <w:p w:rsidR="00DD1A5A" w:rsidRPr="00606103" w:rsidRDefault="00DD1A5A" w:rsidP="00FE3F3B">
      <w:pPr>
        <w:shd w:val="clear" w:color="auto" w:fill="FFFFFF" w:themeFill="background1"/>
        <w:tabs>
          <w:tab w:val="left" w:pos="6237"/>
          <w:tab w:val="left" w:pos="6379"/>
        </w:tabs>
        <w:spacing w:after="0" w:line="276" w:lineRule="auto"/>
        <w:contextualSpacing/>
        <w:rPr>
          <w:rFonts w:asciiTheme="majorHAnsi" w:hAnsiTheme="majorHAnsi" w:cstheme="majorHAnsi"/>
          <w:i/>
          <w:sz w:val="20"/>
          <w:szCs w:val="20"/>
          <w:lang w:val="ro-MD"/>
        </w:rPr>
      </w:pPr>
      <w:r w:rsidRPr="00606103">
        <w:rPr>
          <w:rFonts w:asciiTheme="majorHAnsi" w:hAnsiTheme="majorHAnsi" w:cstheme="majorHAnsi"/>
          <w:b/>
          <w:i/>
          <w:sz w:val="20"/>
          <w:szCs w:val="20"/>
          <w:lang w:val="ro-MD"/>
        </w:rPr>
        <w:t>Sursă</w:t>
      </w:r>
      <w:r w:rsidRPr="00606103">
        <w:rPr>
          <w:rFonts w:asciiTheme="majorHAnsi" w:hAnsiTheme="majorHAnsi" w:cstheme="majorHAnsi"/>
          <w:i/>
          <w:sz w:val="20"/>
          <w:szCs w:val="20"/>
          <w:lang w:val="ro-MD"/>
        </w:rPr>
        <w:t>: Date generalizate de echipa de audit în baza Rapoartelor Ministerului Finanțelor privind executarea investițiilor capitale de la bugetul de stat pe anii 2019, 2020, 2021.</w:t>
      </w:r>
    </w:p>
    <w:p w:rsidR="00DD1A5A" w:rsidRPr="00606103" w:rsidRDefault="00DD1A5A">
      <w:pPr>
        <w:shd w:val="clear" w:color="auto" w:fill="FFFFFF" w:themeFill="background1"/>
        <w:tabs>
          <w:tab w:val="left" w:pos="6237"/>
          <w:tab w:val="left" w:pos="6379"/>
        </w:tabs>
        <w:spacing w:after="0" w:line="276" w:lineRule="auto"/>
        <w:contextualSpacing/>
        <w:rPr>
          <w:rFonts w:asciiTheme="majorHAnsi" w:hAnsiTheme="majorHAnsi" w:cstheme="majorHAnsi"/>
          <w:i/>
          <w:sz w:val="20"/>
          <w:szCs w:val="20"/>
          <w:lang w:val="ro-MD"/>
        </w:rPr>
      </w:pPr>
    </w:p>
    <w:p w:rsidR="003C4E55" w:rsidRPr="00606103" w:rsidRDefault="003C4E55">
      <w:pPr>
        <w:shd w:val="clear" w:color="auto" w:fill="FFFFFF" w:themeFill="background1"/>
        <w:tabs>
          <w:tab w:val="left" w:pos="6237"/>
          <w:tab w:val="left" w:pos="6379"/>
        </w:tabs>
        <w:spacing w:after="0" w:line="276" w:lineRule="auto"/>
        <w:contextualSpacing/>
        <w:rPr>
          <w:rFonts w:asciiTheme="majorHAnsi" w:hAnsiTheme="majorHAnsi" w:cstheme="majorHAnsi"/>
          <w:i/>
          <w:sz w:val="20"/>
          <w:szCs w:val="20"/>
          <w:lang w:val="ro-MD"/>
        </w:rPr>
      </w:pPr>
    </w:p>
    <w:p w:rsidR="003C4E55" w:rsidRPr="00606103" w:rsidRDefault="003C4E55">
      <w:pPr>
        <w:shd w:val="clear" w:color="auto" w:fill="FFFFFF" w:themeFill="background1"/>
        <w:tabs>
          <w:tab w:val="left" w:pos="6237"/>
          <w:tab w:val="left" w:pos="6379"/>
        </w:tabs>
        <w:spacing w:after="0" w:line="276" w:lineRule="auto"/>
        <w:contextualSpacing/>
        <w:rPr>
          <w:rFonts w:asciiTheme="majorHAnsi" w:hAnsiTheme="majorHAnsi" w:cstheme="majorHAnsi"/>
          <w:i/>
          <w:sz w:val="20"/>
          <w:szCs w:val="20"/>
          <w:lang w:val="ro-MD"/>
        </w:rPr>
      </w:pPr>
    </w:p>
    <w:p w:rsidR="003C4E55" w:rsidRPr="00606103" w:rsidRDefault="003C4E55">
      <w:pPr>
        <w:shd w:val="clear" w:color="auto" w:fill="FFFFFF" w:themeFill="background1"/>
        <w:tabs>
          <w:tab w:val="left" w:pos="6237"/>
          <w:tab w:val="left" w:pos="6379"/>
        </w:tabs>
        <w:spacing w:after="0" w:line="276" w:lineRule="auto"/>
        <w:contextualSpacing/>
        <w:rPr>
          <w:rFonts w:asciiTheme="majorHAnsi" w:hAnsiTheme="majorHAnsi" w:cstheme="majorHAnsi"/>
          <w:i/>
          <w:sz w:val="20"/>
          <w:szCs w:val="20"/>
          <w:lang w:val="ro-MD"/>
        </w:rPr>
      </w:pPr>
    </w:p>
    <w:p w:rsidR="003C4E55" w:rsidRPr="00606103" w:rsidRDefault="003C4E55">
      <w:pPr>
        <w:shd w:val="clear" w:color="auto" w:fill="FFFFFF" w:themeFill="background1"/>
        <w:tabs>
          <w:tab w:val="left" w:pos="6237"/>
          <w:tab w:val="left" w:pos="6379"/>
        </w:tabs>
        <w:spacing w:after="0" w:line="276" w:lineRule="auto"/>
        <w:contextualSpacing/>
        <w:rPr>
          <w:rFonts w:asciiTheme="majorHAnsi" w:hAnsiTheme="majorHAnsi" w:cstheme="majorHAnsi"/>
          <w:i/>
          <w:sz w:val="20"/>
          <w:szCs w:val="20"/>
          <w:lang w:val="ro-MD"/>
        </w:rPr>
      </w:pPr>
    </w:p>
    <w:p w:rsidR="00082C8F" w:rsidRDefault="00082C8F">
      <w:pPr>
        <w:jc w:val="left"/>
        <w:rPr>
          <w:rFonts w:asciiTheme="majorHAnsi" w:hAnsiTheme="majorHAnsi" w:cstheme="majorHAnsi"/>
          <w:i/>
          <w:sz w:val="20"/>
          <w:szCs w:val="20"/>
          <w:lang w:val="ro-MD"/>
        </w:rPr>
      </w:pPr>
      <w:r>
        <w:rPr>
          <w:rFonts w:asciiTheme="majorHAnsi" w:hAnsiTheme="majorHAnsi" w:cstheme="majorHAnsi"/>
          <w:i/>
          <w:sz w:val="20"/>
          <w:szCs w:val="20"/>
          <w:lang w:val="ro-MD"/>
        </w:rPr>
        <w:br w:type="page"/>
      </w:r>
    </w:p>
    <w:p w:rsidR="003C4E55" w:rsidRPr="00606103" w:rsidRDefault="003C4E55">
      <w:pPr>
        <w:shd w:val="clear" w:color="auto" w:fill="FFFFFF" w:themeFill="background1"/>
        <w:tabs>
          <w:tab w:val="left" w:pos="6237"/>
          <w:tab w:val="left" w:pos="6379"/>
        </w:tabs>
        <w:spacing w:after="0" w:line="276" w:lineRule="auto"/>
        <w:contextualSpacing/>
        <w:rPr>
          <w:rFonts w:asciiTheme="majorHAnsi" w:hAnsiTheme="majorHAnsi" w:cstheme="majorHAnsi"/>
          <w:i/>
          <w:sz w:val="20"/>
          <w:szCs w:val="20"/>
          <w:lang w:val="ro-MD"/>
        </w:rPr>
      </w:pPr>
    </w:p>
    <w:p w:rsidR="003C4E55" w:rsidRPr="00606103" w:rsidRDefault="003C4E55">
      <w:pPr>
        <w:shd w:val="clear" w:color="auto" w:fill="FFFFFF" w:themeFill="background1"/>
        <w:tabs>
          <w:tab w:val="left" w:pos="6237"/>
          <w:tab w:val="left" w:pos="6379"/>
        </w:tabs>
        <w:spacing w:after="0" w:line="276" w:lineRule="auto"/>
        <w:contextualSpacing/>
        <w:rPr>
          <w:rFonts w:asciiTheme="majorHAnsi" w:hAnsiTheme="majorHAnsi" w:cstheme="majorHAnsi"/>
          <w:i/>
          <w:sz w:val="20"/>
          <w:szCs w:val="20"/>
          <w:lang w:val="ro-MD"/>
        </w:rPr>
      </w:pPr>
    </w:p>
    <w:p w:rsidR="00DD1A5A" w:rsidRPr="00606103" w:rsidRDefault="00DD1A5A">
      <w:pPr>
        <w:shd w:val="clear" w:color="auto" w:fill="FFFFFF" w:themeFill="background1"/>
        <w:tabs>
          <w:tab w:val="left" w:pos="6237"/>
          <w:tab w:val="left" w:pos="6379"/>
        </w:tabs>
        <w:spacing w:after="0" w:line="276" w:lineRule="auto"/>
        <w:contextualSpacing/>
        <w:rPr>
          <w:rFonts w:asciiTheme="majorHAnsi" w:hAnsiTheme="majorHAnsi" w:cstheme="majorHAnsi"/>
          <w:i/>
          <w:sz w:val="20"/>
          <w:szCs w:val="20"/>
          <w:lang w:val="ro-MD"/>
        </w:rPr>
      </w:pPr>
    </w:p>
    <w:p w:rsidR="00DD1A5A" w:rsidRPr="00606103" w:rsidRDefault="00DD1A5A">
      <w:pPr>
        <w:spacing w:line="276" w:lineRule="auto"/>
        <w:ind w:firstLine="709"/>
        <w:contextualSpacing/>
        <w:jc w:val="right"/>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t>Anexa nr.7</w:t>
      </w:r>
    </w:p>
    <w:p w:rsidR="00DD1A5A" w:rsidRPr="00606103" w:rsidRDefault="00DD1A5A">
      <w:pPr>
        <w:shd w:val="clear" w:color="auto" w:fill="FFFFFF" w:themeFill="background1"/>
        <w:tabs>
          <w:tab w:val="left" w:pos="284"/>
          <w:tab w:val="left" w:pos="993"/>
          <w:tab w:val="left" w:pos="6663"/>
        </w:tabs>
        <w:spacing w:after="0" w:line="276" w:lineRule="auto"/>
        <w:jc w:val="center"/>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t>Analiza nivelului de executare a investițiilor capitale pe proiecte în anul 2021</w:t>
      </w:r>
    </w:p>
    <w:p w:rsidR="00DD1A5A" w:rsidRPr="00606103" w:rsidRDefault="00DD1A5A">
      <w:pPr>
        <w:shd w:val="clear" w:color="auto" w:fill="FFFFFF" w:themeFill="background1"/>
        <w:tabs>
          <w:tab w:val="left" w:pos="284"/>
          <w:tab w:val="left" w:pos="567"/>
          <w:tab w:val="left" w:pos="6237"/>
          <w:tab w:val="left" w:pos="6379"/>
        </w:tabs>
        <w:spacing w:after="0" w:line="276" w:lineRule="auto"/>
        <w:ind w:right="-37"/>
        <w:contextualSpacing/>
        <w:jc w:val="right"/>
        <w:rPr>
          <w:rFonts w:asciiTheme="majorHAnsi" w:eastAsia="Times New Roman" w:hAnsiTheme="majorHAnsi" w:cstheme="majorHAnsi"/>
          <w:i/>
          <w:sz w:val="24"/>
          <w:szCs w:val="24"/>
          <w:lang w:val="ro-MD"/>
        </w:rPr>
      </w:pPr>
      <w:r w:rsidRPr="00606103">
        <w:rPr>
          <w:rFonts w:asciiTheme="majorHAnsi" w:eastAsia="Times New Roman" w:hAnsiTheme="majorHAnsi" w:cstheme="majorHAnsi"/>
          <w:i/>
          <w:sz w:val="24"/>
          <w:szCs w:val="24"/>
          <w:lang w:val="ro-MD"/>
        </w:rPr>
        <w:t>(mii lei)</w:t>
      </w:r>
    </w:p>
    <w:tbl>
      <w:tblPr>
        <w:tblW w:w="14545" w:type="dxa"/>
        <w:tblLook w:val="04A0" w:firstRow="1" w:lastRow="0" w:firstColumn="1" w:lastColumn="0" w:noHBand="0" w:noVBand="1"/>
      </w:tblPr>
      <w:tblGrid>
        <w:gridCol w:w="521"/>
        <w:gridCol w:w="6987"/>
        <w:gridCol w:w="1025"/>
        <w:gridCol w:w="1280"/>
        <w:gridCol w:w="1270"/>
        <w:gridCol w:w="1270"/>
        <w:gridCol w:w="1096"/>
        <w:gridCol w:w="1096"/>
      </w:tblGrid>
      <w:tr w:rsidR="00DD1A5A" w:rsidRPr="00606103" w:rsidTr="00C0766A">
        <w:trPr>
          <w:trHeight w:val="79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N/o</w:t>
            </w:r>
          </w:p>
        </w:tc>
        <w:tc>
          <w:tcPr>
            <w:tcW w:w="6987" w:type="dxa"/>
            <w:tcBorders>
              <w:top w:val="single" w:sz="4" w:space="0" w:color="auto"/>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Denumirea proiectului</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ind w:left="-113" w:right="-111"/>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APC responsabil</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Aprobat*</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Precizat</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Executat</w:t>
            </w:r>
          </w:p>
        </w:tc>
        <w:tc>
          <w:tcPr>
            <w:tcW w:w="1096" w:type="dxa"/>
            <w:tcBorders>
              <w:top w:val="single" w:sz="4" w:space="0" w:color="auto"/>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ind w:left="-132" w:right="-102"/>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Executat față de Aprobat (%)</w:t>
            </w:r>
          </w:p>
        </w:tc>
        <w:tc>
          <w:tcPr>
            <w:tcW w:w="1096" w:type="dxa"/>
            <w:tcBorders>
              <w:top w:val="single" w:sz="4" w:space="0" w:color="auto"/>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ind w:left="-70" w:right="-106"/>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Executat față de Precizat (%)</w:t>
            </w:r>
          </w:p>
        </w:tc>
      </w:tr>
      <w:tr w:rsidR="00DD1A5A" w:rsidRPr="00606103" w:rsidTr="00C0766A">
        <w:trPr>
          <w:trHeight w:val="28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1</w:t>
            </w:r>
          </w:p>
        </w:tc>
        <w:tc>
          <w:tcPr>
            <w:tcW w:w="6987"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2</w:t>
            </w:r>
          </w:p>
        </w:tc>
        <w:tc>
          <w:tcPr>
            <w:tcW w:w="1025"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3</w:t>
            </w:r>
          </w:p>
        </w:tc>
        <w:tc>
          <w:tcPr>
            <w:tcW w:w="1280"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4</w:t>
            </w:r>
          </w:p>
        </w:tc>
        <w:tc>
          <w:tcPr>
            <w:tcW w:w="1270"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5</w:t>
            </w:r>
          </w:p>
        </w:tc>
        <w:tc>
          <w:tcPr>
            <w:tcW w:w="1270"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6</w:t>
            </w:r>
          </w:p>
        </w:tc>
        <w:tc>
          <w:tcPr>
            <w:tcW w:w="1096"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7=6/4*100</w:t>
            </w:r>
          </w:p>
        </w:tc>
        <w:tc>
          <w:tcPr>
            <w:tcW w:w="1096"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i/>
                <w:iCs/>
                <w:color w:val="000000"/>
                <w:sz w:val="20"/>
                <w:szCs w:val="20"/>
                <w:lang w:val="ro-MD"/>
              </w:rPr>
            </w:pPr>
            <w:r w:rsidRPr="00606103">
              <w:rPr>
                <w:rFonts w:asciiTheme="majorHAnsi" w:eastAsia="Times New Roman" w:hAnsiTheme="majorHAnsi" w:cstheme="majorHAnsi"/>
                <w:i/>
                <w:iCs/>
                <w:color w:val="000000"/>
                <w:sz w:val="20"/>
                <w:szCs w:val="20"/>
                <w:lang w:val="ro-MD"/>
              </w:rPr>
              <w:t>8=7/5*100</w:t>
            </w:r>
          </w:p>
        </w:tc>
      </w:tr>
      <w:tr w:rsidR="00DD1A5A" w:rsidRPr="00606103" w:rsidTr="00C0766A">
        <w:trPr>
          <w:trHeight w:val="288"/>
        </w:trPr>
        <w:tc>
          <w:tcPr>
            <w:tcW w:w="521" w:type="dxa"/>
            <w:tcBorders>
              <w:top w:val="nil"/>
              <w:left w:val="single" w:sz="4" w:space="0" w:color="auto"/>
              <w:bottom w:val="single" w:sz="4" w:space="0" w:color="auto"/>
              <w:right w:val="single" w:sz="4" w:space="0" w:color="auto"/>
            </w:tcBorders>
            <w:shd w:val="clear" w:color="000000" w:fill="757171"/>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 </w:t>
            </w:r>
          </w:p>
        </w:tc>
        <w:tc>
          <w:tcPr>
            <w:tcW w:w="6987" w:type="dxa"/>
            <w:tcBorders>
              <w:top w:val="nil"/>
              <w:left w:val="nil"/>
              <w:bottom w:val="single" w:sz="4" w:space="0" w:color="auto"/>
              <w:right w:val="single" w:sz="4" w:space="0" w:color="auto"/>
            </w:tcBorders>
            <w:shd w:val="clear" w:color="000000" w:fill="757171"/>
            <w:vAlign w:val="center"/>
            <w:hideMark/>
          </w:tcPr>
          <w:p w:rsidR="00DD1A5A" w:rsidRPr="00606103" w:rsidRDefault="00DD1A5A" w:rsidP="00552746">
            <w:pPr>
              <w:spacing w:after="0" w:line="276" w:lineRule="auto"/>
              <w:jc w:val="left"/>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TOTAL - 69 proiecte</w:t>
            </w:r>
          </w:p>
        </w:tc>
        <w:tc>
          <w:tcPr>
            <w:tcW w:w="1025" w:type="dxa"/>
            <w:tcBorders>
              <w:top w:val="nil"/>
              <w:left w:val="nil"/>
              <w:bottom w:val="single" w:sz="4" w:space="0" w:color="auto"/>
              <w:right w:val="single" w:sz="4" w:space="0" w:color="auto"/>
            </w:tcBorders>
            <w:shd w:val="clear" w:color="000000" w:fill="757171"/>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 </w:t>
            </w:r>
          </w:p>
        </w:tc>
        <w:tc>
          <w:tcPr>
            <w:tcW w:w="1280" w:type="dxa"/>
            <w:tcBorders>
              <w:top w:val="nil"/>
              <w:left w:val="nil"/>
              <w:bottom w:val="single" w:sz="4" w:space="0" w:color="auto"/>
              <w:right w:val="nil"/>
            </w:tcBorders>
            <w:shd w:val="clear" w:color="000000" w:fill="757171"/>
            <w:vAlign w:val="center"/>
            <w:hideMark/>
          </w:tcPr>
          <w:p w:rsidR="00DD1A5A" w:rsidRPr="00606103" w:rsidRDefault="00DD1A5A" w:rsidP="00552746">
            <w:pPr>
              <w:spacing w:after="0" w:line="276" w:lineRule="auto"/>
              <w:jc w:val="right"/>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1.500.719,6</w:t>
            </w:r>
          </w:p>
        </w:tc>
        <w:tc>
          <w:tcPr>
            <w:tcW w:w="1270" w:type="dxa"/>
            <w:tcBorders>
              <w:top w:val="nil"/>
              <w:left w:val="single" w:sz="4" w:space="0" w:color="auto"/>
              <w:bottom w:val="single" w:sz="4" w:space="0" w:color="auto"/>
              <w:right w:val="nil"/>
            </w:tcBorders>
            <w:shd w:val="clear" w:color="000000" w:fill="757171"/>
            <w:vAlign w:val="center"/>
            <w:hideMark/>
          </w:tcPr>
          <w:p w:rsidR="00DD1A5A" w:rsidRPr="00606103" w:rsidRDefault="00DD1A5A" w:rsidP="00552746">
            <w:pPr>
              <w:spacing w:after="0" w:line="276" w:lineRule="auto"/>
              <w:ind w:left="-108"/>
              <w:jc w:val="right"/>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2.257.236,7</w:t>
            </w:r>
          </w:p>
        </w:tc>
        <w:tc>
          <w:tcPr>
            <w:tcW w:w="1270" w:type="dxa"/>
            <w:tcBorders>
              <w:top w:val="nil"/>
              <w:left w:val="single" w:sz="4" w:space="0" w:color="auto"/>
              <w:bottom w:val="single" w:sz="4" w:space="0" w:color="auto"/>
              <w:right w:val="nil"/>
            </w:tcBorders>
            <w:shd w:val="clear" w:color="000000" w:fill="757171"/>
            <w:vAlign w:val="center"/>
            <w:hideMark/>
          </w:tcPr>
          <w:p w:rsidR="00DD1A5A" w:rsidRPr="00606103" w:rsidRDefault="00DD1A5A" w:rsidP="00552746">
            <w:pPr>
              <w:spacing w:after="0" w:line="276" w:lineRule="auto"/>
              <w:ind w:left="-107"/>
              <w:jc w:val="right"/>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1.665.247,3</w:t>
            </w:r>
          </w:p>
        </w:tc>
        <w:tc>
          <w:tcPr>
            <w:tcW w:w="1096" w:type="dxa"/>
            <w:tcBorders>
              <w:top w:val="nil"/>
              <w:left w:val="single" w:sz="4" w:space="0" w:color="auto"/>
              <w:bottom w:val="single" w:sz="4" w:space="0" w:color="auto"/>
              <w:right w:val="single" w:sz="4" w:space="0" w:color="auto"/>
            </w:tcBorders>
            <w:shd w:val="clear" w:color="000000" w:fill="757171"/>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111,0</w:t>
            </w:r>
          </w:p>
        </w:tc>
        <w:tc>
          <w:tcPr>
            <w:tcW w:w="1096" w:type="dxa"/>
            <w:tcBorders>
              <w:top w:val="nil"/>
              <w:left w:val="nil"/>
              <w:bottom w:val="single" w:sz="4" w:space="0" w:color="auto"/>
              <w:right w:val="single" w:sz="4" w:space="0" w:color="auto"/>
            </w:tcBorders>
            <w:shd w:val="clear" w:color="000000" w:fill="757171"/>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73,8</w:t>
            </w:r>
          </w:p>
        </w:tc>
      </w:tr>
      <w:tr w:rsidR="00DD1A5A" w:rsidRPr="00606103" w:rsidTr="00C0766A">
        <w:trPr>
          <w:trHeight w:val="288"/>
        </w:trPr>
        <w:tc>
          <w:tcPr>
            <w:tcW w:w="521" w:type="dxa"/>
            <w:tcBorders>
              <w:top w:val="nil"/>
              <w:left w:val="single" w:sz="4" w:space="0" w:color="auto"/>
              <w:bottom w:val="single" w:sz="4" w:space="0" w:color="auto"/>
              <w:right w:val="single" w:sz="4" w:space="0" w:color="auto"/>
            </w:tcBorders>
            <w:shd w:val="clear" w:color="000000" w:fill="FFE699"/>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 </w:t>
            </w:r>
          </w:p>
        </w:tc>
        <w:tc>
          <w:tcPr>
            <w:tcW w:w="6987" w:type="dxa"/>
            <w:tcBorders>
              <w:top w:val="nil"/>
              <w:left w:val="nil"/>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lef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Total cu executare 90%-100% - 31 proiecte</w:t>
            </w:r>
          </w:p>
        </w:tc>
        <w:tc>
          <w:tcPr>
            <w:tcW w:w="1025" w:type="dxa"/>
            <w:tcBorders>
              <w:top w:val="nil"/>
              <w:left w:val="nil"/>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 </w:t>
            </w:r>
          </w:p>
        </w:tc>
        <w:tc>
          <w:tcPr>
            <w:tcW w:w="1280" w:type="dxa"/>
            <w:tcBorders>
              <w:top w:val="nil"/>
              <w:left w:val="nil"/>
              <w:bottom w:val="single" w:sz="4" w:space="0" w:color="auto"/>
              <w:right w:val="nil"/>
            </w:tcBorders>
            <w:shd w:val="clear" w:color="000000" w:fill="FFE699"/>
            <w:vAlign w:val="center"/>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160.994,8</w:t>
            </w:r>
          </w:p>
        </w:tc>
        <w:tc>
          <w:tcPr>
            <w:tcW w:w="1270" w:type="dxa"/>
            <w:tcBorders>
              <w:top w:val="nil"/>
              <w:left w:val="single" w:sz="4" w:space="0" w:color="auto"/>
              <w:bottom w:val="single" w:sz="4" w:space="0" w:color="auto"/>
              <w:right w:val="nil"/>
            </w:tcBorders>
            <w:shd w:val="clear" w:color="000000" w:fill="FFE699"/>
            <w:vAlign w:val="center"/>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122.340,0</w:t>
            </w:r>
          </w:p>
        </w:tc>
        <w:tc>
          <w:tcPr>
            <w:tcW w:w="1270" w:type="dxa"/>
            <w:tcBorders>
              <w:top w:val="nil"/>
              <w:left w:val="single" w:sz="4" w:space="0" w:color="auto"/>
              <w:bottom w:val="single" w:sz="4" w:space="0" w:color="auto"/>
              <w:right w:val="nil"/>
            </w:tcBorders>
            <w:shd w:val="clear" w:color="000000" w:fill="FFE699"/>
            <w:vAlign w:val="center"/>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119.945,9</w:t>
            </w:r>
          </w:p>
        </w:tc>
        <w:tc>
          <w:tcPr>
            <w:tcW w:w="1096" w:type="dxa"/>
            <w:tcBorders>
              <w:top w:val="nil"/>
              <w:left w:val="single" w:sz="4" w:space="0" w:color="auto"/>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74,5</w:t>
            </w:r>
          </w:p>
        </w:tc>
        <w:tc>
          <w:tcPr>
            <w:tcW w:w="1096" w:type="dxa"/>
            <w:tcBorders>
              <w:top w:val="nil"/>
              <w:left w:val="nil"/>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98,0</w:t>
            </w:r>
          </w:p>
        </w:tc>
      </w:tr>
      <w:tr w:rsidR="00DD1A5A" w:rsidRPr="00606103" w:rsidTr="00C0766A">
        <w:trPr>
          <w:trHeight w:val="11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Dezvoltarea Sistemului informațional „Statistica”</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MF</w:t>
            </w:r>
          </w:p>
        </w:tc>
        <w:tc>
          <w:tcPr>
            <w:tcW w:w="1280" w:type="dxa"/>
            <w:tcBorders>
              <w:top w:val="nil"/>
              <w:left w:val="nil"/>
              <w:bottom w:val="single" w:sz="4" w:space="0" w:color="auto"/>
              <w:right w:val="nil"/>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0,0</w:t>
            </w:r>
          </w:p>
        </w:tc>
        <w:tc>
          <w:tcPr>
            <w:tcW w:w="1270" w:type="dxa"/>
            <w:tcBorders>
              <w:top w:val="nil"/>
              <w:left w:val="single" w:sz="4" w:space="0" w:color="auto"/>
              <w:bottom w:val="single" w:sz="4" w:space="0" w:color="auto"/>
              <w:right w:val="nil"/>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44,9</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44,9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99,9</w:t>
            </w:r>
          </w:p>
        </w:tc>
      </w:tr>
      <w:tr w:rsidR="00DD1A5A" w:rsidRPr="00606103" w:rsidTr="00C0766A">
        <w:trPr>
          <w:trHeight w:val="25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Dezvoltarea Sistemului informațional „Raportarea financiară a autorităților bugetare”</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MF</w:t>
            </w:r>
          </w:p>
        </w:tc>
        <w:tc>
          <w:tcPr>
            <w:tcW w:w="1280" w:type="dxa"/>
            <w:tcBorders>
              <w:top w:val="nil"/>
              <w:left w:val="nil"/>
              <w:bottom w:val="single" w:sz="4" w:space="0" w:color="auto"/>
              <w:right w:val="nil"/>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0,0</w:t>
            </w:r>
          </w:p>
        </w:tc>
        <w:tc>
          <w:tcPr>
            <w:tcW w:w="1270" w:type="dxa"/>
            <w:tcBorders>
              <w:top w:val="nil"/>
              <w:left w:val="single" w:sz="4" w:space="0" w:color="auto"/>
              <w:bottom w:val="single" w:sz="4" w:space="0" w:color="auto"/>
              <w:right w:val="nil"/>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353,3</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353,2</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4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3</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Dezvoltarea Sistemului informațional „Certificarea auditorilor interni în cadrul Sistemului informațional al Ministerului Finanțelor”</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MF</w:t>
            </w:r>
          </w:p>
        </w:tc>
        <w:tc>
          <w:tcPr>
            <w:tcW w:w="1280" w:type="dxa"/>
            <w:tcBorders>
              <w:top w:val="nil"/>
              <w:left w:val="nil"/>
              <w:bottom w:val="single" w:sz="4" w:space="0" w:color="auto"/>
              <w:right w:val="nil"/>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0,0</w:t>
            </w:r>
          </w:p>
        </w:tc>
        <w:tc>
          <w:tcPr>
            <w:tcW w:w="1270" w:type="dxa"/>
            <w:tcBorders>
              <w:top w:val="nil"/>
              <w:left w:val="single" w:sz="4" w:space="0" w:color="auto"/>
              <w:bottom w:val="single" w:sz="4" w:space="0" w:color="auto"/>
              <w:right w:val="nil"/>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92,2</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92,2</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23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4</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Dezvoltarea Sistemului informațional „Planificarea salarială în sectorul bugetar”</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MF</w:t>
            </w:r>
          </w:p>
        </w:tc>
        <w:tc>
          <w:tcPr>
            <w:tcW w:w="1280" w:type="dxa"/>
            <w:tcBorders>
              <w:top w:val="nil"/>
              <w:left w:val="nil"/>
              <w:bottom w:val="single" w:sz="4" w:space="0" w:color="auto"/>
              <w:right w:val="nil"/>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0,0</w:t>
            </w:r>
          </w:p>
        </w:tc>
        <w:tc>
          <w:tcPr>
            <w:tcW w:w="1270" w:type="dxa"/>
            <w:tcBorders>
              <w:top w:val="nil"/>
              <w:left w:val="single" w:sz="4" w:space="0" w:color="auto"/>
              <w:bottom w:val="single" w:sz="4" w:space="0" w:color="auto"/>
              <w:right w:val="nil"/>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126,3</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126,2</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99,9</w:t>
            </w:r>
          </w:p>
        </w:tc>
      </w:tr>
      <w:tr w:rsidR="00DD1A5A" w:rsidRPr="00606103" w:rsidTr="00C0766A">
        <w:trPr>
          <w:trHeight w:val="12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5</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Crearea noului site web al Serviciului Fiscal de Stat</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MF</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305,1</w:t>
            </w:r>
          </w:p>
        </w:tc>
        <w:tc>
          <w:tcPr>
            <w:tcW w:w="127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1.100,0</w:t>
            </w:r>
          </w:p>
        </w:tc>
        <w:tc>
          <w:tcPr>
            <w:tcW w:w="127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1.035,9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339,5</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94,2</w:t>
            </w:r>
          </w:p>
        </w:tc>
      </w:tr>
      <w:tr w:rsidR="00DD1A5A" w:rsidRPr="00606103" w:rsidTr="00C0766A">
        <w:trPr>
          <w:trHeight w:val="1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6</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casei de arest din municipiul Bălţi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MJ</w:t>
            </w:r>
          </w:p>
        </w:tc>
        <w:tc>
          <w:tcPr>
            <w:tcW w:w="128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30.000,0</w:t>
            </w:r>
          </w:p>
        </w:tc>
        <w:tc>
          <w:tcPr>
            <w:tcW w:w="127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14.538,0</w:t>
            </w:r>
          </w:p>
        </w:tc>
        <w:tc>
          <w:tcPr>
            <w:tcW w:w="127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14.538,0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48,5</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241"/>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7</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anexei la clădirea laboratorului de expertiză genetico-judiciară (ADN), str. Putna nr.10,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1.700,0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1.694,6</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1.694,6</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99,7</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13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8</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izolatorului de detenție provizorie al Inspectoratului de Poliție Bălți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287,4</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287,4</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57,5</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50914">
        <w:trPr>
          <w:trHeight w:val="30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9</w:t>
            </w:r>
          </w:p>
        </w:tc>
        <w:tc>
          <w:tcPr>
            <w:tcW w:w="6987" w:type="dxa"/>
            <w:tcBorders>
              <w:top w:val="nil"/>
              <w:left w:val="single" w:sz="4" w:space="0" w:color="auto"/>
              <w:bottom w:val="single" w:sz="4" w:space="0" w:color="auto"/>
              <w:right w:val="single" w:sz="4" w:space="0" w:color="auto"/>
            </w:tcBorders>
            <w:shd w:val="clear" w:color="auto" w:fill="auto"/>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Extinderea sistemului automatizat de supraveghere a circulației rutiere „Controlul traficului”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3.120,0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1.120,0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1.120,0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35,9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463"/>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10</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depozitului pentru păstrarea bărcii de intervenție și a pontonului plutitor mobil al Serviciului Poliției de Frontieră Costești, raionul Râșcani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106,3</w:t>
            </w:r>
          </w:p>
        </w:tc>
        <w:tc>
          <w:tcPr>
            <w:tcW w:w="127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94,1</w:t>
            </w:r>
          </w:p>
        </w:tc>
      </w:tr>
      <w:tr w:rsidR="00DD1A5A" w:rsidRPr="00606103" w:rsidTr="00C0766A">
        <w:trPr>
          <w:trHeight w:val="92"/>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11</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Reconstrucția sediului Unității de salvatori și pompieri Anenii Noi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900,0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50914">
        <w:trPr>
          <w:trHeight w:val="18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12</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Reconstrucția sediului Consulatului Republicii Moldova în Ucraina, orașul Odessa</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MAEIE</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2.000,0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50914">
        <w:trPr>
          <w:trHeight w:val="203"/>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13</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Finalizarea construcției pistei de decolare/aterizare pentru elicoptere cu drum de acces, satul Giurgiulești, raionul Cahul</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MIDR</w:t>
            </w:r>
          </w:p>
        </w:tc>
        <w:tc>
          <w:tcPr>
            <w:tcW w:w="128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27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86,8</w:t>
            </w:r>
          </w:p>
        </w:tc>
        <w:tc>
          <w:tcPr>
            <w:tcW w:w="127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92,2</w:t>
            </w:r>
          </w:p>
        </w:tc>
      </w:tr>
      <w:tr w:rsidR="00DD1A5A" w:rsidRPr="00606103" w:rsidTr="00C50914">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14</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xml:space="preserve">Proiectul „Programul rural de reziliență economico-climatică incluzivă (IFAD VI)” </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MADRM; MAIA</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1.108,0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3.716,7</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3.414,8</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308,2</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91,9</w:t>
            </w:r>
          </w:p>
        </w:tc>
      </w:tr>
      <w:tr w:rsidR="00DD1A5A" w:rsidRPr="00606103" w:rsidTr="00C0766A">
        <w:trPr>
          <w:trHeight w:val="20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15</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Proiectul „Programul de reziliență rurală (IFAD VII)”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MADRM; MAIA</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13.059,2</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8.499,3</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7.885,8</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60,4</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92,8</w:t>
            </w:r>
          </w:p>
        </w:tc>
      </w:tr>
      <w:tr w:rsidR="00DD1A5A" w:rsidRPr="00606103" w:rsidTr="00C0766A">
        <w:trPr>
          <w:trHeight w:val="562"/>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lastRenderedPageBreak/>
              <w:t>16</w:t>
            </w:r>
          </w:p>
        </w:tc>
        <w:tc>
          <w:tcPr>
            <w:tcW w:w="6987" w:type="dxa"/>
            <w:tcBorders>
              <w:top w:val="nil"/>
              <w:left w:val="nil"/>
              <w:bottom w:val="nil"/>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sediului punctului de inspectare la frontieră al Agenției Naționale pentru Siguranța Alimentelor, satul Sculeni, raionul Ungheni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MADRM; MAIA</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13.232,5</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14.103,0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13.292,1</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100,5</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94,3</w:t>
            </w:r>
          </w:p>
        </w:tc>
      </w:tr>
      <w:tr w:rsidR="00DD1A5A" w:rsidRPr="00606103" w:rsidTr="00C0766A">
        <w:trPr>
          <w:trHeight w:val="123"/>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17</w:t>
            </w:r>
          </w:p>
        </w:tc>
        <w:tc>
          <w:tcPr>
            <w:tcW w:w="6987" w:type="dxa"/>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Restaurarea edificiului Muzeului Național de Artă al Moldovei, str. 31 August 1989 nr.115,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7.500,0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2.340,0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2.267,4</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30,2</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96,9</w:t>
            </w:r>
          </w:p>
        </w:tc>
      </w:tr>
      <w:tr w:rsidR="00DD1A5A" w:rsidRPr="00606103" w:rsidTr="00C0766A">
        <w:trPr>
          <w:trHeight w:val="35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18</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Restaurarea și reconstrucția edificiilor Muzeului Național de Etnografie și Istorie Naturală, str. Mihail Kogălniceanu nr.82,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4.250,0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4.250,0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4.248,2</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60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19</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xml:space="preserve">Reconstrucția blocului „B” al Muzeului Național de Istorie a Moldovei (Muzeul Victimelor Deportărilor și Represiunilor Politice), str. Mitropolit Gavriil Bănulescu-Bodoni nr.16, municipiul Chișinău </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999,5</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99,9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99,9</w:t>
            </w:r>
          </w:p>
        </w:tc>
      </w:tr>
      <w:tr w:rsidR="00DD1A5A" w:rsidRPr="00606103" w:rsidTr="00C0766A">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20</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Restaurarea Bisericii „Adormirea Maicii Domnului”, orașul Căușeni, filiala Muzeului Național de Artă</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3.475,0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5.475,0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5.475,0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157,6</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21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21</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Restaurarea Muzeului Satului, filiala Muzeului Național de Etnografie și Istorie Naturală, bd. Dacia,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5.559,1</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37,2</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37,2</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0,7</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38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22</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Restaurarea caselor tradiționale țărănești din cadrul Rezervației cultural-naturale „Orheiul Vechi”, satele Butuceni și Morovaia, raionul Orhei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1.886,7</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1.327,6</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1.320,8</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99,5</w:t>
            </w:r>
          </w:p>
        </w:tc>
      </w:tr>
      <w:tr w:rsidR="00DD1A5A" w:rsidRPr="00606103" w:rsidTr="00C0766A">
        <w:trPr>
          <w:trHeight w:val="15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23</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Reconstrucția bazei sportive de canotaj a Centrului Sportiv de Pregătire a Loturilor Naționale, orașul Vatra,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MEC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998,0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99,8</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99,8</w:t>
            </w:r>
          </w:p>
        </w:tc>
      </w:tr>
      <w:tr w:rsidR="00DD1A5A" w:rsidRPr="00606103" w:rsidTr="00C0766A">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24</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Reconstrucția căminului pentru sportivi al Centrului Sportiv de Pregătire a Loturilor Naționale, bd. Decebal nr.72/2,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MEC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590,2</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590,2</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423"/>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25</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Reconstrucția demisolului clădirii Centrului Sportiv de Pregătire a Loturilor Naționale în Centrul de Recuperare și Reabilitare Medicală, bd. Decebal nr.72/2,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MEC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3.999,9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26</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Reconstrucția clădirii cu anexarea sălii polivalente a Școlii Sportive Specializate de Box din satul Grimăncăuți, raionul Briceni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MEC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1.999,9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27</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centralei termice pe gaze naturale a Școlii Profesionale nr.2 din municipiul Cahul</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MEC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3.300,0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3.410,0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3.216,5</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97,5</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94,3</w:t>
            </w:r>
          </w:p>
        </w:tc>
      </w:tr>
      <w:tr w:rsidR="00DD1A5A" w:rsidRPr="00606103" w:rsidTr="00C0766A">
        <w:trPr>
          <w:trHeight w:val="52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28</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Unității de primiri urgente a Institutului de Medicină Urgentă, str. Toma Ciorbă nr.1,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MSMPS; MS</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27.490,2</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17.602,8</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17.289,9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62,9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98,2</w:t>
            </w:r>
          </w:p>
        </w:tc>
      </w:tr>
      <w:tr w:rsidR="00DD1A5A" w:rsidRPr="00606103" w:rsidTr="00C0766A">
        <w:trPr>
          <w:trHeight w:val="123"/>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29</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xml:space="preserve">Reconstrucția blocului operator al Institutului de Medicină Urgentă, str. Toma Ciorbă nr.1, municipiul Chișinău </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MSMPS; MS</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18.000,0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17.999,9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120,0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30</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Proiect de investiții capitale SIS nr.4</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SIS</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7.000,0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29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31</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blocului de studii al Liceului Teoretic „Mihai Eminescu” din municipiul Comrat</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FISM</w:t>
            </w:r>
          </w:p>
        </w:tc>
        <w:tc>
          <w:tcPr>
            <w:tcW w:w="128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11.609,0</w:t>
            </w:r>
          </w:p>
        </w:tc>
        <w:tc>
          <w:tcPr>
            <w:tcW w:w="127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5.538,4</w:t>
            </w:r>
          </w:p>
        </w:tc>
        <w:tc>
          <w:tcPr>
            <w:tcW w:w="127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5.538,4</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47,7</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w:t>
            </w:r>
          </w:p>
        </w:tc>
      </w:tr>
      <w:tr w:rsidR="00DD1A5A" w:rsidRPr="00606103" w:rsidTr="00C0766A">
        <w:trPr>
          <w:trHeight w:val="288"/>
        </w:trPr>
        <w:tc>
          <w:tcPr>
            <w:tcW w:w="521" w:type="dxa"/>
            <w:tcBorders>
              <w:top w:val="nil"/>
              <w:left w:val="single" w:sz="4" w:space="0" w:color="auto"/>
              <w:bottom w:val="single" w:sz="4" w:space="0" w:color="auto"/>
              <w:right w:val="single" w:sz="4" w:space="0" w:color="auto"/>
            </w:tcBorders>
            <w:shd w:val="clear" w:color="000000" w:fill="FFE699"/>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 </w:t>
            </w:r>
          </w:p>
        </w:tc>
        <w:tc>
          <w:tcPr>
            <w:tcW w:w="6987" w:type="dxa"/>
            <w:tcBorders>
              <w:top w:val="nil"/>
              <w:left w:val="nil"/>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lef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Total cu executare 50%-90% -  13 proiecte</w:t>
            </w:r>
          </w:p>
        </w:tc>
        <w:tc>
          <w:tcPr>
            <w:tcW w:w="1025" w:type="dxa"/>
            <w:tcBorders>
              <w:top w:val="nil"/>
              <w:left w:val="nil"/>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 </w:t>
            </w:r>
          </w:p>
        </w:tc>
        <w:tc>
          <w:tcPr>
            <w:tcW w:w="1280" w:type="dxa"/>
            <w:tcBorders>
              <w:top w:val="nil"/>
              <w:left w:val="nil"/>
              <w:bottom w:val="single" w:sz="4" w:space="0" w:color="auto"/>
              <w:right w:val="nil"/>
            </w:tcBorders>
            <w:shd w:val="clear" w:color="000000" w:fill="FFE699"/>
            <w:vAlign w:val="center"/>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858.596,8</w:t>
            </w:r>
          </w:p>
        </w:tc>
        <w:tc>
          <w:tcPr>
            <w:tcW w:w="1270" w:type="dxa"/>
            <w:tcBorders>
              <w:top w:val="nil"/>
              <w:left w:val="single" w:sz="4" w:space="0" w:color="auto"/>
              <w:bottom w:val="single" w:sz="4" w:space="0" w:color="auto"/>
              <w:right w:val="nil"/>
            </w:tcBorders>
            <w:shd w:val="clear" w:color="000000" w:fill="FFE699"/>
            <w:vAlign w:val="center"/>
            <w:hideMark/>
          </w:tcPr>
          <w:p w:rsidR="00DD1A5A" w:rsidRPr="00606103" w:rsidRDefault="00DD1A5A" w:rsidP="00552746">
            <w:pPr>
              <w:spacing w:after="0" w:line="276" w:lineRule="auto"/>
              <w:ind w:left="-250"/>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1.461.752,0</w:t>
            </w:r>
          </w:p>
        </w:tc>
        <w:tc>
          <w:tcPr>
            <w:tcW w:w="1270" w:type="dxa"/>
            <w:tcBorders>
              <w:top w:val="nil"/>
              <w:left w:val="single" w:sz="4" w:space="0" w:color="auto"/>
              <w:bottom w:val="single" w:sz="4" w:space="0" w:color="auto"/>
              <w:right w:val="nil"/>
            </w:tcBorders>
            <w:shd w:val="clear" w:color="000000" w:fill="FFE699"/>
            <w:vAlign w:val="center"/>
            <w:hideMark/>
          </w:tcPr>
          <w:p w:rsidR="00DD1A5A" w:rsidRPr="00606103" w:rsidRDefault="00DD1A5A" w:rsidP="00552746">
            <w:pPr>
              <w:spacing w:after="0" w:line="276" w:lineRule="auto"/>
              <w:ind w:left="-107"/>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1.256.013,2</w:t>
            </w:r>
          </w:p>
        </w:tc>
        <w:tc>
          <w:tcPr>
            <w:tcW w:w="1096" w:type="dxa"/>
            <w:tcBorders>
              <w:top w:val="nil"/>
              <w:left w:val="single" w:sz="4" w:space="0" w:color="auto"/>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146,3</w:t>
            </w:r>
          </w:p>
        </w:tc>
        <w:tc>
          <w:tcPr>
            <w:tcW w:w="1096" w:type="dxa"/>
            <w:tcBorders>
              <w:top w:val="nil"/>
              <w:left w:val="nil"/>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85,9</w:t>
            </w:r>
          </w:p>
        </w:tc>
      </w:tr>
      <w:tr w:rsidR="00DD1A5A" w:rsidRPr="00606103" w:rsidTr="00C0766A">
        <w:trPr>
          <w:trHeight w:val="28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w:t>
            </w:r>
          </w:p>
        </w:tc>
        <w:tc>
          <w:tcPr>
            <w:tcW w:w="6987" w:type="dxa"/>
            <w:tcBorders>
              <w:top w:val="nil"/>
              <w:left w:val="nil"/>
              <w:bottom w:val="single" w:sz="4" w:space="0" w:color="auto"/>
              <w:right w:val="single" w:sz="4" w:space="0" w:color="auto"/>
            </w:tcBorders>
            <w:shd w:val="clear" w:color="auto" w:fill="auto"/>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xml:space="preserve">Construcția blocurilor sanitare la 23 de posturi vamale </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MF</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2.489,8</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83,0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83,0</w:t>
            </w:r>
          </w:p>
        </w:tc>
      </w:tr>
      <w:tr w:rsidR="00DD1A5A" w:rsidRPr="00606103" w:rsidTr="00C0766A">
        <w:trPr>
          <w:trHeight w:val="10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xml:space="preserve">Modernizarea infrastructurii Postului vamal Giurgiulești </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MF</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5.663,0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2.952,3</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2.461,7</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43,5</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83,4</w:t>
            </w:r>
          </w:p>
        </w:tc>
      </w:tr>
      <w:tr w:rsidR="00DD1A5A" w:rsidRPr="00606103" w:rsidTr="00C0766A">
        <w:trPr>
          <w:trHeight w:val="26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lastRenderedPageBreak/>
              <w:t>3</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Reconstrucția perimetrului de pază al Penitenciarului nr.7, satul Rusca, raionul Hâncești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MJ</w:t>
            </w:r>
          </w:p>
        </w:tc>
        <w:tc>
          <w:tcPr>
            <w:tcW w:w="128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5.000,0</w:t>
            </w:r>
          </w:p>
        </w:tc>
        <w:tc>
          <w:tcPr>
            <w:tcW w:w="127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5.000,0</w:t>
            </w:r>
          </w:p>
        </w:tc>
        <w:tc>
          <w:tcPr>
            <w:tcW w:w="127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3.372,9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67,5</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67,5</w:t>
            </w:r>
          </w:p>
        </w:tc>
      </w:tr>
      <w:tr w:rsidR="00DD1A5A" w:rsidRPr="00606103" w:rsidTr="00C0766A">
        <w:trPr>
          <w:trHeight w:val="18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4</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xml:space="preserve">Reconstrucția sediului Sectorului Poliției de Frontieră Brânza, raionul Cahul </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3.419,6</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6.286,0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4.100,7</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119,9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65,2</w:t>
            </w:r>
          </w:p>
        </w:tc>
      </w:tr>
      <w:tr w:rsidR="00DD1A5A" w:rsidRPr="00606103" w:rsidTr="00C0766A">
        <w:trPr>
          <w:trHeight w:val="252"/>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5</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xml:space="preserve">Reconstrucția sediului Sectorului Poliției de Frontieră Stoianovca, raionul Cantemir </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3.419,6</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5.205,7</w:t>
            </w:r>
          </w:p>
        </w:tc>
        <w:tc>
          <w:tcPr>
            <w:tcW w:w="127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2.820,2</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82,5</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54,2</w:t>
            </w:r>
          </w:p>
        </w:tc>
      </w:tr>
      <w:tr w:rsidR="00DD1A5A" w:rsidRPr="00606103" w:rsidTr="00C0766A">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6</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Proiectul „Susținerea Programului în sectorul drumurilor”</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MEI; MIDR</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806.011,6</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1.406.200,0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1.217.557,0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151,1</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86,6</w:t>
            </w:r>
          </w:p>
        </w:tc>
      </w:tr>
      <w:tr w:rsidR="00DD1A5A" w:rsidRPr="00606103" w:rsidTr="00C0766A">
        <w:trPr>
          <w:trHeight w:val="47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7</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Actualizarea sistemului informațional de gestionare a Fondului de Garantare a Creditelor al Organizației pentru Dezvoltarea Sectorului Întreprinderilor Mici și Mijlocii (ODIMM)</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230,0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162,2</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70,5</w:t>
            </w:r>
          </w:p>
        </w:tc>
      </w:tr>
      <w:tr w:rsidR="00DD1A5A" w:rsidRPr="00606103" w:rsidTr="00C0766A">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8</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Dezvoltarea subsistemului pentru actele permisive eliberate de Primăria municipiului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1.850,0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1.265,6</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68,4</w:t>
            </w:r>
          </w:p>
        </w:tc>
      </w:tr>
      <w:tr w:rsidR="00DD1A5A" w:rsidRPr="00606103" w:rsidTr="00C0766A">
        <w:trPr>
          <w:trHeight w:val="50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9</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depozitului cu atmosferă controlată al Comisiei de Stat pentru Testarea Soiurilor de Plante, satul Băcioi,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MADRM; MAIA</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5.300,0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4.245,0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3.742,8</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70,6</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88,2</w:t>
            </w:r>
          </w:p>
        </w:tc>
      </w:tr>
      <w:tr w:rsidR="00DD1A5A" w:rsidRPr="00606103" w:rsidTr="00C0766A">
        <w:trPr>
          <w:trHeight w:val="192"/>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10</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Restaurarea Casei-muzeu „Alexandr Pușkin”, str. Anton Pann nr.19,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955,0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955,0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752,7</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78,8</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78,8</w:t>
            </w:r>
          </w:p>
        </w:tc>
      </w:tr>
      <w:tr w:rsidR="00DD1A5A" w:rsidRPr="00606103" w:rsidTr="00C0766A">
        <w:trPr>
          <w:trHeight w:val="39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11</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Reconstrucția și modernizarea clădirilor Centrului de Excelență în Energetică și Electronică, str. Melestiu nr.12,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MEC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10.478,0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10.478,0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5.562,9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53,1</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53,1</w:t>
            </w:r>
          </w:p>
        </w:tc>
      </w:tr>
      <w:tr w:rsidR="00DD1A5A" w:rsidRPr="00606103" w:rsidTr="00C0766A">
        <w:trPr>
          <w:trHeight w:val="47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12</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Reconstrucția și modernizarea clădirilor Centrului de Excelență în Educație Artistică  „Ștefan Neaga”, str. Hristo Botev nr.4,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MEC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11.450,1</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76,3</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76,3</w:t>
            </w:r>
          </w:p>
        </w:tc>
      </w:tr>
      <w:tr w:rsidR="00DD1A5A" w:rsidRPr="00606103" w:rsidTr="00C0766A">
        <w:trPr>
          <w:trHeight w:val="42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13</w:t>
            </w:r>
          </w:p>
        </w:tc>
        <w:tc>
          <w:tcPr>
            <w:tcW w:w="6987" w:type="dxa"/>
            <w:tcBorders>
              <w:top w:val="nil"/>
              <w:left w:val="nil"/>
              <w:bottom w:val="single" w:sz="4" w:space="0" w:color="auto"/>
              <w:right w:val="single" w:sz="4" w:space="0" w:color="auto"/>
            </w:tcBorders>
            <w:shd w:val="clear" w:color="auto" w:fill="auto"/>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blocului locativ pentru participanții la lichidarea consecințelor avariei de la CAE Cernob</w:t>
            </w:r>
            <w:r w:rsidR="00162C73" w:rsidRPr="00606103">
              <w:rPr>
                <w:rFonts w:asciiTheme="majorHAnsi" w:eastAsia="Times New Roman" w:hAnsiTheme="majorHAnsi" w:cstheme="majorHAnsi"/>
                <w:color w:val="000000"/>
                <w:sz w:val="20"/>
                <w:szCs w:val="20"/>
                <w:lang w:val="ro-MD"/>
              </w:rPr>
              <w:t>â</w:t>
            </w:r>
            <w:r w:rsidRPr="00606103">
              <w:rPr>
                <w:rFonts w:asciiTheme="majorHAnsi" w:eastAsia="Times New Roman" w:hAnsiTheme="majorHAnsi" w:cstheme="majorHAnsi"/>
                <w:color w:val="000000"/>
                <w:sz w:val="20"/>
                <w:szCs w:val="20"/>
                <w:lang w:val="ro-MD"/>
              </w:rPr>
              <w:t>l, str. Alba Iulia nr.91/3,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MSMPS; MMPS</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350,0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350,0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274,7</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78,5</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78,5</w:t>
            </w:r>
          </w:p>
        </w:tc>
      </w:tr>
      <w:tr w:rsidR="00DD1A5A" w:rsidRPr="00606103" w:rsidTr="00C0766A">
        <w:trPr>
          <w:trHeight w:val="288"/>
        </w:trPr>
        <w:tc>
          <w:tcPr>
            <w:tcW w:w="521" w:type="dxa"/>
            <w:tcBorders>
              <w:top w:val="nil"/>
              <w:left w:val="single" w:sz="4" w:space="0" w:color="auto"/>
              <w:bottom w:val="single" w:sz="4" w:space="0" w:color="auto"/>
              <w:right w:val="single" w:sz="4" w:space="0" w:color="auto"/>
            </w:tcBorders>
            <w:shd w:val="clear" w:color="000000" w:fill="FFE699"/>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 </w:t>
            </w:r>
          </w:p>
        </w:tc>
        <w:tc>
          <w:tcPr>
            <w:tcW w:w="6987" w:type="dxa"/>
            <w:tcBorders>
              <w:top w:val="nil"/>
              <w:left w:val="nil"/>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lef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Total cu executare 0,1%-50% - 12 proiecte</w:t>
            </w:r>
          </w:p>
        </w:tc>
        <w:tc>
          <w:tcPr>
            <w:tcW w:w="1025" w:type="dxa"/>
            <w:tcBorders>
              <w:top w:val="nil"/>
              <w:left w:val="nil"/>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 </w:t>
            </w:r>
          </w:p>
        </w:tc>
        <w:tc>
          <w:tcPr>
            <w:tcW w:w="1280" w:type="dxa"/>
            <w:tcBorders>
              <w:top w:val="nil"/>
              <w:left w:val="nil"/>
              <w:bottom w:val="single" w:sz="4" w:space="0" w:color="auto"/>
              <w:right w:val="nil"/>
            </w:tcBorders>
            <w:shd w:val="clear" w:color="000000" w:fill="FFE699"/>
            <w:vAlign w:val="center"/>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418.035,1</w:t>
            </w:r>
          </w:p>
        </w:tc>
        <w:tc>
          <w:tcPr>
            <w:tcW w:w="1270" w:type="dxa"/>
            <w:tcBorders>
              <w:top w:val="nil"/>
              <w:left w:val="single" w:sz="4" w:space="0" w:color="auto"/>
              <w:bottom w:val="single" w:sz="4" w:space="0" w:color="auto"/>
              <w:right w:val="nil"/>
            </w:tcBorders>
            <w:shd w:val="clear" w:color="000000" w:fill="FFE699"/>
            <w:vAlign w:val="center"/>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623.708,1</w:t>
            </w:r>
          </w:p>
        </w:tc>
        <w:tc>
          <w:tcPr>
            <w:tcW w:w="1270" w:type="dxa"/>
            <w:tcBorders>
              <w:top w:val="nil"/>
              <w:left w:val="single" w:sz="4" w:space="0" w:color="auto"/>
              <w:bottom w:val="single" w:sz="4" w:space="0" w:color="auto"/>
              <w:right w:val="nil"/>
            </w:tcBorders>
            <w:shd w:val="clear" w:color="000000" w:fill="FFE699"/>
            <w:vAlign w:val="center"/>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289.288,1</w:t>
            </w:r>
          </w:p>
        </w:tc>
        <w:tc>
          <w:tcPr>
            <w:tcW w:w="1096" w:type="dxa"/>
            <w:tcBorders>
              <w:top w:val="nil"/>
              <w:left w:val="single" w:sz="4" w:space="0" w:color="auto"/>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69,2</w:t>
            </w:r>
          </w:p>
        </w:tc>
        <w:tc>
          <w:tcPr>
            <w:tcW w:w="1096" w:type="dxa"/>
            <w:tcBorders>
              <w:top w:val="nil"/>
              <w:left w:val="nil"/>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46,4</w:t>
            </w:r>
          </w:p>
        </w:tc>
      </w:tr>
      <w:tr w:rsidR="00DD1A5A" w:rsidRPr="00606103" w:rsidTr="00C0766A">
        <w:trPr>
          <w:trHeight w:val="10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Modernizarea infrastructurii Biroului vamal Leușeni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MF</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8.911,6</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16.680,8</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5.614,6</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63,0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33,7</w:t>
            </w:r>
          </w:p>
        </w:tc>
      </w:tr>
      <w:tr w:rsidR="00DD1A5A" w:rsidRPr="00606103" w:rsidTr="00C0766A">
        <w:trPr>
          <w:trHeight w:val="18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w:t>
            </w:r>
          </w:p>
        </w:tc>
        <w:tc>
          <w:tcPr>
            <w:tcW w:w="6987"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Reconstrucția Penitenciarului nr.5, municipiul Cahul</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MJ</w:t>
            </w:r>
          </w:p>
        </w:tc>
        <w:tc>
          <w:tcPr>
            <w:tcW w:w="128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10.000,0</w:t>
            </w:r>
          </w:p>
        </w:tc>
        <w:tc>
          <w:tcPr>
            <w:tcW w:w="127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1.000,0</w:t>
            </w:r>
          </w:p>
        </w:tc>
        <w:tc>
          <w:tcPr>
            <w:tcW w:w="127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432,8</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4,3</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43,3</w:t>
            </w:r>
          </w:p>
        </w:tc>
      </w:tr>
      <w:tr w:rsidR="00DD1A5A" w:rsidRPr="00606103" w:rsidTr="00C0766A">
        <w:trPr>
          <w:trHeight w:val="26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3</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Reconstrucția perimetrului de pază al Penitenciarului nr.10, satul Goian,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MJ</w:t>
            </w:r>
          </w:p>
        </w:tc>
        <w:tc>
          <w:tcPr>
            <w:tcW w:w="128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5.000,0</w:t>
            </w:r>
          </w:p>
        </w:tc>
        <w:tc>
          <w:tcPr>
            <w:tcW w:w="127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5.000,0</w:t>
            </w:r>
          </w:p>
        </w:tc>
        <w:tc>
          <w:tcPr>
            <w:tcW w:w="1270"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50,9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w:t>
            </w:r>
          </w:p>
        </w:tc>
      </w:tr>
      <w:tr w:rsidR="00DD1A5A" w:rsidRPr="00606103" w:rsidTr="00C0766A">
        <w:trPr>
          <w:trHeight w:val="48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4</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xml:space="preserve">Construcția sediului pentru trei subdiviziuni operative ale Inspectoratului Național de Investigații, str. Bucuriei nr.14, municipiul Chișinău </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15.450,0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15.770,0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6.422,8</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41,6</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40,7</w:t>
            </w:r>
          </w:p>
        </w:tc>
      </w:tr>
      <w:tr w:rsidR="00DD1A5A" w:rsidRPr="00606103" w:rsidTr="00C0766A">
        <w:trPr>
          <w:trHeight w:val="311"/>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5</w:t>
            </w:r>
          </w:p>
        </w:tc>
        <w:tc>
          <w:tcPr>
            <w:tcW w:w="6987" w:type="dxa"/>
            <w:tcBorders>
              <w:top w:val="nil"/>
              <w:left w:val="single" w:sz="4" w:space="0" w:color="auto"/>
              <w:bottom w:val="single" w:sz="4" w:space="0" w:color="auto"/>
              <w:right w:val="single" w:sz="4" w:space="0" w:color="auto"/>
            </w:tcBorders>
            <w:shd w:val="clear" w:color="auto" w:fill="auto"/>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xml:space="preserve">Construcția magistralei de comunicații și operaționalizarea Centrului de Cooperare Transfrontalieră Lipcani, raionul Briceni </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32.960,0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32.960,0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9.732,6</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29,5</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29,5</w:t>
            </w:r>
          </w:p>
        </w:tc>
      </w:tr>
      <w:tr w:rsidR="00DD1A5A" w:rsidRPr="00606103" w:rsidTr="00C0766A">
        <w:trPr>
          <w:trHeight w:val="24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6</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xml:space="preserve">Reconstrucția sediului Sectorului Poliției de Frontieră Toceni, raionul Cantemir </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3.419,6</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4.854,3</w:t>
            </w:r>
          </w:p>
        </w:tc>
        <w:tc>
          <w:tcPr>
            <w:tcW w:w="127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1.543,4</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45,1</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31,8</w:t>
            </w:r>
          </w:p>
        </w:tc>
      </w:tr>
      <w:tr w:rsidR="00DD1A5A" w:rsidRPr="00606103" w:rsidTr="00C0766A">
        <w:trPr>
          <w:trHeight w:val="16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7</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 xml:space="preserve">Reconstrucția sediului Sectorului Poliției de Frontieră Valea Mare, raionul Ungheni </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3.419,6</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3.832,4</w:t>
            </w:r>
          </w:p>
        </w:tc>
        <w:tc>
          <w:tcPr>
            <w:tcW w:w="127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1.446,9</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42,3</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37,8</w:t>
            </w:r>
          </w:p>
        </w:tc>
      </w:tr>
      <w:tr w:rsidR="00DD1A5A" w:rsidRPr="00606103" w:rsidTr="00C0766A">
        <w:trPr>
          <w:trHeight w:val="24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8</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sistemului de comunicații al Poliției de Frontieră (TETRA) pe segmentul moldo-ucrainean al frontierei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3.401,2</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48,6</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48,6</w:t>
            </w:r>
          </w:p>
        </w:tc>
      </w:tr>
      <w:tr w:rsidR="00DD1A5A" w:rsidRPr="00606103" w:rsidTr="00C0766A">
        <w:trPr>
          <w:trHeight w:val="30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9</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complexului Ambasadei Republicii Moldova în Republica Belarus, orașul Minsk</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MAEIE</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496,4</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6,2</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24,8</w:t>
            </w:r>
          </w:p>
        </w:tc>
      </w:tr>
      <w:tr w:rsidR="00DD1A5A" w:rsidRPr="00606103" w:rsidTr="00C0766A">
        <w:trPr>
          <w:trHeight w:val="9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lastRenderedPageBreak/>
              <w:t>10</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Proiectul „Reabilitarea drumurilor locale”</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MEI; MIDR</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314.874,3</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518.940,0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254.080,7</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80,7</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49,0</w:t>
            </w:r>
          </w:p>
        </w:tc>
      </w:tr>
      <w:tr w:rsidR="00DD1A5A" w:rsidRPr="00606103" w:rsidTr="00C0766A">
        <w:trPr>
          <w:trHeight w:val="10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11</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Proiectul „Construcția locuințelor sociale II”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MADRM; MIDR</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9.600,0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3.484,4</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38,7</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36,3</w:t>
            </w:r>
          </w:p>
        </w:tc>
      </w:tr>
      <w:tr w:rsidR="00DD1A5A" w:rsidRPr="00606103" w:rsidTr="00C0766A">
        <w:trPr>
          <w:trHeight w:val="16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12</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FF0000"/>
                <w:sz w:val="20"/>
                <w:szCs w:val="20"/>
                <w:lang w:val="ro-MD"/>
              </w:rPr>
            </w:pPr>
            <w:r w:rsidRPr="00606103">
              <w:rPr>
                <w:rFonts w:asciiTheme="majorHAnsi" w:eastAsia="Times New Roman" w:hAnsiTheme="majorHAnsi" w:cstheme="majorHAnsi"/>
                <w:sz w:val="20"/>
                <w:szCs w:val="20"/>
                <w:lang w:val="ro-MD"/>
              </w:rPr>
              <w:t>Construcția blocului de studii al Liceului Teoretic „Mihai Eminescu” din municipiul Comrat</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MIDR</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6.070,6</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2.581,3</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42,5</w:t>
            </w:r>
          </w:p>
        </w:tc>
      </w:tr>
      <w:tr w:rsidR="00DD1A5A" w:rsidRPr="00606103" w:rsidTr="00C0766A">
        <w:trPr>
          <w:trHeight w:val="288"/>
        </w:trPr>
        <w:tc>
          <w:tcPr>
            <w:tcW w:w="521" w:type="dxa"/>
            <w:tcBorders>
              <w:top w:val="nil"/>
              <w:left w:val="single" w:sz="4" w:space="0" w:color="auto"/>
              <w:bottom w:val="single" w:sz="4" w:space="0" w:color="auto"/>
              <w:right w:val="single" w:sz="4" w:space="0" w:color="auto"/>
            </w:tcBorders>
            <w:shd w:val="clear" w:color="000000" w:fill="FFE699"/>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 </w:t>
            </w:r>
          </w:p>
        </w:tc>
        <w:tc>
          <w:tcPr>
            <w:tcW w:w="6987" w:type="dxa"/>
            <w:tcBorders>
              <w:top w:val="nil"/>
              <w:left w:val="nil"/>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lef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Total cu executare 0,0% - 13 proiecte</w:t>
            </w:r>
          </w:p>
        </w:tc>
        <w:tc>
          <w:tcPr>
            <w:tcW w:w="1025" w:type="dxa"/>
            <w:tcBorders>
              <w:top w:val="nil"/>
              <w:left w:val="nil"/>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FFFFFF"/>
                <w:sz w:val="20"/>
                <w:szCs w:val="20"/>
                <w:lang w:val="ro-MD"/>
              </w:rPr>
            </w:pPr>
            <w:r w:rsidRPr="00606103">
              <w:rPr>
                <w:rFonts w:asciiTheme="majorHAnsi" w:eastAsia="Times New Roman" w:hAnsiTheme="majorHAnsi" w:cstheme="majorHAnsi"/>
                <w:b/>
                <w:bCs/>
                <w:color w:val="FFFFFF"/>
                <w:sz w:val="20"/>
                <w:szCs w:val="20"/>
                <w:lang w:val="ro-MD"/>
              </w:rPr>
              <w:t> </w:t>
            </w:r>
          </w:p>
        </w:tc>
        <w:tc>
          <w:tcPr>
            <w:tcW w:w="1280" w:type="dxa"/>
            <w:tcBorders>
              <w:top w:val="nil"/>
              <w:left w:val="nil"/>
              <w:bottom w:val="single" w:sz="4" w:space="0" w:color="auto"/>
              <w:right w:val="nil"/>
            </w:tcBorders>
            <w:shd w:val="clear" w:color="000000" w:fill="FFE699"/>
            <w:vAlign w:val="center"/>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63.092,9</w:t>
            </w:r>
          </w:p>
        </w:tc>
        <w:tc>
          <w:tcPr>
            <w:tcW w:w="1270" w:type="dxa"/>
            <w:tcBorders>
              <w:top w:val="nil"/>
              <w:left w:val="single" w:sz="4" w:space="0" w:color="auto"/>
              <w:bottom w:val="single" w:sz="4" w:space="0" w:color="auto"/>
              <w:right w:val="nil"/>
            </w:tcBorders>
            <w:shd w:val="clear" w:color="000000" w:fill="FFE699"/>
            <w:vAlign w:val="center"/>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49.436,60</w:t>
            </w:r>
          </w:p>
        </w:tc>
        <w:tc>
          <w:tcPr>
            <w:tcW w:w="1270" w:type="dxa"/>
            <w:tcBorders>
              <w:top w:val="nil"/>
              <w:left w:val="single" w:sz="4" w:space="0" w:color="auto"/>
              <w:bottom w:val="single" w:sz="4" w:space="0" w:color="auto"/>
              <w:right w:val="nil"/>
            </w:tcBorders>
            <w:shd w:val="clear" w:color="000000" w:fill="FFE699"/>
            <w:vAlign w:val="center"/>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0,0</w:t>
            </w:r>
          </w:p>
        </w:tc>
        <w:tc>
          <w:tcPr>
            <w:tcW w:w="1096" w:type="dxa"/>
            <w:tcBorders>
              <w:top w:val="nil"/>
              <w:left w:val="single" w:sz="4" w:space="0" w:color="auto"/>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0,0</w:t>
            </w:r>
          </w:p>
        </w:tc>
        <w:tc>
          <w:tcPr>
            <w:tcW w:w="1096" w:type="dxa"/>
            <w:tcBorders>
              <w:top w:val="nil"/>
              <w:left w:val="nil"/>
              <w:bottom w:val="single" w:sz="4" w:space="0" w:color="auto"/>
              <w:right w:val="single" w:sz="4" w:space="0" w:color="auto"/>
            </w:tcBorders>
            <w:shd w:val="clear" w:color="000000" w:fill="FFE699"/>
            <w:vAlign w:val="center"/>
            <w:hideMark/>
          </w:tcPr>
          <w:p w:rsidR="00DD1A5A" w:rsidRPr="00606103" w:rsidRDefault="00DD1A5A" w:rsidP="00552746">
            <w:pPr>
              <w:spacing w:after="0" w:line="276"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0,0</w:t>
            </w:r>
          </w:p>
        </w:tc>
      </w:tr>
      <w:tr w:rsidR="00DD1A5A" w:rsidRPr="00606103" w:rsidTr="00C0766A">
        <w:trPr>
          <w:trHeight w:val="22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Reconstrucția sediului Punctului de operare terestră SMURD Cantemir</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2.317,5</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r>
      <w:tr w:rsidR="00DD1A5A" w:rsidRPr="00606103" w:rsidTr="00C0766A">
        <w:trPr>
          <w:trHeight w:val="14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2</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Reconstrucția sediului Punctului de operare terestră SMURD Ungheni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MAI</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3.938,7</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r>
      <w:tr w:rsidR="00DD1A5A" w:rsidRPr="00606103" w:rsidTr="00C0766A">
        <w:trPr>
          <w:trHeight w:val="22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3</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Proiectul „Studiul de fezabilitate Interconectarea asincronă MD–RO”</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MIDR</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4.218,90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r>
      <w:tr w:rsidR="00DD1A5A" w:rsidRPr="00606103" w:rsidTr="00C0766A">
        <w:trPr>
          <w:trHeight w:val="14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4</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Modernizarea paginii web oficiale a Consiliului Concurenței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320,0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r>
      <w:tr w:rsidR="00DD1A5A" w:rsidRPr="00606103" w:rsidTr="00C0766A">
        <w:trPr>
          <w:trHeight w:val="43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5</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Proiectul „Îmbunătățirea capacităților pentru transformarea zonei rurale (IFAD VIII)”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MADRM; MAIA</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10.699,2</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195,0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r>
      <w:tr w:rsidR="00DD1A5A" w:rsidRPr="00606103" w:rsidTr="00C0766A">
        <w:trPr>
          <w:trHeight w:val="21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6</w:t>
            </w:r>
          </w:p>
        </w:tc>
        <w:tc>
          <w:tcPr>
            <w:tcW w:w="6987" w:type="dxa"/>
            <w:tcBorders>
              <w:top w:val="nil"/>
              <w:left w:val="nil"/>
              <w:bottom w:val="nil"/>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unității de procesare a produselor de origine animală, nedestinate consumului uman</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MADRM; MAIA</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137,5</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137,5</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r>
      <w:tr w:rsidR="00DD1A5A" w:rsidRPr="00606103" w:rsidTr="00C0766A">
        <w:trPr>
          <w:trHeight w:val="28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7</w:t>
            </w:r>
          </w:p>
        </w:tc>
        <w:tc>
          <w:tcPr>
            <w:tcW w:w="6987" w:type="dxa"/>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depozitului regional pentru deșeuri menajere solide</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MADRM; MM</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37.000,0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37.000,0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r>
      <w:tr w:rsidR="00DD1A5A" w:rsidRPr="00606103" w:rsidTr="00C0766A">
        <w:trPr>
          <w:trHeight w:val="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8</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Restaurarea edificiului Muzeului Național de Artă al Moldovei, bd. Ștefan cel Mare și Sfânt nr.113 și nr.115, municipiul Chișinău</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MECC; MC</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r>
      <w:tr w:rsidR="00DD1A5A" w:rsidRPr="00606103" w:rsidTr="00C0766A">
        <w:trPr>
          <w:trHeight w:val="52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9</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Dezvoltarea Sistemului informațional „Trezoreria”, unificat cu Sistemul informațional „e-Docplat”</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MF</w:t>
            </w:r>
          </w:p>
        </w:tc>
        <w:tc>
          <w:tcPr>
            <w:tcW w:w="1280" w:type="dxa"/>
            <w:tcBorders>
              <w:top w:val="nil"/>
              <w:left w:val="nil"/>
              <w:bottom w:val="single" w:sz="4" w:space="0" w:color="auto"/>
              <w:right w:val="nil"/>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270" w:type="dxa"/>
            <w:tcBorders>
              <w:top w:val="nil"/>
              <w:left w:val="single" w:sz="4" w:space="0" w:color="auto"/>
              <w:bottom w:val="single" w:sz="4" w:space="0" w:color="auto"/>
              <w:right w:val="nil"/>
            </w:tcBorders>
            <w:shd w:val="clear" w:color="auto" w:fill="auto"/>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265,2</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r>
      <w:tr w:rsidR="00DD1A5A" w:rsidRPr="00606103" w:rsidTr="00C0766A">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10</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sediului Judecătoriei Cahul</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MJ</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2.000,0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r>
      <w:tr w:rsidR="00DD1A5A" w:rsidRPr="00606103" w:rsidTr="00C0766A">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11</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sediului Judecătoriei Căușeni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MJ</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750,0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r>
      <w:tr w:rsidR="00DD1A5A" w:rsidRPr="00606103" w:rsidTr="00C0766A">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12</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sediului Judecătoriei Edineț</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MJ</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750,0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r>
      <w:tr w:rsidR="00DD1A5A" w:rsidRPr="00606103" w:rsidTr="00C0766A">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13</w:t>
            </w:r>
          </w:p>
        </w:tc>
        <w:tc>
          <w:tcPr>
            <w:tcW w:w="6987"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Construcția sediului Judecătoriei Orhei</w:t>
            </w:r>
          </w:p>
        </w:tc>
        <w:tc>
          <w:tcPr>
            <w:tcW w:w="1025"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MJ</w:t>
            </w:r>
          </w:p>
        </w:tc>
        <w:tc>
          <w:tcPr>
            <w:tcW w:w="128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3.000,0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1.500,0</w:t>
            </w:r>
          </w:p>
        </w:tc>
        <w:tc>
          <w:tcPr>
            <w:tcW w:w="1270"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right"/>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c>
          <w:tcPr>
            <w:tcW w:w="1096"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color w:val="000000"/>
                <w:sz w:val="20"/>
                <w:szCs w:val="20"/>
                <w:lang w:val="ro-MD"/>
              </w:rPr>
            </w:pPr>
            <w:r w:rsidRPr="00606103">
              <w:rPr>
                <w:rFonts w:asciiTheme="majorHAnsi" w:eastAsia="Times New Roman" w:hAnsiTheme="majorHAnsi" w:cstheme="majorHAnsi"/>
                <w:color w:val="000000"/>
                <w:sz w:val="20"/>
                <w:szCs w:val="20"/>
                <w:lang w:val="ro-MD"/>
              </w:rPr>
              <w:t>0,0</w:t>
            </w:r>
          </w:p>
        </w:tc>
      </w:tr>
    </w:tbl>
    <w:p w:rsidR="00DD1A5A" w:rsidRPr="00606103" w:rsidRDefault="00DD1A5A" w:rsidP="00FE3F3B">
      <w:pPr>
        <w:shd w:val="clear" w:color="auto" w:fill="FFFFFF" w:themeFill="background1"/>
        <w:tabs>
          <w:tab w:val="left" w:pos="142"/>
          <w:tab w:val="left" w:pos="567"/>
          <w:tab w:val="left" w:pos="6237"/>
          <w:tab w:val="left" w:pos="6379"/>
        </w:tabs>
        <w:spacing w:after="0" w:line="276" w:lineRule="auto"/>
        <w:contextualSpacing/>
        <w:jc w:val="left"/>
        <w:rPr>
          <w:rFonts w:asciiTheme="majorHAnsi" w:eastAsia="Times New Roman" w:hAnsiTheme="majorHAnsi" w:cstheme="majorHAnsi"/>
          <w:i/>
          <w:sz w:val="20"/>
          <w:szCs w:val="24"/>
          <w:lang w:val="ro-MD"/>
        </w:rPr>
      </w:pPr>
      <w:r w:rsidRPr="00606103">
        <w:rPr>
          <w:rFonts w:asciiTheme="majorHAnsi" w:eastAsia="Times New Roman" w:hAnsiTheme="majorHAnsi" w:cstheme="majorHAnsi"/>
          <w:b/>
          <w:i/>
          <w:sz w:val="20"/>
          <w:szCs w:val="24"/>
          <w:lang w:val="ro-MD"/>
        </w:rPr>
        <w:t>*Notă:</w:t>
      </w:r>
      <w:r w:rsidRPr="00606103">
        <w:rPr>
          <w:rFonts w:asciiTheme="majorHAnsi" w:eastAsia="Times New Roman" w:hAnsiTheme="majorHAnsi" w:cstheme="majorHAnsi"/>
          <w:b/>
          <w:sz w:val="20"/>
          <w:szCs w:val="24"/>
          <w:lang w:val="ro-MD"/>
        </w:rPr>
        <w:t xml:space="preserve"> </w:t>
      </w:r>
      <w:r w:rsidRPr="00606103">
        <w:rPr>
          <w:rFonts w:asciiTheme="majorHAnsi" w:eastAsia="Times New Roman" w:hAnsiTheme="majorHAnsi" w:cstheme="majorHAnsi"/>
          <w:i/>
          <w:sz w:val="20"/>
          <w:szCs w:val="24"/>
          <w:lang w:val="ro-MD"/>
        </w:rPr>
        <w:t>Nu sunt incluse alocațiile excluse la rectificarea Legii bugetare anuale, în sumă de 147 334,7 mii lei.</w:t>
      </w:r>
    </w:p>
    <w:p w:rsidR="00DD1A5A" w:rsidRPr="00606103" w:rsidRDefault="00DD1A5A">
      <w:pPr>
        <w:shd w:val="clear" w:color="auto" w:fill="FFFFFF" w:themeFill="background1"/>
        <w:tabs>
          <w:tab w:val="left" w:pos="142"/>
          <w:tab w:val="left" w:pos="567"/>
          <w:tab w:val="left" w:pos="6237"/>
          <w:tab w:val="left" w:pos="6379"/>
        </w:tabs>
        <w:spacing w:after="0" w:line="276" w:lineRule="auto"/>
        <w:contextualSpacing/>
        <w:jc w:val="left"/>
        <w:rPr>
          <w:rFonts w:asciiTheme="majorHAnsi" w:eastAsia="Times New Roman" w:hAnsiTheme="majorHAnsi" w:cstheme="majorHAnsi"/>
          <w:i/>
          <w:sz w:val="20"/>
          <w:szCs w:val="24"/>
          <w:lang w:val="ro-MD" w:eastAsia="ru-RU"/>
        </w:rPr>
      </w:pPr>
      <w:r w:rsidRPr="00606103">
        <w:rPr>
          <w:rFonts w:asciiTheme="majorHAnsi" w:eastAsia="Times New Roman" w:hAnsiTheme="majorHAnsi" w:cstheme="majorHAnsi"/>
          <w:b/>
          <w:i/>
          <w:sz w:val="20"/>
          <w:szCs w:val="24"/>
          <w:lang w:val="ro-MD" w:eastAsia="ru-RU"/>
        </w:rPr>
        <w:t>Sursă:</w:t>
      </w:r>
      <w:r w:rsidRPr="00606103">
        <w:rPr>
          <w:rFonts w:asciiTheme="majorHAnsi" w:eastAsia="Times New Roman" w:hAnsiTheme="majorHAnsi" w:cstheme="majorHAnsi"/>
          <w:i/>
          <w:sz w:val="20"/>
          <w:szCs w:val="24"/>
          <w:lang w:val="ro-MD" w:eastAsia="ru-RU"/>
        </w:rPr>
        <w:t xml:space="preserve"> Informații generalizate de echipa de audit conform Raportului privind executarea bugetului de stat pentru anul 2021.</w:t>
      </w:r>
    </w:p>
    <w:p w:rsidR="00DD1A5A" w:rsidRPr="00606103" w:rsidRDefault="00DD1A5A">
      <w:pPr>
        <w:shd w:val="clear" w:color="auto" w:fill="FFFFFF" w:themeFill="background1"/>
        <w:tabs>
          <w:tab w:val="left" w:pos="142"/>
          <w:tab w:val="left" w:pos="567"/>
          <w:tab w:val="left" w:pos="6237"/>
          <w:tab w:val="left" w:pos="6379"/>
        </w:tabs>
        <w:spacing w:after="0" w:line="276" w:lineRule="auto"/>
        <w:contextualSpacing/>
        <w:jc w:val="left"/>
        <w:rPr>
          <w:rFonts w:asciiTheme="majorHAnsi" w:eastAsia="Times New Roman" w:hAnsiTheme="majorHAnsi" w:cstheme="majorHAnsi"/>
          <w:i/>
          <w:sz w:val="20"/>
          <w:szCs w:val="24"/>
          <w:lang w:val="ro-MD" w:eastAsia="ru-RU"/>
        </w:rPr>
      </w:pPr>
    </w:p>
    <w:p w:rsidR="00082C8F" w:rsidRDefault="00082C8F">
      <w:pPr>
        <w:jc w:val="left"/>
        <w:rPr>
          <w:rFonts w:asciiTheme="majorHAnsi" w:eastAsia="Times New Roman" w:hAnsiTheme="majorHAnsi" w:cstheme="majorHAnsi"/>
          <w:i/>
          <w:sz w:val="20"/>
          <w:szCs w:val="24"/>
          <w:lang w:val="ro-MD" w:eastAsia="ru-RU"/>
        </w:rPr>
      </w:pPr>
      <w:r>
        <w:rPr>
          <w:rFonts w:asciiTheme="majorHAnsi" w:eastAsia="Times New Roman" w:hAnsiTheme="majorHAnsi" w:cstheme="majorHAnsi"/>
          <w:i/>
          <w:sz w:val="20"/>
          <w:szCs w:val="24"/>
          <w:lang w:val="ro-MD" w:eastAsia="ru-RU"/>
        </w:rPr>
        <w:br w:type="page"/>
      </w:r>
    </w:p>
    <w:p w:rsidR="00DD1A5A" w:rsidRPr="00606103" w:rsidRDefault="00DD1A5A" w:rsidP="00552746">
      <w:pPr>
        <w:spacing w:line="276" w:lineRule="auto"/>
        <w:jc w:val="right"/>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lastRenderedPageBreak/>
        <w:t>Anexa nr.8</w:t>
      </w:r>
    </w:p>
    <w:p w:rsidR="00DD1A5A" w:rsidRPr="00606103" w:rsidRDefault="00450E48" w:rsidP="00552746">
      <w:pPr>
        <w:spacing w:after="0" w:line="276" w:lineRule="auto"/>
        <w:jc w:val="center"/>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lang w:val="ro-MD"/>
        </w:rPr>
        <w:t xml:space="preserve">Analiza </w:t>
      </w:r>
      <w:r w:rsidR="00DD1A5A" w:rsidRPr="00606103">
        <w:rPr>
          <w:rFonts w:asciiTheme="majorHAnsi" w:eastAsia="Times New Roman" w:hAnsiTheme="majorHAnsi" w:cstheme="majorHAnsi"/>
          <w:b/>
          <w:sz w:val="24"/>
          <w:szCs w:val="24"/>
          <w:lang w:val="ro-MD"/>
        </w:rPr>
        <w:t xml:space="preserve">investițiilor capitale executate în anul 2021 </w:t>
      </w:r>
      <w:r>
        <w:rPr>
          <w:rFonts w:asciiTheme="majorHAnsi" w:eastAsia="Times New Roman" w:hAnsiTheme="majorHAnsi" w:cstheme="majorHAnsi"/>
          <w:b/>
          <w:sz w:val="24"/>
          <w:szCs w:val="24"/>
          <w:lang w:val="ro-MD"/>
        </w:rPr>
        <w:t>pe programe</w:t>
      </w:r>
    </w:p>
    <w:p w:rsidR="00DD1A5A" w:rsidRPr="00606103" w:rsidRDefault="00DD1A5A" w:rsidP="00552746">
      <w:pPr>
        <w:spacing w:after="0" w:line="276" w:lineRule="auto"/>
        <w:jc w:val="right"/>
        <w:rPr>
          <w:rFonts w:asciiTheme="majorHAnsi" w:eastAsia="Times New Roman" w:hAnsiTheme="majorHAnsi" w:cstheme="majorHAnsi"/>
          <w:i/>
          <w:sz w:val="24"/>
          <w:szCs w:val="24"/>
          <w:lang w:val="ro-MD"/>
        </w:rPr>
      </w:pPr>
      <w:r w:rsidRPr="00606103">
        <w:rPr>
          <w:rFonts w:asciiTheme="majorHAnsi" w:eastAsia="Times New Roman" w:hAnsiTheme="majorHAnsi" w:cstheme="majorHAnsi"/>
          <w:i/>
          <w:sz w:val="24"/>
          <w:szCs w:val="24"/>
          <w:lang w:val="ro-MD"/>
        </w:rPr>
        <w:t>(mii lei)</w:t>
      </w:r>
    </w:p>
    <w:tbl>
      <w:tblPr>
        <w:tblW w:w="14312" w:type="dxa"/>
        <w:tblLook w:val="04A0" w:firstRow="1" w:lastRow="0" w:firstColumn="1" w:lastColumn="0" w:noHBand="0" w:noVBand="1"/>
      </w:tblPr>
      <w:tblGrid>
        <w:gridCol w:w="680"/>
        <w:gridCol w:w="5861"/>
        <w:gridCol w:w="1175"/>
        <w:gridCol w:w="1262"/>
        <w:gridCol w:w="1385"/>
        <w:gridCol w:w="1422"/>
        <w:gridCol w:w="1123"/>
        <w:gridCol w:w="1404"/>
      </w:tblGrid>
      <w:tr w:rsidR="00DD1A5A" w:rsidRPr="00606103" w:rsidTr="00CB55E7">
        <w:trPr>
          <w:trHeight w:val="345"/>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5A" w:rsidRPr="00606103" w:rsidRDefault="00DD1A5A" w:rsidP="007E3F1A">
            <w:pPr>
              <w:spacing w:after="0" w:line="240"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Codul</w:t>
            </w:r>
          </w:p>
        </w:tc>
        <w:tc>
          <w:tcPr>
            <w:tcW w:w="5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5A" w:rsidRPr="00606103" w:rsidRDefault="00DD1A5A" w:rsidP="007E3F1A">
            <w:pPr>
              <w:spacing w:after="0" w:line="240"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Program</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5A" w:rsidRPr="00606103" w:rsidRDefault="00DD1A5A" w:rsidP="007E3F1A">
            <w:pPr>
              <w:spacing w:after="0" w:line="240"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Aprobat</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5A" w:rsidRPr="00606103" w:rsidRDefault="00DD1A5A" w:rsidP="007E3F1A">
            <w:pPr>
              <w:spacing w:after="0" w:line="240"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Precizat</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A5A" w:rsidRPr="00606103" w:rsidRDefault="00DD1A5A" w:rsidP="007E3F1A">
            <w:pPr>
              <w:spacing w:after="0" w:line="240"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Executat</w:t>
            </w:r>
          </w:p>
        </w:tc>
        <w:tc>
          <w:tcPr>
            <w:tcW w:w="2545" w:type="dxa"/>
            <w:gridSpan w:val="2"/>
            <w:tcBorders>
              <w:top w:val="single" w:sz="4" w:space="0" w:color="auto"/>
              <w:left w:val="nil"/>
              <w:bottom w:val="single" w:sz="4" w:space="0" w:color="auto"/>
              <w:right w:val="single" w:sz="4" w:space="0" w:color="auto"/>
            </w:tcBorders>
            <w:shd w:val="clear" w:color="auto" w:fill="auto"/>
            <w:vAlign w:val="center"/>
            <w:hideMark/>
          </w:tcPr>
          <w:p w:rsidR="00DD1A5A" w:rsidRPr="00606103" w:rsidRDefault="00DD1A5A" w:rsidP="007E3F1A">
            <w:pPr>
              <w:spacing w:after="0" w:line="240"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Executat față de precizat</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D1A5A" w:rsidRPr="00606103" w:rsidRDefault="00DD1A5A" w:rsidP="007E3F1A">
            <w:pPr>
              <w:spacing w:after="0" w:line="240" w:lineRule="auto"/>
              <w:ind w:left="-111" w:right="-48"/>
              <w:jc w:val="center"/>
              <w:rPr>
                <w:rFonts w:asciiTheme="majorHAnsi" w:eastAsia="Times New Roman" w:hAnsiTheme="majorHAnsi" w:cstheme="majorHAnsi"/>
                <w:b/>
                <w:bCs/>
                <w:i/>
                <w:iCs/>
                <w:sz w:val="20"/>
                <w:szCs w:val="20"/>
                <w:lang w:val="ro-MD"/>
              </w:rPr>
            </w:pPr>
            <w:r w:rsidRPr="00606103">
              <w:rPr>
                <w:rFonts w:asciiTheme="majorHAnsi" w:eastAsia="Times New Roman" w:hAnsiTheme="majorHAnsi" w:cstheme="majorHAnsi"/>
                <w:b/>
                <w:bCs/>
                <w:i/>
                <w:iCs/>
                <w:sz w:val="20"/>
                <w:szCs w:val="20"/>
                <w:lang w:val="ro-MD"/>
              </w:rPr>
              <w:t>Ponderea în total general executat</w:t>
            </w:r>
          </w:p>
        </w:tc>
      </w:tr>
      <w:tr w:rsidR="00DD1A5A" w:rsidRPr="00606103" w:rsidTr="00CB55E7">
        <w:trPr>
          <w:trHeight w:val="363"/>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b/>
                <w:bCs/>
                <w:sz w:val="20"/>
                <w:szCs w:val="20"/>
                <w:lang w:val="ro-MD"/>
              </w:rPr>
            </w:pPr>
          </w:p>
        </w:tc>
        <w:tc>
          <w:tcPr>
            <w:tcW w:w="5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b/>
                <w:bCs/>
                <w:sz w:val="20"/>
                <w:szCs w:val="20"/>
                <w:lang w:val="ro-MD"/>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b/>
                <w:bCs/>
                <w:sz w:val="20"/>
                <w:szCs w:val="20"/>
                <w:lang w:val="ro-MD"/>
              </w:rPr>
            </w:pPr>
          </w:p>
        </w:tc>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b/>
                <w:bCs/>
                <w:sz w:val="20"/>
                <w:szCs w:val="20"/>
                <w:lang w:val="ro-MD"/>
              </w:rPr>
            </w:pPr>
          </w:p>
        </w:tc>
        <w:tc>
          <w:tcPr>
            <w:tcW w:w="13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b/>
                <w:bCs/>
                <w:sz w:val="20"/>
                <w:szCs w:val="20"/>
                <w:lang w:val="ro-MD"/>
              </w:rPr>
            </w:pPr>
          </w:p>
        </w:tc>
        <w:tc>
          <w:tcPr>
            <w:tcW w:w="1422"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ind w:left="-94" w:right="2"/>
              <w:jc w:val="center"/>
              <w:rPr>
                <w:rFonts w:asciiTheme="majorHAnsi" w:eastAsia="Times New Roman" w:hAnsiTheme="majorHAnsi" w:cstheme="majorHAnsi"/>
                <w:b/>
                <w:bCs/>
                <w:i/>
                <w:iCs/>
                <w:sz w:val="20"/>
                <w:szCs w:val="20"/>
                <w:lang w:val="ro-MD"/>
              </w:rPr>
            </w:pPr>
            <w:r w:rsidRPr="00606103">
              <w:rPr>
                <w:rFonts w:asciiTheme="majorHAnsi" w:eastAsia="Times New Roman" w:hAnsiTheme="majorHAnsi" w:cstheme="majorHAnsi"/>
                <w:b/>
                <w:bCs/>
                <w:i/>
                <w:iCs/>
                <w:sz w:val="20"/>
                <w:szCs w:val="20"/>
                <w:lang w:val="ro-MD"/>
              </w:rPr>
              <w:t>devieri (+/-)</w:t>
            </w:r>
          </w:p>
        </w:tc>
        <w:tc>
          <w:tcPr>
            <w:tcW w:w="1123"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b/>
                <w:bCs/>
                <w:i/>
                <w:iCs/>
                <w:sz w:val="20"/>
                <w:szCs w:val="20"/>
                <w:lang w:val="ro-MD"/>
              </w:rPr>
            </w:pPr>
            <w:r w:rsidRPr="00606103">
              <w:rPr>
                <w:rFonts w:asciiTheme="majorHAnsi" w:eastAsia="Times New Roman" w:hAnsiTheme="majorHAnsi" w:cstheme="majorHAnsi"/>
                <w:b/>
                <w:bCs/>
                <w:i/>
                <w:iCs/>
                <w:sz w:val="20"/>
                <w:szCs w:val="20"/>
                <w:lang w:val="ro-MD"/>
              </w:rPr>
              <w:t>în %</w:t>
            </w:r>
          </w:p>
        </w:tc>
        <w:tc>
          <w:tcPr>
            <w:tcW w:w="14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left"/>
              <w:rPr>
                <w:rFonts w:asciiTheme="majorHAnsi" w:eastAsia="Times New Roman" w:hAnsiTheme="majorHAnsi" w:cstheme="majorHAnsi"/>
                <w:b/>
                <w:bCs/>
                <w:i/>
                <w:iCs/>
                <w:sz w:val="20"/>
                <w:szCs w:val="20"/>
                <w:lang w:val="ro-MD"/>
              </w:rPr>
            </w:pPr>
          </w:p>
        </w:tc>
      </w:tr>
      <w:tr w:rsidR="00DD1A5A" w:rsidRPr="00606103" w:rsidTr="00CB55E7">
        <w:trPr>
          <w:trHeight w:val="18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iCs/>
                <w:sz w:val="16"/>
                <w:szCs w:val="16"/>
                <w:lang w:val="ro-MD"/>
              </w:rPr>
            </w:pPr>
            <w:r w:rsidRPr="00606103">
              <w:rPr>
                <w:rFonts w:asciiTheme="majorHAnsi" w:eastAsia="Times New Roman" w:hAnsiTheme="majorHAnsi" w:cstheme="majorHAnsi"/>
                <w:i/>
                <w:iCs/>
                <w:sz w:val="16"/>
                <w:szCs w:val="16"/>
                <w:lang w:val="ro-MD"/>
              </w:rPr>
              <w:t>1</w:t>
            </w:r>
          </w:p>
        </w:tc>
        <w:tc>
          <w:tcPr>
            <w:tcW w:w="5880"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i/>
                <w:iCs/>
                <w:sz w:val="16"/>
                <w:szCs w:val="16"/>
                <w:lang w:val="ro-MD"/>
              </w:rPr>
            </w:pPr>
            <w:r w:rsidRPr="00606103">
              <w:rPr>
                <w:rFonts w:asciiTheme="majorHAnsi" w:eastAsia="Times New Roman" w:hAnsiTheme="majorHAnsi" w:cstheme="majorHAnsi"/>
                <w:i/>
                <w:iCs/>
                <w:sz w:val="16"/>
                <w:szCs w:val="16"/>
                <w:lang w:val="ro-MD"/>
              </w:rPr>
              <w:t>2</w:t>
            </w:r>
          </w:p>
        </w:tc>
        <w:tc>
          <w:tcPr>
            <w:tcW w:w="1163"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iCs/>
                <w:sz w:val="16"/>
                <w:szCs w:val="16"/>
                <w:lang w:val="ro-MD"/>
              </w:rPr>
            </w:pPr>
            <w:r w:rsidRPr="00606103">
              <w:rPr>
                <w:rFonts w:asciiTheme="majorHAnsi" w:eastAsia="Times New Roman" w:hAnsiTheme="majorHAnsi" w:cstheme="majorHAnsi"/>
                <w:i/>
                <w:iCs/>
                <w:sz w:val="16"/>
                <w:szCs w:val="16"/>
                <w:lang w:val="ro-MD"/>
              </w:rPr>
              <w:t>3</w:t>
            </w:r>
          </w:p>
        </w:tc>
        <w:tc>
          <w:tcPr>
            <w:tcW w:w="1262"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iCs/>
                <w:sz w:val="16"/>
                <w:szCs w:val="16"/>
                <w:lang w:val="ro-MD"/>
              </w:rPr>
            </w:pPr>
            <w:r w:rsidRPr="00606103">
              <w:rPr>
                <w:rFonts w:asciiTheme="majorHAnsi" w:eastAsia="Times New Roman" w:hAnsiTheme="majorHAnsi" w:cstheme="majorHAnsi"/>
                <w:i/>
                <w:iCs/>
                <w:sz w:val="16"/>
                <w:szCs w:val="16"/>
                <w:lang w:val="ro-MD"/>
              </w:rPr>
              <w:t>4</w:t>
            </w:r>
          </w:p>
        </w:tc>
        <w:tc>
          <w:tcPr>
            <w:tcW w:w="1385"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iCs/>
                <w:sz w:val="16"/>
                <w:szCs w:val="16"/>
                <w:lang w:val="ro-MD"/>
              </w:rPr>
            </w:pPr>
            <w:r w:rsidRPr="00606103">
              <w:rPr>
                <w:rFonts w:asciiTheme="majorHAnsi" w:eastAsia="Times New Roman" w:hAnsiTheme="majorHAnsi" w:cstheme="majorHAnsi"/>
                <w:i/>
                <w:iCs/>
                <w:sz w:val="16"/>
                <w:szCs w:val="16"/>
                <w:lang w:val="ro-MD"/>
              </w:rPr>
              <w:t>5</w:t>
            </w:r>
          </w:p>
        </w:tc>
        <w:tc>
          <w:tcPr>
            <w:tcW w:w="1422"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iCs/>
                <w:sz w:val="16"/>
                <w:szCs w:val="16"/>
                <w:lang w:val="ro-MD"/>
              </w:rPr>
            </w:pPr>
            <w:r w:rsidRPr="00606103">
              <w:rPr>
                <w:rFonts w:asciiTheme="majorHAnsi" w:eastAsia="Times New Roman" w:hAnsiTheme="majorHAnsi" w:cstheme="majorHAnsi"/>
                <w:i/>
                <w:iCs/>
                <w:sz w:val="16"/>
                <w:szCs w:val="16"/>
                <w:lang w:val="ro-MD"/>
              </w:rPr>
              <w:t>6=5-4</w:t>
            </w:r>
          </w:p>
        </w:tc>
        <w:tc>
          <w:tcPr>
            <w:tcW w:w="1123"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i/>
                <w:iCs/>
                <w:sz w:val="16"/>
                <w:szCs w:val="16"/>
                <w:lang w:val="ro-MD"/>
              </w:rPr>
            </w:pPr>
            <w:r w:rsidRPr="00606103">
              <w:rPr>
                <w:rFonts w:asciiTheme="majorHAnsi" w:eastAsia="Times New Roman" w:hAnsiTheme="majorHAnsi" w:cstheme="majorHAnsi"/>
                <w:i/>
                <w:iCs/>
                <w:sz w:val="16"/>
                <w:szCs w:val="16"/>
                <w:lang w:val="ro-MD"/>
              </w:rPr>
              <w:t>7=5/4*100</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eastAsia="Times New Roman" w:hAnsiTheme="majorHAnsi" w:cstheme="majorHAnsi"/>
                <w:i/>
                <w:iCs/>
                <w:sz w:val="16"/>
                <w:szCs w:val="16"/>
                <w:lang w:val="ro-MD"/>
              </w:rPr>
            </w:pPr>
            <w:r w:rsidRPr="00606103">
              <w:rPr>
                <w:rFonts w:asciiTheme="majorHAnsi" w:eastAsia="Times New Roman" w:hAnsiTheme="majorHAnsi" w:cstheme="majorHAnsi"/>
                <w:i/>
                <w:iCs/>
                <w:sz w:val="16"/>
                <w:szCs w:val="16"/>
                <w:lang w:val="ro-MD"/>
              </w:rPr>
              <w:t>8</w:t>
            </w:r>
          </w:p>
        </w:tc>
      </w:tr>
      <w:tr w:rsidR="00DD1A5A" w:rsidRPr="00606103" w:rsidTr="00CB55E7">
        <w:trPr>
          <w:trHeight w:val="251"/>
        </w:trPr>
        <w:tc>
          <w:tcPr>
            <w:tcW w:w="673" w:type="dxa"/>
            <w:tcBorders>
              <w:top w:val="nil"/>
              <w:left w:val="single" w:sz="4" w:space="0" w:color="auto"/>
              <w:bottom w:val="single" w:sz="4" w:space="0" w:color="auto"/>
              <w:right w:val="single" w:sz="4" w:space="0" w:color="auto"/>
            </w:tcBorders>
            <w:shd w:val="clear" w:color="000000" w:fill="FCE4D6"/>
            <w:noWrap/>
            <w:vAlign w:val="bottom"/>
            <w:hideMark/>
          </w:tcPr>
          <w:p w:rsidR="00DD1A5A" w:rsidRPr="00606103" w:rsidRDefault="00DD1A5A" w:rsidP="00552746">
            <w:pPr>
              <w:spacing w:after="0" w:line="276" w:lineRule="auto"/>
              <w:jc w:val="center"/>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 </w:t>
            </w:r>
          </w:p>
        </w:tc>
        <w:tc>
          <w:tcPr>
            <w:tcW w:w="5880" w:type="dxa"/>
            <w:tcBorders>
              <w:top w:val="nil"/>
              <w:left w:val="nil"/>
              <w:bottom w:val="single" w:sz="4" w:space="0" w:color="auto"/>
              <w:right w:val="single" w:sz="4" w:space="0" w:color="auto"/>
            </w:tcBorders>
            <w:shd w:val="clear" w:color="000000" w:fill="FCE4D6"/>
            <w:vAlign w:val="bottom"/>
            <w:hideMark/>
          </w:tcPr>
          <w:p w:rsidR="00DD1A5A" w:rsidRPr="00606103" w:rsidRDefault="00DD1A5A" w:rsidP="00552746">
            <w:pPr>
              <w:spacing w:after="0" w:line="276" w:lineRule="auto"/>
              <w:jc w:val="lef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TOTAL GENERAL</w:t>
            </w:r>
          </w:p>
        </w:tc>
        <w:tc>
          <w:tcPr>
            <w:tcW w:w="1163" w:type="dxa"/>
            <w:tcBorders>
              <w:top w:val="nil"/>
              <w:left w:val="nil"/>
              <w:bottom w:val="single" w:sz="4" w:space="0" w:color="auto"/>
              <w:right w:val="single" w:sz="4" w:space="0" w:color="auto"/>
            </w:tcBorders>
            <w:shd w:val="clear" w:color="000000" w:fill="FCE4D6"/>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1.648.054,3</w:t>
            </w:r>
          </w:p>
        </w:tc>
        <w:tc>
          <w:tcPr>
            <w:tcW w:w="1262" w:type="dxa"/>
            <w:tcBorders>
              <w:top w:val="nil"/>
              <w:left w:val="nil"/>
              <w:bottom w:val="single" w:sz="4" w:space="0" w:color="auto"/>
              <w:right w:val="single" w:sz="4" w:space="0" w:color="auto"/>
            </w:tcBorders>
            <w:shd w:val="clear" w:color="000000" w:fill="FCE4D6"/>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2.257.236,7</w:t>
            </w:r>
          </w:p>
        </w:tc>
        <w:tc>
          <w:tcPr>
            <w:tcW w:w="1385" w:type="dxa"/>
            <w:tcBorders>
              <w:top w:val="nil"/>
              <w:left w:val="nil"/>
              <w:bottom w:val="single" w:sz="4" w:space="0" w:color="auto"/>
              <w:right w:val="single" w:sz="4" w:space="0" w:color="auto"/>
            </w:tcBorders>
            <w:shd w:val="clear" w:color="000000" w:fill="FCE4D6"/>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1.665.246,9</w:t>
            </w:r>
          </w:p>
        </w:tc>
        <w:tc>
          <w:tcPr>
            <w:tcW w:w="1422" w:type="dxa"/>
            <w:tcBorders>
              <w:top w:val="nil"/>
              <w:left w:val="nil"/>
              <w:bottom w:val="single" w:sz="4" w:space="0" w:color="auto"/>
              <w:right w:val="single" w:sz="4" w:space="0" w:color="auto"/>
            </w:tcBorders>
            <w:shd w:val="clear" w:color="000000" w:fill="FCE4D6"/>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-591.989,8</w:t>
            </w:r>
          </w:p>
        </w:tc>
        <w:tc>
          <w:tcPr>
            <w:tcW w:w="1123" w:type="dxa"/>
            <w:tcBorders>
              <w:top w:val="nil"/>
              <w:left w:val="nil"/>
              <w:bottom w:val="single" w:sz="4" w:space="0" w:color="auto"/>
              <w:right w:val="single" w:sz="4" w:space="0" w:color="auto"/>
            </w:tcBorders>
            <w:shd w:val="clear" w:color="000000" w:fill="FCE4D6"/>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sz w:val="20"/>
                <w:szCs w:val="20"/>
                <w:lang w:val="ro-MD"/>
              </w:rPr>
            </w:pPr>
            <w:r w:rsidRPr="00606103">
              <w:rPr>
                <w:rFonts w:asciiTheme="majorHAnsi" w:eastAsia="Times New Roman" w:hAnsiTheme="majorHAnsi" w:cstheme="majorHAnsi"/>
                <w:b/>
                <w:bCs/>
                <w:sz w:val="20"/>
                <w:szCs w:val="20"/>
                <w:lang w:val="ro-MD"/>
              </w:rPr>
              <w:t xml:space="preserve">  73,8</w:t>
            </w:r>
          </w:p>
        </w:tc>
        <w:tc>
          <w:tcPr>
            <w:tcW w:w="1404" w:type="dxa"/>
            <w:tcBorders>
              <w:top w:val="nil"/>
              <w:left w:val="nil"/>
              <w:bottom w:val="single" w:sz="4" w:space="0" w:color="auto"/>
              <w:right w:val="single" w:sz="4" w:space="0" w:color="auto"/>
            </w:tcBorders>
            <w:shd w:val="clear" w:color="000000" w:fill="FCE4D6"/>
            <w:noWrap/>
            <w:vAlign w:val="bottom"/>
            <w:hideMark/>
          </w:tcPr>
          <w:p w:rsidR="00DD1A5A" w:rsidRPr="00606103" w:rsidRDefault="00DD1A5A" w:rsidP="00552746">
            <w:pPr>
              <w:spacing w:after="0" w:line="276" w:lineRule="auto"/>
              <w:jc w:val="right"/>
              <w:rPr>
                <w:rFonts w:asciiTheme="majorHAnsi" w:eastAsia="Times New Roman" w:hAnsiTheme="majorHAnsi" w:cstheme="majorHAnsi"/>
                <w:b/>
                <w:bCs/>
                <w:i/>
                <w:iCs/>
                <w:sz w:val="20"/>
                <w:szCs w:val="20"/>
                <w:lang w:val="ro-MD"/>
              </w:rPr>
            </w:pPr>
            <w:r w:rsidRPr="00606103">
              <w:rPr>
                <w:rFonts w:asciiTheme="majorHAnsi" w:eastAsia="Times New Roman" w:hAnsiTheme="majorHAnsi" w:cstheme="majorHAnsi"/>
                <w:b/>
                <w:bCs/>
                <w:i/>
                <w:iCs/>
                <w:sz w:val="20"/>
                <w:szCs w:val="20"/>
                <w:lang w:val="ro-MD"/>
              </w:rPr>
              <w:t>100,0</w:t>
            </w:r>
          </w:p>
        </w:tc>
      </w:tr>
      <w:tr w:rsidR="00DD1A5A" w:rsidRPr="00606103" w:rsidTr="00CB55E7">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6402</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Dezvoltarea drumurilor</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1.120.885,9</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1.925.140,0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1.471.637,4</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-453.502,6</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76,4</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88,4</w:t>
            </w:r>
          </w:p>
        </w:tc>
      </w:tr>
      <w:tr w:rsidR="00DD1A5A" w:rsidRPr="00606103" w:rsidTr="00CB55E7">
        <w:trPr>
          <w:trHeight w:val="251"/>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8019</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Dezvoltarea și modernizarea instituțiilor în domeniul ocrotirii sănătății</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44.639,4</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35.602,8</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35.289,8</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-313,0</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99,1</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2,1</w:t>
            </w:r>
          </w:p>
        </w:tc>
      </w:tr>
      <w:tr w:rsidR="00DD1A5A" w:rsidRPr="00606103" w:rsidTr="00CB55E7">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5102</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Dezvoltarea durabilă a sectoarelor fitotehnie și horticultură</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43.536,4</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30.896,5</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28.335,5</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-2.561,0</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91,7</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1,7</w:t>
            </w:r>
          </w:p>
        </w:tc>
      </w:tr>
      <w:tr w:rsidR="00DD1A5A" w:rsidRPr="00606103" w:rsidTr="00CB55E7">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4302</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Sistemul penitenciar</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129.428,0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25.538,0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18.394,6</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-7.143,4</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72,0</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1,1</w:t>
            </w:r>
          </w:p>
        </w:tc>
      </w:tr>
      <w:tr w:rsidR="00DD1A5A" w:rsidRPr="00606103" w:rsidTr="00CB55E7">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8809</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Învățământ profesional-tehnic postsecundar</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36.238,0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25.478,0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17.013,0</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-8.465,0</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66,8</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1,0</w:t>
            </w:r>
          </w:p>
        </w:tc>
      </w:tr>
      <w:tr w:rsidR="00DD1A5A" w:rsidRPr="00606103" w:rsidTr="00CB55E7">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8503</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Protejarea și punerea în valoare a patrimoniului cultural național</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33.947,3</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16.384,8</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15.100,7</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-1.284,1</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92,2</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0,9</w:t>
            </w:r>
          </w:p>
        </w:tc>
      </w:tr>
      <w:tr w:rsidR="00DD1A5A" w:rsidRPr="00606103" w:rsidTr="00CB55E7">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3506</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Managementul frontierei</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20.678,4</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27.284,7</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13.412,4</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-13.872,3</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49,2</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0,8</w:t>
            </w:r>
          </w:p>
        </w:tc>
      </w:tr>
      <w:tr w:rsidR="00DD1A5A" w:rsidRPr="00606103" w:rsidTr="00CB55E7">
        <w:trPr>
          <w:trHeight w:val="12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0502</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Administrarea veniturilor publice</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51.715,7</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23.733,1</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11.601,9</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-12.131,2</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48,9</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0,7</w:t>
            </w:r>
          </w:p>
        </w:tc>
      </w:tr>
      <w:tr w:rsidR="00DD1A5A" w:rsidRPr="00606103" w:rsidTr="00CB55E7">
        <w:trPr>
          <w:trHeight w:val="174"/>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3505</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Servicii de suport în domeniul afacerilor interne</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36.080,0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34.080,0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10.852,6</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-23.227,4</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31,8</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0,7</w:t>
            </w:r>
          </w:p>
        </w:tc>
      </w:tr>
      <w:tr w:rsidR="00DD1A5A" w:rsidRPr="00606103" w:rsidTr="00CB55E7">
        <w:trPr>
          <w:trHeight w:val="2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3502</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Ordine și siguranța publică</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17.650,0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17.752,0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8.404,8</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-9.347,2</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47,3</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0,5</w:t>
            </w:r>
          </w:p>
        </w:tc>
      </w:tr>
      <w:tr w:rsidR="00DD1A5A" w:rsidRPr="00606103" w:rsidTr="00CB55E7">
        <w:trPr>
          <w:trHeight w:val="56"/>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8806</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Învățământ liceal</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11.609,0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11.609,0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8.119,7</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-3.489,3</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69,9</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0,5</w:t>
            </w:r>
          </w:p>
        </w:tc>
      </w:tr>
      <w:tr w:rsidR="00DD1A5A" w:rsidRPr="00606103" w:rsidTr="00CB55E7">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8602</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Sport</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7.000,0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7.590,2</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7.588,1</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-2,1</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100,0</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0,5</w:t>
            </w:r>
          </w:p>
        </w:tc>
      </w:tr>
      <w:tr w:rsidR="00DD1A5A" w:rsidRPr="00606103" w:rsidTr="00CB55E7">
        <w:trPr>
          <w:trHeight w:val="76"/>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3602</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Asigurarea securității de stat</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7.000,0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7.000,0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7.000,0</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100,0</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0,4</w:t>
            </w:r>
          </w:p>
        </w:tc>
      </w:tr>
      <w:tr w:rsidR="00DD1A5A" w:rsidRPr="00606103" w:rsidTr="00CB55E7">
        <w:trPr>
          <w:trHeight w:val="10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7504</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Construcția locuințelor</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9.000,0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9.600,0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3.484,4</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-6.115,6</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36,3</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0,2</w:t>
            </w:r>
          </w:p>
        </w:tc>
      </w:tr>
      <w:tr w:rsidR="00DD1A5A" w:rsidRPr="00606103" w:rsidTr="00CB55E7">
        <w:trPr>
          <w:trHeight w:val="96"/>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8808</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Învățământ profesional-tehnic secundar</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3.300,0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3.410,0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3.216,4</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-193,6</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94,3</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0,2</w:t>
            </w:r>
          </w:p>
        </w:tc>
      </w:tr>
      <w:tr w:rsidR="00DD1A5A" w:rsidRPr="00606103" w:rsidTr="00CB55E7">
        <w:trPr>
          <w:trHeight w:val="22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0602</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Promovarea intereselor naționale prin intermediul instituțiilor serviciului diplomatic</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11.000,0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4.000,0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2.496,4</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-1.503,6</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62,4</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0,1</w:t>
            </w:r>
          </w:p>
        </w:tc>
      </w:tr>
      <w:tr w:rsidR="00DD1A5A" w:rsidRPr="00606103" w:rsidTr="00CB55E7">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5002</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Promovarea exporturilor</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2.400,0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1.427,8</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-972,2</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59,5</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0,1</w:t>
            </w:r>
          </w:p>
        </w:tc>
      </w:tr>
      <w:tr w:rsidR="00DD1A5A" w:rsidRPr="00606103" w:rsidTr="00CB55E7">
        <w:trPr>
          <w:trHeight w:val="128"/>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3702</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Protecția civilă și apărarea împotriva incendiilor</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16.496,2</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3.200,0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900,0</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-2.300,0</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28,1</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0,1</w:t>
            </w:r>
          </w:p>
        </w:tc>
      </w:tr>
      <w:tr w:rsidR="00DD1A5A" w:rsidRPr="00606103" w:rsidTr="00CB55E7">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0501</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Politici și management în domeniul bugetar-fiscal</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881,9</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616,5</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-265,4</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69,9</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0,0</w:t>
            </w:r>
          </w:p>
        </w:tc>
      </w:tr>
      <w:tr w:rsidR="00DD1A5A" w:rsidRPr="00606103" w:rsidTr="00CB55E7">
        <w:trPr>
          <w:trHeight w:val="148"/>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9009</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Protecție în domeniul asigurării cu locuințe</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350,0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350,0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274,7</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-75,3</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78,5</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0,0</w:t>
            </w:r>
          </w:p>
        </w:tc>
      </w:tr>
      <w:tr w:rsidR="00DD1A5A" w:rsidRPr="00606103" w:rsidTr="00CB55E7">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6406</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Dezvoltarea transportului aerian</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86,8</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80,0</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-6,8</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92,2</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0,0</w:t>
            </w:r>
          </w:p>
        </w:tc>
      </w:tr>
      <w:tr w:rsidR="00DD1A5A" w:rsidRPr="00606103" w:rsidTr="00CB55E7">
        <w:trPr>
          <w:trHeight w:val="143"/>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4015</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Administrare judecătorească</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10.000,0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4.000,0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-4.000,0</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0,0</w:t>
            </w:r>
          </w:p>
        </w:tc>
      </w:tr>
      <w:tr w:rsidR="00DD1A5A" w:rsidRPr="00606103" w:rsidTr="00CB55E7">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0601</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Politici și management în domeniul relațiilor externe</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500,0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0,0</w:t>
            </w:r>
          </w:p>
        </w:tc>
      </w:tr>
      <w:tr w:rsidR="00DD1A5A" w:rsidRPr="00606103" w:rsidTr="00CB55E7">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7002</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Managementul integrat al deșeurilor și a substanțelor chimice</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37.000,0</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37.000,0</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-37.000,0</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0,0</w:t>
            </w:r>
          </w:p>
        </w:tc>
      </w:tr>
      <w:tr w:rsidR="00DD1A5A" w:rsidRPr="00606103" w:rsidTr="00CB55E7">
        <w:trPr>
          <w:trHeight w:val="123"/>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5803</w:t>
            </w:r>
          </w:p>
        </w:tc>
        <w:tc>
          <w:tcPr>
            <w:tcW w:w="5880" w:type="dxa"/>
            <w:tcBorders>
              <w:top w:val="nil"/>
              <w:left w:val="nil"/>
              <w:bottom w:val="single" w:sz="4" w:space="0" w:color="auto"/>
              <w:right w:val="single" w:sz="4" w:space="0" w:color="auto"/>
            </w:tcBorders>
            <w:shd w:val="clear" w:color="auto" w:fill="auto"/>
            <w:vAlign w:val="bottom"/>
            <w:hideMark/>
          </w:tcPr>
          <w:p w:rsidR="00DD1A5A" w:rsidRPr="00606103" w:rsidRDefault="00DD1A5A" w:rsidP="00552746">
            <w:pPr>
              <w:spacing w:after="0" w:line="276" w:lineRule="auto"/>
              <w:jc w:val="left"/>
              <w:rPr>
                <w:rFonts w:asciiTheme="majorHAnsi" w:hAnsiTheme="majorHAnsi" w:cstheme="majorHAnsi"/>
                <w:sz w:val="20"/>
                <w:szCs w:val="20"/>
                <w:lang w:val="ro-MD"/>
              </w:rPr>
            </w:pPr>
            <w:r w:rsidRPr="00606103">
              <w:rPr>
                <w:rFonts w:asciiTheme="majorHAnsi" w:hAnsiTheme="majorHAnsi" w:cstheme="majorHAnsi"/>
                <w:sz w:val="20"/>
                <w:szCs w:val="20"/>
                <w:lang w:val="ro-MD"/>
              </w:rPr>
              <w:t>Rețele electrice</w:t>
            </w:r>
          </w:p>
        </w:tc>
        <w:tc>
          <w:tcPr>
            <w:tcW w:w="116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w:t>
            </w:r>
          </w:p>
        </w:tc>
        <w:tc>
          <w:tcPr>
            <w:tcW w:w="126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4.218,9</w:t>
            </w:r>
          </w:p>
        </w:tc>
        <w:tc>
          <w:tcPr>
            <w:tcW w:w="1385"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c>
          <w:tcPr>
            <w:tcW w:w="1422"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-4.218,9</w:t>
            </w:r>
          </w:p>
        </w:tc>
        <w:tc>
          <w:tcPr>
            <w:tcW w:w="1123"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c>
          <w:tcPr>
            <w:tcW w:w="1404"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552746">
            <w:pPr>
              <w:spacing w:after="0" w:line="276" w:lineRule="auto"/>
              <w:jc w:val="right"/>
              <w:rPr>
                <w:rFonts w:asciiTheme="majorHAnsi" w:hAnsiTheme="majorHAnsi" w:cstheme="majorHAnsi"/>
                <w:b/>
                <w:bCs/>
                <w:i/>
                <w:iCs/>
                <w:sz w:val="20"/>
                <w:szCs w:val="20"/>
                <w:lang w:val="ro-MD"/>
              </w:rPr>
            </w:pPr>
            <w:r w:rsidRPr="00606103">
              <w:rPr>
                <w:rFonts w:asciiTheme="majorHAnsi" w:hAnsiTheme="majorHAnsi" w:cstheme="majorHAnsi"/>
                <w:b/>
                <w:bCs/>
                <w:i/>
                <w:iCs/>
                <w:sz w:val="20"/>
                <w:szCs w:val="20"/>
                <w:lang w:val="ro-MD"/>
              </w:rPr>
              <w:t>0,0</w:t>
            </w:r>
          </w:p>
        </w:tc>
      </w:tr>
    </w:tbl>
    <w:p w:rsidR="00DD1A5A" w:rsidRPr="00606103" w:rsidRDefault="00DD1A5A" w:rsidP="00552746">
      <w:pPr>
        <w:spacing w:line="276" w:lineRule="auto"/>
        <w:rPr>
          <w:rFonts w:asciiTheme="majorHAnsi" w:eastAsia="Times New Roman" w:hAnsiTheme="majorHAnsi" w:cstheme="majorHAnsi"/>
          <w:i/>
          <w:sz w:val="20"/>
          <w:szCs w:val="24"/>
          <w:lang w:val="ro-MD" w:eastAsia="ru-RU"/>
        </w:rPr>
      </w:pPr>
      <w:r w:rsidRPr="00606103">
        <w:rPr>
          <w:rFonts w:asciiTheme="majorHAnsi" w:eastAsia="Times New Roman" w:hAnsiTheme="majorHAnsi" w:cstheme="majorHAnsi"/>
          <w:b/>
          <w:i/>
          <w:sz w:val="20"/>
          <w:szCs w:val="24"/>
          <w:lang w:val="ro-MD" w:eastAsia="ru-RU"/>
        </w:rPr>
        <w:t>Sursă:</w:t>
      </w:r>
      <w:r w:rsidRPr="00606103">
        <w:rPr>
          <w:rFonts w:asciiTheme="majorHAnsi" w:eastAsia="Times New Roman" w:hAnsiTheme="majorHAnsi" w:cstheme="majorHAnsi"/>
          <w:i/>
          <w:sz w:val="20"/>
          <w:szCs w:val="24"/>
          <w:lang w:val="ro-MD" w:eastAsia="ru-RU"/>
        </w:rPr>
        <w:t xml:space="preserve"> Informații generalizate de echipa de audit conform Raportului privind executarea bugetului de stat pentru anul 2021.</w:t>
      </w:r>
    </w:p>
    <w:p w:rsidR="00DD1A5A" w:rsidRPr="00606103" w:rsidRDefault="00DD1A5A" w:rsidP="00FE3F3B">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lastRenderedPageBreak/>
        <w:t>Anexa nr.9</w:t>
      </w:r>
    </w:p>
    <w:p w:rsidR="00DD1A5A" w:rsidRPr="00606103" w:rsidRDefault="00DD1A5A">
      <w:pPr>
        <w:shd w:val="clear" w:color="auto" w:fill="FFFFFF" w:themeFill="background1"/>
        <w:tabs>
          <w:tab w:val="left" w:pos="284"/>
          <w:tab w:val="left" w:pos="993"/>
          <w:tab w:val="left" w:pos="6663"/>
        </w:tabs>
        <w:spacing w:after="0" w:line="276" w:lineRule="auto"/>
        <w:jc w:val="center"/>
        <w:rPr>
          <w:rFonts w:asciiTheme="majorHAnsi" w:eastAsia="Times New Roman" w:hAnsiTheme="majorHAnsi" w:cstheme="majorHAnsi"/>
          <w:b/>
          <w:bCs/>
          <w:color w:val="000000"/>
          <w:sz w:val="24"/>
          <w:szCs w:val="24"/>
          <w:lang w:val="ro-MD" w:eastAsia="ru-RU"/>
        </w:rPr>
      </w:pPr>
      <w:r w:rsidRPr="00606103">
        <w:rPr>
          <w:rFonts w:asciiTheme="majorHAnsi" w:eastAsia="Times New Roman" w:hAnsiTheme="majorHAnsi" w:cstheme="majorHAnsi"/>
          <w:b/>
          <w:bCs/>
          <w:color w:val="000000"/>
          <w:sz w:val="24"/>
          <w:szCs w:val="24"/>
          <w:lang w:val="ro-MD" w:eastAsia="ru-RU"/>
        </w:rPr>
        <w:t xml:space="preserve">Sinteza proiectelor de investiții la care au fost majorate în anul 2021 cu peste 15,0% costurile totale estimate inițial </w:t>
      </w:r>
    </w:p>
    <w:p w:rsidR="00DD1A5A" w:rsidRPr="00606103" w:rsidRDefault="00DD1A5A" w:rsidP="00552746">
      <w:pPr>
        <w:spacing w:after="0" w:line="276" w:lineRule="auto"/>
        <w:jc w:val="right"/>
        <w:rPr>
          <w:rFonts w:asciiTheme="majorHAnsi" w:hAnsiTheme="majorHAnsi" w:cstheme="majorHAnsi"/>
          <w:i/>
          <w:lang w:val="ro-MD"/>
        </w:rPr>
      </w:pPr>
      <w:r w:rsidRPr="00606103">
        <w:rPr>
          <w:rFonts w:asciiTheme="majorHAnsi" w:eastAsia="Times New Roman" w:hAnsiTheme="majorHAnsi" w:cstheme="majorHAnsi"/>
          <w:bCs/>
          <w:i/>
          <w:color w:val="000000"/>
          <w:sz w:val="24"/>
          <w:szCs w:val="24"/>
          <w:lang w:val="ro-MD" w:eastAsia="ru-RU"/>
        </w:rPr>
        <w:t>(mii lei)</w:t>
      </w:r>
    </w:p>
    <w:tbl>
      <w:tblPr>
        <w:tblW w:w="14737" w:type="dxa"/>
        <w:tblLook w:val="04A0" w:firstRow="1" w:lastRow="0" w:firstColumn="1" w:lastColumn="0" w:noHBand="0" w:noVBand="1"/>
      </w:tblPr>
      <w:tblGrid>
        <w:gridCol w:w="522"/>
        <w:gridCol w:w="2572"/>
        <w:gridCol w:w="969"/>
        <w:gridCol w:w="804"/>
        <w:gridCol w:w="1062"/>
        <w:gridCol w:w="1437"/>
        <w:gridCol w:w="981"/>
        <w:gridCol w:w="1024"/>
        <w:gridCol w:w="961"/>
        <w:gridCol w:w="923"/>
        <w:gridCol w:w="778"/>
        <w:gridCol w:w="760"/>
        <w:gridCol w:w="897"/>
        <w:gridCol w:w="1047"/>
      </w:tblGrid>
      <w:tr w:rsidR="00DD1A5A" w:rsidRPr="00606103" w:rsidTr="005845D7">
        <w:trPr>
          <w:trHeight w:val="612"/>
        </w:trPr>
        <w:tc>
          <w:tcPr>
            <w:tcW w:w="5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N/o</w:t>
            </w:r>
          </w:p>
        </w:tc>
        <w:tc>
          <w:tcPr>
            <w:tcW w:w="25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Denumirea proiectului</w:t>
            </w:r>
          </w:p>
        </w:tc>
        <w:tc>
          <w:tcPr>
            <w:tcW w:w="9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D1A5A" w:rsidRPr="00606103" w:rsidRDefault="00DD1A5A" w:rsidP="00552746">
            <w:pPr>
              <w:spacing w:after="0" w:line="276" w:lineRule="auto"/>
              <w:ind w:left="-192" w:right="-135"/>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APC responsabil</w:t>
            </w:r>
          </w:p>
        </w:tc>
        <w:tc>
          <w:tcPr>
            <w:tcW w:w="8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Anul lansării</w:t>
            </w:r>
          </w:p>
        </w:tc>
        <w:tc>
          <w:tcPr>
            <w:tcW w:w="1062" w:type="dxa"/>
            <w:vMerge w:val="restart"/>
            <w:tcBorders>
              <w:top w:val="single" w:sz="4" w:space="0" w:color="auto"/>
              <w:left w:val="single" w:sz="4" w:space="0" w:color="auto"/>
              <w:bottom w:val="single" w:sz="4" w:space="0" w:color="000000"/>
              <w:right w:val="nil"/>
            </w:tcBorders>
            <w:shd w:val="clear" w:color="000000" w:fill="F2F2F2"/>
            <w:vAlign w:val="center"/>
            <w:hideMark/>
          </w:tcPr>
          <w:p w:rsidR="00DD1A5A" w:rsidRPr="00606103" w:rsidRDefault="00DD1A5A" w:rsidP="00552746">
            <w:pPr>
              <w:spacing w:after="0" w:line="276" w:lineRule="auto"/>
              <w:ind w:left="-82" w:right="-128"/>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Costul total inițial (la lansarea proiectului)</w:t>
            </w: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Finanțare</w:t>
            </w:r>
          </w:p>
        </w:tc>
        <w:tc>
          <w:tcPr>
            <w:tcW w:w="3889" w:type="dxa"/>
            <w:gridSpan w:val="4"/>
            <w:tcBorders>
              <w:top w:val="single" w:sz="4" w:space="0" w:color="auto"/>
              <w:left w:val="nil"/>
              <w:bottom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Costul total estimat                                                                                                                                                                                                   în Nota informativă la proiectul Legii BS pentru anul:</w:t>
            </w:r>
          </w:p>
        </w:tc>
        <w:tc>
          <w:tcPr>
            <w:tcW w:w="1538"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rsidR="00DD1A5A" w:rsidRPr="00606103" w:rsidRDefault="00DD1A5A" w:rsidP="00552746">
            <w:pPr>
              <w:spacing w:after="0" w:line="276" w:lineRule="auto"/>
              <w:ind w:left="-161" w:right="-30"/>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Costul total estimat pentru 2021 față de costul total inițial</w:t>
            </w:r>
          </w:p>
        </w:tc>
        <w:tc>
          <w:tcPr>
            <w:tcW w:w="897" w:type="dxa"/>
            <w:tcBorders>
              <w:top w:val="single" w:sz="4" w:space="0" w:color="auto"/>
              <w:left w:val="single" w:sz="4" w:space="0" w:color="auto"/>
              <w:right w:val="single" w:sz="4" w:space="0" w:color="auto"/>
            </w:tcBorders>
            <w:shd w:val="clear" w:color="000000" w:fill="FFFFFF"/>
            <w:vAlign w:val="center"/>
            <w:hideMark/>
          </w:tcPr>
          <w:p w:rsidR="00DD1A5A" w:rsidRPr="00606103" w:rsidRDefault="00DD1A5A" w:rsidP="00552746">
            <w:pPr>
              <w:spacing w:after="0" w:line="276" w:lineRule="auto"/>
              <w:ind w:left="-138" w:right="-111"/>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Total executat cumulativ la situația din 31.12.2021</w:t>
            </w:r>
          </w:p>
        </w:tc>
        <w:tc>
          <w:tcPr>
            <w:tcW w:w="1047" w:type="dxa"/>
            <w:tcBorders>
              <w:top w:val="single" w:sz="4" w:space="0" w:color="auto"/>
              <w:left w:val="single" w:sz="4" w:space="0" w:color="auto"/>
              <w:bottom w:val="single" w:sz="4" w:space="0" w:color="auto"/>
              <w:right w:val="single" w:sz="4" w:space="0" w:color="auto"/>
            </w:tcBorders>
            <w:shd w:val="clear" w:color="000000" w:fill="FFFFFF"/>
          </w:tcPr>
          <w:p w:rsidR="00DD1A5A" w:rsidRPr="00606103" w:rsidRDefault="00DD1A5A" w:rsidP="00552746">
            <w:pPr>
              <w:spacing w:after="0" w:line="276" w:lineRule="auto"/>
              <w:ind w:left="-33"/>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Total executat cumulativ față de costul total estimat pentru anul 2021</w:t>
            </w:r>
          </w:p>
        </w:tc>
      </w:tr>
      <w:tr w:rsidR="00DD1A5A" w:rsidRPr="00606103" w:rsidTr="005845D7">
        <w:trPr>
          <w:trHeight w:val="444"/>
        </w:trPr>
        <w:tc>
          <w:tcPr>
            <w:tcW w:w="522" w:type="dxa"/>
            <w:vMerge/>
            <w:tcBorders>
              <w:top w:val="single" w:sz="4" w:space="0" w:color="auto"/>
              <w:left w:val="single" w:sz="4" w:space="0" w:color="auto"/>
              <w:bottom w:val="single" w:sz="4" w:space="0" w:color="000000"/>
              <w:right w:val="single" w:sz="4" w:space="0" w:color="auto"/>
            </w:tcBorders>
            <w:vAlign w:val="center"/>
            <w:hideMark/>
          </w:tcPr>
          <w:p w:rsidR="00DD1A5A" w:rsidRPr="00606103" w:rsidRDefault="00DD1A5A" w:rsidP="00552746">
            <w:pPr>
              <w:spacing w:after="0" w:line="276" w:lineRule="auto"/>
              <w:jc w:val="left"/>
              <w:rPr>
                <w:rFonts w:asciiTheme="majorHAnsi" w:eastAsia="Times New Roman" w:hAnsiTheme="majorHAnsi" w:cstheme="majorHAnsi"/>
                <w:b/>
                <w:bCs/>
                <w:color w:val="000000"/>
                <w:sz w:val="18"/>
                <w:szCs w:val="18"/>
                <w:lang w:val="ro-MD"/>
              </w:rPr>
            </w:pPr>
          </w:p>
        </w:tc>
        <w:tc>
          <w:tcPr>
            <w:tcW w:w="2572" w:type="dxa"/>
            <w:vMerge/>
            <w:tcBorders>
              <w:top w:val="single" w:sz="4" w:space="0" w:color="auto"/>
              <w:left w:val="single" w:sz="4" w:space="0" w:color="auto"/>
              <w:bottom w:val="single" w:sz="4" w:space="0" w:color="000000"/>
              <w:right w:val="single" w:sz="4" w:space="0" w:color="auto"/>
            </w:tcBorders>
            <w:vAlign w:val="center"/>
            <w:hideMark/>
          </w:tcPr>
          <w:p w:rsidR="00DD1A5A" w:rsidRPr="00606103" w:rsidRDefault="00DD1A5A" w:rsidP="00552746">
            <w:pPr>
              <w:spacing w:after="0" w:line="276" w:lineRule="auto"/>
              <w:jc w:val="left"/>
              <w:rPr>
                <w:rFonts w:asciiTheme="majorHAnsi" w:eastAsia="Times New Roman" w:hAnsiTheme="majorHAnsi" w:cstheme="majorHAnsi"/>
                <w:b/>
                <w:bCs/>
                <w:color w:val="000000"/>
                <w:sz w:val="18"/>
                <w:szCs w:val="18"/>
                <w:lang w:val="ro-MD"/>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DD1A5A" w:rsidRPr="00606103" w:rsidRDefault="00DD1A5A" w:rsidP="00552746">
            <w:pPr>
              <w:spacing w:after="0" w:line="276" w:lineRule="auto"/>
              <w:jc w:val="left"/>
              <w:rPr>
                <w:rFonts w:asciiTheme="majorHAnsi" w:eastAsia="Times New Roman" w:hAnsiTheme="majorHAnsi" w:cstheme="majorHAnsi"/>
                <w:b/>
                <w:bCs/>
                <w:color w:val="000000"/>
                <w:sz w:val="18"/>
                <w:szCs w:val="18"/>
                <w:lang w:val="ro-MD"/>
              </w:rPr>
            </w:pPr>
          </w:p>
        </w:tc>
        <w:tc>
          <w:tcPr>
            <w:tcW w:w="804" w:type="dxa"/>
            <w:vMerge/>
            <w:tcBorders>
              <w:top w:val="single" w:sz="4" w:space="0" w:color="auto"/>
              <w:left w:val="single" w:sz="4" w:space="0" w:color="auto"/>
              <w:bottom w:val="single" w:sz="4" w:space="0" w:color="000000"/>
              <w:right w:val="single" w:sz="4" w:space="0" w:color="auto"/>
            </w:tcBorders>
            <w:vAlign w:val="center"/>
            <w:hideMark/>
          </w:tcPr>
          <w:p w:rsidR="00DD1A5A" w:rsidRPr="00606103" w:rsidRDefault="00DD1A5A" w:rsidP="00552746">
            <w:pPr>
              <w:spacing w:after="0" w:line="276" w:lineRule="auto"/>
              <w:jc w:val="left"/>
              <w:rPr>
                <w:rFonts w:asciiTheme="majorHAnsi" w:eastAsia="Times New Roman" w:hAnsiTheme="majorHAnsi" w:cstheme="majorHAnsi"/>
                <w:b/>
                <w:bCs/>
                <w:color w:val="000000"/>
                <w:sz w:val="18"/>
                <w:szCs w:val="18"/>
                <w:lang w:val="ro-MD"/>
              </w:rPr>
            </w:pPr>
          </w:p>
        </w:tc>
        <w:tc>
          <w:tcPr>
            <w:tcW w:w="1062" w:type="dxa"/>
            <w:vMerge/>
            <w:tcBorders>
              <w:top w:val="single" w:sz="4" w:space="0" w:color="auto"/>
              <w:left w:val="single" w:sz="4" w:space="0" w:color="auto"/>
              <w:bottom w:val="single" w:sz="4" w:space="0" w:color="000000"/>
              <w:right w:val="nil"/>
            </w:tcBorders>
            <w:vAlign w:val="center"/>
            <w:hideMark/>
          </w:tcPr>
          <w:p w:rsidR="00DD1A5A" w:rsidRPr="00606103" w:rsidRDefault="00DD1A5A" w:rsidP="00552746">
            <w:pPr>
              <w:spacing w:after="0" w:line="276" w:lineRule="auto"/>
              <w:jc w:val="left"/>
              <w:rPr>
                <w:rFonts w:asciiTheme="majorHAnsi" w:eastAsia="Times New Roman" w:hAnsiTheme="majorHAnsi" w:cstheme="majorHAnsi"/>
                <w:b/>
                <w:bCs/>
                <w:color w:val="000000"/>
                <w:sz w:val="18"/>
                <w:szCs w:val="18"/>
                <w:lang w:val="ro-MD"/>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DD1A5A" w:rsidRPr="00606103" w:rsidRDefault="00DD1A5A" w:rsidP="00552746">
            <w:pPr>
              <w:spacing w:after="0" w:line="276" w:lineRule="auto"/>
              <w:jc w:val="left"/>
              <w:rPr>
                <w:rFonts w:asciiTheme="majorHAnsi" w:eastAsia="Times New Roman" w:hAnsiTheme="majorHAnsi" w:cstheme="majorHAnsi"/>
                <w:b/>
                <w:bCs/>
                <w:color w:val="000000"/>
                <w:sz w:val="18"/>
                <w:szCs w:val="18"/>
                <w:lang w:val="ro-MD"/>
              </w:rPr>
            </w:pPr>
          </w:p>
        </w:tc>
        <w:tc>
          <w:tcPr>
            <w:tcW w:w="981" w:type="dxa"/>
            <w:tcBorders>
              <w:top w:val="nil"/>
              <w:left w:val="nil"/>
              <w:bottom w:val="single" w:sz="4" w:space="0" w:color="auto"/>
              <w:right w:val="single" w:sz="4" w:space="0" w:color="auto"/>
            </w:tcBorders>
            <w:shd w:val="clear" w:color="000000" w:fill="FFFFFF"/>
            <w:noWrap/>
            <w:vAlign w:val="center"/>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2018</w:t>
            </w:r>
          </w:p>
        </w:tc>
        <w:tc>
          <w:tcPr>
            <w:tcW w:w="1024"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2019</w:t>
            </w:r>
          </w:p>
        </w:tc>
        <w:tc>
          <w:tcPr>
            <w:tcW w:w="961"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2020</w:t>
            </w:r>
          </w:p>
        </w:tc>
        <w:tc>
          <w:tcPr>
            <w:tcW w:w="923"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2021</w:t>
            </w:r>
          </w:p>
        </w:tc>
        <w:tc>
          <w:tcPr>
            <w:tcW w:w="778"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w:t>
            </w:r>
          </w:p>
        </w:tc>
        <w:tc>
          <w:tcPr>
            <w:tcW w:w="760"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w:t>
            </w:r>
          </w:p>
        </w:tc>
        <w:tc>
          <w:tcPr>
            <w:tcW w:w="897" w:type="dxa"/>
            <w:tcBorders>
              <w:left w:val="single" w:sz="4" w:space="0" w:color="auto"/>
              <w:bottom w:val="single" w:sz="4" w:space="0" w:color="000000"/>
              <w:right w:val="single" w:sz="4" w:space="0" w:color="auto"/>
            </w:tcBorders>
            <w:vAlign w:val="center"/>
            <w:hideMark/>
          </w:tcPr>
          <w:p w:rsidR="00DD1A5A" w:rsidRPr="00606103" w:rsidRDefault="00DD1A5A" w:rsidP="00552746">
            <w:pPr>
              <w:spacing w:after="0" w:line="276" w:lineRule="auto"/>
              <w:jc w:val="left"/>
              <w:rPr>
                <w:rFonts w:asciiTheme="majorHAnsi" w:eastAsia="Times New Roman" w:hAnsiTheme="majorHAnsi" w:cstheme="majorHAnsi"/>
                <w:b/>
                <w:bCs/>
                <w:color w:val="000000"/>
                <w:sz w:val="18"/>
                <w:szCs w:val="18"/>
                <w:lang w:val="ro-MD"/>
              </w:rPr>
            </w:pPr>
          </w:p>
        </w:tc>
        <w:tc>
          <w:tcPr>
            <w:tcW w:w="1047" w:type="dxa"/>
            <w:tcBorders>
              <w:top w:val="single" w:sz="4" w:space="0" w:color="auto"/>
              <w:left w:val="single" w:sz="4" w:space="0" w:color="auto"/>
              <w:bottom w:val="single" w:sz="4" w:space="0" w:color="auto"/>
              <w:right w:val="single" w:sz="4" w:space="0" w:color="auto"/>
            </w:tcBorders>
            <w:vAlign w:val="center"/>
          </w:tcPr>
          <w:p w:rsidR="00DD1A5A" w:rsidRPr="00606103" w:rsidRDefault="00DD1A5A" w:rsidP="00552746">
            <w:pPr>
              <w:spacing w:after="0" w:line="276"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w:t>
            </w:r>
          </w:p>
        </w:tc>
      </w:tr>
      <w:tr w:rsidR="00DD1A5A" w:rsidRPr="00606103" w:rsidTr="005845D7">
        <w:trPr>
          <w:trHeight w:val="166"/>
        </w:trPr>
        <w:tc>
          <w:tcPr>
            <w:tcW w:w="522" w:type="dxa"/>
            <w:tcBorders>
              <w:top w:val="nil"/>
              <w:left w:val="single" w:sz="4" w:space="0" w:color="auto"/>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jc w:val="center"/>
              <w:rPr>
                <w:rFonts w:asciiTheme="majorHAnsi" w:eastAsia="Times New Roman" w:hAnsiTheme="majorHAnsi" w:cstheme="majorHAnsi"/>
                <w:bCs/>
                <w:i/>
                <w:color w:val="000000"/>
                <w:sz w:val="16"/>
                <w:szCs w:val="18"/>
                <w:lang w:val="ro-MD"/>
              </w:rPr>
            </w:pPr>
            <w:r w:rsidRPr="00606103">
              <w:rPr>
                <w:rFonts w:asciiTheme="majorHAnsi" w:eastAsia="Times New Roman" w:hAnsiTheme="majorHAnsi" w:cstheme="majorHAnsi"/>
                <w:bCs/>
                <w:i/>
                <w:color w:val="000000"/>
                <w:sz w:val="16"/>
                <w:szCs w:val="18"/>
                <w:lang w:val="ro-MD"/>
              </w:rPr>
              <w:t>1</w:t>
            </w:r>
          </w:p>
        </w:tc>
        <w:tc>
          <w:tcPr>
            <w:tcW w:w="2572" w:type="dxa"/>
            <w:tcBorders>
              <w:top w:val="nil"/>
              <w:left w:val="nil"/>
              <w:bottom w:val="single" w:sz="4" w:space="0" w:color="auto"/>
              <w:right w:val="single" w:sz="4" w:space="0" w:color="auto"/>
            </w:tcBorders>
            <w:shd w:val="clear" w:color="auto" w:fill="auto"/>
            <w:vAlign w:val="center"/>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2</w:t>
            </w:r>
          </w:p>
        </w:tc>
        <w:tc>
          <w:tcPr>
            <w:tcW w:w="969" w:type="dxa"/>
            <w:tcBorders>
              <w:top w:val="nil"/>
              <w:left w:val="nil"/>
              <w:bottom w:val="single" w:sz="4" w:space="0" w:color="auto"/>
              <w:right w:val="single" w:sz="4" w:space="0" w:color="auto"/>
            </w:tcBorders>
            <w:shd w:val="clear" w:color="auto" w:fill="auto"/>
            <w:vAlign w:val="center"/>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3</w:t>
            </w:r>
          </w:p>
        </w:tc>
        <w:tc>
          <w:tcPr>
            <w:tcW w:w="804" w:type="dxa"/>
            <w:tcBorders>
              <w:top w:val="nil"/>
              <w:left w:val="nil"/>
              <w:bottom w:val="single" w:sz="4" w:space="0" w:color="auto"/>
              <w:right w:val="single" w:sz="4" w:space="0" w:color="auto"/>
            </w:tcBorders>
            <w:shd w:val="clear" w:color="auto" w:fill="auto"/>
            <w:vAlign w:val="center"/>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4</w:t>
            </w:r>
          </w:p>
        </w:tc>
        <w:tc>
          <w:tcPr>
            <w:tcW w:w="1062" w:type="dxa"/>
            <w:tcBorders>
              <w:top w:val="nil"/>
              <w:left w:val="nil"/>
              <w:bottom w:val="single" w:sz="4" w:space="0" w:color="auto"/>
              <w:right w:val="nil"/>
            </w:tcBorders>
            <w:shd w:val="clear" w:color="000000" w:fill="F2F2F2"/>
            <w:noWrap/>
            <w:vAlign w:val="center"/>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5</w:t>
            </w:r>
          </w:p>
        </w:tc>
        <w:tc>
          <w:tcPr>
            <w:tcW w:w="1437" w:type="dxa"/>
            <w:tcBorders>
              <w:top w:val="nil"/>
              <w:left w:val="single" w:sz="4" w:space="0" w:color="auto"/>
              <w:bottom w:val="single" w:sz="4" w:space="0" w:color="auto"/>
              <w:right w:val="single" w:sz="4" w:space="0" w:color="auto"/>
            </w:tcBorders>
            <w:shd w:val="clear" w:color="000000" w:fill="FFFFFF"/>
            <w:vAlign w:val="center"/>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6</w:t>
            </w:r>
          </w:p>
        </w:tc>
        <w:tc>
          <w:tcPr>
            <w:tcW w:w="981" w:type="dxa"/>
            <w:tcBorders>
              <w:top w:val="nil"/>
              <w:left w:val="nil"/>
              <w:bottom w:val="single" w:sz="4" w:space="0" w:color="auto"/>
              <w:right w:val="single" w:sz="4" w:space="0" w:color="auto"/>
            </w:tcBorders>
            <w:shd w:val="clear" w:color="000000" w:fill="FFFFFF"/>
            <w:noWrap/>
            <w:vAlign w:val="center"/>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7</w:t>
            </w:r>
          </w:p>
        </w:tc>
        <w:tc>
          <w:tcPr>
            <w:tcW w:w="1024"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8</w:t>
            </w:r>
          </w:p>
        </w:tc>
        <w:tc>
          <w:tcPr>
            <w:tcW w:w="961"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9</w:t>
            </w:r>
          </w:p>
        </w:tc>
        <w:tc>
          <w:tcPr>
            <w:tcW w:w="923" w:type="dxa"/>
            <w:tcBorders>
              <w:top w:val="nil"/>
              <w:left w:val="nil"/>
              <w:bottom w:val="single" w:sz="4" w:space="0" w:color="auto"/>
              <w:right w:val="single" w:sz="4" w:space="0" w:color="auto"/>
            </w:tcBorders>
            <w:shd w:val="clear" w:color="auto" w:fill="auto"/>
            <w:noWrap/>
            <w:vAlign w:val="center"/>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10</w:t>
            </w:r>
          </w:p>
        </w:tc>
        <w:tc>
          <w:tcPr>
            <w:tcW w:w="778" w:type="dxa"/>
            <w:tcBorders>
              <w:top w:val="nil"/>
              <w:left w:val="nil"/>
              <w:bottom w:val="single" w:sz="4" w:space="0" w:color="auto"/>
              <w:right w:val="single" w:sz="4" w:space="0" w:color="auto"/>
            </w:tcBorders>
            <w:shd w:val="clear" w:color="auto" w:fill="DEEAF6" w:themeFill="accent1" w:themeFillTint="33"/>
            <w:noWrap/>
            <w:vAlign w:val="center"/>
          </w:tcPr>
          <w:p w:rsidR="00DD1A5A" w:rsidRPr="00606103" w:rsidRDefault="00DD1A5A" w:rsidP="00552746">
            <w:pPr>
              <w:spacing w:after="0" w:line="276" w:lineRule="auto"/>
              <w:jc w:val="center"/>
              <w:rPr>
                <w:rFonts w:asciiTheme="majorHAnsi" w:eastAsia="Times New Roman" w:hAnsiTheme="majorHAnsi" w:cstheme="majorHAnsi"/>
                <w:i/>
                <w:sz w:val="16"/>
                <w:szCs w:val="18"/>
                <w:lang w:val="ro-MD"/>
              </w:rPr>
            </w:pPr>
            <w:r w:rsidRPr="00606103">
              <w:rPr>
                <w:rFonts w:asciiTheme="majorHAnsi" w:eastAsia="Times New Roman" w:hAnsiTheme="majorHAnsi" w:cstheme="majorHAnsi"/>
                <w:i/>
                <w:sz w:val="16"/>
                <w:szCs w:val="18"/>
                <w:lang w:val="ro-MD"/>
              </w:rPr>
              <w:t>11=10-5</w:t>
            </w:r>
          </w:p>
        </w:tc>
        <w:tc>
          <w:tcPr>
            <w:tcW w:w="760" w:type="dxa"/>
            <w:tcBorders>
              <w:top w:val="nil"/>
              <w:left w:val="nil"/>
              <w:bottom w:val="single" w:sz="4" w:space="0" w:color="auto"/>
              <w:right w:val="single" w:sz="4" w:space="0" w:color="auto"/>
            </w:tcBorders>
            <w:shd w:val="clear" w:color="auto" w:fill="DEEAF6" w:themeFill="accent1" w:themeFillTint="33"/>
            <w:noWrap/>
            <w:vAlign w:val="center"/>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12=10/5</w:t>
            </w:r>
          </w:p>
          <w:p w:rsidR="00DD1A5A" w:rsidRPr="00606103" w:rsidRDefault="00DD1A5A" w:rsidP="00552746">
            <w:pPr>
              <w:spacing w:after="0" w:line="276" w:lineRule="auto"/>
              <w:ind w:left="-78" w:right="-78"/>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*100-100</w:t>
            </w:r>
          </w:p>
        </w:tc>
        <w:tc>
          <w:tcPr>
            <w:tcW w:w="897" w:type="dxa"/>
            <w:tcBorders>
              <w:top w:val="nil"/>
              <w:left w:val="nil"/>
              <w:bottom w:val="single" w:sz="4" w:space="0" w:color="auto"/>
              <w:right w:val="single" w:sz="4" w:space="0" w:color="auto"/>
            </w:tcBorders>
            <w:shd w:val="clear" w:color="000000" w:fill="FFFFFF"/>
            <w:vAlign w:val="center"/>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13</w:t>
            </w:r>
          </w:p>
        </w:tc>
        <w:tc>
          <w:tcPr>
            <w:tcW w:w="1047" w:type="dxa"/>
            <w:tcBorders>
              <w:top w:val="single" w:sz="4" w:space="0" w:color="auto"/>
              <w:left w:val="nil"/>
              <w:bottom w:val="single" w:sz="4" w:space="0" w:color="auto"/>
              <w:right w:val="single" w:sz="4" w:space="0" w:color="auto"/>
            </w:tcBorders>
            <w:shd w:val="clear" w:color="000000" w:fill="FFFFFF"/>
            <w:vAlign w:val="center"/>
          </w:tcPr>
          <w:p w:rsidR="00DD1A5A" w:rsidRPr="00606103" w:rsidRDefault="00DD1A5A" w:rsidP="00552746">
            <w:pPr>
              <w:spacing w:after="0" w:line="276" w:lineRule="auto"/>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14=13/10</w:t>
            </w:r>
          </w:p>
          <w:p w:rsidR="00DD1A5A" w:rsidRPr="00606103" w:rsidRDefault="00DD1A5A" w:rsidP="00552746">
            <w:pPr>
              <w:spacing w:after="0" w:line="276" w:lineRule="auto"/>
              <w:jc w:val="center"/>
              <w:rPr>
                <w:rFonts w:asciiTheme="majorHAnsi" w:eastAsia="Times New Roman" w:hAnsiTheme="majorHAnsi" w:cstheme="majorHAnsi"/>
                <w:i/>
                <w:color w:val="000000"/>
                <w:sz w:val="16"/>
                <w:szCs w:val="18"/>
                <w:lang w:val="ro-MD"/>
              </w:rPr>
            </w:pPr>
            <w:r w:rsidRPr="00606103">
              <w:rPr>
                <w:rFonts w:asciiTheme="majorHAnsi" w:eastAsia="Times New Roman" w:hAnsiTheme="majorHAnsi" w:cstheme="majorHAnsi"/>
                <w:i/>
                <w:color w:val="000000"/>
                <w:sz w:val="16"/>
                <w:szCs w:val="18"/>
                <w:lang w:val="ro-MD"/>
              </w:rPr>
              <w:t>*100</w:t>
            </w:r>
          </w:p>
        </w:tc>
      </w:tr>
      <w:tr w:rsidR="00DD1A5A" w:rsidRPr="00606103" w:rsidTr="005845D7">
        <w:trPr>
          <w:trHeight w:val="317"/>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6863AC">
            <w:pPr>
              <w:spacing w:after="0" w:line="240"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1</w:t>
            </w:r>
          </w:p>
        </w:tc>
        <w:tc>
          <w:tcPr>
            <w:tcW w:w="2572"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Modernizarea infrastructurii Postului vamal Sculeni</w:t>
            </w:r>
          </w:p>
        </w:tc>
        <w:tc>
          <w:tcPr>
            <w:tcW w:w="969"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MF</w:t>
            </w:r>
          </w:p>
        </w:tc>
        <w:tc>
          <w:tcPr>
            <w:tcW w:w="804"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2018</w:t>
            </w:r>
          </w:p>
        </w:tc>
        <w:tc>
          <w:tcPr>
            <w:tcW w:w="1062" w:type="dxa"/>
            <w:tcBorders>
              <w:top w:val="nil"/>
              <w:left w:val="nil"/>
              <w:bottom w:val="single" w:sz="4" w:space="0" w:color="auto"/>
              <w:right w:val="nil"/>
            </w:tcBorders>
            <w:shd w:val="clear" w:color="000000" w:fill="F2F2F2"/>
            <w:noWrap/>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82.729,9</w:t>
            </w:r>
          </w:p>
        </w:tc>
        <w:tc>
          <w:tcPr>
            <w:tcW w:w="1437"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resurse generale și PFSE</w:t>
            </w:r>
          </w:p>
        </w:tc>
        <w:tc>
          <w:tcPr>
            <w:tcW w:w="981" w:type="dxa"/>
            <w:tcBorders>
              <w:top w:val="nil"/>
              <w:left w:val="nil"/>
              <w:bottom w:val="single" w:sz="4" w:space="0" w:color="auto"/>
              <w:right w:val="single" w:sz="4" w:space="0" w:color="auto"/>
            </w:tcBorders>
            <w:shd w:val="clear" w:color="000000" w:fill="FFFFFF"/>
            <w:noWrap/>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82.729,9</w:t>
            </w:r>
          </w:p>
        </w:tc>
        <w:tc>
          <w:tcPr>
            <w:tcW w:w="1024"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172.319,8</w:t>
            </w:r>
          </w:p>
        </w:tc>
        <w:tc>
          <w:tcPr>
            <w:tcW w:w="961"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77.917,4</w:t>
            </w:r>
          </w:p>
        </w:tc>
        <w:tc>
          <w:tcPr>
            <w:tcW w:w="923"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ind w:left="-254"/>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114.400,0</w:t>
            </w:r>
          </w:p>
        </w:tc>
        <w:tc>
          <w:tcPr>
            <w:tcW w:w="778"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ind w:left="-185" w:right="-181"/>
              <w:jc w:val="center"/>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31.670,1</w:t>
            </w:r>
          </w:p>
        </w:tc>
        <w:tc>
          <w:tcPr>
            <w:tcW w:w="760"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38,3</w:t>
            </w:r>
          </w:p>
        </w:tc>
        <w:tc>
          <w:tcPr>
            <w:tcW w:w="897"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3.511,5</w:t>
            </w:r>
          </w:p>
        </w:tc>
        <w:tc>
          <w:tcPr>
            <w:tcW w:w="1047" w:type="dxa"/>
            <w:tcBorders>
              <w:top w:val="nil"/>
              <w:left w:val="nil"/>
              <w:bottom w:val="single" w:sz="4" w:space="0" w:color="auto"/>
              <w:right w:val="single" w:sz="4" w:space="0" w:color="auto"/>
            </w:tcBorders>
            <w:shd w:val="clear" w:color="000000" w:fill="FFFFFF"/>
            <w:vAlign w:val="center"/>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3,1</w:t>
            </w:r>
          </w:p>
        </w:tc>
      </w:tr>
      <w:tr w:rsidR="00DD1A5A" w:rsidRPr="00606103" w:rsidTr="005845D7">
        <w:trPr>
          <w:trHeight w:val="652"/>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6863AC">
            <w:pPr>
              <w:spacing w:after="0" w:line="240"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2</w:t>
            </w:r>
          </w:p>
        </w:tc>
        <w:tc>
          <w:tcPr>
            <w:tcW w:w="2572"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Construcția anexei la clădirea laboratorului de expertiză genetico-judiciară (ADN), str. Putna nr.10, municipiul Chișinău</w:t>
            </w:r>
          </w:p>
        </w:tc>
        <w:tc>
          <w:tcPr>
            <w:tcW w:w="969"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MAI</w:t>
            </w:r>
          </w:p>
        </w:tc>
        <w:tc>
          <w:tcPr>
            <w:tcW w:w="804"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2019</w:t>
            </w:r>
          </w:p>
        </w:tc>
        <w:tc>
          <w:tcPr>
            <w:tcW w:w="1062" w:type="dxa"/>
            <w:tcBorders>
              <w:top w:val="nil"/>
              <w:left w:val="nil"/>
              <w:bottom w:val="single" w:sz="4" w:space="0" w:color="auto"/>
              <w:right w:val="nil"/>
            </w:tcBorders>
            <w:shd w:val="clear" w:color="000000" w:fill="F2F2F2"/>
            <w:noWrap/>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10.719,1</w:t>
            </w:r>
          </w:p>
        </w:tc>
        <w:tc>
          <w:tcPr>
            <w:tcW w:w="1437"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resurse generale</w:t>
            </w:r>
          </w:p>
        </w:tc>
        <w:tc>
          <w:tcPr>
            <w:tcW w:w="98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6863AC">
            <w:pPr>
              <w:spacing w:after="0" w:line="240" w:lineRule="auto"/>
              <w:jc w:val="lef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 </w:t>
            </w:r>
          </w:p>
        </w:tc>
        <w:tc>
          <w:tcPr>
            <w:tcW w:w="1024"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10.719,1</w:t>
            </w:r>
          </w:p>
        </w:tc>
        <w:tc>
          <w:tcPr>
            <w:tcW w:w="961"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10.719,1</w:t>
            </w:r>
          </w:p>
        </w:tc>
        <w:tc>
          <w:tcPr>
            <w:tcW w:w="923"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14.198,6</w:t>
            </w:r>
          </w:p>
        </w:tc>
        <w:tc>
          <w:tcPr>
            <w:tcW w:w="778"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ind w:left="-185" w:right="-181"/>
              <w:jc w:val="center"/>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3.479,5</w:t>
            </w:r>
          </w:p>
        </w:tc>
        <w:tc>
          <w:tcPr>
            <w:tcW w:w="760"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32,5</w:t>
            </w:r>
          </w:p>
        </w:tc>
        <w:tc>
          <w:tcPr>
            <w:tcW w:w="897"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14.192,4</w:t>
            </w:r>
          </w:p>
        </w:tc>
        <w:tc>
          <w:tcPr>
            <w:tcW w:w="1047" w:type="dxa"/>
            <w:tcBorders>
              <w:top w:val="nil"/>
              <w:left w:val="nil"/>
              <w:bottom w:val="single" w:sz="4" w:space="0" w:color="auto"/>
              <w:right w:val="single" w:sz="4" w:space="0" w:color="auto"/>
            </w:tcBorders>
            <w:shd w:val="clear" w:color="000000" w:fill="FFFFFF"/>
            <w:vAlign w:val="center"/>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99,9</w:t>
            </w:r>
          </w:p>
        </w:tc>
      </w:tr>
      <w:tr w:rsidR="00DD1A5A" w:rsidRPr="00606103" w:rsidTr="005845D7">
        <w:trPr>
          <w:trHeight w:val="467"/>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6863AC">
            <w:pPr>
              <w:spacing w:after="0" w:line="240"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3</w:t>
            </w:r>
          </w:p>
        </w:tc>
        <w:tc>
          <w:tcPr>
            <w:tcW w:w="2572"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 xml:space="preserve">Proiectul „Programul rural de reziliență economico-climatică incluzivă (IFAD VI)” </w:t>
            </w:r>
          </w:p>
        </w:tc>
        <w:tc>
          <w:tcPr>
            <w:tcW w:w="969"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MADRM; MAIA</w:t>
            </w:r>
          </w:p>
        </w:tc>
        <w:tc>
          <w:tcPr>
            <w:tcW w:w="804"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2014</w:t>
            </w:r>
          </w:p>
        </w:tc>
        <w:tc>
          <w:tcPr>
            <w:tcW w:w="1062" w:type="dxa"/>
            <w:tcBorders>
              <w:top w:val="single" w:sz="4" w:space="0" w:color="auto"/>
              <w:left w:val="single" w:sz="4" w:space="0" w:color="auto"/>
              <w:bottom w:val="nil"/>
              <w:right w:val="nil"/>
            </w:tcBorders>
            <w:shd w:val="clear" w:color="000000" w:fill="F2F2F2"/>
            <w:vAlign w:val="center"/>
            <w:hideMark/>
          </w:tcPr>
          <w:p w:rsidR="00DD1A5A" w:rsidRPr="00606103" w:rsidRDefault="00DD1A5A" w:rsidP="006863AC">
            <w:pPr>
              <w:spacing w:after="0" w:line="240"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49.854,2</w:t>
            </w:r>
          </w:p>
        </w:tc>
        <w:tc>
          <w:tcPr>
            <w:tcW w:w="1437" w:type="dxa"/>
            <w:tcBorders>
              <w:top w:val="nil"/>
              <w:left w:val="single" w:sz="4" w:space="0" w:color="auto"/>
              <w:bottom w:val="single" w:sz="4" w:space="0" w:color="auto"/>
              <w:right w:val="single" w:sz="4" w:space="0" w:color="auto"/>
            </w:tcBorders>
            <w:shd w:val="clear" w:color="000000" w:fill="FFFFFF"/>
            <w:noWrap/>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PFSE</w:t>
            </w:r>
          </w:p>
        </w:tc>
        <w:tc>
          <w:tcPr>
            <w:tcW w:w="981" w:type="dxa"/>
            <w:tcBorders>
              <w:top w:val="single" w:sz="4" w:space="0" w:color="auto"/>
              <w:left w:val="single" w:sz="4" w:space="0" w:color="auto"/>
              <w:bottom w:val="nil"/>
              <w:right w:val="single" w:sz="4" w:space="0" w:color="auto"/>
            </w:tcBorders>
            <w:shd w:val="clear" w:color="auto" w:fill="auto"/>
            <w:vAlign w:val="center"/>
            <w:hideMark/>
          </w:tcPr>
          <w:p w:rsidR="00DD1A5A" w:rsidRPr="00606103" w:rsidRDefault="00DD1A5A" w:rsidP="006863AC">
            <w:pPr>
              <w:spacing w:after="0" w:line="240"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74.336,3</w:t>
            </w:r>
          </w:p>
        </w:tc>
        <w:tc>
          <w:tcPr>
            <w:tcW w:w="1024" w:type="dxa"/>
            <w:tcBorders>
              <w:top w:val="nil"/>
              <w:left w:val="single" w:sz="4" w:space="0" w:color="auto"/>
              <w:bottom w:val="single" w:sz="4" w:space="0" w:color="auto"/>
              <w:right w:val="single" w:sz="4" w:space="0" w:color="auto"/>
            </w:tcBorders>
            <w:shd w:val="clear" w:color="auto" w:fill="auto"/>
            <w:vAlign w:val="center"/>
          </w:tcPr>
          <w:p w:rsidR="00DD1A5A" w:rsidRPr="00606103" w:rsidRDefault="00DD1A5A" w:rsidP="006863AC">
            <w:pPr>
              <w:spacing w:after="0" w:line="240"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84.849,4</w:t>
            </w:r>
          </w:p>
        </w:tc>
        <w:tc>
          <w:tcPr>
            <w:tcW w:w="961" w:type="dxa"/>
            <w:tcBorders>
              <w:top w:val="nil"/>
              <w:left w:val="nil"/>
              <w:bottom w:val="single" w:sz="4" w:space="0" w:color="auto"/>
              <w:right w:val="single" w:sz="4" w:space="0" w:color="auto"/>
            </w:tcBorders>
            <w:shd w:val="clear" w:color="auto" w:fill="auto"/>
            <w:vAlign w:val="center"/>
          </w:tcPr>
          <w:p w:rsidR="00DD1A5A" w:rsidRPr="00606103" w:rsidRDefault="00DD1A5A" w:rsidP="006863AC">
            <w:pPr>
              <w:spacing w:after="0" w:line="240"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63.702,9</w:t>
            </w:r>
          </w:p>
        </w:tc>
        <w:tc>
          <w:tcPr>
            <w:tcW w:w="923" w:type="dxa"/>
            <w:tcBorders>
              <w:top w:val="nil"/>
              <w:left w:val="nil"/>
              <w:bottom w:val="single" w:sz="4" w:space="0" w:color="auto"/>
              <w:right w:val="single" w:sz="4" w:space="0" w:color="auto"/>
            </w:tcBorders>
            <w:shd w:val="clear" w:color="auto" w:fill="auto"/>
            <w:vAlign w:val="center"/>
          </w:tcPr>
          <w:p w:rsidR="00DD1A5A" w:rsidRPr="00606103" w:rsidRDefault="00DD1A5A" w:rsidP="006863AC">
            <w:pPr>
              <w:spacing w:after="0" w:line="240" w:lineRule="auto"/>
              <w:jc w:val="right"/>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87.280,9</w:t>
            </w:r>
          </w:p>
        </w:tc>
        <w:tc>
          <w:tcPr>
            <w:tcW w:w="778"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ind w:left="-185" w:right="-181"/>
              <w:jc w:val="center"/>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37.426,7</w:t>
            </w:r>
          </w:p>
        </w:tc>
        <w:tc>
          <w:tcPr>
            <w:tcW w:w="760"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75,1</w:t>
            </w:r>
          </w:p>
        </w:tc>
        <w:tc>
          <w:tcPr>
            <w:tcW w:w="897"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93.602,5</w:t>
            </w:r>
          </w:p>
        </w:tc>
        <w:tc>
          <w:tcPr>
            <w:tcW w:w="1047" w:type="dxa"/>
            <w:tcBorders>
              <w:top w:val="nil"/>
              <w:left w:val="nil"/>
              <w:bottom w:val="single" w:sz="4" w:space="0" w:color="auto"/>
              <w:right w:val="single" w:sz="4" w:space="0" w:color="auto"/>
            </w:tcBorders>
            <w:shd w:val="clear" w:color="auto" w:fill="FFF2CC" w:themeFill="accent4" w:themeFillTint="33"/>
            <w:vAlign w:val="center"/>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107,2</w:t>
            </w:r>
          </w:p>
        </w:tc>
      </w:tr>
      <w:tr w:rsidR="00DD1A5A" w:rsidRPr="00606103" w:rsidTr="005845D7">
        <w:trPr>
          <w:trHeight w:val="81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6863AC">
            <w:pPr>
              <w:spacing w:after="0" w:line="240"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4</w:t>
            </w:r>
          </w:p>
        </w:tc>
        <w:tc>
          <w:tcPr>
            <w:tcW w:w="2572"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Restaurarea caselor tradiționale țărănești din cadrul Rezervației cultural-naturale „Orheiul Vechi”, s. Butuceni și Morovaia, r. Orhei</w:t>
            </w:r>
          </w:p>
        </w:tc>
        <w:tc>
          <w:tcPr>
            <w:tcW w:w="969"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MECC; MC</w:t>
            </w:r>
          </w:p>
        </w:tc>
        <w:tc>
          <w:tcPr>
            <w:tcW w:w="804"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2020</w:t>
            </w:r>
          </w:p>
        </w:tc>
        <w:tc>
          <w:tcPr>
            <w:tcW w:w="1062" w:type="dxa"/>
            <w:tcBorders>
              <w:top w:val="single" w:sz="4" w:space="0" w:color="auto"/>
              <w:left w:val="nil"/>
              <w:bottom w:val="single" w:sz="4" w:space="0" w:color="auto"/>
              <w:right w:val="nil"/>
            </w:tcBorders>
            <w:shd w:val="clear" w:color="000000" w:fill="F2F2F2"/>
            <w:noWrap/>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2.087,8</w:t>
            </w:r>
          </w:p>
        </w:tc>
        <w:tc>
          <w:tcPr>
            <w:tcW w:w="1437"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resurse generale și PFSE</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DD1A5A" w:rsidRPr="00606103" w:rsidRDefault="00DD1A5A" w:rsidP="006863AC">
            <w:pPr>
              <w:spacing w:after="0" w:line="240" w:lineRule="auto"/>
              <w:jc w:val="lef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 </w:t>
            </w:r>
          </w:p>
        </w:tc>
        <w:tc>
          <w:tcPr>
            <w:tcW w:w="1024" w:type="dxa"/>
            <w:tcBorders>
              <w:top w:val="nil"/>
              <w:left w:val="nil"/>
              <w:bottom w:val="single" w:sz="4" w:space="0" w:color="auto"/>
              <w:right w:val="single" w:sz="4" w:space="0" w:color="auto"/>
            </w:tcBorders>
            <w:shd w:val="clear" w:color="auto" w:fill="auto"/>
            <w:noWrap/>
            <w:vAlign w:val="bottom"/>
          </w:tcPr>
          <w:p w:rsidR="00DD1A5A" w:rsidRPr="00606103" w:rsidRDefault="00DD1A5A" w:rsidP="006863AC">
            <w:pPr>
              <w:spacing w:after="0" w:line="240" w:lineRule="auto"/>
              <w:jc w:val="lef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 </w:t>
            </w:r>
          </w:p>
        </w:tc>
        <w:tc>
          <w:tcPr>
            <w:tcW w:w="961"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2.087,8</w:t>
            </w:r>
          </w:p>
        </w:tc>
        <w:tc>
          <w:tcPr>
            <w:tcW w:w="923"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18.411,7</w:t>
            </w:r>
          </w:p>
        </w:tc>
        <w:tc>
          <w:tcPr>
            <w:tcW w:w="778"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ind w:left="-185" w:right="-181"/>
              <w:jc w:val="center"/>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16.323,9</w:t>
            </w:r>
          </w:p>
        </w:tc>
        <w:tc>
          <w:tcPr>
            <w:tcW w:w="760"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781,9</w:t>
            </w:r>
          </w:p>
        </w:tc>
        <w:tc>
          <w:tcPr>
            <w:tcW w:w="897"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1.820,8</w:t>
            </w:r>
          </w:p>
        </w:tc>
        <w:tc>
          <w:tcPr>
            <w:tcW w:w="1047" w:type="dxa"/>
            <w:tcBorders>
              <w:top w:val="nil"/>
              <w:left w:val="nil"/>
              <w:bottom w:val="single" w:sz="4" w:space="0" w:color="auto"/>
              <w:right w:val="single" w:sz="4" w:space="0" w:color="auto"/>
            </w:tcBorders>
            <w:shd w:val="clear" w:color="000000" w:fill="FFFFFF"/>
            <w:vAlign w:val="center"/>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9,9</w:t>
            </w:r>
          </w:p>
        </w:tc>
      </w:tr>
      <w:tr w:rsidR="00DD1A5A" w:rsidRPr="00606103" w:rsidTr="005845D7">
        <w:trPr>
          <w:trHeight w:val="689"/>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6863AC">
            <w:pPr>
              <w:spacing w:after="0" w:line="240"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5</w:t>
            </w:r>
          </w:p>
        </w:tc>
        <w:tc>
          <w:tcPr>
            <w:tcW w:w="2572"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Reconstrucția clădirii cu anexarea sălii polivalente a Școlii Sportive Specializate de Box din satul Grimăncăuți, raionul Briceni</w:t>
            </w:r>
          </w:p>
        </w:tc>
        <w:tc>
          <w:tcPr>
            <w:tcW w:w="969"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MECC; MEC</w:t>
            </w:r>
          </w:p>
        </w:tc>
        <w:tc>
          <w:tcPr>
            <w:tcW w:w="804"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2013</w:t>
            </w:r>
          </w:p>
        </w:tc>
        <w:tc>
          <w:tcPr>
            <w:tcW w:w="1062" w:type="dxa"/>
            <w:tcBorders>
              <w:top w:val="nil"/>
              <w:left w:val="nil"/>
              <w:bottom w:val="single" w:sz="4" w:space="0" w:color="auto"/>
              <w:right w:val="nil"/>
            </w:tcBorders>
            <w:shd w:val="clear" w:color="000000" w:fill="F2F2F2"/>
            <w:noWrap/>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12.000,0</w:t>
            </w:r>
          </w:p>
        </w:tc>
        <w:tc>
          <w:tcPr>
            <w:tcW w:w="1437"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resurse generale</w:t>
            </w:r>
          </w:p>
        </w:tc>
        <w:tc>
          <w:tcPr>
            <w:tcW w:w="98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6863AC">
            <w:pPr>
              <w:spacing w:after="0" w:line="240" w:lineRule="auto"/>
              <w:jc w:val="lef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 </w:t>
            </w:r>
          </w:p>
        </w:tc>
        <w:tc>
          <w:tcPr>
            <w:tcW w:w="1024"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24.054,8</w:t>
            </w:r>
          </w:p>
        </w:tc>
        <w:tc>
          <w:tcPr>
            <w:tcW w:w="961"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24.094,8</w:t>
            </w:r>
          </w:p>
        </w:tc>
        <w:tc>
          <w:tcPr>
            <w:tcW w:w="923"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25.094,8</w:t>
            </w:r>
          </w:p>
        </w:tc>
        <w:tc>
          <w:tcPr>
            <w:tcW w:w="778"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ind w:left="-185" w:right="-181"/>
              <w:jc w:val="center"/>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13.094,8</w:t>
            </w:r>
          </w:p>
        </w:tc>
        <w:tc>
          <w:tcPr>
            <w:tcW w:w="760"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109,1</w:t>
            </w:r>
          </w:p>
        </w:tc>
        <w:tc>
          <w:tcPr>
            <w:tcW w:w="897"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2.853,5</w:t>
            </w:r>
          </w:p>
        </w:tc>
        <w:tc>
          <w:tcPr>
            <w:tcW w:w="1047" w:type="dxa"/>
            <w:tcBorders>
              <w:top w:val="nil"/>
              <w:left w:val="nil"/>
              <w:bottom w:val="single" w:sz="4" w:space="0" w:color="auto"/>
              <w:right w:val="single" w:sz="4" w:space="0" w:color="auto"/>
            </w:tcBorders>
            <w:shd w:val="clear" w:color="000000" w:fill="FFFFFF"/>
            <w:vAlign w:val="center"/>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11,4</w:t>
            </w:r>
          </w:p>
        </w:tc>
      </w:tr>
      <w:tr w:rsidR="00DD1A5A" w:rsidRPr="00606103" w:rsidTr="005845D7">
        <w:trPr>
          <w:trHeight w:val="517"/>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6863AC">
            <w:pPr>
              <w:spacing w:after="0" w:line="240"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6</w:t>
            </w:r>
          </w:p>
        </w:tc>
        <w:tc>
          <w:tcPr>
            <w:tcW w:w="2572"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Construcția centralei termice pe gaze naturale a Școlii Profesionale nr.2 din municipiul Cahul</w:t>
            </w:r>
          </w:p>
        </w:tc>
        <w:tc>
          <w:tcPr>
            <w:tcW w:w="969"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MECC; MEC</w:t>
            </w:r>
          </w:p>
        </w:tc>
        <w:tc>
          <w:tcPr>
            <w:tcW w:w="804"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2019</w:t>
            </w:r>
          </w:p>
        </w:tc>
        <w:tc>
          <w:tcPr>
            <w:tcW w:w="1062" w:type="dxa"/>
            <w:tcBorders>
              <w:top w:val="nil"/>
              <w:left w:val="nil"/>
              <w:bottom w:val="single" w:sz="4" w:space="0" w:color="auto"/>
              <w:right w:val="nil"/>
            </w:tcBorders>
            <w:shd w:val="clear" w:color="000000" w:fill="F2F2F2"/>
            <w:noWrap/>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1.800,0</w:t>
            </w:r>
          </w:p>
        </w:tc>
        <w:tc>
          <w:tcPr>
            <w:tcW w:w="1437"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resurse generale</w:t>
            </w:r>
          </w:p>
        </w:tc>
        <w:tc>
          <w:tcPr>
            <w:tcW w:w="981" w:type="dxa"/>
            <w:tcBorders>
              <w:top w:val="nil"/>
              <w:left w:val="nil"/>
              <w:bottom w:val="single" w:sz="4" w:space="0" w:color="auto"/>
              <w:right w:val="single" w:sz="4" w:space="0" w:color="auto"/>
            </w:tcBorders>
            <w:shd w:val="clear" w:color="auto" w:fill="auto"/>
            <w:noWrap/>
            <w:vAlign w:val="bottom"/>
            <w:hideMark/>
          </w:tcPr>
          <w:p w:rsidR="00DD1A5A" w:rsidRPr="00606103" w:rsidRDefault="00DD1A5A" w:rsidP="006863AC">
            <w:pPr>
              <w:spacing w:after="0" w:line="240" w:lineRule="auto"/>
              <w:jc w:val="lef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 </w:t>
            </w:r>
          </w:p>
        </w:tc>
        <w:tc>
          <w:tcPr>
            <w:tcW w:w="1024" w:type="dxa"/>
            <w:tcBorders>
              <w:top w:val="nil"/>
              <w:left w:val="nil"/>
              <w:bottom w:val="single" w:sz="4" w:space="0" w:color="auto"/>
              <w:right w:val="single" w:sz="4" w:space="0" w:color="auto"/>
            </w:tcBorders>
            <w:shd w:val="clear" w:color="auto" w:fill="auto"/>
            <w:noWrap/>
            <w:vAlign w:val="bottom"/>
          </w:tcPr>
          <w:p w:rsidR="00DD1A5A" w:rsidRPr="00606103" w:rsidRDefault="00DD1A5A" w:rsidP="006863AC">
            <w:pPr>
              <w:spacing w:after="0" w:line="240" w:lineRule="auto"/>
              <w:jc w:val="lef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 </w:t>
            </w:r>
          </w:p>
        </w:tc>
        <w:tc>
          <w:tcPr>
            <w:tcW w:w="961"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1.800,0</w:t>
            </w:r>
          </w:p>
        </w:tc>
        <w:tc>
          <w:tcPr>
            <w:tcW w:w="923"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5.100,0</w:t>
            </w:r>
          </w:p>
        </w:tc>
        <w:tc>
          <w:tcPr>
            <w:tcW w:w="778"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ind w:left="-185" w:right="-181"/>
              <w:jc w:val="center"/>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3.300,0</w:t>
            </w:r>
          </w:p>
        </w:tc>
        <w:tc>
          <w:tcPr>
            <w:tcW w:w="760"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183,3</w:t>
            </w:r>
          </w:p>
        </w:tc>
        <w:tc>
          <w:tcPr>
            <w:tcW w:w="897"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4.970,5</w:t>
            </w:r>
          </w:p>
        </w:tc>
        <w:tc>
          <w:tcPr>
            <w:tcW w:w="1047" w:type="dxa"/>
            <w:tcBorders>
              <w:top w:val="nil"/>
              <w:left w:val="nil"/>
              <w:bottom w:val="single" w:sz="4" w:space="0" w:color="auto"/>
              <w:right w:val="single" w:sz="4" w:space="0" w:color="auto"/>
            </w:tcBorders>
            <w:shd w:val="clear" w:color="000000" w:fill="FFFFFF"/>
            <w:vAlign w:val="center"/>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97,5</w:t>
            </w:r>
          </w:p>
        </w:tc>
      </w:tr>
      <w:tr w:rsidR="00DD1A5A" w:rsidRPr="00606103" w:rsidTr="005845D7">
        <w:trPr>
          <w:trHeight w:val="5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DD1A5A" w:rsidRPr="00606103" w:rsidRDefault="00DD1A5A" w:rsidP="006863AC">
            <w:pPr>
              <w:spacing w:after="0" w:line="240" w:lineRule="auto"/>
              <w:jc w:val="center"/>
              <w:rPr>
                <w:rFonts w:asciiTheme="majorHAnsi" w:eastAsia="Times New Roman" w:hAnsiTheme="majorHAnsi" w:cstheme="majorHAnsi"/>
                <w:b/>
                <w:bCs/>
                <w:color w:val="000000"/>
                <w:sz w:val="18"/>
                <w:szCs w:val="18"/>
                <w:lang w:val="ro-MD"/>
              </w:rPr>
            </w:pPr>
            <w:r w:rsidRPr="00606103">
              <w:rPr>
                <w:rFonts w:asciiTheme="majorHAnsi" w:eastAsia="Times New Roman" w:hAnsiTheme="majorHAnsi" w:cstheme="majorHAnsi"/>
                <w:b/>
                <w:bCs/>
                <w:color w:val="000000"/>
                <w:sz w:val="18"/>
                <w:szCs w:val="18"/>
                <w:lang w:val="ro-MD"/>
              </w:rPr>
              <w:t>7</w:t>
            </w:r>
          </w:p>
        </w:tc>
        <w:tc>
          <w:tcPr>
            <w:tcW w:w="2572"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Reconstrucția și modernizarea clădirilor Centrului de Excelență în Construcții, str. Gheorghe Asachi nr.71, municipiul Chișinău</w:t>
            </w:r>
          </w:p>
        </w:tc>
        <w:tc>
          <w:tcPr>
            <w:tcW w:w="969"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MECC; MEC</w:t>
            </w:r>
          </w:p>
        </w:tc>
        <w:tc>
          <w:tcPr>
            <w:tcW w:w="804" w:type="dxa"/>
            <w:tcBorders>
              <w:top w:val="nil"/>
              <w:left w:val="nil"/>
              <w:bottom w:val="single" w:sz="4" w:space="0" w:color="auto"/>
              <w:right w:val="single" w:sz="4" w:space="0" w:color="auto"/>
            </w:tcBorders>
            <w:shd w:val="clear" w:color="auto" w:fill="auto"/>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2016</w:t>
            </w:r>
          </w:p>
        </w:tc>
        <w:tc>
          <w:tcPr>
            <w:tcW w:w="1062" w:type="dxa"/>
            <w:tcBorders>
              <w:top w:val="nil"/>
              <w:left w:val="nil"/>
              <w:bottom w:val="single" w:sz="4" w:space="0" w:color="auto"/>
              <w:right w:val="nil"/>
            </w:tcBorders>
            <w:shd w:val="clear" w:color="000000" w:fill="F2F2F2"/>
            <w:noWrap/>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26.500,0</w:t>
            </w:r>
          </w:p>
        </w:tc>
        <w:tc>
          <w:tcPr>
            <w:tcW w:w="1437" w:type="dxa"/>
            <w:tcBorders>
              <w:top w:val="nil"/>
              <w:left w:val="single" w:sz="4" w:space="0" w:color="auto"/>
              <w:bottom w:val="single" w:sz="4" w:space="0" w:color="auto"/>
              <w:right w:val="single" w:sz="4" w:space="0" w:color="auto"/>
            </w:tcBorders>
            <w:shd w:val="clear" w:color="000000" w:fill="FFFFFF"/>
            <w:vAlign w:val="center"/>
            <w:hideMark/>
          </w:tcPr>
          <w:p w:rsidR="00DD1A5A" w:rsidRPr="00606103" w:rsidRDefault="00DD1A5A" w:rsidP="006863AC">
            <w:pPr>
              <w:spacing w:after="0" w:line="240" w:lineRule="auto"/>
              <w:jc w:val="center"/>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resurse generale</w:t>
            </w:r>
          </w:p>
        </w:tc>
        <w:tc>
          <w:tcPr>
            <w:tcW w:w="981" w:type="dxa"/>
            <w:tcBorders>
              <w:top w:val="nil"/>
              <w:left w:val="nil"/>
              <w:bottom w:val="single" w:sz="4" w:space="0" w:color="auto"/>
              <w:right w:val="single" w:sz="4" w:space="0" w:color="auto"/>
            </w:tcBorders>
            <w:shd w:val="clear" w:color="auto" w:fill="auto"/>
            <w:noWrap/>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34.470,8</w:t>
            </w:r>
          </w:p>
        </w:tc>
        <w:tc>
          <w:tcPr>
            <w:tcW w:w="1024"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 </w:t>
            </w:r>
          </w:p>
        </w:tc>
        <w:tc>
          <w:tcPr>
            <w:tcW w:w="961"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38.543,2</w:t>
            </w:r>
          </w:p>
        </w:tc>
        <w:tc>
          <w:tcPr>
            <w:tcW w:w="923" w:type="dxa"/>
            <w:tcBorders>
              <w:top w:val="nil"/>
              <w:left w:val="nil"/>
              <w:bottom w:val="single" w:sz="4" w:space="0" w:color="auto"/>
              <w:right w:val="single" w:sz="4" w:space="0" w:color="auto"/>
            </w:tcBorders>
            <w:shd w:val="clear" w:color="auto" w:fill="auto"/>
            <w:noWrap/>
            <w:vAlign w:val="center"/>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47.744,5</w:t>
            </w:r>
          </w:p>
        </w:tc>
        <w:tc>
          <w:tcPr>
            <w:tcW w:w="778"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ind w:left="-185" w:right="-181"/>
              <w:jc w:val="center"/>
              <w:rPr>
                <w:rFonts w:asciiTheme="majorHAnsi" w:eastAsia="Times New Roman" w:hAnsiTheme="majorHAnsi" w:cstheme="majorHAnsi"/>
                <w:sz w:val="18"/>
                <w:szCs w:val="18"/>
                <w:lang w:val="ro-MD"/>
              </w:rPr>
            </w:pPr>
            <w:r w:rsidRPr="00606103">
              <w:rPr>
                <w:rFonts w:asciiTheme="majorHAnsi" w:eastAsia="Times New Roman" w:hAnsiTheme="majorHAnsi" w:cstheme="majorHAnsi"/>
                <w:sz w:val="18"/>
                <w:szCs w:val="18"/>
                <w:lang w:val="ro-MD"/>
              </w:rPr>
              <w:t>21.244,5</w:t>
            </w:r>
          </w:p>
        </w:tc>
        <w:tc>
          <w:tcPr>
            <w:tcW w:w="760" w:type="dxa"/>
            <w:tcBorders>
              <w:top w:val="nil"/>
              <w:left w:val="nil"/>
              <w:bottom w:val="single" w:sz="4" w:space="0" w:color="auto"/>
              <w:right w:val="single" w:sz="4" w:space="0" w:color="auto"/>
            </w:tcBorders>
            <w:shd w:val="clear" w:color="auto" w:fill="DEEAF6" w:themeFill="accent1" w:themeFillTint="33"/>
            <w:noWrap/>
            <w:vAlign w:val="center"/>
            <w:hideMark/>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80,2</w:t>
            </w:r>
          </w:p>
        </w:tc>
        <w:tc>
          <w:tcPr>
            <w:tcW w:w="897" w:type="dxa"/>
            <w:tcBorders>
              <w:top w:val="nil"/>
              <w:left w:val="nil"/>
              <w:bottom w:val="single" w:sz="4" w:space="0" w:color="auto"/>
              <w:right w:val="single" w:sz="4" w:space="0" w:color="auto"/>
            </w:tcBorders>
            <w:shd w:val="clear" w:color="000000" w:fill="FFFFFF"/>
            <w:vAlign w:val="center"/>
            <w:hideMark/>
          </w:tcPr>
          <w:p w:rsidR="00DD1A5A" w:rsidRPr="00606103" w:rsidRDefault="00DD1A5A" w:rsidP="006863AC">
            <w:pPr>
              <w:spacing w:after="0" w:line="240" w:lineRule="auto"/>
              <w:jc w:val="right"/>
              <w:rPr>
                <w:rFonts w:asciiTheme="majorHAnsi" w:eastAsia="Times New Roman" w:hAnsiTheme="majorHAnsi" w:cstheme="majorHAnsi"/>
                <w:color w:val="000000"/>
                <w:sz w:val="18"/>
                <w:szCs w:val="18"/>
                <w:lang w:val="ro-MD"/>
              </w:rPr>
            </w:pPr>
            <w:r w:rsidRPr="00606103">
              <w:rPr>
                <w:rFonts w:asciiTheme="majorHAnsi" w:eastAsia="Times New Roman" w:hAnsiTheme="majorHAnsi" w:cstheme="majorHAnsi"/>
                <w:color w:val="000000"/>
                <w:sz w:val="18"/>
                <w:szCs w:val="18"/>
                <w:lang w:val="ro-MD"/>
              </w:rPr>
              <w:t>21.830,8</w:t>
            </w:r>
          </w:p>
        </w:tc>
        <w:tc>
          <w:tcPr>
            <w:tcW w:w="1047" w:type="dxa"/>
            <w:tcBorders>
              <w:top w:val="nil"/>
              <w:left w:val="nil"/>
              <w:bottom w:val="single" w:sz="4" w:space="0" w:color="auto"/>
              <w:right w:val="single" w:sz="4" w:space="0" w:color="auto"/>
            </w:tcBorders>
            <w:shd w:val="clear" w:color="000000" w:fill="FFFFFF"/>
            <w:vAlign w:val="center"/>
          </w:tcPr>
          <w:p w:rsidR="00DD1A5A" w:rsidRPr="00606103" w:rsidRDefault="00DD1A5A" w:rsidP="006863AC">
            <w:pPr>
              <w:spacing w:after="0" w:line="240" w:lineRule="auto"/>
              <w:jc w:val="center"/>
              <w:rPr>
                <w:rFonts w:asciiTheme="majorHAnsi" w:eastAsia="Times New Roman" w:hAnsiTheme="majorHAnsi" w:cstheme="majorHAnsi"/>
                <w:i/>
                <w:color w:val="000000"/>
                <w:sz w:val="18"/>
                <w:szCs w:val="18"/>
                <w:lang w:val="ro-MD"/>
              </w:rPr>
            </w:pPr>
            <w:r w:rsidRPr="00606103">
              <w:rPr>
                <w:rFonts w:asciiTheme="majorHAnsi" w:eastAsia="Times New Roman" w:hAnsiTheme="majorHAnsi" w:cstheme="majorHAnsi"/>
                <w:i/>
                <w:color w:val="000000"/>
                <w:sz w:val="18"/>
                <w:szCs w:val="18"/>
                <w:lang w:val="ro-MD"/>
              </w:rPr>
              <w:t>45,7</w:t>
            </w:r>
          </w:p>
        </w:tc>
      </w:tr>
    </w:tbl>
    <w:p w:rsidR="00082C8F" w:rsidRDefault="00DD1A5A" w:rsidP="00552746">
      <w:pPr>
        <w:spacing w:after="0" w:line="276" w:lineRule="auto"/>
        <w:rPr>
          <w:rFonts w:asciiTheme="majorHAnsi" w:hAnsiTheme="majorHAnsi" w:cstheme="majorHAnsi"/>
          <w:bCs/>
          <w:i/>
          <w:sz w:val="20"/>
          <w:szCs w:val="20"/>
          <w:lang w:val="ro-MD"/>
        </w:rPr>
      </w:pPr>
      <w:r w:rsidRPr="00606103">
        <w:rPr>
          <w:rFonts w:asciiTheme="majorHAnsi" w:hAnsiTheme="majorHAnsi" w:cstheme="majorHAnsi"/>
          <w:b/>
          <w:i/>
          <w:sz w:val="20"/>
          <w:szCs w:val="20"/>
          <w:lang w:val="ro-MD"/>
        </w:rPr>
        <w:t xml:space="preserve">Sursă: </w:t>
      </w:r>
      <w:r w:rsidRPr="00606103">
        <w:rPr>
          <w:rFonts w:asciiTheme="majorHAnsi" w:eastAsia="Times New Roman" w:hAnsiTheme="majorHAnsi" w:cstheme="majorHAnsi"/>
          <w:i/>
          <w:sz w:val="20"/>
          <w:szCs w:val="24"/>
          <w:lang w:val="ro-MD" w:eastAsia="ru-RU"/>
        </w:rPr>
        <w:t>Informații generalizate de echipa de audit</w:t>
      </w:r>
      <w:r w:rsidRPr="00606103">
        <w:rPr>
          <w:rFonts w:asciiTheme="majorHAnsi" w:hAnsiTheme="majorHAnsi" w:cstheme="majorHAnsi"/>
          <w:bCs/>
          <w:i/>
          <w:sz w:val="20"/>
          <w:szCs w:val="20"/>
          <w:lang w:val="ro-MD"/>
        </w:rPr>
        <w:t xml:space="preserve"> conform datelor prezentate de către MF și Notele informative la proiectul Legii BS pentru anii 2014 -2021.</w:t>
      </w:r>
    </w:p>
    <w:p w:rsidR="00082C8F" w:rsidRDefault="00082C8F">
      <w:pPr>
        <w:jc w:val="left"/>
        <w:rPr>
          <w:rFonts w:asciiTheme="majorHAnsi" w:hAnsiTheme="majorHAnsi" w:cstheme="majorHAnsi"/>
          <w:bCs/>
          <w:i/>
          <w:sz w:val="20"/>
          <w:szCs w:val="20"/>
          <w:lang w:val="ro-MD"/>
        </w:rPr>
      </w:pPr>
      <w:r>
        <w:rPr>
          <w:rFonts w:asciiTheme="majorHAnsi" w:hAnsiTheme="majorHAnsi" w:cstheme="majorHAnsi"/>
          <w:bCs/>
          <w:i/>
          <w:sz w:val="20"/>
          <w:szCs w:val="20"/>
          <w:lang w:val="ro-MD"/>
        </w:rPr>
        <w:br w:type="page"/>
      </w:r>
    </w:p>
    <w:p w:rsidR="00DD1A5A" w:rsidRPr="00606103" w:rsidRDefault="00DD1A5A" w:rsidP="00552746">
      <w:pPr>
        <w:spacing w:after="0" w:line="276" w:lineRule="auto"/>
        <w:rPr>
          <w:rFonts w:asciiTheme="majorHAnsi" w:hAnsiTheme="majorHAnsi" w:cstheme="majorHAnsi"/>
          <w:bCs/>
          <w:i/>
          <w:sz w:val="20"/>
          <w:szCs w:val="20"/>
          <w:lang w:val="ro-MD"/>
        </w:rPr>
      </w:pPr>
    </w:p>
    <w:p w:rsidR="00DD1A5A" w:rsidRPr="00606103" w:rsidRDefault="00DD1A5A" w:rsidP="00FE3F3B">
      <w:pPr>
        <w:shd w:val="clear" w:color="auto" w:fill="FFFFFF" w:themeFill="background1"/>
        <w:tabs>
          <w:tab w:val="left" w:pos="284"/>
          <w:tab w:val="left" w:pos="567"/>
          <w:tab w:val="left" w:pos="6237"/>
          <w:tab w:val="left" w:pos="6379"/>
        </w:tabs>
        <w:spacing w:after="0" w:line="276" w:lineRule="auto"/>
        <w:contextualSpacing/>
        <w:jc w:val="right"/>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t>Anexa nr.10</w:t>
      </w:r>
    </w:p>
    <w:p w:rsidR="00DD1A5A" w:rsidRPr="00606103" w:rsidRDefault="00DD1A5A">
      <w:pPr>
        <w:spacing w:after="0" w:line="276" w:lineRule="auto"/>
        <w:ind w:firstLine="720"/>
        <w:jc w:val="center"/>
        <w:rPr>
          <w:rFonts w:asciiTheme="majorHAnsi" w:hAnsiTheme="majorHAnsi" w:cstheme="majorHAnsi"/>
          <w:b/>
          <w:sz w:val="24"/>
          <w:szCs w:val="24"/>
          <w:lang w:val="ro-MD"/>
        </w:rPr>
      </w:pPr>
      <w:r w:rsidRPr="00606103">
        <w:rPr>
          <w:rFonts w:asciiTheme="majorHAnsi" w:hAnsiTheme="majorHAnsi" w:cstheme="majorHAnsi"/>
          <w:b/>
          <w:sz w:val="24"/>
          <w:szCs w:val="24"/>
          <w:lang w:val="ro-MD"/>
        </w:rPr>
        <w:t>Informați</w:t>
      </w:r>
      <w:r w:rsidR="00DF2A11" w:rsidRPr="00606103">
        <w:rPr>
          <w:rFonts w:asciiTheme="majorHAnsi" w:hAnsiTheme="majorHAnsi" w:cstheme="majorHAnsi"/>
          <w:b/>
          <w:sz w:val="24"/>
          <w:szCs w:val="24"/>
          <w:lang w:val="ro-MD"/>
        </w:rPr>
        <w:t>i</w:t>
      </w:r>
      <w:r w:rsidRPr="00606103">
        <w:rPr>
          <w:rFonts w:asciiTheme="majorHAnsi" w:hAnsiTheme="majorHAnsi" w:cstheme="majorHAnsi"/>
          <w:b/>
          <w:sz w:val="24"/>
          <w:szCs w:val="24"/>
          <w:lang w:val="ro-MD"/>
        </w:rPr>
        <w:t xml:space="preserve"> </w:t>
      </w:r>
      <w:r w:rsidRPr="00A30401">
        <w:rPr>
          <w:rFonts w:asciiTheme="majorHAnsi" w:hAnsiTheme="majorHAnsi" w:cstheme="majorHAnsi"/>
          <w:b/>
          <w:sz w:val="24"/>
          <w:szCs w:val="24"/>
          <w:lang w:val="ro-MD"/>
        </w:rPr>
        <w:t>privind creanțele și datoriile la venituri, cheltuieli și active nefinanciare conform</w:t>
      </w:r>
      <w:r w:rsidRPr="00606103">
        <w:rPr>
          <w:rFonts w:asciiTheme="majorHAnsi" w:hAnsiTheme="majorHAnsi" w:cstheme="majorHAnsi"/>
          <w:b/>
          <w:sz w:val="24"/>
          <w:szCs w:val="24"/>
          <w:lang w:val="ro-MD"/>
        </w:rPr>
        <w:t xml:space="preserve"> clasificației economice pe anul 2021</w:t>
      </w:r>
    </w:p>
    <w:p w:rsidR="00DD1A5A" w:rsidRPr="00606103" w:rsidRDefault="00DD1A5A">
      <w:pPr>
        <w:spacing w:after="0" w:line="276" w:lineRule="auto"/>
        <w:jc w:val="right"/>
        <w:rPr>
          <w:rFonts w:asciiTheme="majorHAnsi" w:hAnsiTheme="majorHAnsi" w:cstheme="majorHAnsi"/>
          <w:i/>
          <w:sz w:val="24"/>
          <w:szCs w:val="24"/>
          <w:lang w:val="ro-MD"/>
        </w:rPr>
      </w:pPr>
      <w:r w:rsidRPr="00606103">
        <w:rPr>
          <w:rFonts w:asciiTheme="majorHAnsi" w:hAnsiTheme="majorHAnsi" w:cstheme="majorHAnsi"/>
          <w:i/>
          <w:sz w:val="24"/>
          <w:szCs w:val="24"/>
          <w:lang w:val="ro-MD"/>
        </w:rPr>
        <w:t>(mil. lei)</w:t>
      </w:r>
    </w:p>
    <w:tbl>
      <w:tblPr>
        <w:tblStyle w:val="TableGrid"/>
        <w:tblW w:w="14400" w:type="dxa"/>
        <w:tblLook w:val="04A0" w:firstRow="1" w:lastRow="0" w:firstColumn="1" w:lastColumn="0" w:noHBand="0" w:noVBand="1"/>
      </w:tblPr>
      <w:tblGrid>
        <w:gridCol w:w="6232"/>
        <w:gridCol w:w="872"/>
        <w:gridCol w:w="851"/>
        <w:gridCol w:w="998"/>
        <w:gridCol w:w="831"/>
        <w:gridCol w:w="1072"/>
        <w:gridCol w:w="8"/>
        <w:gridCol w:w="830"/>
        <w:gridCol w:w="988"/>
        <w:gridCol w:w="706"/>
        <w:gridCol w:w="993"/>
        <w:gridCol w:w="19"/>
      </w:tblGrid>
      <w:tr w:rsidR="00DD1A5A" w:rsidRPr="00606103" w:rsidTr="007A7882">
        <w:trPr>
          <w:trHeight w:val="70"/>
        </w:trPr>
        <w:tc>
          <w:tcPr>
            <w:tcW w:w="6232" w:type="dxa"/>
            <w:vMerge w:val="restart"/>
            <w:hideMark/>
          </w:tcPr>
          <w:p w:rsidR="00DD1A5A" w:rsidRPr="00606103" w:rsidRDefault="00DD1A5A">
            <w:pPr>
              <w:spacing w:line="276" w:lineRule="auto"/>
              <w:jc w:val="center"/>
              <w:rPr>
                <w:rFonts w:asciiTheme="majorHAnsi" w:hAnsiTheme="majorHAnsi" w:cstheme="majorHAnsi"/>
                <w:b/>
                <w:sz w:val="18"/>
                <w:szCs w:val="18"/>
                <w:lang w:val="ro-MD"/>
              </w:rPr>
            </w:pPr>
            <w:r w:rsidRPr="00606103">
              <w:rPr>
                <w:rFonts w:asciiTheme="majorHAnsi" w:hAnsiTheme="majorHAnsi" w:cstheme="majorHAnsi"/>
                <w:b/>
                <w:sz w:val="18"/>
                <w:szCs w:val="18"/>
                <w:lang w:val="ro-MD"/>
              </w:rPr>
              <w:t>Denumirea</w:t>
            </w:r>
          </w:p>
        </w:tc>
        <w:tc>
          <w:tcPr>
            <w:tcW w:w="872" w:type="dxa"/>
            <w:vMerge w:val="restart"/>
            <w:hideMark/>
          </w:tcPr>
          <w:p w:rsidR="00DD1A5A" w:rsidRPr="00606103" w:rsidRDefault="00DD1A5A">
            <w:pPr>
              <w:spacing w:line="276" w:lineRule="auto"/>
              <w:jc w:val="left"/>
              <w:rPr>
                <w:rFonts w:asciiTheme="majorHAnsi" w:hAnsiTheme="majorHAnsi" w:cstheme="majorHAnsi"/>
                <w:b/>
                <w:sz w:val="18"/>
                <w:szCs w:val="18"/>
                <w:lang w:val="ro-MD"/>
              </w:rPr>
            </w:pPr>
            <w:r w:rsidRPr="00606103">
              <w:rPr>
                <w:rFonts w:asciiTheme="majorHAnsi" w:hAnsiTheme="majorHAnsi" w:cstheme="majorHAnsi"/>
                <w:b/>
                <w:sz w:val="18"/>
                <w:szCs w:val="18"/>
                <w:lang w:val="ro-MD"/>
              </w:rPr>
              <w:t>ECO           K1-K6</w:t>
            </w:r>
          </w:p>
        </w:tc>
        <w:tc>
          <w:tcPr>
            <w:tcW w:w="3760" w:type="dxa"/>
            <w:gridSpan w:val="5"/>
            <w:noWrap/>
            <w:hideMark/>
          </w:tcPr>
          <w:p w:rsidR="00DD1A5A" w:rsidRPr="00606103" w:rsidRDefault="0085167C">
            <w:pPr>
              <w:spacing w:line="276" w:lineRule="auto"/>
              <w:jc w:val="center"/>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Suma</w:t>
            </w:r>
          </w:p>
        </w:tc>
        <w:tc>
          <w:tcPr>
            <w:tcW w:w="3536" w:type="dxa"/>
            <w:gridSpan w:val="5"/>
            <w:noWrap/>
            <w:hideMark/>
          </w:tcPr>
          <w:p w:rsidR="00DD1A5A" w:rsidRPr="00606103" w:rsidRDefault="00DD1A5A">
            <w:pPr>
              <w:spacing w:line="276" w:lineRule="auto"/>
              <w:jc w:val="center"/>
              <w:rPr>
                <w:rFonts w:asciiTheme="majorHAnsi" w:hAnsiTheme="majorHAnsi" w:cstheme="majorHAnsi"/>
                <w:b/>
                <w:sz w:val="18"/>
                <w:szCs w:val="18"/>
                <w:lang w:val="ro-MD"/>
              </w:rPr>
            </w:pPr>
            <w:r w:rsidRPr="00606103">
              <w:rPr>
                <w:rFonts w:asciiTheme="majorHAnsi" w:hAnsiTheme="majorHAnsi" w:cstheme="majorHAnsi"/>
                <w:b/>
                <w:sz w:val="18"/>
                <w:szCs w:val="18"/>
                <w:lang w:val="ro-MD"/>
              </w:rPr>
              <w:t>Ponderea, %</w:t>
            </w:r>
          </w:p>
        </w:tc>
      </w:tr>
      <w:tr w:rsidR="00DD1A5A" w:rsidRPr="00606103" w:rsidTr="00E95581">
        <w:trPr>
          <w:gridAfter w:val="1"/>
          <w:wAfter w:w="19" w:type="dxa"/>
          <w:trHeight w:val="1006"/>
        </w:trPr>
        <w:tc>
          <w:tcPr>
            <w:tcW w:w="6232" w:type="dxa"/>
            <w:vMerge/>
            <w:hideMark/>
          </w:tcPr>
          <w:p w:rsidR="00DD1A5A" w:rsidRPr="00606103" w:rsidRDefault="00DD1A5A">
            <w:pPr>
              <w:spacing w:line="276" w:lineRule="auto"/>
              <w:rPr>
                <w:rFonts w:asciiTheme="majorHAnsi" w:hAnsiTheme="majorHAnsi" w:cstheme="majorHAnsi"/>
                <w:b/>
                <w:sz w:val="18"/>
                <w:szCs w:val="18"/>
                <w:lang w:val="ro-MD"/>
              </w:rPr>
            </w:pPr>
          </w:p>
        </w:tc>
        <w:tc>
          <w:tcPr>
            <w:tcW w:w="872" w:type="dxa"/>
            <w:vMerge/>
            <w:hideMark/>
          </w:tcPr>
          <w:p w:rsidR="00DD1A5A" w:rsidRPr="00606103" w:rsidRDefault="00DD1A5A">
            <w:pPr>
              <w:spacing w:line="276" w:lineRule="auto"/>
              <w:rPr>
                <w:rFonts w:asciiTheme="majorHAnsi" w:hAnsiTheme="majorHAnsi" w:cstheme="majorHAnsi"/>
                <w:b/>
                <w:sz w:val="18"/>
                <w:szCs w:val="18"/>
                <w:lang w:val="ro-MD"/>
              </w:rPr>
            </w:pPr>
          </w:p>
        </w:tc>
        <w:tc>
          <w:tcPr>
            <w:tcW w:w="851" w:type="dxa"/>
            <w:hideMark/>
          </w:tcPr>
          <w:p w:rsidR="00DD1A5A" w:rsidRPr="00606103" w:rsidRDefault="00DD1A5A">
            <w:pPr>
              <w:spacing w:line="276" w:lineRule="auto"/>
              <w:jc w:val="center"/>
              <w:rPr>
                <w:rFonts w:asciiTheme="majorHAnsi" w:hAnsiTheme="majorHAnsi" w:cstheme="majorHAnsi"/>
                <w:b/>
                <w:sz w:val="18"/>
                <w:szCs w:val="18"/>
                <w:lang w:val="ro-MD"/>
              </w:rPr>
            </w:pPr>
            <w:r w:rsidRPr="00606103">
              <w:rPr>
                <w:rFonts w:asciiTheme="majorHAnsi" w:hAnsiTheme="majorHAnsi" w:cstheme="majorHAnsi"/>
                <w:b/>
                <w:sz w:val="18"/>
                <w:szCs w:val="18"/>
                <w:lang w:val="ro-MD"/>
              </w:rPr>
              <w:t>Creanțe total</w:t>
            </w:r>
          </w:p>
        </w:tc>
        <w:tc>
          <w:tcPr>
            <w:tcW w:w="998" w:type="dxa"/>
            <w:hideMark/>
          </w:tcPr>
          <w:p w:rsidR="00DD1A5A" w:rsidRPr="00606103" w:rsidRDefault="00DD1A5A">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inclusiv cu termen  expirat</w:t>
            </w:r>
          </w:p>
        </w:tc>
        <w:tc>
          <w:tcPr>
            <w:tcW w:w="831" w:type="dxa"/>
            <w:hideMark/>
          </w:tcPr>
          <w:p w:rsidR="00DD1A5A" w:rsidRPr="00606103" w:rsidRDefault="00DD1A5A">
            <w:pPr>
              <w:spacing w:line="276" w:lineRule="auto"/>
              <w:jc w:val="center"/>
              <w:rPr>
                <w:rFonts w:asciiTheme="majorHAnsi" w:hAnsiTheme="majorHAnsi" w:cstheme="majorHAnsi"/>
                <w:b/>
                <w:sz w:val="18"/>
                <w:szCs w:val="18"/>
                <w:lang w:val="ro-MD"/>
              </w:rPr>
            </w:pPr>
            <w:r w:rsidRPr="00606103">
              <w:rPr>
                <w:rFonts w:asciiTheme="majorHAnsi" w:hAnsiTheme="majorHAnsi" w:cstheme="majorHAnsi"/>
                <w:b/>
                <w:sz w:val="18"/>
                <w:szCs w:val="18"/>
                <w:lang w:val="ro-MD"/>
              </w:rPr>
              <w:t>Datorii total</w:t>
            </w:r>
          </w:p>
        </w:tc>
        <w:tc>
          <w:tcPr>
            <w:tcW w:w="1072" w:type="dxa"/>
            <w:hideMark/>
          </w:tcPr>
          <w:p w:rsidR="00DD1A5A" w:rsidRPr="00606103" w:rsidRDefault="00DD1A5A">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inclusiv cu termen de achitare expirat</w:t>
            </w:r>
          </w:p>
        </w:tc>
        <w:tc>
          <w:tcPr>
            <w:tcW w:w="838" w:type="dxa"/>
            <w:gridSpan w:val="2"/>
            <w:hideMark/>
          </w:tcPr>
          <w:p w:rsidR="00DD1A5A" w:rsidRPr="00606103" w:rsidRDefault="00DD1A5A">
            <w:pPr>
              <w:spacing w:line="276" w:lineRule="auto"/>
              <w:jc w:val="center"/>
              <w:rPr>
                <w:rFonts w:asciiTheme="majorHAnsi" w:hAnsiTheme="majorHAnsi" w:cstheme="majorHAnsi"/>
                <w:b/>
                <w:sz w:val="18"/>
                <w:szCs w:val="18"/>
                <w:lang w:val="ro-MD"/>
              </w:rPr>
            </w:pPr>
            <w:r w:rsidRPr="00606103">
              <w:rPr>
                <w:rFonts w:asciiTheme="majorHAnsi" w:hAnsiTheme="majorHAnsi" w:cstheme="majorHAnsi"/>
                <w:b/>
                <w:sz w:val="18"/>
                <w:szCs w:val="18"/>
                <w:lang w:val="ro-MD"/>
              </w:rPr>
              <w:t>Creanțe</w:t>
            </w:r>
          </w:p>
        </w:tc>
        <w:tc>
          <w:tcPr>
            <w:tcW w:w="988" w:type="dxa"/>
            <w:hideMark/>
          </w:tcPr>
          <w:p w:rsidR="00DD1A5A" w:rsidRPr="00606103" w:rsidRDefault="00DD1A5A">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inclusiv cu termen  expirat</w:t>
            </w:r>
          </w:p>
        </w:tc>
        <w:tc>
          <w:tcPr>
            <w:tcW w:w="706" w:type="dxa"/>
            <w:hideMark/>
          </w:tcPr>
          <w:p w:rsidR="00DD1A5A" w:rsidRPr="00606103" w:rsidRDefault="00DD1A5A">
            <w:pPr>
              <w:spacing w:line="276" w:lineRule="auto"/>
              <w:jc w:val="center"/>
              <w:rPr>
                <w:rFonts w:asciiTheme="majorHAnsi" w:hAnsiTheme="majorHAnsi" w:cstheme="majorHAnsi"/>
                <w:b/>
                <w:sz w:val="18"/>
                <w:szCs w:val="18"/>
                <w:lang w:val="ro-MD"/>
              </w:rPr>
            </w:pPr>
            <w:r w:rsidRPr="00606103">
              <w:rPr>
                <w:rFonts w:asciiTheme="majorHAnsi" w:hAnsiTheme="majorHAnsi" w:cstheme="majorHAnsi"/>
                <w:b/>
                <w:sz w:val="18"/>
                <w:szCs w:val="18"/>
                <w:lang w:val="ro-MD"/>
              </w:rPr>
              <w:t>Datorii</w:t>
            </w:r>
          </w:p>
        </w:tc>
        <w:tc>
          <w:tcPr>
            <w:tcW w:w="993" w:type="dxa"/>
            <w:hideMark/>
          </w:tcPr>
          <w:p w:rsidR="00DD1A5A" w:rsidRPr="00606103" w:rsidRDefault="00DD1A5A">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inclusiv cu termen de achitare expirat</w:t>
            </w:r>
          </w:p>
        </w:tc>
      </w:tr>
      <w:tr w:rsidR="00DD1A5A" w:rsidRPr="00606103" w:rsidTr="00E95581">
        <w:trPr>
          <w:gridAfter w:val="1"/>
          <w:wAfter w:w="19" w:type="dxa"/>
          <w:trHeight w:val="141"/>
        </w:trPr>
        <w:tc>
          <w:tcPr>
            <w:tcW w:w="6232" w:type="dxa"/>
            <w:hideMark/>
          </w:tcPr>
          <w:p w:rsidR="00DD1A5A" w:rsidRPr="00606103" w:rsidRDefault="00DD1A5A" w:rsidP="00FE3F3B">
            <w:pPr>
              <w:spacing w:line="276" w:lineRule="auto"/>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VENITURI, total</w:t>
            </w:r>
          </w:p>
        </w:tc>
        <w:tc>
          <w:tcPr>
            <w:tcW w:w="872" w:type="dxa"/>
            <w:hideMark/>
          </w:tcPr>
          <w:p w:rsidR="00DD1A5A" w:rsidRPr="00606103" w:rsidRDefault="00A30401">
            <w:pPr>
              <w:spacing w:line="276" w:lineRule="auto"/>
              <w:rPr>
                <w:rFonts w:asciiTheme="majorHAnsi" w:hAnsiTheme="majorHAnsi" w:cstheme="majorHAnsi"/>
                <w:b/>
                <w:bCs/>
                <w:sz w:val="18"/>
                <w:szCs w:val="18"/>
                <w:lang w:val="ro-MD"/>
              </w:rPr>
            </w:pPr>
            <w:r>
              <w:rPr>
                <w:rFonts w:asciiTheme="majorHAnsi" w:hAnsiTheme="majorHAnsi" w:cstheme="majorHAnsi"/>
                <w:b/>
                <w:bCs/>
                <w:sz w:val="18"/>
                <w:szCs w:val="18"/>
                <w:lang w:val="ro-MD"/>
              </w:rPr>
              <w:t>1</w:t>
            </w:r>
          </w:p>
        </w:tc>
        <w:tc>
          <w:tcPr>
            <w:tcW w:w="851" w:type="dxa"/>
            <w:hideMark/>
          </w:tcPr>
          <w:p w:rsidR="00DD1A5A" w:rsidRPr="00606103" w:rsidRDefault="00A30401">
            <w:pPr>
              <w:spacing w:line="276" w:lineRule="auto"/>
              <w:jc w:val="center"/>
              <w:rPr>
                <w:rFonts w:asciiTheme="majorHAnsi" w:hAnsiTheme="majorHAnsi" w:cstheme="majorHAnsi"/>
                <w:b/>
                <w:bCs/>
                <w:sz w:val="18"/>
                <w:szCs w:val="18"/>
                <w:lang w:val="ro-MD"/>
              </w:rPr>
            </w:pPr>
            <w:r>
              <w:rPr>
                <w:rFonts w:asciiTheme="majorHAnsi" w:hAnsiTheme="majorHAnsi" w:cstheme="majorHAnsi"/>
                <w:b/>
                <w:bCs/>
                <w:sz w:val="18"/>
                <w:szCs w:val="18"/>
                <w:lang w:val="ro-MD"/>
              </w:rPr>
              <w:t>100,8</w:t>
            </w:r>
          </w:p>
        </w:tc>
        <w:tc>
          <w:tcPr>
            <w:tcW w:w="998" w:type="dxa"/>
            <w:hideMark/>
          </w:tcPr>
          <w:p w:rsidR="00DD1A5A" w:rsidRPr="00606103" w:rsidRDefault="00A30401">
            <w:pPr>
              <w:spacing w:line="276" w:lineRule="auto"/>
              <w:jc w:val="center"/>
              <w:rPr>
                <w:rFonts w:asciiTheme="majorHAnsi" w:hAnsiTheme="majorHAnsi" w:cstheme="majorHAnsi"/>
                <w:b/>
                <w:bCs/>
                <w:i/>
                <w:sz w:val="18"/>
                <w:szCs w:val="18"/>
                <w:lang w:val="ro-MD"/>
              </w:rPr>
            </w:pPr>
            <w:r>
              <w:rPr>
                <w:rFonts w:asciiTheme="majorHAnsi" w:hAnsiTheme="majorHAnsi" w:cstheme="majorHAnsi"/>
                <w:b/>
                <w:bCs/>
                <w:i/>
                <w:sz w:val="18"/>
                <w:szCs w:val="18"/>
                <w:lang w:val="ro-MD"/>
              </w:rPr>
              <w:t>16,9</w:t>
            </w:r>
          </w:p>
        </w:tc>
        <w:tc>
          <w:tcPr>
            <w:tcW w:w="831" w:type="dxa"/>
            <w:hideMark/>
          </w:tcPr>
          <w:p w:rsidR="00DD1A5A" w:rsidRPr="00606103" w:rsidRDefault="00A30401">
            <w:pPr>
              <w:spacing w:line="276" w:lineRule="auto"/>
              <w:jc w:val="center"/>
              <w:rPr>
                <w:rFonts w:asciiTheme="majorHAnsi" w:hAnsiTheme="majorHAnsi" w:cstheme="majorHAnsi"/>
                <w:b/>
                <w:bCs/>
                <w:sz w:val="18"/>
                <w:szCs w:val="18"/>
                <w:lang w:val="ro-MD"/>
              </w:rPr>
            </w:pPr>
            <w:r>
              <w:rPr>
                <w:rFonts w:asciiTheme="majorHAnsi" w:hAnsiTheme="majorHAnsi" w:cstheme="majorHAnsi"/>
                <w:b/>
                <w:bCs/>
                <w:sz w:val="18"/>
                <w:szCs w:val="18"/>
                <w:lang w:val="ro-MD"/>
              </w:rPr>
              <w:t>52,8</w:t>
            </w:r>
          </w:p>
        </w:tc>
        <w:tc>
          <w:tcPr>
            <w:tcW w:w="1072" w:type="dxa"/>
            <w:hideMark/>
          </w:tcPr>
          <w:p w:rsidR="00DD1A5A" w:rsidRPr="00606103" w:rsidRDefault="00DD1A5A">
            <w:pPr>
              <w:spacing w:line="276" w:lineRule="auto"/>
              <w:jc w:val="center"/>
              <w:rPr>
                <w:rFonts w:asciiTheme="majorHAnsi" w:hAnsiTheme="majorHAnsi" w:cstheme="majorHAnsi"/>
                <w:b/>
                <w:bCs/>
                <w:i/>
                <w:sz w:val="18"/>
                <w:szCs w:val="18"/>
                <w:lang w:val="ro-MD"/>
              </w:rPr>
            </w:pPr>
            <w:r w:rsidRPr="00606103">
              <w:rPr>
                <w:rFonts w:asciiTheme="majorHAnsi" w:hAnsiTheme="majorHAnsi" w:cstheme="majorHAnsi"/>
                <w:b/>
                <w:bCs/>
                <w:i/>
                <w:sz w:val="18"/>
                <w:szCs w:val="18"/>
                <w:lang w:val="ro-MD"/>
              </w:rPr>
              <w:t>1,2</w:t>
            </w:r>
          </w:p>
        </w:tc>
        <w:tc>
          <w:tcPr>
            <w:tcW w:w="838" w:type="dxa"/>
            <w:gridSpan w:val="2"/>
            <w:noWrap/>
            <w:hideMark/>
          </w:tcPr>
          <w:p w:rsidR="00DD1A5A" w:rsidRPr="00606103" w:rsidRDefault="00DD1A5A">
            <w:pPr>
              <w:spacing w:line="276" w:lineRule="auto"/>
              <w:jc w:val="center"/>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100,0</w:t>
            </w:r>
          </w:p>
        </w:tc>
        <w:tc>
          <w:tcPr>
            <w:tcW w:w="988" w:type="dxa"/>
            <w:noWrap/>
            <w:hideMark/>
          </w:tcPr>
          <w:p w:rsidR="00DD1A5A" w:rsidRPr="00606103" w:rsidRDefault="00DD1A5A">
            <w:pPr>
              <w:spacing w:line="276" w:lineRule="auto"/>
              <w:jc w:val="center"/>
              <w:rPr>
                <w:rFonts w:asciiTheme="majorHAnsi" w:hAnsiTheme="majorHAnsi" w:cstheme="majorHAnsi"/>
                <w:b/>
                <w:bCs/>
                <w:i/>
                <w:sz w:val="18"/>
                <w:szCs w:val="18"/>
                <w:lang w:val="ro-MD"/>
              </w:rPr>
            </w:pPr>
            <w:r w:rsidRPr="00606103">
              <w:rPr>
                <w:rFonts w:asciiTheme="majorHAnsi" w:hAnsiTheme="majorHAnsi" w:cstheme="majorHAnsi"/>
                <w:b/>
                <w:bCs/>
                <w:i/>
                <w:sz w:val="18"/>
                <w:szCs w:val="18"/>
                <w:lang w:val="ro-MD"/>
              </w:rPr>
              <w:t>100,0</w:t>
            </w:r>
          </w:p>
        </w:tc>
        <w:tc>
          <w:tcPr>
            <w:tcW w:w="706" w:type="dxa"/>
            <w:noWrap/>
            <w:hideMark/>
          </w:tcPr>
          <w:p w:rsidR="00DD1A5A" w:rsidRPr="00606103" w:rsidRDefault="00DD1A5A">
            <w:pPr>
              <w:spacing w:line="276" w:lineRule="auto"/>
              <w:jc w:val="center"/>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100,0</w:t>
            </w:r>
          </w:p>
        </w:tc>
        <w:tc>
          <w:tcPr>
            <w:tcW w:w="993" w:type="dxa"/>
            <w:noWrap/>
            <w:hideMark/>
          </w:tcPr>
          <w:p w:rsidR="00DD1A5A" w:rsidRPr="00606103" w:rsidRDefault="00DD1A5A">
            <w:pPr>
              <w:spacing w:line="276" w:lineRule="auto"/>
              <w:jc w:val="center"/>
              <w:rPr>
                <w:rFonts w:asciiTheme="majorHAnsi" w:hAnsiTheme="majorHAnsi" w:cstheme="majorHAnsi"/>
                <w:b/>
                <w:bCs/>
                <w:i/>
                <w:sz w:val="18"/>
                <w:szCs w:val="18"/>
                <w:lang w:val="ro-MD"/>
              </w:rPr>
            </w:pPr>
            <w:r w:rsidRPr="00606103">
              <w:rPr>
                <w:rFonts w:asciiTheme="majorHAnsi" w:hAnsiTheme="majorHAnsi" w:cstheme="majorHAnsi"/>
                <w:b/>
                <w:bCs/>
                <w:i/>
                <w:sz w:val="18"/>
                <w:szCs w:val="18"/>
                <w:lang w:val="ro-MD"/>
              </w:rPr>
              <w:t>100,0</w:t>
            </w:r>
          </w:p>
        </w:tc>
      </w:tr>
      <w:tr w:rsidR="00E95581" w:rsidRPr="00606103" w:rsidTr="00E95581">
        <w:trPr>
          <w:gridAfter w:val="1"/>
          <w:wAfter w:w="19" w:type="dxa"/>
          <w:trHeight w:val="58"/>
        </w:trPr>
        <w:tc>
          <w:tcPr>
            <w:tcW w:w="6232" w:type="dxa"/>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Încasări de la prestarea serviciilor cu plată</w:t>
            </w:r>
          </w:p>
        </w:tc>
        <w:tc>
          <w:tcPr>
            <w:tcW w:w="872" w:type="dxa"/>
            <w:hideMark/>
          </w:tcPr>
          <w:p w:rsidR="00E95581" w:rsidRPr="00606103" w:rsidRDefault="00E95581">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142310</w:t>
            </w:r>
          </w:p>
        </w:tc>
        <w:tc>
          <w:tcPr>
            <w:tcW w:w="851" w:type="dxa"/>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53,6</w:t>
            </w:r>
          </w:p>
        </w:tc>
        <w:tc>
          <w:tcPr>
            <w:tcW w:w="998" w:type="dxa"/>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2,0</w:t>
            </w:r>
          </w:p>
        </w:tc>
        <w:tc>
          <w:tcPr>
            <w:tcW w:w="831" w:type="dxa"/>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51,4</w:t>
            </w:r>
          </w:p>
        </w:tc>
        <w:tc>
          <w:tcPr>
            <w:tcW w:w="1072" w:type="dxa"/>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1,2</w:t>
            </w:r>
          </w:p>
        </w:tc>
        <w:tc>
          <w:tcPr>
            <w:tcW w:w="838" w:type="dxa"/>
            <w:gridSpan w:val="2"/>
            <w:noWrap/>
            <w:hideMark/>
          </w:tcPr>
          <w:p w:rsidR="00E95581" w:rsidRPr="00606103" w:rsidRDefault="000867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52,8</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10,3</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96,7</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99,9</w:t>
            </w:r>
          </w:p>
        </w:tc>
      </w:tr>
      <w:tr w:rsidR="00E95581" w:rsidRPr="00606103" w:rsidTr="00E95581">
        <w:trPr>
          <w:gridAfter w:val="1"/>
          <w:wAfter w:w="19" w:type="dxa"/>
          <w:trHeight w:val="203"/>
        </w:trPr>
        <w:tc>
          <w:tcPr>
            <w:tcW w:w="6232" w:type="dxa"/>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Plată pentru locațiunea bunurilor patrimoniului public</w:t>
            </w:r>
          </w:p>
        </w:tc>
        <w:tc>
          <w:tcPr>
            <w:tcW w:w="872" w:type="dxa"/>
            <w:hideMark/>
          </w:tcPr>
          <w:p w:rsidR="00E95581" w:rsidRPr="00606103" w:rsidRDefault="00E95581">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142320</w:t>
            </w:r>
          </w:p>
        </w:tc>
        <w:tc>
          <w:tcPr>
            <w:tcW w:w="851" w:type="dxa"/>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34,0</w:t>
            </w:r>
          </w:p>
        </w:tc>
        <w:tc>
          <w:tcPr>
            <w:tcW w:w="998" w:type="dxa"/>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14,8</w:t>
            </w:r>
          </w:p>
        </w:tc>
        <w:tc>
          <w:tcPr>
            <w:tcW w:w="831" w:type="dxa"/>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1,3</w:t>
            </w:r>
          </w:p>
        </w:tc>
        <w:tc>
          <w:tcPr>
            <w:tcW w:w="1072" w:type="dxa"/>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8" w:type="dxa"/>
            <w:gridSpan w:val="2"/>
            <w:noWrap/>
            <w:hideMark/>
          </w:tcPr>
          <w:p w:rsidR="00E95581" w:rsidRPr="00606103" w:rsidRDefault="000867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33,5</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74,1</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2,4</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0,1</w:t>
            </w:r>
          </w:p>
        </w:tc>
      </w:tr>
      <w:tr w:rsidR="00E95581" w:rsidRPr="00606103" w:rsidTr="00E95581">
        <w:trPr>
          <w:gridAfter w:val="1"/>
          <w:wAfter w:w="19" w:type="dxa"/>
          <w:trHeight w:val="363"/>
        </w:trPr>
        <w:tc>
          <w:tcPr>
            <w:tcW w:w="6232" w:type="dxa"/>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Alte mijloace bănești intrate legal în posesia autorităților/instituțiilor bugetare</w:t>
            </w:r>
          </w:p>
        </w:tc>
        <w:tc>
          <w:tcPr>
            <w:tcW w:w="872" w:type="dxa"/>
            <w:hideMark/>
          </w:tcPr>
          <w:p w:rsidR="00E95581" w:rsidRPr="00606103" w:rsidRDefault="00E95581">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142391</w:t>
            </w:r>
          </w:p>
        </w:tc>
        <w:tc>
          <w:tcPr>
            <w:tcW w:w="851" w:type="dxa"/>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0,4</w:t>
            </w:r>
          </w:p>
        </w:tc>
        <w:tc>
          <w:tcPr>
            <w:tcW w:w="998" w:type="dxa"/>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1" w:type="dxa"/>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0,1</w:t>
            </w:r>
          </w:p>
        </w:tc>
        <w:tc>
          <w:tcPr>
            <w:tcW w:w="1072" w:type="dxa"/>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8" w:type="dxa"/>
            <w:gridSpan w:val="2"/>
            <w:noWrap/>
            <w:hideMark/>
          </w:tcPr>
          <w:p w:rsidR="00E95581" w:rsidRPr="00606103" w:rsidRDefault="000867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0,4</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0,2</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r>
      <w:tr w:rsidR="00E95581" w:rsidRPr="00606103" w:rsidTr="00E95581">
        <w:trPr>
          <w:gridAfter w:val="1"/>
          <w:wAfter w:w="19" w:type="dxa"/>
          <w:trHeight w:val="204"/>
        </w:trPr>
        <w:tc>
          <w:tcPr>
            <w:tcW w:w="6232" w:type="dxa"/>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Donații voluntare pentru cheltuieli curente din surse externe pentru autoritățile/instituțiile bugetare</w:t>
            </w:r>
          </w:p>
        </w:tc>
        <w:tc>
          <w:tcPr>
            <w:tcW w:w="872" w:type="dxa"/>
            <w:hideMark/>
          </w:tcPr>
          <w:p w:rsidR="00E95581" w:rsidRPr="00606103" w:rsidRDefault="00E95581">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144124</w:t>
            </w:r>
          </w:p>
        </w:tc>
        <w:tc>
          <w:tcPr>
            <w:tcW w:w="851" w:type="dxa"/>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0,1</w:t>
            </w:r>
          </w:p>
        </w:tc>
        <w:tc>
          <w:tcPr>
            <w:tcW w:w="998" w:type="dxa"/>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1" w:type="dxa"/>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1072" w:type="dxa"/>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8" w:type="dxa"/>
            <w:gridSpan w:val="2"/>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0,1</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r>
      <w:tr w:rsidR="00E95581" w:rsidRPr="00606103" w:rsidTr="00E95581">
        <w:trPr>
          <w:gridAfter w:val="1"/>
          <w:wAfter w:w="19" w:type="dxa"/>
          <w:trHeight w:val="112"/>
        </w:trPr>
        <w:tc>
          <w:tcPr>
            <w:tcW w:w="6232" w:type="dxa"/>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Venituri din realizarea activelor de către instituții</w:t>
            </w:r>
          </w:p>
        </w:tc>
        <w:tc>
          <w:tcPr>
            <w:tcW w:w="872" w:type="dxa"/>
            <w:hideMark/>
          </w:tcPr>
          <w:p w:rsidR="00E95581" w:rsidRPr="00606103" w:rsidRDefault="00E95581">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149100</w:t>
            </w:r>
          </w:p>
        </w:tc>
        <w:tc>
          <w:tcPr>
            <w:tcW w:w="851" w:type="dxa"/>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8,7</w:t>
            </w:r>
          </w:p>
        </w:tc>
        <w:tc>
          <w:tcPr>
            <w:tcW w:w="998" w:type="dxa"/>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0,1</w:t>
            </w:r>
          </w:p>
        </w:tc>
        <w:tc>
          <w:tcPr>
            <w:tcW w:w="831" w:type="dxa"/>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1072" w:type="dxa"/>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8" w:type="dxa"/>
            <w:gridSpan w:val="2"/>
            <w:noWrap/>
            <w:hideMark/>
          </w:tcPr>
          <w:p w:rsidR="00E95581" w:rsidRPr="00606103" w:rsidRDefault="000867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8,6</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0,3</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r>
      <w:tr w:rsidR="00E95581" w:rsidRPr="00606103" w:rsidTr="00E95581">
        <w:trPr>
          <w:gridAfter w:val="1"/>
          <w:wAfter w:w="19" w:type="dxa"/>
          <w:trHeight w:val="130"/>
        </w:trPr>
        <w:tc>
          <w:tcPr>
            <w:tcW w:w="6232" w:type="dxa"/>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Venituri din recuperarea daunei materiale și lipsurilor</w:t>
            </w:r>
          </w:p>
        </w:tc>
        <w:tc>
          <w:tcPr>
            <w:tcW w:w="872" w:type="dxa"/>
            <w:noWrap/>
            <w:hideMark/>
          </w:tcPr>
          <w:p w:rsidR="00E95581" w:rsidRPr="00606103" w:rsidRDefault="00E95581">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149500</w:t>
            </w:r>
          </w:p>
        </w:tc>
        <w:tc>
          <w:tcPr>
            <w:tcW w:w="85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1,9</w:t>
            </w:r>
          </w:p>
        </w:tc>
        <w:tc>
          <w:tcPr>
            <w:tcW w:w="99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1072"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8" w:type="dxa"/>
            <w:gridSpan w:val="2"/>
            <w:noWrap/>
            <w:hideMark/>
          </w:tcPr>
          <w:p w:rsidR="00E95581" w:rsidRPr="00606103" w:rsidRDefault="000867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1,9</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r>
      <w:tr w:rsidR="00E95581" w:rsidRPr="00606103" w:rsidTr="00E95581">
        <w:trPr>
          <w:gridAfter w:val="1"/>
          <w:wAfter w:w="19" w:type="dxa"/>
          <w:trHeight w:val="147"/>
        </w:trPr>
        <w:tc>
          <w:tcPr>
            <w:tcW w:w="6232" w:type="dxa"/>
            <w:noWrap/>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Alte venituri ale autorităților/instituțiilor bugetare</w:t>
            </w:r>
          </w:p>
        </w:tc>
        <w:tc>
          <w:tcPr>
            <w:tcW w:w="872" w:type="dxa"/>
            <w:noWrap/>
            <w:hideMark/>
          </w:tcPr>
          <w:p w:rsidR="00E95581" w:rsidRPr="00606103" w:rsidRDefault="00E95581">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149900</w:t>
            </w:r>
          </w:p>
        </w:tc>
        <w:tc>
          <w:tcPr>
            <w:tcW w:w="85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2,1</w:t>
            </w:r>
          </w:p>
        </w:tc>
        <w:tc>
          <w:tcPr>
            <w:tcW w:w="99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1072"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8" w:type="dxa"/>
            <w:gridSpan w:val="2"/>
            <w:noWrap/>
            <w:hideMark/>
          </w:tcPr>
          <w:p w:rsidR="00E95581" w:rsidRPr="00606103" w:rsidRDefault="000867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2,1</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r>
      <w:tr w:rsidR="00E95581" w:rsidRPr="00606103" w:rsidTr="00E95581">
        <w:trPr>
          <w:gridAfter w:val="1"/>
          <w:wAfter w:w="19" w:type="dxa"/>
          <w:trHeight w:val="205"/>
        </w:trPr>
        <w:tc>
          <w:tcPr>
            <w:tcW w:w="6232" w:type="dxa"/>
            <w:hideMark/>
          </w:tcPr>
          <w:p w:rsidR="00E95581" w:rsidRPr="00606103" w:rsidRDefault="00E95581" w:rsidP="00FE3F3B">
            <w:pPr>
              <w:spacing w:line="276" w:lineRule="auto"/>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CHELTUIELI SI ACTIVE NEFINANCIARE, total</w:t>
            </w:r>
          </w:p>
        </w:tc>
        <w:tc>
          <w:tcPr>
            <w:tcW w:w="872" w:type="dxa"/>
            <w:noWrap/>
            <w:hideMark/>
          </w:tcPr>
          <w:p w:rsidR="00E95581" w:rsidRPr="00606103" w:rsidRDefault="00E95581">
            <w:pPr>
              <w:spacing w:line="276" w:lineRule="auto"/>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2+3</w:t>
            </w:r>
          </w:p>
        </w:tc>
        <w:tc>
          <w:tcPr>
            <w:tcW w:w="851" w:type="dxa"/>
            <w:noWrap/>
            <w:hideMark/>
          </w:tcPr>
          <w:p w:rsidR="00E95581" w:rsidRPr="00606103" w:rsidRDefault="00E95581">
            <w:pPr>
              <w:spacing w:line="276" w:lineRule="auto"/>
              <w:jc w:val="center"/>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1</w:t>
            </w:r>
            <w:r w:rsidR="005204EA" w:rsidRPr="00606103">
              <w:rPr>
                <w:rFonts w:asciiTheme="majorHAnsi" w:hAnsiTheme="majorHAnsi" w:cstheme="majorHAnsi"/>
                <w:b/>
                <w:bCs/>
                <w:sz w:val="18"/>
                <w:szCs w:val="18"/>
                <w:lang w:val="ro-MD"/>
              </w:rPr>
              <w:t>.</w:t>
            </w:r>
            <w:r w:rsidR="00A30401">
              <w:rPr>
                <w:rFonts w:asciiTheme="majorHAnsi" w:hAnsiTheme="majorHAnsi" w:cstheme="majorHAnsi"/>
                <w:b/>
                <w:bCs/>
                <w:sz w:val="18"/>
                <w:szCs w:val="18"/>
                <w:lang w:val="ro-MD"/>
              </w:rPr>
              <w:t>294,3</w:t>
            </w:r>
          </w:p>
        </w:tc>
        <w:tc>
          <w:tcPr>
            <w:tcW w:w="998" w:type="dxa"/>
            <w:noWrap/>
            <w:hideMark/>
          </w:tcPr>
          <w:p w:rsidR="00E95581" w:rsidRPr="00606103" w:rsidRDefault="00E95581">
            <w:pPr>
              <w:spacing w:line="276" w:lineRule="auto"/>
              <w:jc w:val="center"/>
              <w:rPr>
                <w:rFonts w:asciiTheme="majorHAnsi" w:hAnsiTheme="majorHAnsi" w:cstheme="majorHAnsi"/>
                <w:b/>
                <w:bCs/>
                <w:i/>
                <w:sz w:val="18"/>
                <w:szCs w:val="18"/>
                <w:lang w:val="ro-MD"/>
              </w:rPr>
            </w:pPr>
            <w:r w:rsidRPr="00606103">
              <w:rPr>
                <w:rFonts w:asciiTheme="majorHAnsi" w:hAnsiTheme="majorHAnsi" w:cstheme="majorHAnsi"/>
                <w:b/>
                <w:bCs/>
                <w:i/>
                <w:sz w:val="18"/>
                <w:szCs w:val="18"/>
                <w:lang w:val="ro-MD"/>
              </w:rPr>
              <w:t>45,9</w:t>
            </w:r>
          </w:p>
        </w:tc>
        <w:tc>
          <w:tcPr>
            <w:tcW w:w="831" w:type="dxa"/>
            <w:noWrap/>
            <w:hideMark/>
          </w:tcPr>
          <w:p w:rsidR="00E95581" w:rsidRPr="00606103" w:rsidRDefault="00E95581">
            <w:pPr>
              <w:spacing w:line="276" w:lineRule="auto"/>
              <w:jc w:val="center"/>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1</w:t>
            </w:r>
            <w:r w:rsidR="005204EA" w:rsidRPr="00606103">
              <w:rPr>
                <w:rFonts w:asciiTheme="majorHAnsi" w:hAnsiTheme="majorHAnsi" w:cstheme="majorHAnsi"/>
                <w:b/>
                <w:bCs/>
                <w:sz w:val="18"/>
                <w:szCs w:val="18"/>
                <w:lang w:val="ro-MD"/>
              </w:rPr>
              <w:t>.</w:t>
            </w:r>
            <w:r w:rsidRPr="00606103">
              <w:rPr>
                <w:rFonts w:asciiTheme="majorHAnsi" w:hAnsiTheme="majorHAnsi" w:cstheme="majorHAnsi"/>
                <w:b/>
                <w:bCs/>
                <w:sz w:val="18"/>
                <w:szCs w:val="18"/>
                <w:lang w:val="ro-MD"/>
              </w:rPr>
              <w:t>383,1</w:t>
            </w:r>
          </w:p>
        </w:tc>
        <w:tc>
          <w:tcPr>
            <w:tcW w:w="1072" w:type="dxa"/>
            <w:noWrap/>
            <w:hideMark/>
          </w:tcPr>
          <w:p w:rsidR="00E95581" w:rsidRPr="00606103" w:rsidRDefault="00E95581">
            <w:pPr>
              <w:spacing w:line="276" w:lineRule="auto"/>
              <w:jc w:val="center"/>
              <w:rPr>
                <w:rFonts w:asciiTheme="majorHAnsi" w:hAnsiTheme="majorHAnsi" w:cstheme="majorHAnsi"/>
                <w:b/>
                <w:bCs/>
                <w:i/>
                <w:sz w:val="18"/>
                <w:szCs w:val="18"/>
                <w:lang w:val="ro-MD"/>
              </w:rPr>
            </w:pPr>
            <w:r w:rsidRPr="00606103">
              <w:rPr>
                <w:rFonts w:asciiTheme="majorHAnsi" w:hAnsiTheme="majorHAnsi" w:cstheme="majorHAnsi"/>
                <w:b/>
                <w:bCs/>
                <w:i/>
                <w:sz w:val="18"/>
                <w:szCs w:val="18"/>
                <w:lang w:val="ro-MD"/>
              </w:rPr>
              <w:t>1,7</w:t>
            </w:r>
          </w:p>
        </w:tc>
        <w:tc>
          <w:tcPr>
            <w:tcW w:w="838" w:type="dxa"/>
            <w:gridSpan w:val="2"/>
            <w:noWrap/>
            <w:hideMark/>
          </w:tcPr>
          <w:p w:rsidR="00E95581" w:rsidRPr="00606103" w:rsidRDefault="00E95581">
            <w:pPr>
              <w:spacing w:line="276" w:lineRule="auto"/>
              <w:jc w:val="center"/>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100,0</w:t>
            </w:r>
          </w:p>
        </w:tc>
        <w:tc>
          <w:tcPr>
            <w:tcW w:w="988" w:type="dxa"/>
            <w:noWrap/>
            <w:hideMark/>
          </w:tcPr>
          <w:p w:rsidR="00E95581" w:rsidRPr="00606103" w:rsidRDefault="00E95581">
            <w:pPr>
              <w:spacing w:line="276" w:lineRule="auto"/>
              <w:jc w:val="center"/>
              <w:rPr>
                <w:rFonts w:asciiTheme="majorHAnsi" w:hAnsiTheme="majorHAnsi" w:cstheme="majorHAnsi"/>
                <w:b/>
                <w:bCs/>
                <w:i/>
                <w:sz w:val="18"/>
                <w:szCs w:val="18"/>
                <w:lang w:val="ro-MD"/>
              </w:rPr>
            </w:pPr>
            <w:r w:rsidRPr="00606103">
              <w:rPr>
                <w:rFonts w:asciiTheme="majorHAnsi" w:hAnsiTheme="majorHAnsi" w:cstheme="majorHAnsi"/>
                <w:b/>
                <w:bCs/>
                <w:i/>
                <w:sz w:val="18"/>
                <w:szCs w:val="18"/>
                <w:lang w:val="ro-MD"/>
              </w:rPr>
              <w:t>100,0</w:t>
            </w:r>
          </w:p>
        </w:tc>
        <w:tc>
          <w:tcPr>
            <w:tcW w:w="706" w:type="dxa"/>
            <w:noWrap/>
            <w:hideMark/>
          </w:tcPr>
          <w:p w:rsidR="00E95581" w:rsidRPr="00606103" w:rsidRDefault="00E95581">
            <w:pPr>
              <w:spacing w:line="276" w:lineRule="auto"/>
              <w:jc w:val="center"/>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100,0</w:t>
            </w:r>
          </w:p>
        </w:tc>
        <w:tc>
          <w:tcPr>
            <w:tcW w:w="993" w:type="dxa"/>
            <w:noWrap/>
            <w:hideMark/>
          </w:tcPr>
          <w:p w:rsidR="00E95581" w:rsidRPr="00606103" w:rsidRDefault="00E95581">
            <w:pPr>
              <w:spacing w:line="276" w:lineRule="auto"/>
              <w:jc w:val="center"/>
              <w:rPr>
                <w:rFonts w:asciiTheme="majorHAnsi" w:hAnsiTheme="majorHAnsi" w:cstheme="majorHAnsi"/>
                <w:b/>
                <w:bCs/>
                <w:i/>
                <w:sz w:val="18"/>
                <w:szCs w:val="18"/>
                <w:lang w:val="ro-MD"/>
              </w:rPr>
            </w:pPr>
            <w:r w:rsidRPr="00606103">
              <w:rPr>
                <w:rFonts w:asciiTheme="majorHAnsi" w:hAnsiTheme="majorHAnsi" w:cstheme="majorHAnsi"/>
                <w:b/>
                <w:bCs/>
                <w:i/>
                <w:sz w:val="18"/>
                <w:szCs w:val="18"/>
                <w:lang w:val="ro-MD"/>
              </w:rPr>
              <w:t>100,0</w:t>
            </w:r>
          </w:p>
        </w:tc>
      </w:tr>
      <w:tr w:rsidR="00E95581" w:rsidRPr="00606103" w:rsidTr="00E95581">
        <w:trPr>
          <w:gridAfter w:val="1"/>
          <w:wAfter w:w="19" w:type="dxa"/>
          <w:trHeight w:val="224"/>
        </w:trPr>
        <w:tc>
          <w:tcPr>
            <w:tcW w:w="6232" w:type="dxa"/>
            <w:noWrap/>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Cheltuieli de personal</w:t>
            </w:r>
          </w:p>
        </w:tc>
        <w:tc>
          <w:tcPr>
            <w:tcW w:w="872" w:type="dxa"/>
            <w:noWrap/>
            <w:hideMark/>
          </w:tcPr>
          <w:p w:rsidR="00E95581" w:rsidRPr="00606103" w:rsidRDefault="00E95581">
            <w:pPr>
              <w:spacing w:line="276" w:lineRule="auto"/>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21</w:t>
            </w:r>
          </w:p>
        </w:tc>
        <w:tc>
          <w:tcPr>
            <w:tcW w:w="85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5,5</w:t>
            </w:r>
          </w:p>
        </w:tc>
        <w:tc>
          <w:tcPr>
            <w:tcW w:w="99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613,7</w:t>
            </w:r>
          </w:p>
        </w:tc>
        <w:tc>
          <w:tcPr>
            <w:tcW w:w="1072"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8" w:type="dxa"/>
            <w:gridSpan w:val="2"/>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0,4</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44,4</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r>
      <w:tr w:rsidR="00E95581" w:rsidRPr="00606103" w:rsidTr="00E95581">
        <w:trPr>
          <w:gridAfter w:val="1"/>
          <w:wAfter w:w="19" w:type="dxa"/>
          <w:trHeight w:val="60"/>
        </w:trPr>
        <w:tc>
          <w:tcPr>
            <w:tcW w:w="6232" w:type="dxa"/>
            <w:noWrap/>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Bunuri și servicii</w:t>
            </w:r>
          </w:p>
        </w:tc>
        <w:tc>
          <w:tcPr>
            <w:tcW w:w="872" w:type="dxa"/>
            <w:noWrap/>
            <w:hideMark/>
          </w:tcPr>
          <w:p w:rsidR="00E95581" w:rsidRPr="00606103" w:rsidRDefault="00E95581">
            <w:pPr>
              <w:spacing w:line="276" w:lineRule="auto"/>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22</w:t>
            </w:r>
          </w:p>
        </w:tc>
        <w:tc>
          <w:tcPr>
            <w:tcW w:w="85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72,3</w:t>
            </w:r>
          </w:p>
        </w:tc>
        <w:tc>
          <w:tcPr>
            <w:tcW w:w="99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0,1</w:t>
            </w:r>
          </w:p>
        </w:tc>
        <w:tc>
          <w:tcPr>
            <w:tcW w:w="83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42,9</w:t>
            </w:r>
          </w:p>
        </w:tc>
        <w:tc>
          <w:tcPr>
            <w:tcW w:w="1072"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0,7</w:t>
            </w:r>
          </w:p>
        </w:tc>
        <w:tc>
          <w:tcPr>
            <w:tcW w:w="838" w:type="dxa"/>
            <w:gridSpan w:val="2"/>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5,6</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0,1</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3,1</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42,2</w:t>
            </w:r>
          </w:p>
        </w:tc>
      </w:tr>
      <w:tr w:rsidR="00E95581" w:rsidRPr="00606103" w:rsidTr="00E95581">
        <w:trPr>
          <w:gridAfter w:val="1"/>
          <w:wAfter w:w="19" w:type="dxa"/>
          <w:trHeight w:val="91"/>
        </w:trPr>
        <w:tc>
          <w:tcPr>
            <w:tcW w:w="6232" w:type="dxa"/>
            <w:noWrap/>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Subvenții</w:t>
            </w:r>
          </w:p>
        </w:tc>
        <w:tc>
          <w:tcPr>
            <w:tcW w:w="872" w:type="dxa"/>
            <w:noWrap/>
            <w:hideMark/>
          </w:tcPr>
          <w:p w:rsidR="00E95581" w:rsidRPr="00606103" w:rsidRDefault="00E95581">
            <w:pPr>
              <w:spacing w:line="276" w:lineRule="auto"/>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25</w:t>
            </w:r>
          </w:p>
        </w:tc>
        <w:tc>
          <w:tcPr>
            <w:tcW w:w="85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99,1</w:t>
            </w:r>
          </w:p>
        </w:tc>
        <w:tc>
          <w:tcPr>
            <w:tcW w:w="99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17,7</w:t>
            </w:r>
          </w:p>
        </w:tc>
        <w:tc>
          <w:tcPr>
            <w:tcW w:w="1072"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0,2</w:t>
            </w:r>
          </w:p>
        </w:tc>
        <w:tc>
          <w:tcPr>
            <w:tcW w:w="838" w:type="dxa"/>
            <w:gridSpan w:val="2"/>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7,7</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1,3</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9,1</w:t>
            </w:r>
          </w:p>
        </w:tc>
      </w:tr>
      <w:tr w:rsidR="00E95581" w:rsidRPr="00606103" w:rsidTr="00E95581">
        <w:trPr>
          <w:gridAfter w:val="1"/>
          <w:wAfter w:w="19" w:type="dxa"/>
          <w:trHeight w:val="58"/>
        </w:trPr>
        <w:tc>
          <w:tcPr>
            <w:tcW w:w="6232" w:type="dxa"/>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Granturi acordate</w:t>
            </w:r>
          </w:p>
        </w:tc>
        <w:tc>
          <w:tcPr>
            <w:tcW w:w="872" w:type="dxa"/>
            <w:noWrap/>
            <w:hideMark/>
          </w:tcPr>
          <w:p w:rsidR="00E95581" w:rsidRPr="00606103" w:rsidRDefault="00E95581">
            <w:pPr>
              <w:spacing w:line="276" w:lineRule="auto"/>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26</w:t>
            </w:r>
          </w:p>
        </w:tc>
        <w:tc>
          <w:tcPr>
            <w:tcW w:w="85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75,8</w:t>
            </w:r>
          </w:p>
        </w:tc>
        <w:tc>
          <w:tcPr>
            <w:tcW w:w="99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3,7</w:t>
            </w:r>
          </w:p>
        </w:tc>
        <w:tc>
          <w:tcPr>
            <w:tcW w:w="83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1072"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8" w:type="dxa"/>
            <w:gridSpan w:val="2"/>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5,9</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8,1</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r>
      <w:tr w:rsidR="00E95581" w:rsidRPr="00606103" w:rsidTr="00E95581">
        <w:trPr>
          <w:gridAfter w:val="1"/>
          <w:wAfter w:w="19" w:type="dxa"/>
          <w:trHeight w:val="141"/>
        </w:trPr>
        <w:tc>
          <w:tcPr>
            <w:tcW w:w="6232" w:type="dxa"/>
            <w:noWrap/>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Prestații sociale</w:t>
            </w:r>
          </w:p>
        </w:tc>
        <w:tc>
          <w:tcPr>
            <w:tcW w:w="872" w:type="dxa"/>
            <w:noWrap/>
            <w:hideMark/>
          </w:tcPr>
          <w:p w:rsidR="00E95581" w:rsidRPr="00606103" w:rsidRDefault="00E95581">
            <w:pPr>
              <w:spacing w:line="276" w:lineRule="auto"/>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27</w:t>
            </w:r>
          </w:p>
        </w:tc>
        <w:tc>
          <w:tcPr>
            <w:tcW w:w="85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0,1</w:t>
            </w:r>
          </w:p>
        </w:tc>
        <w:tc>
          <w:tcPr>
            <w:tcW w:w="99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17,2</w:t>
            </w:r>
          </w:p>
        </w:tc>
        <w:tc>
          <w:tcPr>
            <w:tcW w:w="1072"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8" w:type="dxa"/>
            <w:gridSpan w:val="2"/>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1,2</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r>
      <w:tr w:rsidR="00E95581" w:rsidRPr="00606103" w:rsidTr="00E95581">
        <w:trPr>
          <w:gridAfter w:val="1"/>
          <w:wAfter w:w="19" w:type="dxa"/>
          <w:trHeight w:val="58"/>
        </w:trPr>
        <w:tc>
          <w:tcPr>
            <w:tcW w:w="6232" w:type="dxa"/>
            <w:noWrap/>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Alte cheltuieli</w:t>
            </w:r>
          </w:p>
        </w:tc>
        <w:tc>
          <w:tcPr>
            <w:tcW w:w="872" w:type="dxa"/>
            <w:noWrap/>
            <w:hideMark/>
          </w:tcPr>
          <w:p w:rsidR="00E95581" w:rsidRPr="00606103" w:rsidRDefault="00E95581">
            <w:pPr>
              <w:spacing w:line="276" w:lineRule="auto"/>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28</w:t>
            </w:r>
          </w:p>
        </w:tc>
        <w:tc>
          <w:tcPr>
            <w:tcW w:w="85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44,7</w:t>
            </w:r>
          </w:p>
        </w:tc>
        <w:tc>
          <w:tcPr>
            <w:tcW w:w="99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34,9</w:t>
            </w:r>
          </w:p>
        </w:tc>
        <w:tc>
          <w:tcPr>
            <w:tcW w:w="83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153,3</w:t>
            </w:r>
          </w:p>
        </w:tc>
        <w:tc>
          <w:tcPr>
            <w:tcW w:w="1072"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0,8</w:t>
            </w:r>
          </w:p>
        </w:tc>
        <w:tc>
          <w:tcPr>
            <w:tcW w:w="838" w:type="dxa"/>
            <w:gridSpan w:val="2"/>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3,5</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76,0</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11,1</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47,9</w:t>
            </w:r>
          </w:p>
        </w:tc>
      </w:tr>
      <w:tr w:rsidR="00E95581" w:rsidRPr="00606103" w:rsidTr="00E95581">
        <w:trPr>
          <w:gridAfter w:val="1"/>
          <w:wAfter w:w="19" w:type="dxa"/>
          <w:trHeight w:val="177"/>
        </w:trPr>
        <w:tc>
          <w:tcPr>
            <w:tcW w:w="6232" w:type="dxa"/>
            <w:noWrap/>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Mijloace fixe</w:t>
            </w:r>
          </w:p>
        </w:tc>
        <w:tc>
          <w:tcPr>
            <w:tcW w:w="872" w:type="dxa"/>
            <w:noWrap/>
            <w:hideMark/>
          </w:tcPr>
          <w:p w:rsidR="00E95581" w:rsidRPr="00606103" w:rsidRDefault="00E95581">
            <w:pPr>
              <w:spacing w:line="276" w:lineRule="auto"/>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31</w:t>
            </w:r>
          </w:p>
        </w:tc>
        <w:tc>
          <w:tcPr>
            <w:tcW w:w="85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944,9</w:t>
            </w:r>
          </w:p>
        </w:tc>
        <w:tc>
          <w:tcPr>
            <w:tcW w:w="99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7,2</w:t>
            </w:r>
          </w:p>
        </w:tc>
        <w:tc>
          <w:tcPr>
            <w:tcW w:w="83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427,5</w:t>
            </w:r>
          </w:p>
        </w:tc>
        <w:tc>
          <w:tcPr>
            <w:tcW w:w="1072"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8" w:type="dxa"/>
            <w:gridSpan w:val="2"/>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73,0</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15,8</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30,9</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0,5</w:t>
            </w:r>
          </w:p>
        </w:tc>
      </w:tr>
      <w:tr w:rsidR="00E95581" w:rsidRPr="00606103" w:rsidTr="00E95581">
        <w:trPr>
          <w:gridAfter w:val="1"/>
          <w:wAfter w:w="19" w:type="dxa"/>
          <w:trHeight w:val="136"/>
        </w:trPr>
        <w:tc>
          <w:tcPr>
            <w:tcW w:w="6232" w:type="dxa"/>
            <w:noWrap/>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Stocuri de materiale circulante</w:t>
            </w:r>
          </w:p>
        </w:tc>
        <w:tc>
          <w:tcPr>
            <w:tcW w:w="872" w:type="dxa"/>
            <w:noWrap/>
            <w:hideMark/>
          </w:tcPr>
          <w:p w:rsidR="00E95581" w:rsidRPr="00606103" w:rsidRDefault="00E95581">
            <w:pPr>
              <w:spacing w:line="276" w:lineRule="auto"/>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33</w:t>
            </w:r>
          </w:p>
        </w:tc>
        <w:tc>
          <w:tcPr>
            <w:tcW w:w="85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48,0</w:t>
            </w:r>
          </w:p>
        </w:tc>
        <w:tc>
          <w:tcPr>
            <w:tcW w:w="99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110,5</w:t>
            </w:r>
          </w:p>
        </w:tc>
        <w:tc>
          <w:tcPr>
            <w:tcW w:w="1072"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8" w:type="dxa"/>
            <w:gridSpan w:val="2"/>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3,7</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8,0</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0,3</w:t>
            </w:r>
          </w:p>
        </w:tc>
      </w:tr>
      <w:tr w:rsidR="00E95581" w:rsidRPr="00606103" w:rsidTr="00E95581">
        <w:trPr>
          <w:gridAfter w:val="1"/>
          <w:wAfter w:w="19" w:type="dxa"/>
          <w:trHeight w:val="241"/>
        </w:trPr>
        <w:tc>
          <w:tcPr>
            <w:tcW w:w="6232" w:type="dxa"/>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PRODUCŢIE FINITĂ A GOSPODĂRIILOR AGRICOLE AUXILIARE</w:t>
            </w:r>
          </w:p>
        </w:tc>
        <w:tc>
          <w:tcPr>
            <w:tcW w:w="872" w:type="dxa"/>
            <w:noWrap/>
            <w:hideMark/>
          </w:tcPr>
          <w:p w:rsidR="00E95581" w:rsidRPr="00606103" w:rsidRDefault="00E95581">
            <w:pPr>
              <w:spacing w:line="276" w:lineRule="auto"/>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34</w:t>
            </w:r>
          </w:p>
        </w:tc>
        <w:tc>
          <w:tcPr>
            <w:tcW w:w="85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3,9</w:t>
            </w:r>
          </w:p>
        </w:tc>
        <w:tc>
          <w:tcPr>
            <w:tcW w:w="99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0,2</w:t>
            </w:r>
          </w:p>
        </w:tc>
        <w:tc>
          <w:tcPr>
            <w:tcW w:w="1072"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8" w:type="dxa"/>
            <w:gridSpan w:val="2"/>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0,3</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r>
      <w:tr w:rsidR="00E95581" w:rsidRPr="00606103" w:rsidTr="00E95581">
        <w:trPr>
          <w:gridAfter w:val="1"/>
          <w:wAfter w:w="19" w:type="dxa"/>
          <w:trHeight w:val="130"/>
        </w:trPr>
        <w:tc>
          <w:tcPr>
            <w:tcW w:w="6232" w:type="dxa"/>
            <w:noWrap/>
            <w:hideMark/>
          </w:tcPr>
          <w:p w:rsidR="00E95581" w:rsidRPr="00606103" w:rsidRDefault="00E95581" w:rsidP="00FE3F3B">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Mărfuri</w:t>
            </w:r>
          </w:p>
        </w:tc>
        <w:tc>
          <w:tcPr>
            <w:tcW w:w="872" w:type="dxa"/>
            <w:noWrap/>
            <w:hideMark/>
          </w:tcPr>
          <w:p w:rsidR="00E95581" w:rsidRPr="00606103" w:rsidRDefault="00E95581">
            <w:pPr>
              <w:spacing w:line="276" w:lineRule="auto"/>
              <w:rPr>
                <w:rFonts w:asciiTheme="majorHAnsi" w:hAnsiTheme="majorHAnsi" w:cstheme="majorHAnsi"/>
                <w:b/>
                <w:bCs/>
                <w:sz w:val="18"/>
                <w:szCs w:val="18"/>
                <w:lang w:val="ro-MD"/>
              </w:rPr>
            </w:pPr>
            <w:r w:rsidRPr="00606103">
              <w:rPr>
                <w:rFonts w:asciiTheme="majorHAnsi" w:hAnsiTheme="majorHAnsi" w:cstheme="majorHAnsi"/>
                <w:b/>
                <w:bCs/>
                <w:sz w:val="18"/>
                <w:szCs w:val="18"/>
                <w:lang w:val="ro-MD"/>
              </w:rPr>
              <w:t>35</w:t>
            </w:r>
          </w:p>
        </w:tc>
        <w:tc>
          <w:tcPr>
            <w:tcW w:w="85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99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1"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0,1</w:t>
            </w:r>
          </w:p>
        </w:tc>
        <w:tc>
          <w:tcPr>
            <w:tcW w:w="1072"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838" w:type="dxa"/>
            <w:gridSpan w:val="2"/>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988"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c>
          <w:tcPr>
            <w:tcW w:w="706" w:type="dxa"/>
            <w:noWrap/>
            <w:hideMark/>
          </w:tcPr>
          <w:p w:rsidR="00E95581" w:rsidRPr="00606103" w:rsidRDefault="00E95581">
            <w:pPr>
              <w:spacing w:line="276" w:lineRule="auto"/>
              <w:jc w:val="center"/>
              <w:rPr>
                <w:rFonts w:asciiTheme="majorHAnsi" w:hAnsiTheme="majorHAnsi" w:cstheme="majorHAnsi"/>
                <w:sz w:val="18"/>
                <w:szCs w:val="18"/>
                <w:lang w:val="ro-MD"/>
              </w:rPr>
            </w:pPr>
            <w:r w:rsidRPr="00606103">
              <w:rPr>
                <w:rFonts w:asciiTheme="majorHAnsi" w:hAnsiTheme="majorHAnsi" w:cstheme="majorHAnsi"/>
                <w:sz w:val="18"/>
                <w:szCs w:val="18"/>
                <w:lang w:val="ro-MD"/>
              </w:rPr>
              <w:t>0,0</w:t>
            </w:r>
          </w:p>
        </w:tc>
        <w:tc>
          <w:tcPr>
            <w:tcW w:w="993" w:type="dxa"/>
            <w:noWrap/>
            <w:hideMark/>
          </w:tcPr>
          <w:p w:rsidR="00E95581" w:rsidRPr="00606103" w:rsidRDefault="00E95581">
            <w:pPr>
              <w:spacing w:line="276" w:lineRule="auto"/>
              <w:jc w:val="center"/>
              <w:rPr>
                <w:rFonts w:asciiTheme="majorHAnsi" w:hAnsiTheme="majorHAnsi" w:cstheme="majorHAnsi"/>
                <w:i/>
                <w:sz w:val="18"/>
                <w:szCs w:val="18"/>
                <w:lang w:val="ro-MD"/>
              </w:rPr>
            </w:pPr>
            <w:r w:rsidRPr="00606103">
              <w:rPr>
                <w:rFonts w:asciiTheme="majorHAnsi" w:hAnsiTheme="majorHAnsi" w:cstheme="majorHAnsi"/>
                <w:i/>
                <w:sz w:val="18"/>
                <w:szCs w:val="18"/>
                <w:lang w:val="ro-MD"/>
              </w:rPr>
              <w:t>0,0</w:t>
            </w:r>
          </w:p>
        </w:tc>
      </w:tr>
    </w:tbl>
    <w:p w:rsidR="00082C8F" w:rsidRDefault="00DD1A5A" w:rsidP="002102A8">
      <w:pPr>
        <w:spacing w:line="276" w:lineRule="auto"/>
        <w:rPr>
          <w:rFonts w:asciiTheme="majorHAnsi" w:eastAsia="Times New Roman" w:hAnsiTheme="majorHAnsi" w:cstheme="majorHAnsi"/>
          <w:i/>
          <w:sz w:val="20"/>
          <w:szCs w:val="24"/>
          <w:lang w:val="ro-MD" w:eastAsia="ru-RU"/>
        </w:rPr>
      </w:pPr>
      <w:r w:rsidRPr="00606103">
        <w:rPr>
          <w:rFonts w:asciiTheme="majorHAnsi" w:eastAsia="Times New Roman" w:hAnsiTheme="majorHAnsi" w:cstheme="majorHAnsi"/>
          <w:b/>
          <w:i/>
          <w:sz w:val="20"/>
          <w:szCs w:val="24"/>
          <w:lang w:val="ro-MD" w:eastAsia="ru-RU"/>
        </w:rPr>
        <w:t>Sursă:</w:t>
      </w:r>
      <w:r w:rsidRPr="00606103">
        <w:rPr>
          <w:rFonts w:asciiTheme="majorHAnsi" w:eastAsia="Times New Roman" w:hAnsiTheme="majorHAnsi" w:cstheme="majorHAnsi"/>
          <w:i/>
          <w:sz w:val="20"/>
          <w:szCs w:val="24"/>
          <w:lang w:val="ro-MD" w:eastAsia="ru-RU"/>
        </w:rPr>
        <w:t xml:space="preserve"> Informații generalizate de echipa de audit conform Raportului privind executarea bugetului de stat pentru anul 2021.</w:t>
      </w:r>
    </w:p>
    <w:p w:rsidR="00082C8F" w:rsidRDefault="00082C8F">
      <w:pPr>
        <w:jc w:val="left"/>
        <w:rPr>
          <w:rFonts w:asciiTheme="majorHAnsi" w:eastAsia="Times New Roman" w:hAnsiTheme="majorHAnsi" w:cstheme="majorHAnsi"/>
          <w:i/>
          <w:sz w:val="20"/>
          <w:szCs w:val="24"/>
          <w:lang w:val="ro-MD" w:eastAsia="ru-RU"/>
        </w:rPr>
      </w:pPr>
      <w:r>
        <w:rPr>
          <w:rFonts w:asciiTheme="majorHAnsi" w:eastAsia="Times New Roman" w:hAnsiTheme="majorHAnsi" w:cstheme="majorHAnsi"/>
          <w:i/>
          <w:sz w:val="20"/>
          <w:szCs w:val="24"/>
          <w:lang w:val="ro-MD" w:eastAsia="ru-RU"/>
        </w:rPr>
        <w:br w:type="page"/>
      </w:r>
    </w:p>
    <w:p w:rsidR="00457A75" w:rsidRPr="00606103" w:rsidRDefault="00457A75" w:rsidP="002102A8">
      <w:pPr>
        <w:spacing w:line="276" w:lineRule="auto"/>
        <w:rPr>
          <w:rFonts w:asciiTheme="majorHAnsi" w:eastAsia="Times New Roman" w:hAnsiTheme="majorHAnsi" w:cstheme="majorHAnsi"/>
          <w:b/>
          <w:sz w:val="24"/>
          <w:szCs w:val="24"/>
          <w:lang w:val="ro-MD"/>
        </w:rPr>
      </w:pPr>
    </w:p>
    <w:p w:rsidR="00DD1A5A" w:rsidRPr="00606103" w:rsidRDefault="00DD1A5A">
      <w:pPr>
        <w:spacing w:after="0" w:line="276" w:lineRule="auto"/>
        <w:jc w:val="right"/>
        <w:rPr>
          <w:rFonts w:asciiTheme="majorHAnsi" w:eastAsia="Times New Roman" w:hAnsiTheme="majorHAnsi" w:cstheme="majorHAnsi"/>
          <w:b/>
          <w:sz w:val="24"/>
          <w:szCs w:val="24"/>
          <w:lang w:val="ro-MD" w:eastAsia="ru-RU"/>
        </w:rPr>
      </w:pPr>
      <w:r w:rsidRPr="00606103">
        <w:rPr>
          <w:rFonts w:asciiTheme="majorHAnsi" w:eastAsia="Times New Roman" w:hAnsiTheme="majorHAnsi" w:cstheme="majorHAnsi"/>
          <w:b/>
          <w:sz w:val="24"/>
          <w:szCs w:val="24"/>
          <w:lang w:val="ro-MD" w:eastAsia="ru-RU"/>
        </w:rPr>
        <w:t>Anexa nr.11</w:t>
      </w:r>
    </w:p>
    <w:p w:rsidR="00DD1A5A" w:rsidRPr="00606103" w:rsidRDefault="00DD1A5A" w:rsidP="00552746">
      <w:pPr>
        <w:spacing w:after="0" w:line="276" w:lineRule="auto"/>
        <w:jc w:val="center"/>
        <w:rPr>
          <w:rFonts w:asciiTheme="majorHAnsi" w:eastAsia="Times New Roman" w:hAnsiTheme="majorHAnsi" w:cstheme="majorHAnsi"/>
          <w:b/>
          <w:bCs/>
          <w:iCs/>
          <w:sz w:val="22"/>
          <w:lang w:val="ro-MD" w:eastAsia="ru-RU"/>
        </w:rPr>
      </w:pPr>
      <w:r w:rsidRPr="00606103">
        <w:rPr>
          <w:rFonts w:asciiTheme="majorHAnsi" w:eastAsia="Times New Roman" w:hAnsiTheme="majorHAnsi" w:cstheme="majorHAnsi"/>
          <w:b/>
          <w:bCs/>
          <w:iCs/>
          <w:sz w:val="22"/>
          <w:lang w:val="ro-MD" w:eastAsia="ru-RU"/>
        </w:rPr>
        <w:t xml:space="preserve">  Implementarea cerințelor și recomandărilor expuse în Hotărârile anterioare ale Curții de Conturi (Hotărârea Curții de Conturi nr.30 din 28 iunie 2021 „Cu privire la Raportul auditului financiar asupra Raportului Guvernului privind executarea bugetului de stat pe anul 2020”)</w:t>
      </w:r>
    </w:p>
    <w:p w:rsidR="00DD1A5A" w:rsidRPr="00606103" w:rsidRDefault="00DD1A5A" w:rsidP="00552746">
      <w:pPr>
        <w:spacing w:after="0" w:line="276" w:lineRule="auto"/>
        <w:jc w:val="center"/>
        <w:rPr>
          <w:rFonts w:asciiTheme="majorHAnsi" w:eastAsia="Times New Roman" w:hAnsiTheme="majorHAnsi" w:cstheme="majorHAnsi"/>
          <w:b/>
          <w:bCs/>
          <w:iCs/>
          <w:sz w:val="24"/>
          <w:szCs w:val="24"/>
          <w:lang w:val="ro-MD" w:eastAsia="ru-RU"/>
        </w:rPr>
      </w:pPr>
    </w:p>
    <w:tbl>
      <w:tblPr>
        <w:tblW w:w="14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7513"/>
        <w:gridCol w:w="992"/>
        <w:gridCol w:w="992"/>
        <w:gridCol w:w="844"/>
        <w:gridCol w:w="9"/>
      </w:tblGrid>
      <w:tr w:rsidR="00DD1A5A" w:rsidRPr="00606103" w:rsidTr="005845D7">
        <w:trPr>
          <w:trHeight w:val="269"/>
        </w:trPr>
        <w:tc>
          <w:tcPr>
            <w:tcW w:w="4253" w:type="dxa"/>
            <w:vMerge w:val="restart"/>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eastAsia="Times New Roman" w:hAnsiTheme="majorHAnsi" w:cstheme="majorHAnsi"/>
                <w:b/>
                <w:bCs/>
                <w:color w:val="000000"/>
                <w:sz w:val="20"/>
                <w:szCs w:val="20"/>
                <w:lang w:val="ro-MD"/>
              </w:rPr>
              <w:t>Recomandarea</w:t>
            </w:r>
          </w:p>
        </w:tc>
        <w:tc>
          <w:tcPr>
            <w:tcW w:w="7513" w:type="dxa"/>
            <w:vMerge w:val="restart"/>
            <w:shd w:val="clear" w:color="auto" w:fill="auto"/>
            <w:vAlign w:val="center"/>
            <w:hideMark/>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hAnsiTheme="majorHAnsi" w:cstheme="majorHAnsi"/>
                <w:b/>
                <w:sz w:val="20"/>
                <w:szCs w:val="20"/>
                <w:lang w:val="ro-MD"/>
              </w:rPr>
              <w:t>Măsurile întreprinse</w:t>
            </w:r>
          </w:p>
        </w:tc>
        <w:tc>
          <w:tcPr>
            <w:tcW w:w="2837" w:type="dxa"/>
            <w:gridSpan w:val="4"/>
          </w:tcPr>
          <w:p w:rsidR="00DD1A5A" w:rsidRPr="00606103" w:rsidRDefault="00DD1A5A" w:rsidP="00552746">
            <w:pPr>
              <w:spacing w:after="0" w:line="276" w:lineRule="auto"/>
              <w:jc w:val="center"/>
              <w:rPr>
                <w:rFonts w:asciiTheme="majorHAnsi" w:eastAsia="Times New Roman" w:hAnsiTheme="majorHAnsi" w:cstheme="majorHAnsi"/>
                <w:b/>
                <w:bCs/>
                <w:color w:val="000000"/>
                <w:sz w:val="20"/>
                <w:szCs w:val="20"/>
                <w:lang w:val="ro-MD"/>
              </w:rPr>
            </w:pPr>
            <w:r w:rsidRPr="00606103">
              <w:rPr>
                <w:rFonts w:asciiTheme="majorHAnsi" w:hAnsiTheme="majorHAnsi" w:cstheme="majorHAnsi"/>
                <w:b/>
                <w:sz w:val="20"/>
                <w:szCs w:val="20"/>
                <w:lang w:val="ro-MD"/>
              </w:rPr>
              <w:t>Statutul implementării recomandării</w:t>
            </w:r>
          </w:p>
        </w:tc>
      </w:tr>
      <w:tr w:rsidR="00DD1A5A" w:rsidRPr="00606103" w:rsidTr="005845D7">
        <w:trPr>
          <w:gridAfter w:val="1"/>
          <w:wAfter w:w="9" w:type="dxa"/>
          <w:trHeight w:val="539"/>
        </w:trPr>
        <w:tc>
          <w:tcPr>
            <w:tcW w:w="4253" w:type="dxa"/>
            <w:vMerge/>
            <w:shd w:val="clear" w:color="auto" w:fill="auto"/>
          </w:tcPr>
          <w:p w:rsidR="00DD1A5A" w:rsidRPr="00606103" w:rsidRDefault="00DD1A5A" w:rsidP="00552746">
            <w:pPr>
              <w:spacing w:after="0" w:line="276" w:lineRule="auto"/>
              <w:rPr>
                <w:rFonts w:asciiTheme="majorHAnsi" w:hAnsiTheme="majorHAnsi" w:cstheme="majorHAnsi"/>
                <w:sz w:val="20"/>
                <w:szCs w:val="20"/>
                <w:lang w:val="ro-MD"/>
              </w:rPr>
            </w:pPr>
          </w:p>
        </w:tc>
        <w:tc>
          <w:tcPr>
            <w:tcW w:w="7513" w:type="dxa"/>
            <w:vMerge/>
            <w:shd w:val="clear" w:color="auto" w:fill="auto"/>
          </w:tcPr>
          <w:p w:rsidR="00DD1A5A" w:rsidRPr="00606103" w:rsidRDefault="00DD1A5A" w:rsidP="00552746">
            <w:pPr>
              <w:spacing w:after="0" w:line="276" w:lineRule="auto"/>
              <w:rPr>
                <w:rFonts w:asciiTheme="majorHAnsi" w:hAnsiTheme="majorHAnsi" w:cstheme="majorHAnsi"/>
                <w:sz w:val="20"/>
                <w:szCs w:val="20"/>
                <w:lang w:val="ro-MD"/>
              </w:rPr>
            </w:pPr>
          </w:p>
        </w:tc>
        <w:tc>
          <w:tcPr>
            <w:tcW w:w="992" w:type="dxa"/>
            <w:shd w:val="clear" w:color="auto" w:fill="auto"/>
            <w:vAlign w:val="center"/>
          </w:tcPr>
          <w:p w:rsidR="00DD1A5A" w:rsidRPr="00606103" w:rsidRDefault="00DD1A5A" w:rsidP="00552746">
            <w:pPr>
              <w:tabs>
                <w:tab w:val="left" w:pos="720"/>
              </w:tabs>
              <w:spacing w:after="0"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realizat</w:t>
            </w:r>
          </w:p>
        </w:tc>
        <w:tc>
          <w:tcPr>
            <w:tcW w:w="992" w:type="dxa"/>
            <w:shd w:val="clear" w:color="auto" w:fill="auto"/>
            <w:vAlign w:val="center"/>
          </w:tcPr>
          <w:p w:rsidR="00DD1A5A" w:rsidRPr="00606103" w:rsidRDefault="00DD1A5A" w:rsidP="00552746">
            <w:pPr>
              <w:tabs>
                <w:tab w:val="left" w:pos="720"/>
              </w:tabs>
              <w:spacing w:after="0" w:line="276" w:lineRule="auto"/>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parțial realizat</w:t>
            </w:r>
          </w:p>
        </w:tc>
        <w:tc>
          <w:tcPr>
            <w:tcW w:w="844" w:type="dxa"/>
            <w:shd w:val="clear" w:color="auto" w:fill="auto"/>
            <w:vAlign w:val="center"/>
          </w:tcPr>
          <w:p w:rsidR="00DD1A5A" w:rsidRPr="00606103" w:rsidRDefault="00DD1A5A" w:rsidP="00552746">
            <w:pPr>
              <w:tabs>
                <w:tab w:val="left" w:pos="720"/>
              </w:tabs>
              <w:spacing w:after="0" w:line="276" w:lineRule="auto"/>
              <w:ind w:left="-145" w:right="-105" w:firstLine="39"/>
              <w:jc w:val="center"/>
              <w:rPr>
                <w:rFonts w:asciiTheme="majorHAnsi" w:hAnsiTheme="majorHAnsi" w:cstheme="majorHAnsi"/>
                <w:b/>
                <w:sz w:val="20"/>
                <w:szCs w:val="20"/>
                <w:lang w:val="ro-MD"/>
              </w:rPr>
            </w:pPr>
            <w:r w:rsidRPr="00606103">
              <w:rPr>
                <w:rFonts w:asciiTheme="majorHAnsi" w:hAnsiTheme="majorHAnsi" w:cstheme="majorHAnsi"/>
                <w:b/>
                <w:sz w:val="20"/>
                <w:szCs w:val="20"/>
                <w:lang w:val="ro-MD"/>
              </w:rPr>
              <w:t>nerealizat</w:t>
            </w:r>
          </w:p>
        </w:tc>
      </w:tr>
      <w:tr w:rsidR="00DD1A5A" w:rsidRPr="00606103" w:rsidTr="005845D7">
        <w:trPr>
          <w:gridAfter w:val="1"/>
          <w:wAfter w:w="9" w:type="dxa"/>
          <w:trHeight w:val="1169"/>
        </w:trPr>
        <w:tc>
          <w:tcPr>
            <w:tcW w:w="4253" w:type="dxa"/>
            <w:shd w:val="clear" w:color="auto" w:fill="auto"/>
          </w:tcPr>
          <w:p w:rsidR="00DD1A5A" w:rsidRPr="00606103" w:rsidRDefault="00DD1A5A" w:rsidP="00552746">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2.4.1. Respectarea și conformarea la prevederile actelor normative privind procesul de includere pentru finanțare din buget a obiectelor de investiții capitale, cu asigurarea unui sistem eficient de monitorizare a execuției obiectelor de investiții capitale (reiterată din Hotărârea Curții de Conturi nr.38 din 28 iulie 2020)</w:t>
            </w:r>
          </w:p>
        </w:tc>
        <w:tc>
          <w:tcPr>
            <w:tcW w:w="7513" w:type="dxa"/>
            <w:shd w:val="clear" w:color="auto" w:fill="auto"/>
          </w:tcPr>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În anul 2021 a fost elaborat proiectul HG „Pentru modificarea HG nr.1029/2013 cu privire la investițiile capitale publice”, care se află la etapa de coordonare în cadrul MF. Prin modificările propuse la proiectul respectiv se va crea cadrul normativ unic pentru planificarea și gestionarea investițiilor capitale din toate sursele bugetului de stat, atât interne cât și externe.  Potrivit Memorandumului tehnic de înțelegere cu FMI cu privire la politicile economice și financiare, MF, lunar prezintă personalului FMI raportul privind executarea cheltuielilor bugetului public național, inclusiv a cheltuielilor de investiții capitale. La etapa întocmirii informației menționate, se examinează nivelul de executare a mijloacelor alocate pentru investițiile capitale. În caz de necesitate, telefonic poate fi solicitată informația mai detaliată privind cauzele nivelului redus de valorificare a mijloacelor alocate. Ca urmare, pot fi înaintate propuneri de rectificare a Legii bugetului de stat pe anul respectiv.</w:t>
            </w:r>
          </w:p>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Concomitent, în temeiul HG nr.1029/2013 au fost elaborate formularele rapoartelor anuale de monitorizare a implementării proiectelor de investiții capitale publice. Prin scrisoarea nr.09/1-09/456 din 22 decembrie 2021 (copia scrisorii se anexează pe 4 file), Ministerul Finanțelor a solicitat de la APC prezentarea rapoartelor nominalizate pentru anul 2021, până la data de 08 februarie 2022.</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r>
      <w:tr w:rsidR="00DD1A5A" w:rsidRPr="00606103" w:rsidTr="005845D7">
        <w:trPr>
          <w:gridAfter w:val="1"/>
          <w:wAfter w:w="9" w:type="dxa"/>
          <w:trHeight w:val="1798"/>
        </w:trPr>
        <w:tc>
          <w:tcPr>
            <w:tcW w:w="4253" w:type="dxa"/>
            <w:shd w:val="clear" w:color="auto" w:fill="auto"/>
          </w:tcPr>
          <w:p w:rsidR="00DD1A5A" w:rsidRPr="00606103" w:rsidRDefault="00DD1A5A" w:rsidP="00552746">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2.4.2. Asigurarea elaborării, de comun cu Ministerul Educației, Culturii și Cercetării, a metodologiilor de calcul pentru transferurile cu destinație specială la finanțarea instituțiilor de învățământ (instituții preșcolare, licee-internat cu profil sportiv, școli de tip internat, centre de educație extrașcolară etc.), precum și completării normelor metodologice cu referire la determinarea transferurilor destinate școlilor primare, gimnaziilor și liceelor etc. (reiterată din Hotărârea Curții de Conturi nr.38 din 28 iulie 2020)</w:t>
            </w:r>
          </w:p>
        </w:tc>
        <w:tc>
          <w:tcPr>
            <w:tcW w:w="7513" w:type="dxa"/>
            <w:shd w:val="clear" w:color="auto" w:fill="auto"/>
          </w:tcPr>
          <w:p w:rsidR="00DD1A5A" w:rsidRPr="00606103" w:rsidRDefault="00DD1A5A" w:rsidP="00552746">
            <w:pPr>
              <w:tabs>
                <w:tab w:val="left" w:pos="1392"/>
                <w:tab w:val="left" w:pos="3197"/>
              </w:tabs>
              <w:spacing w:after="0" w:line="276" w:lineRule="auto"/>
              <w:rPr>
                <w:rFonts w:asciiTheme="majorHAnsi" w:eastAsia="Times New Roman" w:hAnsiTheme="majorHAnsi" w:cstheme="majorHAnsi"/>
                <w:color w:val="000000"/>
                <w:sz w:val="18"/>
                <w:szCs w:val="18"/>
                <w:lang w:val="ro-MD" w:eastAsia="ro-RO" w:bidi="ro-RO"/>
              </w:rPr>
            </w:pPr>
            <w:r w:rsidRPr="00606103">
              <w:rPr>
                <w:rFonts w:asciiTheme="majorHAnsi" w:eastAsia="Times New Roman" w:hAnsiTheme="majorHAnsi" w:cstheme="majorHAnsi"/>
                <w:color w:val="000000"/>
                <w:sz w:val="18"/>
                <w:szCs w:val="18"/>
                <w:lang w:val="ro-MD" w:eastAsia="ro-RO" w:bidi="ro-RO"/>
              </w:rPr>
              <w:t>MF a menținut dialogul și a remis demersuri/informații financiare/date nefinanciare MEC, întru inițierea elaborării metodologiei de calcul pentru finanțarea instituțiilor de învățământ preșcolar, precum și a modificării/completării Metodologiei de finanțare în bază de cost standard per elev a instituțiilor de învățământ primar, gimnazial și liceal, aprobată prin HG nr.868/2014.</w:t>
            </w:r>
          </w:p>
          <w:p w:rsidR="00DD1A5A" w:rsidRPr="00606103" w:rsidRDefault="00DD1A5A" w:rsidP="00552746">
            <w:pPr>
              <w:tabs>
                <w:tab w:val="left" w:pos="1392"/>
                <w:tab w:val="left" w:pos="3197"/>
              </w:tabs>
              <w:spacing w:after="0" w:line="276" w:lineRule="auto"/>
              <w:rPr>
                <w:rFonts w:asciiTheme="majorHAnsi" w:eastAsia="Times New Roman" w:hAnsiTheme="majorHAnsi" w:cstheme="majorHAnsi"/>
                <w:color w:val="000000"/>
                <w:sz w:val="18"/>
                <w:szCs w:val="18"/>
                <w:lang w:val="ro-MD" w:eastAsia="ro-RO" w:bidi="ro-RO"/>
              </w:rPr>
            </w:pPr>
            <w:r w:rsidRPr="00606103">
              <w:rPr>
                <w:rFonts w:asciiTheme="majorHAnsi" w:eastAsia="Times New Roman" w:hAnsiTheme="majorHAnsi" w:cstheme="majorHAnsi"/>
                <w:color w:val="000000"/>
                <w:sz w:val="18"/>
                <w:szCs w:val="18"/>
                <w:lang w:val="ro-MD" w:eastAsia="ro-RO" w:bidi="ro-RO"/>
              </w:rPr>
              <w:t>Cu privire la elaborarea metodologiilor de calcul pentru transferurile cu destinație specială pentru finanțarea instituțiilor de învățământ (instituții preșcolare, licee-internat cu profil sportiv, școli de tip internat, centre de educație extrașcolară etc.), se menționează că, la solicitarea experților naționali angajați de către MEC întru elaborarea și pilotarea formulei de finanțare pentru instituțiile de educație timpurie, MF a expediat informația solicitată privind executarea bugetelor locale pentru anii 2019-2020, la nivel de fiecare raion și instituție de educație timpurie, până la cel mai detaliat nivel.</w:t>
            </w:r>
          </w:p>
          <w:p w:rsidR="00DD1A5A" w:rsidRPr="00606103" w:rsidRDefault="00DD1A5A" w:rsidP="00552746">
            <w:pPr>
              <w:tabs>
                <w:tab w:val="left" w:pos="1392"/>
                <w:tab w:val="left" w:pos="3197"/>
              </w:tabs>
              <w:spacing w:after="0" w:line="276" w:lineRule="auto"/>
              <w:rPr>
                <w:rFonts w:asciiTheme="majorHAnsi" w:eastAsia="Times New Roman" w:hAnsiTheme="majorHAnsi" w:cstheme="majorHAnsi"/>
                <w:color w:val="000000"/>
                <w:sz w:val="18"/>
                <w:szCs w:val="18"/>
                <w:lang w:val="ro-MD" w:eastAsia="ro-RO" w:bidi="ro-RO"/>
              </w:rPr>
            </w:pPr>
            <w:r w:rsidRPr="00606103">
              <w:rPr>
                <w:rFonts w:asciiTheme="majorHAnsi" w:eastAsia="Times New Roman" w:hAnsiTheme="majorHAnsi" w:cstheme="majorHAnsi"/>
                <w:color w:val="000000"/>
                <w:sz w:val="18"/>
                <w:szCs w:val="18"/>
                <w:lang w:val="ro-MD" w:eastAsia="ro-RO" w:bidi="ro-RO"/>
              </w:rPr>
              <w:t>Totodată, au avut loc numeroase discuții telefonice, precum și ședințe cu reprezentanții și conducerea MEC și cu experții UNICEF, în cadrul cărora au fost discutate și prezentate modelele de finanțare a instituțiilor de educație timpurie.</w:t>
            </w:r>
          </w:p>
          <w:p w:rsidR="00DD1A5A" w:rsidRPr="00606103" w:rsidRDefault="00DD1A5A" w:rsidP="00552746">
            <w:pPr>
              <w:tabs>
                <w:tab w:val="left" w:pos="1392"/>
                <w:tab w:val="left" w:pos="3197"/>
              </w:tabs>
              <w:spacing w:after="0" w:line="276" w:lineRule="auto"/>
              <w:rPr>
                <w:rFonts w:asciiTheme="majorHAnsi" w:eastAsia="Times New Roman" w:hAnsiTheme="majorHAnsi" w:cstheme="majorHAnsi"/>
                <w:color w:val="000000"/>
                <w:sz w:val="18"/>
                <w:szCs w:val="18"/>
                <w:lang w:val="ro-MD" w:eastAsia="ro-RO" w:bidi="ro-RO"/>
              </w:rPr>
            </w:pPr>
            <w:r w:rsidRPr="00606103">
              <w:rPr>
                <w:rFonts w:asciiTheme="majorHAnsi" w:eastAsia="Times New Roman" w:hAnsiTheme="majorHAnsi" w:cstheme="majorHAnsi"/>
                <w:color w:val="000000"/>
                <w:sz w:val="18"/>
                <w:szCs w:val="18"/>
                <w:lang w:val="ro-MD" w:eastAsia="ro-RO" w:bidi="ro-RO"/>
              </w:rPr>
              <w:t>Ce ține de completarea normelor metodologice cu referire la determinarea transferurilor destinate școlilor primare, gimnaziilor și liceelor, se menționează că, MF, prin demersul nr.07/1-03/32 din 26 aprilie 2021 (copia scrisorii se anexează pe 2 file), a solicitat intervenția dlui Aureliu Ciocoi, Prim–</w:t>
            </w:r>
            <w:r w:rsidRPr="00606103">
              <w:rPr>
                <w:rFonts w:asciiTheme="majorHAnsi" w:eastAsia="Times New Roman" w:hAnsiTheme="majorHAnsi" w:cstheme="majorHAnsi"/>
                <w:color w:val="000000"/>
                <w:sz w:val="18"/>
                <w:szCs w:val="18"/>
                <w:lang w:val="ro-MD" w:eastAsia="ro-RO" w:bidi="ro-RO"/>
              </w:rPr>
              <w:lastRenderedPageBreak/>
              <w:t>ministrul interimar al RM, de a dispune MEC întreprinderea măsurilor necesare în vederea examinării posibilității de modificare a HG nr.868/2014 ,,Privind finanțarea în bază de cost standard per elev a instituțiilor de învățământ primar și secundar general din subordinea autorităților publice locale de nivelul al doilea”.</w:t>
            </w:r>
          </w:p>
          <w:p w:rsidR="00DD1A5A" w:rsidRPr="00606103" w:rsidRDefault="00DD1A5A" w:rsidP="00552746">
            <w:pPr>
              <w:tabs>
                <w:tab w:val="left" w:pos="1392"/>
                <w:tab w:val="left" w:pos="3197"/>
              </w:tabs>
              <w:spacing w:after="0" w:line="276" w:lineRule="auto"/>
              <w:rPr>
                <w:rFonts w:asciiTheme="majorHAnsi" w:eastAsia="Times New Roman" w:hAnsiTheme="majorHAnsi" w:cstheme="majorHAnsi"/>
                <w:color w:val="000000"/>
                <w:sz w:val="18"/>
                <w:szCs w:val="18"/>
                <w:lang w:val="ro-MD" w:eastAsia="ro-RO" w:bidi="ro-RO"/>
              </w:rPr>
            </w:pPr>
            <w:r w:rsidRPr="00606103">
              <w:rPr>
                <w:rFonts w:asciiTheme="majorHAnsi" w:eastAsia="Times New Roman" w:hAnsiTheme="majorHAnsi" w:cstheme="majorHAnsi"/>
                <w:color w:val="000000"/>
                <w:sz w:val="18"/>
                <w:szCs w:val="18"/>
                <w:lang w:val="ro-MD" w:eastAsia="ro-RO" w:bidi="ro-RO"/>
              </w:rPr>
              <w:t xml:space="preserve">Totodată, MF, prin demersul nr.07/1-17/76/1054 din 20 august 2021 (copia scrisorii se anexează pe 1 filă), a recomandat  MEC de a interveni operativ cu amendamente la HG nr.868/2014, care să excludă restricția de la pct.3 din Regulamentul privind repartizarea și utilizarea mijloacelor financiare din componenta unității administrativ-teritoriale, cu completarea concomitentă a pct.5 cu prevederi care ar oferi posibilitatea direcționării mijloacelor financiare din componenta respectivă, inclusiv pentru funcționarea gimnaziilor mici. </w:t>
            </w:r>
          </w:p>
          <w:p w:rsidR="00DD1A5A" w:rsidRPr="00606103" w:rsidRDefault="00DD1A5A" w:rsidP="00552746">
            <w:pPr>
              <w:tabs>
                <w:tab w:val="left" w:pos="1392"/>
                <w:tab w:val="left" w:pos="3197"/>
              </w:tabs>
              <w:spacing w:after="0" w:line="276" w:lineRule="auto"/>
              <w:rPr>
                <w:rFonts w:asciiTheme="majorHAnsi" w:eastAsia="Times New Roman" w:hAnsiTheme="majorHAnsi" w:cstheme="majorHAnsi"/>
                <w:color w:val="000000"/>
                <w:sz w:val="18"/>
                <w:szCs w:val="18"/>
                <w:lang w:val="ro-MD" w:eastAsia="ro-RO" w:bidi="ro-RO"/>
              </w:rPr>
            </w:pPr>
            <w:r w:rsidRPr="00606103">
              <w:rPr>
                <w:rFonts w:asciiTheme="majorHAnsi" w:eastAsia="Times New Roman" w:hAnsiTheme="majorHAnsi" w:cstheme="majorHAnsi"/>
                <w:color w:val="000000"/>
                <w:sz w:val="18"/>
                <w:szCs w:val="18"/>
                <w:lang w:val="ro-MD" w:eastAsia="ro-RO" w:bidi="ro-RO"/>
              </w:rPr>
              <w:t>Tot în această ordine de idei, în scopul identificării unei soluții prompte de a asigura acoperirea deficitului, înregistrat în anul 2021 în instituțiile de învățământ general, pentru achitarea salariilor angajaților, MF, prin demersul nr.07/1-17/81/1143 din 14 septembrie 2021 (copia scrisorii se anexează pe 2 file), a solicitat Ministerului Educației și Cercetării de a elabora, în acest scop, un proiect de hotărâre, dar care până în final a fost promovat de Ministerul Finanțelor (HG nr.312/2021, publicată în Monitorul Oficial al RM Nr. 266 - 272 art. 567 din 05.11.2021).</w:t>
            </w:r>
          </w:p>
          <w:p w:rsidR="00DD1A5A" w:rsidRPr="00606103" w:rsidRDefault="00DD1A5A" w:rsidP="00552746">
            <w:pPr>
              <w:tabs>
                <w:tab w:val="left" w:pos="1392"/>
                <w:tab w:val="left" w:pos="3197"/>
              </w:tabs>
              <w:spacing w:after="0" w:line="276" w:lineRule="auto"/>
              <w:rPr>
                <w:rFonts w:asciiTheme="majorHAnsi" w:eastAsia="Times New Roman" w:hAnsiTheme="majorHAnsi" w:cstheme="majorHAnsi"/>
                <w:color w:val="000000"/>
                <w:sz w:val="18"/>
                <w:szCs w:val="18"/>
                <w:lang w:val="ro-MD" w:eastAsia="ro-RO" w:bidi="ro-RO"/>
              </w:rPr>
            </w:pPr>
            <w:r w:rsidRPr="00606103">
              <w:rPr>
                <w:rFonts w:asciiTheme="majorHAnsi" w:eastAsia="Times New Roman" w:hAnsiTheme="majorHAnsi" w:cstheme="majorHAnsi"/>
                <w:color w:val="000000"/>
                <w:sz w:val="18"/>
                <w:szCs w:val="18"/>
                <w:lang w:val="ro-MD" w:eastAsia="ro-RO" w:bidi="ro-RO"/>
              </w:rPr>
              <w:t>Suplimentar, se informează că, Ministerul Educației și Cercetării este în proces de îmbunătățire a mecanismelor ce țin de estimarea transferurilor cu destinație specială alocate de la bugetul de stat bugetelor locale pentru finanțarea instituțiilor de învățământ general.</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r>
      <w:tr w:rsidR="00DD1A5A" w:rsidRPr="00606103" w:rsidTr="005845D7">
        <w:trPr>
          <w:gridAfter w:val="1"/>
          <w:wAfter w:w="9" w:type="dxa"/>
          <w:trHeight w:val="57"/>
        </w:trPr>
        <w:tc>
          <w:tcPr>
            <w:tcW w:w="4253" w:type="dxa"/>
            <w:shd w:val="clear" w:color="auto" w:fill="auto"/>
          </w:tcPr>
          <w:p w:rsidR="00DD1A5A" w:rsidRPr="00606103" w:rsidRDefault="00DD1A5A" w:rsidP="00552746">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2.4.3. Modificarea cadrului normativ privind finanțarea de la bugetul de stat a instituțiilor publice, fondurilor și proiectelor investiționale prin intermediul subsidiilor, cu conformarea la prevederile Legii nr.181/2014 (reiterată din Hotărârea Curții de Conturi nr.38 din 28 iulie 2020)</w:t>
            </w:r>
          </w:p>
        </w:tc>
        <w:tc>
          <w:tcPr>
            <w:tcW w:w="7513" w:type="dxa"/>
            <w:shd w:val="clear" w:color="auto" w:fill="auto"/>
          </w:tcPr>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Prin Decizia nr. 4 din 14 ianuarie 2022 a Prim-Ministrului Republicii Moldova, a fost creat Grupul de lucru interinstituțional, responsabil de modificarea cadrului normativ aferent instituțiilor publice (copia Dispoziției se anexează pe 3 file).</w:t>
            </w:r>
          </w:p>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Conform pct.5 din Dispoziția menționată, Grupul de lucru urmează să prezinte, în termen de trei luni, propuneri de modificări ale legislației în vederea reglementării unificate a modalității de constituire, funcționare și încetare a activității instituțiilor publice.</w:t>
            </w:r>
          </w:p>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Prin urmare, grupul de lucru, care va fi creat în cadrul Ministerului Finanțelor, va iniția procesul de modificare a cadrului normativ aferent procesului de  finanțare de la bugetul de stat a instituțiilor publice, fondurilor și proiectelor investiționale prin intermediul subsidiilor, cu conformarea la prevederile Legii nr.181/2014, după adoptarea cadrului normativ general privind reglementarea activității acestora.</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r>
      <w:tr w:rsidR="00DD1A5A" w:rsidRPr="00606103" w:rsidTr="005845D7">
        <w:trPr>
          <w:gridAfter w:val="1"/>
          <w:wAfter w:w="9" w:type="dxa"/>
          <w:trHeight w:val="814"/>
        </w:trPr>
        <w:tc>
          <w:tcPr>
            <w:tcW w:w="4253" w:type="dxa"/>
            <w:shd w:val="clear" w:color="auto" w:fill="auto"/>
          </w:tcPr>
          <w:p w:rsidR="00DD1A5A" w:rsidRPr="00606103" w:rsidRDefault="00DD1A5A" w:rsidP="00552746">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2.4.4. Asigurarea ajustării cadrului regulator cu privire la planificarea resurselor și cheltuielilor bugetare în concordanță cu cadrul legal (reiterată din Hotărârea Curții de Conturi nr.38 din 28 iulie 2020)</w:t>
            </w:r>
          </w:p>
        </w:tc>
        <w:tc>
          <w:tcPr>
            <w:tcW w:w="7513" w:type="dxa"/>
            <w:shd w:val="clear" w:color="auto" w:fill="auto"/>
          </w:tcPr>
          <w:p w:rsidR="00DD1A5A" w:rsidRPr="00606103" w:rsidRDefault="00DD1A5A" w:rsidP="00552746">
            <w:pPr>
              <w:spacing w:line="276" w:lineRule="auto"/>
              <w:jc w:val="left"/>
              <w:rPr>
                <w:rFonts w:asciiTheme="majorHAnsi" w:hAnsiTheme="majorHAnsi" w:cstheme="majorHAnsi"/>
                <w:sz w:val="18"/>
                <w:szCs w:val="18"/>
                <w:lang w:val="ro-MD"/>
              </w:rPr>
            </w:pPr>
            <w:r w:rsidRPr="00606103">
              <w:rPr>
                <w:rFonts w:asciiTheme="majorHAnsi" w:hAnsiTheme="majorHAnsi" w:cstheme="majorHAnsi"/>
                <w:sz w:val="18"/>
                <w:szCs w:val="18"/>
                <w:lang w:val="ro-MD"/>
              </w:rPr>
              <w:t>Documentul se află în proces de definitivare.</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r>
      <w:tr w:rsidR="00DD1A5A" w:rsidRPr="00606103" w:rsidTr="005845D7">
        <w:trPr>
          <w:gridAfter w:val="1"/>
          <w:wAfter w:w="9" w:type="dxa"/>
          <w:trHeight w:val="57"/>
        </w:trPr>
        <w:tc>
          <w:tcPr>
            <w:tcW w:w="4253" w:type="dxa"/>
            <w:shd w:val="clear" w:color="auto" w:fill="auto"/>
          </w:tcPr>
          <w:p w:rsidR="00DD1A5A" w:rsidRPr="00606103" w:rsidRDefault="00DD1A5A" w:rsidP="00552746">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2.4.5. Reglementarea modului de ținere a Registrului debitorilor și modului de evidență a executării sancțiunilor și amenzilor (reiterată din Hotărârea Curții de Conturi nr.38 din 28 iulie 2020)</w:t>
            </w:r>
          </w:p>
        </w:tc>
        <w:tc>
          <w:tcPr>
            <w:tcW w:w="7513" w:type="dxa"/>
            <w:shd w:val="clear" w:color="auto" w:fill="auto"/>
          </w:tcPr>
          <w:p w:rsidR="00DD1A5A" w:rsidRPr="00606103" w:rsidRDefault="00DD1A5A" w:rsidP="00552746">
            <w:pPr>
              <w:tabs>
                <w:tab w:val="left" w:pos="1608"/>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A fost aprobată HG nr. 746/2020 cu privire la procedura de furnizare a informației privind amenzile contravenționale către SFS (Monitorul Oficial al RM Nr. 267-271 art. 880 din 16.10.2020), în vigoare din 1.01.2021, care are drept scop reglementarea procedurii de prezentare a informației cu privire la amenzile contravenționale aplicate și utilizarea datelor respective de către SFS, în vederea asigurării evidenței analitice conforme a calculării și achitării amenzilor contravenționale, urmăririi plenitudinii încasării și raportării acestora.</w:t>
            </w:r>
          </w:p>
          <w:p w:rsidR="00DD1A5A" w:rsidRPr="00606103" w:rsidRDefault="00DD1A5A" w:rsidP="00552746">
            <w:pPr>
              <w:tabs>
                <w:tab w:val="left" w:pos="1608"/>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lastRenderedPageBreak/>
              <w:t>Totodată, în temeiul hotărârii menționate supra, de către SFS a fost dezvoltat web serviciul de schimb de date prin intermediul sistemului de interoperabilitate (MConnect). Schimbul de date nu a fost posibil de realizat, fiind condiționat de deficiențele furnizorilor de date, care, până în prezent, nu au pus la dispoziție datele necesare prin sistemul de interoperabilitate MConnect.</w:t>
            </w:r>
          </w:p>
          <w:p w:rsidR="00DD1A5A" w:rsidRPr="00606103" w:rsidRDefault="00DD1A5A" w:rsidP="00552746">
            <w:pPr>
              <w:tabs>
                <w:tab w:val="left" w:pos="1608"/>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În aceste condiții, în scopul asigurării accesului la informații, la data de 29.07.2021, a fost aprobată sarcina tehnică privind elaborarea și implementarea SI automatizat „Registrul amenzilor contravenționale”, în cadrul căreia a fost prevăzut modul de recepționare a datelor aferente proceselor-verbale privind amenzile contravenționale din partea autorităților cu drept de sancționare ce dețin sistem informatic de înregistrare și prelucrare a acestora, cât și autorităților ce nu dețin un sistem informatic propriu.</w:t>
            </w:r>
          </w:p>
          <w:p w:rsidR="00DD1A5A" w:rsidRPr="00606103" w:rsidRDefault="00DD1A5A" w:rsidP="00552746">
            <w:pPr>
              <w:tabs>
                <w:tab w:val="left" w:pos="1608"/>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Astfel, obiectivul general al sistemului constă în automatizarea și eficientizarea proceselor de înregistrare și furnizare către SFS a datelor aferente amenzilor contravenționale.</w:t>
            </w:r>
          </w:p>
          <w:p w:rsidR="00DD1A5A" w:rsidRPr="00606103" w:rsidRDefault="00DD1A5A" w:rsidP="00552746">
            <w:pPr>
              <w:tabs>
                <w:tab w:val="left" w:pos="1608"/>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Totodată, în contextul intrării în vigoare a Legii nr. 185/2020 cu privire la SI automatizat de evidență a contravențiilor, a cauzelor contravenționale și a persoanelor care au săvârșit contravenții, Serviciul Fiscal de Stat a solicitat MAI (scrisorile nr. 26-12/1-10/8098 din 29.01.2021 și nr. 26-12/1-10/59615 din 21.05.2021) intensificarea eforturilor pentru asigurarea cît mai urgentă a implementării acestui sistem. MAI a informat că conexiunea va fi posibilă după aprobarea cadrului normativ stipulat în legea prenotată.</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lastRenderedPageBreak/>
              <w:t>v</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r>
      <w:tr w:rsidR="00DD1A5A" w:rsidRPr="00606103" w:rsidTr="005845D7">
        <w:trPr>
          <w:gridAfter w:val="1"/>
          <w:wAfter w:w="9" w:type="dxa"/>
          <w:trHeight w:val="1209"/>
        </w:trPr>
        <w:tc>
          <w:tcPr>
            <w:tcW w:w="4253" w:type="dxa"/>
            <w:shd w:val="clear" w:color="auto" w:fill="auto"/>
          </w:tcPr>
          <w:p w:rsidR="00DD1A5A" w:rsidRPr="00606103" w:rsidRDefault="00DD1A5A" w:rsidP="00552746">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2.4.6. Asigurarea funcționalității grupului de lucru pentru investiții capitale, în vederea respectării procesului de includere și monitorizare a obiectelor de investiții capitale (reiterată din Hotărârea Curții de Conturi nr.24 din 28 mai 2018)</w:t>
            </w:r>
          </w:p>
        </w:tc>
        <w:tc>
          <w:tcPr>
            <w:tcW w:w="7513" w:type="dxa"/>
            <w:shd w:val="clear" w:color="auto" w:fill="auto"/>
          </w:tcPr>
          <w:p w:rsidR="00DD1A5A" w:rsidRPr="00606103" w:rsidRDefault="00DD1A5A" w:rsidP="00552746">
            <w:pPr>
              <w:tabs>
                <w:tab w:val="left" w:pos="2940"/>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Este de menționat că, toate propunerile de proiecte pentru investiții capitale au fost examinate tuturor rigorilor prevăzute în HG nr. 1029/2019 și nu au fost acceptate pentru includere în proiectul bugetului dacă nu corespundeau cu acestea. După operarea modificărilor în cadrul normativ (HG nr.1029/2013), grupul de lucru pentru investiții capitale își va continua activitatea.</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r>
      <w:tr w:rsidR="00DD1A5A" w:rsidRPr="00606103" w:rsidTr="005845D7">
        <w:trPr>
          <w:gridAfter w:val="1"/>
          <w:wAfter w:w="9" w:type="dxa"/>
          <w:trHeight w:val="57"/>
        </w:trPr>
        <w:tc>
          <w:tcPr>
            <w:tcW w:w="4253" w:type="dxa"/>
            <w:shd w:val="clear" w:color="auto" w:fill="auto"/>
          </w:tcPr>
          <w:p w:rsidR="00DD1A5A" w:rsidRPr="00606103" w:rsidRDefault="00DD1A5A" w:rsidP="00552746">
            <w:pPr>
              <w:spacing w:after="24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2.4.7 Asigurarea respectării prevederilor regulamentare privind procesul de examinare și de confirmare a eligibilității propunerilor de proiecte pentru investiții capitale, respectând principiile de prioritare și de conformitate ale acestora cu documentele de planificare strategică națională și sectorială (reiterată din Hotărârea Curții de Conturi nr.24 din 28 mai 2018)</w:t>
            </w:r>
          </w:p>
        </w:tc>
        <w:tc>
          <w:tcPr>
            <w:tcW w:w="7513" w:type="dxa"/>
            <w:shd w:val="clear" w:color="auto" w:fill="auto"/>
          </w:tcPr>
          <w:p w:rsidR="00DD1A5A" w:rsidRPr="00606103" w:rsidRDefault="00DD1A5A" w:rsidP="00552746">
            <w:pPr>
              <w:tabs>
                <w:tab w:val="left" w:pos="936"/>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 xml:space="preserve">La estimarea limitei de cheltuieli pentru investiții capitale MF preconizează mijloace financiare prioritar pentru finalizarea și darea în exploatare a proiectelor de investiții capitale în curs de execuție, precum și continuarea lucrărilor la proiecte cu un grad înalt de executare a lucrărilor. </w:t>
            </w:r>
          </w:p>
          <w:p w:rsidR="00DD1A5A" w:rsidRPr="00606103" w:rsidRDefault="00DD1A5A" w:rsidP="00552746">
            <w:pPr>
              <w:tabs>
                <w:tab w:val="left" w:pos="936"/>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Aceste principii sunt stabilite anual în particularitățile privind elaborarea și prezentarea propunerilor pentru CBTM și proiectul bugetului de stat. Repartizarea limitei pentru investiții capitale pe proiecte se efectuează de către autoritățile bugetare, deseori fără respectarea principiilor menționate.</w:t>
            </w:r>
          </w:p>
          <w:p w:rsidR="00DD1A5A" w:rsidRPr="00606103" w:rsidRDefault="00DD1A5A" w:rsidP="00552746">
            <w:pPr>
              <w:tabs>
                <w:tab w:val="left" w:pos="936"/>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Pentru proiecte noi de investiții capitale publice autoritățile bugetare prezintă:</w:t>
            </w:r>
          </w:p>
          <w:p w:rsidR="00DD1A5A" w:rsidRPr="00606103" w:rsidRDefault="00DD1A5A" w:rsidP="00552746">
            <w:pPr>
              <w:tabs>
                <w:tab w:val="left" w:pos="936"/>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 xml:space="preserve">1. „Formular de identificare și evaluare preliminară a proiectului de investiții capitale”, în pct. 1 din formular autoritățile bugetare indică scopul proiectului şi corelarea cu obiectivele strategice şi prioritățile de politici guvernamentale; </w:t>
            </w:r>
          </w:p>
          <w:p w:rsidR="00DD1A5A" w:rsidRPr="00606103" w:rsidRDefault="00DD1A5A" w:rsidP="00552746">
            <w:pPr>
              <w:tabs>
                <w:tab w:val="left" w:pos="936"/>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2. „Formular pentru fundamentarea tehnico-economică”.</w:t>
            </w:r>
          </w:p>
          <w:p w:rsidR="00DD1A5A" w:rsidRPr="00606103" w:rsidRDefault="00DD1A5A" w:rsidP="00552746">
            <w:pPr>
              <w:tabs>
                <w:tab w:val="left" w:pos="936"/>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Însă, din cauza lipsei în cadrul autorităților bugetare a subdiviziunilor și a personalului competent în domeniul investițiilor capitale, calitatea informației prezentate în formularele nominalizate este la nivel redus.</w:t>
            </w:r>
          </w:p>
          <w:p w:rsidR="00DD1A5A" w:rsidRPr="00606103" w:rsidRDefault="00DD1A5A" w:rsidP="00552746">
            <w:pPr>
              <w:tabs>
                <w:tab w:val="left" w:pos="936"/>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 xml:space="preserve">Începând cu etapa elaborării proiectului bugetului de stat pentru anul 2023, în formularul „Propuneri privind repartizarea alocațiilor pentru finanțarea proiectelor de investiții capitale în curs de execuție” </w:t>
            </w:r>
            <w:r w:rsidRPr="00606103">
              <w:rPr>
                <w:rFonts w:asciiTheme="majorHAnsi" w:hAnsiTheme="majorHAnsi" w:cstheme="majorHAnsi"/>
                <w:sz w:val="18"/>
                <w:szCs w:val="18"/>
                <w:lang w:val="ro-MD"/>
              </w:rPr>
              <w:lastRenderedPageBreak/>
              <w:t>MF va solicita prezentarea argumentelor suplimentare privind necesitatea continuării proiectului și informație succintă despre implementarea proiectului.</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lastRenderedPageBreak/>
              <w:t>v</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r>
      <w:tr w:rsidR="00DD1A5A" w:rsidRPr="00606103" w:rsidTr="005845D7">
        <w:trPr>
          <w:gridAfter w:val="1"/>
          <w:wAfter w:w="9" w:type="dxa"/>
          <w:trHeight w:val="57"/>
        </w:trPr>
        <w:tc>
          <w:tcPr>
            <w:tcW w:w="4253" w:type="dxa"/>
            <w:shd w:val="clear" w:color="auto" w:fill="auto"/>
          </w:tcPr>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 xml:space="preserve">2.4.8. Asigurarea includerii și prezentării în componența și formatul formularelor din Raportul anual privind executarea bugetului de stat a informației consolidate aferente situațiilor patrimoniale reflectate în </w:t>
            </w:r>
            <w:r w:rsidR="00DF2A11" w:rsidRPr="00606103">
              <w:rPr>
                <w:rFonts w:asciiTheme="majorHAnsi" w:hAnsiTheme="majorHAnsi" w:cstheme="majorHAnsi"/>
                <w:sz w:val="18"/>
                <w:szCs w:val="18"/>
                <w:lang w:val="ro-MD"/>
              </w:rPr>
              <w:t>„</w:t>
            </w:r>
            <w:r w:rsidRPr="00606103">
              <w:rPr>
                <w:rFonts w:asciiTheme="majorHAnsi" w:hAnsiTheme="majorHAnsi" w:cstheme="majorHAnsi"/>
                <w:sz w:val="18"/>
                <w:szCs w:val="18"/>
                <w:lang w:val="ro-MD"/>
              </w:rPr>
              <w:t>Bilanțul contabil” al autorităților/ instituțiilor bugetare (reiterată din Hotărârea Curții de Conturi nr.24 din 28 mai 2018)</w:t>
            </w:r>
          </w:p>
        </w:tc>
        <w:tc>
          <w:tcPr>
            <w:tcW w:w="7513" w:type="dxa"/>
            <w:shd w:val="clear" w:color="auto" w:fill="auto"/>
          </w:tcPr>
          <w:p w:rsidR="00DD1A5A" w:rsidRPr="00606103" w:rsidRDefault="00DD1A5A" w:rsidP="00552746">
            <w:pPr>
              <w:spacing w:after="0" w:line="276" w:lineRule="auto"/>
              <w:rPr>
                <w:rFonts w:asciiTheme="majorHAnsi" w:hAnsiTheme="majorHAnsi" w:cstheme="majorHAnsi"/>
                <w:sz w:val="18"/>
                <w:szCs w:val="18"/>
                <w:lang w:val="ro-MD" w:bidi="ro-RO"/>
              </w:rPr>
            </w:pPr>
            <w:r w:rsidRPr="00606103">
              <w:rPr>
                <w:rFonts w:asciiTheme="majorHAnsi" w:hAnsiTheme="majorHAnsi" w:cstheme="majorHAnsi"/>
                <w:sz w:val="18"/>
                <w:szCs w:val="18"/>
                <w:lang w:val="ro-MD" w:bidi="ro-RO"/>
              </w:rPr>
              <w:t>Prin Ordinul  nr. 155/2021 cu privire la modificarea Ordinului nr. 44/2018 ,,Cu privire la structura, componența și formatul formularelor la Raportul anual privind executarea bugetului de stat” au fost efectuate modificări la Bilanțul contabil. Acesta va conține informația consolidată aferentă situațiilor patrimoniale reflectate în ,,Bilanțul contabil” al autorităților/instituțiilor bugetare (copia ordinului se anexează pe 4 file).</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r>
      <w:tr w:rsidR="00DD1A5A" w:rsidRPr="00606103" w:rsidTr="005845D7">
        <w:trPr>
          <w:gridAfter w:val="1"/>
          <w:wAfter w:w="9" w:type="dxa"/>
          <w:trHeight w:val="562"/>
        </w:trPr>
        <w:tc>
          <w:tcPr>
            <w:tcW w:w="4253" w:type="dxa"/>
            <w:shd w:val="clear" w:color="auto" w:fill="auto"/>
          </w:tcPr>
          <w:p w:rsidR="00DD1A5A" w:rsidRPr="00606103" w:rsidRDefault="00DD1A5A" w:rsidP="00552746">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1. Modificarea „Setului metodologic privind elaborarea, aprobarea și modificarea bugetului” în scopul reflectării prevederilor cadrului legal în vigoare, precum și reglementării abaterilor admisibile între limitele stabilite în CBTM și proiectul legii bugetare anuale. (Secțiunea VI, pct. 6.4)</w:t>
            </w:r>
          </w:p>
        </w:tc>
        <w:tc>
          <w:tcPr>
            <w:tcW w:w="7513" w:type="dxa"/>
            <w:shd w:val="clear" w:color="auto" w:fill="auto"/>
          </w:tcPr>
          <w:p w:rsidR="00DD1A5A" w:rsidRPr="00606103" w:rsidRDefault="00DD1A5A" w:rsidP="00552746">
            <w:pPr>
              <w:tabs>
                <w:tab w:val="left" w:pos="2868"/>
              </w:tabs>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Documentul se află în proces de definitivare</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r>
      <w:tr w:rsidR="00DD1A5A" w:rsidRPr="00606103" w:rsidTr="005845D7">
        <w:trPr>
          <w:gridAfter w:val="1"/>
          <w:wAfter w:w="9" w:type="dxa"/>
          <w:trHeight w:val="57"/>
        </w:trPr>
        <w:tc>
          <w:tcPr>
            <w:tcW w:w="4253" w:type="dxa"/>
            <w:shd w:val="clear" w:color="auto" w:fill="auto"/>
          </w:tcPr>
          <w:p w:rsidR="00DD1A5A" w:rsidRPr="00606103" w:rsidRDefault="00DD1A5A" w:rsidP="00552746">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2. Îmbunătățirea gestionării finanțelor publice, inclusiv prin asigurarea calității ținerii evidenței contabile la executarea raportarea BS conform cadrului normativ (Secțiunea VI, pct. 6.5, Secțiunea III)</w:t>
            </w:r>
          </w:p>
        </w:tc>
        <w:tc>
          <w:tcPr>
            <w:tcW w:w="7513" w:type="dxa"/>
            <w:shd w:val="clear" w:color="auto" w:fill="auto"/>
          </w:tcPr>
          <w:p w:rsidR="00DD1A5A" w:rsidRPr="00606103" w:rsidRDefault="00DD1A5A" w:rsidP="00552746">
            <w:pPr>
              <w:tabs>
                <w:tab w:val="left" w:pos="1608"/>
              </w:tabs>
              <w:spacing w:after="0" w:line="276" w:lineRule="auto"/>
              <w:rPr>
                <w:rFonts w:asciiTheme="majorHAnsi" w:hAnsiTheme="majorHAnsi" w:cstheme="majorHAnsi"/>
                <w:sz w:val="18"/>
                <w:szCs w:val="18"/>
                <w:lang w:val="ro-MD" w:bidi="ro-RO"/>
              </w:rPr>
            </w:pPr>
            <w:r w:rsidRPr="00606103">
              <w:rPr>
                <w:rFonts w:asciiTheme="majorHAnsi" w:hAnsiTheme="majorHAnsi" w:cstheme="majorHAnsi"/>
                <w:sz w:val="18"/>
                <w:szCs w:val="18"/>
                <w:lang w:val="ro-MD" w:bidi="ro-RO"/>
              </w:rPr>
              <w:t>A fost asigurată îmbunătățirea calității ținerii evidenței contabile la executarea raportarea BS/BL prin:</w:t>
            </w:r>
          </w:p>
          <w:p w:rsidR="00DD1A5A" w:rsidRPr="00606103" w:rsidRDefault="00DD1A5A" w:rsidP="00552746">
            <w:pPr>
              <w:tabs>
                <w:tab w:val="left" w:pos="1608"/>
              </w:tabs>
              <w:spacing w:after="0" w:line="276" w:lineRule="auto"/>
              <w:rPr>
                <w:rFonts w:asciiTheme="majorHAnsi" w:hAnsiTheme="majorHAnsi" w:cstheme="majorHAnsi"/>
                <w:sz w:val="18"/>
                <w:szCs w:val="18"/>
                <w:lang w:val="ro-MD" w:bidi="ro-RO"/>
              </w:rPr>
            </w:pPr>
            <w:r w:rsidRPr="00606103">
              <w:rPr>
                <w:rFonts w:asciiTheme="majorHAnsi" w:hAnsiTheme="majorHAnsi" w:cstheme="majorHAnsi"/>
                <w:sz w:val="18"/>
                <w:szCs w:val="18"/>
                <w:lang w:val="ro-MD" w:bidi="ro-RO"/>
              </w:rPr>
              <w:t>1)  aprobarea unor modificări/completări la cadrul normative în vigoare și anume:</w:t>
            </w:r>
          </w:p>
          <w:p w:rsidR="00DD1A5A" w:rsidRPr="00606103" w:rsidRDefault="00DD1A5A" w:rsidP="00552746">
            <w:pPr>
              <w:tabs>
                <w:tab w:val="left" w:pos="1608"/>
              </w:tabs>
              <w:spacing w:after="0" w:line="276" w:lineRule="auto"/>
              <w:rPr>
                <w:rFonts w:asciiTheme="majorHAnsi" w:hAnsiTheme="majorHAnsi" w:cstheme="majorHAnsi"/>
                <w:sz w:val="18"/>
                <w:szCs w:val="18"/>
                <w:lang w:val="ro-MD" w:bidi="ro-RO"/>
              </w:rPr>
            </w:pPr>
            <w:r w:rsidRPr="00606103">
              <w:rPr>
                <w:rFonts w:asciiTheme="majorHAnsi" w:hAnsiTheme="majorHAnsi" w:cstheme="majorHAnsi"/>
                <w:sz w:val="18"/>
                <w:szCs w:val="18"/>
                <w:lang w:val="ro-MD" w:bidi="ro-RO"/>
              </w:rPr>
              <w:t>- Ordinul MF nr. 76 din 01 iunie 2021 privind modificarea completarea  Planului de conturi contabile în sistemul bugetar şi a Normelor metodologice privind evidența contabilă şi raportarea financiară în sistemul bugetar, aprobat prin Ordinul MF nr.216 din 28 decembrie 2015 (MO al RM nr. 212 - 218 art.1103 din 10.09.2021);</w:t>
            </w:r>
          </w:p>
          <w:p w:rsidR="00DD1A5A" w:rsidRPr="00606103" w:rsidRDefault="00DD1A5A" w:rsidP="00552746">
            <w:pPr>
              <w:tabs>
                <w:tab w:val="left" w:pos="1608"/>
              </w:tabs>
              <w:spacing w:after="0" w:line="276" w:lineRule="auto"/>
              <w:rPr>
                <w:rFonts w:asciiTheme="majorHAnsi" w:hAnsiTheme="majorHAnsi" w:cstheme="majorHAnsi"/>
                <w:sz w:val="18"/>
                <w:szCs w:val="18"/>
                <w:lang w:val="ro-MD" w:bidi="ro-RO"/>
              </w:rPr>
            </w:pPr>
            <w:r w:rsidRPr="00606103">
              <w:rPr>
                <w:rFonts w:asciiTheme="majorHAnsi" w:hAnsiTheme="majorHAnsi" w:cstheme="majorHAnsi"/>
                <w:sz w:val="18"/>
                <w:szCs w:val="18"/>
                <w:lang w:val="ro-MD" w:bidi="ro-RO"/>
              </w:rPr>
              <w:t>- Ordinul MF nr. 75 din 01 iunie 2021 cu privire la modificarea și completarea Normelor metodologice privind executarea de casă a bugetelor componente ale bugetului public național și a mijloacelor extrabugetare prin sistemul trezorerial al MF nr.215/2015 (MO al RM nr. 212-218 art.1102 din 10.09.2021).</w:t>
            </w:r>
          </w:p>
          <w:p w:rsidR="00DD1A5A" w:rsidRPr="00606103" w:rsidRDefault="00DD1A5A" w:rsidP="00552746">
            <w:pPr>
              <w:tabs>
                <w:tab w:val="left" w:pos="1608"/>
              </w:tabs>
              <w:spacing w:after="0" w:line="276" w:lineRule="auto"/>
              <w:rPr>
                <w:rFonts w:asciiTheme="majorHAnsi" w:hAnsiTheme="majorHAnsi" w:cstheme="majorHAnsi"/>
                <w:sz w:val="18"/>
                <w:szCs w:val="18"/>
                <w:lang w:val="ro-MD" w:bidi="ro-RO"/>
              </w:rPr>
            </w:pPr>
            <w:r w:rsidRPr="00606103">
              <w:rPr>
                <w:rFonts w:asciiTheme="majorHAnsi" w:hAnsiTheme="majorHAnsi" w:cstheme="majorHAnsi"/>
                <w:sz w:val="18"/>
                <w:szCs w:val="18"/>
                <w:lang w:val="ro-MD" w:bidi="ro-RO"/>
              </w:rPr>
              <w:t>Totodată, a fost înaintată solicitarea către IP CTIF de creare a posibilității  de selectare a rapoartelor consolidate, acțiune ce va fi realizată în anul 2022.</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r>
      <w:tr w:rsidR="00DD1A5A" w:rsidRPr="00606103" w:rsidTr="005845D7">
        <w:trPr>
          <w:gridAfter w:val="1"/>
          <w:wAfter w:w="9" w:type="dxa"/>
          <w:trHeight w:val="1246"/>
        </w:trPr>
        <w:tc>
          <w:tcPr>
            <w:tcW w:w="4253" w:type="dxa"/>
            <w:shd w:val="clear" w:color="auto" w:fill="auto"/>
          </w:tcPr>
          <w:p w:rsidR="00DD1A5A" w:rsidRPr="00606103" w:rsidRDefault="00DD1A5A" w:rsidP="00552746">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3. Asigurarea fortificării controlului intern managerial al proceselor aferente executării BS prin intermediul sistemului trezorerial, cu identificarea descrierea proceselor de consolidare a rapoartelor Trezoreriei de Stat și Trezoreriilor Regionale (Secțiunea VI, pct. 6.5)</w:t>
            </w:r>
          </w:p>
        </w:tc>
        <w:tc>
          <w:tcPr>
            <w:tcW w:w="7513" w:type="dxa"/>
            <w:shd w:val="clear" w:color="auto" w:fill="auto"/>
          </w:tcPr>
          <w:p w:rsidR="00DD1A5A" w:rsidRPr="00606103" w:rsidRDefault="00DD1A5A" w:rsidP="00552746">
            <w:pPr>
              <w:tabs>
                <w:tab w:val="left" w:pos="1560"/>
              </w:tabs>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A fost elaborată descrierea narativă a procesului de generare a rapoartelor de către Trezoreriile Regionale și verificarea acestora de către persoanele responsabile din cadrul Trezoreriei de stat.</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r>
      <w:tr w:rsidR="00DD1A5A" w:rsidRPr="00606103" w:rsidTr="005845D7">
        <w:trPr>
          <w:gridAfter w:val="1"/>
          <w:wAfter w:w="9" w:type="dxa"/>
          <w:trHeight w:val="57"/>
        </w:trPr>
        <w:tc>
          <w:tcPr>
            <w:tcW w:w="4253" w:type="dxa"/>
            <w:shd w:val="clear" w:color="auto" w:fill="auto"/>
          </w:tcPr>
          <w:p w:rsidR="00DD1A5A" w:rsidRPr="00606103" w:rsidRDefault="00DD1A5A" w:rsidP="00552746">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4. De comun cu autoritățile publice centrale: monitorizarea planificării și executării de către APC a cheltuielilor de personal în vederea asigurării limitei stabilite în Legea bugetară anuală (Secțiunea VI, pct. 6.7)</w:t>
            </w:r>
          </w:p>
        </w:tc>
        <w:tc>
          <w:tcPr>
            <w:tcW w:w="7513" w:type="dxa"/>
            <w:shd w:val="clear" w:color="auto" w:fill="auto"/>
          </w:tcPr>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Volumul alocațiilor aprobate pentru anul 2021, în partea ce ține de cheltuielile de personal, a fost estimat în baza cheltuielilor scontate pentru anul 2020, suplimentate cu alocații care derivă din măsurile politicii salariale pentru anul 2021. La fel, alocațiile au fost recalculate ținând cont de numărul funcțiilor vacante existente, pentru a nu admite supraestimarea cheltuielilor și asigurarea achitării salariilor personalului efectiv angajat.</w:t>
            </w:r>
          </w:p>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Totodată, MF, ca măsură întreprinsă pentru monitorizarea executării de către APC a cheltuielilor de personal, efectuează o analiză permanentă a nivelului executării lunare a cheltuielilor de personal, scontate pentru anul 2021 în baza salariului executat în lunile precedente la nivel de fiecare autoritate publică centrală (fișierul Excel cu analiza lunară a cheltuielilor pe personal la nivelul APC se anexează).</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r>
      <w:tr w:rsidR="00DD1A5A" w:rsidRPr="00606103" w:rsidTr="005845D7">
        <w:trPr>
          <w:gridAfter w:val="1"/>
          <w:wAfter w:w="9" w:type="dxa"/>
          <w:trHeight w:val="57"/>
        </w:trPr>
        <w:tc>
          <w:tcPr>
            <w:tcW w:w="4253" w:type="dxa"/>
            <w:shd w:val="clear" w:color="auto" w:fill="auto"/>
          </w:tcPr>
          <w:p w:rsidR="00DD1A5A" w:rsidRPr="00606103" w:rsidRDefault="00DD1A5A" w:rsidP="00552746">
            <w:pPr>
              <w:spacing w:after="24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lastRenderedPageBreak/>
              <w:t>5. Îmbunătățirea modului de gestionare/ monitorizare și raportare a procesului investițional pentru ridicarea nivelului de executare a alocațiilor pentru investiții capitale din mijloacele financiare externe acordate RM și din surse interne (Secțiunea VI, pct. 6.9)</w:t>
            </w:r>
          </w:p>
        </w:tc>
        <w:tc>
          <w:tcPr>
            <w:tcW w:w="7513" w:type="dxa"/>
            <w:shd w:val="clear" w:color="auto" w:fill="auto"/>
          </w:tcPr>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Planificarea mijloacelor financiare destinate investițiilor capitale atât din surse interne, cât și externe se realizează reieșind din propunerile APC în baza acordurilor cu partenerii de dezvoltare și contractelor de valorificare a acestor mijloace.</w:t>
            </w:r>
          </w:p>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Potrivit Memorandumului tehnic de înțelegere cu FMI cu privire la politicile economice și financiare, MF, lunar, prezintă personalului FMI raportul privind executarea cheltuielilor bugetului public național, inclusiv a cheltuielilor de investiții capitale. La etapa întocmirii informației menționate se examinează nivelul de executare a mijloacelor alocate pentru investițiile capitale din toate sursele. În caz de necesitate, se solicită informația mai detaliată privind cauzele nivelului redus de valorificare a mijloacelor alocate. Totodată, la etapele de elaborare a proiectelor de lege privind modificarea legilor  bugetului de stat pe anul respectiv, MF în comun cu APC analizează nivelul de executare, iar APC intervine cu propuneri privind modificarea acestor sume.</w:t>
            </w:r>
          </w:p>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Însă, în unele cazuri, constrângerile în utilizarea mijloacelor țin doar de capacitatea antreprenorilor de a valorifica mijloacele în cauză, ceea ce duce la nerespectarea termenilor și diminuarea nivelului de valorificare a investițiilor capitale.</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r>
      <w:tr w:rsidR="00DD1A5A" w:rsidRPr="00606103" w:rsidTr="005845D7">
        <w:trPr>
          <w:gridAfter w:val="1"/>
          <w:wAfter w:w="9" w:type="dxa"/>
          <w:trHeight w:val="57"/>
        </w:trPr>
        <w:tc>
          <w:tcPr>
            <w:tcW w:w="4253" w:type="dxa"/>
            <w:shd w:val="clear" w:color="auto" w:fill="auto"/>
          </w:tcPr>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6. Monitorizarea eficientă, reevaluarea și aprobarea proiectelor investiționale la care costurile estimate inițial au fost modificate cu peste 15% și/sau implementarea depășește termenele planificate, în lipsa grupului de lucru activ (Secțiunea VI, pct. 6.9)</w:t>
            </w:r>
          </w:p>
        </w:tc>
        <w:tc>
          <w:tcPr>
            <w:tcW w:w="7513" w:type="dxa"/>
            <w:shd w:val="clear" w:color="auto" w:fill="auto"/>
          </w:tcPr>
          <w:p w:rsidR="00DD1A5A" w:rsidRPr="00606103" w:rsidRDefault="00DD1A5A" w:rsidP="00552746">
            <w:pPr>
              <w:tabs>
                <w:tab w:val="left" w:pos="2100"/>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 xml:space="preserve">În condițiile restricțiilor aplicate în perioada de pandemie și reținerilor la livrarea (în termenii stabiliți) a materialelor de construcție, în anul 2020, la majoritatea proiectelor de investiții capitale, lucrările au fost stopate, ceea ce a determinat extinderea termenului de implementare a proiectelor. Concomitent,  majorarea în lanț a prețurilor la materiale de construcție în anul 2021, a contribuit direct la majorarea costurilor proiectelor de investiții capitale. </w:t>
            </w:r>
          </w:p>
          <w:p w:rsidR="00DD1A5A" w:rsidRPr="00606103" w:rsidRDefault="00DD1A5A" w:rsidP="00552746">
            <w:pPr>
              <w:tabs>
                <w:tab w:val="left" w:pos="2100"/>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La etapele de elaborare a proiectelor CBTM și a legilor bugetare anuale, Ministerul Finanțelor solicită actualizarea informației referitor la costul ajustat al proiectului și, în baza rapoartelor anuale prezentate de către APC,  monitorizează nivelul și progresul obținut la implementarea proiectelor de investiții capitale.</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r>
      <w:tr w:rsidR="00DD1A5A" w:rsidRPr="00606103" w:rsidTr="005845D7">
        <w:trPr>
          <w:gridAfter w:val="1"/>
          <w:wAfter w:w="9" w:type="dxa"/>
          <w:trHeight w:val="1823"/>
        </w:trPr>
        <w:tc>
          <w:tcPr>
            <w:tcW w:w="4253" w:type="dxa"/>
            <w:shd w:val="clear" w:color="auto" w:fill="auto"/>
          </w:tcPr>
          <w:p w:rsidR="00DD1A5A" w:rsidRPr="00606103" w:rsidRDefault="00DD1A5A" w:rsidP="00552746">
            <w:pPr>
              <w:spacing w:after="24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7. De comun cu autoritățile publice centrale: dezvoltarea/sporirea capacităților APC și mediului de control intern la elaborarea bugetelor investiționale în concordanță cu strategiile sectoriale și în raport cu volumul resurselor alocate de la bugetul de stat pentru consolidarea și gestionarea eficientă a resurselor financiare investiționale din surse interne și externe (Secțiunea VI, pct. 6.6, 6.9)</w:t>
            </w:r>
          </w:p>
        </w:tc>
        <w:tc>
          <w:tcPr>
            <w:tcW w:w="7513" w:type="dxa"/>
            <w:shd w:val="clear" w:color="auto" w:fill="auto"/>
          </w:tcPr>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 xml:space="preserve">Conform cadrului legal existent, CS este autoritatea responsabilă de structura și sporirea capacităților autorităților publice centrale. MF la toate etapele de planificare și raportare a susținut/contribuit la procesul de îmbunătățire a nivelului de elaborare a documentelor de planificare a cheltuielilor, inclusiv pentru investiții capitale. Totodată, în contextul reorganizării unor APC, în anul 2021 procesele de sporire a capacităților durează, iar rezultatele urmează a fi vizibile în procesul de elaborare a CBTM 2023-2025 și a proiectului de buget pe anul 2023.   </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r>
      <w:tr w:rsidR="00DD1A5A" w:rsidRPr="00606103" w:rsidTr="005845D7">
        <w:trPr>
          <w:gridAfter w:val="1"/>
          <w:wAfter w:w="9" w:type="dxa"/>
          <w:trHeight w:val="57"/>
        </w:trPr>
        <w:tc>
          <w:tcPr>
            <w:tcW w:w="4253" w:type="dxa"/>
            <w:shd w:val="clear" w:color="auto" w:fill="auto"/>
          </w:tcPr>
          <w:p w:rsidR="00DD1A5A" w:rsidRPr="00606103" w:rsidRDefault="00DD1A5A" w:rsidP="00552746">
            <w:pPr>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8. Asigurarea respectării prevederilor cadrului normativ la finanțarea/raportarea cheltuielilor în cadrul Programului activităților de reintegrare a țării, cu asigurarea virării pe contul BS de către APL a sumelor neutilizate (Secțiunea VI, pct. 6.10)</w:t>
            </w:r>
          </w:p>
        </w:tc>
        <w:tc>
          <w:tcPr>
            <w:tcW w:w="7513" w:type="dxa"/>
            <w:shd w:val="clear" w:color="auto" w:fill="auto"/>
          </w:tcPr>
          <w:p w:rsidR="00DD1A5A" w:rsidRPr="00606103" w:rsidRDefault="00DD1A5A" w:rsidP="00552746">
            <w:pPr>
              <w:tabs>
                <w:tab w:val="left" w:pos="1260"/>
              </w:tabs>
              <w:spacing w:after="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 xml:space="preserve">În anul 2021, Programul activităților de reintegrare a țării pentru anul 2021 a fost aprobat prin HG nr.68/2021. Finanțarea cheltuielilor s-a efectuat pe obiective, în strictă conformitate cu prevederile hotărârii în cauză. La moment, MF nu are informații despre sumele transferate din bugetul de stat și neutilizate de către APL pentru finanțare obiectivelor din program. Totodată, conform punctului 3 al hotărârii menționate, autoritățile administrației publice locale urmează să prezinte CS (Biroul politici de reintegrare) rapoartele anuale privind utilizarea mijloacelor alocate prin Programul dat. În scopul analizei detaliate a nivelului de valorificare, MF va solicita de la CS raportul totalizat, iar, în caz de identificare a unor abateri, va contribui la întreprinderea măsurilor de rigoare pentru înlăturarea acestora.     </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r>
      <w:tr w:rsidR="00DD1A5A" w:rsidRPr="00606103" w:rsidTr="005845D7">
        <w:trPr>
          <w:gridAfter w:val="1"/>
          <w:wAfter w:w="9" w:type="dxa"/>
          <w:trHeight w:val="1385"/>
        </w:trPr>
        <w:tc>
          <w:tcPr>
            <w:tcW w:w="4253" w:type="dxa"/>
            <w:shd w:val="clear" w:color="auto" w:fill="auto"/>
          </w:tcPr>
          <w:p w:rsidR="00DD1A5A" w:rsidRPr="00606103" w:rsidRDefault="00DD1A5A" w:rsidP="00552746">
            <w:pPr>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lastRenderedPageBreak/>
              <w:t xml:space="preserve">9. Completarea Formularului nr.9 la Raportul privind executarea BS cu creanțele și datoriile formate în autoritățile/instituțiile bugetare finanțate de la BS la venituri (Secțiunea VI, pct. 6.12) </w:t>
            </w:r>
          </w:p>
        </w:tc>
        <w:tc>
          <w:tcPr>
            <w:tcW w:w="7513" w:type="dxa"/>
            <w:shd w:val="clear" w:color="auto" w:fill="auto"/>
          </w:tcPr>
          <w:p w:rsidR="00DD1A5A" w:rsidRPr="00606103" w:rsidRDefault="00DD1A5A" w:rsidP="00552746">
            <w:pPr>
              <w:tabs>
                <w:tab w:val="left" w:pos="2244"/>
              </w:tabs>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Prin  Ordinul  nr. 155/2021 cu privire la modificarea Ordinului nr. 44/2018 ,,Cu privire la structura, componența și formatul formularelor la Raportul anual privind executarea bugetului de stat”, Formularul nr.9 ,, Raportul privind creanțele și datoriile la cheltuieli și active nefinanciar formate în autoritățile/instituțiile bugetare finanțate de la bugetul de stat” a fost completat cu creanțe și datorii la venituri și redenumit ,,Raportul privind creanțele și datoriile la venituri, cheltuieli și active nefinanciar formate în autoritățile/ instituțiile bugetare finanțate de la bugetul de stat”.</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r>
      <w:tr w:rsidR="00DD1A5A" w:rsidRPr="00606103" w:rsidTr="005845D7">
        <w:trPr>
          <w:gridAfter w:val="1"/>
          <w:wAfter w:w="9" w:type="dxa"/>
          <w:trHeight w:val="882"/>
        </w:trPr>
        <w:tc>
          <w:tcPr>
            <w:tcW w:w="4253" w:type="dxa"/>
            <w:shd w:val="clear" w:color="auto" w:fill="auto"/>
          </w:tcPr>
          <w:p w:rsidR="00DD1A5A" w:rsidRPr="00606103" w:rsidRDefault="00DD1A5A" w:rsidP="00552746">
            <w:pPr>
              <w:spacing w:after="240"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10. De comun cu IP „Oficiul de Gestionare a Programelor de Asistență Externă”: dezvoltarea cadrului normativ în aspectul prevederilor ce țin de modul de virare a unei părți de venituri la BS (Secțiunea VI, pct. 6.13)</w:t>
            </w:r>
          </w:p>
        </w:tc>
        <w:tc>
          <w:tcPr>
            <w:tcW w:w="7513" w:type="dxa"/>
            <w:shd w:val="clear" w:color="auto" w:fill="auto"/>
          </w:tcPr>
          <w:p w:rsidR="00DD1A5A" w:rsidRPr="00606103" w:rsidRDefault="00DD1A5A" w:rsidP="00552746">
            <w:pPr>
              <w:tabs>
                <w:tab w:val="left" w:pos="1752"/>
              </w:tabs>
              <w:spacing w:line="276" w:lineRule="auto"/>
              <w:rPr>
                <w:rFonts w:asciiTheme="majorHAnsi" w:hAnsiTheme="majorHAnsi" w:cstheme="majorHAnsi"/>
                <w:sz w:val="18"/>
                <w:szCs w:val="18"/>
                <w:lang w:val="ro-MD"/>
              </w:rPr>
            </w:pPr>
            <w:r w:rsidRPr="00606103">
              <w:rPr>
                <w:rFonts w:asciiTheme="majorHAnsi" w:hAnsiTheme="majorHAnsi" w:cstheme="majorHAnsi"/>
                <w:sz w:val="18"/>
                <w:szCs w:val="18"/>
                <w:lang w:val="ro-MD"/>
              </w:rPr>
              <w:t>La data de 10 ianuarie 2022 a avut loc ședința Consiliului de supraveghere a I.P. „Oficiul de Gestionare a Programelor de Asistență Externă”, în cadrul căreia s-a discutat această recomandare. Concluziile Consiliului de supraveghere urmează a fi analizate de către Ministerul Finanțelor, întru identificarea acțiunilor ulterioare.</w:t>
            </w: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c>
          <w:tcPr>
            <w:tcW w:w="992" w:type="dxa"/>
          </w:tcPr>
          <w:p w:rsidR="00DD1A5A" w:rsidRPr="00606103" w:rsidRDefault="00DD1A5A" w:rsidP="00552746">
            <w:pPr>
              <w:spacing w:after="0" w:line="276" w:lineRule="auto"/>
              <w:jc w:val="center"/>
              <w:rPr>
                <w:rFonts w:asciiTheme="majorHAnsi" w:hAnsiTheme="majorHAnsi" w:cstheme="majorHAnsi"/>
                <w:sz w:val="20"/>
                <w:szCs w:val="20"/>
                <w:lang w:val="ro-MD"/>
              </w:rPr>
            </w:pPr>
            <w:r w:rsidRPr="00606103">
              <w:rPr>
                <w:rFonts w:asciiTheme="majorHAnsi" w:hAnsiTheme="majorHAnsi" w:cstheme="majorHAnsi"/>
                <w:sz w:val="20"/>
                <w:szCs w:val="20"/>
                <w:lang w:val="ro-MD"/>
              </w:rPr>
              <w:t>v</w:t>
            </w:r>
          </w:p>
        </w:tc>
        <w:tc>
          <w:tcPr>
            <w:tcW w:w="844" w:type="dxa"/>
          </w:tcPr>
          <w:p w:rsidR="00DD1A5A" w:rsidRPr="00606103" w:rsidRDefault="00DD1A5A" w:rsidP="00552746">
            <w:pPr>
              <w:spacing w:after="0" w:line="276" w:lineRule="auto"/>
              <w:jc w:val="center"/>
              <w:rPr>
                <w:rFonts w:asciiTheme="majorHAnsi" w:hAnsiTheme="majorHAnsi" w:cstheme="majorHAnsi"/>
                <w:sz w:val="20"/>
                <w:szCs w:val="20"/>
                <w:lang w:val="ro-MD"/>
              </w:rPr>
            </w:pPr>
          </w:p>
        </w:tc>
      </w:tr>
    </w:tbl>
    <w:p w:rsidR="00457A75" w:rsidRPr="00606103" w:rsidRDefault="00457A75">
      <w:pPr>
        <w:shd w:val="clear" w:color="auto" w:fill="FFFFFF" w:themeFill="background1"/>
        <w:tabs>
          <w:tab w:val="left" w:pos="284"/>
          <w:tab w:val="left" w:pos="567"/>
          <w:tab w:val="left" w:pos="6237"/>
          <w:tab w:val="left" w:pos="6379"/>
        </w:tabs>
        <w:spacing w:after="0" w:line="276" w:lineRule="auto"/>
        <w:contextualSpacing/>
        <w:jc w:val="center"/>
        <w:rPr>
          <w:rFonts w:asciiTheme="majorHAnsi" w:eastAsia="Times New Roman" w:hAnsiTheme="majorHAnsi" w:cstheme="majorHAnsi"/>
          <w:b/>
          <w:sz w:val="24"/>
          <w:szCs w:val="24"/>
          <w:lang w:val="ro-MD"/>
        </w:rPr>
      </w:pPr>
    </w:p>
    <w:p w:rsidR="00082C8F" w:rsidRDefault="00082C8F">
      <w:pPr>
        <w:jc w:val="left"/>
        <w:rPr>
          <w:rFonts w:asciiTheme="majorHAnsi" w:eastAsia="Times New Roman" w:hAnsiTheme="majorHAnsi" w:cstheme="majorHAnsi"/>
          <w:b/>
          <w:sz w:val="24"/>
          <w:szCs w:val="24"/>
          <w:lang w:val="ro-MD" w:eastAsia="ru-RU"/>
        </w:rPr>
      </w:pPr>
      <w:r>
        <w:rPr>
          <w:rFonts w:asciiTheme="majorHAnsi" w:eastAsia="Times New Roman" w:hAnsiTheme="majorHAnsi" w:cstheme="majorHAnsi"/>
          <w:b/>
          <w:sz w:val="24"/>
          <w:szCs w:val="24"/>
          <w:lang w:val="ro-MD" w:eastAsia="ru-RU"/>
        </w:rPr>
        <w:br w:type="page"/>
      </w:r>
    </w:p>
    <w:p w:rsidR="006863AC" w:rsidRDefault="006863AC">
      <w:pPr>
        <w:spacing w:after="0" w:line="276" w:lineRule="auto"/>
        <w:jc w:val="right"/>
        <w:rPr>
          <w:rFonts w:asciiTheme="majorHAnsi" w:eastAsia="Times New Roman" w:hAnsiTheme="majorHAnsi" w:cstheme="majorHAnsi"/>
          <w:b/>
          <w:sz w:val="24"/>
          <w:szCs w:val="24"/>
          <w:lang w:val="ro-MD" w:eastAsia="ru-RU"/>
        </w:rPr>
      </w:pPr>
    </w:p>
    <w:p w:rsidR="00457A75" w:rsidRPr="00606103" w:rsidRDefault="002102A8">
      <w:pPr>
        <w:spacing w:after="0" w:line="276" w:lineRule="auto"/>
        <w:jc w:val="right"/>
        <w:rPr>
          <w:rFonts w:asciiTheme="majorHAnsi" w:eastAsia="Times New Roman" w:hAnsiTheme="majorHAnsi" w:cstheme="majorHAnsi"/>
          <w:b/>
          <w:sz w:val="24"/>
          <w:szCs w:val="24"/>
          <w:lang w:val="ro-MD" w:eastAsia="ru-RU"/>
        </w:rPr>
      </w:pPr>
      <w:r w:rsidRPr="00606103">
        <w:rPr>
          <w:rFonts w:asciiTheme="majorHAnsi" w:eastAsia="Times New Roman" w:hAnsiTheme="majorHAnsi" w:cstheme="majorHAnsi"/>
          <w:b/>
          <w:sz w:val="24"/>
          <w:szCs w:val="24"/>
          <w:lang w:val="ro-MD" w:eastAsia="ru-RU"/>
        </w:rPr>
        <w:t>Anexa nr.12</w:t>
      </w:r>
    </w:p>
    <w:p w:rsidR="00457A75" w:rsidRPr="00606103" w:rsidRDefault="00457A75">
      <w:pPr>
        <w:spacing w:after="0" w:line="276" w:lineRule="auto"/>
        <w:jc w:val="center"/>
        <w:rPr>
          <w:rFonts w:asciiTheme="majorHAnsi" w:eastAsia="Times New Roman" w:hAnsiTheme="majorHAnsi" w:cstheme="majorHAnsi"/>
          <w:b/>
          <w:sz w:val="24"/>
          <w:szCs w:val="24"/>
          <w:lang w:val="ro-MD" w:eastAsia="ru-RU"/>
        </w:rPr>
      </w:pPr>
      <w:r w:rsidRPr="00606103">
        <w:rPr>
          <w:rFonts w:asciiTheme="majorHAnsi" w:eastAsia="Times New Roman" w:hAnsiTheme="majorHAnsi" w:cstheme="majorHAnsi"/>
          <w:b/>
          <w:sz w:val="24"/>
          <w:szCs w:val="24"/>
          <w:lang w:val="ro-MD" w:eastAsia="ru-RU"/>
        </w:rPr>
        <w:t xml:space="preserve">Analiza executării cheltuielilor bugetului de stat în aspectul clasificației economice pe anul 2021, </w:t>
      </w:r>
    </w:p>
    <w:p w:rsidR="00457A75" w:rsidRPr="00606103" w:rsidRDefault="00457A75">
      <w:pPr>
        <w:spacing w:after="0" w:line="276" w:lineRule="auto"/>
        <w:jc w:val="center"/>
        <w:rPr>
          <w:rFonts w:asciiTheme="majorHAnsi" w:eastAsia="Times New Roman" w:hAnsiTheme="majorHAnsi" w:cstheme="majorHAnsi"/>
          <w:b/>
          <w:sz w:val="24"/>
          <w:szCs w:val="24"/>
          <w:lang w:val="ro-MD" w:eastAsia="ru-RU"/>
        </w:rPr>
      </w:pPr>
      <w:r w:rsidRPr="00606103">
        <w:rPr>
          <w:rFonts w:asciiTheme="majorHAnsi" w:eastAsia="Times New Roman" w:hAnsiTheme="majorHAnsi" w:cstheme="majorHAnsi"/>
          <w:b/>
          <w:sz w:val="24"/>
          <w:szCs w:val="24"/>
          <w:lang w:val="ro-MD" w:eastAsia="ru-RU"/>
        </w:rPr>
        <w:t>comparativ cu anul 2020</w:t>
      </w:r>
    </w:p>
    <w:p w:rsidR="00457A75" w:rsidRPr="00606103" w:rsidRDefault="00457A75">
      <w:pPr>
        <w:spacing w:after="0" w:line="276" w:lineRule="auto"/>
        <w:ind w:right="281"/>
        <w:jc w:val="right"/>
        <w:rPr>
          <w:rFonts w:asciiTheme="majorHAnsi" w:eastAsia="Times New Roman" w:hAnsiTheme="majorHAnsi" w:cstheme="majorHAnsi"/>
          <w:i/>
          <w:sz w:val="24"/>
          <w:szCs w:val="24"/>
          <w:lang w:val="ro-MD" w:eastAsia="ru-RU"/>
        </w:rPr>
      </w:pPr>
      <w:r w:rsidRPr="00606103">
        <w:rPr>
          <w:rFonts w:asciiTheme="majorHAnsi" w:eastAsia="Times New Roman" w:hAnsiTheme="majorHAnsi" w:cstheme="majorHAnsi"/>
          <w:i/>
          <w:sz w:val="24"/>
          <w:szCs w:val="24"/>
          <w:lang w:val="ro-MD" w:eastAsia="ru-RU"/>
        </w:rPr>
        <w:t xml:space="preserve">             (mil. lei)</w:t>
      </w:r>
    </w:p>
    <w:tbl>
      <w:tblPr>
        <w:tblStyle w:val="GridTable1Light132"/>
        <w:tblW w:w="14183" w:type="dxa"/>
        <w:tblLayout w:type="fixed"/>
        <w:tblLook w:val="04A0" w:firstRow="1" w:lastRow="0" w:firstColumn="1" w:lastColumn="0" w:noHBand="0" w:noVBand="1"/>
      </w:tblPr>
      <w:tblGrid>
        <w:gridCol w:w="5098"/>
        <w:gridCol w:w="1133"/>
        <w:gridCol w:w="1133"/>
        <w:gridCol w:w="1134"/>
        <w:gridCol w:w="1134"/>
        <w:gridCol w:w="1138"/>
        <w:gridCol w:w="1135"/>
        <w:gridCol w:w="1134"/>
        <w:gridCol w:w="1134"/>
        <w:gridCol w:w="10"/>
      </w:tblGrid>
      <w:tr w:rsidR="008A4DF8" w:rsidRPr="00606103" w:rsidTr="00D27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Merge w:val="restart"/>
          </w:tcPr>
          <w:p w:rsidR="008A4DF8" w:rsidRPr="00606103" w:rsidRDefault="008A4DF8" w:rsidP="00552746">
            <w:pPr>
              <w:spacing w:line="276" w:lineRule="auto"/>
              <w:jc w:val="center"/>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Cheltuieli</w:t>
            </w:r>
          </w:p>
        </w:tc>
        <w:tc>
          <w:tcPr>
            <w:tcW w:w="1133" w:type="dxa"/>
            <w:vMerge w:val="restart"/>
          </w:tcPr>
          <w:p w:rsidR="008A4DF8" w:rsidRPr="00606103" w:rsidRDefault="008A4DF8" w:rsidP="00552746">
            <w:pPr>
              <w:spacing w:line="276" w:lineRule="auto"/>
              <w:ind w:left="-11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Aprobat pe an</w:t>
            </w:r>
          </w:p>
        </w:tc>
        <w:tc>
          <w:tcPr>
            <w:tcW w:w="1133" w:type="dxa"/>
            <w:vMerge w:val="restart"/>
          </w:tcPr>
          <w:p w:rsidR="008A4DF8" w:rsidRPr="00606103" w:rsidRDefault="008A4DF8" w:rsidP="00552746">
            <w:pPr>
              <w:spacing w:line="276" w:lineRule="auto"/>
              <w:ind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Precizat pe an</w:t>
            </w:r>
          </w:p>
        </w:tc>
        <w:tc>
          <w:tcPr>
            <w:tcW w:w="1134" w:type="dxa"/>
            <w:vMerge w:val="restart"/>
          </w:tcPr>
          <w:p w:rsidR="008A4DF8" w:rsidRPr="00606103" w:rsidRDefault="008A4DF8" w:rsidP="00552746">
            <w:pPr>
              <w:spacing w:line="276" w:lineRule="auto"/>
              <w:ind w:left="-117" w:right="-12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Executat în anul 2021</w:t>
            </w:r>
          </w:p>
        </w:tc>
        <w:tc>
          <w:tcPr>
            <w:tcW w:w="2272" w:type="dxa"/>
            <w:gridSpan w:val="2"/>
          </w:tcPr>
          <w:p w:rsidR="008A4DF8" w:rsidRPr="00606103" w:rsidRDefault="008A4DF8" w:rsidP="00552746">
            <w:pPr>
              <w:spacing w:line="276" w:lineRule="auto"/>
              <w:ind w:left="-8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Executat față de precizat pe an</w:t>
            </w:r>
          </w:p>
        </w:tc>
        <w:tc>
          <w:tcPr>
            <w:tcW w:w="1135" w:type="dxa"/>
            <w:vMerge w:val="restart"/>
          </w:tcPr>
          <w:p w:rsidR="008A4DF8" w:rsidRPr="00606103" w:rsidRDefault="008A4DF8" w:rsidP="00552746">
            <w:pPr>
              <w:spacing w:line="276" w:lineRule="auto"/>
              <w:ind w:left="-98" w:right="-11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Executat în anul 2020</w:t>
            </w:r>
          </w:p>
        </w:tc>
        <w:tc>
          <w:tcPr>
            <w:tcW w:w="2278" w:type="dxa"/>
            <w:gridSpan w:val="3"/>
          </w:tcPr>
          <w:p w:rsidR="008A4DF8" w:rsidRPr="00606103" w:rsidRDefault="008A4DF8" w:rsidP="0055274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Executat anul curent față de precedent</w:t>
            </w:r>
          </w:p>
        </w:tc>
      </w:tr>
      <w:tr w:rsidR="008A4DF8"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vMerge/>
          </w:tcPr>
          <w:p w:rsidR="008A4DF8" w:rsidRPr="00606103" w:rsidRDefault="008A4DF8" w:rsidP="00552746">
            <w:pPr>
              <w:spacing w:line="276" w:lineRule="auto"/>
              <w:jc w:val="center"/>
              <w:rPr>
                <w:rFonts w:asciiTheme="majorHAnsi" w:eastAsia="Times New Roman" w:hAnsiTheme="majorHAnsi" w:cstheme="majorHAnsi"/>
                <w:sz w:val="20"/>
                <w:szCs w:val="20"/>
                <w:lang w:val="ro-MD" w:eastAsia="ru-RU"/>
              </w:rPr>
            </w:pPr>
          </w:p>
        </w:tc>
        <w:tc>
          <w:tcPr>
            <w:tcW w:w="1133" w:type="dxa"/>
            <w:vMerge/>
          </w:tcPr>
          <w:p w:rsidR="008A4DF8" w:rsidRPr="00606103" w:rsidRDefault="008A4DF8"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p>
        </w:tc>
        <w:tc>
          <w:tcPr>
            <w:tcW w:w="1133" w:type="dxa"/>
            <w:vMerge/>
          </w:tcPr>
          <w:p w:rsidR="008A4DF8" w:rsidRPr="00606103" w:rsidRDefault="008A4DF8"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p>
        </w:tc>
        <w:tc>
          <w:tcPr>
            <w:tcW w:w="1134" w:type="dxa"/>
            <w:vMerge/>
          </w:tcPr>
          <w:p w:rsidR="008A4DF8" w:rsidRPr="00606103" w:rsidRDefault="008A4DF8"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p>
        </w:tc>
        <w:tc>
          <w:tcPr>
            <w:tcW w:w="1134" w:type="dxa"/>
          </w:tcPr>
          <w:p w:rsidR="008A4DF8" w:rsidRPr="00606103" w:rsidRDefault="008A4DF8" w:rsidP="00552746">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devieri (+/-)</w:t>
            </w:r>
          </w:p>
        </w:tc>
        <w:tc>
          <w:tcPr>
            <w:tcW w:w="1138" w:type="dxa"/>
          </w:tcPr>
          <w:p w:rsidR="008A4DF8" w:rsidRPr="00606103" w:rsidRDefault="008A4DF8"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în %</w:t>
            </w:r>
          </w:p>
        </w:tc>
        <w:tc>
          <w:tcPr>
            <w:tcW w:w="1135" w:type="dxa"/>
            <w:vMerge/>
          </w:tcPr>
          <w:p w:rsidR="008A4DF8" w:rsidRPr="00606103" w:rsidRDefault="008A4DF8" w:rsidP="00552746">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p>
        </w:tc>
        <w:tc>
          <w:tcPr>
            <w:tcW w:w="1134" w:type="dxa"/>
          </w:tcPr>
          <w:p w:rsidR="008A4DF8" w:rsidRPr="00606103" w:rsidRDefault="008A4DF8" w:rsidP="00552746">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devieri (+/-)</w:t>
            </w:r>
          </w:p>
        </w:tc>
        <w:tc>
          <w:tcPr>
            <w:tcW w:w="1134" w:type="dxa"/>
          </w:tcPr>
          <w:p w:rsidR="008A4DF8" w:rsidRPr="00606103" w:rsidRDefault="008A4DF8"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în %</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ind w:right="-105"/>
              <w:jc w:val="center"/>
              <w:rPr>
                <w:rFonts w:asciiTheme="majorHAnsi" w:eastAsia="Times New Roman" w:hAnsiTheme="majorHAnsi" w:cstheme="majorHAnsi"/>
                <w:b w:val="0"/>
                <w:i/>
                <w:sz w:val="16"/>
                <w:szCs w:val="16"/>
                <w:lang w:val="ro-MD" w:eastAsia="ru-RU"/>
              </w:rPr>
            </w:pPr>
            <w:r w:rsidRPr="00606103">
              <w:rPr>
                <w:rFonts w:asciiTheme="majorHAnsi" w:eastAsia="Times New Roman" w:hAnsiTheme="majorHAnsi" w:cstheme="majorHAnsi"/>
                <w:b w:val="0"/>
                <w:i/>
                <w:sz w:val="16"/>
                <w:szCs w:val="16"/>
                <w:lang w:val="ro-MD" w:eastAsia="ru-RU"/>
              </w:rPr>
              <w:t>1</w:t>
            </w:r>
          </w:p>
        </w:tc>
        <w:tc>
          <w:tcPr>
            <w:tcW w:w="11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MD" w:eastAsia="ru-RU"/>
              </w:rPr>
            </w:pPr>
            <w:r w:rsidRPr="00606103">
              <w:rPr>
                <w:rFonts w:asciiTheme="majorHAnsi" w:eastAsia="Times New Roman" w:hAnsiTheme="majorHAnsi" w:cstheme="majorHAnsi"/>
                <w:i/>
                <w:sz w:val="16"/>
                <w:szCs w:val="16"/>
                <w:lang w:val="ro-MD" w:eastAsia="ru-RU"/>
              </w:rPr>
              <w:t>2</w:t>
            </w:r>
          </w:p>
        </w:tc>
        <w:tc>
          <w:tcPr>
            <w:tcW w:w="11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3</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MD" w:eastAsia="ru-RU"/>
              </w:rPr>
            </w:pPr>
            <w:r w:rsidRPr="00606103">
              <w:rPr>
                <w:rFonts w:asciiTheme="majorHAnsi" w:eastAsia="Times New Roman" w:hAnsiTheme="majorHAnsi" w:cstheme="majorHAnsi"/>
                <w:i/>
                <w:sz w:val="16"/>
                <w:szCs w:val="16"/>
                <w:lang w:val="ro-MD" w:eastAsia="ru-RU"/>
              </w:rPr>
              <w:t>4</w:t>
            </w:r>
          </w:p>
        </w:tc>
        <w:tc>
          <w:tcPr>
            <w:tcW w:w="1134" w:type="dxa"/>
          </w:tcPr>
          <w:p w:rsidR="00457A75" w:rsidRPr="00606103" w:rsidRDefault="00457A75" w:rsidP="00552746">
            <w:pPr>
              <w:spacing w:line="276" w:lineRule="auto"/>
              <w:ind w:left="-97" w:right="-3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o-MD"/>
              </w:rPr>
            </w:pPr>
            <w:r w:rsidRPr="00606103">
              <w:rPr>
                <w:rFonts w:asciiTheme="majorHAnsi" w:eastAsia="Times New Roman" w:hAnsiTheme="majorHAnsi" w:cstheme="majorHAnsi"/>
                <w:bCs/>
                <w:i/>
                <w:color w:val="000000"/>
                <w:sz w:val="16"/>
                <w:szCs w:val="16"/>
                <w:lang w:val="ro-MD"/>
              </w:rPr>
              <w:t>5=4-3</w:t>
            </w:r>
          </w:p>
        </w:tc>
        <w:tc>
          <w:tcPr>
            <w:tcW w:w="1138"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606103">
              <w:rPr>
                <w:rFonts w:asciiTheme="majorHAnsi" w:hAnsiTheme="majorHAnsi" w:cstheme="majorHAnsi"/>
                <w:i/>
                <w:sz w:val="16"/>
                <w:szCs w:val="16"/>
                <w:lang w:val="ro-MD"/>
              </w:rPr>
              <w:t>6=4/3*100</w:t>
            </w:r>
          </w:p>
        </w:tc>
        <w:tc>
          <w:tcPr>
            <w:tcW w:w="1135" w:type="dxa"/>
          </w:tcPr>
          <w:p w:rsidR="00457A75" w:rsidRPr="00606103" w:rsidRDefault="00457A75" w:rsidP="00552746">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606103">
              <w:rPr>
                <w:rFonts w:asciiTheme="majorHAnsi" w:hAnsiTheme="majorHAnsi" w:cstheme="majorHAnsi"/>
                <w:i/>
                <w:sz w:val="16"/>
                <w:szCs w:val="16"/>
                <w:lang w:val="ro-MD"/>
              </w:rPr>
              <w:t>7</w:t>
            </w:r>
          </w:p>
        </w:tc>
        <w:tc>
          <w:tcPr>
            <w:tcW w:w="1134" w:type="dxa"/>
          </w:tcPr>
          <w:p w:rsidR="00457A75" w:rsidRPr="00606103" w:rsidRDefault="00457A75" w:rsidP="00552746">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606103">
              <w:rPr>
                <w:rFonts w:asciiTheme="majorHAnsi" w:hAnsiTheme="majorHAnsi" w:cstheme="majorHAnsi"/>
                <w:i/>
                <w:sz w:val="16"/>
                <w:szCs w:val="16"/>
                <w:lang w:val="ro-MD"/>
              </w:rPr>
              <w:t>8=4-7</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606103">
              <w:rPr>
                <w:rFonts w:asciiTheme="majorHAnsi" w:hAnsiTheme="majorHAnsi" w:cstheme="majorHAnsi"/>
                <w:i/>
                <w:sz w:val="16"/>
                <w:szCs w:val="16"/>
                <w:lang w:val="ro-MD"/>
              </w:rPr>
              <w:t>9=4/7*100</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ind w:right="-105"/>
              <w:jc w:val="left"/>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CHELTUIELI ȘI ACTIVE NEFINANCIARE, total:</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b/>
                <w:sz w:val="20"/>
                <w:szCs w:val="20"/>
                <w:lang w:val="ro-MD" w:eastAsia="ru-RU"/>
              </w:rPr>
              <w:t>55.399,6</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57.656,8</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54.116,9</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-3.539,9</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93.9</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49.635,4</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4.481,5</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109,0</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ind w:right="-105"/>
              <w:jc w:val="left"/>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 xml:space="preserve">CHELTUIELI, total, </w:t>
            </w:r>
            <w:r w:rsidRPr="00606103">
              <w:rPr>
                <w:rFonts w:asciiTheme="majorHAnsi" w:eastAsia="Times New Roman" w:hAnsiTheme="majorHAnsi" w:cstheme="majorHAnsi"/>
                <w:b w:val="0"/>
                <w:i/>
                <w:sz w:val="20"/>
                <w:szCs w:val="20"/>
                <w:lang w:val="ro-MD" w:eastAsia="ru-RU"/>
              </w:rPr>
              <w:t>din care:</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51.408,5</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52.692,0</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50.370,1</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-2.321,9</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95.6</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46.077,9</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4.292,2</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109,3</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Cheltuieli de personal</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7.673,6</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7.958,2</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7.803,8</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-154,4</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98.1</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7.040,6</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sz w:val="20"/>
                <w:szCs w:val="20"/>
                <w:lang w:val="ro-MD" w:eastAsia="ru-RU"/>
              </w:rPr>
              <w:t>763,2</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110,8</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Bunuri și servicii</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2.481,3</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2.154,4</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1.832,3</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-322,2</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85.0</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1.666,3</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sz w:val="20"/>
                <w:szCs w:val="20"/>
                <w:lang w:val="ro-MD" w:eastAsia="ru-RU"/>
              </w:rPr>
              <w:t>166,0</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110,0</w:t>
            </w:r>
          </w:p>
        </w:tc>
      </w:tr>
      <w:tr w:rsidR="00457A75" w:rsidRPr="00606103" w:rsidTr="00452DB2">
        <w:trPr>
          <w:gridAfter w:val="1"/>
          <w:wAfter w:w="10" w:type="dxa"/>
          <w:trHeight w:val="58"/>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Dobânzi</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2.126,0</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1.917,7</w:t>
            </w:r>
          </w:p>
        </w:tc>
        <w:tc>
          <w:tcPr>
            <w:tcW w:w="1134" w:type="dxa"/>
          </w:tcPr>
          <w:p w:rsidR="00457A75" w:rsidRPr="00606103" w:rsidRDefault="00A30401"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Pr>
                <w:rFonts w:asciiTheme="majorHAnsi" w:eastAsia="Times New Roman" w:hAnsiTheme="majorHAnsi" w:cstheme="majorHAnsi"/>
                <w:sz w:val="20"/>
                <w:szCs w:val="20"/>
                <w:lang w:val="ro-MD" w:eastAsia="ru-RU"/>
              </w:rPr>
              <w:t>1.897,2</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-20,5</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98.9</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1.684,2</w:t>
            </w:r>
          </w:p>
        </w:tc>
        <w:tc>
          <w:tcPr>
            <w:tcW w:w="1134" w:type="dxa"/>
          </w:tcPr>
          <w:p w:rsidR="00457A75" w:rsidRPr="00606103" w:rsidRDefault="00A30401"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Pr>
                <w:rFonts w:asciiTheme="majorHAnsi" w:eastAsia="Times New Roman" w:hAnsiTheme="majorHAnsi" w:cstheme="majorHAnsi"/>
                <w:sz w:val="20"/>
                <w:szCs w:val="20"/>
                <w:lang w:val="ro-MD" w:eastAsia="ru-RU"/>
              </w:rPr>
              <w:t>213,0</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112,7</w:t>
            </w:r>
          </w:p>
        </w:tc>
      </w:tr>
      <w:tr w:rsidR="00457A75" w:rsidRPr="00606103" w:rsidTr="00452DB2">
        <w:trPr>
          <w:gridAfter w:val="1"/>
          <w:wAfter w:w="10" w:type="dxa"/>
          <w:trHeight w:val="58"/>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Subvenții</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3.449,2</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3.620,8</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3.344,1</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-276,7</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92.4</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5.102,1</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sz w:val="20"/>
                <w:szCs w:val="20"/>
                <w:lang w:val="ro-MD" w:eastAsia="ru-RU"/>
              </w:rPr>
              <w:t>-1.758,0</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65,5</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Granturi acordate</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762,2</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748,8</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688,6</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-60,2</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92.0</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248,5</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sz w:val="20"/>
                <w:szCs w:val="20"/>
                <w:lang w:val="ro-MD" w:eastAsia="ru-RU"/>
              </w:rPr>
              <w:t>440,1</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277,1</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Prestații sociale</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461,4</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737,9</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655,9</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-82,0</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88.9</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518,7</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sz w:val="20"/>
                <w:szCs w:val="20"/>
                <w:lang w:val="ro-MD" w:eastAsia="ru-RU"/>
              </w:rPr>
              <w:t>137,2</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126,5</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Alte cheltuieli</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3.962,7</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3.764,2</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2.979,4</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-784,8</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79.2</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2.896,6</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sz w:val="20"/>
                <w:szCs w:val="20"/>
                <w:lang w:val="ro-MD" w:eastAsia="ru-RU"/>
              </w:rPr>
              <w:t>82,8</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102,9</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Transferuri acordate în cadrul BPN</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30.492,1</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31.790,0</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31.168,8</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-621,1</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98.0</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26.921,0</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sz w:val="20"/>
                <w:szCs w:val="20"/>
                <w:lang w:val="ro-MD" w:eastAsia="ru-RU"/>
              </w:rPr>
              <w:t>4.247,8</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115,8</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2DB2" w:rsidP="00552746">
            <w:pPr>
              <w:spacing w:line="276" w:lineRule="auto"/>
              <w:ind w:right="-115"/>
              <w:jc w:val="left"/>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 xml:space="preserve">ACTIVE NEFINANCIARE, </w:t>
            </w:r>
            <w:r w:rsidR="00457A75" w:rsidRPr="00606103">
              <w:rPr>
                <w:rFonts w:asciiTheme="majorHAnsi" w:eastAsia="Times New Roman" w:hAnsiTheme="majorHAnsi" w:cstheme="majorHAnsi"/>
                <w:b w:val="0"/>
                <w:i/>
                <w:sz w:val="20"/>
                <w:szCs w:val="20"/>
                <w:lang w:val="ro-MD" w:eastAsia="ru-RU"/>
              </w:rPr>
              <w:t>din care:</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3.991,1</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4.964,8</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3.746,8</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-1.218,0</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75.5</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3.557,5</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189,3</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MD" w:eastAsia="ru-RU"/>
              </w:rPr>
            </w:pPr>
            <w:r w:rsidRPr="00606103">
              <w:rPr>
                <w:rFonts w:asciiTheme="majorHAnsi" w:eastAsia="Times New Roman" w:hAnsiTheme="majorHAnsi" w:cstheme="majorHAnsi"/>
                <w:b/>
                <w:i/>
                <w:sz w:val="20"/>
                <w:szCs w:val="20"/>
                <w:lang w:val="ro-MD" w:eastAsia="ru-RU"/>
              </w:rPr>
              <w:t>105,3</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 xml:space="preserve">Mijloace fixe, </w:t>
            </w:r>
            <w:r w:rsidRPr="00606103">
              <w:rPr>
                <w:rFonts w:asciiTheme="majorHAnsi" w:eastAsia="Times New Roman" w:hAnsiTheme="majorHAnsi" w:cstheme="majorHAnsi"/>
                <w:b w:val="0"/>
                <w:i/>
                <w:sz w:val="20"/>
                <w:szCs w:val="20"/>
                <w:lang w:val="ro-MD" w:eastAsia="ru-RU"/>
              </w:rPr>
              <w:t>inclusiv:</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2.944,9</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3.745,4</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2.783,4</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-962,1</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74.3</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2.647,3</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136,1</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105,1</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ind w:left="456" w:right="-114"/>
              <w:jc w:val="left"/>
              <w:rPr>
                <w:rFonts w:asciiTheme="majorHAnsi" w:eastAsia="Times New Roman" w:hAnsiTheme="majorHAnsi" w:cstheme="majorHAnsi"/>
                <w:b w:val="0"/>
                <w:i/>
                <w:sz w:val="20"/>
                <w:szCs w:val="20"/>
                <w:lang w:val="ro-MD" w:eastAsia="ru-RU"/>
              </w:rPr>
            </w:pPr>
            <w:r w:rsidRPr="00606103">
              <w:rPr>
                <w:rFonts w:asciiTheme="majorHAnsi" w:eastAsia="Times New Roman" w:hAnsiTheme="majorHAnsi" w:cstheme="majorHAnsi"/>
                <w:b w:val="0"/>
                <w:i/>
                <w:sz w:val="20"/>
                <w:szCs w:val="20"/>
                <w:lang w:val="ro-MD" w:eastAsia="ru-RU"/>
              </w:rPr>
              <w:t>investiții capitale în active în curs de execuție</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u-RU"/>
              </w:rPr>
            </w:pPr>
            <w:r w:rsidRPr="00606103">
              <w:rPr>
                <w:rFonts w:asciiTheme="majorHAnsi" w:eastAsia="Times New Roman" w:hAnsiTheme="majorHAnsi" w:cstheme="majorHAnsi"/>
                <w:i/>
                <w:sz w:val="20"/>
                <w:szCs w:val="20"/>
                <w:lang w:val="ro-MD" w:eastAsia="ru-RU"/>
              </w:rPr>
              <w:t>1.648,1</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u-RU"/>
              </w:rPr>
            </w:pPr>
            <w:r w:rsidRPr="00606103">
              <w:rPr>
                <w:rFonts w:asciiTheme="majorHAnsi" w:eastAsia="Times New Roman" w:hAnsiTheme="majorHAnsi" w:cstheme="majorHAnsi"/>
                <w:i/>
                <w:sz w:val="20"/>
                <w:szCs w:val="20"/>
                <w:lang w:val="ro-MD" w:eastAsia="ru-RU"/>
              </w:rPr>
              <w:t>2.257,2</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u-RU"/>
              </w:rPr>
            </w:pPr>
            <w:r w:rsidRPr="00606103">
              <w:rPr>
                <w:rFonts w:asciiTheme="majorHAnsi" w:eastAsia="Times New Roman" w:hAnsiTheme="majorHAnsi" w:cstheme="majorHAnsi"/>
                <w:i/>
                <w:sz w:val="20"/>
                <w:szCs w:val="20"/>
                <w:lang w:val="ro-MD" w:eastAsia="ru-RU"/>
              </w:rPr>
              <w:t>1.665,2</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u-RU"/>
              </w:rPr>
            </w:pPr>
            <w:r w:rsidRPr="00606103">
              <w:rPr>
                <w:rFonts w:asciiTheme="majorHAnsi" w:eastAsia="Times New Roman" w:hAnsiTheme="majorHAnsi" w:cstheme="majorHAnsi"/>
                <w:i/>
                <w:sz w:val="20"/>
                <w:szCs w:val="20"/>
                <w:lang w:val="ro-MD" w:eastAsia="ru-RU"/>
              </w:rPr>
              <w:t>-592,0</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u-RU"/>
              </w:rPr>
            </w:pPr>
            <w:r w:rsidRPr="00606103">
              <w:rPr>
                <w:rFonts w:asciiTheme="majorHAnsi" w:eastAsia="Times New Roman" w:hAnsiTheme="majorHAnsi" w:cstheme="majorHAnsi"/>
                <w:i/>
                <w:sz w:val="20"/>
                <w:szCs w:val="20"/>
                <w:lang w:val="ro-MD" w:eastAsia="ru-RU"/>
              </w:rPr>
              <w:t>73.8</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u-RU"/>
              </w:rPr>
            </w:pPr>
            <w:r w:rsidRPr="00606103">
              <w:rPr>
                <w:rFonts w:asciiTheme="majorHAnsi" w:eastAsia="Times New Roman" w:hAnsiTheme="majorHAnsi" w:cstheme="majorHAnsi"/>
                <w:i/>
                <w:sz w:val="20"/>
                <w:szCs w:val="20"/>
                <w:lang w:val="ro-MD" w:eastAsia="ru-RU"/>
              </w:rPr>
              <w:t>1.524,2</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sz w:val="20"/>
                <w:szCs w:val="20"/>
                <w:lang w:val="ro-MD" w:eastAsia="ru-RU"/>
              </w:rPr>
            </w:pPr>
            <w:r w:rsidRPr="00606103">
              <w:rPr>
                <w:rFonts w:asciiTheme="majorHAnsi" w:eastAsia="Times New Roman" w:hAnsiTheme="majorHAnsi" w:cstheme="majorHAnsi"/>
                <w:i/>
                <w:sz w:val="20"/>
                <w:szCs w:val="20"/>
                <w:lang w:val="ro-MD" w:eastAsia="ru-RU"/>
              </w:rPr>
              <w:t>141,0</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eastAsia="ru-RU"/>
              </w:rPr>
            </w:pPr>
            <w:r w:rsidRPr="00606103">
              <w:rPr>
                <w:rFonts w:asciiTheme="majorHAnsi" w:eastAsia="Times New Roman" w:hAnsiTheme="majorHAnsi" w:cstheme="majorHAnsi"/>
                <w:i/>
                <w:sz w:val="20"/>
                <w:szCs w:val="20"/>
                <w:lang w:val="ro-MD" w:eastAsia="ru-RU"/>
              </w:rPr>
              <w:t>109,3</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Stocuri de materiale circulante</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1.032,3</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1.203,3</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949,6</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-253,7</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78.9</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895,9</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sz w:val="20"/>
                <w:szCs w:val="20"/>
                <w:lang w:val="ro-MD" w:eastAsia="ru-RU"/>
              </w:rPr>
              <w:t>53,7</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106,0</w:t>
            </w:r>
          </w:p>
        </w:tc>
      </w:tr>
      <w:tr w:rsidR="00457A75" w:rsidRPr="00606103" w:rsidTr="00D27FF6">
        <w:trPr>
          <w:gridAfter w:val="1"/>
          <w:wAfter w:w="10" w:type="dxa"/>
          <w:trHeight w:val="50"/>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Producție în curs de execuție, produse și producție finită, animale tinere de îngrășat</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-4,3</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-4,2</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-6,0</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-1,8</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142.7</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-4,8</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sz w:val="20"/>
                <w:szCs w:val="20"/>
                <w:lang w:val="ro-MD" w:eastAsia="ru-RU"/>
              </w:rPr>
              <w:t>-1,2</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124,5</w:t>
            </w:r>
          </w:p>
        </w:tc>
      </w:tr>
      <w:tr w:rsidR="00457A75" w:rsidRPr="00606103" w:rsidTr="00D27FF6">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Mărfuri</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18,1</w:t>
            </w:r>
          </w:p>
        </w:tc>
        <w:tc>
          <w:tcPr>
            <w:tcW w:w="1133"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20,3</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19,8</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-0,5</w:t>
            </w:r>
          </w:p>
        </w:tc>
        <w:tc>
          <w:tcPr>
            <w:tcW w:w="1138"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97.6</w:t>
            </w:r>
          </w:p>
        </w:tc>
        <w:tc>
          <w:tcPr>
            <w:tcW w:w="1135"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19,0</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sz w:val="20"/>
                <w:szCs w:val="20"/>
                <w:lang w:val="ro-MD" w:eastAsia="ru-RU"/>
              </w:rPr>
              <w:t>0,8</w:t>
            </w:r>
          </w:p>
        </w:tc>
        <w:tc>
          <w:tcPr>
            <w:tcW w:w="1134" w:type="dxa"/>
          </w:tcPr>
          <w:p w:rsidR="00457A75" w:rsidRPr="00606103" w:rsidRDefault="00457A75" w:rsidP="00552746">
            <w:pPr>
              <w:spacing w:line="276" w:lineRule="auto"/>
              <w:ind w:right="-10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104,3</w:t>
            </w:r>
          </w:p>
        </w:tc>
      </w:tr>
    </w:tbl>
    <w:p w:rsidR="00457A75" w:rsidRPr="00606103" w:rsidRDefault="00457A75" w:rsidP="00FE3F3B">
      <w:pPr>
        <w:spacing w:after="0" w:line="276" w:lineRule="auto"/>
        <w:rPr>
          <w:rFonts w:asciiTheme="majorHAnsi" w:eastAsia="Times New Roman" w:hAnsiTheme="majorHAnsi" w:cstheme="majorHAnsi"/>
          <w:i/>
          <w:sz w:val="20"/>
          <w:szCs w:val="24"/>
          <w:lang w:val="ro-MD" w:eastAsia="ru-RU"/>
        </w:rPr>
      </w:pPr>
      <w:r w:rsidRPr="00606103">
        <w:rPr>
          <w:rFonts w:asciiTheme="majorHAnsi" w:eastAsia="Times New Roman" w:hAnsiTheme="majorHAnsi" w:cstheme="majorHAnsi"/>
          <w:b/>
          <w:i/>
          <w:sz w:val="20"/>
          <w:szCs w:val="24"/>
          <w:lang w:val="ro-MD" w:eastAsia="ru-RU"/>
        </w:rPr>
        <w:t>Sursă:</w:t>
      </w:r>
      <w:r w:rsidRPr="00606103">
        <w:rPr>
          <w:rFonts w:asciiTheme="majorHAnsi" w:eastAsia="Times New Roman" w:hAnsiTheme="majorHAnsi" w:cstheme="majorHAnsi"/>
          <w:i/>
          <w:sz w:val="20"/>
          <w:szCs w:val="24"/>
          <w:lang w:val="ro-MD" w:eastAsia="ru-RU"/>
        </w:rPr>
        <w:t xml:space="preserve"> Date generalizate de echipa de audit conform Raportului privind executarea bugetului de stat pe anul 2021, Formularul nr.8.</w:t>
      </w:r>
    </w:p>
    <w:p w:rsidR="006863AC" w:rsidRDefault="006863AC" w:rsidP="002102A8">
      <w:pPr>
        <w:spacing w:after="0" w:line="276" w:lineRule="auto"/>
        <w:jc w:val="right"/>
        <w:rPr>
          <w:rFonts w:asciiTheme="majorHAnsi" w:eastAsia="Times New Roman" w:hAnsiTheme="majorHAnsi" w:cstheme="majorHAnsi"/>
          <w:b/>
          <w:sz w:val="24"/>
          <w:szCs w:val="24"/>
          <w:lang w:val="ro-MD"/>
        </w:rPr>
      </w:pPr>
    </w:p>
    <w:p w:rsidR="006863AC" w:rsidRDefault="006863AC" w:rsidP="002102A8">
      <w:pPr>
        <w:spacing w:after="0" w:line="276" w:lineRule="auto"/>
        <w:jc w:val="right"/>
        <w:rPr>
          <w:rFonts w:asciiTheme="majorHAnsi" w:eastAsia="Times New Roman" w:hAnsiTheme="majorHAnsi" w:cstheme="majorHAnsi"/>
          <w:b/>
          <w:sz w:val="24"/>
          <w:szCs w:val="24"/>
          <w:lang w:val="ro-MD"/>
        </w:rPr>
      </w:pPr>
    </w:p>
    <w:p w:rsidR="006863AC" w:rsidRDefault="006863AC" w:rsidP="002102A8">
      <w:pPr>
        <w:spacing w:after="0" w:line="276" w:lineRule="auto"/>
        <w:jc w:val="right"/>
        <w:rPr>
          <w:rFonts w:asciiTheme="majorHAnsi" w:eastAsia="Times New Roman" w:hAnsiTheme="majorHAnsi" w:cstheme="majorHAnsi"/>
          <w:b/>
          <w:sz w:val="24"/>
          <w:szCs w:val="24"/>
          <w:lang w:val="ro-MD"/>
        </w:rPr>
      </w:pPr>
    </w:p>
    <w:p w:rsidR="006863AC" w:rsidRDefault="006863AC" w:rsidP="002102A8">
      <w:pPr>
        <w:spacing w:after="0" w:line="276" w:lineRule="auto"/>
        <w:jc w:val="right"/>
        <w:rPr>
          <w:rFonts w:asciiTheme="majorHAnsi" w:eastAsia="Times New Roman" w:hAnsiTheme="majorHAnsi" w:cstheme="majorHAnsi"/>
          <w:b/>
          <w:sz w:val="24"/>
          <w:szCs w:val="24"/>
          <w:lang w:val="ro-MD"/>
        </w:rPr>
      </w:pPr>
    </w:p>
    <w:p w:rsidR="006863AC" w:rsidRDefault="006863AC" w:rsidP="002102A8">
      <w:pPr>
        <w:spacing w:after="0" w:line="276" w:lineRule="auto"/>
        <w:jc w:val="right"/>
        <w:rPr>
          <w:rFonts w:asciiTheme="majorHAnsi" w:eastAsia="Times New Roman" w:hAnsiTheme="majorHAnsi" w:cstheme="majorHAnsi"/>
          <w:b/>
          <w:sz w:val="24"/>
          <w:szCs w:val="24"/>
          <w:lang w:val="ro-MD"/>
        </w:rPr>
      </w:pPr>
    </w:p>
    <w:p w:rsidR="006863AC" w:rsidRDefault="006863AC" w:rsidP="002102A8">
      <w:pPr>
        <w:spacing w:after="0" w:line="276" w:lineRule="auto"/>
        <w:jc w:val="right"/>
        <w:rPr>
          <w:rFonts w:asciiTheme="majorHAnsi" w:eastAsia="Times New Roman" w:hAnsiTheme="majorHAnsi" w:cstheme="majorHAnsi"/>
          <w:b/>
          <w:sz w:val="24"/>
          <w:szCs w:val="24"/>
          <w:lang w:val="ro-MD"/>
        </w:rPr>
      </w:pPr>
    </w:p>
    <w:p w:rsidR="006863AC" w:rsidRDefault="006863AC" w:rsidP="002102A8">
      <w:pPr>
        <w:spacing w:after="0" w:line="276" w:lineRule="auto"/>
        <w:jc w:val="right"/>
        <w:rPr>
          <w:rFonts w:asciiTheme="majorHAnsi" w:eastAsia="Times New Roman" w:hAnsiTheme="majorHAnsi" w:cstheme="majorHAnsi"/>
          <w:b/>
          <w:sz w:val="24"/>
          <w:szCs w:val="24"/>
          <w:lang w:val="ro-MD"/>
        </w:rPr>
      </w:pPr>
    </w:p>
    <w:p w:rsidR="006863AC" w:rsidRDefault="006863AC" w:rsidP="002102A8">
      <w:pPr>
        <w:spacing w:after="0" w:line="276" w:lineRule="auto"/>
        <w:jc w:val="right"/>
        <w:rPr>
          <w:rFonts w:asciiTheme="majorHAnsi" w:eastAsia="Times New Roman" w:hAnsiTheme="majorHAnsi" w:cstheme="majorHAnsi"/>
          <w:b/>
          <w:sz w:val="24"/>
          <w:szCs w:val="24"/>
          <w:lang w:val="ro-MD"/>
        </w:rPr>
      </w:pPr>
    </w:p>
    <w:p w:rsidR="002102A8" w:rsidRPr="00606103" w:rsidRDefault="002102A8" w:rsidP="002102A8">
      <w:pPr>
        <w:spacing w:after="0" w:line="276" w:lineRule="auto"/>
        <w:jc w:val="right"/>
        <w:rPr>
          <w:rFonts w:asciiTheme="majorHAnsi" w:eastAsia="Times New Roman" w:hAnsiTheme="majorHAnsi" w:cstheme="majorHAnsi"/>
          <w:b/>
          <w:sz w:val="24"/>
          <w:szCs w:val="24"/>
          <w:lang w:val="ro-MD"/>
        </w:rPr>
      </w:pPr>
      <w:r w:rsidRPr="00606103">
        <w:rPr>
          <w:rFonts w:asciiTheme="majorHAnsi" w:eastAsia="Times New Roman" w:hAnsiTheme="majorHAnsi" w:cstheme="majorHAnsi"/>
          <w:b/>
          <w:sz w:val="24"/>
          <w:szCs w:val="24"/>
          <w:lang w:val="ro-MD"/>
        </w:rPr>
        <w:t>Anexa nr.13</w:t>
      </w:r>
    </w:p>
    <w:p w:rsidR="00457A75" w:rsidRPr="00606103" w:rsidRDefault="00457A75">
      <w:pPr>
        <w:spacing w:after="0" w:line="276" w:lineRule="auto"/>
        <w:jc w:val="center"/>
        <w:rPr>
          <w:rFonts w:asciiTheme="majorHAnsi" w:eastAsia="Times New Roman" w:hAnsiTheme="majorHAnsi" w:cstheme="majorHAnsi"/>
          <w:b/>
          <w:sz w:val="24"/>
          <w:szCs w:val="24"/>
          <w:lang w:val="ro-MD" w:eastAsia="ru-RU"/>
        </w:rPr>
      </w:pPr>
      <w:r w:rsidRPr="00606103">
        <w:rPr>
          <w:rFonts w:asciiTheme="majorHAnsi" w:eastAsia="Times New Roman" w:hAnsiTheme="majorHAnsi" w:cstheme="majorHAnsi"/>
          <w:b/>
          <w:sz w:val="24"/>
          <w:szCs w:val="24"/>
          <w:lang w:val="ro-MD" w:eastAsia="ru-RU"/>
        </w:rPr>
        <w:t xml:space="preserve">Analiza executării cheltuielilor bugetului de stat conform clasificației funcționale pe anul 2021, </w:t>
      </w:r>
    </w:p>
    <w:p w:rsidR="00457A75" w:rsidRPr="00606103" w:rsidRDefault="00457A75">
      <w:pPr>
        <w:spacing w:after="0" w:line="276" w:lineRule="auto"/>
        <w:jc w:val="center"/>
        <w:rPr>
          <w:rFonts w:asciiTheme="majorHAnsi" w:eastAsia="Times New Roman" w:hAnsiTheme="majorHAnsi" w:cstheme="majorHAnsi"/>
          <w:b/>
          <w:sz w:val="24"/>
          <w:szCs w:val="24"/>
          <w:lang w:val="ro-MD" w:eastAsia="ru-RU"/>
        </w:rPr>
      </w:pPr>
      <w:r w:rsidRPr="00606103">
        <w:rPr>
          <w:rFonts w:asciiTheme="majorHAnsi" w:eastAsia="Times New Roman" w:hAnsiTheme="majorHAnsi" w:cstheme="majorHAnsi"/>
          <w:b/>
          <w:sz w:val="24"/>
          <w:szCs w:val="24"/>
          <w:lang w:val="ro-MD" w:eastAsia="ru-RU"/>
        </w:rPr>
        <w:t>comparativ cu anul 2020</w:t>
      </w:r>
    </w:p>
    <w:p w:rsidR="00457A75" w:rsidRPr="00606103" w:rsidRDefault="00457A75">
      <w:pPr>
        <w:spacing w:after="0" w:line="276" w:lineRule="auto"/>
        <w:jc w:val="right"/>
        <w:rPr>
          <w:rFonts w:asciiTheme="majorHAnsi" w:eastAsia="Times New Roman" w:hAnsiTheme="majorHAnsi" w:cstheme="majorHAnsi"/>
          <w:i/>
          <w:sz w:val="24"/>
          <w:szCs w:val="24"/>
          <w:lang w:val="ro-MD" w:eastAsia="ru-RU"/>
        </w:rPr>
      </w:pPr>
      <w:r w:rsidRPr="00606103">
        <w:rPr>
          <w:rFonts w:asciiTheme="majorHAnsi" w:eastAsia="Times New Roman" w:hAnsiTheme="majorHAnsi" w:cstheme="majorHAnsi"/>
          <w:i/>
          <w:sz w:val="24"/>
          <w:szCs w:val="24"/>
          <w:lang w:val="ro-MD" w:eastAsia="ru-RU"/>
        </w:rPr>
        <w:t>(mil. lei)</w:t>
      </w:r>
    </w:p>
    <w:tbl>
      <w:tblPr>
        <w:tblStyle w:val="GridTable1Light12"/>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992"/>
        <w:gridCol w:w="1134"/>
        <w:gridCol w:w="1276"/>
        <w:gridCol w:w="992"/>
        <w:gridCol w:w="992"/>
        <w:gridCol w:w="993"/>
        <w:gridCol w:w="992"/>
        <w:gridCol w:w="1134"/>
        <w:gridCol w:w="992"/>
      </w:tblGrid>
      <w:tr w:rsidR="00584DBC" w:rsidRPr="00606103" w:rsidTr="00F57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vMerge w:val="restart"/>
            <w:vAlign w:val="center"/>
          </w:tcPr>
          <w:p w:rsidR="00584DBC" w:rsidRPr="00606103" w:rsidRDefault="00584DBC" w:rsidP="00552746">
            <w:pPr>
              <w:spacing w:line="276" w:lineRule="auto"/>
              <w:jc w:val="center"/>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br w:type="page"/>
              <w:t>Indicatori</w:t>
            </w:r>
          </w:p>
        </w:tc>
        <w:tc>
          <w:tcPr>
            <w:tcW w:w="992" w:type="dxa"/>
            <w:vMerge w:val="restart"/>
            <w:vAlign w:val="center"/>
          </w:tcPr>
          <w:p w:rsidR="00584DBC" w:rsidRPr="00606103" w:rsidRDefault="00584DBC" w:rsidP="00552746">
            <w:pPr>
              <w:spacing w:line="276" w:lineRule="auto"/>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Aprobat</w:t>
            </w:r>
          </w:p>
        </w:tc>
        <w:tc>
          <w:tcPr>
            <w:tcW w:w="1134" w:type="dxa"/>
            <w:vMerge w:val="restart"/>
            <w:vAlign w:val="center"/>
          </w:tcPr>
          <w:p w:rsidR="00584DBC" w:rsidRPr="00606103" w:rsidRDefault="00584DBC" w:rsidP="00552746">
            <w:pPr>
              <w:spacing w:line="276" w:lineRule="auto"/>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 xml:space="preserve">Precizat </w:t>
            </w:r>
          </w:p>
        </w:tc>
        <w:tc>
          <w:tcPr>
            <w:tcW w:w="1276" w:type="dxa"/>
            <w:vMerge w:val="restart"/>
            <w:vAlign w:val="center"/>
          </w:tcPr>
          <w:p w:rsidR="00584DBC" w:rsidRPr="00606103" w:rsidRDefault="00584DBC" w:rsidP="00552746">
            <w:pPr>
              <w:spacing w:line="276" w:lineRule="auto"/>
              <w:ind w:right="-10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 xml:space="preserve">Executat </w:t>
            </w:r>
            <w:r w:rsidR="003E6D1C" w:rsidRPr="00606103">
              <w:rPr>
                <w:rFonts w:asciiTheme="majorHAnsi" w:eastAsia="Times New Roman" w:hAnsiTheme="majorHAnsi" w:cstheme="majorHAnsi"/>
                <w:sz w:val="20"/>
                <w:szCs w:val="20"/>
                <w:lang w:val="ro-MD" w:eastAsia="ru-RU"/>
              </w:rPr>
              <w:t xml:space="preserve">în </w:t>
            </w:r>
            <w:r w:rsidRPr="00606103">
              <w:rPr>
                <w:rFonts w:asciiTheme="majorHAnsi" w:eastAsia="Times New Roman" w:hAnsiTheme="majorHAnsi" w:cstheme="majorHAnsi"/>
                <w:sz w:val="20"/>
                <w:szCs w:val="20"/>
                <w:lang w:val="ro-MD" w:eastAsia="ru-RU"/>
              </w:rPr>
              <w:t>anul 2021</w:t>
            </w:r>
          </w:p>
        </w:tc>
        <w:tc>
          <w:tcPr>
            <w:tcW w:w="992" w:type="dxa"/>
            <w:vMerge w:val="restart"/>
            <w:vAlign w:val="center"/>
          </w:tcPr>
          <w:p w:rsidR="00584DBC" w:rsidRPr="00606103" w:rsidRDefault="00584DBC" w:rsidP="00552746">
            <w:pPr>
              <w:spacing w:line="276" w:lineRule="auto"/>
              <w:ind w:left="-80" w:right="-106"/>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Ponderea în total cheltuieli</w:t>
            </w:r>
          </w:p>
        </w:tc>
        <w:tc>
          <w:tcPr>
            <w:tcW w:w="1985" w:type="dxa"/>
            <w:gridSpan w:val="2"/>
            <w:vAlign w:val="center"/>
          </w:tcPr>
          <w:p w:rsidR="00584DBC" w:rsidRPr="00606103" w:rsidRDefault="00584DBC" w:rsidP="00552746">
            <w:pPr>
              <w:spacing w:line="276" w:lineRule="auto"/>
              <w:ind w:left="-8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Executat față de precizat pe an</w:t>
            </w:r>
          </w:p>
        </w:tc>
        <w:tc>
          <w:tcPr>
            <w:tcW w:w="992" w:type="dxa"/>
            <w:vMerge w:val="restart"/>
            <w:vAlign w:val="center"/>
          </w:tcPr>
          <w:p w:rsidR="00584DBC" w:rsidRPr="00606103" w:rsidRDefault="00584DBC" w:rsidP="00552746">
            <w:pPr>
              <w:spacing w:line="276" w:lineRule="auto"/>
              <w:ind w:left="-9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 xml:space="preserve">Executat </w:t>
            </w:r>
          </w:p>
          <w:p w:rsidR="00584DBC" w:rsidRPr="00606103" w:rsidRDefault="00584DBC" w:rsidP="00552746">
            <w:pPr>
              <w:spacing w:line="276" w:lineRule="auto"/>
              <w:ind w:left="-9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în anul 2020</w:t>
            </w:r>
          </w:p>
        </w:tc>
        <w:tc>
          <w:tcPr>
            <w:tcW w:w="2126" w:type="dxa"/>
            <w:gridSpan w:val="2"/>
            <w:vAlign w:val="center"/>
          </w:tcPr>
          <w:p w:rsidR="00584DBC" w:rsidRPr="00606103" w:rsidRDefault="00584DBC" w:rsidP="0055274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Executat anul curent față de precedent</w:t>
            </w:r>
          </w:p>
        </w:tc>
      </w:tr>
      <w:tr w:rsidR="00584DBC" w:rsidRPr="00606103" w:rsidTr="00F57A31">
        <w:tc>
          <w:tcPr>
            <w:cnfStyle w:val="001000000000" w:firstRow="0" w:lastRow="0" w:firstColumn="1" w:lastColumn="0" w:oddVBand="0" w:evenVBand="0" w:oddHBand="0" w:evenHBand="0" w:firstRowFirstColumn="0" w:firstRowLastColumn="0" w:lastRowFirstColumn="0" w:lastRowLastColumn="0"/>
            <w:tcW w:w="4962" w:type="dxa"/>
            <w:vMerge/>
            <w:vAlign w:val="center"/>
          </w:tcPr>
          <w:p w:rsidR="00584DBC" w:rsidRPr="00606103" w:rsidRDefault="00584DBC" w:rsidP="00552746">
            <w:pPr>
              <w:spacing w:line="276" w:lineRule="auto"/>
              <w:jc w:val="center"/>
              <w:rPr>
                <w:rFonts w:asciiTheme="majorHAnsi" w:eastAsia="Times New Roman" w:hAnsiTheme="majorHAnsi" w:cstheme="majorHAnsi"/>
                <w:sz w:val="20"/>
                <w:szCs w:val="20"/>
                <w:lang w:val="ro-MD" w:eastAsia="ru-RU"/>
              </w:rPr>
            </w:pPr>
          </w:p>
        </w:tc>
        <w:tc>
          <w:tcPr>
            <w:tcW w:w="992" w:type="dxa"/>
            <w:vMerge/>
            <w:vAlign w:val="center"/>
          </w:tcPr>
          <w:p w:rsidR="00584DBC" w:rsidRPr="00606103" w:rsidRDefault="00584DBC"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p>
        </w:tc>
        <w:tc>
          <w:tcPr>
            <w:tcW w:w="1134" w:type="dxa"/>
            <w:vMerge/>
            <w:vAlign w:val="center"/>
          </w:tcPr>
          <w:p w:rsidR="00584DBC" w:rsidRPr="00606103" w:rsidRDefault="00584DBC"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p>
        </w:tc>
        <w:tc>
          <w:tcPr>
            <w:tcW w:w="1276" w:type="dxa"/>
            <w:vMerge/>
            <w:vAlign w:val="center"/>
          </w:tcPr>
          <w:p w:rsidR="00584DBC" w:rsidRPr="00606103" w:rsidRDefault="00584DBC"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p>
        </w:tc>
        <w:tc>
          <w:tcPr>
            <w:tcW w:w="992" w:type="dxa"/>
            <w:vMerge/>
          </w:tcPr>
          <w:p w:rsidR="00584DBC" w:rsidRPr="00606103" w:rsidRDefault="00584DBC" w:rsidP="00552746">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p>
        </w:tc>
        <w:tc>
          <w:tcPr>
            <w:tcW w:w="992" w:type="dxa"/>
            <w:vAlign w:val="center"/>
          </w:tcPr>
          <w:p w:rsidR="00584DBC" w:rsidRPr="00606103" w:rsidRDefault="00584DBC" w:rsidP="00552746">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devieri (+/-)</w:t>
            </w:r>
          </w:p>
        </w:tc>
        <w:tc>
          <w:tcPr>
            <w:tcW w:w="993" w:type="dxa"/>
            <w:vAlign w:val="center"/>
          </w:tcPr>
          <w:p w:rsidR="00584DBC" w:rsidRPr="00606103" w:rsidRDefault="00584DBC"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în %</w:t>
            </w:r>
          </w:p>
        </w:tc>
        <w:tc>
          <w:tcPr>
            <w:tcW w:w="992" w:type="dxa"/>
            <w:vMerge/>
            <w:vAlign w:val="center"/>
          </w:tcPr>
          <w:p w:rsidR="00584DBC" w:rsidRPr="00606103" w:rsidRDefault="00584DBC" w:rsidP="00552746">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p>
        </w:tc>
        <w:tc>
          <w:tcPr>
            <w:tcW w:w="1134" w:type="dxa"/>
            <w:vAlign w:val="center"/>
          </w:tcPr>
          <w:p w:rsidR="00584DBC" w:rsidRPr="00606103" w:rsidRDefault="00584DBC" w:rsidP="00552746">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devieri (+/-)</w:t>
            </w:r>
          </w:p>
        </w:tc>
        <w:tc>
          <w:tcPr>
            <w:tcW w:w="992" w:type="dxa"/>
            <w:vAlign w:val="center"/>
          </w:tcPr>
          <w:p w:rsidR="00584DBC" w:rsidRPr="00606103" w:rsidRDefault="00584DBC"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MD" w:eastAsia="ru-RU"/>
              </w:rPr>
            </w:pPr>
            <w:r w:rsidRPr="00606103">
              <w:rPr>
                <w:rFonts w:asciiTheme="majorHAnsi" w:eastAsia="Times New Roman" w:hAnsiTheme="majorHAnsi" w:cstheme="majorHAnsi"/>
                <w:b/>
                <w:sz w:val="20"/>
                <w:szCs w:val="20"/>
                <w:lang w:val="ro-MD" w:eastAsia="ru-RU"/>
              </w:rPr>
              <w:t>în %</w:t>
            </w:r>
          </w:p>
        </w:tc>
      </w:tr>
      <w:tr w:rsidR="00457A75" w:rsidRPr="00606103" w:rsidTr="00F57A31">
        <w:tc>
          <w:tcPr>
            <w:cnfStyle w:val="001000000000" w:firstRow="0" w:lastRow="0" w:firstColumn="1" w:lastColumn="0" w:oddVBand="0" w:evenVBand="0" w:oddHBand="0" w:evenHBand="0" w:firstRowFirstColumn="0" w:firstRowLastColumn="0" w:lastRowFirstColumn="0" w:lastRowLastColumn="0"/>
            <w:tcW w:w="4962" w:type="dxa"/>
          </w:tcPr>
          <w:p w:rsidR="00457A75" w:rsidRPr="00606103" w:rsidRDefault="00457A75" w:rsidP="00552746">
            <w:pPr>
              <w:spacing w:line="276" w:lineRule="auto"/>
              <w:ind w:right="-105"/>
              <w:jc w:val="center"/>
              <w:rPr>
                <w:rFonts w:asciiTheme="majorHAnsi" w:eastAsia="Times New Roman" w:hAnsiTheme="majorHAnsi" w:cstheme="majorHAnsi"/>
                <w:b w:val="0"/>
                <w:i/>
                <w:sz w:val="16"/>
                <w:szCs w:val="16"/>
                <w:lang w:val="ro-MD" w:eastAsia="ru-RU"/>
              </w:rPr>
            </w:pPr>
            <w:r w:rsidRPr="00606103">
              <w:rPr>
                <w:rFonts w:asciiTheme="majorHAnsi" w:eastAsia="Times New Roman" w:hAnsiTheme="majorHAnsi" w:cstheme="majorHAnsi"/>
                <w:b w:val="0"/>
                <w:i/>
                <w:sz w:val="16"/>
                <w:szCs w:val="16"/>
                <w:lang w:val="ro-MD" w:eastAsia="ru-RU"/>
              </w:rPr>
              <w:t>1</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2</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o-MD"/>
              </w:rPr>
            </w:pPr>
            <w:r w:rsidRPr="00606103">
              <w:rPr>
                <w:rFonts w:asciiTheme="majorHAnsi" w:eastAsia="Times New Roman" w:hAnsiTheme="majorHAnsi" w:cstheme="majorHAnsi"/>
                <w:i/>
                <w:color w:val="000000"/>
                <w:sz w:val="16"/>
                <w:szCs w:val="16"/>
                <w:lang w:val="ro-MD"/>
              </w:rPr>
              <w:t>3</w:t>
            </w:r>
          </w:p>
        </w:tc>
        <w:tc>
          <w:tcPr>
            <w:tcW w:w="1276"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MD" w:eastAsia="ru-RU"/>
              </w:rPr>
            </w:pPr>
            <w:r w:rsidRPr="00606103">
              <w:rPr>
                <w:rFonts w:asciiTheme="majorHAnsi" w:eastAsia="Times New Roman" w:hAnsiTheme="majorHAnsi" w:cstheme="majorHAnsi"/>
                <w:i/>
                <w:sz w:val="16"/>
                <w:szCs w:val="16"/>
                <w:lang w:val="ro-MD" w:eastAsia="ru-RU"/>
              </w:rPr>
              <w:t>4</w:t>
            </w:r>
          </w:p>
        </w:tc>
        <w:tc>
          <w:tcPr>
            <w:tcW w:w="992" w:type="dxa"/>
          </w:tcPr>
          <w:p w:rsidR="00457A75" w:rsidRPr="00606103" w:rsidRDefault="00457A75" w:rsidP="00552746">
            <w:pPr>
              <w:spacing w:line="276" w:lineRule="auto"/>
              <w:ind w:left="47" w:right="-3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o-MD"/>
              </w:rPr>
            </w:pPr>
            <w:r w:rsidRPr="00606103">
              <w:rPr>
                <w:rFonts w:asciiTheme="majorHAnsi" w:eastAsia="Times New Roman" w:hAnsiTheme="majorHAnsi" w:cstheme="majorHAnsi"/>
                <w:bCs/>
                <w:i/>
                <w:color w:val="000000"/>
                <w:sz w:val="16"/>
                <w:szCs w:val="16"/>
                <w:lang w:val="ro-MD"/>
              </w:rPr>
              <w:t>5</w:t>
            </w:r>
          </w:p>
        </w:tc>
        <w:tc>
          <w:tcPr>
            <w:tcW w:w="992" w:type="dxa"/>
          </w:tcPr>
          <w:p w:rsidR="00457A75" w:rsidRPr="00606103" w:rsidRDefault="00457A75" w:rsidP="00552746">
            <w:pPr>
              <w:spacing w:line="276" w:lineRule="auto"/>
              <w:ind w:left="-97" w:right="-3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o-MD"/>
              </w:rPr>
            </w:pPr>
            <w:r w:rsidRPr="00606103">
              <w:rPr>
                <w:rFonts w:asciiTheme="majorHAnsi" w:eastAsia="Times New Roman" w:hAnsiTheme="majorHAnsi" w:cstheme="majorHAnsi"/>
                <w:bCs/>
                <w:i/>
                <w:color w:val="000000"/>
                <w:sz w:val="16"/>
                <w:szCs w:val="16"/>
                <w:lang w:val="ro-MD"/>
              </w:rPr>
              <w:t>6=4-3</w:t>
            </w:r>
          </w:p>
        </w:tc>
        <w:tc>
          <w:tcPr>
            <w:tcW w:w="993" w:type="dxa"/>
          </w:tcPr>
          <w:p w:rsidR="00457A75" w:rsidRPr="00606103" w:rsidRDefault="00457A75" w:rsidP="00552746">
            <w:pPr>
              <w:spacing w:line="276" w:lineRule="auto"/>
              <w:ind w:left="-107" w:right="-11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606103">
              <w:rPr>
                <w:rFonts w:asciiTheme="majorHAnsi" w:hAnsiTheme="majorHAnsi" w:cstheme="majorHAnsi"/>
                <w:i/>
                <w:sz w:val="16"/>
                <w:szCs w:val="16"/>
                <w:lang w:val="ro-MD"/>
              </w:rPr>
              <w:t>7=4/3*100</w:t>
            </w:r>
          </w:p>
        </w:tc>
        <w:tc>
          <w:tcPr>
            <w:tcW w:w="992" w:type="dxa"/>
          </w:tcPr>
          <w:p w:rsidR="00457A75" w:rsidRPr="00606103" w:rsidRDefault="00457A75" w:rsidP="00552746">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606103">
              <w:rPr>
                <w:rFonts w:asciiTheme="majorHAnsi" w:hAnsiTheme="majorHAnsi" w:cstheme="majorHAnsi"/>
                <w:i/>
                <w:sz w:val="16"/>
                <w:szCs w:val="16"/>
                <w:lang w:val="ro-MD"/>
              </w:rPr>
              <w:t>8</w:t>
            </w:r>
          </w:p>
        </w:tc>
        <w:tc>
          <w:tcPr>
            <w:tcW w:w="1134" w:type="dxa"/>
          </w:tcPr>
          <w:p w:rsidR="00457A75" w:rsidRPr="00606103" w:rsidRDefault="00457A75" w:rsidP="00552746">
            <w:pPr>
              <w:spacing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606103">
              <w:rPr>
                <w:rFonts w:asciiTheme="majorHAnsi" w:hAnsiTheme="majorHAnsi" w:cstheme="majorHAnsi"/>
                <w:i/>
                <w:sz w:val="16"/>
                <w:szCs w:val="16"/>
                <w:lang w:val="ro-MD"/>
              </w:rPr>
              <w:t>9=4-8</w:t>
            </w:r>
          </w:p>
        </w:tc>
        <w:tc>
          <w:tcPr>
            <w:tcW w:w="992" w:type="dxa"/>
          </w:tcPr>
          <w:p w:rsidR="00457A75" w:rsidRPr="00606103" w:rsidRDefault="00457A75" w:rsidP="00552746">
            <w:pPr>
              <w:spacing w:line="276" w:lineRule="auto"/>
              <w:ind w:left="-10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o-MD"/>
              </w:rPr>
            </w:pPr>
            <w:r w:rsidRPr="00606103">
              <w:rPr>
                <w:rFonts w:asciiTheme="majorHAnsi" w:hAnsiTheme="majorHAnsi" w:cstheme="majorHAnsi"/>
                <w:i/>
                <w:sz w:val="16"/>
                <w:szCs w:val="16"/>
                <w:lang w:val="ro-MD"/>
              </w:rPr>
              <w:t>10=4/8*100</w:t>
            </w:r>
          </w:p>
        </w:tc>
      </w:tr>
      <w:tr w:rsidR="00457A75" w:rsidRPr="00606103" w:rsidTr="00F57A31">
        <w:tc>
          <w:tcPr>
            <w:cnfStyle w:val="001000000000" w:firstRow="0" w:lastRow="0" w:firstColumn="1" w:lastColumn="0" w:oddVBand="0" w:evenVBand="0" w:oddHBand="0" w:evenHBand="0" w:firstRowFirstColumn="0" w:firstRowLastColumn="0" w:lastRowFirstColumn="0" w:lastRowLastColumn="0"/>
            <w:tcW w:w="4962" w:type="dxa"/>
          </w:tcPr>
          <w:p w:rsidR="00457A75" w:rsidRPr="00606103" w:rsidRDefault="00457A75" w:rsidP="00552746">
            <w:pPr>
              <w:spacing w:line="276" w:lineRule="auto"/>
              <w:ind w:right="-105"/>
              <w:jc w:val="left"/>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CHELTUIELI, total:</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55.399,6</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57.656,8</w:t>
            </w:r>
          </w:p>
        </w:tc>
        <w:tc>
          <w:tcPr>
            <w:tcW w:w="1276"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54.116,9</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100,0</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-3.539,9</w:t>
            </w:r>
          </w:p>
        </w:tc>
        <w:tc>
          <w:tcPr>
            <w:tcW w:w="993"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93.9</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49.635,4</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rPr>
            </w:pPr>
            <w:r w:rsidRPr="00606103">
              <w:rPr>
                <w:rFonts w:asciiTheme="majorHAnsi" w:hAnsiTheme="majorHAnsi" w:cstheme="majorHAnsi"/>
                <w:b/>
                <w:color w:val="000000"/>
                <w:sz w:val="20"/>
                <w:szCs w:val="20"/>
                <w:lang w:val="ro-MD"/>
              </w:rPr>
              <w:t>4.481,5</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z w:val="20"/>
                <w:szCs w:val="20"/>
                <w:lang w:val="ro-MD"/>
              </w:rPr>
            </w:pPr>
            <w:r w:rsidRPr="00606103">
              <w:rPr>
                <w:rFonts w:asciiTheme="majorHAnsi" w:hAnsiTheme="majorHAnsi" w:cstheme="majorHAnsi"/>
                <w:b/>
                <w:color w:val="000000"/>
                <w:sz w:val="20"/>
                <w:szCs w:val="20"/>
                <w:lang w:val="ro-MD"/>
              </w:rPr>
              <w:t>109,0</w:t>
            </w:r>
          </w:p>
        </w:tc>
      </w:tr>
      <w:tr w:rsidR="00457A75" w:rsidRPr="00606103" w:rsidTr="00F57A31">
        <w:tc>
          <w:tcPr>
            <w:cnfStyle w:val="001000000000" w:firstRow="0" w:lastRow="0" w:firstColumn="1" w:lastColumn="0" w:oddVBand="0" w:evenVBand="0" w:oddHBand="0" w:evenHBand="0" w:firstRowFirstColumn="0" w:firstRowLastColumn="0" w:lastRowFirstColumn="0" w:lastRowLastColumn="0"/>
            <w:tcW w:w="4962" w:type="dxa"/>
          </w:tcPr>
          <w:p w:rsidR="00457A75" w:rsidRPr="00606103" w:rsidRDefault="00457A75" w:rsidP="00552746">
            <w:pPr>
              <w:spacing w:line="276" w:lineRule="auto"/>
              <w:ind w:right="37"/>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Servicii de stat cu destinație generală</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8.431,7</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8.774,4</w:t>
            </w:r>
          </w:p>
        </w:tc>
        <w:tc>
          <w:tcPr>
            <w:tcW w:w="1276"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7.940,9</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14,7</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-833,5</w:t>
            </w:r>
          </w:p>
        </w:tc>
        <w:tc>
          <w:tcPr>
            <w:tcW w:w="993"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90.5</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7.622,5</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318,4</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104,2</w:t>
            </w:r>
          </w:p>
        </w:tc>
      </w:tr>
      <w:tr w:rsidR="00457A75" w:rsidRPr="00606103" w:rsidTr="00F57A31">
        <w:tc>
          <w:tcPr>
            <w:cnfStyle w:val="001000000000" w:firstRow="0" w:lastRow="0" w:firstColumn="1" w:lastColumn="0" w:oddVBand="0" w:evenVBand="0" w:oddHBand="0" w:evenHBand="0" w:firstRowFirstColumn="0" w:firstRowLastColumn="0" w:lastRowFirstColumn="0" w:lastRowLastColumn="0"/>
            <w:tcW w:w="4962"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Apărare națională</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779,0</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779,9</w:t>
            </w:r>
          </w:p>
        </w:tc>
        <w:tc>
          <w:tcPr>
            <w:tcW w:w="1276"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769,4</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1,4</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-10,5</w:t>
            </w:r>
          </w:p>
        </w:tc>
        <w:tc>
          <w:tcPr>
            <w:tcW w:w="993"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98.7</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637,4</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132,0</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120,7</w:t>
            </w:r>
          </w:p>
        </w:tc>
      </w:tr>
      <w:tr w:rsidR="00457A75" w:rsidRPr="00606103" w:rsidTr="00F57A31">
        <w:tc>
          <w:tcPr>
            <w:cnfStyle w:val="001000000000" w:firstRow="0" w:lastRow="0" w:firstColumn="1" w:lastColumn="0" w:oddVBand="0" w:evenVBand="0" w:oddHBand="0" w:evenHBand="0" w:firstRowFirstColumn="0" w:firstRowLastColumn="0" w:lastRowFirstColumn="0" w:lastRowLastColumn="0"/>
            <w:tcW w:w="4962"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Ordine publică și securitate națională</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5.323,3</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5.323,3</w:t>
            </w:r>
          </w:p>
        </w:tc>
        <w:tc>
          <w:tcPr>
            <w:tcW w:w="1276"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5.088,1</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9,4</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-235,2</w:t>
            </w:r>
          </w:p>
        </w:tc>
        <w:tc>
          <w:tcPr>
            <w:tcW w:w="993"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95.6</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4.750,4</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337,7</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107,1</w:t>
            </w:r>
          </w:p>
        </w:tc>
      </w:tr>
      <w:tr w:rsidR="00457A75" w:rsidRPr="00606103" w:rsidTr="00F57A31">
        <w:tc>
          <w:tcPr>
            <w:cnfStyle w:val="001000000000" w:firstRow="0" w:lastRow="0" w:firstColumn="1" w:lastColumn="0" w:oddVBand="0" w:evenVBand="0" w:oddHBand="0" w:evenHBand="0" w:firstRowFirstColumn="0" w:firstRowLastColumn="0" w:lastRowFirstColumn="0" w:lastRowLastColumn="0"/>
            <w:tcW w:w="4962"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Servicii în domeniul economiei</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6.864,1</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7.913,6</w:t>
            </w:r>
          </w:p>
        </w:tc>
        <w:tc>
          <w:tcPr>
            <w:tcW w:w="1276"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6.826,9</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12,6</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-1.086,7</w:t>
            </w:r>
          </w:p>
        </w:tc>
        <w:tc>
          <w:tcPr>
            <w:tcW w:w="993"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86.3</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7.831,7</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-1.004,8</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87,2</w:t>
            </w:r>
          </w:p>
        </w:tc>
      </w:tr>
      <w:tr w:rsidR="00457A75" w:rsidRPr="00606103" w:rsidTr="00F57A31">
        <w:tc>
          <w:tcPr>
            <w:cnfStyle w:val="001000000000" w:firstRow="0" w:lastRow="0" w:firstColumn="1" w:lastColumn="0" w:oddVBand="0" w:evenVBand="0" w:oddHBand="0" w:evenHBand="0" w:firstRowFirstColumn="0" w:firstRowLastColumn="0" w:lastRowFirstColumn="0" w:lastRowLastColumn="0"/>
            <w:tcW w:w="4962"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Protecția mediului</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358,3</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353,9</w:t>
            </w:r>
          </w:p>
        </w:tc>
        <w:tc>
          <w:tcPr>
            <w:tcW w:w="1276"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293,2</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0,5</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-60,7</w:t>
            </w:r>
          </w:p>
        </w:tc>
        <w:tc>
          <w:tcPr>
            <w:tcW w:w="993"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82.9</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232,3</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60,9</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126,2</w:t>
            </w:r>
          </w:p>
        </w:tc>
      </w:tr>
      <w:tr w:rsidR="00457A75" w:rsidRPr="00606103" w:rsidTr="00F57A31">
        <w:tc>
          <w:tcPr>
            <w:cnfStyle w:val="001000000000" w:firstRow="0" w:lastRow="0" w:firstColumn="1" w:lastColumn="0" w:oddVBand="0" w:evenVBand="0" w:oddHBand="0" w:evenHBand="0" w:firstRowFirstColumn="0" w:firstRowLastColumn="0" w:lastRowFirstColumn="0" w:lastRowLastColumn="0"/>
            <w:tcW w:w="4962"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Gospodăria de locuințe și gospodăria serviciilor comunale</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643,3</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393,6</w:t>
            </w:r>
          </w:p>
        </w:tc>
        <w:tc>
          <w:tcPr>
            <w:tcW w:w="1276"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315,1</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0,6</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-78,5</w:t>
            </w:r>
          </w:p>
        </w:tc>
        <w:tc>
          <w:tcPr>
            <w:tcW w:w="993"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80.1</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346,5</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-31,4</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90,9</w:t>
            </w:r>
          </w:p>
        </w:tc>
      </w:tr>
      <w:tr w:rsidR="00457A75" w:rsidRPr="00606103" w:rsidTr="00F57A31">
        <w:tc>
          <w:tcPr>
            <w:cnfStyle w:val="001000000000" w:firstRow="0" w:lastRow="0" w:firstColumn="1" w:lastColumn="0" w:oddVBand="0" w:evenVBand="0" w:oddHBand="0" w:evenHBand="0" w:firstRowFirstColumn="0" w:firstRowLastColumn="0" w:lastRowFirstColumn="0" w:lastRowLastColumn="0"/>
            <w:tcW w:w="4962"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 xml:space="preserve">Ocrotirea sănătății </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7.901,8</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8.037,1</w:t>
            </w:r>
          </w:p>
        </w:tc>
        <w:tc>
          <w:tcPr>
            <w:tcW w:w="1276"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7.648,1</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14,1</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-389,0</w:t>
            </w:r>
          </w:p>
        </w:tc>
        <w:tc>
          <w:tcPr>
            <w:tcW w:w="993"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95.2</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4.943,3</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2.704,8</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154,7</w:t>
            </w:r>
          </w:p>
        </w:tc>
      </w:tr>
      <w:tr w:rsidR="00457A75" w:rsidRPr="00606103" w:rsidTr="00F57A31">
        <w:tc>
          <w:tcPr>
            <w:cnfStyle w:val="001000000000" w:firstRow="0" w:lastRow="0" w:firstColumn="1" w:lastColumn="0" w:oddVBand="0" w:evenVBand="0" w:oddHBand="0" w:evenHBand="0" w:firstRowFirstColumn="0" w:firstRowLastColumn="0" w:lastRowFirstColumn="0" w:lastRowLastColumn="0"/>
            <w:tcW w:w="4962"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Cultură, sport, tineret, culte și odihnă</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941,9</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939,3</w:t>
            </w:r>
          </w:p>
        </w:tc>
        <w:tc>
          <w:tcPr>
            <w:tcW w:w="1276"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907,3</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1,7</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-32,0</w:t>
            </w:r>
          </w:p>
        </w:tc>
        <w:tc>
          <w:tcPr>
            <w:tcW w:w="993"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96.6</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825,7</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81,6</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109,9</w:t>
            </w:r>
          </w:p>
        </w:tc>
      </w:tr>
      <w:tr w:rsidR="00457A75" w:rsidRPr="00606103" w:rsidTr="00F57A31">
        <w:tc>
          <w:tcPr>
            <w:cnfStyle w:val="001000000000" w:firstRow="0" w:lastRow="0" w:firstColumn="1" w:lastColumn="0" w:oddVBand="0" w:evenVBand="0" w:oddHBand="0" w:evenHBand="0" w:firstRowFirstColumn="0" w:firstRowLastColumn="0" w:lastRowFirstColumn="0" w:lastRowLastColumn="0"/>
            <w:tcW w:w="4962"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Învățământ</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12.625,8</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12.744,9</w:t>
            </w:r>
          </w:p>
        </w:tc>
        <w:tc>
          <w:tcPr>
            <w:tcW w:w="1276"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12.453,1</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23,0</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-291,8</w:t>
            </w:r>
          </w:p>
        </w:tc>
        <w:tc>
          <w:tcPr>
            <w:tcW w:w="993"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97.7</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11.887,0</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566,1</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104,8</w:t>
            </w:r>
          </w:p>
        </w:tc>
      </w:tr>
      <w:tr w:rsidR="00457A75" w:rsidRPr="00606103" w:rsidTr="00F57A31">
        <w:tc>
          <w:tcPr>
            <w:cnfStyle w:val="001000000000" w:firstRow="0" w:lastRow="0" w:firstColumn="1" w:lastColumn="0" w:oddVBand="0" w:evenVBand="0" w:oddHBand="0" w:evenHBand="0" w:firstRowFirstColumn="0" w:firstRowLastColumn="0" w:lastRowFirstColumn="0" w:lastRowLastColumn="0"/>
            <w:tcW w:w="4962" w:type="dxa"/>
          </w:tcPr>
          <w:p w:rsidR="00457A75" w:rsidRPr="00606103" w:rsidRDefault="00457A75" w:rsidP="00552746">
            <w:pPr>
              <w:spacing w:line="276" w:lineRule="auto"/>
              <w:jc w:val="left"/>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Protecție socială</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11.530,4</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12.396,9</w:t>
            </w:r>
          </w:p>
        </w:tc>
        <w:tc>
          <w:tcPr>
            <w:tcW w:w="1276"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11.874,8</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21,9</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-522,1</w:t>
            </w:r>
          </w:p>
        </w:tc>
        <w:tc>
          <w:tcPr>
            <w:tcW w:w="993"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95.8</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10.558,6</w:t>
            </w:r>
          </w:p>
        </w:tc>
        <w:tc>
          <w:tcPr>
            <w:tcW w:w="1134"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1.316,2</w:t>
            </w:r>
          </w:p>
        </w:tc>
        <w:tc>
          <w:tcPr>
            <w:tcW w:w="992" w:type="dxa"/>
            <w:shd w:val="clear" w:color="auto" w:fill="auto"/>
            <w:vAlign w:val="center"/>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606103">
              <w:rPr>
                <w:rFonts w:asciiTheme="majorHAnsi" w:hAnsiTheme="majorHAnsi" w:cstheme="majorHAnsi"/>
                <w:color w:val="000000"/>
                <w:sz w:val="20"/>
                <w:szCs w:val="20"/>
                <w:lang w:val="ro-MD"/>
              </w:rPr>
              <w:t>112,5</w:t>
            </w:r>
          </w:p>
        </w:tc>
      </w:tr>
    </w:tbl>
    <w:p w:rsidR="00457A75" w:rsidRPr="00606103" w:rsidRDefault="00457A75" w:rsidP="00552746">
      <w:pPr>
        <w:spacing w:after="0" w:line="276" w:lineRule="auto"/>
        <w:ind w:right="-660"/>
        <w:rPr>
          <w:rFonts w:asciiTheme="majorHAnsi" w:eastAsia="Times New Roman" w:hAnsiTheme="majorHAnsi" w:cstheme="majorHAnsi"/>
          <w:i/>
          <w:sz w:val="20"/>
          <w:szCs w:val="24"/>
          <w:lang w:val="ro-MD" w:eastAsia="ru-RU"/>
        </w:rPr>
      </w:pPr>
      <w:r w:rsidRPr="00606103">
        <w:rPr>
          <w:rFonts w:asciiTheme="majorHAnsi" w:eastAsia="Times New Roman" w:hAnsiTheme="majorHAnsi" w:cstheme="majorHAnsi"/>
          <w:b/>
          <w:i/>
          <w:sz w:val="20"/>
          <w:szCs w:val="24"/>
          <w:lang w:val="ro-MD" w:eastAsia="ru-RU"/>
        </w:rPr>
        <w:t>Sursă:</w:t>
      </w:r>
      <w:r w:rsidRPr="00606103">
        <w:rPr>
          <w:rFonts w:asciiTheme="majorHAnsi" w:eastAsia="Times New Roman" w:hAnsiTheme="majorHAnsi" w:cstheme="majorHAnsi"/>
          <w:i/>
          <w:sz w:val="20"/>
          <w:szCs w:val="24"/>
          <w:lang w:val="ro-MD" w:eastAsia="ru-RU"/>
        </w:rPr>
        <w:t xml:space="preserve"> Informații generalizate de echipa de audit conform Rapoartelor privind executarea bugetului de stat pentru anii 2020-2021, Formularul nr.4.</w:t>
      </w:r>
    </w:p>
    <w:p w:rsidR="00457A75" w:rsidRPr="00606103" w:rsidRDefault="00457A75" w:rsidP="00FE3F3B">
      <w:pPr>
        <w:spacing w:after="0" w:line="276" w:lineRule="auto"/>
        <w:rPr>
          <w:rFonts w:asciiTheme="majorHAnsi" w:hAnsiTheme="majorHAnsi" w:cstheme="majorHAnsi"/>
          <w:b/>
          <w:sz w:val="20"/>
          <w:szCs w:val="20"/>
          <w:lang w:val="ro-MD"/>
        </w:rPr>
      </w:pPr>
    </w:p>
    <w:p w:rsidR="006863AC" w:rsidRDefault="006863AC">
      <w:pPr>
        <w:spacing w:after="0" w:line="276" w:lineRule="auto"/>
        <w:ind w:right="-142"/>
        <w:jc w:val="right"/>
        <w:rPr>
          <w:rFonts w:asciiTheme="majorHAnsi" w:eastAsia="Times New Roman" w:hAnsiTheme="majorHAnsi" w:cstheme="majorHAnsi"/>
          <w:b/>
          <w:sz w:val="24"/>
          <w:szCs w:val="24"/>
          <w:lang w:val="ro-MD" w:eastAsia="ru-RU"/>
        </w:rPr>
      </w:pPr>
    </w:p>
    <w:p w:rsidR="006863AC" w:rsidRDefault="006863AC">
      <w:pPr>
        <w:spacing w:after="0" w:line="276" w:lineRule="auto"/>
        <w:ind w:right="-142"/>
        <w:jc w:val="right"/>
        <w:rPr>
          <w:rFonts w:asciiTheme="majorHAnsi" w:eastAsia="Times New Roman" w:hAnsiTheme="majorHAnsi" w:cstheme="majorHAnsi"/>
          <w:b/>
          <w:sz w:val="24"/>
          <w:szCs w:val="24"/>
          <w:lang w:val="ro-MD" w:eastAsia="ru-RU"/>
        </w:rPr>
      </w:pPr>
    </w:p>
    <w:p w:rsidR="006863AC" w:rsidRDefault="006863AC">
      <w:pPr>
        <w:spacing w:after="0" w:line="276" w:lineRule="auto"/>
        <w:ind w:right="-142"/>
        <w:jc w:val="right"/>
        <w:rPr>
          <w:rFonts w:asciiTheme="majorHAnsi" w:eastAsia="Times New Roman" w:hAnsiTheme="majorHAnsi" w:cstheme="majorHAnsi"/>
          <w:b/>
          <w:sz w:val="24"/>
          <w:szCs w:val="24"/>
          <w:lang w:val="ro-MD" w:eastAsia="ru-RU"/>
        </w:rPr>
      </w:pPr>
    </w:p>
    <w:p w:rsidR="006863AC" w:rsidRDefault="006863AC">
      <w:pPr>
        <w:spacing w:after="0" w:line="276" w:lineRule="auto"/>
        <w:ind w:right="-142"/>
        <w:jc w:val="right"/>
        <w:rPr>
          <w:rFonts w:asciiTheme="majorHAnsi" w:eastAsia="Times New Roman" w:hAnsiTheme="majorHAnsi" w:cstheme="majorHAnsi"/>
          <w:b/>
          <w:sz w:val="24"/>
          <w:szCs w:val="24"/>
          <w:lang w:val="ro-MD" w:eastAsia="ru-RU"/>
        </w:rPr>
      </w:pPr>
    </w:p>
    <w:p w:rsidR="006863AC" w:rsidRDefault="006863AC">
      <w:pPr>
        <w:spacing w:after="0" w:line="276" w:lineRule="auto"/>
        <w:ind w:right="-142"/>
        <w:jc w:val="right"/>
        <w:rPr>
          <w:rFonts w:asciiTheme="majorHAnsi" w:eastAsia="Times New Roman" w:hAnsiTheme="majorHAnsi" w:cstheme="majorHAnsi"/>
          <w:b/>
          <w:sz w:val="24"/>
          <w:szCs w:val="24"/>
          <w:lang w:val="ro-MD" w:eastAsia="ru-RU"/>
        </w:rPr>
      </w:pPr>
    </w:p>
    <w:p w:rsidR="006863AC" w:rsidRDefault="006863AC">
      <w:pPr>
        <w:spacing w:after="0" w:line="276" w:lineRule="auto"/>
        <w:ind w:right="-142"/>
        <w:jc w:val="right"/>
        <w:rPr>
          <w:rFonts w:asciiTheme="majorHAnsi" w:eastAsia="Times New Roman" w:hAnsiTheme="majorHAnsi" w:cstheme="majorHAnsi"/>
          <w:b/>
          <w:sz w:val="24"/>
          <w:szCs w:val="24"/>
          <w:lang w:val="ro-MD" w:eastAsia="ru-RU"/>
        </w:rPr>
      </w:pPr>
    </w:p>
    <w:p w:rsidR="006863AC" w:rsidRDefault="006863AC">
      <w:pPr>
        <w:spacing w:after="0" w:line="276" w:lineRule="auto"/>
        <w:ind w:right="-142"/>
        <w:jc w:val="right"/>
        <w:rPr>
          <w:rFonts w:asciiTheme="majorHAnsi" w:eastAsia="Times New Roman" w:hAnsiTheme="majorHAnsi" w:cstheme="majorHAnsi"/>
          <w:b/>
          <w:sz w:val="24"/>
          <w:szCs w:val="24"/>
          <w:lang w:val="ro-MD" w:eastAsia="ru-RU"/>
        </w:rPr>
      </w:pPr>
    </w:p>
    <w:p w:rsidR="006863AC" w:rsidRDefault="006863AC">
      <w:pPr>
        <w:spacing w:after="0" w:line="276" w:lineRule="auto"/>
        <w:ind w:right="-142"/>
        <w:jc w:val="right"/>
        <w:rPr>
          <w:rFonts w:asciiTheme="majorHAnsi" w:eastAsia="Times New Roman" w:hAnsiTheme="majorHAnsi" w:cstheme="majorHAnsi"/>
          <w:b/>
          <w:sz w:val="24"/>
          <w:szCs w:val="24"/>
          <w:lang w:val="ro-MD" w:eastAsia="ru-RU"/>
        </w:rPr>
      </w:pPr>
    </w:p>
    <w:p w:rsidR="006863AC" w:rsidRDefault="006863AC">
      <w:pPr>
        <w:spacing w:after="0" w:line="276" w:lineRule="auto"/>
        <w:ind w:right="-142"/>
        <w:jc w:val="right"/>
        <w:rPr>
          <w:rFonts w:asciiTheme="majorHAnsi" w:eastAsia="Times New Roman" w:hAnsiTheme="majorHAnsi" w:cstheme="majorHAnsi"/>
          <w:b/>
          <w:sz w:val="24"/>
          <w:szCs w:val="24"/>
          <w:lang w:val="ro-MD" w:eastAsia="ru-RU"/>
        </w:rPr>
      </w:pPr>
    </w:p>
    <w:p w:rsidR="006863AC" w:rsidRDefault="006863AC">
      <w:pPr>
        <w:spacing w:after="0" w:line="276" w:lineRule="auto"/>
        <w:ind w:right="-142"/>
        <w:jc w:val="right"/>
        <w:rPr>
          <w:rFonts w:asciiTheme="majorHAnsi" w:eastAsia="Times New Roman" w:hAnsiTheme="majorHAnsi" w:cstheme="majorHAnsi"/>
          <w:b/>
          <w:sz w:val="24"/>
          <w:szCs w:val="24"/>
          <w:lang w:val="ro-MD" w:eastAsia="ru-RU"/>
        </w:rPr>
      </w:pPr>
    </w:p>
    <w:p w:rsidR="006863AC" w:rsidRDefault="006863AC">
      <w:pPr>
        <w:spacing w:after="0" w:line="276" w:lineRule="auto"/>
        <w:ind w:right="-142"/>
        <w:jc w:val="right"/>
        <w:rPr>
          <w:rFonts w:asciiTheme="majorHAnsi" w:eastAsia="Times New Roman" w:hAnsiTheme="majorHAnsi" w:cstheme="majorHAnsi"/>
          <w:b/>
          <w:sz w:val="24"/>
          <w:szCs w:val="24"/>
          <w:lang w:val="ro-MD" w:eastAsia="ru-RU"/>
        </w:rPr>
      </w:pPr>
    </w:p>
    <w:p w:rsidR="006863AC" w:rsidRDefault="006863AC">
      <w:pPr>
        <w:spacing w:after="0" w:line="276" w:lineRule="auto"/>
        <w:ind w:right="-142"/>
        <w:jc w:val="right"/>
        <w:rPr>
          <w:rFonts w:asciiTheme="majorHAnsi" w:eastAsia="Times New Roman" w:hAnsiTheme="majorHAnsi" w:cstheme="majorHAnsi"/>
          <w:b/>
          <w:sz w:val="24"/>
          <w:szCs w:val="24"/>
          <w:lang w:val="ro-MD" w:eastAsia="ru-RU"/>
        </w:rPr>
      </w:pPr>
    </w:p>
    <w:p w:rsidR="00457A75" w:rsidRPr="00606103" w:rsidRDefault="002102A8">
      <w:pPr>
        <w:spacing w:after="0" w:line="276" w:lineRule="auto"/>
        <w:ind w:right="-142"/>
        <w:jc w:val="right"/>
        <w:rPr>
          <w:rFonts w:asciiTheme="majorHAnsi" w:eastAsia="Times New Roman" w:hAnsiTheme="majorHAnsi" w:cstheme="majorHAnsi"/>
          <w:b/>
          <w:sz w:val="24"/>
          <w:szCs w:val="24"/>
          <w:lang w:val="ro-MD" w:eastAsia="ru-RU"/>
        </w:rPr>
      </w:pPr>
      <w:r w:rsidRPr="00606103">
        <w:rPr>
          <w:rFonts w:asciiTheme="majorHAnsi" w:eastAsia="Times New Roman" w:hAnsiTheme="majorHAnsi" w:cstheme="majorHAnsi"/>
          <w:b/>
          <w:sz w:val="24"/>
          <w:szCs w:val="24"/>
          <w:lang w:val="ro-MD" w:eastAsia="ru-RU"/>
        </w:rPr>
        <w:t>Anexa nr.14</w:t>
      </w:r>
    </w:p>
    <w:p w:rsidR="00457A75" w:rsidRPr="00606103" w:rsidRDefault="00457A75" w:rsidP="00552746">
      <w:pPr>
        <w:spacing w:after="0" w:line="276" w:lineRule="auto"/>
        <w:jc w:val="center"/>
        <w:rPr>
          <w:rFonts w:asciiTheme="majorHAnsi" w:hAnsiTheme="majorHAnsi" w:cstheme="majorHAnsi"/>
          <w:b/>
          <w:sz w:val="24"/>
          <w:szCs w:val="24"/>
          <w:lang w:val="ro-MD"/>
        </w:rPr>
      </w:pPr>
      <w:r w:rsidRPr="00606103">
        <w:rPr>
          <w:rFonts w:asciiTheme="majorHAnsi" w:hAnsiTheme="majorHAnsi" w:cstheme="majorHAnsi"/>
          <w:b/>
          <w:sz w:val="24"/>
          <w:szCs w:val="24"/>
          <w:lang w:val="ro-MD"/>
        </w:rPr>
        <w:t>Executarea principalilor indicatori ai BPN pe anul 2021, comparativ cu anul 2020,</w:t>
      </w:r>
      <w:r w:rsidR="00BF513C" w:rsidRPr="00606103">
        <w:rPr>
          <w:rFonts w:asciiTheme="majorHAnsi" w:hAnsiTheme="majorHAnsi" w:cstheme="majorHAnsi"/>
          <w:b/>
          <w:sz w:val="24"/>
          <w:szCs w:val="24"/>
          <w:lang w:val="ro-MD"/>
        </w:rPr>
        <w:t xml:space="preserve"> </w:t>
      </w:r>
      <w:r w:rsidRPr="00606103">
        <w:rPr>
          <w:rFonts w:asciiTheme="majorHAnsi" w:hAnsiTheme="majorHAnsi" w:cstheme="majorHAnsi"/>
          <w:b/>
          <w:sz w:val="24"/>
          <w:szCs w:val="24"/>
          <w:lang w:val="ro-MD"/>
        </w:rPr>
        <w:t>și ponderea acestora în PIB</w:t>
      </w:r>
    </w:p>
    <w:p w:rsidR="00457A75" w:rsidRPr="00606103" w:rsidRDefault="00457A75" w:rsidP="00552746">
      <w:pPr>
        <w:spacing w:after="0" w:line="276" w:lineRule="auto"/>
        <w:ind w:right="1698"/>
        <w:jc w:val="right"/>
        <w:rPr>
          <w:rFonts w:asciiTheme="majorHAnsi" w:eastAsia="Times New Roman" w:hAnsiTheme="majorHAnsi" w:cstheme="majorHAnsi"/>
          <w:i/>
          <w:iCs/>
          <w:color w:val="000000"/>
          <w:spacing w:val="2"/>
          <w:sz w:val="24"/>
          <w:szCs w:val="24"/>
          <w:lang w:val="ro-MD" w:eastAsia="ru-RU"/>
        </w:rPr>
      </w:pPr>
      <w:r w:rsidRPr="00606103">
        <w:rPr>
          <w:rFonts w:asciiTheme="majorHAnsi" w:hAnsiTheme="majorHAnsi" w:cstheme="majorHAnsi"/>
          <w:i/>
          <w:sz w:val="24"/>
          <w:szCs w:val="24"/>
          <w:lang w:val="ro-MD"/>
        </w:rPr>
        <w:t xml:space="preserve">                                                                     (</w:t>
      </w:r>
      <w:r w:rsidRPr="00606103">
        <w:rPr>
          <w:rFonts w:asciiTheme="majorHAnsi" w:eastAsia="Times New Roman" w:hAnsiTheme="majorHAnsi" w:cstheme="majorHAnsi"/>
          <w:bCs/>
          <w:i/>
          <w:color w:val="000000"/>
          <w:spacing w:val="-3"/>
          <w:sz w:val="24"/>
          <w:szCs w:val="24"/>
          <w:lang w:val="ro-MD" w:eastAsia="ru-RU"/>
        </w:rPr>
        <w:t>mil. lei)</w:t>
      </w:r>
    </w:p>
    <w:tbl>
      <w:tblPr>
        <w:tblStyle w:val="GridTable1Light131"/>
        <w:tblW w:w="11052" w:type="dxa"/>
        <w:jc w:val="center"/>
        <w:tblLayout w:type="fixed"/>
        <w:tblLook w:val="04A0" w:firstRow="1" w:lastRow="0" w:firstColumn="1" w:lastColumn="0" w:noHBand="0" w:noVBand="1"/>
      </w:tblPr>
      <w:tblGrid>
        <w:gridCol w:w="1696"/>
        <w:gridCol w:w="992"/>
        <w:gridCol w:w="993"/>
        <w:gridCol w:w="1131"/>
        <w:gridCol w:w="989"/>
        <w:gridCol w:w="10"/>
        <w:gridCol w:w="988"/>
        <w:gridCol w:w="1089"/>
        <w:gridCol w:w="997"/>
        <w:gridCol w:w="1033"/>
        <w:gridCol w:w="1134"/>
      </w:tblGrid>
      <w:tr w:rsidR="00457A75" w:rsidRPr="00606103" w:rsidTr="00BF513C">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696" w:type="dxa"/>
            <w:vMerge w:val="restart"/>
            <w:hideMark/>
          </w:tcPr>
          <w:p w:rsidR="00457A75" w:rsidRPr="00606103" w:rsidRDefault="00457A75" w:rsidP="00552746">
            <w:pPr>
              <w:spacing w:line="276" w:lineRule="auto"/>
              <w:ind w:left="-120"/>
              <w:jc w:val="center"/>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Indicatori</w:t>
            </w:r>
          </w:p>
        </w:tc>
        <w:tc>
          <w:tcPr>
            <w:tcW w:w="992" w:type="dxa"/>
            <w:vMerge w:val="restart"/>
          </w:tcPr>
          <w:p w:rsidR="00457A75" w:rsidRPr="00606103" w:rsidRDefault="00457A75" w:rsidP="00552746">
            <w:pPr>
              <w:spacing w:line="276" w:lineRule="auto"/>
              <w:ind w:left="-148" w:right="-115"/>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 xml:space="preserve">Precizat </w:t>
            </w:r>
          </w:p>
          <w:p w:rsidR="00457A75" w:rsidRPr="00606103" w:rsidRDefault="00457A75" w:rsidP="00552746">
            <w:pPr>
              <w:spacing w:line="276" w:lineRule="auto"/>
              <w:ind w:left="-148" w:right="-115"/>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pe an</w:t>
            </w:r>
          </w:p>
        </w:tc>
        <w:tc>
          <w:tcPr>
            <w:tcW w:w="993" w:type="dxa"/>
            <w:vMerge w:val="restart"/>
          </w:tcPr>
          <w:p w:rsidR="00457A75" w:rsidRPr="00606103" w:rsidRDefault="00457A75" w:rsidP="00552746">
            <w:pPr>
              <w:spacing w:line="276" w:lineRule="auto"/>
              <w:ind w:left="-101" w:right="-10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Executat în anul 2021</w:t>
            </w:r>
          </w:p>
        </w:tc>
        <w:tc>
          <w:tcPr>
            <w:tcW w:w="2130" w:type="dxa"/>
            <w:gridSpan w:val="3"/>
          </w:tcPr>
          <w:p w:rsidR="00457A75" w:rsidRPr="00606103" w:rsidRDefault="00457A75" w:rsidP="0055274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Executat față de precizat</w:t>
            </w:r>
          </w:p>
        </w:tc>
        <w:tc>
          <w:tcPr>
            <w:tcW w:w="988" w:type="dxa"/>
            <w:hideMark/>
          </w:tcPr>
          <w:p w:rsidR="00457A75" w:rsidRPr="00606103" w:rsidRDefault="00457A75" w:rsidP="00552746">
            <w:pPr>
              <w:spacing w:line="276" w:lineRule="auto"/>
              <w:ind w:left="-94" w:right="-10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Executat în</w:t>
            </w:r>
          </w:p>
          <w:p w:rsidR="00457A75" w:rsidRPr="00606103" w:rsidRDefault="00457A75" w:rsidP="00552746">
            <w:pPr>
              <w:spacing w:line="276" w:lineRule="auto"/>
              <w:ind w:left="-94" w:right="-10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anul 2020</w:t>
            </w:r>
          </w:p>
        </w:tc>
        <w:tc>
          <w:tcPr>
            <w:tcW w:w="2086" w:type="dxa"/>
            <w:gridSpan w:val="2"/>
            <w:hideMark/>
          </w:tcPr>
          <w:p w:rsidR="00457A75" w:rsidRPr="00606103" w:rsidRDefault="00457A75" w:rsidP="0055274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Executat în anul 2021 față de anul 2020</w:t>
            </w:r>
          </w:p>
        </w:tc>
        <w:tc>
          <w:tcPr>
            <w:tcW w:w="2167" w:type="dxa"/>
            <w:gridSpan w:val="2"/>
            <w:hideMark/>
          </w:tcPr>
          <w:p w:rsidR="00457A75" w:rsidRPr="00606103" w:rsidRDefault="00457A75" w:rsidP="0055274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Ponderea în PIB (%)</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vMerge/>
            <w:hideMark/>
          </w:tcPr>
          <w:p w:rsidR="00457A75" w:rsidRPr="00606103" w:rsidRDefault="00457A75" w:rsidP="00552746">
            <w:pPr>
              <w:spacing w:line="276" w:lineRule="auto"/>
              <w:jc w:val="left"/>
              <w:rPr>
                <w:rFonts w:asciiTheme="majorHAnsi" w:eastAsia="Times New Roman" w:hAnsiTheme="majorHAnsi" w:cstheme="majorHAnsi"/>
                <w:sz w:val="20"/>
                <w:szCs w:val="20"/>
                <w:lang w:val="ro-MD" w:eastAsia="ru-RU"/>
              </w:rPr>
            </w:pPr>
          </w:p>
        </w:tc>
        <w:tc>
          <w:tcPr>
            <w:tcW w:w="992" w:type="dxa"/>
            <w:vMerge/>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p>
        </w:tc>
        <w:tc>
          <w:tcPr>
            <w:tcW w:w="993" w:type="dxa"/>
            <w:vMerge/>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b/>
                <w:bCs/>
                <w:sz w:val="20"/>
                <w:szCs w:val="20"/>
                <w:lang w:val="ro-MD" w:eastAsia="ru-RU"/>
              </w:rPr>
              <w:t>suma (+/-)</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b/>
                <w:bCs/>
                <w:sz w:val="20"/>
                <w:szCs w:val="20"/>
                <w:lang w:val="ro-MD" w:eastAsia="ru-RU"/>
              </w:rPr>
              <w:t>%</w:t>
            </w:r>
          </w:p>
        </w:tc>
        <w:tc>
          <w:tcPr>
            <w:tcW w:w="998" w:type="dxa"/>
            <w:gridSpan w:val="2"/>
            <w:hideMark/>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p>
        </w:tc>
        <w:tc>
          <w:tcPr>
            <w:tcW w:w="1089" w:type="dxa"/>
            <w:hideMark/>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b/>
                <w:bCs/>
                <w:sz w:val="20"/>
                <w:szCs w:val="20"/>
                <w:lang w:val="ro-MD" w:eastAsia="ru-RU"/>
              </w:rPr>
              <w:t>suma (+/-)</w:t>
            </w:r>
          </w:p>
        </w:tc>
        <w:tc>
          <w:tcPr>
            <w:tcW w:w="997" w:type="dxa"/>
            <w:hideMark/>
          </w:tcPr>
          <w:p w:rsidR="00457A75" w:rsidRPr="00606103" w:rsidRDefault="00457A75" w:rsidP="00552746">
            <w:pPr>
              <w:spacing w:line="276" w:lineRule="auto"/>
              <w:ind w:left="-104" w:right="-10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b/>
                <w:bCs/>
                <w:sz w:val="20"/>
                <w:szCs w:val="20"/>
                <w:lang w:val="ro-MD" w:eastAsia="ru-RU"/>
              </w:rPr>
              <w:t>%</w:t>
            </w:r>
          </w:p>
        </w:tc>
        <w:tc>
          <w:tcPr>
            <w:tcW w:w="1033" w:type="dxa"/>
            <w:hideMark/>
          </w:tcPr>
          <w:p w:rsidR="00457A75" w:rsidRPr="00606103" w:rsidRDefault="00457A75" w:rsidP="00552746">
            <w:pPr>
              <w:spacing w:line="276" w:lineRule="auto"/>
              <w:ind w:left="-8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b/>
                <w:bCs/>
                <w:sz w:val="20"/>
                <w:szCs w:val="20"/>
                <w:lang w:val="ro-MD" w:eastAsia="ru-RU"/>
              </w:rPr>
              <w:t>2020*</w:t>
            </w:r>
          </w:p>
        </w:tc>
        <w:tc>
          <w:tcPr>
            <w:tcW w:w="1134" w:type="dxa"/>
            <w:hideMark/>
          </w:tcPr>
          <w:p w:rsidR="00457A75" w:rsidRPr="00606103" w:rsidRDefault="00457A75" w:rsidP="00552746">
            <w:pPr>
              <w:spacing w:line="276" w:lineRule="auto"/>
              <w:ind w:left="-107" w:right="-11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eastAsia="ru-RU"/>
              </w:rPr>
            </w:pPr>
            <w:r w:rsidRPr="00606103">
              <w:rPr>
                <w:rFonts w:asciiTheme="majorHAnsi" w:eastAsia="Times New Roman" w:hAnsiTheme="majorHAnsi" w:cstheme="majorHAnsi"/>
                <w:b/>
                <w:bCs/>
                <w:sz w:val="20"/>
                <w:szCs w:val="20"/>
                <w:lang w:val="ro-MD" w:eastAsia="ru-RU"/>
              </w:rPr>
              <w:t>2021**</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tcPr>
          <w:p w:rsidR="00457A75" w:rsidRPr="00606103" w:rsidRDefault="00457A75" w:rsidP="00552746">
            <w:pPr>
              <w:spacing w:line="276" w:lineRule="auto"/>
              <w:jc w:val="center"/>
              <w:rPr>
                <w:rFonts w:asciiTheme="majorHAnsi" w:eastAsia="Times New Roman" w:hAnsiTheme="majorHAnsi" w:cstheme="majorHAnsi"/>
                <w:i/>
                <w:sz w:val="14"/>
                <w:szCs w:val="14"/>
                <w:lang w:val="ro-MD" w:eastAsia="ru-RU"/>
              </w:rPr>
            </w:pPr>
            <w:r w:rsidRPr="00606103">
              <w:rPr>
                <w:rFonts w:asciiTheme="majorHAnsi" w:eastAsia="Times New Roman" w:hAnsiTheme="majorHAnsi" w:cstheme="majorHAnsi"/>
                <w:i/>
                <w:sz w:val="14"/>
                <w:szCs w:val="14"/>
                <w:lang w:val="ro-MD" w:eastAsia="ru-RU"/>
              </w:rPr>
              <w:t>1</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MD" w:eastAsia="ru-RU"/>
              </w:rPr>
            </w:pPr>
            <w:r w:rsidRPr="00606103">
              <w:rPr>
                <w:rFonts w:asciiTheme="majorHAnsi" w:eastAsia="Times New Roman" w:hAnsiTheme="majorHAnsi" w:cstheme="majorHAnsi"/>
                <w:bCs/>
                <w:i/>
                <w:sz w:val="14"/>
                <w:szCs w:val="14"/>
                <w:lang w:val="ro-MD" w:eastAsia="ru-RU"/>
              </w:rPr>
              <w:t>2</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MD" w:eastAsia="ru-RU"/>
              </w:rPr>
            </w:pPr>
            <w:r w:rsidRPr="00606103">
              <w:rPr>
                <w:rFonts w:asciiTheme="majorHAnsi" w:eastAsia="Times New Roman" w:hAnsiTheme="majorHAnsi" w:cstheme="majorHAnsi"/>
                <w:bCs/>
                <w:i/>
                <w:sz w:val="14"/>
                <w:szCs w:val="14"/>
                <w:lang w:val="ro-MD" w:eastAsia="ru-RU"/>
              </w:rPr>
              <w:t>3</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MD" w:eastAsia="ru-RU"/>
              </w:rPr>
            </w:pPr>
            <w:r w:rsidRPr="00606103">
              <w:rPr>
                <w:rFonts w:asciiTheme="majorHAnsi" w:eastAsia="Times New Roman" w:hAnsiTheme="majorHAnsi" w:cstheme="majorHAnsi"/>
                <w:bCs/>
                <w:i/>
                <w:sz w:val="14"/>
                <w:szCs w:val="14"/>
                <w:lang w:val="ro-MD" w:eastAsia="ru-RU"/>
              </w:rPr>
              <w:t>4=3-2</w:t>
            </w:r>
          </w:p>
        </w:tc>
        <w:tc>
          <w:tcPr>
            <w:tcW w:w="989" w:type="dxa"/>
          </w:tcPr>
          <w:p w:rsidR="00457A75" w:rsidRPr="00606103" w:rsidRDefault="00457A75" w:rsidP="00552746">
            <w:pPr>
              <w:spacing w:line="276" w:lineRule="auto"/>
              <w:ind w:left="-104" w:right="-10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MD" w:eastAsia="ru-RU"/>
              </w:rPr>
            </w:pPr>
            <w:r w:rsidRPr="00606103">
              <w:rPr>
                <w:rFonts w:asciiTheme="majorHAnsi" w:eastAsia="Times New Roman" w:hAnsiTheme="majorHAnsi" w:cstheme="majorHAnsi"/>
                <w:bCs/>
                <w:i/>
                <w:sz w:val="14"/>
                <w:szCs w:val="14"/>
                <w:lang w:val="ro-MD" w:eastAsia="ru-RU"/>
              </w:rPr>
              <w:t>5=3/2*100</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MD" w:eastAsia="ru-RU"/>
              </w:rPr>
            </w:pPr>
            <w:r w:rsidRPr="00606103">
              <w:rPr>
                <w:rFonts w:asciiTheme="majorHAnsi" w:eastAsia="Times New Roman" w:hAnsiTheme="majorHAnsi" w:cstheme="majorHAnsi"/>
                <w:bCs/>
                <w:i/>
                <w:sz w:val="14"/>
                <w:szCs w:val="14"/>
                <w:lang w:val="ro-MD" w:eastAsia="ru-RU"/>
              </w:rPr>
              <w:t>6</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MD" w:eastAsia="ru-RU"/>
              </w:rPr>
            </w:pPr>
            <w:r w:rsidRPr="00606103">
              <w:rPr>
                <w:rFonts w:asciiTheme="majorHAnsi" w:eastAsia="Times New Roman" w:hAnsiTheme="majorHAnsi" w:cstheme="majorHAnsi"/>
                <w:bCs/>
                <w:i/>
                <w:sz w:val="14"/>
                <w:szCs w:val="14"/>
                <w:lang w:val="ro-MD" w:eastAsia="ru-RU"/>
              </w:rPr>
              <w:t>7=3-6</w:t>
            </w:r>
          </w:p>
        </w:tc>
        <w:tc>
          <w:tcPr>
            <w:tcW w:w="997" w:type="dxa"/>
          </w:tcPr>
          <w:p w:rsidR="00457A75" w:rsidRPr="00606103" w:rsidRDefault="00457A75" w:rsidP="00552746">
            <w:pPr>
              <w:spacing w:line="276" w:lineRule="auto"/>
              <w:ind w:left="-104" w:right="-10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MD" w:eastAsia="ru-RU"/>
              </w:rPr>
            </w:pPr>
            <w:r w:rsidRPr="00606103">
              <w:rPr>
                <w:rFonts w:asciiTheme="majorHAnsi" w:eastAsia="Times New Roman" w:hAnsiTheme="majorHAnsi" w:cstheme="majorHAnsi"/>
                <w:bCs/>
                <w:i/>
                <w:sz w:val="14"/>
                <w:szCs w:val="14"/>
                <w:lang w:val="ro-MD" w:eastAsia="ru-RU"/>
              </w:rPr>
              <w:t>8=3/6*100</w:t>
            </w:r>
          </w:p>
        </w:tc>
        <w:tc>
          <w:tcPr>
            <w:tcW w:w="1033" w:type="dxa"/>
          </w:tcPr>
          <w:p w:rsidR="00457A75" w:rsidRPr="00606103" w:rsidRDefault="00457A75" w:rsidP="00552746">
            <w:pPr>
              <w:spacing w:line="276" w:lineRule="auto"/>
              <w:ind w:left="-10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MD" w:eastAsia="ru-RU"/>
              </w:rPr>
            </w:pPr>
            <w:r w:rsidRPr="00606103">
              <w:rPr>
                <w:rFonts w:asciiTheme="majorHAnsi" w:eastAsia="Times New Roman" w:hAnsiTheme="majorHAnsi" w:cstheme="majorHAnsi"/>
                <w:bCs/>
                <w:i/>
                <w:sz w:val="14"/>
                <w:szCs w:val="14"/>
                <w:lang w:val="ro-MD" w:eastAsia="ru-RU"/>
              </w:rPr>
              <w:t>9=6/PIB*100</w:t>
            </w:r>
          </w:p>
        </w:tc>
        <w:tc>
          <w:tcPr>
            <w:tcW w:w="1134" w:type="dxa"/>
          </w:tcPr>
          <w:p w:rsidR="00457A75" w:rsidRPr="00606103" w:rsidRDefault="00457A75" w:rsidP="00552746">
            <w:pPr>
              <w:spacing w:line="276" w:lineRule="auto"/>
              <w:ind w:left="-107" w:right="-15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4"/>
                <w:szCs w:val="14"/>
                <w:lang w:val="ro-MD" w:eastAsia="ru-RU"/>
              </w:rPr>
            </w:pPr>
            <w:r w:rsidRPr="00606103">
              <w:rPr>
                <w:rFonts w:asciiTheme="majorHAnsi" w:eastAsia="Times New Roman" w:hAnsiTheme="majorHAnsi" w:cstheme="majorHAnsi"/>
                <w:bCs/>
                <w:i/>
                <w:sz w:val="14"/>
                <w:szCs w:val="14"/>
                <w:lang w:val="ro-MD" w:eastAsia="ru-RU"/>
              </w:rPr>
              <w:t>10=3/PIB*100</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1052" w:type="dxa"/>
            <w:gridSpan w:val="11"/>
          </w:tcPr>
          <w:p w:rsidR="00457A75" w:rsidRPr="00606103" w:rsidRDefault="00457A75" w:rsidP="00552746">
            <w:pPr>
              <w:spacing w:line="276" w:lineRule="auto"/>
              <w:jc w:val="center"/>
              <w:rPr>
                <w:rFonts w:asciiTheme="majorHAnsi" w:eastAsia="Times New Roman" w:hAnsiTheme="majorHAnsi" w:cstheme="majorHAnsi"/>
                <w:sz w:val="24"/>
                <w:szCs w:val="24"/>
                <w:lang w:val="ro-MD" w:eastAsia="ru-RU"/>
              </w:rPr>
            </w:pPr>
            <w:r w:rsidRPr="00606103">
              <w:rPr>
                <w:rFonts w:asciiTheme="majorHAnsi" w:eastAsia="Times New Roman" w:hAnsiTheme="majorHAnsi" w:cstheme="majorHAnsi"/>
                <w:sz w:val="24"/>
                <w:szCs w:val="24"/>
                <w:lang w:val="ro-MD" w:eastAsia="ru-RU"/>
              </w:rPr>
              <w:t>Venituri</w:t>
            </w:r>
          </w:p>
        </w:tc>
      </w:tr>
      <w:tr w:rsidR="00457A75" w:rsidRPr="00606103" w:rsidTr="00BF513C">
        <w:trPr>
          <w:trHeight w:val="12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 xml:space="preserve">BPN, </w:t>
            </w:r>
            <w:r w:rsidRPr="00606103">
              <w:rPr>
                <w:rFonts w:asciiTheme="majorHAnsi" w:eastAsia="Times New Roman" w:hAnsiTheme="majorHAnsi" w:cstheme="majorHAnsi"/>
                <w:i/>
                <w:iCs/>
                <w:sz w:val="20"/>
                <w:szCs w:val="20"/>
                <w:lang w:val="ro-MD" w:eastAsia="ru-RU"/>
              </w:rPr>
              <w:t>inclusiv:</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73.263,4</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77.373,0</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4.109,6</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105,6%</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62.650,0</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14.723,0</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123,5%</w:t>
            </w:r>
          </w:p>
        </w:tc>
        <w:tc>
          <w:tcPr>
            <w:tcW w:w="1033" w:type="dxa"/>
          </w:tcPr>
          <w:p w:rsidR="00457A75" w:rsidRPr="00606103" w:rsidRDefault="00650B90"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30</w:t>
            </w:r>
            <w:r w:rsidR="00457A75" w:rsidRPr="00606103">
              <w:rPr>
                <w:rFonts w:asciiTheme="majorHAnsi" w:hAnsiTheme="majorHAnsi" w:cstheme="majorHAnsi"/>
                <w:b/>
                <w:sz w:val="20"/>
                <w:szCs w:val="20"/>
                <w:lang w:val="ro-MD"/>
              </w:rPr>
              <w:t>,</w:t>
            </w:r>
            <w:r w:rsidRPr="00606103">
              <w:rPr>
                <w:rFonts w:asciiTheme="majorHAnsi" w:hAnsiTheme="majorHAnsi" w:cstheme="majorHAnsi"/>
                <w:b/>
                <w:sz w:val="20"/>
                <w:szCs w:val="20"/>
                <w:lang w:val="ro-MD"/>
              </w:rPr>
              <w:t>4</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32,0</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i/>
                <w:iCs/>
                <w:sz w:val="20"/>
                <w:szCs w:val="20"/>
                <w:lang w:val="ro-MD" w:eastAsia="ru-RU"/>
              </w:rPr>
            </w:pPr>
            <w:r w:rsidRPr="00606103">
              <w:rPr>
                <w:rFonts w:asciiTheme="majorHAnsi" w:eastAsia="Times New Roman" w:hAnsiTheme="majorHAnsi" w:cstheme="majorHAnsi"/>
                <w:i/>
                <w:iCs/>
                <w:sz w:val="20"/>
                <w:szCs w:val="20"/>
                <w:lang w:val="ro-MD" w:eastAsia="ru-RU"/>
              </w:rPr>
              <w:t>BS</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45.864,9</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49.383,8</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3.518,9</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107,7%</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38.500,5</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10.883,3</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128,3%</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18,7</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20,4</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i/>
                <w:iCs/>
                <w:sz w:val="20"/>
                <w:szCs w:val="20"/>
                <w:lang w:val="ro-MD" w:eastAsia="ru-RU"/>
              </w:rPr>
            </w:pPr>
            <w:r w:rsidRPr="00606103">
              <w:rPr>
                <w:rFonts w:asciiTheme="majorHAnsi" w:eastAsia="Times New Roman" w:hAnsiTheme="majorHAnsi" w:cstheme="majorHAnsi"/>
                <w:i/>
                <w:iCs/>
                <w:sz w:val="20"/>
                <w:szCs w:val="20"/>
                <w:lang w:val="ro-MD" w:eastAsia="ru-RU"/>
              </w:rPr>
              <w:t>BASS</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27.630,1</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27.246,8</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-383,3</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98,6%</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24.285,6</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2.961,2</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112,2%</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11,8</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11,3</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i/>
                <w:iCs/>
                <w:sz w:val="20"/>
                <w:szCs w:val="20"/>
                <w:lang w:val="ro-MD" w:eastAsia="ru-RU"/>
              </w:rPr>
            </w:pPr>
            <w:r w:rsidRPr="00606103">
              <w:rPr>
                <w:rFonts w:asciiTheme="majorHAnsi" w:eastAsia="Times New Roman" w:hAnsiTheme="majorHAnsi" w:cstheme="majorHAnsi"/>
                <w:i/>
                <w:iCs/>
                <w:sz w:val="20"/>
                <w:szCs w:val="20"/>
                <w:lang w:val="ro-MD" w:eastAsia="ru-RU"/>
              </w:rPr>
              <w:t>FAOAM</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11.457,3</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11.540,0</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82,7</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100,7%</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8.542,5</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2.997,5</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135,1%</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4,1</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4,8</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i/>
                <w:iCs/>
                <w:sz w:val="20"/>
                <w:szCs w:val="20"/>
                <w:lang w:val="ro-MD" w:eastAsia="ru-RU"/>
              </w:rPr>
            </w:pPr>
            <w:r w:rsidRPr="00606103">
              <w:rPr>
                <w:rFonts w:asciiTheme="majorHAnsi" w:eastAsia="Times New Roman" w:hAnsiTheme="majorHAnsi" w:cstheme="majorHAnsi"/>
                <w:i/>
                <w:iCs/>
                <w:sz w:val="20"/>
                <w:szCs w:val="20"/>
                <w:lang w:val="ro-MD" w:eastAsia="ru-RU"/>
              </w:rPr>
              <w:t>BUAT</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20.127,0</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20.387,1</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260,1</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101,3%</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18.264,3</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2.122,8</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111,6%</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8,9</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8,4</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1052" w:type="dxa"/>
            <w:gridSpan w:val="11"/>
          </w:tcPr>
          <w:p w:rsidR="00457A75" w:rsidRPr="00606103" w:rsidRDefault="00457A75" w:rsidP="00552746">
            <w:pPr>
              <w:spacing w:line="276" w:lineRule="auto"/>
              <w:jc w:val="center"/>
              <w:rPr>
                <w:rFonts w:asciiTheme="majorHAnsi" w:eastAsia="Times New Roman" w:hAnsiTheme="majorHAnsi" w:cstheme="majorHAnsi"/>
                <w:sz w:val="24"/>
                <w:szCs w:val="24"/>
                <w:lang w:val="ro-MD" w:eastAsia="ru-RU"/>
              </w:rPr>
            </w:pPr>
            <w:r w:rsidRPr="00606103">
              <w:rPr>
                <w:rFonts w:asciiTheme="majorHAnsi" w:eastAsia="Times New Roman" w:hAnsiTheme="majorHAnsi" w:cstheme="majorHAnsi"/>
                <w:sz w:val="24"/>
                <w:szCs w:val="24"/>
                <w:lang w:val="ro-MD" w:eastAsia="ru-RU"/>
              </w:rPr>
              <w:t>Cheltuieli</w:t>
            </w:r>
          </w:p>
        </w:tc>
      </w:tr>
      <w:tr w:rsidR="00457A75" w:rsidRPr="00606103" w:rsidTr="00BF513C">
        <w:trPr>
          <w:trHeight w:val="278"/>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 xml:space="preserve">BPN, </w:t>
            </w:r>
            <w:r w:rsidRPr="00606103">
              <w:rPr>
                <w:rFonts w:asciiTheme="majorHAnsi" w:eastAsia="Times New Roman" w:hAnsiTheme="majorHAnsi" w:cstheme="majorHAnsi"/>
                <w:i/>
                <w:iCs/>
                <w:sz w:val="20"/>
                <w:szCs w:val="20"/>
                <w:lang w:val="ro-MD" w:eastAsia="ru-RU"/>
              </w:rPr>
              <w:t>inclusiv:</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88.148,4</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82.013,5</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-6.134,9</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93,0%</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73.269,8</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8.743,7</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111,9%</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35,5</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33,9</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i/>
                <w:iCs/>
                <w:sz w:val="20"/>
                <w:szCs w:val="20"/>
                <w:lang w:val="ro-MD" w:eastAsia="ru-RU"/>
              </w:rPr>
            </w:pPr>
            <w:r w:rsidRPr="00606103">
              <w:rPr>
                <w:rFonts w:asciiTheme="majorHAnsi" w:eastAsia="Times New Roman" w:hAnsiTheme="majorHAnsi" w:cstheme="majorHAnsi"/>
                <w:i/>
                <w:iCs/>
                <w:sz w:val="20"/>
                <w:szCs w:val="20"/>
                <w:lang w:val="ro-MD" w:eastAsia="ru-RU"/>
              </w:rPr>
              <w:t>BS</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57.656,8</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54.116,9</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-3.539,9</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93,9%</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49.635,4</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4.481,5</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109,0%</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24,1</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22,4</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i/>
                <w:iCs/>
                <w:sz w:val="20"/>
                <w:szCs w:val="20"/>
                <w:lang w:val="ro-MD" w:eastAsia="ru-RU"/>
              </w:rPr>
            </w:pPr>
            <w:r w:rsidRPr="00606103">
              <w:rPr>
                <w:rFonts w:asciiTheme="majorHAnsi" w:eastAsia="Times New Roman" w:hAnsiTheme="majorHAnsi" w:cstheme="majorHAnsi"/>
                <w:i/>
                <w:iCs/>
                <w:sz w:val="20"/>
                <w:szCs w:val="20"/>
                <w:lang w:val="ro-MD" w:eastAsia="ru-RU"/>
              </w:rPr>
              <w:t>BASS</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27.630,1</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27.186,8</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-443,3</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98,4%</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24.244,4</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2.942,4</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112,1%</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11,7</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11,2</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i/>
                <w:iCs/>
                <w:sz w:val="20"/>
                <w:szCs w:val="20"/>
                <w:lang w:val="ro-MD" w:eastAsia="ru-RU"/>
              </w:rPr>
            </w:pPr>
            <w:r w:rsidRPr="00606103">
              <w:rPr>
                <w:rFonts w:asciiTheme="majorHAnsi" w:eastAsia="Times New Roman" w:hAnsiTheme="majorHAnsi" w:cstheme="majorHAnsi"/>
                <w:i/>
                <w:iCs/>
                <w:sz w:val="20"/>
                <w:szCs w:val="20"/>
                <w:lang w:val="ro-MD" w:eastAsia="ru-RU"/>
              </w:rPr>
              <w:t>FAOAM</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11.857,3</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11.552,0</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-305,3</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97,4%</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8.405,5</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3.146,5</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137,4%</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4,1</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4,8</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i/>
                <w:iCs/>
                <w:sz w:val="20"/>
                <w:szCs w:val="20"/>
                <w:lang w:val="ro-MD" w:eastAsia="ru-RU"/>
              </w:rPr>
            </w:pPr>
            <w:r w:rsidRPr="00606103">
              <w:rPr>
                <w:rFonts w:asciiTheme="majorHAnsi" w:eastAsia="Times New Roman" w:hAnsiTheme="majorHAnsi" w:cstheme="majorHAnsi"/>
                <w:i/>
                <w:iCs/>
                <w:sz w:val="20"/>
                <w:szCs w:val="20"/>
                <w:lang w:val="ro-MD" w:eastAsia="ru-RU"/>
              </w:rPr>
              <w:t>BUAT</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22.820,1</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20.342,5</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-2.477,6</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89,1%</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17.927,4</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2.415,1</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113,5%</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8,7</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8,4</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1052" w:type="dxa"/>
            <w:gridSpan w:val="11"/>
          </w:tcPr>
          <w:p w:rsidR="00457A75" w:rsidRPr="00606103" w:rsidRDefault="00457A75" w:rsidP="00552746">
            <w:pPr>
              <w:spacing w:line="276" w:lineRule="auto"/>
              <w:jc w:val="center"/>
              <w:rPr>
                <w:rFonts w:asciiTheme="majorHAnsi" w:eastAsia="Times New Roman" w:hAnsiTheme="majorHAnsi" w:cstheme="majorHAnsi"/>
                <w:sz w:val="24"/>
                <w:szCs w:val="24"/>
                <w:lang w:val="ro-MD" w:eastAsia="ru-RU"/>
              </w:rPr>
            </w:pPr>
            <w:r w:rsidRPr="00606103">
              <w:rPr>
                <w:rFonts w:asciiTheme="majorHAnsi" w:eastAsia="Times New Roman" w:hAnsiTheme="majorHAnsi" w:cstheme="majorHAnsi"/>
                <w:sz w:val="24"/>
                <w:szCs w:val="24"/>
                <w:lang w:val="ro-MD" w:eastAsia="ru-RU"/>
              </w:rPr>
              <w:t>Deficit (-) / Excedent (+)</w:t>
            </w:r>
          </w:p>
        </w:tc>
      </w:tr>
      <w:tr w:rsidR="00457A75" w:rsidRPr="00606103" w:rsidTr="00BF513C">
        <w:trPr>
          <w:trHeight w:val="58"/>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sz w:val="20"/>
                <w:szCs w:val="20"/>
                <w:lang w:val="ro-MD" w:eastAsia="ru-RU"/>
              </w:rPr>
            </w:pPr>
            <w:r w:rsidRPr="00606103">
              <w:rPr>
                <w:rFonts w:asciiTheme="majorHAnsi" w:eastAsia="Times New Roman" w:hAnsiTheme="majorHAnsi" w:cstheme="majorHAnsi"/>
                <w:sz w:val="20"/>
                <w:szCs w:val="20"/>
                <w:lang w:val="ro-MD" w:eastAsia="ru-RU"/>
              </w:rPr>
              <w:t xml:space="preserve">BPN, </w:t>
            </w:r>
            <w:r w:rsidRPr="00606103">
              <w:rPr>
                <w:rFonts w:asciiTheme="majorHAnsi" w:eastAsia="Times New Roman" w:hAnsiTheme="majorHAnsi" w:cstheme="majorHAnsi"/>
                <w:i/>
                <w:iCs/>
                <w:sz w:val="20"/>
                <w:szCs w:val="20"/>
                <w:lang w:val="ro-MD" w:eastAsia="ru-RU"/>
              </w:rPr>
              <w:t>inclusiv:</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-14.885,0</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-4.640,5</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10.244,5</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31,2%</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-10.619,8</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5.979,3</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43,7%</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-5,1</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606103">
              <w:rPr>
                <w:rFonts w:asciiTheme="majorHAnsi" w:hAnsiTheme="majorHAnsi" w:cstheme="majorHAnsi"/>
                <w:b/>
                <w:sz w:val="20"/>
                <w:szCs w:val="20"/>
                <w:lang w:val="ro-MD"/>
              </w:rPr>
              <w:t>-1,9</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i/>
                <w:iCs/>
                <w:sz w:val="20"/>
                <w:szCs w:val="20"/>
                <w:lang w:val="ro-MD" w:eastAsia="ru-RU"/>
              </w:rPr>
            </w:pPr>
            <w:r w:rsidRPr="00606103">
              <w:rPr>
                <w:rFonts w:asciiTheme="majorHAnsi" w:eastAsia="Times New Roman" w:hAnsiTheme="majorHAnsi" w:cstheme="majorHAnsi"/>
                <w:i/>
                <w:iCs/>
                <w:sz w:val="20"/>
                <w:szCs w:val="20"/>
                <w:lang w:val="ro-MD" w:eastAsia="ru-RU"/>
              </w:rPr>
              <w:t>BS</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-11.791,9</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-4.733,1</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7.058,8</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40,1%</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-11.134,9</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6.401,8</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42,5%</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-5,4</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-2,0</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i/>
                <w:iCs/>
                <w:sz w:val="20"/>
                <w:szCs w:val="20"/>
                <w:lang w:val="ro-MD" w:eastAsia="ru-RU"/>
              </w:rPr>
            </w:pPr>
            <w:r w:rsidRPr="00606103">
              <w:rPr>
                <w:rFonts w:asciiTheme="majorHAnsi" w:eastAsia="Times New Roman" w:hAnsiTheme="majorHAnsi" w:cstheme="majorHAnsi"/>
                <w:i/>
                <w:iCs/>
                <w:sz w:val="20"/>
                <w:szCs w:val="20"/>
                <w:lang w:val="ro-MD" w:eastAsia="ru-RU"/>
              </w:rPr>
              <w:t>BASS</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60,0</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60,0</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 </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41,2</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18,8</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145,6%</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457A75" w:rsidRPr="00606103" w:rsidRDefault="00457A75" w:rsidP="00552746">
            <w:pPr>
              <w:spacing w:line="276" w:lineRule="auto"/>
              <w:rPr>
                <w:rFonts w:asciiTheme="majorHAnsi" w:eastAsia="Times New Roman" w:hAnsiTheme="majorHAnsi" w:cstheme="majorHAnsi"/>
                <w:i/>
                <w:iCs/>
                <w:sz w:val="20"/>
                <w:szCs w:val="20"/>
                <w:lang w:val="ro-MD" w:eastAsia="ru-RU"/>
              </w:rPr>
            </w:pPr>
            <w:r w:rsidRPr="00606103">
              <w:rPr>
                <w:rFonts w:asciiTheme="majorHAnsi" w:eastAsia="Times New Roman" w:hAnsiTheme="majorHAnsi" w:cstheme="majorHAnsi"/>
                <w:i/>
                <w:iCs/>
                <w:sz w:val="20"/>
                <w:szCs w:val="20"/>
                <w:lang w:val="ro-MD" w:eastAsia="ru-RU"/>
              </w:rPr>
              <w:t>FAOAM</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-400,0</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-12,0</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388,0</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3,0%</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137,0</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-149,0</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-8,8%</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0,1</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noWrap/>
            <w:hideMark/>
          </w:tcPr>
          <w:p w:rsidR="00457A75" w:rsidRPr="00606103" w:rsidRDefault="00457A75" w:rsidP="00552746">
            <w:pPr>
              <w:spacing w:line="276" w:lineRule="auto"/>
              <w:jc w:val="left"/>
              <w:rPr>
                <w:rFonts w:asciiTheme="majorHAnsi" w:eastAsia="Times New Roman" w:hAnsiTheme="majorHAnsi" w:cstheme="majorHAnsi"/>
                <w:i/>
                <w:iCs/>
                <w:sz w:val="20"/>
                <w:szCs w:val="20"/>
                <w:lang w:val="ro-MD" w:eastAsia="ru-RU"/>
              </w:rPr>
            </w:pPr>
            <w:r w:rsidRPr="00606103">
              <w:rPr>
                <w:rFonts w:asciiTheme="majorHAnsi" w:eastAsia="Times New Roman" w:hAnsiTheme="majorHAnsi" w:cstheme="majorHAnsi"/>
                <w:i/>
                <w:iCs/>
                <w:sz w:val="20"/>
                <w:szCs w:val="20"/>
                <w:lang w:val="ro-MD" w:eastAsia="ru-RU"/>
              </w:rPr>
              <w:t>BUAT</w:t>
            </w:r>
          </w:p>
        </w:tc>
        <w:tc>
          <w:tcPr>
            <w:tcW w:w="992"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-2.693,1</w:t>
            </w:r>
          </w:p>
        </w:tc>
        <w:tc>
          <w:tcPr>
            <w:tcW w:w="99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44,6</w:t>
            </w:r>
          </w:p>
        </w:tc>
        <w:tc>
          <w:tcPr>
            <w:tcW w:w="1131"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2.737,7</w:t>
            </w:r>
          </w:p>
        </w:tc>
        <w:tc>
          <w:tcPr>
            <w:tcW w:w="9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-1,7%</w:t>
            </w:r>
          </w:p>
        </w:tc>
        <w:tc>
          <w:tcPr>
            <w:tcW w:w="998" w:type="dxa"/>
            <w:gridSpan w:val="2"/>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336,9</w:t>
            </w:r>
          </w:p>
        </w:tc>
        <w:tc>
          <w:tcPr>
            <w:tcW w:w="1089"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-292,3</w:t>
            </w:r>
          </w:p>
        </w:tc>
        <w:tc>
          <w:tcPr>
            <w:tcW w:w="997"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13,2%</w:t>
            </w:r>
          </w:p>
        </w:tc>
        <w:tc>
          <w:tcPr>
            <w:tcW w:w="1033"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0,2</w:t>
            </w:r>
          </w:p>
        </w:tc>
        <w:tc>
          <w:tcPr>
            <w:tcW w:w="1134" w:type="dxa"/>
          </w:tcPr>
          <w:p w:rsidR="00457A75" w:rsidRPr="00606103" w:rsidRDefault="00457A75" w:rsidP="005527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0,0</w:t>
            </w:r>
          </w:p>
        </w:tc>
      </w:tr>
      <w:tr w:rsidR="00457A75" w:rsidRPr="00606103" w:rsidTr="00BF513C">
        <w:trPr>
          <w:trHeight w:val="256"/>
          <w:jc w:val="center"/>
        </w:trPr>
        <w:tc>
          <w:tcPr>
            <w:cnfStyle w:val="001000000000" w:firstRow="0" w:lastRow="0" w:firstColumn="1" w:lastColumn="0" w:oddVBand="0" w:evenVBand="0" w:oddHBand="0" w:evenHBand="0" w:firstRowFirstColumn="0" w:firstRowLastColumn="0" w:lastRowFirstColumn="0" w:lastRowLastColumn="0"/>
            <w:tcW w:w="11052" w:type="dxa"/>
            <w:gridSpan w:val="11"/>
          </w:tcPr>
          <w:p w:rsidR="00457A75" w:rsidRPr="00606103" w:rsidRDefault="00457A75" w:rsidP="00552746">
            <w:pPr>
              <w:spacing w:line="276" w:lineRule="auto"/>
              <w:ind w:left="23"/>
              <w:rPr>
                <w:rFonts w:asciiTheme="majorHAnsi" w:eastAsia="Times New Roman" w:hAnsiTheme="majorHAnsi" w:cstheme="majorHAnsi"/>
                <w:b w:val="0"/>
                <w:sz w:val="20"/>
                <w:szCs w:val="20"/>
                <w:lang w:val="ro-MD" w:eastAsia="ru-RU"/>
              </w:rPr>
            </w:pPr>
            <w:r w:rsidRPr="00606103">
              <w:rPr>
                <w:rFonts w:asciiTheme="majorHAnsi" w:eastAsia="Times New Roman" w:hAnsiTheme="majorHAnsi" w:cstheme="majorHAnsi"/>
                <w:b w:val="0"/>
                <w:sz w:val="20"/>
                <w:szCs w:val="20"/>
                <w:lang w:val="ro-MD" w:eastAsia="ru-RU"/>
              </w:rPr>
              <w:t xml:space="preserve">* Produsul intern brut luat în calcul pentru anul 2020, conform datelor </w:t>
            </w:r>
            <w:r w:rsidR="00185C55" w:rsidRPr="00606103">
              <w:rPr>
                <w:rFonts w:asciiTheme="majorHAnsi" w:eastAsia="Times New Roman" w:hAnsiTheme="majorHAnsi" w:cstheme="majorHAnsi"/>
                <w:b w:val="0"/>
                <w:sz w:val="20"/>
                <w:szCs w:val="20"/>
                <w:lang w:val="ro-MD" w:eastAsia="ru-RU"/>
              </w:rPr>
              <w:t xml:space="preserve">actualizate ale </w:t>
            </w:r>
            <w:r w:rsidRPr="00606103">
              <w:rPr>
                <w:rFonts w:asciiTheme="majorHAnsi" w:eastAsia="Times New Roman" w:hAnsiTheme="majorHAnsi" w:cstheme="majorHAnsi"/>
                <w:b w:val="0"/>
                <w:sz w:val="20"/>
                <w:szCs w:val="20"/>
                <w:lang w:val="ro-MD" w:eastAsia="ru-RU"/>
              </w:rPr>
              <w:t xml:space="preserve">BNS, este de </w:t>
            </w:r>
            <w:r w:rsidR="00650B90" w:rsidRPr="00606103">
              <w:rPr>
                <w:rFonts w:asciiTheme="majorHAnsi" w:eastAsia="Times New Roman" w:hAnsiTheme="majorHAnsi" w:cstheme="majorHAnsi"/>
                <w:b w:val="0"/>
                <w:sz w:val="20"/>
                <w:szCs w:val="20"/>
                <w:lang w:val="ro-MD" w:eastAsia="ru-RU"/>
              </w:rPr>
              <w:t>206.352,0</w:t>
            </w:r>
            <w:r w:rsidRPr="00606103">
              <w:rPr>
                <w:rFonts w:asciiTheme="majorHAnsi" w:eastAsia="Times New Roman" w:hAnsiTheme="majorHAnsi" w:cstheme="majorHAnsi"/>
                <w:b w:val="0"/>
                <w:sz w:val="20"/>
                <w:szCs w:val="20"/>
                <w:lang w:val="ro-MD" w:eastAsia="ru-RU"/>
              </w:rPr>
              <w:t xml:space="preserve"> m</w:t>
            </w:r>
            <w:r w:rsidR="00185C55" w:rsidRPr="00606103">
              <w:rPr>
                <w:rFonts w:asciiTheme="majorHAnsi" w:eastAsia="Times New Roman" w:hAnsiTheme="majorHAnsi" w:cstheme="majorHAnsi"/>
                <w:b w:val="0"/>
                <w:sz w:val="20"/>
                <w:szCs w:val="20"/>
                <w:lang w:val="ro-MD" w:eastAsia="ru-RU"/>
              </w:rPr>
              <w:t>i</w:t>
            </w:r>
            <w:r w:rsidRPr="00606103">
              <w:rPr>
                <w:rFonts w:asciiTheme="majorHAnsi" w:eastAsia="Times New Roman" w:hAnsiTheme="majorHAnsi" w:cstheme="majorHAnsi"/>
                <w:b w:val="0"/>
                <w:sz w:val="20"/>
                <w:szCs w:val="20"/>
                <w:lang w:val="ro-MD" w:eastAsia="ru-RU"/>
              </w:rPr>
              <w:t>l. lei.</w:t>
            </w:r>
          </w:p>
          <w:p w:rsidR="00457A75" w:rsidRPr="00606103" w:rsidRDefault="00457A75" w:rsidP="00552746">
            <w:pPr>
              <w:spacing w:line="276" w:lineRule="auto"/>
              <w:rPr>
                <w:rFonts w:asciiTheme="majorHAnsi" w:eastAsia="Times New Roman" w:hAnsiTheme="majorHAnsi" w:cstheme="majorHAnsi"/>
                <w:iCs/>
                <w:sz w:val="22"/>
                <w:lang w:val="ro-MD" w:eastAsia="ru-RU"/>
              </w:rPr>
            </w:pPr>
            <w:r w:rsidRPr="00606103">
              <w:rPr>
                <w:rFonts w:asciiTheme="majorHAnsi" w:eastAsia="Times New Roman" w:hAnsiTheme="majorHAnsi" w:cstheme="majorHAnsi"/>
                <w:b w:val="0"/>
                <w:sz w:val="20"/>
                <w:szCs w:val="20"/>
                <w:lang w:val="ro-MD" w:eastAsia="ru-RU"/>
              </w:rPr>
              <w:t>** Produsul intern brut luat în calcul pentru anul 2021, conform datelor preliminare ale BNS, este de 241</w:t>
            </w:r>
            <w:r w:rsidR="00185C55" w:rsidRPr="00606103">
              <w:rPr>
                <w:rFonts w:asciiTheme="majorHAnsi" w:eastAsia="Times New Roman" w:hAnsiTheme="majorHAnsi" w:cstheme="majorHAnsi"/>
                <w:b w:val="0"/>
                <w:sz w:val="20"/>
                <w:szCs w:val="20"/>
                <w:lang w:val="ro-MD" w:eastAsia="ru-RU"/>
              </w:rPr>
              <w:t>.871,0</w:t>
            </w:r>
            <w:r w:rsidRPr="00606103">
              <w:rPr>
                <w:rFonts w:asciiTheme="majorHAnsi" w:eastAsia="Times New Roman" w:hAnsiTheme="majorHAnsi" w:cstheme="majorHAnsi"/>
                <w:b w:val="0"/>
                <w:sz w:val="20"/>
                <w:szCs w:val="20"/>
                <w:lang w:val="ro-MD" w:eastAsia="ru-RU"/>
              </w:rPr>
              <w:t xml:space="preserve"> m</w:t>
            </w:r>
            <w:r w:rsidR="00185C55" w:rsidRPr="00606103">
              <w:rPr>
                <w:rFonts w:asciiTheme="majorHAnsi" w:eastAsia="Times New Roman" w:hAnsiTheme="majorHAnsi" w:cstheme="majorHAnsi"/>
                <w:b w:val="0"/>
                <w:sz w:val="20"/>
                <w:szCs w:val="20"/>
                <w:lang w:val="ro-MD" w:eastAsia="ru-RU"/>
              </w:rPr>
              <w:t>i</w:t>
            </w:r>
            <w:r w:rsidRPr="00606103">
              <w:rPr>
                <w:rFonts w:asciiTheme="majorHAnsi" w:eastAsia="Times New Roman" w:hAnsiTheme="majorHAnsi" w:cstheme="majorHAnsi"/>
                <w:b w:val="0"/>
                <w:sz w:val="20"/>
                <w:szCs w:val="20"/>
                <w:lang w:val="ro-MD" w:eastAsia="ru-RU"/>
              </w:rPr>
              <w:t>l. lei.</w:t>
            </w:r>
          </w:p>
        </w:tc>
      </w:tr>
    </w:tbl>
    <w:p w:rsidR="00457A75" w:rsidRPr="00606103" w:rsidRDefault="00457A75" w:rsidP="00552746">
      <w:pPr>
        <w:spacing w:after="0" w:line="276" w:lineRule="auto"/>
        <w:ind w:left="1701"/>
        <w:rPr>
          <w:rFonts w:asciiTheme="majorHAnsi" w:hAnsiTheme="majorHAnsi" w:cstheme="majorHAnsi"/>
          <w:i/>
          <w:sz w:val="20"/>
          <w:szCs w:val="20"/>
          <w:lang w:val="ro-MD"/>
        </w:rPr>
      </w:pPr>
      <w:r w:rsidRPr="00606103">
        <w:rPr>
          <w:rFonts w:asciiTheme="majorHAnsi" w:hAnsiTheme="majorHAnsi" w:cstheme="majorHAnsi"/>
          <w:b/>
          <w:i/>
          <w:sz w:val="20"/>
          <w:szCs w:val="20"/>
          <w:lang w:val="ro-MD"/>
        </w:rPr>
        <w:t>Notă:</w:t>
      </w:r>
      <w:r w:rsidRPr="00606103">
        <w:rPr>
          <w:rFonts w:asciiTheme="majorHAnsi" w:hAnsiTheme="majorHAnsi" w:cstheme="majorHAnsi"/>
          <w:b/>
          <w:sz w:val="20"/>
          <w:szCs w:val="20"/>
          <w:lang w:val="ro-MD"/>
        </w:rPr>
        <w:t xml:space="preserve"> </w:t>
      </w:r>
      <w:r w:rsidRPr="00606103">
        <w:rPr>
          <w:rFonts w:asciiTheme="majorHAnsi" w:hAnsiTheme="majorHAnsi" w:cstheme="majorHAnsi"/>
          <w:i/>
          <w:sz w:val="20"/>
          <w:szCs w:val="20"/>
          <w:lang w:val="ro-MD"/>
        </w:rPr>
        <w:t>Datele referitor la venituri și cheltuieli ale componentelor BPN sunt prezentate cu transferurile între bugete.</w:t>
      </w:r>
    </w:p>
    <w:p w:rsidR="00457A75" w:rsidRPr="00606103" w:rsidRDefault="00457A75" w:rsidP="00FE3F3B">
      <w:pPr>
        <w:shd w:val="clear" w:color="auto" w:fill="FFFFFF" w:themeFill="background1"/>
        <w:tabs>
          <w:tab w:val="left" w:pos="284"/>
          <w:tab w:val="left" w:pos="567"/>
          <w:tab w:val="left" w:pos="6237"/>
          <w:tab w:val="left" w:pos="6379"/>
        </w:tabs>
        <w:spacing w:after="0" w:line="276" w:lineRule="auto"/>
        <w:ind w:left="1701"/>
        <w:contextualSpacing/>
        <w:rPr>
          <w:rFonts w:asciiTheme="majorHAnsi" w:eastAsia="Times New Roman" w:hAnsiTheme="majorHAnsi" w:cstheme="majorHAnsi"/>
          <w:b/>
          <w:sz w:val="24"/>
          <w:szCs w:val="24"/>
          <w:lang w:val="ro-MD"/>
        </w:rPr>
      </w:pPr>
      <w:r w:rsidRPr="00606103">
        <w:rPr>
          <w:rFonts w:asciiTheme="majorHAnsi" w:hAnsiTheme="majorHAnsi" w:cstheme="majorHAnsi"/>
          <w:b/>
          <w:i/>
          <w:sz w:val="20"/>
          <w:szCs w:val="20"/>
          <w:lang w:val="ro-MD"/>
        </w:rPr>
        <w:t>Sursă:</w:t>
      </w:r>
      <w:r w:rsidRPr="00606103">
        <w:rPr>
          <w:rFonts w:asciiTheme="majorHAnsi" w:hAnsiTheme="majorHAnsi" w:cstheme="majorHAnsi"/>
          <w:sz w:val="20"/>
          <w:szCs w:val="20"/>
          <w:lang w:val="ro-MD"/>
        </w:rPr>
        <w:t xml:space="preserve"> </w:t>
      </w:r>
      <w:r w:rsidRPr="00606103">
        <w:rPr>
          <w:rFonts w:asciiTheme="majorHAnsi" w:hAnsiTheme="majorHAnsi" w:cstheme="majorHAnsi"/>
          <w:i/>
          <w:sz w:val="20"/>
          <w:szCs w:val="20"/>
          <w:lang w:val="ro-MD"/>
        </w:rPr>
        <w:t>Rapo</w:t>
      </w:r>
      <w:r w:rsidR="00DF2A11" w:rsidRPr="00606103">
        <w:rPr>
          <w:rFonts w:asciiTheme="majorHAnsi" w:hAnsiTheme="majorHAnsi" w:cstheme="majorHAnsi"/>
          <w:i/>
          <w:sz w:val="20"/>
          <w:szCs w:val="20"/>
          <w:lang w:val="ro-MD"/>
        </w:rPr>
        <w:t>a</w:t>
      </w:r>
      <w:r w:rsidRPr="00606103">
        <w:rPr>
          <w:rFonts w:asciiTheme="majorHAnsi" w:hAnsiTheme="majorHAnsi" w:cstheme="majorHAnsi"/>
          <w:i/>
          <w:sz w:val="20"/>
          <w:szCs w:val="20"/>
          <w:lang w:val="ro-MD"/>
        </w:rPr>
        <w:t>rt</w:t>
      </w:r>
      <w:r w:rsidR="00DF2A11" w:rsidRPr="00606103">
        <w:rPr>
          <w:rFonts w:asciiTheme="majorHAnsi" w:hAnsiTheme="majorHAnsi" w:cstheme="majorHAnsi"/>
          <w:i/>
          <w:sz w:val="20"/>
          <w:szCs w:val="20"/>
          <w:lang w:val="ro-MD"/>
        </w:rPr>
        <w:t>e</w:t>
      </w:r>
      <w:r w:rsidRPr="00606103">
        <w:rPr>
          <w:rFonts w:asciiTheme="majorHAnsi" w:hAnsiTheme="majorHAnsi" w:cstheme="majorHAnsi"/>
          <w:i/>
          <w:sz w:val="20"/>
          <w:szCs w:val="20"/>
          <w:lang w:val="ro-MD"/>
        </w:rPr>
        <w:t>l</w:t>
      </w:r>
      <w:r w:rsidR="00DF2A11" w:rsidRPr="00606103">
        <w:rPr>
          <w:rFonts w:asciiTheme="majorHAnsi" w:hAnsiTheme="majorHAnsi" w:cstheme="majorHAnsi"/>
          <w:i/>
          <w:sz w:val="20"/>
          <w:szCs w:val="20"/>
          <w:lang w:val="ro-MD"/>
        </w:rPr>
        <w:t>e</w:t>
      </w:r>
      <w:r w:rsidRPr="00606103">
        <w:rPr>
          <w:rFonts w:asciiTheme="majorHAnsi" w:hAnsiTheme="majorHAnsi" w:cstheme="majorHAnsi"/>
          <w:i/>
          <w:sz w:val="20"/>
          <w:szCs w:val="20"/>
          <w:lang w:val="ro-MD"/>
        </w:rPr>
        <w:t xml:space="preserve"> privind executarea bugetului de stat pentru anul 2021 și pentru anul 2020.</w:t>
      </w:r>
    </w:p>
    <w:p w:rsidR="00B704DA" w:rsidRPr="00606103" w:rsidRDefault="00B704DA">
      <w:pPr>
        <w:spacing w:after="0" w:line="276" w:lineRule="auto"/>
        <w:rPr>
          <w:rFonts w:asciiTheme="majorHAnsi" w:hAnsiTheme="majorHAnsi" w:cstheme="majorHAnsi"/>
          <w:iCs/>
          <w:sz w:val="24"/>
          <w:szCs w:val="24"/>
          <w:lang w:val="ro-MD"/>
        </w:rPr>
      </w:pPr>
      <w:r w:rsidRPr="00606103">
        <w:rPr>
          <w:rFonts w:asciiTheme="majorHAnsi" w:hAnsiTheme="majorHAnsi" w:cstheme="majorHAnsi"/>
          <w:sz w:val="20"/>
          <w:szCs w:val="20"/>
          <w:lang w:val="ro-MD"/>
        </w:rPr>
        <w:t>Auditul relevă că, potrivit datelor Raportului, încasarea veniturilor la BPN s-a realizat peste nivelul precizat cu 4 109,6 mil. lei, inclusiv: la BS - cu 3 518,9 mil. lei, la BUAT – cu 260,1 mil. lei</w:t>
      </w:r>
      <w:r w:rsidR="00DF2A11" w:rsidRPr="00606103">
        <w:rPr>
          <w:rFonts w:asciiTheme="majorHAnsi" w:hAnsiTheme="majorHAnsi" w:cstheme="majorHAnsi"/>
          <w:sz w:val="20"/>
          <w:szCs w:val="20"/>
          <w:lang w:val="ro-MD"/>
        </w:rPr>
        <w:t>,</w:t>
      </w:r>
      <w:r w:rsidRPr="00606103">
        <w:rPr>
          <w:rFonts w:asciiTheme="majorHAnsi" w:hAnsiTheme="majorHAnsi" w:cstheme="majorHAnsi"/>
          <w:sz w:val="20"/>
          <w:szCs w:val="20"/>
          <w:lang w:val="ro-MD"/>
        </w:rPr>
        <w:t xml:space="preserve"> și la FAOAM – cu 82,7 mil. lei, iar veniturile la BASS au fost încasate sub nivelul precizat cu (-383,3 mil. lei). Totodată, cel mai scăzut nivel de executare a cheltuielilor bugetelor componente ale BPN față de cheltuielile precizate a fost raportat de BUAT – 89,1%, urmate fiind de BS – 93,9%. Totodată, cheltuielile la FAOAM au înregistrat un nivel de execuție de 97,4% și, respectiv, la BASS </w:t>
      </w:r>
      <w:r w:rsidR="00DF2A11" w:rsidRPr="00606103">
        <w:rPr>
          <w:rFonts w:asciiTheme="majorHAnsi" w:hAnsiTheme="majorHAnsi" w:cstheme="majorHAnsi"/>
          <w:sz w:val="20"/>
          <w:szCs w:val="20"/>
          <w:lang w:val="ro-MD"/>
        </w:rPr>
        <w:t>–</w:t>
      </w:r>
      <w:r w:rsidRPr="00606103">
        <w:rPr>
          <w:rFonts w:asciiTheme="majorHAnsi" w:hAnsiTheme="majorHAnsi" w:cstheme="majorHAnsi"/>
          <w:sz w:val="20"/>
          <w:szCs w:val="20"/>
          <w:lang w:val="ro-MD"/>
        </w:rPr>
        <w:t xml:space="preserve"> de 98,4%. </w:t>
      </w:r>
    </w:p>
    <w:p w:rsidR="00457A75" w:rsidRPr="00606103" w:rsidRDefault="00457A75">
      <w:pPr>
        <w:shd w:val="clear" w:color="auto" w:fill="FFFFFF" w:themeFill="background1"/>
        <w:tabs>
          <w:tab w:val="left" w:pos="284"/>
          <w:tab w:val="left" w:pos="567"/>
          <w:tab w:val="left" w:pos="6237"/>
          <w:tab w:val="left" w:pos="6379"/>
        </w:tabs>
        <w:spacing w:after="0" w:line="276" w:lineRule="auto"/>
        <w:contextualSpacing/>
        <w:jc w:val="center"/>
        <w:rPr>
          <w:rFonts w:asciiTheme="majorHAnsi" w:eastAsia="Times New Roman" w:hAnsiTheme="majorHAnsi" w:cstheme="majorHAnsi"/>
          <w:b/>
          <w:sz w:val="24"/>
          <w:szCs w:val="24"/>
          <w:lang w:val="ro-MD"/>
        </w:rPr>
      </w:pPr>
    </w:p>
    <w:p w:rsidR="00457A75" w:rsidRPr="00606103" w:rsidRDefault="00457A75">
      <w:pPr>
        <w:shd w:val="clear" w:color="auto" w:fill="FFFFFF" w:themeFill="background1"/>
        <w:tabs>
          <w:tab w:val="left" w:pos="284"/>
          <w:tab w:val="left" w:pos="567"/>
          <w:tab w:val="left" w:pos="6237"/>
          <w:tab w:val="left" w:pos="6379"/>
        </w:tabs>
        <w:spacing w:after="0" w:line="276" w:lineRule="auto"/>
        <w:contextualSpacing/>
        <w:jc w:val="center"/>
        <w:rPr>
          <w:rFonts w:asciiTheme="majorHAnsi" w:eastAsia="Times New Roman" w:hAnsiTheme="majorHAnsi" w:cstheme="majorHAnsi"/>
          <w:b/>
          <w:sz w:val="24"/>
          <w:szCs w:val="24"/>
          <w:lang w:val="ro-MD"/>
        </w:rPr>
        <w:sectPr w:rsidR="00457A75" w:rsidRPr="00606103" w:rsidSect="005845D7">
          <w:pgSz w:w="15840" w:h="12240" w:orient="landscape"/>
          <w:pgMar w:top="709" w:right="533" w:bottom="709" w:left="851" w:header="709" w:footer="709" w:gutter="0"/>
          <w:cols w:space="708"/>
          <w:docGrid w:linePitch="381"/>
        </w:sectPr>
      </w:pPr>
    </w:p>
    <w:p w:rsidR="00DD1A5A" w:rsidRPr="00606103" w:rsidRDefault="00DD1A5A">
      <w:pPr>
        <w:tabs>
          <w:tab w:val="left" w:pos="720"/>
        </w:tabs>
        <w:spacing w:after="0" w:line="276" w:lineRule="auto"/>
        <w:jc w:val="center"/>
        <w:rPr>
          <w:rFonts w:asciiTheme="majorHAnsi" w:eastAsia="Times New Roman" w:hAnsiTheme="majorHAnsi" w:cstheme="majorHAnsi"/>
          <w:b/>
          <w:bCs/>
          <w:szCs w:val="28"/>
          <w:lang w:val="ro-MD"/>
        </w:rPr>
      </w:pPr>
      <w:r w:rsidRPr="00606103">
        <w:rPr>
          <w:rFonts w:asciiTheme="majorHAnsi" w:eastAsia="Times New Roman" w:hAnsiTheme="majorHAnsi" w:cstheme="majorHAnsi"/>
          <w:b/>
          <w:bCs/>
          <w:szCs w:val="28"/>
          <w:lang w:val="ro-MD"/>
        </w:rPr>
        <w:lastRenderedPageBreak/>
        <w:t>Lista acronimelor</w:t>
      </w:r>
    </w:p>
    <w:tbl>
      <w:tblPr>
        <w:tblStyle w:val="GridTable1Light"/>
        <w:tblW w:w="0" w:type="auto"/>
        <w:jc w:val="center"/>
        <w:tblLook w:val="04A0" w:firstRow="1" w:lastRow="0" w:firstColumn="1" w:lastColumn="0" w:noHBand="0" w:noVBand="1"/>
      </w:tblPr>
      <w:tblGrid>
        <w:gridCol w:w="1555"/>
        <w:gridCol w:w="7229"/>
      </w:tblGrid>
      <w:tr w:rsidR="00DD1A5A" w:rsidRPr="00606103" w:rsidTr="005845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Acronimul</w:t>
            </w:r>
          </w:p>
        </w:tc>
        <w:tc>
          <w:tcPr>
            <w:tcW w:w="7229" w:type="dxa"/>
          </w:tcPr>
          <w:p w:rsidR="00DD1A5A" w:rsidRPr="00606103" w:rsidRDefault="00DD1A5A">
            <w:pPr>
              <w:tabs>
                <w:tab w:val="left" w:pos="72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Termenul abreviat</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ANI</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Autoritatea Națională de Integritate</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APC</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Administrația publică centrală</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APL</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Administrația publică locală</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APP</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Agenția Proprietății Publice</w:t>
            </w:r>
          </w:p>
        </w:tc>
      </w:tr>
      <w:tr w:rsidR="006B39D5"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B39D5" w:rsidRPr="00606103" w:rsidRDefault="006B39D5"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ASD</w:t>
            </w:r>
          </w:p>
        </w:tc>
        <w:tc>
          <w:tcPr>
            <w:tcW w:w="7229" w:type="dxa"/>
          </w:tcPr>
          <w:p w:rsidR="006B39D5" w:rsidRPr="00606103" w:rsidRDefault="006B39D5">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Administrația de Stat a Drumurilor</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BASS</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Bugetul asigurărilor sociale de stat</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BL</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Bugetul local</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BNM</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Banca Națională a Moldovei</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BPN</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Bugetul public național</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BNS</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Biroul Național de Statistică</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BUAT</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Bugetul unităților administrativ-teritoriale</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BS</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Bugetul de stat</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CBTM</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Cadrul bugetar pe termen mediu</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CEC</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Comisia Electorală Centrală</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CEDO</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sz w:val="20"/>
                <w:szCs w:val="20"/>
                <w:lang w:val="ro-MD"/>
              </w:rPr>
              <w:t>Curtea Europeană a Drepturilor Omului</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CIM</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Control intern managerial</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CNA</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Centrul Național Anticorupție</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CNAS</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Casa Națională de Asigurări Sociale</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Cod ECO</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Cod economic</w:t>
            </w:r>
          </w:p>
        </w:tc>
      </w:tr>
      <w:tr w:rsidR="003B3483"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B3483" w:rsidRPr="00606103" w:rsidRDefault="003B3483"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CTIF</w:t>
            </w:r>
          </w:p>
        </w:tc>
        <w:tc>
          <w:tcPr>
            <w:tcW w:w="7229" w:type="dxa"/>
          </w:tcPr>
          <w:p w:rsidR="003B3483" w:rsidRPr="00606103" w:rsidRDefault="003B3483">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CUT</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 xml:space="preserve">Cont unic </w:t>
            </w:r>
            <w:r w:rsidR="00DF2A11" w:rsidRPr="00606103">
              <w:rPr>
                <w:rFonts w:asciiTheme="majorHAnsi" w:eastAsia="Times New Roman" w:hAnsiTheme="majorHAnsi" w:cstheme="majorHAnsi"/>
                <w:bCs/>
                <w:sz w:val="20"/>
                <w:szCs w:val="20"/>
                <w:lang w:val="ro-MD"/>
              </w:rPr>
              <w:t>t</w:t>
            </w:r>
            <w:r w:rsidRPr="00606103">
              <w:rPr>
                <w:rFonts w:asciiTheme="majorHAnsi" w:eastAsia="Times New Roman" w:hAnsiTheme="majorHAnsi" w:cstheme="majorHAnsi"/>
                <w:bCs/>
                <w:sz w:val="20"/>
                <w:szCs w:val="20"/>
                <w:lang w:val="ro-MD"/>
              </w:rPr>
              <w:t>rezorerial</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FAOAM</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Fondurile asigurării obligatorii de asistență medicală</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FISM</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Fondul de Investiții Sociale din Moldova</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HG</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Hotărâre de Guvern</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HCC</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Hotărârea Curții de Conturi</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IP</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Instituția publică</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ÎS</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Întreprindere de Stat</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MA</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Ministerul Apărării</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hAnsiTheme="majorHAnsi" w:cstheme="majorHAnsi"/>
                <w:color w:val="212121"/>
                <w:sz w:val="20"/>
                <w:szCs w:val="20"/>
                <w:lang w:val="ro-MD"/>
              </w:rPr>
              <w:t>MAEIE</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Ministerul Afacerilor Externe și Integrării Europene</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MADRM</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Ministerul Agriculturii, Dezvoltării Regionale și Mediului</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MAI</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Ministerul Afacerilor Interne</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MECC</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Ministerul Educației, Culturii și Cercetării</w:t>
            </w:r>
          </w:p>
        </w:tc>
      </w:tr>
      <w:tr w:rsidR="00852D08"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852D08" w:rsidRPr="00606103" w:rsidRDefault="00852D08"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MEC</w:t>
            </w:r>
          </w:p>
        </w:tc>
        <w:tc>
          <w:tcPr>
            <w:tcW w:w="7229" w:type="dxa"/>
          </w:tcPr>
          <w:p w:rsidR="00852D08" w:rsidRPr="00606103" w:rsidRDefault="00852D08">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Ministerul Educației și Cercetării</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MEI</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Ministerul Economiei și Infrastructurii</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MF</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Ministerul Finanțelor</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MJ</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Ministerul Justiției</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MSMPS</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Ministerul Sănătății, Muncii și Protecției Sociale</w:t>
            </w:r>
          </w:p>
        </w:tc>
      </w:tr>
      <w:tr w:rsidR="00852D08"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852D08" w:rsidRPr="00606103" w:rsidRDefault="00852D08"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MIDR</w:t>
            </w:r>
          </w:p>
        </w:tc>
        <w:tc>
          <w:tcPr>
            <w:tcW w:w="7229" w:type="dxa"/>
          </w:tcPr>
          <w:p w:rsidR="00852D08" w:rsidRPr="00606103" w:rsidRDefault="00852D08">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606103">
              <w:rPr>
                <w:rFonts w:asciiTheme="majorHAnsi" w:hAnsiTheme="majorHAnsi" w:cstheme="majorHAnsi"/>
                <w:sz w:val="20"/>
                <w:szCs w:val="20"/>
                <w:lang w:val="ro-MD"/>
              </w:rPr>
              <w:t>Ministerul Infrastructurii și Dezvoltării Regionale</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ODIMM</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hAnsiTheme="majorHAnsi" w:cstheme="majorHAnsi"/>
                <w:sz w:val="20"/>
                <w:szCs w:val="20"/>
                <w:lang w:val="ro-MD"/>
              </w:rPr>
              <w:t xml:space="preserve">Organizația pentru Dezvoltarea Sectorului Întreprinderilor Mici și Mijlocii </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PIB</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Produsul Intern Brut</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PNUD</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Proiectul Națiunilor Unite pentru Dezvoltare</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RM</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Republica Moldova</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SA</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Societate pe acțiuni</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lastRenderedPageBreak/>
              <w:t>SAI</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Serviciul audit intern</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SI</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Sistem informațional</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SIS</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Serviciul de Informații și Securitate</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SFS</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Serviciul Fiscal de Stat</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SV</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Serviciul Vamal</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SRL</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Societate cu răspundere limitată</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TVA</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Taxa pe valoarea adăugată</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TI</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Tehnologii informaționale</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TDS</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Transferuri cu destinație specială</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TS</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Trezoreria de Stat</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UAT</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Unitățile administrativ</w:t>
            </w:r>
            <w:r w:rsidR="00371C6A" w:rsidRPr="00606103">
              <w:rPr>
                <w:rFonts w:asciiTheme="majorHAnsi" w:eastAsia="Times New Roman" w:hAnsiTheme="majorHAnsi" w:cstheme="majorHAnsi"/>
                <w:bCs/>
                <w:sz w:val="20"/>
                <w:szCs w:val="20"/>
                <w:lang w:val="ro-MD"/>
              </w:rPr>
              <w:t>-</w:t>
            </w:r>
            <w:r w:rsidRPr="00606103">
              <w:rPr>
                <w:rFonts w:asciiTheme="majorHAnsi" w:eastAsia="Times New Roman" w:hAnsiTheme="majorHAnsi" w:cstheme="majorHAnsi"/>
                <w:bCs/>
                <w:sz w:val="20"/>
                <w:szCs w:val="20"/>
                <w:lang w:val="ro-MD"/>
              </w:rPr>
              <w:t>teritoriale</w:t>
            </w:r>
          </w:p>
        </w:tc>
      </w:tr>
      <w:tr w:rsidR="00DD1A5A" w:rsidRPr="00606103" w:rsidTr="005845D7">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D1A5A" w:rsidRPr="00606103" w:rsidRDefault="00DD1A5A" w:rsidP="00FE3F3B">
            <w:pPr>
              <w:tabs>
                <w:tab w:val="left" w:pos="720"/>
              </w:tabs>
              <w:spacing w:line="276" w:lineRule="auto"/>
              <w:jc w:val="center"/>
              <w:rPr>
                <w:rFonts w:asciiTheme="majorHAnsi" w:eastAsia="Times New Roman" w:hAnsiTheme="majorHAnsi" w:cstheme="majorHAnsi"/>
                <w:sz w:val="20"/>
                <w:szCs w:val="20"/>
                <w:lang w:val="ro-MD"/>
              </w:rPr>
            </w:pPr>
            <w:r w:rsidRPr="00606103">
              <w:rPr>
                <w:rFonts w:asciiTheme="majorHAnsi" w:eastAsia="Times New Roman" w:hAnsiTheme="majorHAnsi" w:cstheme="majorHAnsi"/>
                <w:sz w:val="20"/>
                <w:szCs w:val="20"/>
                <w:lang w:val="ro-MD"/>
              </w:rPr>
              <w:t>VMS</w:t>
            </w:r>
          </w:p>
        </w:tc>
        <w:tc>
          <w:tcPr>
            <w:tcW w:w="7229" w:type="dxa"/>
          </w:tcPr>
          <w:p w:rsidR="00DD1A5A" w:rsidRPr="00606103" w:rsidRDefault="00DD1A5A">
            <w:pPr>
              <w:tabs>
                <w:tab w:val="left" w:pos="720"/>
              </w:tabs>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606103">
              <w:rPr>
                <w:rFonts w:asciiTheme="majorHAnsi" w:eastAsia="Times New Roman" w:hAnsiTheme="majorHAnsi" w:cstheme="majorHAnsi"/>
                <w:bCs/>
                <w:sz w:val="20"/>
                <w:szCs w:val="20"/>
                <w:lang w:val="ro-MD"/>
              </w:rPr>
              <w:t>Valori mobiliare de stat</w:t>
            </w:r>
          </w:p>
        </w:tc>
      </w:tr>
    </w:tbl>
    <w:p w:rsidR="00DD1A5A" w:rsidRPr="00606103" w:rsidRDefault="00DD1A5A" w:rsidP="00552746">
      <w:pPr>
        <w:pStyle w:val="ListParagraph"/>
        <w:spacing w:line="276" w:lineRule="auto"/>
        <w:ind w:left="1440"/>
        <w:jc w:val="left"/>
        <w:rPr>
          <w:rFonts w:asciiTheme="majorHAnsi" w:hAnsiTheme="majorHAnsi" w:cstheme="majorHAnsi"/>
          <w:b/>
          <w:sz w:val="24"/>
          <w:szCs w:val="24"/>
          <w:lang w:val="ro-MD"/>
        </w:rPr>
      </w:pPr>
    </w:p>
    <w:p w:rsidR="00D31FE8" w:rsidRPr="00606103" w:rsidRDefault="00D31FE8" w:rsidP="00FE3F3B">
      <w:pPr>
        <w:spacing w:after="0" w:line="276" w:lineRule="auto"/>
        <w:rPr>
          <w:rFonts w:asciiTheme="majorHAnsi" w:hAnsiTheme="majorHAnsi" w:cstheme="majorHAnsi"/>
          <w:lang w:val="ro-MD"/>
        </w:rPr>
      </w:pPr>
    </w:p>
    <w:sectPr w:rsidR="00D31FE8" w:rsidRPr="00606103" w:rsidSect="005845D7">
      <w:pgSz w:w="12240" w:h="15840"/>
      <w:pgMar w:top="851" w:right="758" w:bottom="1701"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7D" w:rsidRDefault="0043007D" w:rsidP="00C26645">
      <w:pPr>
        <w:spacing w:after="0" w:line="240" w:lineRule="auto"/>
      </w:pPr>
      <w:r>
        <w:separator/>
      </w:r>
    </w:p>
  </w:endnote>
  <w:endnote w:type="continuationSeparator" w:id="0">
    <w:p w:rsidR="0043007D" w:rsidRDefault="0043007D" w:rsidP="00C2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03638"/>
      <w:docPartObj>
        <w:docPartGallery w:val="Page Numbers (Bottom of Page)"/>
        <w:docPartUnique/>
      </w:docPartObj>
    </w:sdtPr>
    <w:sdtEndPr>
      <w:rPr>
        <w:noProof/>
      </w:rPr>
    </w:sdtEndPr>
    <w:sdtContent>
      <w:p w:rsidR="006A6B75" w:rsidRDefault="006A6B75" w:rsidP="00CB55E7">
        <w:pPr>
          <w:pStyle w:val="Footer"/>
          <w:jc w:val="right"/>
        </w:pPr>
        <w:r w:rsidRPr="006A6B75">
          <w:rPr>
            <w:sz w:val="24"/>
            <w:szCs w:val="24"/>
          </w:rPr>
          <w:fldChar w:fldCharType="begin"/>
        </w:r>
        <w:r w:rsidRPr="006A6B75">
          <w:rPr>
            <w:sz w:val="24"/>
            <w:szCs w:val="24"/>
          </w:rPr>
          <w:instrText xml:space="preserve"> PAGE   \* MERGEFORMAT </w:instrText>
        </w:r>
        <w:r w:rsidRPr="006A6B75">
          <w:rPr>
            <w:sz w:val="24"/>
            <w:szCs w:val="24"/>
          </w:rPr>
          <w:fldChar w:fldCharType="separate"/>
        </w:r>
        <w:r w:rsidR="00C10864">
          <w:rPr>
            <w:noProof/>
            <w:sz w:val="24"/>
            <w:szCs w:val="24"/>
          </w:rPr>
          <w:t>65</w:t>
        </w:r>
        <w:r w:rsidRPr="006A6B7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7D" w:rsidRDefault="0043007D" w:rsidP="00C26645">
      <w:pPr>
        <w:spacing w:after="0" w:line="240" w:lineRule="auto"/>
      </w:pPr>
      <w:r>
        <w:separator/>
      </w:r>
    </w:p>
  </w:footnote>
  <w:footnote w:type="continuationSeparator" w:id="0">
    <w:p w:rsidR="0043007D" w:rsidRDefault="0043007D" w:rsidP="00C26645">
      <w:pPr>
        <w:spacing w:after="0" w:line="240" w:lineRule="auto"/>
      </w:pPr>
      <w:r>
        <w:continuationSeparator/>
      </w:r>
    </w:p>
  </w:footnote>
  <w:footnote w:id="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Componența și denumirea completă a formularelor se prezintă în Anexa nr.1 la prezentul Raport de audit și sunt plasate pe pagina oficială a Ministerului Finanțelor.</w:t>
      </w:r>
    </w:p>
  </w:footnote>
  <w:footnote w:id="2">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Art.31 din Legea finanțelor publice și responsabilității bugetar-fiscale nr.181 din 25.07.2014.</w:t>
      </w:r>
    </w:p>
  </w:footnote>
  <w:footnote w:id="3">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4">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Formularul nr. 13 aprobat prin Ordinul ministrului Finanțelor nr. 133 din 28.12.2021.</w:t>
      </w:r>
    </w:p>
  </w:footnote>
  <w:footnote w:id="5">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Hotărârea Curții de Conturi nr.30/2021 „Cu privire la Raportul auditului financiar asupra Raportului Guvernului privind executarea bugetului de stat pe anul 2020”.</w:t>
      </w:r>
    </w:p>
  </w:footnote>
  <w:footnote w:id="6">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HG nr. 161 din 07.03.2019 cu privire la lista terenurilor proprietate publică de stat din administrarea IP Agenției Proprietății Publice.</w:t>
      </w:r>
    </w:p>
  </w:footnote>
  <w:footnote w:id="7">
    <w:p w:rsidR="006A6B75" w:rsidRPr="00606103" w:rsidRDefault="006A6B75" w:rsidP="00606103">
      <w:pPr>
        <w:pStyle w:val="Heading4"/>
        <w:shd w:val="clear" w:color="auto" w:fill="FFFFFF"/>
        <w:spacing w:before="0" w:line="240" w:lineRule="auto"/>
        <w:jc w:val="both"/>
        <w:rPr>
          <w:rFonts w:cstheme="majorHAnsi"/>
          <w:color w:val="000000" w:themeColor="text1"/>
          <w:sz w:val="16"/>
          <w:szCs w:val="16"/>
          <w:lang w:val="ro-MD"/>
        </w:rPr>
      </w:pPr>
      <w:r w:rsidRPr="00606103">
        <w:rPr>
          <w:rStyle w:val="FootnoteReference"/>
          <w:rFonts w:cstheme="majorHAnsi"/>
          <w:i w:val="0"/>
          <w:color w:val="000000" w:themeColor="text1"/>
          <w:sz w:val="16"/>
          <w:szCs w:val="16"/>
          <w:lang w:val="ro-MD"/>
        </w:rPr>
        <w:footnoteRef/>
      </w:r>
      <w:r w:rsidRPr="00606103">
        <w:rPr>
          <w:rFonts w:cstheme="majorHAnsi"/>
          <w:i w:val="0"/>
          <w:color w:val="000000" w:themeColor="text1"/>
          <w:sz w:val="16"/>
          <w:szCs w:val="16"/>
          <w:lang w:val="ro-MD"/>
        </w:rPr>
        <w:t xml:space="preserve"> Ordinul MF nr.76 din 16.06.2020 „Cu privire la aprobarea </w:t>
      </w:r>
      <w:r w:rsidRPr="00606103">
        <w:rPr>
          <w:rFonts w:eastAsia="Times New Roman" w:cstheme="majorHAnsi"/>
          <w:bCs/>
          <w:i w:val="0"/>
          <w:iCs w:val="0"/>
          <w:color w:val="000000" w:themeColor="text1"/>
          <w:sz w:val="16"/>
          <w:szCs w:val="16"/>
          <w:lang w:val="ro-MD" w:eastAsia="ro-RO"/>
        </w:rPr>
        <w:t>Regulamentului privind rambursarea TVA întreprinderilor care sunt înregistrate în calitate de contribuabili ai TVA și înregistrează sume TVA spre deducere în perioada ulterioară”.</w:t>
      </w:r>
      <w:r w:rsidRPr="00606103">
        <w:rPr>
          <w:rFonts w:eastAsia="Times New Roman" w:cstheme="majorHAnsi"/>
          <w:b/>
          <w:bCs/>
          <w:i w:val="0"/>
          <w:iCs w:val="0"/>
          <w:color w:val="000000" w:themeColor="text1"/>
          <w:sz w:val="16"/>
          <w:szCs w:val="16"/>
          <w:lang w:val="ro-MD" w:eastAsia="ro-RO"/>
        </w:rPr>
        <w:t xml:space="preserve"> </w:t>
      </w:r>
    </w:p>
  </w:footnote>
  <w:footnote w:id="8">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Ordinul MF nr.18 din 01.02.2021 „Cu privire la modificarea Ordinului Ministerului finanțelor nr.76 din 16 iunie 2020”.</w:t>
      </w:r>
    </w:p>
  </w:footnote>
  <w:footnote w:id="9">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Pct.3.9.3 Ordinul MF nr.215 din 28.12.2015 „Cu privire la aprobarea Normelor metodologice privind executarea de casă a bugetelor componente ale bugetului public național prin Contul Unic Trezorerial al Ministerului Finanțelor”.</w:t>
      </w:r>
    </w:p>
  </w:footnote>
  <w:footnote w:id="10">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Pct.7 din Regulamentul cu privire la organizarea și funcționarea Ministerului Finanțelor, aprobat prin HG nr.696 din 30.08.2017.</w:t>
      </w:r>
    </w:p>
  </w:footnote>
  <w:footnote w:id="1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Pct.6 din Regulamentul cu privire la organizarea și funcționarea Ministerului Finanțelor, aprobat prin HG nr.696 din 30.08.2017.</w:t>
      </w:r>
    </w:p>
  </w:footnote>
  <w:footnote w:id="12">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Conform art.128, 128</w:t>
      </w:r>
      <w:r w:rsidRPr="00606103">
        <w:rPr>
          <w:rFonts w:asciiTheme="majorHAnsi" w:hAnsiTheme="majorHAnsi" w:cstheme="majorHAnsi"/>
          <w:sz w:val="16"/>
          <w:szCs w:val="16"/>
          <w:vertAlign w:val="superscript"/>
          <w:lang w:val="ro-MD"/>
        </w:rPr>
        <w:t>2</w:t>
      </w:r>
      <w:r w:rsidRPr="00606103">
        <w:rPr>
          <w:rFonts w:asciiTheme="majorHAnsi" w:hAnsiTheme="majorHAnsi" w:cstheme="majorHAnsi"/>
          <w:sz w:val="16"/>
          <w:szCs w:val="16"/>
          <w:lang w:val="ro-MD"/>
        </w:rPr>
        <w:t xml:space="preserve"> și 128</w:t>
      </w:r>
      <w:r w:rsidRPr="00606103">
        <w:rPr>
          <w:rFonts w:asciiTheme="majorHAnsi" w:hAnsiTheme="majorHAnsi" w:cstheme="majorHAnsi"/>
          <w:sz w:val="16"/>
          <w:szCs w:val="16"/>
          <w:vertAlign w:val="superscript"/>
          <w:lang w:val="ro-MD"/>
        </w:rPr>
        <w:t>3</w:t>
      </w:r>
      <w:r w:rsidRPr="00606103">
        <w:rPr>
          <w:rFonts w:asciiTheme="majorHAnsi" w:hAnsiTheme="majorHAnsi" w:cstheme="majorHAnsi"/>
          <w:sz w:val="16"/>
          <w:szCs w:val="16"/>
          <w:lang w:val="ro-MD"/>
        </w:rPr>
        <w:t xml:space="preserve"> din Codul vamal al Republicii Moldova nr.1149-XIV din 20.07.2000.</w:t>
      </w:r>
    </w:p>
  </w:footnote>
  <w:footnote w:id="13">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w:t>
      </w:r>
      <w:r w:rsidRPr="00606103">
        <w:rPr>
          <w:rFonts w:asciiTheme="majorHAnsi" w:hAnsiTheme="majorHAnsi" w:cstheme="majorHAnsi"/>
          <w:bCs/>
          <w:iCs/>
          <w:sz w:val="16"/>
          <w:szCs w:val="16"/>
          <w:lang w:val="ro-MD"/>
        </w:rPr>
        <w:t xml:space="preserve">Formularul nr.13 </w:t>
      </w:r>
      <w:r w:rsidRPr="00606103">
        <w:rPr>
          <w:rFonts w:asciiTheme="majorHAnsi" w:hAnsiTheme="majorHAnsi" w:cstheme="majorHAnsi"/>
          <w:sz w:val="16"/>
          <w:szCs w:val="16"/>
          <w:lang w:val="ro-MD"/>
        </w:rPr>
        <w:t>al Raportului privind executarea bugetului de stat în anul 2021, cod ECO 811420.</w:t>
      </w:r>
    </w:p>
  </w:footnote>
  <w:footnote w:id="14">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Autoritatea Aeronautică Civilă.</w:t>
      </w:r>
    </w:p>
  </w:footnote>
  <w:footnote w:id="15">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 3.8.12 din Planul de conturi contabile în sistemul bugetar și a Normelor metodologice privind evidența contabilă și raportarea financiară în sistemul bugetar, aprobat prin Ordinul MF nr.216 din 28.12.2015.</w:t>
      </w:r>
    </w:p>
  </w:footnote>
  <w:footnote w:id="16">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„Accounting” din SIIV „Asycuda World”.</w:t>
      </w:r>
    </w:p>
  </w:footnote>
  <w:footnote w:id="17">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Stabilite prin Ordinul nr. 166  din  22.12.2020 „Cu privire la modul de achitare şi evidență a plăților la bugetul public național prin sistemul trezorerial al Ministerului Finanțelor în anul 2021”.</w:t>
      </w:r>
    </w:p>
  </w:footnote>
  <w:footnote w:id="18">
    <w:p w:rsidR="006A6B75" w:rsidRPr="00606103" w:rsidRDefault="006A6B75" w:rsidP="00606103">
      <w:pPr>
        <w:spacing w:after="120" w:line="240" w:lineRule="auto"/>
        <w:rPr>
          <w:rFonts w:asciiTheme="majorHAnsi" w:eastAsia="Calibri" w:hAnsiTheme="majorHAnsi" w:cstheme="majorHAnsi"/>
          <w:color w:val="000000" w:themeColor="text1"/>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w:t>
      </w:r>
      <w:r w:rsidRPr="00606103">
        <w:rPr>
          <w:rFonts w:asciiTheme="majorHAnsi" w:eastAsia="Calibri" w:hAnsiTheme="majorHAnsi" w:cstheme="majorHAnsi"/>
          <w:color w:val="000000" w:themeColor="text1"/>
          <w:sz w:val="16"/>
          <w:szCs w:val="16"/>
          <w:lang w:val="ro-MD"/>
        </w:rPr>
        <w:t>Art. 3 din Legea nr.181 din 25.05.2014 statuează că  „administrator de venituri este o autoritate/instituție bugetară care este împuternicită cu dreptul de colectare/restituire, evidentă şi control al încasărilor la bugetele componente ale bugetului public național și care poartă responsabilitate pentru corectitudinea calculării și încasării acestora”.</w:t>
      </w:r>
    </w:p>
  </w:footnote>
  <w:footnote w:id="19">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Pct.3.9.1 din Normele metodologice privind executarea de casă a bugetelor componente ale bugetului public național prin sistemul trezorerial al Ministerului Finanțelor, aprobate prin Ordinul ministrului Finanțelor nr.215 din 28.12.2015: </w:t>
      </w:r>
      <w:r w:rsidRPr="00606103">
        <w:rPr>
          <w:rFonts w:asciiTheme="majorHAnsi" w:hAnsiTheme="majorHAnsi" w:cstheme="majorHAnsi"/>
          <w:i/>
          <w:sz w:val="16"/>
          <w:szCs w:val="16"/>
          <w:lang w:val="ro-MD"/>
        </w:rPr>
        <w:t>„În scopul corectitudinii întocmirii rapoartelor lunare privind executarea bugetului de stat, Direcția Trezoreria de Stat şi Trezoreriile Regionale ale Ministerului Finanțelor prezintă administratorilor de venit în a zecea zi a lunii următoare perioadei de gestiune în format electronic scanat Registrul veniturilor bugetului de stat (Formularul FI-006) semnat de persoanele împuternicite, cu aplicarea ştampilei. Registrul menționat se perfectează cumulativ de la începutul anului.”.</w:t>
      </w:r>
    </w:p>
  </w:footnote>
  <w:footnote w:id="20">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MEI, MADRM, MECC, MSMPS.</w:t>
      </w:r>
    </w:p>
  </w:footnote>
  <w:footnote w:id="2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Art.3 lit. b) din Legea bugetului de stat pentru anul 2021 nr. 258 din 16.12.2020.</w:t>
      </w:r>
    </w:p>
  </w:footnote>
  <w:footnote w:id="22">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MJ, MAI, MAEIE, MA, MEI, MSMPS, MIDR, MAIA, MM, MMPS, MS, APP, ANSA, CC, Consiliul Superior al Magistraturii, Consiliul Superior al Procurorilor, Procuratura Generală, Centrul Național pentru Protecția Datelor cu Caracter Personal; CNAS.</w:t>
      </w:r>
    </w:p>
  </w:footnote>
  <w:footnote w:id="23">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Solicitarea nr.19 din 12.05.2022.</w:t>
      </w:r>
    </w:p>
  </w:footnote>
  <w:footnote w:id="24">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bCs/>
          <w:sz w:val="16"/>
          <w:szCs w:val="16"/>
          <w:lang w:val="ro-MD"/>
        </w:rPr>
        <w:t xml:space="preserve"> HG nr. 11 din 27.01.2021</w:t>
      </w:r>
      <w:r w:rsidRPr="00606103">
        <w:rPr>
          <w:rFonts w:asciiTheme="majorHAnsi" w:hAnsiTheme="majorHAnsi" w:cstheme="majorHAnsi"/>
          <w:sz w:val="16"/>
          <w:szCs w:val="16"/>
          <w:lang w:val="ro-MD"/>
        </w:rPr>
        <w:t xml:space="preserve"> </w:t>
      </w:r>
      <w:r w:rsidRPr="00606103">
        <w:rPr>
          <w:rFonts w:asciiTheme="majorHAnsi" w:hAnsiTheme="majorHAnsi" w:cstheme="majorHAnsi"/>
          <w:bCs/>
          <w:sz w:val="16"/>
          <w:szCs w:val="16"/>
          <w:lang w:val="ro-MD"/>
        </w:rPr>
        <w:t>cu privire la alocarea mijloacelor financiare.</w:t>
      </w:r>
    </w:p>
  </w:footnote>
  <w:footnote w:id="25">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w:t>
      </w:r>
      <w:r w:rsidRPr="00606103">
        <w:rPr>
          <w:rFonts w:asciiTheme="majorHAnsi" w:hAnsiTheme="majorHAnsi" w:cstheme="majorHAnsi"/>
          <w:bCs/>
          <w:sz w:val="16"/>
          <w:szCs w:val="16"/>
          <w:lang w:val="ro-MD"/>
        </w:rPr>
        <w:t>HG nr. 411 din 14.12.2021 cu privire la alocarea mijloacelor financiare.</w:t>
      </w:r>
    </w:p>
  </w:footnote>
  <w:footnote w:id="26">
    <w:p w:rsidR="006A6B75" w:rsidRPr="00606103" w:rsidRDefault="006A6B75" w:rsidP="00606103">
      <w:pPr>
        <w:spacing w:after="0" w:line="276" w:lineRule="auto"/>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w:t>
      </w:r>
      <w:r w:rsidRPr="00606103">
        <w:rPr>
          <w:rFonts w:asciiTheme="majorHAnsi" w:hAnsiTheme="majorHAnsi" w:cstheme="majorHAnsi"/>
          <w:bCs/>
          <w:sz w:val="16"/>
          <w:szCs w:val="16"/>
          <w:lang w:val="ro-MD"/>
        </w:rPr>
        <w:t>HG nr. 731 din 30.09.2020 cu privire la alocarea mijloacelor financiare.</w:t>
      </w:r>
    </w:p>
  </w:footnote>
  <w:footnote w:id="27">
    <w:p w:rsidR="006A6B75" w:rsidRPr="00606103" w:rsidRDefault="006A6B75" w:rsidP="00606103">
      <w:pPr>
        <w:pStyle w:val="FootnoteText"/>
        <w:jc w:val="both"/>
        <w:rPr>
          <w:rFonts w:asciiTheme="majorHAnsi" w:hAnsiTheme="majorHAnsi" w:cstheme="majorHAnsi"/>
          <w:bCs/>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w:t>
      </w:r>
      <w:r w:rsidRPr="00606103">
        <w:rPr>
          <w:rFonts w:asciiTheme="majorHAnsi" w:hAnsiTheme="majorHAnsi" w:cstheme="majorHAnsi"/>
          <w:bCs/>
          <w:sz w:val="16"/>
          <w:szCs w:val="16"/>
          <w:lang w:val="ro-MD"/>
        </w:rPr>
        <w:t>Petiția înaintată CCRM din 16.03.2022.</w:t>
      </w:r>
    </w:p>
  </w:footnote>
  <w:footnote w:id="28">
    <w:p w:rsidR="006A6B75" w:rsidRPr="00606103" w:rsidRDefault="006A6B75" w:rsidP="00606103">
      <w:pPr>
        <w:pStyle w:val="FootnoteText"/>
        <w:jc w:val="both"/>
        <w:rPr>
          <w:rFonts w:asciiTheme="majorHAnsi" w:hAnsiTheme="majorHAnsi" w:cstheme="majorHAnsi"/>
          <w:bCs/>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Judecătoria Chișinău</w:t>
      </w:r>
      <w:r w:rsidRPr="00606103">
        <w:rPr>
          <w:rFonts w:asciiTheme="majorHAnsi" w:hAnsiTheme="majorHAnsi" w:cstheme="majorHAnsi"/>
          <w:bCs/>
          <w:sz w:val="16"/>
          <w:szCs w:val="16"/>
          <w:lang w:val="ro-MD"/>
        </w:rPr>
        <w:t>.</w:t>
      </w:r>
    </w:p>
  </w:footnote>
  <w:footnote w:id="29">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MJ, MAI, MSMPS, MEC, MS, APP și CEC.</w:t>
      </w:r>
    </w:p>
  </w:footnote>
  <w:footnote w:id="30">
    <w:p w:rsidR="006A6B75" w:rsidRPr="00442F7E" w:rsidRDefault="006A6B75">
      <w:pPr>
        <w:pStyle w:val="FootnoteText"/>
        <w:rPr>
          <w:rFonts w:asciiTheme="majorHAnsi" w:hAnsiTheme="majorHAnsi" w:cstheme="majorHAnsi"/>
          <w:sz w:val="16"/>
          <w:szCs w:val="16"/>
          <w:lang w:val="ro-MD"/>
        </w:rPr>
      </w:pPr>
      <w:r>
        <w:rPr>
          <w:rStyle w:val="FootnoteReference"/>
        </w:rPr>
        <w:footnoteRef/>
      </w:r>
      <w:r>
        <w:t xml:space="preserve"> </w:t>
      </w:r>
      <w:r w:rsidRPr="00442F7E">
        <w:rPr>
          <w:rFonts w:asciiTheme="majorHAnsi" w:hAnsiTheme="majorHAnsi" w:cstheme="majorHAnsi"/>
          <w:sz w:val="16"/>
          <w:szCs w:val="16"/>
          <w:lang w:val="ro-MD"/>
        </w:rPr>
        <w:t>Hotărârea Curții de Conturi nr. 7 din  22.02.2022 cu privire la Raportul auditului conformității asupra gestionării mijloacelor financiare alocate pentru organizarea și desfășurarea alegerilor parlamentare anticipate din 11 iulie 2021.</w:t>
      </w:r>
    </w:p>
  </w:footnote>
  <w:footnote w:id="3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Pct.5 din Regulamentul privind gestionarea fondurilor de urgență ale Guvernului, aprobat prin HG nr.862 din 18.12.2015 (în continuare – Regulamentul privind gestionarea fondurilor de urgență ale Guvernului).</w:t>
      </w:r>
    </w:p>
  </w:footnote>
  <w:footnote w:id="32">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Legea nr. 27  din  12.03.2021 pentru modificarea unor acte normative și Legea nr.45 din 26.03.2021 pentru modificarea Legii bugetului de stat pentru anul 2021 nr.258/2020.</w:t>
      </w:r>
    </w:p>
  </w:footnote>
  <w:footnote w:id="33">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Scrisoarea ODIMM nr.812-03/26 din 08.11.2021 privind acceptarea cererii de executare a garanției de stat.</w:t>
      </w:r>
    </w:p>
  </w:footnote>
  <w:footnote w:id="34">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Garanția de stat nr. MOLD/1690 din 04.03.2021 către B.C. „Moldindcombank” S.A.</w:t>
      </w:r>
    </w:p>
  </w:footnote>
  <w:footnote w:id="35">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Pct.11 din Normele metodologice privind aplicarea Clasificației organizaționale, aprobate prin Ordinul MF nr.208 din 24.12.2015 „Privind Clasificația bugetară”.</w:t>
      </w:r>
    </w:p>
  </w:footnote>
  <w:footnote w:id="36">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 29 alin. (2) din Legea finanțelor publice și responsabilității bugetar-fiscale nr. 181 din 25.07.2014. </w:t>
      </w:r>
    </w:p>
  </w:footnote>
  <w:footnote w:id="37">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Art.4. alin.(1) din Legea bugetului de stat pentru anul 2021 nr.258 din 16.12.2020.</w:t>
      </w:r>
    </w:p>
  </w:footnote>
  <w:footnote w:id="38">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Anexa nr.7. Volumul transferurilor de la bugetul de stat către bugetele locale la Legea bugetului de stat pentru anul 2021 nr.258/2020.</w:t>
      </w:r>
    </w:p>
  </w:footnote>
  <w:footnote w:id="39">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w:t>
      </w:r>
      <w:r w:rsidRPr="00606103">
        <w:rPr>
          <w:rFonts w:asciiTheme="majorHAnsi" w:hAnsiTheme="majorHAnsi" w:cstheme="majorHAnsi"/>
          <w:color w:val="000000" w:themeColor="text1"/>
          <w:sz w:val="16"/>
          <w:szCs w:val="16"/>
          <w:shd w:val="clear" w:color="auto" w:fill="FFFFFF"/>
          <w:lang w:val="ro-MD"/>
        </w:rPr>
        <w:t xml:space="preserve">Compensații persoanelor supuse represiunilor politice – 2,7 mil. lei; </w:t>
      </w:r>
      <w:r w:rsidRPr="00606103">
        <w:rPr>
          <w:rFonts w:asciiTheme="majorHAnsi" w:hAnsiTheme="majorHAnsi" w:cstheme="majorHAnsi"/>
          <w:color w:val="000000" w:themeColor="text1"/>
          <w:sz w:val="16"/>
          <w:szCs w:val="16"/>
          <w:lang w:val="ro-MD"/>
        </w:rPr>
        <w:t>indemnizații unice pentru construcția sau procurarea spațiului locativ – 0,8 mil. lei; susținerea programului de granturi pentru inițiativele tinerilor la nivel local – 0,8 mil. lei;</w:t>
      </w:r>
      <w:r w:rsidRPr="00606103">
        <w:rPr>
          <w:rFonts w:asciiTheme="majorHAnsi" w:hAnsiTheme="majorHAnsi" w:cstheme="majorHAnsi"/>
          <w:color w:val="000000" w:themeColor="text1"/>
          <w:sz w:val="16"/>
          <w:szCs w:val="16"/>
          <w:shd w:val="clear" w:color="auto" w:fill="FFFFFF"/>
          <w:lang w:val="ro-MD"/>
        </w:rPr>
        <w:t xml:space="preserve"> restituirea valorii bunurilor pentru achitarea compensațiilor pentru represiunile politice conform titlului executoriu – 0,1 mil. lei; compensații unice pentru conectarea la conducta de gaze naturale a unor categorii de populație din mediul rural – 0,006 </w:t>
      </w:r>
      <w:r w:rsidRPr="00606103">
        <w:rPr>
          <w:rFonts w:asciiTheme="majorHAnsi" w:hAnsiTheme="majorHAnsi" w:cstheme="majorHAnsi"/>
          <w:color w:val="000000" w:themeColor="text1"/>
          <w:sz w:val="16"/>
          <w:szCs w:val="16"/>
          <w:lang w:val="ro-MD"/>
        </w:rPr>
        <w:t>mil. lei.</w:t>
      </w:r>
    </w:p>
  </w:footnote>
  <w:footnote w:id="40">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Art.59 din Legea nr.797 din 02.04.96 pentru adoptarea Regulamentului Parlamentului.</w:t>
      </w:r>
    </w:p>
  </w:footnote>
  <w:footnote w:id="4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Proiectul legii bugetului de stat pentru anul 2021, aprobat prin HG nr.843 din 30.11.2020.</w:t>
      </w:r>
    </w:p>
  </w:footnote>
  <w:footnote w:id="42">
    <w:p w:rsidR="006A6B75" w:rsidRPr="00606103" w:rsidRDefault="006A6B75" w:rsidP="00606103">
      <w:pPr>
        <w:pStyle w:val="FootnoteText"/>
        <w:jc w:val="both"/>
        <w:rPr>
          <w:rStyle w:val="FootnoteReference"/>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Art.11 din Legea nr.397-XV din 16.10.2003 privind finanțele publice locale.</w:t>
      </w:r>
      <w:r w:rsidRPr="00606103">
        <w:rPr>
          <w:rStyle w:val="FootnoteReference"/>
          <w:rFonts w:asciiTheme="majorHAnsi" w:hAnsiTheme="majorHAnsi" w:cstheme="majorHAnsi"/>
          <w:sz w:val="16"/>
          <w:szCs w:val="16"/>
          <w:lang w:val="ro-MD"/>
        </w:rPr>
        <w:t xml:space="preserve"> </w:t>
      </w:r>
    </w:p>
  </w:footnote>
  <w:footnote w:id="43">
    <w:p w:rsidR="006A6B75" w:rsidRPr="00606103" w:rsidRDefault="006A6B75" w:rsidP="00606103">
      <w:pPr>
        <w:pStyle w:val="FootnoteText"/>
        <w:jc w:val="both"/>
        <w:rPr>
          <w:rFonts w:asciiTheme="majorHAnsi" w:hAnsiTheme="majorHAnsi" w:cstheme="majorHAnsi"/>
          <w:sz w:val="16"/>
          <w:szCs w:val="16"/>
          <w:vertAlign w:val="superscript"/>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Art.12 din Legea nr.397-XV din 16.10.2003 privind finanțele publice locale.</w:t>
      </w:r>
      <w:r w:rsidRPr="00606103">
        <w:rPr>
          <w:rStyle w:val="FootnoteReference"/>
          <w:rFonts w:asciiTheme="majorHAnsi" w:hAnsiTheme="majorHAnsi" w:cstheme="majorHAnsi"/>
          <w:sz w:val="16"/>
          <w:szCs w:val="16"/>
          <w:lang w:val="ro-MD"/>
        </w:rPr>
        <w:t xml:space="preserve"> </w:t>
      </w:r>
    </w:p>
  </w:footnote>
  <w:footnote w:id="44">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Art.3 lit.g) din Legea bugetului de stat pentru anul 2021 nr.258/2020.</w:t>
      </w:r>
    </w:p>
  </w:footnote>
  <w:footnote w:id="45">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Anexa nr.7. Volumul transferurilor de la bugetul de stat către bugetele locale la Legea bugetului de stat pentru anul 2021 nr.258/2020.</w:t>
      </w:r>
    </w:p>
  </w:footnote>
  <w:footnote w:id="46">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Legea nr.135 din 14.10.2021 privind modificarea Legii bugetului de stat pentru anul 2021 nr.258/2020.</w:t>
      </w:r>
    </w:p>
  </w:footnote>
  <w:footnote w:id="47">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Satul Horești, raionul Ialoveni – 80,7 mii lei, și satul Tomai, raionul Leova – 76,6 mii lei.</w:t>
      </w:r>
    </w:p>
  </w:footnote>
  <w:footnote w:id="48">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Pct.279 din Setul metodologic privind elaborarea, aprobarea și modificarea bugetului, aprobat prin Ordinul MF nr.209 din 24.12.2015.</w:t>
      </w:r>
    </w:p>
  </w:footnote>
  <w:footnote w:id="49">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 143 alin.(2) din Codul educației al Republicii Moldova nr. 152 din 17.07.2014.</w:t>
      </w:r>
    </w:p>
  </w:footnote>
  <w:footnote w:id="50">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Pct.6 din „Regulamentul privind finanțarea în bază de cost standard per elev a instituțiilor de învățământ primar și secundar general  din subordinea autorităților publice locale de nivelul al doilea”, aprobat prin HG nr.868 din 08.10.2014.</w:t>
      </w:r>
    </w:p>
  </w:footnote>
  <w:footnote w:id="5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Pct.6 subpct.6) din „Regulamentul privind finanțarea în bază de cost standard per elev a instituțiilor de învățământ primar și secundar general  din subordinea autorităților publice locale de nivelul al doilea”, aprobat prin HG nr.868 din 08.10.2014.</w:t>
      </w:r>
    </w:p>
  </w:footnote>
  <w:footnote w:id="52">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Pct.6 subpct.8) din „Regulamentul privind finanțarea în bază de cost standard per elev a instituțiilor de învățământ primar și secundar general  din subordinea autorităților publice locale de nivelul al doilea”, aprobat prin HG nr.868 din 08.10.2014.</w:t>
      </w:r>
    </w:p>
  </w:footnote>
  <w:footnote w:id="53">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Legea bugetului de stat pentru anul 2021 nr.258 din 16.12.2020.</w:t>
      </w:r>
    </w:p>
  </w:footnote>
  <w:footnote w:id="54">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Ordinul MF nr.65 din 20.04.2021 „Privind modificarea Clasificației bugetare”.</w:t>
      </w:r>
    </w:p>
  </w:footnote>
  <w:footnote w:id="55">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Decizia protocolară </w:t>
      </w:r>
      <w:r w:rsidRPr="00606103">
        <w:rPr>
          <w:rFonts w:asciiTheme="majorHAnsi" w:eastAsia="Times New Roman" w:hAnsiTheme="majorHAnsi" w:cstheme="majorHAnsi"/>
          <w:sz w:val="16"/>
          <w:szCs w:val="16"/>
          <w:lang w:val="ro-MD"/>
        </w:rPr>
        <w:t>nr. 8-7dp din 29.04.2021 „Cu privire la executarea hotărârii Curții Europene a Drepturilor Omului în cauza Ojog și alții v. Republica Moldova” (nr. 1988/06) din 18.02.2020 (satisfacția echitabilă), inițial secretizată și ulterior desecretizată la data de 14.07.2021.</w:t>
      </w:r>
    </w:p>
  </w:footnote>
  <w:footnote w:id="56">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H</w:t>
      </w:r>
      <w:r w:rsidRPr="00606103">
        <w:rPr>
          <w:rFonts w:asciiTheme="majorHAnsi" w:eastAsia="Times New Roman" w:hAnsiTheme="majorHAnsi" w:cstheme="majorHAnsi"/>
          <w:sz w:val="16"/>
          <w:szCs w:val="16"/>
          <w:lang w:val="ro-MD"/>
        </w:rPr>
        <w:t>otărârea Curții Europene a Drepturilor Omului în cauza Ojog și alții v. Republica Moldova (nr.1988/06).</w:t>
      </w:r>
    </w:p>
  </w:footnote>
  <w:footnote w:id="57">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Dobânda prevăzută la pct.(d) din dispozitivul hotărârii CEDO nr.1988/06 din 18.02.2020, care constituie 188,77 euro pentru fiecare zi de întârziere.</w:t>
      </w:r>
    </w:p>
  </w:footnote>
  <w:footnote w:id="58">
    <w:p w:rsidR="006A6B75" w:rsidRPr="00606103" w:rsidRDefault="006A6B75" w:rsidP="00606103">
      <w:pPr>
        <w:pStyle w:val="FootnoteText"/>
        <w:jc w:val="both"/>
        <w:rPr>
          <w:rFonts w:asciiTheme="majorHAnsi" w:hAnsiTheme="majorHAnsi"/>
          <w:sz w:val="16"/>
          <w:szCs w:val="16"/>
          <w:lang w:val="ro-MD"/>
        </w:rPr>
      </w:pPr>
      <w:r w:rsidRPr="00606103">
        <w:rPr>
          <w:rStyle w:val="FootnoteReference"/>
          <w:rFonts w:asciiTheme="majorHAnsi" w:hAnsiTheme="majorHAnsi"/>
          <w:sz w:val="16"/>
          <w:szCs w:val="16"/>
          <w:lang w:val="ro-MD"/>
        </w:rPr>
        <w:footnoteRef/>
      </w:r>
      <w:r w:rsidRPr="00606103">
        <w:rPr>
          <w:rFonts w:asciiTheme="majorHAnsi" w:hAnsiTheme="majorHAnsi"/>
          <w:sz w:val="16"/>
          <w:szCs w:val="16"/>
          <w:lang w:val="ro-MD"/>
        </w:rPr>
        <w:t xml:space="preserve"> Solicitarea CCRM nr.07-244-22  din 29.04.2022 și răspunsul CS nr. 1-76-4613 din 10.05.2022.</w:t>
      </w:r>
    </w:p>
  </w:footnote>
  <w:footnote w:id="59">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Contract de lucrări încheiat cu Strabag AG (Austria) nr.RSPSP/W3/01 din contul Proiectului privind reabilitarea și construcția drumurilor; Contract de finanțare (BEI) FI N 25.852 Serapis No.2010-0154 din 23.11.2010.</w:t>
      </w:r>
    </w:p>
  </w:footnote>
  <w:footnote w:id="60">
    <w:p w:rsidR="006A6B75" w:rsidRPr="00606103" w:rsidRDefault="006A6B75" w:rsidP="00606103">
      <w:pPr>
        <w:pStyle w:val="FootnoteText"/>
        <w:jc w:val="both"/>
        <w:rPr>
          <w:rFonts w:asciiTheme="majorHAnsi" w:eastAsia="Calibri" w:hAnsiTheme="majorHAnsi" w:cstheme="majorHAnsi"/>
          <w:sz w:val="16"/>
          <w:szCs w:val="16"/>
          <w:lang w:val="ro-MD"/>
        </w:rPr>
      </w:pPr>
      <w:r w:rsidRPr="00606103">
        <w:rPr>
          <w:rStyle w:val="FootnoteReference"/>
          <w:rFonts w:asciiTheme="majorHAnsi" w:eastAsia="Calibri" w:hAnsiTheme="majorHAnsi" w:cstheme="majorHAnsi"/>
          <w:sz w:val="16"/>
          <w:szCs w:val="16"/>
          <w:lang w:val="ro-MD"/>
        </w:rPr>
        <w:footnoteRef/>
      </w:r>
      <w:r w:rsidRPr="00606103">
        <w:rPr>
          <w:rFonts w:asciiTheme="majorHAnsi" w:eastAsia="Calibri" w:hAnsiTheme="majorHAnsi" w:cstheme="majorHAnsi"/>
          <w:sz w:val="16"/>
          <w:szCs w:val="16"/>
          <w:lang w:val="ro-MD"/>
        </w:rPr>
        <w:t xml:space="preserve"> HG nr.696 din 30.08.2017 „Cu privire la organizarea și funcționarea Ministerului Finanțelor”.</w:t>
      </w:r>
    </w:p>
  </w:footnote>
  <w:footnote w:id="6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 1.5.7. din Planul de conturi contabile în sistemul bugetar și a Normelor metodologice privind evidența contabilă și raportarea financiară în sistemul bugetar, aprobat prin Ordinul MF nr.216 din 28.12.2015.</w:t>
      </w:r>
    </w:p>
  </w:footnote>
  <w:footnote w:id="62">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 4.5.3. din Ordinul MF nr. 209  din  24.12.2015 „Cu privire la aprobarea Setului metodologic privind elaborarea, aprobarea şi modificarea bugetului”.</w:t>
      </w:r>
    </w:p>
  </w:footnote>
  <w:footnote w:id="63">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HG nr. 57 din 12.05.2021 „Cu privire la alocarea mijloacelor financiare”.</w:t>
      </w:r>
    </w:p>
  </w:footnote>
  <w:footnote w:id="64">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Art.60 alin.(1) din Legea finanțelor publice și responsabilității bugetar-fiscale nr.181 din 25.07.2014.</w:t>
      </w:r>
    </w:p>
  </w:footnote>
  <w:footnote w:id="65">
    <w:p w:rsidR="006A6B75" w:rsidRPr="00577973" w:rsidRDefault="006A6B75" w:rsidP="00606103">
      <w:pPr>
        <w:pStyle w:val="FootnoteText"/>
        <w:jc w:val="both"/>
        <w:rPr>
          <w:rFonts w:asciiTheme="majorHAnsi" w:hAnsiTheme="majorHAnsi" w:cstheme="majorHAnsi"/>
          <w:sz w:val="16"/>
          <w:szCs w:val="16"/>
          <w:lang w:val="ro-MD"/>
        </w:rPr>
      </w:pPr>
      <w:r w:rsidRPr="00577973">
        <w:rPr>
          <w:rStyle w:val="FootnoteReference"/>
          <w:rFonts w:asciiTheme="majorHAnsi" w:hAnsiTheme="majorHAnsi" w:cstheme="majorHAnsi"/>
          <w:sz w:val="16"/>
          <w:szCs w:val="16"/>
          <w:lang w:val="ro-MD"/>
        </w:rPr>
        <w:footnoteRef/>
      </w:r>
      <w:r w:rsidRPr="00577973">
        <w:rPr>
          <w:rFonts w:asciiTheme="majorHAnsi" w:hAnsiTheme="majorHAnsi" w:cstheme="majorHAnsi"/>
          <w:sz w:val="16"/>
          <w:szCs w:val="16"/>
          <w:lang w:val="ro-MD"/>
        </w:rPr>
        <w:t xml:space="preserve"> MEC – 1,0 mil. lei, CNA – 0,7 mil. lei, MC – 0,6 mil. lei, și Curtea Constituțională – 0,1 mil. lei.</w:t>
      </w:r>
    </w:p>
  </w:footnote>
  <w:footnote w:id="66">
    <w:p w:rsidR="006A6B75" w:rsidRPr="00577973" w:rsidRDefault="006A6B75" w:rsidP="00606103">
      <w:pPr>
        <w:pStyle w:val="FootnoteText"/>
        <w:jc w:val="both"/>
        <w:rPr>
          <w:rFonts w:asciiTheme="majorHAnsi" w:hAnsiTheme="majorHAnsi" w:cstheme="majorHAnsi"/>
          <w:sz w:val="16"/>
          <w:szCs w:val="16"/>
          <w:lang w:val="ro-MD"/>
        </w:rPr>
      </w:pPr>
      <w:r w:rsidRPr="00577973">
        <w:rPr>
          <w:rStyle w:val="FootnoteReference"/>
          <w:rFonts w:asciiTheme="majorHAnsi" w:hAnsiTheme="majorHAnsi" w:cstheme="majorHAnsi"/>
          <w:sz w:val="16"/>
          <w:szCs w:val="16"/>
          <w:lang w:val="ro-MD"/>
        </w:rPr>
        <w:footnoteRef/>
      </w:r>
      <w:r w:rsidRPr="00577973">
        <w:rPr>
          <w:rFonts w:asciiTheme="majorHAnsi" w:hAnsiTheme="majorHAnsi" w:cstheme="majorHAnsi"/>
          <w:sz w:val="16"/>
          <w:szCs w:val="16"/>
          <w:lang w:val="ro-MD"/>
        </w:rPr>
        <w:t xml:space="preserve"> HG nr.942 din 22.12.2020 „</w:t>
      </w:r>
      <w:r w:rsidRPr="00577973">
        <w:rPr>
          <w:rFonts w:asciiTheme="majorHAnsi" w:eastAsia="Times New Roman" w:hAnsiTheme="majorHAnsi" w:cstheme="majorHAnsi"/>
          <w:sz w:val="16"/>
          <w:szCs w:val="16"/>
          <w:lang w:val="ro-MD"/>
        </w:rPr>
        <w:t>Pentru stabilirea moratoriului temporar privind încadrarea personalului din sectorul bugetar în funcțiile vacante înregistrate”.</w:t>
      </w:r>
    </w:p>
  </w:footnote>
  <w:footnote w:id="67">
    <w:p w:rsidR="006A6B75" w:rsidRPr="00606103" w:rsidRDefault="006A6B75" w:rsidP="00606103">
      <w:pPr>
        <w:pStyle w:val="FootnoteText"/>
        <w:jc w:val="both"/>
        <w:rPr>
          <w:rFonts w:asciiTheme="majorHAnsi" w:hAnsiTheme="majorHAnsi" w:cstheme="majorHAnsi"/>
          <w:sz w:val="16"/>
          <w:szCs w:val="16"/>
          <w:lang w:val="ro-MD"/>
        </w:rPr>
      </w:pPr>
      <w:r w:rsidRPr="00577973">
        <w:rPr>
          <w:rStyle w:val="FootnoteReference"/>
          <w:rFonts w:asciiTheme="majorHAnsi" w:hAnsiTheme="majorHAnsi" w:cstheme="majorHAnsi"/>
          <w:sz w:val="16"/>
          <w:szCs w:val="16"/>
          <w:lang w:val="ro-MD"/>
        </w:rPr>
        <w:footnoteRef/>
      </w:r>
      <w:r w:rsidRPr="00577973">
        <w:rPr>
          <w:rFonts w:asciiTheme="majorHAnsi" w:hAnsiTheme="majorHAnsi" w:cstheme="majorHAnsi"/>
          <w:sz w:val="16"/>
          <w:szCs w:val="16"/>
          <w:lang w:val="ro-MD"/>
        </w:rPr>
        <w:t xml:space="preserve"> MAI, MA, ANCD, Agenția</w:t>
      </w:r>
      <w:r w:rsidRPr="00606103">
        <w:rPr>
          <w:rFonts w:asciiTheme="majorHAnsi" w:hAnsiTheme="majorHAnsi" w:cstheme="majorHAnsi"/>
          <w:sz w:val="16"/>
          <w:szCs w:val="16"/>
          <w:lang w:val="ro-MD"/>
        </w:rPr>
        <w:t xml:space="preserve"> Relații Funciare și Cadastru, Centrul Serviciului Civil, Consiliul Audiovizualului, Consiliul Concurenței, Consiliul pentru prevenirea și eliminarea discriminării și asigurarea egalității.</w:t>
      </w:r>
    </w:p>
  </w:footnote>
  <w:footnote w:id="68">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Legea bugetului de stat pentru anul 2021 nr.258 din 16.12.2020.</w:t>
      </w:r>
    </w:p>
  </w:footnote>
  <w:footnote w:id="69">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Legea nr.27 din 12.03.2021 privind modificarea unor acte normative; Legea nr.45 din 26.03.2021 privind modificarea Legii bugetului de stat pentru anul 2021 nr.258/2020; Legea nr.135 din 14.10.2021 privind modificarea Legii bugetului de stat pentru anul 2021 nr.258/2020; Legea nr.188 din 25.11.2021 privind modificarea Legii bugetului de stat pentru anul 2021 nr.258/2020.</w:t>
      </w:r>
    </w:p>
  </w:footnote>
  <w:footnote w:id="70">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Modernizarea infrastructurii Postului Vamal Sculeni – 33,8 mil.lei.</w:t>
      </w:r>
    </w:p>
  </w:footnote>
  <w:footnote w:id="7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Proiectul „Construcția penitenciarului din municipiul Chișinău” – 79,4 mil.lei.</w:t>
      </w:r>
    </w:p>
  </w:footnote>
  <w:footnote w:id="72">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Construcția sediului Dispeceratului Regional pentru Situații de Urgență Nord, mun. Bălți – 3,1 mil.lei, și Reconstrucția Centrului Republican de Instruire pentru Pompieri și Salvatori, s. Răzeni, r-nul Ialoveni – 4,9 mil. lei.</w:t>
      </w:r>
    </w:p>
  </w:footnote>
  <w:footnote w:id="73">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Restaurarea edificiului Sălii cu Orgă, bd. Ștefan cel Mare și Sfânt nr.81, mun. Chișinău – 3,5 mil. lei.</w:t>
      </w:r>
    </w:p>
  </w:footnote>
  <w:footnote w:id="74">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Reconstrucția edificiului Filarmonicii Naționale „Serghei Lunchevici”, str. Mitropolit Varlaam nr.78, mun. Chișinău – 3,3 mil. lei.</w:t>
      </w:r>
    </w:p>
  </w:footnote>
  <w:footnote w:id="75">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Reconstrucția și modernizarea clădirilor Centrului de Excelență în Construcții, str. Gheorghe Asachi nr.71, mun. Chișinău – 5,0 mil. lei.</w:t>
      </w:r>
    </w:p>
  </w:footnote>
  <w:footnote w:id="76">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Reconstrucția edificiului Filarmonicii Naționale „Serghei Lunchevici”, str. Mitropolit Varlaam nr.78, mun. Chișinău – 3,3 mil. lei.</w:t>
      </w:r>
    </w:p>
  </w:footnote>
  <w:footnote w:id="77">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MAI – 2 proiecte (2,3 mil. lei); MIDR – 1 proiect (4,2 mil. lei); ME – 1 proiect (0,3 mil. lei); MAIA – 2 proiecte (0,3 mil. lei); MM – 1 proiect (37,0 mil. lei); MC – 1 proiect (1,0 mil. lei); MF – 1 proiect (0,3 mil. lei); MJ – 4 proiecte (4,0 mil. lei).</w:t>
      </w:r>
    </w:p>
  </w:footnote>
  <w:footnote w:id="78">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Construcția sediului Judecătoriei Cahul – 0,8 mil. lei; Construcția sediului Judecătoriei Căușeni – 0,8 mil. lei; Construcția sediului Judecătoriei Edineț – 0,8 mil. lei.</w:t>
      </w:r>
    </w:p>
  </w:footnote>
  <w:footnote w:id="79">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Reconstrucția sediului Punctului de operare terestră SMURD Cantemir – 1,0 mil. lei; Reconstrucția sediului Punctului de operare terestră SMURD Ungheni – 1,3 mil. lei.</w:t>
      </w:r>
    </w:p>
  </w:footnote>
  <w:footnote w:id="80">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Restaurarea edificiului Muzeului Național de Artă al Moldovei, bd. Ștefan cel Mare și Sfânt nr.113 și nr.115, mun. Chișinău – 1,0 mil. lei; Dezvoltarea SI „Trezoreria”, unificat cu SI „e-Docplat” – 0,3 mil. lei; Proiectul „Îmbunătățirea capacităților pentru transformarea zonei rurale (IFAD VIII)” – 0,2 mil. lei; Construcția unității de procesare a produselor de origine animală, nedestinate consumului uman – 0,1 mil. lei.</w:t>
      </w:r>
    </w:p>
  </w:footnote>
  <w:footnote w:id="8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Modernizarea paginii web oficiale a Consiliului Concurenței – 0,3 mil. lei.</w:t>
      </w:r>
    </w:p>
  </w:footnote>
  <w:footnote w:id="82">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Proiectul „Studiul de fezabilitate Interconectarea asincronă MD–RO” – 4,2 mil. lei.</w:t>
      </w:r>
    </w:p>
  </w:footnote>
  <w:footnote w:id="83">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Construcția depozitului regional pentru deșeuri menajere solide – 37,0 mil. lei.</w:t>
      </w:r>
    </w:p>
  </w:footnote>
  <w:footnote w:id="84">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Reconstrucția perimetrului de pază al Penitenciarului nr.10, satul Goian, mun. Chișinău.</w:t>
      </w:r>
    </w:p>
  </w:footnote>
  <w:footnote w:id="85">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Construcția magistralei de comunicații și operaționalizarea Centrului de Cooperare Transfrontalieră Lipcani, raionul Briceni; Construcția sediului pentru trei subdiviziuni operative ale Inspectoratului Național de Investigații, str. Bucuriei nr.14, mun. Chișinău; Reconstrucția sediului Sectorului Poliției de Frontieră Toceni, raionul Cantemir; Reconstrucția sediului Sectorului Poliției de Frontieră Valea Mare, raionul Ungheni.</w:t>
      </w:r>
    </w:p>
  </w:footnote>
  <w:footnote w:id="86">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Construcția sistemului de comunicații al Poliției de Frontieră (TETRA) pe segmentul moldo-ucrainean al frontierei. </w:t>
      </w:r>
    </w:p>
  </w:footnote>
  <w:footnote w:id="87">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Reconstrucția și modernizarea clădirilor Centrului de Excelență în Energetică și Electronică, str. Melestiu nr.12, mun. Chișinău.</w:t>
      </w:r>
    </w:p>
  </w:footnote>
  <w:footnote w:id="88">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Restaurarea Muzeului Satului, filiala Muzeului Național de Etnografie și Istorie Naturală, bd. Dacia, mun. Chișinău.</w:t>
      </w:r>
    </w:p>
  </w:footnote>
  <w:footnote w:id="89">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Restaurarea edificiului Muzeului Național de Artă al Moldovei, str. 31 August 1989 nr.115, mun. Chișinău.</w:t>
      </w:r>
    </w:p>
  </w:footnote>
  <w:footnote w:id="90">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Pct.39 și pct.40 din Regulamentul cu privire la proiectele de investiții capitale publice, aprobat prin HG nr.1029 din 19.12.2013 „Cu privire la investițiile capitale publice”.</w:t>
      </w:r>
    </w:p>
  </w:footnote>
  <w:footnote w:id="9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Pct.2 din Regulamentul cu privire la activitatea Grupului de lucru pentru investiții capitale publice, aprobat prin HG nr.1029 din 19.12.2013 „Cu privire la investițiile capitale publice”.</w:t>
      </w:r>
    </w:p>
  </w:footnote>
  <w:footnote w:id="92">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Pct.8 alin.2) lit.d) din Regulamentul cu privire la proiectele de investiții capitale publice, aprobat prin HG nr.1029 din 19.12.2013 „Cu privire la investițiile capitale publice”.</w:t>
      </w:r>
    </w:p>
  </w:footnote>
  <w:footnote w:id="93">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Pct.9 din Regulamentul cu privire la activitatea Grupului de lucru pentru investiții capitale publice, aprobat prin HG nr.1029 din 19.12.2013 „Cu privire la investițiile capitale publice”.</w:t>
      </w:r>
    </w:p>
  </w:footnote>
  <w:footnote w:id="94">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Formularul nr. 9 „Raport privind creanțele și datoriile la venituri, cheltuieli și active nefinanciare formate în autoritățile/instituțiile bugetare finanțate de la bugetul de stat conform clasificației economice pe anul 2021”.</w:t>
      </w:r>
    </w:p>
  </w:footnote>
  <w:footnote w:id="95">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Art.66 din Legea finanțelor publice și responsabilității bugetar-fiscale nr.181 din 25.07.2014.</w:t>
      </w:r>
    </w:p>
  </w:footnote>
  <w:footnote w:id="96">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Legea finanțelor publice și responsabilității bugetar-fiscale nr.181 din 25.07.2014.</w:t>
      </w:r>
    </w:p>
  </w:footnote>
  <w:footnote w:id="97">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Formularul nr.1 „Raportul privind executarea indicatorilor generali și surselor de finanțare ale bugetului de stat”, aprobat prin Ordinul MF nr.18 din 27.01.2020.</w:t>
      </w:r>
    </w:p>
  </w:footnote>
  <w:footnote w:id="98">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Din contul împrumutului acordat de Banca Europeană de Investiții în cadrul Proiectului de achiziție a locomotivelor și de restructurare a infrastructurii feroviare.</w:t>
      </w:r>
    </w:p>
  </w:footnote>
  <w:footnote w:id="99">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Legea nr. 188 din 25.11.2021 privind modificarea Legii bugetului de stat pentru anul 2021 nr.258/2020.</w:t>
      </w:r>
    </w:p>
  </w:footnote>
  <w:footnote w:id="100">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HG nr.452 din 22.12.2021 „Cu privire la alocarea mijloacelor financiare Societății cu Răspundere Limitată „Arena Națională””. Ordinul de plată nr.1 din 28.12.2021 în sumă de 67 739 500,0 lei.</w:t>
      </w:r>
    </w:p>
  </w:footnote>
  <w:footnote w:id="10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Decizia nr.14/01 din 17.01.2022 a asociatului unic al „Arena Națională” SRL. </w:t>
      </w:r>
    </w:p>
  </w:footnote>
  <w:footnote w:id="102">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Decizia privind înregistrarea modificărilor din 09.02.2022, Act adițional din 23.09.2020 „Cu privire la modificările și completările înscrise în Registrul de stat al persoanelor juridice și operate în Statutul SRL „Arena Națională” nr.1018600026006 din 30.05.2018”.</w:t>
      </w:r>
    </w:p>
  </w:footnote>
  <w:footnote w:id="103">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Dispoziția Comisiei pentru Situații Excepționale nr. 1 din 22.10.2021.</w:t>
      </w:r>
    </w:p>
  </w:footnote>
  <w:footnote w:id="104">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În baza Dispoziției Comisiei pentru Situații Excepționale nr. 1 din 22.10.2021 și la solicitarea APP nr. 14-04-6489 din 22.10.2021 și nr. 07-04-6603 din 29.10.2021.</w:t>
      </w:r>
    </w:p>
  </w:footnote>
  <w:footnote w:id="105">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Ordinul de plată nr.1001 din 22.10.2021– 87 261 500 lei, și Ordinul de plată nr. 1002 din 29.10.2021 – 218 955 000 lei.</w:t>
      </w:r>
    </w:p>
  </w:footnote>
  <w:footnote w:id="106">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HG nr.380 din 26.11.2021 „Cu privire la alocarea mijloacelor financiare și încheierea unei tranzacții de proporții”.</w:t>
      </w:r>
    </w:p>
  </w:footnote>
  <w:footnote w:id="107">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Ordinul de plată nr. 1003 din 26.11.2021 – 1 393 783 500 lei.</w:t>
      </w:r>
    </w:p>
  </w:footnote>
  <w:footnote w:id="108">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Hotărârea nr.147/14 din 26.11.2021 a acționarului unic al „Energocom” S.A.</w:t>
      </w:r>
    </w:p>
  </w:footnote>
  <w:footnote w:id="109">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Decizia privind înregistrarea modificărilor din 09.02.2022, Actul adițional din 23.09.2020 „Cu privire la modificările și completările înscrise în Registrul de stat al persoanelor juridice și operate în Statutul SRL „Arena Națională” nr.1018600026006 din 30.05.2018”.</w:t>
      </w:r>
    </w:p>
  </w:footnote>
  <w:footnote w:id="110">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Informativ: Subscrierea RM la capitolul social al Băncilor, precum și achitarea resurselor bugetate în acest sens, urma a fi realizată după finalizarea procedurilor de aderare în conformitate cu prevederile Legii nr.595/1999 privind tratatele internaționale ale Republicii Moldova, HG nr.120/2001 „Despre aprobarea Regulamentului privind mecanismul de încheiere a tratatelor internaționale”, precum și ale Acordurilor de înființare ale Băncilor vizate.</w:t>
      </w:r>
    </w:p>
  </w:footnote>
  <w:footnote w:id="11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Proiectul „Reabilitarea rețelelor electrice" (70096) – 46,0 mil. lei, Proiectul de dezvoltare a sistemului  electroenergetic (70248) – 54,2 mil. lei.</w:t>
      </w:r>
    </w:p>
  </w:footnote>
  <w:footnote w:id="112">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Proiectul „Răspuns de urgență la COVID-19 și suport pentru întreprinderile micro, mici si mijlocii”  (70304) – 625,0 mil. lei. Proiectul „Livada Moldovei" (70092) – 355,6 mil. lei, Proiectul „Programul rural de reziliență economico-climatică incluzivă (IFAD VI)" (70104) – 10,2 mil. lei, Proiectul „Programul de reziliență rurală (IFAD VII)" (70201) – 48,7 mil. lei.</w:t>
      </w:r>
    </w:p>
  </w:footnote>
  <w:footnote w:id="113">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Legea nr. 188  din  25.11.2021 privind modificarea Legii bugetului de stat pentru anul 2021 nr.258/2020.</w:t>
      </w:r>
    </w:p>
  </w:footnote>
  <w:footnote w:id="114">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Scrisoarea BNM nr.08-0320/7/3850 din 22.12.2021.</w:t>
      </w:r>
    </w:p>
  </w:footnote>
  <w:footnote w:id="115">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Legea nr.229 din 23.09.2010 privind controlul financiar public intern.</w:t>
      </w:r>
    </w:p>
  </w:footnote>
  <w:footnote w:id="116">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Contractul încheiat între I.P. „CTIF” și MF nr.045 din 23.02.2021 privind prestarea serviciilor informaționale, în sumă de 22,0 mil. lei.</w:t>
      </w:r>
    </w:p>
  </w:footnote>
  <w:footnote w:id="117">
    <w:p w:rsidR="006A6B75" w:rsidRPr="00606103" w:rsidRDefault="006A6B75" w:rsidP="00606103">
      <w:pPr>
        <w:spacing w:after="0" w:line="240" w:lineRule="auto"/>
        <w:rPr>
          <w:rFonts w:asciiTheme="majorHAnsi" w:eastAsia="Times New Roman" w:hAnsiTheme="majorHAnsi" w:cstheme="majorHAnsi"/>
          <w:bCs/>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w:t>
      </w:r>
      <w:r w:rsidRPr="00606103">
        <w:rPr>
          <w:rFonts w:asciiTheme="majorHAnsi" w:eastAsia="Times New Roman" w:hAnsiTheme="majorHAnsi" w:cstheme="majorHAnsi"/>
          <w:bCs/>
          <w:sz w:val="16"/>
          <w:szCs w:val="16"/>
          <w:lang w:val="ro-MD"/>
        </w:rPr>
        <w:t>Hotărârea Curții de Conturi nr.30 din 28.06.2021 „Cu privire la Raportul auditului financiar asupra Raportului Guvernului privind executarea bugetului de stat pe anul 2020”.</w:t>
      </w:r>
    </w:p>
  </w:footnote>
  <w:footnote w:id="118">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HG nr.776 din 28.10.2020 „Cu privire la aprobarea Cadrului bugetar pe termen mediu (2021-2023)” (termenul legal de prezentare de către MF la Guvern pe 15 mai, aprobarea de către Guvern – 1 iunie).</w:t>
      </w:r>
    </w:p>
  </w:footnote>
  <w:footnote w:id="119">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HG nr.843 din 30.11.2020 „Privind aprobarea proiectului legii bugetului de stat pentru anul 2021” (prezentarea de către MF la Guvern – 15 septembrie, și  de către Guvern la Parlament – 15 octombrie).</w:t>
      </w:r>
    </w:p>
  </w:footnote>
  <w:footnote w:id="120">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Legea bugetului de stat pentru anul 2021 nr. 258 din 16.12.2020 (Parlamentul adoptă legile bugetare pe anul următor – până la 1 decembrie).</w:t>
      </w:r>
    </w:p>
  </w:footnote>
  <w:footnote w:id="12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Legea cu privire la modificarea unor acte normative nr. 257 din 16.12.2020 (Parlamentul adoptă modificări și completări la legislație ce rezultă din politica bugetar-fiscală pe anul următor – până la 15 iulie).</w:t>
      </w:r>
    </w:p>
  </w:footnote>
  <w:footnote w:id="122">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Art.61 alin. (5) din Legea nr.181 din 25.07.2014.</w:t>
      </w:r>
    </w:p>
  </w:footnote>
  <w:footnote w:id="123">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 60 alin. (1) lit. a) din Legea nr. 181 din 25.07.2014. </w:t>
      </w:r>
    </w:p>
  </w:footnote>
  <w:footnote w:id="124">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Legea bugetului de stat pentru anul 2021 nr.258 din 16.12.2020.</w:t>
      </w:r>
    </w:p>
  </w:footnote>
  <w:footnote w:id="125">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w:t>
      </w:r>
      <w:r w:rsidRPr="00606103">
        <w:rPr>
          <w:rFonts w:asciiTheme="majorHAnsi" w:hAnsiTheme="majorHAnsi" w:cstheme="majorHAnsi"/>
          <w:i/>
          <w:sz w:val="16"/>
          <w:szCs w:val="16"/>
          <w:lang w:val="ro-MD"/>
        </w:rPr>
        <w:t>BS – totalitatea veniturilor, cheltuielilor și surselor de finanțare destinate pentru realizarea funcțiilor autorităților publice centrale, cu excepția funcțiilor proprii sistemului public de asigurări sociale și sistemului de asigurări obligatorii de asistență medicală, precum și pentru stabilirea relațiilor cu alte bugete.</w:t>
      </w:r>
    </w:p>
  </w:footnote>
  <w:footnote w:id="126">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Art.26 din Legea finanțelor publice și responsabilității bugetar-fiscale nr.181 din 25.07.2014.</w:t>
      </w:r>
    </w:p>
  </w:footnote>
  <w:footnote w:id="127">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Formularul nr.14 „Raportul privind executarea bugetului public național”, aprobat prin Ordinul MF nr.18 din 27.01.2020.</w:t>
      </w:r>
    </w:p>
  </w:footnote>
  <w:footnote w:id="128">
    <w:p w:rsidR="006A6B75" w:rsidRPr="00606103" w:rsidRDefault="006A6B75" w:rsidP="00606103">
      <w:pPr>
        <w:pStyle w:val="NormalWeb"/>
        <w:spacing w:after="0" w:line="240" w:lineRule="auto"/>
        <w:rPr>
          <w:rFonts w:asciiTheme="majorHAnsi" w:hAnsiTheme="majorHAnsi" w:cstheme="majorHAnsi"/>
          <w: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Art.19 din </w:t>
      </w:r>
      <w:r w:rsidRPr="00606103">
        <w:rPr>
          <w:rFonts w:asciiTheme="majorHAnsi" w:hAnsiTheme="majorHAnsi" w:cstheme="majorHAnsi"/>
          <w:sz w:val="16"/>
          <w:szCs w:val="16"/>
          <w:lang w:val="ro-MD" w:eastAsia="ro-RO"/>
        </w:rPr>
        <w:t xml:space="preserve">Legea </w:t>
      </w:r>
      <w:r w:rsidRPr="00606103">
        <w:rPr>
          <w:rFonts w:asciiTheme="majorHAnsi" w:hAnsiTheme="majorHAnsi" w:cstheme="majorHAnsi"/>
          <w:bCs/>
          <w:sz w:val="16"/>
          <w:szCs w:val="16"/>
          <w:lang w:val="ro-MD"/>
        </w:rPr>
        <w:t>nr.181 din 25.07.2014:</w:t>
      </w:r>
      <w:r w:rsidRPr="00606103">
        <w:rPr>
          <w:rFonts w:asciiTheme="majorHAnsi" w:hAnsiTheme="majorHAnsi" w:cstheme="majorHAnsi"/>
          <w:sz w:val="16"/>
          <w:szCs w:val="16"/>
          <w:lang w:val="ro-MD" w:eastAsia="ro-RO"/>
        </w:rPr>
        <w:t xml:space="preserve"> </w:t>
      </w:r>
      <w:r w:rsidRPr="00606103">
        <w:rPr>
          <w:rFonts w:asciiTheme="majorHAnsi" w:hAnsiTheme="majorHAnsi" w:cstheme="majorHAnsi"/>
          <w:sz w:val="16"/>
          <w:szCs w:val="16"/>
          <w:lang w:val="ro-MD"/>
        </w:rPr>
        <w:t xml:space="preserve"> </w:t>
      </w:r>
      <w:r w:rsidRPr="00606103">
        <w:rPr>
          <w:rFonts w:asciiTheme="majorHAnsi" w:hAnsiTheme="majorHAnsi" w:cstheme="majorHAnsi"/>
          <w:i/>
          <w:sz w:val="16"/>
          <w:szCs w:val="16"/>
          <w:lang w:val="ro-MD"/>
        </w:rPr>
        <w:t>„asigură durabilitatea programului de guvernare și a altor documente de politici din punct de vedere bugetar-fiscal; aprobă cadrul bugetar pe termen mediu; aprobă și prezintă Parlamentului proiectele legilor bugetare anuale, precum și proiectele de legi privind modificarea bugetelor; adoptă hotărâri privind redistribuirea alocațiilor în condițiile art.60 alin.(1) lit. a); asigură gestionarea eficientă și transparentă a fondului de rezervă și a fondului de intervenție ale Guvernului etc.”.</w:t>
      </w:r>
    </w:p>
  </w:footnote>
  <w:footnote w:id="129">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Art.20 din Legea nr.181 din 25.07.2014.</w:t>
      </w:r>
    </w:p>
  </w:footnote>
  <w:footnote w:id="130">
    <w:p w:rsidR="006A6B75" w:rsidRPr="00606103" w:rsidRDefault="006A6B75" w:rsidP="00606103">
      <w:pPr>
        <w:pStyle w:val="NoSpacing"/>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Art.73 din </w:t>
      </w:r>
      <w:r w:rsidRPr="00606103">
        <w:rPr>
          <w:rFonts w:asciiTheme="majorHAnsi" w:hAnsiTheme="majorHAnsi" w:cstheme="majorHAnsi"/>
          <w:sz w:val="16"/>
          <w:szCs w:val="16"/>
          <w:lang w:val="ro-MD" w:eastAsia="ro-RO"/>
        </w:rPr>
        <w:t xml:space="preserve">Legea </w:t>
      </w:r>
      <w:r w:rsidRPr="00606103">
        <w:rPr>
          <w:rFonts w:asciiTheme="majorHAnsi" w:hAnsiTheme="majorHAnsi" w:cstheme="majorHAnsi"/>
          <w:bCs/>
          <w:sz w:val="16"/>
          <w:szCs w:val="16"/>
          <w:lang w:val="ro-MD"/>
        </w:rPr>
        <w:t>nr.181 din 25.07.2014</w:t>
      </w:r>
      <w:r w:rsidRPr="00606103">
        <w:rPr>
          <w:rFonts w:asciiTheme="majorHAnsi" w:hAnsiTheme="majorHAnsi" w:cstheme="majorHAnsi"/>
          <w:sz w:val="16"/>
          <w:szCs w:val="16"/>
          <w:lang w:val="ro-MD" w:eastAsia="ro-RO"/>
        </w:rPr>
        <w:t>.</w:t>
      </w:r>
    </w:p>
  </w:footnote>
  <w:footnote w:id="131">
    <w:p w:rsidR="006A6B75" w:rsidRPr="00606103" w:rsidRDefault="006A6B75" w:rsidP="00606103">
      <w:pPr>
        <w:pStyle w:val="FootnoteText"/>
        <w:jc w:val="both"/>
        <w:rPr>
          <w:rFonts w:asciiTheme="majorHAnsi" w:hAnsiTheme="majorHAnsi" w:cstheme="majorHAnsi"/>
          <w:sz w:val="16"/>
          <w:szCs w:val="16"/>
          <w:lang w:val="ro-MD"/>
        </w:rPr>
      </w:pPr>
      <w:r w:rsidRPr="00606103">
        <w:rPr>
          <w:rStyle w:val="FootnoteReference"/>
          <w:rFonts w:asciiTheme="majorHAnsi" w:hAnsiTheme="majorHAnsi" w:cstheme="majorHAnsi"/>
          <w:sz w:val="16"/>
          <w:szCs w:val="16"/>
          <w:lang w:val="ro-MD"/>
        </w:rPr>
        <w:footnoteRef/>
      </w:r>
      <w:r w:rsidRPr="00606103">
        <w:rPr>
          <w:rFonts w:asciiTheme="majorHAnsi" w:hAnsiTheme="majorHAnsi" w:cstheme="majorHAnsi"/>
          <w:sz w:val="16"/>
          <w:szCs w:val="16"/>
          <w:lang w:val="ro-MD"/>
        </w:rPr>
        <w:t xml:space="preserve"> Art.74 din Legea nr.181 din 25.07.2014.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C55"/>
    <w:multiLevelType w:val="hybridMultilevel"/>
    <w:tmpl w:val="4206407C"/>
    <w:lvl w:ilvl="0" w:tplc="7074A4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48A2"/>
    <w:multiLevelType w:val="hybridMultilevel"/>
    <w:tmpl w:val="D82A5D64"/>
    <w:lvl w:ilvl="0" w:tplc="5AE20EDC">
      <w:start w:val="1"/>
      <w:numFmt w:val="decimal"/>
      <w:lvlText w:val="%1."/>
      <w:lvlJc w:val="left"/>
      <w:pPr>
        <w:ind w:left="720" w:hanging="360"/>
      </w:pPr>
      <w:rPr>
        <w:rFonts w:asciiTheme="majorHAnsi" w:eastAsia="Times New Roman" w:hAnsiTheme="majorHAnsi" w:cs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8764C"/>
    <w:multiLevelType w:val="hybridMultilevel"/>
    <w:tmpl w:val="0798D4F2"/>
    <w:lvl w:ilvl="0" w:tplc="C69E140A">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571DF"/>
    <w:multiLevelType w:val="hybridMultilevel"/>
    <w:tmpl w:val="77545996"/>
    <w:lvl w:ilvl="0" w:tplc="D166B5AE">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5BF"/>
    <w:multiLevelType w:val="multilevel"/>
    <w:tmpl w:val="DE923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69177F"/>
    <w:multiLevelType w:val="multilevel"/>
    <w:tmpl w:val="675C8ECC"/>
    <w:lvl w:ilvl="0">
      <w:start w:val="3"/>
      <w:numFmt w:val="decimal"/>
      <w:lvlText w:val="%1."/>
      <w:lvlJc w:val="left"/>
      <w:pPr>
        <w:ind w:left="380" w:hanging="380"/>
      </w:pPr>
      <w:rPr>
        <w:rFonts w:hint="default"/>
      </w:rPr>
    </w:lvl>
    <w:lvl w:ilvl="1">
      <w:start w:val="5"/>
      <w:numFmt w:val="decimal"/>
      <w:lvlText w:val="%1.%2."/>
      <w:lvlJc w:val="left"/>
      <w:pPr>
        <w:ind w:left="2932" w:hanging="380"/>
      </w:pPr>
      <w:rPr>
        <w:rFonts w:hint="default"/>
        <w:b/>
        <w:color w:val="auto"/>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6" w15:restartNumberingAfterBreak="0">
    <w:nsid w:val="17762CE1"/>
    <w:multiLevelType w:val="hybridMultilevel"/>
    <w:tmpl w:val="6ADA8928"/>
    <w:lvl w:ilvl="0" w:tplc="4DF66E18">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787591B"/>
    <w:multiLevelType w:val="hybridMultilevel"/>
    <w:tmpl w:val="6ECE614E"/>
    <w:lvl w:ilvl="0" w:tplc="84A417A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73AE5"/>
    <w:multiLevelType w:val="hybridMultilevel"/>
    <w:tmpl w:val="09D8E28C"/>
    <w:lvl w:ilvl="0" w:tplc="DB84FEA0">
      <w:start w:val="1"/>
      <w:numFmt w:val="low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7E73DEE"/>
    <w:multiLevelType w:val="hybridMultilevel"/>
    <w:tmpl w:val="F436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751B8"/>
    <w:multiLevelType w:val="hybridMultilevel"/>
    <w:tmpl w:val="29027EC2"/>
    <w:lvl w:ilvl="0" w:tplc="C69E140A">
      <w:numFmt w:val="bullet"/>
      <w:lvlText w:val="-"/>
      <w:lvlJc w:val="left"/>
      <w:pPr>
        <w:ind w:left="9149" w:hanging="360"/>
      </w:pPr>
      <w:rPr>
        <w:rFonts w:ascii="Calibri Light" w:eastAsia="Times New Roman" w:hAnsi="Calibri Light" w:cs="Calibri Light" w:hint="default"/>
      </w:rPr>
    </w:lvl>
    <w:lvl w:ilvl="1" w:tplc="04090003" w:tentative="1">
      <w:start w:val="1"/>
      <w:numFmt w:val="bullet"/>
      <w:lvlText w:val="o"/>
      <w:lvlJc w:val="left"/>
      <w:pPr>
        <w:ind w:left="9869" w:hanging="360"/>
      </w:pPr>
      <w:rPr>
        <w:rFonts w:ascii="Courier New" w:hAnsi="Courier New" w:cs="Courier New" w:hint="default"/>
      </w:rPr>
    </w:lvl>
    <w:lvl w:ilvl="2" w:tplc="04090005" w:tentative="1">
      <w:start w:val="1"/>
      <w:numFmt w:val="bullet"/>
      <w:lvlText w:val=""/>
      <w:lvlJc w:val="left"/>
      <w:pPr>
        <w:ind w:left="10589" w:hanging="360"/>
      </w:pPr>
      <w:rPr>
        <w:rFonts w:ascii="Wingdings" w:hAnsi="Wingdings" w:hint="default"/>
      </w:rPr>
    </w:lvl>
    <w:lvl w:ilvl="3" w:tplc="04090001" w:tentative="1">
      <w:start w:val="1"/>
      <w:numFmt w:val="bullet"/>
      <w:lvlText w:val=""/>
      <w:lvlJc w:val="left"/>
      <w:pPr>
        <w:ind w:left="11309" w:hanging="360"/>
      </w:pPr>
      <w:rPr>
        <w:rFonts w:ascii="Symbol" w:hAnsi="Symbol" w:hint="default"/>
      </w:rPr>
    </w:lvl>
    <w:lvl w:ilvl="4" w:tplc="04090003" w:tentative="1">
      <w:start w:val="1"/>
      <w:numFmt w:val="bullet"/>
      <w:lvlText w:val="o"/>
      <w:lvlJc w:val="left"/>
      <w:pPr>
        <w:ind w:left="12029" w:hanging="360"/>
      </w:pPr>
      <w:rPr>
        <w:rFonts w:ascii="Courier New" w:hAnsi="Courier New" w:cs="Courier New" w:hint="default"/>
      </w:rPr>
    </w:lvl>
    <w:lvl w:ilvl="5" w:tplc="04090005" w:tentative="1">
      <w:start w:val="1"/>
      <w:numFmt w:val="bullet"/>
      <w:lvlText w:val=""/>
      <w:lvlJc w:val="left"/>
      <w:pPr>
        <w:ind w:left="12749" w:hanging="360"/>
      </w:pPr>
      <w:rPr>
        <w:rFonts w:ascii="Wingdings" w:hAnsi="Wingdings" w:hint="default"/>
      </w:rPr>
    </w:lvl>
    <w:lvl w:ilvl="6" w:tplc="04090001" w:tentative="1">
      <w:start w:val="1"/>
      <w:numFmt w:val="bullet"/>
      <w:lvlText w:val=""/>
      <w:lvlJc w:val="left"/>
      <w:pPr>
        <w:ind w:left="13469" w:hanging="360"/>
      </w:pPr>
      <w:rPr>
        <w:rFonts w:ascii="Symbol" w:hAnsi="Symbol" w:hint="default"/>
      </w:rPr>
    </w:lvl>
    <w:lvl w:ilvl="7" w:tplc="04090003" w:tentative="1">
      <w:start w:val="1"/>
      <w:numFmt w:val="bullet"/>
      <w:lvlText w:val="o"/>
      <w:lvlJc w:val="left"/>
      <w:pPr>
        <w:ind w:left="14189" w:hanging="360"/>
      </w:pPr>
      <w:rPr>
        <w:rFonts w:ascii="Courier New" w:hAnsi="Courier New" w:cs="Courier New" w:hint="default"/>
      </w:rPr>
    </w:lvl>
    <w:lvl w:ilvl="8" w:tplc="04090005" w:tentative="1">
      <w:start w:val="1"/>
      <w:numFmt w:val="bullet"/>
      <w:lvlText w:val=""/>
      <w:lvlJc w:val="left"/>
      <w:pPr>
        <w:ind w:left="14909" w:hanging="360"/>
      </w:pPr>
      <w:rPr>
        <w:rFonts w:ascii="Wingdings" w:hAnsi="Wingdings" w:hint="default"/>
      </w:rPr>
    </w:lvl>
  </w:abstractNum>
  <w:abstractNum w:abstractNumId="11" w15:restartNumberingAfterBreak="0">
    <w:nsid w:val="1C0E06C3"/>
    <w:multiLevelType w:val="multilevel"/>
    <w:tmpl w:val="39942D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596ADD"/>
    <w:multiLevelType w:val="hybridMultilevel"/>
    <w:tmpl w:val="9872C466"/>
    <w:lvl w:ilvl="0" w:tplc="F5C62D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777908"/>
    <w:multiLevelType w:val="multilevel"/>
    <w:tmpl w:val="083AF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574F29"/>
    <w:multiLevelType w:val="multilevel"/>
    <w:tmpl w:val="1EA4E9F6"/>
    <w:lvl w:ilvl="0">
      <w:start w:val="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D56C6D"/>
    <w:multiLevelType w:val="multilevel"/>
    <w:tmpl w:val="EEBC2E30"/>
    <w:lvl w:ilvl="0">
      <w:start w:val="1"/>
      <w:numFmt w:val="decimal"/>
      <w:lvlText w:val="%1."/>
      <w:lvlJc w:val="left"/>
      <w:rPr>
        <w:rFonts w:asciiTheme="majorHAnsi" w:eastAsia="Calibri" w:hAnsiTheme="majorHAnsi" w:cstheme="majorHAnsi" w:hint="default"/>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0937F8"/>
    <w:multiLevelType w:val="multilevel"/>
    <w:tmpl w:val="40B85BF2"/>
    <w:lvl w:ilvl="0">
      <w:start w:val="1"/>
      <w:numFmt w:val="upperRoman"/>
      <w:lvlText w:val="%1."/>
      <w:lvlJc w:val="left"/>
      <w:pPr>
        <w:ind w:left="1080" w:hanging="720"/>
      </w:pPr>
      <w:rPr>
        <w:rFonts w:hint="default"/>
        <w:b/>
      </w:rPr>
    </w:lvl>
    <w:lvl w:ilvl="1">
      <w:start w:val="1"/>
      <w:numFmt w:val="decimal"/>
      <w:isLgl/>
      <w:lvlText w:val="%1.%2."/>
      <w:lvlJc w:val="left"/>
      <w:pPr>
        <w:ind w:left="756" w:hanging="396"/>
      </w:pPr>
      <w:rPr>
        <w:rFonts w:asciiTheme="majorHAnsi" w:hAnsiTheme="majorHAnsi" w:cstheme="maj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8D0480"/>
    <w:multiLevelType w:val="multilevel"/>
    <w:tmpl w:val="99DC2EEE"/>
    <w:lvl w:ilvl="0">
      <w:start w:val="5"/>
      <w:numFmt w:val="decimal"/>
      <w:lvlText w:val="%1."/>
      <w:lvlJc w:val="left"/>
      <w:pPr>
        <w:ind w:left="380" w:hanging="380"/>
      </w:pPr>
      <w:rPr>
        <w:rFonts w:hint="default"/>
      </w:rPr>
    </w:lvl>
    <w:lvl w:ilvl="1">
      <w:start w:val="3"/>
      <w:numFmt w:val="decimal"/>
      <w:lvlText w:val="%1.%2."/>
      <w:lvlJc w:val="left"/>
      <w:pPr>
        <w:ind w:left="3216" w:hanging="38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8" w15:restartNumberingAfterBreak="0">
    <w:nsid w:val="241029F0"/>
    <w:multiLevelType w:val="hybridMultilevel"/>
    <w:tmpl w:val="50B83D60"/>
    <w:lvl w:ilvl="0" w:tplc="3792523C">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76B0E"/>
    <w:multiLevelType w:val="hybridMultilevel"/>
    <w:tmpl w:val="E7985D46"/>
    <w:lvl w:ilvl="0" w:tplc="B72C98F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A4AE5"/>
    <w:multiLevelType w:val="hybridMultilevel"/>
    <w:tmpl w:val="23E68E2E"/>
    <w:lvl w:ilvl="0" w:tplc="E930709C">
      <w:start w:val="1"/>
      <w:numFmt w:val="lowerRoman"/>
      <w:lvlText w:val="(%1)"/>
      <w:lvlJc w:val="left"/>
      <w:pPr>
        <w:ind w:left="1080" w:hanging="720"/>
      </w:pPr>
      <w:rPr>
        <w:rFonts w:cstheme="majorHAnsi"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915D04"/>
    <w:multiLevelType w:val="multilevel"/>
    <w:tmpl w:val="3616330A"/>
    <w:lvl w:ilvl="0">
      <w:start w:val="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391AB6"/>
    <w:multiLevelType w:val="multilevel"/>
    <w:tmpl w:val="EA06AB80"/>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BF332E0"/>
    <w:multiLevelType w:val="multilevel"/>
    <w:tmpl w:val="E06086A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262634"/>
    <w:multiLevelType w:val="hybridMultilevel"/>
    <w:tmpl w:val="420AEADC"/>
    <w:lvl w:ilvl="0" w:tplc="1BCEFA9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4408EF"/>
    <w:multiLevelType w:val="multilevel"/>
    <w:tmpl w:val="121C29C6"/>
    <w:lvl w:ilvl="0">
      <w:start w:val="6"/>
      <w:numFmt w:val="decimal"/>
      <w:lvlText w:val="%1."/>
      <w:lvlJc w:val="left"/>
      <w:pPr>
        <w:ind w:left="380" w:hanging="380"/>
      </w:pPr>
      <w:rPr>
        <w:rFonts w:hint="default"/>
      </w:rPr>
    </w:lvl>
    <w:lvl w:ilvl="1">
      <w:start w:val="4"/>
      <w:numFmt w:val="decimal"/>
      <w:lvlText w:val="%1.%2."/>
      <w:lvlJc w:val="left"/>
      <w:pPr>
        <w:ind w:left="2932" w:hanging="38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26" w15:restartNumberingAfterBreak="0">
    <w:nsid w:val="32B764CB"/>
    <w:multiLevelType w:val="hybridMultilevel"/>
    <w:tmpl w:val="452E4A3A"/>
    <w:lvl w:ilvl="0" w:tplc="A6FA43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F3019E"/>
    <w:multiLevelType w:val="hybridMultilevel"/>
    <w:tmpl w:val="5EE4EA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3F205E95"/>
    <w:multiLevelType w:val="hybridMultilevel"/>
    <w:tmpl w:val="18E0981E"/>
    <w:lvl w:ilvl="0" w:tplc="04190001">
      <w:start w:val="1"/>
      <w:numFmt w:val="bullet"/>
      <w:lvlText w:val=""/>
      <w:lvlJc w:val="left"/>
      <w:pPr>
        <w:ind w:left="720" w:hanging="360"/>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5198D"/>
    <w:multiLevelType w:val="hybridMultilevel"/>
    <w:tmpl w:val="89201898"/>
    <w:lvl w:ilvl="0" w:tplc="4DF66E18">
      <w:numFmt w:val="bullet"/>
      <w:lvlText w:val="-"/>
      <w:lvlJc w:val="left"/>
      <w:pPr>
        <w:ind w:left="720" w:hanging="360"/>
      </w:pPr>
      <w:rPr>
        <w:rFonts w:ascii="Calibri Light" w:eastAsiaTheme="minorHAnsi" w:hAnsi="Calibri Light" w:cs="Calibri Light" w:hint="default"/>
      </w:rPr>
    </w:lvl>
    <w:lvl w:ilvl="1" w:tplc="079C694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A407F"/>
    <w:multiLevelType w:val="hybridMultilevel"/>
    <w:tmpl w:val="EB060668"/>
    <w:lvl w:ilvl="0" w:tplc="2E1A2AD4">
      <w:start w:val="3"/>
      <w:numFmt w:val="lowerRoman"/>
      <w:lvlText w:val="(%1)"/>
      <w:lvlJc w:val="left"/>
      <w:pPr>
        <w:ind w:left="1080" w:hanging="72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15746"/>
    <w:multiLevelType w:val="multilevel"/>
    <w:tmpl w:val="C016AAF0"/>
    <w:lvl w:ilvl="0">
      <w:start w:val="3"/>
      <w:numFmt w:val="decimal"/>
      <w:lvlText w:val="%1."/>
      <w:lvlJc w:val="left"/>
      <w:pPr>
        <w:ind w:left="2224"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B792FBB"/>
    <w:multiLevelType w:val="hybridMultilevel"/>
    <w:tmpl w:val="C592065E"/>
    <w:lvl w:ilvl="0" w:tplc="D37AA11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4C0817CC"/>
    <w:multiLevelType w:val="hybridMultilevel"/>
    <w:tmpl w:val="5956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F5792"/>
    <w:multiLevelType w:val="hybridMultilevel"/>
    <w:tmpl w:val="0E145FB4"/>
    <w:lvl w:ilvl="0" w:tplc="294E040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B5BF5"/>
    <w:multiLevelType w:val="hybridMultilevel"/>
    <w:tmpl w:val="FC70D690"/>
    <w:lvl w:ilvl="0" w:tplc="D054DE6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F478D"/>
    <w:multiLevelType w:val="hybridMultilevel"/>
    <w:tmpl w:val="90E8BA80"/>
    <w:lvl w:ilvl="0" w:tplc="C97C3946">
      <w:start w:val="3"/>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745104"/>
    <w:multiLevelType w:val="hybridMultilevel"/>
    <w:tmpl w:val="596016AC"/>
    <w:lvl w:ilvl="0" w:tplc="02FE1A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5C267123"/>
    <w:multiLevelType w:val="hybridMultilevel"/>
    <w:tmpl w:val="15C205F8"/>
    <w:lvl w:ilvl="0" w:tplc="48E26764">
      <w:start w:val="1"/>
      <w:numFmt w:val="decimal"/>
      <w:lvlText w:val="%1."/>
      <w:lvlJc w:val="left"/>
      <w:pPr>
        <w:ind w:left="1429" w:hanging="360"/>
      </w:pPr>
      <w:rPr>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5C7D6D76"/>
    <w:multiLevelType w:val="hybridMultilevel"/>
    <w:tmpl w:val="283E2588"/>
    <w:lvl w:ilvl="0" w:tplc="3D20772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091ACB"/>
    <w:multiLevelType w:val="multilevel"/>
    <w:tmpl w:val="39942D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493F53"/>
    <w:multiLevelType w:val="hybridMultilevel"/>
    <w:tmpl w:val="1BB8B008"/>
    <w:lvl w:ilvl="0" w:tplc="D37AA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C061DA"/>
    <w:multiLevelType w:val="hybridMultilevel"/>
    <w:tmpl w:val="C61CDA30"/>
    <w:lvl w:ilvl="0" w:tplc="00FE57FE">
      <w:start w:val="1"/>
      <w:numFmt w:val="decimal"/>
      <w:lvlText w:val="%1."/>
      <w:lvlJc w:val="left"/>
      <w:pPr>
        <w:ind w:left="720" w:hanging="360"/>
      </w:pPr>
      <w:rPr>
        <w:rFonts w:asciiTheme="majorHAnsi" w:eastAsia="Times New Roman" w:hAnsiTheme="majorHAnsi" w:cs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A71F46"/>
    <w:multiLevelType w:val="multilevel"/>
    <w:tmpl w:val="CF82637C"/>
    <w:lvl w:ilvl="0">
      <w:start w:val="5"/>
      <w:numFmt w:val="decimal"/>
      <w:lvlText w:val="%1."/>
      <w:lvlJc w:val="left"/>
      <w:pPr>
        <w:ind w:left="380" w:hanging="380"/>
      </w:pPr>
      <w:rPr>
        <w:rFonts w:hint="default"/>
      </w:rPr>
    </w:lvl>
    <w:lvl w:ilvl="1">
      <w:start w:val="1"/>
      <w:numFmt w:val="decimal"/>
      <w:lvlText w:val="%1.%2."/>
      <w:lvlJc w:val="left"/>
      <w:pPr>
        <w:ind w:left="820" w:hanging="3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4" w15:restartNumberingAfterBreak="0">
    <w:nsid w:val="72847E48"/>
    <w:multiLevelType w:val="hybridMultilevel"/>
    <w:tmpl w:val="3E103952"/>
    <w:lvl w:ilvl="0" w:tplc="51B87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0179B"/>
    <w:multiLevelType w:val="hybridMultilevel"/>
    <w:tmpl w:val="53ECDF58"/>
    <w:lvl w:ilvl="0" w:tplc="CD2EECC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CB7248"/>
    <w:multiLevelType w:val="multilevel"/>
    <w:tmpl w:val="DFE0195A"/>
    <w:lvl w:ilvl="0">
      <w:start w:val="1"/>
      <w:numFmt w:val="upperRoman"/>
      <w:lvlText w:val="%1."/>
      <w:lvlJc w:val="left"/>
      <w:pPr>
        <w:ind w:left="1080" w:hanging="720"/>
      </w:pPr>
      <w:rPr>
        <w:rFonts w:hint="default"/>
        <w:b/>
      </w:rPr>
    </w:lvl>
    <w:lvl w:ilvl="1">
      <w:start w:val="4"/>
      <w:numFmt w:val="decimal"/>
      <w:isLgl/>
      <w:lvlText w:val="%1.%2."/>
      <w:lvlJc w:val="left"/>
      <w:pPr>
        <w:ind w:left="2948" w:hanging="396"/>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C7B5672"/>
    <w:multiLevelType w:val="hybridMultilevel"/>
    <w:tmpl w:val="388CB0B6"/>
    <w:lvl w:ilvl="0" w:tplc="3CF4F192">
      <w:start w:val="2"/>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473E62"/>
    <w:multiLevelType w:val="hybridMultilevel"/>
    <w:tmpl w:val="C6E60D54"/>
    <w:lvl w:ilvl="0" w:tplc="9884A01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D50B60"/>
    <w:multiLevelType w:val="hybridMultilevel"/>
    <w:tmpl w:val="2A08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B214ED"/>
    <w:multiLevelType w:val="hybridMultilevel"/>
    <w:tmpl w:val="225C9194"/>
    <w:lvl w:ilvl="0" w:tplc="0BD68A8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
  </w:num>
  <w:num w:numId="3">
    <w:abstractNumId w:val="5"/>
  </w:num>
  <w:num w:numId="4">
    <w:abstractNumId w:val="36"/>
  </w:num>
  <w:num w:numId="5">
    <w:abstractNumId w:val="25"/>
  </w:num>
  <w:num w:numId="6">
    <w:abstractNumId w:val="17"/>
  </w:num>
  <w:num w:numId="7">
    <w:abstractNumId w:val="24"/>
  </w:num>
  <w:num w:numId="8">
    <w:abstractNumId w:val="6"/>
  </w:num>
  <w:num w:numId="9">
    <w:abstractNumId w:val="45"/>
  </w:num>
  <w:num w:numId="10">
    <w:abstractNumId w:val="3"/>
  </w:num>
  <w:num w:numId="11">
    <w:abstractNumId w:val="10"/>
  </w:num>
  <w:num w:numId="12">
    <w:abstractNumId w:val="19"/>
  </w:num>
  <w:num w:numId="13">
    <w:abstractNumId w:val="41"/>
  </w:num>
  <w:num w:numId="14">
    <w:abstractNumId w:val="13"/>
  </w:num>
  <w:num w:numId="15">
    <w:abstractNumId w:val="4"/>
  </w:num>
  <w:num w:numId="16">
    <w:abstractNumId w:val="39"/>
  </w:num>
  <w:num w:numId="17">
    <w:abstractNumId w:val="2"/>
  </w:num>
  <w:num w:numId="18">
    <w:abstractNumId w:val="42"/>
  </w:num>
  <w:num w:numId="19">
    <w:abstractNumId w:val="38"/>
  </w:num>
  <w:num w:numId="20">
    <w:abstractNumId w:val="32"/>
  </w:num>
  <w:num w:numId="21">
    <w:abstractNumId w:val="48"/>
  </w:num>
  <w:num w:numId="22">
    <w:abstractNumId w:val="37"/>
  </w:num>
  <w:num w:numId="23">
    <w:abstractNumId w:val="34"/>
  </w:num>
  <w:num w:numId="24">
    <w:abstractNumId w:val="7"/>
  </w:num>
  <w:num w:numId="25">
    <w:abstractNumId w:val="28"/>
  </w:num>
  <w:num w:numId="26">
    <w:abstractNumId w:val="20"/>
  </w:num>
  <w:num w:numId="27">
    <w:abstractNumId w:val="27"/>
  </w:num>
  <w:num w:numId="28">
    <w:abstractNumId w:val="1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35"/>
  </w:num>
  <w:num w:numId="33">
    <w:abstractNumId w:val="44"/>
  </w:num>
  <w:num w:numId="34">
    <w:abstractNumId w:val="40"/>
  </w:num>
  <w:num w:numId="35">
    <w:abstractNumId w:val="47"/>
  </w:num>
  <w:num w:numId="36">
    <w:abstractNumId w:val="30"/>
  </w:num>
  <w:num w:numId="37">
    <w:abstractNumId w:val="1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50"/>
  </w:num>
  <w:num w:numId="41">
    <w:abstractNumId w:val="0"/>
  </w:num>
  <w:num w:numId="42">
    <w:abstractNumId w:val="16"/>
  </w:num>
  <w:num w:numId="43">
    <w:abstractNumId w:val="31"/>
  </w:num>
  <w:num w:numId="44">
    <w:abstractNumId w:val="22"/>
  </w:num>
  <w:num w:numId="45">
    <w:abstractNumId w:val="43"/>
  </w:num>
  <w:num w:numId="46">
    <w:abstractNumId w:val="21"/>
  </w:num>
  <w:num w:numId="47">
    <w:abstractNumId w:val="14"/>
  </w:num>
  <w:num w:numId="48">
    <w:abstractNumId w:val="26"/>
  </w:num>
  <w:num w:numId="49">
    <w:abstractNumId w:val="49"/>
  </w:num>
  <w:num w:numId="50">
    <w:abstractNumId w:val="33"/>
  </w:num>
  <w:num w:numId="51">
    <w:abstractNumId w:val="9"/>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45"/>
    <w:rsid w:val="00002ED3"/>
    <w:rsid w:val="0001216E"/>
    <w:rsid w:val="0001292A"/>
    <w:rsid w:val="00013D9D"/>
    <w:rsid w:val="00015D1B"/>
    <w:rsid w:val="000248F2"/>
    <w:rsid w:val="0002498E"/>
    <w:rsid w:val="00027615"/>
    <w:rsid w:val="000320B8"/>
    <w:rsid w:val="00032F93"/>
    <w:rsid w:val="000331DE"/>
    <w:rsid w:val="0003329B"/>
    <w:rsid w:val="00035A80"/>
    <w:rsid w:val="00036AF5"/>
    <w:rsid w:val="000419D1"/>
    <w:rsid w:val="000424A9"/>
    <w:rsid w:val="000446AC"/>
    <w:rsid w:val="000452B0"/>
    <w:rsid w:val="000459F8"/>
    <w:rsid w:val="000477DE"/>
    <w:rsid w:val="0005370F"/>
    <w:rsid w:val="000577DA"/>
    <w:rsid w:val="00065125"/>
    <w:rsid w:val="000705F1"/>
    <w:rsid w:val="0007416C"/>
    <w:rsid w:val="0008200B"/>
    <w:rsid w:val="00082C8F"/>
    <w:rsid w:val="00083A32"/>
    <w:rsid w:val="00084C2A"/>
    <w:rsid w:val="00085018"/>
    <w:rsid w:val="0008665C"/>
    <w:rsid w:val="00086781"/>
    <w:rsid w:val="00086B5C"/>
    <w:rsid w:val="00090BB7"/>
    <w:rsid w:val="000924EA"/>
    <w:rsid w:val="00093C88"/>
    <w:rsid w:val="000949F2"/>
    <w:rsid w:val="0009546D"/>
    <w:rsid w:val="00095B22"/>
    <w:rsid w:val="00095B81"/>
    <w:rsid w:val="000A0AB5"/>
    <w:rsid w:val="000A1798"/>
    <w:rsid w:val="000A1CC3"/>
    <w:rsid w:val="000A1FE5"/>
    <w:rsid w:val="000A6BFD"/>
    <w:rsid w:val="000A74BE"/>
    <w:rsid w:val="000A7EFF"/>
    <w:rsid w:val="000B1E88"/>
    <w:rsid w:val="000B2487"/>
    <w:rsid w:val="000B4A27"/>
    <w:rsid w:val="000B4C40"/>
    <w:rsid w:val="000C16B1"/>
    <w:rsid w:val="000C1DD3"/>
    <w:rsid w:val="000C47D9"/>
    <w:rsid w:val="000C50EA"/>
    <w:rsid w:val="000C5EC7"/>
    <w:rsid w:val="000C60D4"/>
    <w:rsid w:val="000D52C1"/>
    <w:rsid w:val="000D54C5"/>
    <w:rsid w:val="000D6F57"/>
    <w:rsid w:val="000D7A75"/>
    <w:rsid w:val="000E0C22"/>
    <w:rsid w:val="000E3A9F"/>
    <w:rsid w:val="000E448F"/>
    <w:rsid w:val="000E76F9"/>
    <w:rsid w:val="000F4132"/>
    <w:rsid w:val="000F4A31"/>
    <w:rsid w:val="000F691A"/>
    <w:rsid w:val="000F6E62"/>
    <w:rsid w:val="000F7D19"/>
    <w:rsid w:val="00100035"/>
    <w:rsid w:val="0010434F"/>
    <w:rsid w:val="00113CD3"/>
    <w:rsid w:val="001141F1"/>
    <w:rsid w:val="0011514A"/>
    <w:rsid w:val="0011693D"/>
    <w:rsid w:val="00122B0A"/>
    <w:rsid w:val="00124503"/>
    <w:rsid w:val="00125915"/>
    <w:rsid w:val="00126741"/>
    <w:rsid w:val="00127929"/>
    <w:rsid w:val="00130C76"/>
    <w:rsid w:val="00130E27"/>
    <w:rsid w:val="00131A33"/>
    <w:rsid w:val="00131ADC"/>
    <w:rsid w:val="00131D89"/>
    <w:rsid w:val="00132B28"/>
    <w:rsid w:val="00132C66"/>
    <w:rsid w:val="0013348D"/>
    <w:rsid w:val="00135FB7"/>
    <w:rsid w:val="0013663F"/>
    <w:rsid w:val="001450F4"/>
    <w:rsid w:val="00146AA8"/>
    <w:rsid w:val="00150025"/>
    <w:rsid w:val="0015040C"/>
    <w:rsid w:val="0015061B"/>
    <w:rsid w:val="00151671"/>
    <w:rsid w:val="00153AA3"/>
    <w:rsid w:val="0015656B"/>
    <w:rsid w:val="00160106"/>
    <w:rsid w:val="00160548"/>
    <w:rsid w:val="00161D0B"/>
    <w:rsid w:val="00162C73"/>
    <w:rsid w:val="001641FF"/>
    <w:rsid w:val="00166723"/>
    <w:rsid w:val="00166973"/>
    <w:rsid w:val="0016772C"/>
    <w:rsid w:val="00171DCC"/>
    <w:rsid w:val="00173828"/>
    <w:rsid w:val="00175AFC"/>
    <w:rsid w:val="001767A7"/>
    <w:rsid w:val="00182A23"/>
    <w:rsid w:val="00183A10"/>
    <w:rsid w:val="00185C55"/>
    <w:rsid w:val="00186F67"/>
    <w:rsid w:val="00190A88"/>
    <w:rsid w:val="00193EA2"/>
    <w:rsid w:val="001962A4"/>
    <w:rsid w:val="00197993"/>
    <w:rsid w:val="001A6E85"/>
    <w:rsid w:val="001A7FB9"/>
    <w:rsid w:val="001B020B"/>
    <w:rsid w:val="001B6617"/>
    <w:rsid w:val="001C22D9"/>
    <w:rsid w:val="001C2BF4"/>
    <w:rsid w:val="001C4EE1"/>
    <w:rsid w:val="001C77CC"/>
    <w:rsid w:val="001D1262"/>
    <w:rsid w:val="001D248C"/>
    <w:rsid w:val="001D3748"/>
    <w:rsid w:val="001D3ABF"/>
    <w:rsid w:val="001D434B"/>
    <w:rsid w:val="001D4770"/>
    <w:rsid w:val="001D6D4F"/>
    <w:rsid w:val="001E52B6"/>
    <w:rsid w:val="001F1A79"/>
    <w:rsid w:val="001F3C43"/>
    <w:rsid w:val="001F41BE"/>
    <w:rsid w:val="001F5617"/>
    <w:rsid w:val="001F6C08"/>
    <w:rsid w:val="001F7918"/>
    <w:rsid w:val="001F7B42"/>
    <w:rsid w:val="0020349C"/>
    <w:rsid w:val="00205F2E"/>
    <w:rsid w:val="00207C08"/>
    <w:rsid w:val="002102A8"/>
    <w:rsid w:val="00212D19"/>
    <w:rsid w:val="002153E6"/>
    <w:rsid w:val="002163D5"/>
    <w:rsid w:val="00217EEC"/>
    <w:rsid w:val="002204F9"/>
    <w:rsid w:val="00221854"/>
    <w:rsid w:val="00225042"/>
    <w:rsid w:val="0022542E"/>
    <w:rsid w:val="002300B8"/>
    <w:rsid w:val="00230F52"/>
    <w:rsid w:val="00236BD7"/>
    <w:rsid w:val="00241C66"/>
    <w:rsid w:val="00242E81"/>
    <w:rsid w:val="002433DF"/>
    <w:rsid w:val="00245E03"/>
    <w:rsid w:val="00247823"/>
    <w:rsid w:val="002536BF"/>
    <w:rsid w:val="00256CE1"/>
    <w:rsid w:val="002609BB"/>
    <w:rsid w:val="00260BC3"/>
    <w:rsid w:val="002662BE"/>
    <w:rsid w:val="0026730B"/>
    <w:rsid w:val="002674FB"/>
    <w:rsid w:val="00270DD9"/>
    <w:rsid w:val="0027345B"/>
    <w:rsid w:val="00280265"/>
    <w:rsid w:val="00280BD4"/>
    <w:rsid w:val="00281BE6"/>
    <w:rsid w:val="0028202E"/>
    <w:rsid w:val="00283B3D"/>
    <w:rsid w:val="002848E0"/>
    <w:rsid w:val="00285AF1"/>
    <w:rsid w:val="002872B0"/>
    <w:rsid w:val="00290E51"/>
    <w:rsid w:val="002940EB"/>
    <w:rsid w:val="00296E6A"/>
    <w:rsid w:val="00297DBE"/>
    <w:rsid w:val="002A3D8A"/>
    <w:rsid w:val="002A4C86"/>
    <w:rsid w:val="002A634D"/>
    <w:rsid w:val="002B0D0A"/>
    <w:rsid w:val="002B24D0"/>
    <w:rsid w:val="002B5A1C"/>
    <w:rsid w:val="002B6474"/>
    <w:rsid w:val="002B672E"/>
    <w:rsid w:val="002B7615"/>
    <w:rsid w:val="002C0C18"/>
    <w:rsid w:val="002C15DB"/>
    <w:rsid w:val="002C1E60"/>
    <w:rsid w:val="002C4C10"/>
    <w:rsid w:val="002D145E"/>
    <w:rsid w:val="002D1625"/>
    <w:rsid w:val="002D7D91"/>
    <w:rsid w:val="002E0909"/>
    <w:rsid w:val="002E248E"/>
    <w:rsid w:val="002E265C"/>
    <w:rsid w:val="002E474C"/>
    <w:rsid w:val="002E5DFB"/>
    <w:rsid w:val="002E5F8E"/>
    <w:rsid w:val="002E7798"/>
    <w:rsid w:val="002F0437"/>
    <w:rsid w:val="002F19C1"/>
    <w:rsid w:val="002F2E1F"/>
    <w:rsid w:val="002F3529"/>
    <w:rsid w:val="002F5BB1"/>
    <w:rsid w:val="002F68EB"/>
    <w:rsid w:val="002F6C66"/>
    <w:rsid w:val="002F6FC9"/>
    <w:rsid w:val="00301268"/>
    <w:rsid w:val="003016CF"/>
    <w:rsid w:val="00306687"/>
    <w:rsid w:val="00307B3B"/>
    <w:rsid w:val="00311C19"/>
    <w:rsid w:val="00313A04"/>
    <w:rsid w:val="00313EBA"/>
    <w:rsid w:val="00320CD3"/>
    <w:rsid w:val="00321A35"/>
    <w:rsid w:val="0032285A"/>
    <w:rsid w:val="00323CD9"/>
    <w:rsid w:val="003260BB"/>
    <w:rsid w:val="003277D4"/>
    <w:rsid w:val="0032797B"/>
    <w:rsid w:val="00327DE0"/>
    <w:rsid w:val="00336CBE"/>
    <w:rsid w:val="00337FE5"/>
    <w:rsid w:val="00347B24"/>
    <w:rsid w:val="00351F89"/>
    <w:rsid w:val="003520CF"/>
    <w:rsid w:val="00355FE3"/>
    <w:rsid w:val="00356BB8"/>
    <w:rsid w:val="0036056A"/>
    <w:rsid w:val="00360A01"/>
    <w:rsid w:val="00361C9B"/>
    <w:rsid w:val="0036686D"/>
    <w:rsid w:val="00367EA7"/>
    <w:rsid w:val="00371C6A"/>
    <w:rsid w:val="00371C6F"/>
    <w:rsid w:val="00371CAE"/>
    <w:rsid w:val="003725E7"/>
    <w:rsid w:val="00372C46"/>
    <w:rsid w:val="003734B4"/>
    <w:rsid w:val="003754AE"/>
    <w:rsid w:val="00375E8B"/>
    <w:rsid w:val="0038277E"/>
    <w:rsid w:val="00385AF1"/>
    <w:rsid w:val="003862C0"/>
    <w:rsid w:val="003911FA"/>
    <w:rsid w:val="00393981"/>
    <w:rsid w:val="00394005"/>
    <w:rsid w:val="0039449A"/>
    <w:rsid w:val="003A13BA"/>
    <w:rsid w:val="003A26E3"/>
    <w:rsid w:val="003B2052"/>
    <w:rsid w:val="003B3483"/>
    <w:rsid w:val="003C0A5B"/>
    <w:rsid w:val="003C201B"/>
    <w:rsid w:val="003C43B6"/>
    <w:rsid w:val="003C4E55"/>
    <w:rsid w:val="003C5028"/>
    <w:rsid w:val="003D4891"/>
    <w:rsid w:val="003D640F"/>
    <w:rsid w:val="003D6FE1"/>
    <w:rsid w:val="003E0114"/>
    <w:rsid w:val="003E2EE2"/>
    <w:rsid w:val="003E6D1C"/>
    <w:rsid w:val="003F00C2"/>
    <w:rsid w:val="003F3358"/>
    <w:rsid w:val="003F55BB"/>
    <w:rsid w:val="003F6462"/>
    <w:rsid w:val="003F7E81"/>
    <w:rsid w:val="00402662"/>
    <w:rsid w:val="00403A1C"/>
    <w:rsid w:val="00406D1F"/>
    <w:rsid w:val="00411476"/>
    <w:rsid w:val="00412E39"/>
    <w:rsid w:val="004130BB"/>
    <w:rsid w:val="0041329C"/>
    <w:rsid w:val="00414C69"/>
    <w:rsid w:val="00416368"/>
    <w:rsid w:val="00417B66"/>
    <w:rsid w:val="00417DFD"/>
    <w:rsid w:val="00417E99"/>
    <w:rsid w:val="00420C96"/>
    <w:rsid w:val="004250BE"/>
    <w:rsid w:val="00427C50"/>
    <w:rsid w:val="0043007D"/>
    <w:rsid w:val="0043107D"/>
    <w:rsid w:val="0043437E"/>
    <w:rsid w:val="00436018"/>
    <w:rsid w:val="00436214"/>
    <w:rsid w:val="004374F8"/>
    <w:rsid w:val="00441C56"/>
    <w:rsid w:val="00442F7E"/>
    <w:rsid w:val="00443574"/>
    <w:rsid w:val="004454E0"/>
    <w:rsid w:val="00445709"/>
    <w:rsid w:val="00446117"/>
    <w:rsid w:val="00447CDF"/>
    <w:rsid w:val="00450E48"/>
    <w:rsid w:val="00452DB2"/>
    <w:rsid w:val="004531E1"/>
    <w:rsid w:val="00457A75"/>
    <w:rsid w:val="004617E6"/>
    <w:rsid w:val="00462CB5"/>
    <w:rsid w:val="004639A2"/>
    <w:rsid w:val="00473563"/>
    <w:rsid w:val="00477FDF"/>
    <w:rsid w:val="004802B4"/>
    <w:rsid w:val="00484CA9"/>
    <w:rsid w:val="00490D4D"/>
    <w:rsid w:val="00492C08"/>
    <w:rsid w:val="004A285A"/>
    <w:rsid w:val="004A535F"/>
    <w:rsid w:val="004A553D"/>
    <w:rsid w:val="004B31EC"/>
    <w:rsid w:val="004B455F"/>
    <w:rsid w:val="004B4B8E"/>
    <w:rsid w:val="004C12F5"/>
    <w:rsid w:val="004C1488"/>
    <w:rsid w:val="004C21A1"/>
    <w:rsid w:val="004C3C34"/>
    <w:rsid w:val="004D02C0"/>
    <w:rsid w:val="004D0598"/>
    <w:rsid w:val="004D074C"/>
    <w:rsid w:val="004D713A"/>
    <w:rsid w:val="004F0C73"/>
    <w:rsid w:val="004F12C4"/>
    <w:rsid w:val="004F18E8"/>
    <w:rsid w:val="004F2EEF"/>
    <w:rsid w:val="004F3F04"/>
    <w:rsid w:val="004F7B4B"/>
    <w:rsid w:val="00502C0A"/>
    <w:rsid w:val="005041CA"/>
    <w:rsid w:val="00506AAD"/>
    <w:rsid w:val="00506E54"/>
    <w:rsid w:val="00511DDA"/>
    <w:rsid w:val="00513522"/>
    <w:rsid w:val="005149D7"/>
    <w:rsid w:val="005204EA"/>
    <w:rsid w:val="005245DD"/>
    <w:rsid w:val="00524885"/>
    <w:rsid w:val="00526A7D"/>
    <w:rsid w:val="00530BAA"/>
    <w:rsid w:val="00530E5A"/>
    <w:rsid w:val="005320F3"/>
    <w:rsid w:val="00536ABA"/>
    <w:rsid w:val="00536BA8"/>
    <w:rsid w:val="00540489"/>
    <w:rsid w:val="005407EA"/>
    <w:rsid w:val="00543360"/>
    <w:rsid w:val="00544DE1"/>
    <w:rsid w:val="0054658F"/>
    <w:rsid w:val="005507CD"/>
    <w:rsid w:val="00552746"/>
    <w:rsid w:val="005538AE"/>
    <w:rsid w:val="005541DC"/>
    <w:rsid w:val="00554FDA"/>
    <w:rsid w:val="00555A53"/>
    <w:rsid w:val="005564AA"/>
    <w:rsid w:val="005576EC"/>
    <w:rsid w:val="00560F9F"/>
    <w:rsid w:val="00562866"/>
    <w:rsid w:val="00562D1A"/>
    <w:rsid w:val="00565C92"/>
    <w:rsid w:val="005703BD"/>
    <w:rsid w:val="0057304A"/>
    <w:rsid w:val="0057457C"/>
    <w:rsid w:val="005757D8"/>
    <w:rsid w:val="00577973"/>
    <w:rsid w:val="00580ECA"/>
    <w:rsid w:val="00581C14"/>
    <w:rsid w:val="005845D7"/>
    <w:rsid w:val="00584815"/>
    <w:rsid w:val="00584DBC"/>
    <w:rsid w:val="00590AE2"/>
    <w:rsid w:val="005A13D9"/>
    <w:rsid w:val="005A5BC5"/>
    <w:rsid w:val="005A7190"/>
    <w:rsid w:val="005B4EC7"/>
    <w:rsid w:val="005C07BC"/>
    <w:rsid w:val="005C1D7E"/>
    <w:rsid w:val="005C41B5"/>
    <w:rsid w:val="005C4B1A"/>
    <w:rsid w:val="005C4DEF"/>
    <w:rsid w:val="005C70F1"/>
    <w:rsid w:val="005C7995"/>
    <w:rsid w:val="005D235B"/>
    <w:rsid w:val="005D68EB"/>
    <w:rsid w:val="005D79A9"/>
    <w:rsid w:val="005D7D4D"/>
    <w:rsid w:val="005E1A74"/>
    <w:rsid w:val="005E3C04"/>
    <w:rsid w:val="005E55A6"/>
    <w:rsid w:val="005E788C"/>
    <w:rsid w:val="005E7E3E"/>
    <w:rsid w:val="005F1F28"/>
    <w:rsid w:val="005F56A1"/>
    <w:rsid w:val="005F6C72"/>
    <w:rsid w:val="005F76C5"/>
    <w:rsid w:val="00601599"/>
    <w:rsid w:val="00605A54"/>
    <w:rsid w:val="00606103"/>
    <w:rsid w:val="0061185E"/>
    <w:rsid w:val="00613668"/>
    <w:rsid w:val="006144D1"/>
    <w:rsid w:val="006171ED"/>
    <w:rsid w:val="0062174F"/>
    <w:rsid w:val="00623F7D"/>
    <w:rsid w:val="00624DED"/>
    <w:rsid w:val="006271A9"/>
    <w:rsid w:val="0062752C"/>
    <w:rsid w:val="00627B09"/>
    <w:rsid w:val="00627EF5"/>
    <w:rsid w:val="00630676"/>
    <w:rsid w:val="00630816"/>
    <w:rsid w:val="00632512"/>
    <w:rsid w:val="00636F03"/>
    <w:rsid w:val="0063739D"/>
    <w:rsid w:val="00646656"/>
    <w:rsid w:val="00650992"/>
    <w:rsid w:val="00650ADF"/>
    <w:rsid w:val="00650B90"/>
    <w:rsid w:val="00650C9F"/>
    <w:rsid w:val="00652857"/>
    <w:rsid w:val="00652ADF"/>
    <w:rsid w:val="00654AB5"/>
    <w:rsid w:val="00656183"/>
    <w:rsid w:val="0066106D"/>
    <w:rsid w:val="006619E8"/>
    <w:rsid w:val="00663F0E"/>
    <w:rsid w:val="00663F3C"/>
    <w:rsid w:val="00664084"/>
    <w:rsid w:val="00665550"/>
    <w:rsid w:val="0067382F"/>
    <w:rsid w:val="00673D61"/>
    <w:rsid w:val="00673D8D"/>
    <w:rsid w:val="00673E5E"/>
    <w:rsid w:val="00674A52"/>
    <w:rsid w:val="006819FA"/>
    <w:rsid w:val="00681BE6"/>
    <w:rsid w:val="00681F01"/>
    <w:rsid w:val="006827CB"/>
    <w:rsid w:val="00682C50"/>
    <w:rsid w:val="00682C9F"/>
    <w:rsid w:val="00685DDB"/>
    <w:rsid w:val="0068603D"/>
    <w:rsid w:val="006863AC"/>
    <w:rsid w:val="00686511"/>
    <w:rsid w:val="00686AE4"/>
    <w:rsid w:val="00691969"/>
    <w:rsid w:val="00692CB0"/>
    <w:rsid w:val="00694D98"/>
    <w:rsid w:val="00695877"/>
    <w:rsid w:val="006A4C7A"/>
    <w:rsid w:val="006A516A"/>
    <w:rsid w:val="006A6827"/>
    <w:rsid w:val="006A6B75"/>
    <w:rsid w:val="006A7DE4"/>
    <w:rsid w:val="006B39D5"/>
    <w:rsid w:val="006B529B"/>
    <w:rsid w:val="006B6B22"/>
    <w:rsid w:val="006C0423"/>
    <w:rsid w:val="006C093C"/>
    <w:rsid w:val="006C1F21"/>
    <w:rsid w:val="006C1F69"/>
    <w:rsid w:val="006C34DE"/>
    <w:rsid w:val="006C36DF"/>
    <w:rsid w:val="006C41A3"/>
    <w:rsid w:val="006C5027"/>
    <w:rsid w:val="006C6A49"/>
    <w:rsid w:val="006D6E0F"/>
    <w:rsid w:val="006E1173"/>
    <w:rsid w:val="006E24F9"/>
    <w:rsid w:val="006E4371"/>
    <w:rsid w:val="006E63DD"/>
    <w:rsid w:val="006F0D32"/>
    <w:rsid w:val="006F2690"/>
    <w:rsid w:val="006F58DE"/>
    <w:rsid w:val="00700F09"/>
    <w:rsid w:val="007070D5"/>
    <w:rsid w:val="00713DBF"/>
    <w:rsid w:val="00713E87"/>
    <w:rsid w:val="00714286"/>
    <w:rsid w:val="00715809"/>
    <w:rsid w:val="00716ABD"/>
    <w:rsid w:val="00716E91"/>
    <w:rsid w:val="0072197C"/>
    <w:rsid w:val="0073010C"/>
    <w:rsid w:val="00730B7A"/>
    <w:rsid w:val="00730C3D"/>
    <w:rsid w:val="00733529"/>
    <w:rsid w:val="00734149"/>
    <w:rsid w:val="00734B9B"/>
    <w:rsid w:val="00735182"/>
    <w:rsid w:val="00741A27"/>
    <w:rsid w:val="0074397A"/>
    <w:rsid w:val="00744533"/>
    <w:rsid w:val="00745CC1"/>
    <w:rsid w:val="00746633"/>
    <w:rsid w:val="00752B44"/>
    <w:rsid w:val="00754EE8"/>
    <w:rsid w:val="007554E3"/>
    <w:rsid w:val="007571C8"/>
    <w:rsid w:val="007577D8"/>
    <w:rsid w:val="007639FD"/>
    <w:rsid w:val="00770EA0"/>
    <w:rsid w:val="0077187F"/>
    <w:rsid w:val="00773D59"/>
    <w:rsid w:val="00773DA4"/>
    <w:rsid w:val="00774E69"/>
    <w:rsid w:val="007760CE"/>
    <w:rsid w:val="007767F1"/>
    <w:rsid w:val="00777A5D"/>
    <w:rsid w:val="0078249B"/>
    <w:rsid w:val="0078681C"/>
    <w:rsid w:val="00786B2B"/>
    <w:rsid w:val="00792DB0"/>
    <w:rsid w:val="00792FB3"/>
    <w:rsid w:val="00794335"/>
    <w:rsid w:val="00794591"/>
    <w:rsid w:val="00795BDA"/>
    <w:rsid w:val="00797229"/>
    <w:rsid w:val="007A7125"/>
    <w:rsid w:val="007A7882"/>
    <w:rsid w:val="007A7E7E"/>
    <w:rsid w:val="007B32D6"/>
    <w:rsid w:val="007B556A"/>
    <w:rsid w:val="007C27D3"/>
    <w:rsid w:val="007C2DAB"/>
    <w:rsid w:val="007C3A2B"/>
    <w:rsid w:val="007D57E2"/>
    <w:rsid w:val="007D770C"/>
    <w:rsid w:val="007D7A63"/>
    <w:rsid w:val="007D7E7F"/>
    <w:rsid w:val="007E1707"/>
    <w:rsid w:val="007E19E9"/>
    <w:rsid w:val="007E2C7F"/>
    <w:rsid w:val="007E30A5"/>
    <w:rsid w:val="007E32B6"/>
    <w:rsid w:val="007E3F1A"/>
    <w:rsid w:val="007E6AAE"/>
    <w:rsid w:val="007F0081"/>
    <w:rsid w:val="007F05EB"/>
    <w:rsid w:val="007F392B"/>
    <w:rsid w:val="007F4027"/>
    <w:rsid w:val="00800FBF"/>
    <w:rsid w:val="00801660"/>
    <w:rsid w:val="008029D5"/>
    <w:rsid w:val="00805BBD"/>
    <w:rsid w:val="00806497"/>
    <w:rsid w:val="008071AE"/>
    <w:rsid w:val="0081093B"/>
    <w:rsid w:val="0081466D"/>
    <w:rsid w:val="008156FB"/>
    <w:rsid w:val="0082229C"/>
    <w:rsid w:val="00823588"/>
    <w:rsid w:val="008269A9"/>
    <w:rsid w:val="00831702"/>
    <w:rsid w:val="00831D40"/>
    <w:rsid w:val="008325F8"/>
    <w:rsid w:val="00832CD8"/>
    <w:rsid w:val="00837309"/>
    <w:rsid w:val="00840008"/>
    <w:rsid w:val="0084139A"/>
    <w:rsid w:val="00841412"/>
    <w:rsid w:val="00844E14"/>
    <w:rsid w:val="00850F18"/>
    <w:rsid w:val="00850FA2"/>
    <w:rsid w:val="0085167C"/>
    <w:rsid w:val="00851999"/>
    <w:rsid w:val="00852537"/>
    <w:rsid w:val="00852D08"/>
    <w:rsid w:val="0085403D"/>
    <w:rsid w:val="0085545E"/>
    <w:rsid w:val="0085553F"/>
    <w:rsid w:val="0085767E"/>
    <w:rsid w:val="00860020"/>
    <w:rsid w:val="008602F0"/>
    <w:rsid w:val="00860BEC"/>
    <w:rsid w:val="00862FD0"/>
    <w:rsid w:val="00863F34"/>
    <w:rsid w:val="00865D2D"/>
    <w:rsid w:val="00866C0B"/>
    <w:rsid w:val="00866CC7"/>
    <w:rsid w:val="00871263"/>
    <w:rsid w:val="00871C8A"/>
    <w:rsid w:val="00872332"/>
    <w:rsid w:val="00872376"/>
    <w:rsid w:val="0087369A"/>
    <w:rsid w:val="00874F87"/>
    <w:rsid w:val="008771CF"/>
    <w:rsid w:val="00877D51"/>
    <w:rsid w:val="00883320"/>
    <w:rsid w:val="00894984"/>
    <w:rsid w:val="008953B3"/>
    <w:rsid w:val="0089559F"/>
    <w:rsid w:val="008966B0"/>
    <w:rsid w:val="0089716E"/>
    <w:rsid w:val="008A3A07"/>
    <w:rsid w:val="008A4162"/>
    <w:rsid w:val="008A4DF8"/>
    <w:rsid w:val="008A61E9"/>
    <w:rsid w:val="008C1E1B"/>
    <w:rsid w:val="008C4338"/>
    <w:rsid w:val="008C54E4"/>
    <w:rsid w:val="008C7D90"/>
    <w:rsid w:val="008D086A"/>
    <w:rsid w:val="008D308F"/>
    <w:rsid w:val="008D48DB"/>
    <w:rsid w:val="008D4BF1"/>
    <w:rsid w:val="008D6F11"/>
    <w:rsid w:val="008E08EF"/>
    <w:rsid w:val="008E16A5"/>
    <w:rsid w:val="008E17EC"/>
    <w:rsid w:val="008E2EF4"/>
    <w:rsid w:val="008E53B4"/>
    <w:rsid w:val="008E5C76"/>
    <w:rsid w:val="008E73CB"/>
    <w:rsid w:val="008F1AAA"/>
    <w:rsid w:val="008F331C"/>
    <w:rsid w:val="008F7BA9"/>
    <w:rsid w:val="00901911"/>
    <w:rsid w:val="009020B5"/>
    <w:rsid w:val="009042FF"/>
    <w:rsid w:val="00906C0F"/>
    <w:rsid w:val="00907105"/>
    <w:rsid w:val="00912946"/>
    <w:rsid w:val="00915128"/>
    <w:rsid w:val="00915EAE"/>
    <w:rsid w:val="009208D2"/>
    <w:rsid w:val="00920FEC"/>
    <w:rsid w:val="00921106"/>
    <w:rsid w:val="00925400"/>
    <w:rsid w:val="009257F3"/>
    <w:rsid w:val="00925DAC"/>
    <w:rsid w:val="00926FAA"/>
    <w:rsid w:val="00931952"/>
    <w:rsid w:val="00932DF6"/>
    <w:rsid w:val="00933572"/>
    <w:rsid w:val="00935155"/>
    <w:rsid w:val="00936774"/>
    <w:rsid w:val="00941373"/>
    <w:rsid w:val="00941DD0"/>
    <w:rsid w:val="00945EC9"/>
    <w:rsid w:val="00945F5C"/>
    <w:rsid w:val="00947CD7"/>
    <w:rsid w:val="009503B0"/>
    <w:rsid w:val="00951703"/>
    <w:rsid w:val="00953E71"/>
    <w:rsid w:val="009623AB"/>
    <w:rsid w:val="00962C27"/>
    <w:rsid w:val="00962E8A"/>
    <w:rsid w:val="009649AD"/>
    <w:rsid w:val="009703D3"/>
    <w:rsid w:val="009714B8"/>
    <w:rsid w:val="00971E81"/>
    <w:rsid w:val="00976A12"/>
    <w:rsid w:val="009773D7"/>
    <w:rsid w:val="0098048A"/>
    <w:rsid w:val="00980E13"/>
    <w:rsid w:val="00982599"/>
    <w:rsid w:val="009876D8"/>
    <w:rsid w:val="009921C5"/>
    <w:rsid w:val="00992EC8"/>
    <w:rsid w:val="00992F65"/>
    <w:rsid w:val="009950FF"/>
    <w:rsid w:val="00995884"/>
    <w:rsid w:val="00995CA6"/>
    <w:rsid w:val="00995E14"/>
    <w:rsid w:val="00996E63"/>
    <w:rsid w:val="009A2BDB"/>
    <w:rsid w:val="009A688A"/>
    <w:rsid w:val="009B3D3B"/>
    <w:rsid w:val="009B44CF"/>
    <w:rsid w:val="009B5932"/>
    <w:rsid w:val="009C2E59"/>
    <w:rsid w:val="009C3E6E"/>
    <w:rsid w:val="009C51B9"/>
    <w:rsid w:val="009C61E7"/>
    <w:rsid w:val="009C64C0"/>
    <w:rsid w:val="009C64DE"/>
    <w:rsid w:val="009C7C61"/>
    <w:rsid w:val="009D0285"/>
    <w:rsid w:val="009D0B45"/>
    <w:rsid w:val="009D0E72"/>
    <w:rsid w:val="009D1DD1"/>
    <w:rsid w:val="009D62FD"/>
    <w:rsid w:val="009D6848"/>
    <w:rsid w:val="009D7032"/>
    <w:rsid w:val="009E017B"/>
    <w:rsid w:val="009E160C"/>
    <w:rsid w:val="009E3204"/>
    <w:rsid w:val="009E387E"/>
    <w:rsid w:val="009E539E"/>
    <w:rsid w:val="009E5A77"/>
    <w:rsid w:val="009E695F"/>
    <w:rsid w:val="009F09C5"/>
    <w:rsid w:val="009F1008"/>
    <w:rsid w:val="009F2007"/>
    <w:rsid w:val="009F4951"/>
    <w:rsid w:val="009F5DE8"/>
    <w:rsid w:val="009F6CAA"/>
    <w:rsid w:val="009F6F41"/>
    <w:rsid w:val="00A020C6"/>
    <w:rsid w:val="00A02AA0"/>
    <w:rsid w:val="00A02C75"/>
    <w:rsid w:val="00A0367C"/>
    <w:rsid w:val="00A06C0F"/>
    <w:rsid w:val="00A07230"/>
    <w:rsid w:val="00A114BB"/>
    <w:rsid w:val="00A11689"/>
    <w:rsid w:val="00A16DBF"/>
    <w:rsid w:val="00A20803"/>
    <w:rsid w:val="00A24BF4"/>
    <w:rsid w:val="00A253FA"/>
    <w:rsid w:val="00A30401"/>
    <w:rsid w:val="00A30451"/>
    <w:rsid w:val="00A30555"/>
    <w:rsid w:val="00A4036D"/>
    <w:rsid w:val="00A40D08"/>
    <w:rsid w:val="00A40EF9"/>
    <w:rsid w:val="00A41821"/>
    <w:rsid w:val="00A422E0"/>
    <w:rsid w:val="00A4317F"/>
    <w:rsid w:val="00A4588C"/>
    <w:rsid w:val="00A53E14"/>
    <w:rsid w:val="00A5420E"/>
    <w:rsid w:val="00A640C6"/>
    <w:rsid w:val="00A668AF"/>
    <w:rsid w:val="00A67B0A"/>
    <w:rsid w:val="00A71F0D"/>
    <w:rsid w:val="00A75691"/>
    <w:rsid w:val="00A7727F"/>
    <w:rsid w:val="00A7776F"/>
    <w:rsid w:val="00A80D5B"/>
    <w:rsid w:val="00A82512"/>
    <w:rsid w:val="00A83B16"/>
    <w:rsid w:val="00A84E4F"/>
    <w:rsid w:val="00A871EE"/>
    <w:rsid w:val="00A93455"/>
    <w:rsid w:val="00A93EDA"/>
    <w:rsid w:val="00A9421B"/>
    <w:rsid w:val="00A95C5A"/>
    <w:rsid w:val="00AA0830"/>
    <w:rsid w:val="00AA235F"/>
    <w:rsid w:val="00AA273E"/>
    <w:rsid w:val="00AA2AAC"/>
    <w:rsid w:val="00AA6A0C"/>
    <w:rsid w:val="00AA6B08"/>
    <w:rsid w:val="00AB2C86"/>
    <w:rsid w:val="00AB3141"/>
    <w:rsid w:val="00AB5203"/>
    <w:rsid w:val="00AC0299"/>
    <w:rsid w:val="00AC0902"/>
    <w:rsid w:val="00AC2BEA"/>
    <w:rsid w:val="00AC4167"/>
    <w:rsid w:val="00AC5597"/>
    <w:rsid w:val="00AD3638"/>
    <w:rsid w:val="00AE00F4"/>
    <w:rsid w:val="00AE09BA"/>
    <w:rsid w:val="00AE234A"/>
    <w:rsid w:val="00AE6B10"/>
    <w:rsid w:val="00AE7536"/>
    <w:rsid w:val="00AF163C"/>
    <w:rsid w:val="00AF23C4"/>
    <w:rsid w:val="00AF47CC"/>
    <w:rsid w:val="00AF494C"/>
    <w:rsid w:val="00AF5014"/>
    <w:rsid w:val="00AF68D9"/>
    <w:rsid w:val="00AF6A6B"/>
    <w:rsid w:val="00B04233"/>
    <w:rsid w:val="00B04265"/>
    <w:rsid w:val="00B0606E"/>
    <w:rsid w:val="00B062B5"/>
    <w:rsid w:val="00B10B6A"/>
    <w:rsid w:val="00B12723"/>
    <w:rsid w:val="00B1447F"/>
    <w:rsid w:val="00B1577E"/>
    <w:rsid w:val="00B22A5A"/>
    <w:rsid w:val="00B261EA"/>
    <w:rsid w:val="00B263FF"/>
    <w:rsid w:val="00B311C4"/>
    <w:rsid w:val="00B31258"/>
    <w:rsid w:val="00B333B2"/>
    <w:rsid w:val="00B350A8"/>
    <w:rsid w:val="00B36FD4"/>
    <w:rsid w:val="00B412E6"/>
    <w:rsid w:val="00B44B29"/>
    <w:rsid w:val="00B509A3"/>
    <w:rsid w:val="00B51E49"/>
    <w:rsid w:val="00B5430A"/>
    <w:rsid w:val="00B6187D"/>
    <w:rsid w:val="00B64659"/>
    <w:rsid w:val="00B65716"/>
    <w:rsid w:val="00B6758F"/>
    <w:rsid w:val="00B6797B"/>
    <w:rsid w:val="00B704DA"/>
    <w:rsid w:val="00B71A59"/>
    <w:rsid w:val="00B74008"/>
    <w:rsid w:val="00B80331"/>
    <w:rsid w:val="00B83FF1"/>
    <w:rsid w:val="00B87E1A"/>
    <w:rsid w:val="00B91269"/>
    <w:rsid w:val="00B96CBB"/>
    <w:rsid w:val="00BA2126"/>
    <w:rsid w:val="00BA4137"/>
    <w:rsid w:val="00BA4527"/>
    <w:rsid w:val="00BA558A"/>
    <w:rsid w:val="00BA5CD1"/>
    <w:rsid w:val="00BA7E88"/>
    <w:rsid w:val="00BB77EF"/>
    <w:rsid w:val="00BC3400"/>
    <w:rsid w:val="00BC4454"/>
    <w:rsid w:val="00BC65E9"/>
    <w:rsid w:val="00BC6787"/>
    <w:rsid w:val="00BC6D81"/>
    <w:rsid w:val="00BC7F10"/>
    <w:rsid w:val="00BD0608"/>
    <w:rsid w:val="00BD11C5"/>
    <w:rsid w:val="00BD28D8"/>
    <w:rsid w:val="00BD408E"/>
    <w:rsid w:val="00BD47DE"/>
    <w:rsid w:val="00BD721C"/>
    <w:rsid w:val="00BD7CDF"/>
    <w:rsid w:val="00BE3A25"/>
    <w:rsid w:val="00BE5924"/>
    <w:rsid w:val="00BE7E2B"/>
    <w:rsid w:val="00BF12A7"/>
    <w:rsid w:val="00BF325A"/>
    <w:rsid w:val="00BF3528"/>
    <w:rsid w:val="00BF3633"/>
    <w:rsid w:val="00BF4D00"/>
    <w:rsid w:val="00BF4D72"/>
    <w:rsid w:val="00BF513C"/>
    <w:rsid w:val="00BF6C5C"/>
    <w:rsid w:val="00C0008D"/>
    <w:rsid w:val="00C01CC0"/>
    <w:rsid w:val="00C03186"/>
    <w:rsid w:val="00C0766A"/>
    <w:rsid w:val="00C106DC"/>
    <w:rsid w:val="00C10864"/>
    <w:rsid w:val="00C10E08"/>
    <w:rsid w:val="00C1269E"/>
    <w:rsid w:val="00C1636D"/>
    <w:rsid w:val="00C20148"/>
    <w:rsid w:val="00C2150C"/>
    <w:rsid w:val="00C26645"/>
    <w:rsid w:val="00C26BBD"/>
    <w:rsid w:val="00C271DC"/>
    <w:rsid w:val="00C31AFD"/>
    <w:rsid w:val="00C31C41"/>
    <w:rsid w:val="00C342C5"/>
    <w:rsid w:val="00C34645"/>
    <w:rsid w:val="00C34877"/>
    <w:rsid w:val="00C34A18"/>
    <w:rsid w:val="00C42A1E"/>
    <w:rsid w:val="00C47598"/>
    <w:rsid w:val="00C50914"/>
    <w:rsid w:val="00C51A42"/>
    <w:rsid w:val="00C556AC"/>
    <w:rsid w:val="00C56B35"/>
    <w:rsid w:val="00C639B3"/>
    <w:rsid w:val="00C63B0C"/>
    <w:rsid w:val="00C6540F"/>
    <w:rsid w:val="00C719C9"/>
    <w:rsid w:val="00C732E5"/>
    <w:rsid w:val="00C7344B"/>
    <w:rsid w:val="00C76200"/>
    <w:rsid w:val="00C827B6"/>
    <w:rsid w:val="00C873C0"/>
    <w:rsid w:val="00C94361"/>
    <w:rsid w:val="00CB19C9"/>
    <w:rsid w:val="00CB2744"/>
    <w:rsid w:val="00CB55E7"/>
    <w:rsid w:val="00CB576F"/>
    <w:rsid w:val="00CB6084"/>
    <w:rsid w:val="00CB6A3A"/>
    <w:rsid w:val="00CB76D0"/>
    <w:rsid w:val="00CB7779"/>
    <w:rsid w:val="00CB7947"/>
    <w:rsid w:val="00CC11B0"/>
    <w:rsid w:val="00CC15DA"/>
    <w:rsid w:val="00CC1FE5"/>
    <w:rsid w:val="00CC434C"/>
    <w:rsid w:val="00CC5CC9"/>
    <w:rsid w:val="00CD1B23"/>
    <w:rsid w:val="00CD3442"/>
    <w:rsid w:val="00CD404F"/>
    <w:rsid w:val="00CD7428"/>
    <w:rsid w:val="00CE3D8F"/>
    <w:rsid w:val="00CF36E8"/>
    <w:rsid w:val="00CF3B96"/>
    <w:rsid w:val="00D00276"/>
    <w:rsid w:val="00D0210F"/>
    <w:rsid w:val="00D03B7E"/>
    <w:rsid w:val="00D0409C"/>
    <w:rsid w:val="00D06D47"/>
    <w:rsid w:val="00D128DB"/>
    <w:rsid w:val="00D12C8B"/>
    <w:rsid w:val="00D12EBE"/>
    <w:rsid w:val="00D13CD3"/>
    <w:rsid w:val="00D165F1"/>
    <w:rsid w:val="00D17012"/>
    <w:rsid w:val="00D1769E"/>
    <w:rsid w:val="00D20E55"/>
    <w:rsid w:val="00D217B4"/>
    <w:rsid w:val="00D27FF6"/>
    <w:rsid w:val="00D300CB"/>
    <w:rsid w:val="00D3037C"/>
    <w:rsid w:val="00D3041F"/>
    <w:rsid w:val="00D30ECF"/>
    <w:rsid w:val="00D31FE8"/>
    <w:rsid w:val="00D323A5"/>
    <w:rsid w:val="00D32543"/>
    <w:rsid w:val="00D33343"/>
    <w:rsid w:val="00D341E5"/>
    <w:rsid w:val="00D370D2"/>
    <w:rsid w:val="00D378C2"/>
    <w:rsid w:val="00D405E5"/>
    <w:rsid w:val="00D433C3"/>
    <w:rsid w:val="00D4347E"/>
    <w:rsid w:val="00D4428E"/>
    <w:rsid w:val="00D45914"/>
    <w:rsid w:val="00D503EB"/>
    <w:rsid w:val="00D5080A"/>
    <w:rsid w:val="00D53BD4"/>
    <w:rsid w:val="00D53DDD"/>
    <w:rsid w:val="00D55691"/>
    <w:rsid w:val="00D55C66"/>
    <w:rsid w:val="00D561B1"/>
    <w:rsid w:val="00D56B3E"/>
    <w:rsid w:val="00D56CB6"/>
    <w:rsid w:val="00D579BC"/>
    <w:rsid w:val="00D6035C"/>
    <w:rsid w:val="00D62B51"/>
    <w:rsid w:val="00D64245"/>
    <w:rsid w:val="00D6469E"/>
    <w:rsid w:val="00D669B7"/>
    <w:rsid w:val="00D705F3"/>
    <w:rsid w:val="00D70932"/>
    <w:rsid w:val="00D731EF"/>
    <w:rsid w:val="00D769CA"/>
    <w:rsid w:val="00D81904"/>
    <w:rsid w:val="00D871D0"/>
    <w:rsid w:val="00D94F53"/>
    <w:rsid w:val="00D95DDA"/>
    <w:rsid w:val="00D966DC"/>
    <w:rsid w:val="00D968FC"/>
    <w:rsid w:val="00D96E50"/>
    <w:rsid w:val="00DA78C6"/>
    <w:rsid w:val="00DB05FE"/>
    <w:rsid w:val="00DB1089"/>
    <w:rsid w:val="00DB5FBE"/>
    <w:rsid w:val="00DC00EE"/>
    <w:rsid w:val="00DC26F9"/>
    <w:rsid w:val="00DC7E60"/>
    <w:rsid w:val="00DD1989"/>
    <w:rsid w:val="00DD1A5A"/>
    <w:rsid w:val="00DD6C38"/>
    <w:rsid w:val="00DD6FFE"/>
    <w:rsid w:val="00DE3A46"/>
    <w:rsid w:val="00DE3AEB"/>
    <w:rsid w:val="00DE3B6E"/>
    <w:rsid w:val="00DE4C51"/>
    <w:rsid w:val="00DE6FE9"/>
    <w:rsid w:val="00DF035E"/>
    <w:rsid w:val="00DF0A7A"/>
    <w:rsid w:val="00DF1435"/>
    <w:rsid w:val="00DF2A11"/>
    <w:rsid w:val="00DF5085"/>
    <w:rsid w:val="00DF6FD4"/>
    <w:rsid w:val="00DF78C0"/>
    <w:rsid w:val="00E00F3C"/>
    <w:rsid w:val="00E03D02"/>
    <w:rsid w:val="00E048F7"/>
    <w:rsid w:val="00E10881"/>
    <w:rsid w:val="00E1186A"/>
    <w:rsid w:val="00E1187B"/>
    <w:rsid w:val="00E119FD"/>
    <w:rsid w:val="00E12ABC"/>
    <w:rsid w:val="00E143F7"/>
    <w:rsid w:val="00E153A0"/>
    <w:rsid w:val="00E15ECB"/>
    <w:rsid w:val="00E164A3"/>
    <w:rsid w:val="00E2317A"/>
    <w:rsid w:val="00E300F7"/>
    <w:rsid w:val="00E311A1"/>
    <w:rsid w:val="00E318BB"/>
    <w:rsid w:val="00E33105"/>
    <w:rsid w:val="00E33725"/>
    <w:rsid w:val="00E33E15"/>
    <w:rsid w:val="00E33FE2"/>
    <w:rsid w:val="00E35359"/>
    <w:rsid w:val="00E43D7A"/>
    <w:rsid w:val="00E47435"/>
    <w:rsid w:val="00E50D7F"/>
    <w:rsid w:val="00E5544E"/>
    <w:rsid w:val="00E557A9"/>
    <w:rsid w:val="00E57166"/>
    <w:rsid w:val="00E57E1D"/>
    <w:rsid w:val="00E60179"/>
    <w:rsid w:val="00E618DC"/>
    <w:rsid w:val="00E620B5"/>
    <w:rsid w:val="00E641E4"/>
    <w:rsid w:val="00E72D1C"/>
    <w:rsid w:val="00E77D25"/>
    <w:rsid w:val="00E80006"/>
    <w:rsid w:val="00E8063A"/>
    <w:rsid w:val="00E81DE4"/>
    <w:rsid w:val="00E83212"/>
    <w:rsid w:val="00E833EE"/>
    <w:rsid w:val="00E84679"/>
    <w:rsid w:val="00E862F9"/>
    <w:rsid w:val="00E91BD3"/>
    <w:rsid w:val="00E947A0"/>
    <w:rsid w:val="00E94F14"/>
    <w:rsid w:val="00E95581"/>
    <w:rsid w:val="00E95D93"/>
    <w:rsid w:val="00EA3382"/>
    <w:rsid w:val="00EA606D"/>
    <w:rsid w:val="00EA66FB"/>
    <w:rsid w:val="00EB6CF9"/>
    <w:rsid w:val="00EC007E"/>
    <w:rsid w:val="00EC0946"/>
    <w:rsid w:val="00EC0FBA"/>
    <w:rsid w:val="00ED0BD6"/>
    <w:rsid w:val="00ED137D"/>
    <w:rsid w:val="00ED16EB"/>
    <w:rsid w:val="00ED2A4B"/>
    <w:rsid w:val="00ED5E11"/>
    <w:rsid w:val="00ED647A"/>
    <w:rsid w:val="00ED7771"/>
    <w:rsid w:val="00EE08E8"/>
    <w:rsid w:val="00EE2A19"/>
    <w:rsid w:val="00EE55D9"/>
    <w:rsid w:val="00EE6F29"/>
    <w:rsid w:val="00EF298B"/>
    <w:rsid w:val="00EF6F00"/>
    <w:rsid w:val="00F0153D"/>
    <w:rsid w:val="00F018B7"/>
    <w:rsid w:val="00F02B82"/>
    <w:rsid w:val="00F04DF7"/>
    <w:rsid w:val="00F1031E"/>
    <w:rsid w:val="00F10B82"/>
    <w:rsid w:val="00F10E3E"/>
    <w:rsid w:val="00F11371"/>
    <w:rsid w:val="00F12344"/>
    <w:rsid w:val="00F1326F"/>
    <w:rsid w:val="00F1508E"/>
    <w:rsid w:val="00F16860"/>
    <w:rsid w:val="00F1686D"/>
    <w:rsid w:val="00F169F7"/>
    <w:rsid w:val="00F1711D"/>
    <w:rsid w:val="00F1799D"/>
    <w:rsid w:val="00F17BC3"/>
    <w:rsid w:val="00F246EC"/>
    <w:rsid w:val="00F24FB0"/>
    <w:rsid w:val="00F25383"/>
    <w:rsid w:val="00F27103"/>
    <w:rsid w:val="00F27F35"/>
    <w:rsid w:val="00F311DC"/>
    <w:rsid w:val="00F336B8"/>
    <w:rsid w:val="00F339E0"/>
    <w:rsid w:val="00F36CD1"/>
    <w:rsid w:val="00F3730F"/>
    <w:rsid w:val="00F40A92"/>
    <w:rsid w:val="00F457FC"/>
    <w:rsid w:val="00F46111"/>
    <w:rsid w:val="00F47086"/>
    <w:rsid w:val="00F47237"/>
    <w:rsid w:val="00F50BED"/>
    <w:rsid w:val="00F514AC"/>
    <w:rsid w:val="00F53145"/>
    <w:rsid w:val="00F5412A"/>
    <w:rsid w:val="00F54542"/>
    <w:rsid w:val="00F57A31"/>
    <w:rsid w:val="00F57AA4"/>
    <w:rsid w:val="00F57C34"/>
    <w:rsid w:val="00F605B0"/>
    <w:rsid w:val="00F60BC0"/>
    <w:rsid w:val="00F625EF"/>
    <w:rsid w:val="00F71A6F"/>
    <w:rsid w:val="00F73F4C"/>
    <w:rsid w:val="00F755C4"/>
    <w:rsid w:val="00F75FC3"/>
    <w:rsid w:val="00F824BF"/>
    <w:rsid w:val="00F850C3"/>
    <w:rsid w:val="00F85B53"/>
    <w:rsid w:val="00F9125C"/>
    <w:rsid w:val="00F92E5F"/>
    <w:rsid w:val="00F95AC4"/>
    <w:rsid w:val="00F976F0"/>
    <w:rsid w:val="00FA0623"/>
    <w:rsid w:val="00FA252E"/>
    <w:rsid w:val="00FA79D7"/>
    <w:rsid w:val="00FB093C"/>
    <w:rsid w:val="00FC0277"/>
    <w:rsid w:val="00FC09A0"/>
    <w:rsid w:val="00FC2F33"/>
    <w:rsid w:val="00FC602B"/>
    <w:rsid w:val="00FC7525"/>
    <w:rsid w:val="00FD50BE"/>
    <w:rsid w:val="00FD71DD"/>
    <w:rsid w:val="00FD7348"/>
    <w:rsid w:val="00FD7F3E"/>
    <w:rsid w:val="00FE0444"/>
    <w:rsid w:val="00FE0490"/>
    <w:rsid w:val="00FE1794"/>
    <w:rsid w:val="00FE3F3B"/>
    <w:rsid w:val="00FE5C53"/>
    <w:rsid w:val="00FF1CA4"/>
    <w:rsid w:val="00FF351F"/>
    <w:rsid w:val="00FF397D"/>
    <w:rsid w:val="00FF4CE8"/>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22980-A64D-4A37-A8A4-E22ACE49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
    <w:qFormat/>
    <w:rsid w:val="007E1707"/>
    <w:pPr>
      <w:jc w:val="both"/>
    </w:pPr>
    <w:rPr>
      <w:rFonts w:ascii="Times New Roman" w:hAnsi="Times New Roman"/>
      <w:sz w:val="28"/>
      <w:lang w:val="en-GB"/>
    </w:rPr>
  </w:style>
  <w:style w:type="paragraph" w:styleId="Heading1">
    <w:name w:val="heading 1"/>
    <w:basedOn w:val="Normal"/>
    <w:next w:val="Normal"/>
    <w:link w:val="Heading1Char"/>
    <w:uiPriority w:val="9"/>
    <w:qFormat/>
    <w:rsid w:val="000276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76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76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6645"/>
    <w:pPr>
      <w:keepNext/>
      <w:keepLines/>
      <w:spacing w:before="40" w:after="0"/>
      <w:jc w:val="left"/>
      <w:outlineLvl w:val="3"/>
    </w:pPr>
    <w:rPr>
      <w:rFonts w:asciiTheme="majorHAnsi" w:eastAsiaTheme="majorEastAsia" w:hAnsiTheme="majorHAnsi" w:cstheme="majorBidi"/>
      <w:i/>
      <w:iCs/>
      <w:color w:val="2E74B5" w:themeColor="accent1" w:themeShade="BF"/>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6645"/>
    <w:rPr>
      <w:rFonts w:asciiTheme="majorHAnsi" w:eastAsiaTheme="majorEastAsia" w:hAnsiTheme="majorHAnsi" w:cstheme="majorBidi"/>
      <w:i/>
      <w:iCs/>
      <w:color w:val="2E74B5" w:themeColor="accent1" w:themeShade="BF"/>
      <w:lang w:val="ro-RO"/>
    </w:rPr>
  </w:style>
  <w:style w:type="character" w:styleId="Hyperlink">
    <w:name w:val="Hyperlink"/>
    <w:basedOn w:val="DefaultParagraphFont"/>
    <w:uiPriority w:val="99"/>
    <w:unhideWhenUsed/>
    <w:rsid w:val="00C26645"/>
    <w:rPr>
      <w:color w:val="0563C1" w:themeColor="hyperlink"/>
      <w:u w:val="single"/>
    </w:rPr>
  </w:style>
  <w:style w:type="paragraph" w:styleId="Header">
    <w:name w:val="header"/>
    <w:basedOn w:val="Normal"/>
    <w:link w:val="HeaderChar"/>
    <w:uiPriority w:val="99"/>
    <w:unhideWhenUsed/>
    <w:rsid w:val="00C2664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26645"/>
    <w:rPr>
      <w:rFonts w:ascii="Times New Roman" w:hAnsi="Times New Roman"/>
      <w:sz w:val="28"/>
      <w:lang w:val="en-GB"/>
    </w:rPr>
  </w:style>
  <w:style w:type="paragraph" w:styleId="Footer">
    <w:name w:val="footer"/>
    <w:basedOn w:val="Normal"/>
    <w:link w:val="FooterChar"/>
    <w:uiPriority w:val="99"/>
    <w:unhideWhenUsed/>
    <w:rsid w:val="00C2664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26645"/>
    <w:rPr>
      <w:rFonts w:ascii="Times New Roman" w:hAnsi="Times New Roman"/>
      <w:sz w:val="28"/>
      <w:lang w:val="en-GB"/>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Обычный (веб)1,Текст сноски1,Текст сноски11"/>
    <w:basedOn w:val="Normal"/>
    <w:link w:val="NormalWebChar"/>
    <w:uiPriority w:val="99"/>
    <w:unhideWhenUsed/>
    <w:qFormat/>
    <w:rsid w:val="00C26645"/>
    <w:rPr>
      <w:rFonts w:cs="Times New Roman"/>
      <w:sz w:val="24"/>
      <w:szCs w:val="24"/>
    </w:rPr>
  </w:style>
  <w:style w:type="paragraph" w:styleId="FootnoteText">
    <w:name w:val="footnote text"/>
    <w:aliases w:val="Char, Char,Знак1, Знак1, Знак,Знак,single space,footnote text,FOOTNOTES,fn,Footnote Text Char1,Footnote Text Char2 Char,Footnote Text Char1 Char Char,Footnote Text Char2 Char Char Char,Footnote Text Char1 Char Char Char Char, Cha,ft,A,Cha"/>
    <w:basedOn w:val="Normal"/>
    <w:link w:val="FootnoteTextChar"/>
    <w:uiPriority w:val="99"/>
    <w:unhideWhenUsed/>
    <w:qFormat/>
    <w:rsid w:val="00C26645"/>
    <w:pPr>
      <w:spacing w:after="0" w:line="240" w:lineRule="auto"/>
      <w:jc w:val="left"/>
    </w:pPr>
    <w:rPr>
      <w:rFonts w:asciiTheme="minorHAnsi" w:hAnsiTheme="minorHAnsi"/>
      <w:sz w:val="20"/>
      <w:szCs w:val="20"/>
      <w:lang w:val="en-US"/>
    </w:rPr>
  </w:style>
  <w:style w:type="character" w:customStyle="1" w:styleId="FootnoteTextChar">
    <w:name w:val="Footnote Text Char"/>
    <w:aliases w:val="Char Char, Char Char,Знак1 Char, Знак1 Char, Знак Char,Знак Char,single space Char,footnote text Char,FOOTNOTES Char,fn Char,Footnote Text Char1 Char,Footnote Text Char2 Char Char,Footnote Text Char1 Char Char Char, Cha Char,ft Char"/>
    <w:basedOn w:val="DefaultParagraphFont"/>
    <w:link w:val="FootnoteText"/>
    <w:uiPriority w:val="99"/>
    <w:qFormat/>
    <w:rsid w:val="00C26645"/>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Char Char1,FOOTNOTES Char1,fn Char1,single space Char1,ft Char1"/>
    <w:basedOn w:val="DefaultParagraphFont"/>
    <w:link w:val="FNRefeCharChar"/>
    <w:uiPriority w:val="99"/>
    <w:unhideWhenUsed/>
    <w:qFormat/>
    <w:rsid w:val="00C26645"/>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26645"/>
    <w:pPr>
      <w:spacing w:line="240" w:lineRule="exact"/>
      <w:jc w:val="left"/>
    </w:pPr>
    <w:rPr>
      <w:rFonts w:asciiTheme="minorHAnsi" w:hAnsiTheme="minorHAnsi"/>
      <w:sz w:val="22"/>
      <w:vertAlign w:val="superscript"/>
      <w:lang w:val="en-US"/>
    </w:rPr>
  </w:style>
  <w:style w:type="paragraph" w:styleId="NoSpacing">
    <w:name w:val="No Spacing"/>
    <w:link w:val="NoSpacingChar"/>
    <w:uiPriority w:val="1"/>
    <w:qFormat/>
    <w:rsid w:val="00C26645"/>
    <w:pPr>
      <w:spacing w:after="0" w:line="240" w:lineRule="auto"/>
    </w:pPr>
    <w:rPr>
      <w:rFonts w:ascii="Calibri" w:eastAsia="Times New Roman" w:hAnsi="Calibri" w:cs="Times New Roman"/>
      <w:lang w:val="ru-RU"/>
    </w:rPr>
  </w:style>
  <w:style w:type="character" w:customStyle="1" w:styleId="NoSpacingChar">
    <w:name w:val="No Spacing Char"/>
    <w:basedOn w:val="DefaultParagraphFont"/>
    <w:link w:val="NoSpacing"/>
    <w:uiPriority w:val="1"/>
    <w:locked/>
    <w:rsid w:val="00C26645"/>
    <w:rPr>
      <w:rFonts w:ascii="Calibri" w:eastAsia="Times New Roman" w:hAnsi="Calibri" w:cs="Times New Roman"/>
      <w:lang w:val="ru-RU"/>
    </w:rPr>
  </w:style>
  <w:style w:type="table" w:customStyle="1" w:styleId="GridTable1Light12">
    <w:name w:val="Grid Table 1 Light12"/>
    <w:basedOn w:val="TableNormal"/>
    <w:next w:val="GridTable1Light"/>
    <w:uiPriority w:val="46"/>
    <w:rsid w:val="00C266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266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C2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strikethrough,Абзац списка1,standaard met opsomming,HotarirePunct1,Bullets,References,Liste 1,List Paragraph nowy,Numbered List Paragraph,List Paragraph (numbered (a)),Dot pt,Paragraphe de liste2"/>
    <w:basedOn w:val="Normal"/>
    <w:link w:val="ListParagraphChar"/>
    <w:uiPriority w:val="34"/>
    <w:qFormat/>
    <w:rsid w:val="00C26645"/>
    <w:pPr>
      <w:ind w:left="720"/>
      <w:contextualSpacing/>
    </w:pPr>
  </w:style>
  <w:style w:type="table" w:customStyle="1" w:styleId="GridTable1Light1">
    <w:name w:val="Grid Table 1 Light1"/>
    <w:basedOn w:val="TableNormal"/>
    <w:next w:val="GridTable1Light"/>
    <w:uiPriority w:val="46"/>
    <w:rsid w:val="00C266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Основной текст (2)_"/>
    <w:basedOn w:val="DefaultParagraphFont"/>
    <w:link w:val="20"/>
    <w:rsid w:val="00C26645"/>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C26645"/>
    <w:pPr>
      <w:widowControl w:val="0"/>
      <w:shd w:val="clear" w:color="auto" w:fill="FFFFFF"/>
      <w:spacing w:after="260" w:line="244" w:lineRule="exact"/>
      <w:jc w:val="right"/>
    </w:pPr>
    <w:rPr>
      <w:rFonts w:eastAsia="Times New Roman" w:cs="Times New Roman"/>
      <w:sz w:val="22"/>
      <w:lang w:val="en-US"/>
    </w:rPr>
  </w:style>
  <w:style w:type="table" w:customStyle="1" w:styleId="TableGrid1">
    <w:name w:val="Table Grid1"/>
    <w:basedOn w:val="TableNormal"/>
    <w:next w:val="TableGrid"/>
    <w:uiPriority w:val="39"/>
    <w:rsid w:val="00C2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995pt">
    <w:name w:val="Body text (29) + 9.5 pt"/>
    <w:aliases w:val="Not Bold,Body text (4) + Franklin Gothic Heavy,19 pt,Body text (4) + 20 pt"/>
    <w:basedOn w:val="DefaultParagraphFont"/>
    <w:rsid w:val="00C26645"/>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styleId="Emphasis">
    <w:name w:val="Emphasis"/>
    <w:basedOn w:val="DefaultParagraphFont"/>
    <w:uiPriority w:val="20"/>
    <w:qFormat/>
    <w:rsid w:val="00C26645"/>
    <w:rPr>
      <w:i/>
      <w:iCs/>
    </w:rPr>
  </w:style>
  <w:style w:type="character" w:styleId="FollowedHyperlink">
    <w:name w:val="FollowedHyperlink"/>
    <w:basedOn w:val="DefaultParagraphFont"/>
    <w:uiPriority w:val="99"/>
    <w:semiHidden/>
    <w:unhideWhenUsed/>
    <w:rsid w:val="00C26645"/>
    <w:rPr>
      <w:color w:val="954F72"/>
      <w:u w:val="single"/>
    </w:rPr>
  </w:style>
  <w:style w:type="paragraph" w:customStyle="1" w:styleId="msonormal0">
    <w:name w:val="msonormal"/>
    <w:basedOn w:val="Normal"/>
    <w:rsid w:val="00C26645"/>
    <w:pPr>
      <w:spacing w:before="100" w:beforeAutospacing="1" w:after="100" w:afterAutospacing="1" w:line="240" w:lineRule="auto"/>
      <w:jc w:val="left"/>
    </w:pPr>
    <w:rPr>
      <w:rFonts w:eastAsia="Times New Roman" w:cs="Times New Roman"/>
      <w:sz w:val="24"/>
      <w:szCs w:val="24"/>
      <w:lang w:val="en-US"/>
    </w:rPr>
  </w:style>
  <w:style w:type="paragraph" w:customStyle="1" w:styleId="font5">
    <w:name w:val="font5"/>
    <w:basedOn w:val="Normal"/>
    <w:rsid w:val="00C26645"/>
    <w:pPr>
      <w:spacing w:before="100" w:beforeAutospacing="1" w:after="100" w:afterAutospacing="1" w:line="240" w:lineRule="auto"/>
      <w:jc w:val="left"/>
    </w:pPr>
    <w:rPr>
      <w:rFonts w:eastAsia="Times New Roman" w:cs="Times New Roman"/>
      <w:b/>
      <w:bCs/>
      <w:color w:val="000000"/>
      <w:sz w:val="20"/>
      <w:szCs w:val="20"/>
      <w:lang w:val="en-US"/>
    </w:rPr>
  </w:style>
  <w:style w:type="paragraph" w:customStyle="1" w:styleId="font6">
    <w:name w:val="font6"/>
    <w:basedOn w:val="Normal"/>
    <w:rsid w:val="00C26645"/>
    <w:pPr>
      <w:spacing w:before="100" w:beforeAutospacing="1" w:after="100" w:afterAutospacing="1" w:line="240" w:lineRule="auto"/>
      <w:jc w:val="left"/>
    </w:pPr>
    <w:rPr>
      <w:rFonts w:eastAsia="Times New Roman" w:cs="Times New Roman"/>
      <w:b/>
      <w:bCs/>
      <w:color w:val="000000"/>
      <w:sz w:val="20"/>
      <w:szCs w:val="20"/>
      <w:u w:val="single"/>
      <w:lang w:val="en-US"/>
    </w:rPr>
  </w:style>
  <w:style w:type="paragraph" w:customStyle="1" w:styleId="font7">
    <w:name w:val="font7"/>
    <w:basedOn w:val="Normal"/>
    <w:rsid w:val="00C26645"/>
    <w:pPr>
      <w:spacing w:before="100" w:beforeAutospacing="1" w:after="100" w:afterAutospacing="1" w:line="240" w:lineRule="auto"/>
      <w:jc w:val="left"/>
    </w:pPr>
    <w:rPr>
      <w:rFonts w:eastAsia="Times New Roman" w:cs="Times New Roman"/>
      <w:b/>
      <w:bCs/>
      <w:sz w:val="20"/>
      <w:szCs w:val="20"/>
      <w:lang w:val="en-US"/>
    </w:rPr>
  </w:style>
  <w:style w:type="paragraph" w:customStyle="1" w:styleId="font8">
    <w:name w:val="font8"/>
    <w:basedOn w:val="Normal"/>
    <w:rsid w:val="00C26645"/>
    <w:pPr>
      <w:spacing w:before="100" w:beforeAutospacing="1" w:after="100" w:afterAutospacing="1" w:line="240" w:lineRule="auto"/>
      <w:jc w:val="left"/>
    </w:pPr>
    <w:rPr>
      <w:rFonts w:eastAsia="Times New Roman" w:cs="Times New Roman"/>
      <w:b/>
      <w:bCs/>
      <w:sz w:val="20"/>
      <w:szCs w:val="20"/>
      <w:u w:val="single"/>
      <w:lang w:val="en-US"/>
    </w:rPr>
  </w:style>
  <w:style w:type="paragraph" w:customStyle="1" w:styleId="xl65">
    <w:name w:val="xl65"/>
    <w:basedOn w:val="Normal"/>
    <w:rsid w:val="00C26645"/>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6">
    <w:name w:val="xl66"/>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7">
    <w:name w:val="xl67"/>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sz w:val="24"/>
      <w:szCs w:val="24"/>
      <w:lang w:val="en-US"/>
    </w:rPr>
  </w:style>
  <w:style w:type="paragraph" w:customStyle="1" w:styleId="xl68">
    <w:name w:val="xl68"/>
    <w:basedOn w:val="Normal"/>
    <w:rsid w:val="00C26645"/>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9">
    <w:name w:val="xl69"/>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70">
    <w:name w:val="xl70"/>
    <w:basedOn w:val="Normal"/>
    <w:rsid w:val="00C26645"/>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71">
    <w:name w:val="xl71"/>
    <w:basedOn w:val="Normal"/>
    <w:rsid w:val="00C266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72">
    <w:name w:val="xl72"/>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3">
    <w:name w:val="xl73"/>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4">
    <w:name w:val="xl74"/>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5">
    <w:name w:val="xl75"/>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6">
    <w:name w:val="xl76"/>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7">
    <w:name w:val="xl77"/>
    <w:basedOn w:val="Normal"/>
    <w:rsid w:val="00C2664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78">
    <w:name w:val="xl78"/>
    <w:basedOn w:val="Normal"/>
    <w:rsid w:val="00C26645"/>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79">
    <w:name w:val="xl79"/>
    <w:basedOn w:val="Normal"/>
    <w:rsid w:val="00C266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80">
    <w:name w:val="xl80"/>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1">
    <w:name w:val="xl81"/>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2">
    <w:name w:val="xl82"/>
    <w:basedOn w:val="Normal"/>
    <w:rsid w:val="00C2664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3">
    <w:name w:val="xl83"/>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4">
    <w:name w:val="xl84"/>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5">
    <w:name w:val="xl85"/>
    <w:basedOn w:val="Normal"/>
    <w:rsid w:val="00C26645"/>
    <w:pPr>
      <w:pBdr>
        <w:top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86">
    <w:name w:val="xl86"/>
    <w:basedOn w:val="Normal"/>
    <w:rsid w:val="00C26645"/>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87">
    <w:name w:val="xl87"/>
    <w:basedOn w:val="Normal"/>
    <w:rsid w:val="00C266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8">
    <w:name w:val="xl88"/>
    <w:basedOn w:val="Normal"/>
    <w:rsid w:val="00C26645"/>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9">
    <w:name w:val="xl89"/>
    <w:basedOn w:val="Normal"/>
    <w:rsid w:val="00C2664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0">
    <w:name w:val="xl90"/>
    <w:basedOn w:val="Normal"/>
    <w:rsid w:val="00C2664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1">
    <w:name w:val="xl91"/>
    <w:basedOn w:val="Normal"/>
    <w:rsid w:val="00C266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2">
    <w:name w:val="xl92"/>
    <w:basedOn w:val="Normal"/>
    <w:rsid w:val="00C26645"/>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3">
    <w:name w:val="xl93"/>
    <w:basedOn w:val="Normal"/>
    <w:rsid w:val="00C26645"/>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4">
    <w:name w:val="xl94"/>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5">
    <w:name w:val="xl95"/>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6">
    <w:name w:val="xl96"/>
    <w:basedOn w:val="Normal"/>
    <w:rsid w:val="00C26645"/>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7">
    <w:name w:val="xl97"/>
    <w:basedOn w:val="Normal"/>
    <w:rsid w:val="00C26645"/>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98">
    <w:name w:val="xl98"/>
    <w:basedOn w:val="Normal"/>
    <w:rsid w:val="00C266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99">
    <w:name w:val="xl99"/>
    <w:basedOn w:val="Normal"/>
    <w:rsid w:val="00C2664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0">
    <w:name w:val="xl100"/>
    <w:basedOn w:val="Normal"/>
    <w:rsid w:val="00C26645"/>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1">
    <w:name w:val="xl101"/>
    <w:basedOn w:val="Normal"/>
    <w:rsid w:val="00C2664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2">
    <w:name w:val="xl102"/>
    <w:basedOn w:val="Normal"/>
    <w:rsid w:val="00C2664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3">
    <w:name w:val="xl103"/>
    <w:basedOn w:val="Normal"/>
    <w:rsid w:val="00C26645"/>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4">
    <w:name w:val="xl104"/>
    <w:basedOn w:val="Normal"/>
    <w:rsid w:val="00C26645"/>
    <w:pPr>
      <w:pBdr>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5">
    <w:name w:val="xl105"/>
    <w:basedOn w:val="Normal"/>
    <w:rsid w:val="00C2664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6">
    <w:name w:val="xl106"/>
    <w:basedOn w:val="Normal"/>
    <w:rsid w:val="00C26645"/>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7">
    <w:name w:val="xl107"/>
    <w:basedOn w:val="Normal"/>
    <w:rsid w:val="00C2664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8">
    <w:name w:val="xl108"/>
    <w:basedOn w:val="Normal"/>
    <w:rsid w:val="00C266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09">
    <w:name w:val="xl109"/>
    <w:basedOn w:val="Normal"/>
    <w:rsid w:val="00C2664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0">
    <w:name w:val="xl110"/>
    <w:basedOn w:val="Normal"/>
    <w:rsid w:val="00C2664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1">
    <w:name w:val="xl111"/>
    <w:basedOn w:val="Normal"/>
    <w:rsid w:val="00C2664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2">
    <w:name w:val="xl112"/>
    <w:basedOn w:val="Normal"/>
    <w:rsid w:val="00C26645"/>
    <w:pP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13">
    <w:name w:val="xl113"/>
    <w:basedOn w:val="Normal"/>
    <w:rsid w:val="00C2664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4">
    <w:name w:val="xl114"/>
    <w:basedOn w:val="Normal"/>
    <w:rsid w:val="00C26645"/>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5">
    <w:name w:val="xl115"/>
    <w:basedOn w:val="Normal"/>
    <w:rsid w:val="00C2664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6">
    <w:name w:val="xl116"/>
    <w:basedOn w:val="Normal"/>
    <w:rsid w:val="00C26645"/>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7">
    <w:name w:val="xl117"/>
    <w:basedOn w:val="Normal"/>
    <w:rsid w:val="00C266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18">
    <w:name w:val="xl118"/>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19">
    <w:name w:val="xl119"/>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0">
    <w:name w:val="xl120"/>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21">
    <w:name w:val="xl121"/>
    <w:basedOn w:val="Normal"/>
    <w:rsid w:val="00C26645"/>
    <w:pP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2">
    <w:name w:val="xl122"/>
    <w:basedOn w:val="Normal"/>
    <w:rsid w:val="00C26645"/>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3">
    <w:name w:val="xl123"/>
    <w:basedOn w:val="Normal"/>
    <w:rsid w:val="00C266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4">
    <w:name w:val="xl124"/>
    <w:basedOn w:val="Normal"/>
    <w:rsid w:val="00C2664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5">
    <w:name w:val="xl125"/>
    <w:basedOn w:val="Normal"/>
    <w:rsid w:val="00C266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26">
    <w:name w:val="xl126"/>
    <w:basedOn w:val="Normal"/>
    <w:rsid w:val="00C26645"/>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7">
    <w:name w:val="xl127"/>
    <w:basedOn w:val="Normal"/>
    <w:rsid w:val="00C2664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8">
    <w:name w:val="xl128"/>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9">
    <w:name w:val="xl129"/>
    <w:basedOn w:val="Normal"/>
    <w:rsid w:val="00C26645"/>
    <w:pPr>
      <w:pBdr>
        <w:top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0">
    <w:name w:val="xl130"/>
    <w:basedOn w:val="Normal"/>
    <w:rsid w:val="00C266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31">
    <w:name w:val="xl131"/>
    <w:basedOn w:val="Normal"/>
    <w:rsid w:val="00C2664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32">
    <w:name w:val="xl132"/>
    <w:basedOn w:val="Normal"/>
    <w:rsid w:val="00C26645"/>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3">
    <w:name w:val="xl133"/>
    <w:basedOn w:val="Normal"/>
    <w:rsid w:val="00C26645"/>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4">
    <w:name w:val="xl134"/>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5">
    <w:name w:val="xl135"/>
    <w:basedOn w:val="Normal"/>
    <w:rsid w:val="00C26645"/>
    <w:pPr>
      <w:pBdr>
        <w:top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36">
    <w:name w:val="xl136"/>
    <w:basedOn w:val="Normal"/>
    <w:rsid w:val="00C26645"/>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7">
    <w:name w:val="xl137"/>
    <w:basedOn w:val="Normal"/>
    <w:rsid w:val="00C2664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8">
    <w:name w:val="xl138"/>
    <w:basedOn w:val="Normal"/>
    <w:rsid w:val="00C26645"/>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39">
    <w:name w:val="xl139"/>
    <w:basedOn w:val="Normal"/>
    <w:rsid w:val="00C266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0">
    <w:name w:val="xl140"/>
    <w:basedOn w:val="Normal"/>
    <w:rsid w:val="00C26645"/>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1">
    <w:name w:val="xl141"/>
    <w:basedOn w:val="Normal"/>
    <w:rsid w:val="00C2664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2">
    <w:name w:val="xl142"/>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3">
    <w:name w:val="xl143"/>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44">
    <w:name w:val="xl144"/>
    <w:basedOn w:val="Normal"/>
    <w:rsid w:val="00C2664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5">
    <w:name w:val="xl145"/>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6">
    <w:name w:val="xl146"/>
    <w:basedOn w:val="Normal"/>
    <w:rsid w:val="00C26645"/>
    <w:pP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7">
    <w:name w:val="xl147"/>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48">
    <w:name w:val="xl148"/>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49">
    <w:name w:val="xl149"/>
    <w:basedOn w:val="Normal"/>
    <w:rsid w:val="00C2664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0">
    <w:name w:val="xl150"/>
    <w:basedOn w:val="Normal"/>
    <w:rsid w:val="00C26645"/>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1">
    <w:name w:val="xl151"/>
    <w:basedOn w:val="Normal"/>
    <w:rsid w:val="00C266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2">
    <w:name w:val="xl152"/>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53">
    <w:name w:val="xl153"/>
    <w:basedOn w:val="Normal"/>
    <w:rsid w:val="00C26645"/>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4">
    <w:name w:val="xl154"/>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5">
    <w:name w:val="xl155"/>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6">
    <w:name w:val="xl156"/>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7">
    <w:name w:val="xl157"/>
    <w:basedOn w:val="Normal"/>
    <w:rsid w:val="00C266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8">
    <w:name w:val="xl158"/>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159">
    <w:name w:val="xl159"/>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60">
    <w:name w:val="xl160"/>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1">
    <w:name w:val="xl161"/>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2">
    <w:name w:val="xl162"/>
    <w:basedOn w:val="Normal"/>
    <w:rsid w:val="00C26645"/>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163">
    <w:name w:val="xl163"/>
    <w:basedOn w:val="Normal"/>
    <w:rsid w:val="00C26645"/>
    <w:pPr>
      <w:shd w:val="clear" w:color="000000" w:fill="FFFFFF"/>
      <w:spacing w:before="100" w:beforeAutospacing="1" w:after="100" w:afterAutospacing="1" w:line="240" w:lineRule="auto"/>
      <w:jc w:val="left"/>
    </w:pPr>
    <w:rPr>
      <w:rFonts w:eastAsia="Times New Roman" w:cs="Times New Roman"/>
      <w:sz w:val="24"/>
      <w:szCs w:val="24"/>
      <w:lang w:val="en-US"/>
    </w:rPr>
  </w:style>
  <w:style w:type="paragraph" w:customStyle="1" w:styleId="xl164">
    <w:name w:val="xl164"/>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165">
    <w:name w:val="xl165"/>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6">
    <w:name w:val="xl166"/>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7">
    <w:name w:val="xl167"/>
    <w:basedOn w:val="Normal"/>
    <w:rsid w:val="00C26645"/>
    <w:pPr>
      <w:shd w:val="clear" w:color="000000" w:fill="FFFFFF"/>
      <w:spacing w:before="100" w:beforeAutospacing="1" w:after="100" w:afterAutospacing="1" w:line="240" w:lineRule="auto"/>
      <w:jc w:val="left"/>
    </w:pPr>
    <w:rPr>
      <w:rFonts w:eastAsia="Times New Roman" w:cs="Times New Roman"/>
      <w:i/>
      <w:iCs/>
      <w:sz w:val="24"/>
      <w:szCs w:val="24"/>
      <w:lang w:val="en-US"/>
    </w:rPr>
  </w:style>
  <w:style w:type="paragraph" w:customStyle="1" w:styleId="xl168">
    <w:name w:val="xl168"/>
    <w:basedOn w:val="Normal"/>
    <w:rsid w:val="00C26645"/>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69">
    <w:name w:val="xl169"/>
    <w:basedOn w:val="Normal"/>
    <w:rsid w:val="00C266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0">
    <w:name w:val="xl170"/>
    <w:basedOn w:val="Normal"/>
    <w:rsid w:val="00C26645"/>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18"/>
      <w:szCs w:val="18"/>
      <w:lang w:val="en-US"/>
    </w:rPr>
  </w:style>
  <w:style w:type="paragraph" w:customStyle="1" w:styleId="xl171">
    <w:name w:val="xl171"/>
    <w:basedOn w:val="Normal"/>
    <w:rsid w:val="00C266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2">
    <w:name w:val="xl172"/>
    <w:basedOn w:val="Normal"/>
    <w:rsid w:val="00C266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3">
    <w:name w:val="xl173"/>
    <w:basedOn w:val="Normal"/>
    <w:rsid w:val="00C266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4">
    <w:name w:val="xl174"/>
    <w:basedOn w:val="Normal"/>
    <w:rsid w:val="00C266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20"/>
      <w:szCs w:val="20"/>
      <w:lang w:val="en-US"/>
    </w:rPr>
  </w:style>
  <w:style w:type="paragraph" w:customStyle="1" w:styleId="xl175">
    <w:name w:val="xl175"/>
    <w:basedOn w:val="Normal"/>
    <w:rsid w:val="00C266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76">
    <w:name w:val="xl176"/>
    <w:basedOn w:val="Normal"/>
    <w:rsid w:val="00C26645"/>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7">
    <w:name w:val="xl177"/>
    <w:basedOn w:val="Normal"/>
    <w:rsid w:val="00C266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8">
    <w:name w:val="xl178"/>
    <w:basedOn w:val="Normal"/>
    <w:rsid w:val="00C26645"/>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9">
    <w:name w:val="xl179"/>
    <w:basedOn w:val="Normal"/>
    <w:rsid w:val="00C26645"/>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0">
    <w:name w:val="xl180"/>
    <w:basedOn w:val="Normal"/>
    <w:rsid w:val="00C2664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1">
    <w:name w:val="xl181"/>
    <w:basedOn w:val="Normal"/>
    <w:rsid w:val="00C26645"/>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2">
    <w:name w:val="xl182"/>
    <w:basedOn w:val="Normal"/>
    <w:rsid w:val="00C2664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3">
    <w:name w:val="xl183"/>
    <w:basedOn w:val="Normal"/>
    <w:rsid w:val="00C26645"/>
    <w:pPr>
      <w:pBdr>
        <w:top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4">
    <w:name w:val="xl184"/>
    <w:basedOn w:val="Normal"/>
    <w:rsid w:val="00C26645"/>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5">
    <w:name w:val="xl185"/>
    <w:basedOn w:val="Normal"/>
    <w:rsid w:val="00C266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6">
    <w:name w:val="xl186"/>
    <w:basedOn w:val="Normal"/>
    <w:rsid w:val="00C26645"/>
    <w:pPr>
      <w:pBdr>
        <w:top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7">
    <w:name w:val="xl187"/>
    <w:basedOn w:val="Normal"/>
    <w:rsid w:val="00C26645"/>
    <w:pPr>
      <w:pBdr>
        <w:top w:val="single" w:sz="8" w:space="0" w:color="auto"/>
        <w:lef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8">
    <w:name w:val="xl188"/>
    <w:basedOn w:val="Normal"/>
    <w:rsid w:val="00C26645"/>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89">
    <w:name w:val="xl189"/>
    <w:basedOn w:val="Normal"/>
    <w:rsid w:val="00C26645"/>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90">
    <w:name w:val="xl190"/>
    <w:basedOn w:val="Normal"/>
    <w:rsid w:val="00C2664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1">
    <w:name w:val="xl191"/>
    <w:basedOn w:val="Normal"/>
    <w:rsid w:val="00C266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2">
    <w:name w:val="xl192"/>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3">
    <w:name w:val="xl193"/>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4">
    <w:name w:val="xl194"/>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5">
    <w:name w:val="xl195"/>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FF0000"/>
      <w:sz w:val="24"/>
      <w:szCs w:val="24"/>
      <w:lang w:val="en-US"/>
    </w:rPr>
  </w:style>
  <w:style w:type="paragraph" w:customStyle="1" w:styleId="xl196">
    <w:name w:val="xl196"/>
    <w:basedOn w:val="Normal"/>
    <w:rsid w:val="00C26645"/>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197">
    <w:name w:val="xl197"/>
    <w:basedOn w:val="Normal"/>
    <w:rsid w:val="00C2664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18"/>
      <w:szCs w:val="18"/>
      <w:lang w:val="en-US"/>
    </w:rPr>
  </w:style>
  <w:style w:type="paragraph" w:customStyle="1" w:styleId="xl198">
    <w:name w:val="xl198"/>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9">
    <w:name w:val="xl199"/>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0">
    <w:name w:val="xl200"/>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1">
    <w:name w:val="xl201"/>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2">
    <w:name w:val="xl202"/>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3">
    <w:name w:val="xl203"/>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4">
    <w:name w:val="xl204"/>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5">
    <w:name w:val="xl205"/>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6">
    <w:name w:val="xl206"/>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7">
    <w:name w:val="xl207"/>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8">
    <w:name w:val="xl208"/>
    <w:basedOn w:val="Normal"/>
    <w:rsid w:val="00C2664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20"/>
      <w:szCs w:val="20"/>
      <w:lang w:val="en-US"/>
    </w:rPr>
  </w:style>
  <w:style w:type="paragraph" w:customStyle="1" w:styleId="xl209">
    <w:name w:val="xl209"/>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10">
    <w:name w:val="xl210"/>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211">
    <w:name w:val="xl211"/>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2">
    <w:name w:val="xl212"/>
    <w:basedOn w:val="Normal"/>
    <w:rsid w:val="00C2664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13">
    <w:name w:val="xl213"/>
    <w:basedOn w:val="Normal"/>
    <w:rsid w:val="00C2664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214">
    <w:name w:val="xl214"/>
    <w:basedOn w:val="Normal"/>
    <w:rsid w:val="00C26645"/>
    <w:pPr>
      <w:pBdr>
        <w:top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5">
    <w:name w:val="xl215"/>
    <w:basedOn w:val="Normal"/>
    <w:rsid w:val="00C26645"/>
    <w:pPr>
      <w:pBdr>
        <w:top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6">
    <w:name w:val="xl216"/>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7">
    <w:name w:val="xl217"/>
    <w:basedOn w:val="Normal"/>
    <w:rsid w:val="00C2664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8">
    <w:name w:val="xl218"/>
    <w:basedOn w:val="Normal"/>
    <w:rsid w:val="00C2664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219">
    <w:name w:val="xl219"/>
    <w:basedOn w:val="Normal"/>
    <w:rsid w:val="00C26645"/>
    <w:pPr>
      <w:pBdr>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0">
    <w:name w:val="xl220"/>
    <w:basedOn w:val="Normal"/>
    <w:rsid w:val="00C26645"/>
    <w:pPr>
      <w:pBdr>
        <w:top w:val="single" w:sz="4" w:space="0" w:color="auto"/>
        <w:left w:val="single" w:sz="8" w:space="0" w:color="auto"/>
        <w:bottom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1">
    <w:name w:val="xl221"/>
    <w:basedOn w:val="Normal"/>
    <w:rsid w:val="00C266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2">
    <w:name w:val="xl222"/>
    <w:basedOn w:val="Normal"/>
    <w:rsid w:val="00C26645"/>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3">
    <w:name w:val="xl223"/>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24">
    <w:name w:val="xl224"/>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5">
    <w:name w:val="xl225"/>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6">
    <w:name w:val="xl226"/>
    <w:basedOn w:val="Normal"/>
    <w:rsid w:val="00C26645"/>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7">
    <w:name w:val="xl227"/>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28">
    <w:name w:val="xl228"/>
    <w:basedOn w:val="Normal"/>
    <w:rsid w:val="00C266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9">
    <w:name w:val="xl229"/>
    <w:basedOn w:val="Normal"/>
    <w:rsid w:val="00C26645"/>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0">
    <w:name w:val="xl230"/>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1">
    <w:name w:val="xl231"/>
    <w:basedOn w:val="Normal"/>
    <w:rsid w:val="00C266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2">
    <w:name w:val="xl232"/>
    <w:basedOn w:val="Normal"/>
    <w:rsid w:val="00C26645"/>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33">
    <w:name w:val="xl233"/>
    <w:basedOn w:val="Normal"/>
    <w:rsid w:val="00C26645"/>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4">
    <w:name w:val="xl234"/>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35">
    <w:name w:val="xl235"/>
    <w:basedOn w:val="Normal"/>
    <w:rsid w:val="00C26645"/>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6">
    <w:name w:val="xl236"/>
    <w:basedOn w:val="Normal"/>
    <w:rsid w:val="00C26645"/>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7">
    <w:name w:val="xl237"/>
    <w:basedOn w:val="Normal"/>
    <w:rsid w:val="00C2664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8">
    <w:name w:val="xl238"/>
    <w:basedOn w:val="Normal"/>
    <w:rsid w:val="00C26645"/>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9">
    <w:name w:val="xl239"/>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0">
    <w:name w:val="xl240"/>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1">
    <w:name w:val="xl241"/>
    <w:basedOn w:val="Normal"/>
    <w:rsid w:val="00C2664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2">
    <w:name w:val="xl242"/>
    <w:basedOn w:val="Normal"/>
    <w:rsid w:val="00C2664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3">
    <w:name w:val="xl243"/>
    <w:basedOn w:val="Normal"/>
    <w:rsid w:val="00C2664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44">
    <w:name w:val="xl244"/>
    <w:basedOn w:val="Normal"/>
    <w:rsid w:val="00C266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5">
    <w:name w:val="xl245"/>
    <w:basedOn w:val="Normal"/>
    <w:rsid w:val="00C2664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6">
    <w:name w:val="xl246"/>
    <w:basedOn w:val="Normal"/>
    <w:rsid w:val="00C26645"/>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7">
    <w:name w:val="xl247"/>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48">
    <w:name w:val="xl248"/>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9">
    <w:name w:val="xl249"/>
    <w:basedOn w:val="Normal"/>
    <w:rsid w:val="00C26645"/>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50">
    <w:name w:val="xl250"/>
    <w:basedOn w:val="Normal"/>
    <w:rsid w:val="00C26645"/>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51">
    <w:name w:val="xl251"/>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52">
    <w:name w:val="xl252"/>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53">
    <w:name w:val="xl253"/>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54">
    <w:name w:val="xl254"/>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5">
    <w:name w:val="xl255"/>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6">
    <w:name w:val="xl256"/>
    <w:basedOn w:val="Normal"/>
    <w:rsid w:val="00C2664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20"/>
      <w:szCs w:val="20"/>
      <w:lang w:val="en-US"/>
    </w:rPr>
  </w:style>
  <w:style w:type="paragraph" w:customStyle="1" w:styleId="xl257">
    <w:name w:val="xl257"/>
    <w:basedOn w:val="Normal"/>
    <w:rsid w:val="00C2664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258">
    <w:name w:val="xl258"/>
    <w:basedOn w:val="Normal"/>
    <w:rsid w:val="00C26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0"/>
      <w:szCs w:val="20"/>
      <w:lang w:val="en-US"/>
    </w:rPr>
  </w:style>
  <w:style w:type="paragraph" w:customStyle="1" w:styleId="xl259">
    <w:name w:val="xl259"/>
    <w:basedOn w:val="Normal"/>
    <w:rsid w:val="00C26645"/>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top"/>
    </w:pPr>
    <w:rPr>
      <w:rFonts w:eastAsia="Times New Roman" w:cs="Times New Roman"/>
      <w:b/>
      <w:bCs/>
      <w:sz w:val="18"/>
      <w:szCs w:val="18"/>
      <w:lang w:val="en-US"/>
    </w:rPr>
  </w:style>
  <w:style w:type="paragraph" w:customStyle="1" w:styleId="xl260">
    <w:name w:val="xl260"/>
    <w:basedOn w:val="Normal"/>
    <w:rsid w:val="00C26645"/>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i/>
      <w:iCs/>
      <w:sz w:val="24"/>
      <w:szCs w:val="24"/>
      <w:lang w:val="en-US"/>
    </w:rPr>
  </w:style>
  <w:style w:type="paragraph" w:customStyle="1" w:styleId="xl261">
    <w:name w:val="xl261"/>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2">
    <w:name w:val="xl262"/>
    <w:basedOn w:val="Normal"/>
    <w:rsid w:val="00C26645"/>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63">
    <w:name w:val="xl263"/>
    <w:basedOn w:val="Normal"/>
    <w:rsid w:val="00C26645"/>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0"/>
      <w:szCs w:val="20"/>
      <w:lang w:val="en-US"/>
    </w:rPr>
  </w:style>
  <w:style w:type="paragraph" w:customStyle="1" w:styleId="xl264">
    <w:name w:val="xl264"/>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65">
    <w:name w:val="xl265"/>
    <w:basedOn w:val="Normal"/>
    <w:rsid w:val="00C2664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66">
    <w:name w:val="xl266"/>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7">
    <w:name w:val="xl267"/>
    <w:basedOn w:val="Normal"/>
    <w:rsid w:val="00C2664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8">
    <w:name w:val="xl268"/>
    <w:basedOn w:val="Normal"/>
    <w:rsid w:val="00C26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9">
    <w:name w:val="xl269"/>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0">
    <w:name w:val="xl270"/>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1">
    <w:name w:val="xl271"/>
    <w:basedOn w:val="Normal"/>
    <w:rsid w:val="00C26645"/>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2">
    <w:name w:val="xl272"/>
    <w:basedOn w:val="Normal"/>
    <w:rsid w:val="00C26645"/>
    <w:pP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3">
    <w:name w:val="xl273"/>
    <w:basedOn w:val="Normal"/>
    <w:rsid w:val="00C26645"/>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4">
    <w:name w:val="xl274"/>
    <w:basedOn w:val="Normal"/>
    <w:rsid w:val="00C26645"/>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5">
    <w:name w:val="xl275"/>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6">
    <w:name w:val="xl276"/>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7">
    <w:name w:val="xl277"/>
    <w:basedOn w:val="Normal"/>
    <w:rsid w:val="00C26645"/>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8">
    <w:name w:val="xl278"/>
    <w:basedOn w:val="Normal"/>
    <w:rsid w:val="00C26645"/>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9">
    <w:name w:val="xl279"/>
    <w:basedOn w:val="Normal"/>
    <w:rsid w:val="00C26645"/>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80">
    <w:name w:val="xl280"/>
    <w:basedOn w:val="Normal"/>
    <w:rsid w:val="00C26645"/>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paragraph" w:customStyle="1" w:styleId="xl281">
    <w:name w:val="xl281"/>
    <w:basedOn w:val="Normal"/>
    <w:rsid w:val="00C2664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table" w:customStyle="1" w:styleId="GridTable1Light22">
    <w:name w:val="Grid Table 1 Light22"/>
    <w:basedOn w:val="TableNormal"/>
    <w:next w:val="GridTable1Light"/>
    <w:uiPriority w:val="46"/>
    <w:rsid w:val="00C266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Обычный (веб)1 Char,Текст сноски1 Char"/>
    <w:basedOn w:val="DefaultParagraphFont"/>
    <w:link w:val="NormalWeb"/>
    <w:uiPriority w:val="99"/>
    <w:locked/>
    <w:rsid w:val="00C26645"/>
    <w:rPr>
      <w:rFonts w:ascii="Times New Roman" w:hAnsi="Times New Roman" w:cs="Times New Roman"/>
      <w:sz w:val="24"/>
      <w:szCs w:val="24"/>
      <w:lang w:val="en-GB"/>
    </w:rPr>
  </w:style>
  <w:style w:type="paragraph" w:styleId="BalloonText">
    <w:name w:val="Balloon Text"/>
    <w:basedOn w:val="Normal"/>
    <w:link w:val="BalloonTextChar"/>
    <w:uiPriority w:val="99"/>
    <w:semiHidden/>
    <w:unhideWhenUsed/>
    <w:rsid w:val="00C26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45"/>
    <w:rPr>
      <w:rFonts w:ascii="Segoe UI" w:hAnsi="Segoe UI" w:cs="Segoe UI"/>
      <w:sz w:val="18"/>
      <w:szCs w:val="18"/>
      <w:lang w:val="en-GB"/>
    </w:rPr>
  </w:style>
  <w:style w:type="character" w:styleId="CommentReference">
    <w:name w:val="annotation reference"/>
    <w:basedOn w:val="DefaultParagraphFont"/>
    <w:uiPriority w:val="99"/>
    <w:semiHidden/>
    <w:unhideWhenUsed/>
    <w:rsid w:val="00C26645"/>
    <w:rPr>
      <w:sz w:val="16"/>
      <w:szCs w:val="16"/>
    </w:rPr>
  </w:style>
  <w:style w:type="paragraph" w:styleId="CommentText">
    <w:name w:val="annotation text"/>
    <w:basedOn w:val="Normal"/>
    <w:link w:val="CommentTextChar"/>
    <w:uiPriority w:val="99"/>
    <w:unhideWhenUsed/>
    <w:rsid w:val="00C26645"/>
    <w:pPr>
      <w:spacing w:line="240" w:lineRule="auto"/>
    </w:pPr>
    <w:rPr>
      <w:sz w:val="20"/>
      <w:szCs w:val="20"/>
    </w:rPr>
  </w:style>
  <w:style w:type="character" w:customStyle="1" w:styleId="CommentTextChar">
    <w:name w:val="Comment Text Char"/>
    <w:basedOn w:val="DefaultParagraphFont"/>
    <w:link w:val="CommentText"/>
    <w:uiPriority w:val="99"/>
    <w:rsid w:val="00C26645"/>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C26645"/>
    <w:rPr>
      <w:b/>
      <w:bCs/>
    </w:rPr>
  </w:style>
  <w:style w:type="character" w:customStyle="1" w:styleId="CommentSubjectChar">
    <w:name w:val="Comment Subject Char"/>
    <w:basedOn w:val="CommentTextChar"/>
    <w:link w:val="CommentSubject"/>
    <w:uiPriority w:val="99"/>
    <w:semiHidden/>
    <w:rsid w:val="00C26645"/>
    <w:rPr>
      <w:rFonts w:ascii="Times New Roman" w:hAnsi="Times New Roman"/>
      <w:b/>
      <w:bCs/>
      <w:sz w:val="20"/>
      <w:szCs w:val="20"/>
      <w:lang w:val="en-GB"/>
    </w:rPr>
  </w:style>
  <w:style w:type="paragraph" w:styleId="Revision">
    <w:name w:val="Revision"/>
    <w:hidden/>
    <w:uiPriority w:val="99"/>
    <w:semiHidden/>
    <w:rsid w:val="00C26645"/>
    <w:pPr>
      <w:spacing w:after="0" w:line="240" w:lineRule="auto"/>
    </w:pPr>
    <w:rPr>
      <w:rFonts w:ascii="Times New Roman" w:hAnsi="Times New Roman"/>
      <w:sz w:val="28"/>
      <w:lang w:val="en-GB"/>
    </w:rPr>
  </w:style>
  <w:style w:type="table" w:customStyle="1" w:styleId="GridTable1Light11">
    <w:name w:val="Grid Table 1 Light11"/>
    <w:basedOn w:val="TableNormal"/>
    <w:next w:val="GridTable1Light"/>
    <w:uiPriority w:val="46"/>
    <w:rsid w:val="00C266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
    <w:name w:val="Grid Table 1 Light13"/>
    <w:basedOn w:val="TableNormal"/>
    <w:next w:val="GridTable1Light"/>
    <w:uiPriority w:val="46"/>
    <w:rsid w:val="00C266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
    <w:name w:val="Table Grid21"/>
    <w:basedOn w:val="TableNormal"/>
    <w:next w:val="TableGrid"/>
    <w:uiPriority w:val="39"/>
    <w:rsid w:val="00C2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C2664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C2664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2664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 1 Char,Scriptoria bullet points Char,strikethrough Char,Абзац списка1 Char,standaard met opsomming Char,HotarirePunct1 Char,Bullets Char,References Char,Liste 1 Char,List Paragraph nowy Char,Dot pt Char"/>
    <w:link w:val="ListParagraph"/>
    <w:uiPriority w:val="34"/>
    <w:locked/>
    <w:rsid w:val="00B22A5A"/>
    <w:rPr>
      <w:rFonts w:ascii="Times New Roman" w:hAnsi="Times New Roman"/>
      <w:sz w:val="28"/>
      <w:lang w:val="en-GB"/>
    </w:rPr>
  </w:style>
  <w:style w:type="table" w:customStyle="1" w:styleId="TableGrid211">
    <w:name w:val="Table Grid211"/>
    <w:basedOn w:val="TableNormal"/>
    <w:next w:val="TableGrid"/>
    <w:uiPriority w:val="39"/>
    <w:rsid w:val="00D3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7615"/>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027615"/>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027615"/>
    <w:rPr>
      <w:rFonts w:asciiTheme="majorHAnsi" w:eastAsiaTheme="majorEastAsia" w:hAnsiTheme="majorHAnsi" w:cstheme="majorBidi"/>
      <w:color w:val="1F4D78" w:themeColor="accent1" w:themeShade="7F"/>
      <w:sz w:val="24"/>
      <w:szCs w:val="24"/>
      <w:lang w:val="en-GB"/>
    </w:rPr>
  </w:style>
  <w:style w:type="numbering" w:customStyle="1" w:styleId="NoList1">
    <w:name w:val="No List1"/>
    <w:next w:val="NoList"/>
    <w:uiPriority w:val="99"/>
    <w:semiHidden/>
    <w:unhideWhenUsed/>
    <w:rsid w:val="00CF3B96"/>
  </w:style>
  <w:style w:type="table" w:customStyle="1" w:styleId="GridTable1Light121">
    <w:name w:val="Grid Table 1 Light121"/>
    <w:basedOn w:val="TableNormal"/>
    <w:next w:val="GridTable1Light"/>
    <w:uiPriority w:val="46"/>
    <w:rsid w:val="00CF3B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CF3B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2">
    <w:name w:val="Table Grid22"/>
    <w:basedOn w:val="TableNormal"/>
    <w:next w:val="TableGrid"/>
    <w:uiPriority w:val="39"/>
    <w:rsid w:val="00CF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4">
    <w:name w:val="Grid Table 1 Light14"/>
    <w:basedOn w:val="TableNormal"/>
    <w:next w:val="GridTable1Light"/>
    <w:uiPriority w:val="46"/>
    <w:rsid w:val="00CF3B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CF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21">
    <w:name w:val="Grid Table 1 Light221"/>
    <w:basedOn w:val="TableNormal"/>
    <w:next w:val="GridTable1Light"/>
    <w:uiPriority w:val="46"/>
    <w:rsid w:val="00CF3B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1">
    <w:name w:val="Grid Table 1 Light111"/>
    <w:basedOn w:val="TableNormal"/>
    <w:next w:val="GridTable1Light"/>
    <w:uiPriority w:val="46"/>
    <w:rsid w:val="00CF3B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1">
    <w:name w:val="Grid Table 1 Light131"/>
    <w:basedOn w:val="TableNormal"/>
    <w:next w:val="GridTable1Light"/>
    <w:uiPriority w:val="46"/>
    <w:rsid w:val="00CF3B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2">
    <w:name w:val="Table Grid212"/>
    <w:basedOn w:val="TableNormal"/>
    <w:next w:val="TableGrid"/>
    <w:uiPriority w:val="39"/>
    <w:rsid w:val="00CF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next w:val="GridTable4-Accent6"/>
    <w:uiPriority w:val="49"/>
    <w:rsid w:val="00CF3B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1">
    <w:name w:val="Grid Table 1 Light - Accent 61"/>
    <w:basedOn w:val="TableNormal"/>
    <w:next w:val="GridTable1Light-Accent6"/>
    <w:uiPriority w:val="46"/>
    <w:rsid w:val="00CF3B9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CF3B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2111">
    <w:name w:val="Table Grid2111"/>
    <w:basedOn w:val="TableNormal"/>
    <w:next w:val="TableGrid"/>
    <w:uiPriority w:val="39"/>
    <w:rsid w:val="00CF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C2BF4"/>
  </w:style>
  <w:style w:type="table" w:customStyle="1" w:styleId="GridTable1Light122">
    <w:name w:val="Grid Table 1 Light122"/>
    <w:basedOn w:val="TableNormal"/>
    <w:next w:val="GridTable1Light"/>
    <w:uiPriority w:val="46"/>
    <w:rsid w:val="001C2B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1C2B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3">
    <w:name w:val="Table Grid23"/>
    <w:basedOn w:val="TableNormal"/>
    <w:next w:val="TableGrid"/>
    <w:uiPriority w:val="39"/>
    <w:rsid w:val="001C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C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5">
    <w:name w:val="Grid Table 1 Light15"/>
    <w:basedOn w:val="TableNormal"/>
    <w:next w:val="GridTable1Light"/>
    <w:uiPriority w:val="46"/>
    <w:rsid w:val="001C2B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2">
    <w:name w:val="Table Grid12"/>
    <w:basedOn w:val="TableNormal"/>
    <w:next w:val="TableGrid"/>
    <w:uiPriority w:val="39"/>
    <w:rsid w:val="001C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22">
    <w:name w:val="Grid Table 1 Light222"/>
    <w:basedOn w:val="TableNormal"/>
    <w:next w:val="GridTable1Light"/>
    <w:uiPriority w:val="46"/>
    <w:rsid w:val="001C2B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2">
    <w:name w:val="Grid Table 1 Light112"/>
    <w:basedOn w:val="TableNormal"/>
    <w:next w:val="GridTable1Light"/>
    <w:uiPriority w:val="46"/>
    <w:rsid w:val="001C2B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2">
    <w:name w:val="Grid Table 1 Light132"/>
    <w:basedOn w:val="TableNormal"/>
    <w:next w:val="GridTable1Light"/>
    <w:uiPriority w:val="46"/>
    <w:rsid w:val="001C2B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3">
    <w:name w:val="Table Grid213"/>
    <w:basedOn w:val="TableNormal"/>
    <w:next w:val="TableGrid"/>
    <w:uiPriority w:val="39"/>
    <w:rsid w:val="001C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next w:val="GridTable4-Accent6"/>
    <w:uiPriority w:val="49"/>
    <w:rsid w:val="001C2B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2">
    <w:name w:val="Grid Table 1 Light - Accent 62"/>
    <w:basedOn w:val="TableNormal"/>
    <w:next w:val="GridTable1Light-Accent6"/>
    <w:uiPriority w:val="46"/>
    <w:rsid w:val="001C2B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
    <w:uiPriority w:val="46"/>
    <w:rsid w:val="001C2BF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2112">
    <w:name w:val="Table Grid2112"/>
    <w:basedOn w:val="TableNormal"/>
    <w:next w:val="TableGrid"/>
    <w:uiPriority w:val="39"/>
    <w:rsid w:val="001C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0775">
      <w:bodyDiv w:val="1"/>
      <w:marLeft w:val="0"/>
      <w:marRight w:val="0"/>
      <w:marTop w:val="0"/>
      <w:marBottom w:val="0"/>
      <w:divBdr>
        <w:top w:val="none" w:sz="0" w:space="0" w:color="auto"/>
        <w:left w:val="none" w:sz="0" w:space="0" w:color="auto"/>
        <w:bottom w:val="none" w:sz="0" w:space="0" w:color="auto"/>
        <w:right w:val="none" w:sz="0" w:space="0" w:color="auto"/>
      </w:divBdr>
    </w:div>
    <w:div w:id="255748167">
      <w:bodyDiv w:val="1"/>
      <w:marLeft w:val="0"/>
      <w:marRight w:val="0"/>
      <w:marTop w:val="0"/>
      <w:marBottom w:val="0"/>
      <w:divBdr>
        <w:top w:val="none" w:sz="0" w:space="0" w:color="auto"/>
        <w:left w:val="none" w:sz="0" w:space="0" w:color="auto"/>
        <w:bottom w:val="none" w:sz="0" w:space="0" w:color="auto"/>
        <w:right w:val="none" w:sz="0" w:space="0" w:color="auto"/>
      </w:divBdr>
    </w:div>
    <w:div w:id="291641589">
      <w:bodyDiv w:val="1"/>
      <w:marLeft w:val="0"/>
      <w:marRight w:val="0"/>
      <w:marTop w:val="0"/>
      <w:marBottom w:val="0"/>
      <w:divBdr>
        <w:top w:val="none" w:sz="0" w:space="0" w:color="auto"/>
        <w:left w:val="none" w:sz="0" w:space="0" w:color="auto"/>
        <w:bottom w:val="none" w:sz="0" w:space="0" w:color="auto"/>
        <w:right w:val="none" w:sz="0" w:space="0" w:color="auto"/>
      </w:divBdr>
    </w:div>
    <w:div w:id="451100195">
      <w:bodyDiv w:val="1"/>
      <w:marLeft w:val="0"/>
      <w:marRight w:val="0"/>
      <w:marTop w:val="0"/>
      <w:marBottom w:val="0"/>
      <w:divBdr>
        <w:top w:val="none" w:sz="0" w:space="0" w:color="auto"/>
        <w:left w:val="none" w:sz="0" w:space="0" w:color="auto"/>
        <w:bottom w:val="none" w:sz="0" w:space="0" w:color="auto"/>
        <w:right w:val="none" w:sz="0" w:space="0" w:color="auto"/>
      </w:divBdr>
    </w:div>
    <w:div w:id="545680271">
      <w:bodyDiv w:val="1"/>
      <w:marLeft w:val="0"/>
      <w:marRight w:val="0"/>
      <w:marTop w:val="0"/>
      <w:marBottom w:val="0"/>
      <w:divBdr>
        <w:top w:val="none" w:sz="0" w:space="0" w:color="auto"/>
        <w:left w:val="none" w:sz="0" w:space="0" w:color="auto"/>
        <w:bottom w:val="none" w:sz="0" w:space="0" w:color="auto"/>
        <w:right w:val="none" w:sz="0" w:space="0" w:color="auto"/>
      </w:divBdr>
    </w:div>
    <w:div w:id="622426532">
      <w:bodyDiv w:val="1"/>
      <w:marLeft w:val="0"/>
      <w:marRight w:val="0"/>
      <w:marTop w:val="0"/>
      <w:marBottom w:val="0"/>
      <w:divBdr>
        <w:top w:val="none" w:sz="0" w:space="0" w:color="auto"/>
        <w:left w:val="none" w:sz="0" w:space="0" w:color="auto"/>
        <w:bottom w:val="none" w:sz="0" w:space="0" w:color="auto"/>
        <w:right w:val="none" w:sz="0" w:space="0" w:color="auto"/>
      </w:divBdr>
    </w:div>
    <w:div w:id="806968453">
      <w:bodyDiv w:val="1"/>
      <w:marLeft w:val="0"/>
      <w:marRight w:val="0"/>
      <w:marTop w:val="0"/>
      <w:marBottom w:val="0"/>
      <w:divBdr>
        <w:top w:val="none" w:sz="0" w:space="0" w:color="auto"/>
        <w:left w:val="none" w:sz="0" w:space="0" w:color="auto"/>
        <w:bottom w:val="none" w:sz="0" w:space="0" w:color="auto"/>
        <w:right w:val="none" w:sz="0" w:space="0" w:color="auto"/>
      </w:divBdr>
    </w:div>
    <w:div w:id="818423966">
      <w:bodyDiv w:val="1"/>
      <w:marLeft w:val="0"/>
      <w:marRight w:val="0"/>
      <w:marTop w:val="0"/>
      <w:marBottom w:val="0"/>
      <w:divBdr>
        <w:top w:val="none" w:sz="0" w:space="0" w:color="auto"/>
        <w:left w:val="none" w:sz="0" w:space="0" w:color="auto"/>
        <w:bottom w:val="none" w:sz="0" w:space="0" w:color="auto"/>
        <w:right w:val="none" w:sz="0" w:space="0" w:color="auto"/>
      </w:divBdr>
    </w:div>
    <w:div w:id="996034372">
      <w:bodyDiv w:val="1"/>
      <w:marLeft w:val="0"/>
      <w:marRight w:val="0"/>
      <w:marTop w:val="0"/>
      <w:marBottom w:val="0"/>
      <w:divBdr>
        <w:top w:val="none" w:sz="0" w:space="0" w:color="auto"/>
        <w:left w:val="none" w:sz="0" w:space="0" w:color="auto"/>
        <w:bottom w:val="none" w:sz="0" w:space="0" w:color="auto"/>
        <w:right w:val="none" w:sz="0" w:space="0" w:color="auto"/>
      </w:divBdr>
    </w:div>
    <w:div w:id="1314987890">
      <w:bodyDiv w:val="1"/>
      <w:marLeft w:val="0"/>
      <w:marRight w:val="0"/>
      <w:marTop w:val="0"/>
      <w:marBottom w:val="0"/>
      <w:divBdr>
        <w:top w:val="none" w:sz="0" w:space="0" w:color="auto"/>
        <w:left w:val="none" w:sz="0" w:space="0" w:color="auto"/>
        <w:bottom w:val="none" w:sz="0" w:space="0" w:color="auto"/>
        <w:right w:val="none" w:sz="0" w:space="0" w:color="auto"/>
      </w:divBdr>
    </w:div>
    <w:div w:id="1347291250">
      <w:bodyDiv w:val="1"/>
      <w:marLeft w:val="0"/>
      <w:marRight w:val="0"/>
      <w:marTop w:val="0"/>
      <w:marBottom w:val="0"/>
      <w:divBdr>
        <w:top w:val="none" w:sz="0" w:space="0" w:color="auto"/>
        <w:left w:val="none" w:sz="0" w:space="0" w:color="auto"/>
        <w:bottom w:val="none" w:sz="0" w:space="0" w:color="auto"/>
        <w:right w:val="none" w:sz="0" w:space="0" w:color="auto"/>
      </w:divBdr>
    </w:div>
    <w:div w:id="1526402350">
      <w:bodyDiv w:val="1"/>
      <w:marLeft w:val="0"/>
      <w:marRight w:val="0"/>
      <w:marTop w:val="0"/>
      <w:marBottom w:val="0"/>
      <w:divBdr>
        <w:top w:val="none" w:sz="0" w:space="0" w:color="auto"/>
        <w:left w:val="none" w:sz="0" w:space="0" w:color="auto"/>
        <w:bottom w:val="none" w:sz="0" w:space="0" w:color="auto"/>
        <w:right w:val="none" w:sz="0" w:space="0" w:color="auto"/>
      </w:divBdr>
    </w:div>
    <w:div w:id="1616401211">
      <w:bodyDiv w:val="1"/>
      <w:marLeft w:val="0"/>
      <w:marRight w:val="0"/>
      <w:marTop w:val="0"/>
      <w:marBottom w:val="0"/>
      <w:divBdr>
        <w:top w:val="none" w:sz="0" w:space="0" w:color="auto"/>
        <w:left w:val="none" w:sz="0" w:space="0" w:color="auto"/>
        <w:bottom w:val="none" w:sz="0" w:space="0" w:color="auto"/>
        <w:right w:val="none" w:sz="0" w:space="0" w:color="auto"/>
      </w:divBdr>
    </w:div>
    <w:div w:id="1692804628">
      <w:bodyDiv w:val="1"/>
      <w:marLeft w:val="0"/>
      <w:marRight w:val="0"/>
      <w:marTop w:val="0"/>
      <w:marBottom w:val="0"/>
      <w:divBdr>
        <w:top w:val="none" w:sz="0" w:space="0" w:color="auto"/>
        <w:left w:val="none" w:sz="0" w:space="0" w:color="auto"/>
        <w:bottom w:val="none" w:sz="0" w:space="0" w:color="auto"/>
        <w:right w:val="none" w:sz="0" w:space="0" w:color="auto"/>
      </w:divBdr>
    </w:div>
    <w:div w:id="1793009754">
      <w:bodyDiv w:val="1"/>
      <w:marLeft w:val="0"/>
      <w:marRight w:val="0"/>
      <w:marTop w:val="0"/>
      <w:marBottom w:val="0"/>
      <w:divBdr>
        <w:top w:val="none" w:sz="0" w:space="0" w:color="auto"/>
        <w:left w:val="none" w:sz="0" w:space="0" w:color="auto"/>
        <w:bottom w:val="none" w:sz="0" w:space="0" w:color="auto"/>
        <w:right w:val="none" w:sz="0" w:space="0" w:color="auto"/>
      </w:divBdr>
    </w:div>
    <w:div w:id="20516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ccrm.md/activitatea-curtii-de-conturi-1-25"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ccrm@ccrm.m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ysClr val="window" lastClr="FFFFFF">
            <a:lumMod val="95000"/>
          </a:sysClr>
        </a:solidFill>
        <a:ln>
          <a:noFill/>
        </a:ln>
        <a:effectLst>
          <a:innerShdw blurRad="63500" dist="50800" dir="18900000">
            <a:prstClr val="black">
              <a:alpha val="50000"/>
            </a:prstClr>
          </a:innerShdw>
        </a:effectLst>
        <a:sp3d/>
      </c:spPr>
    </c:floor>
    <c:sideWall>
      <c:thickness val="0"/>
      <c:spPr>
        <a:noFill/>
        <a:ln>
          <a:noFill/>
        </a:ln>
        <a:effectLst>
          <a:outerShdw blurRad="50800" dist="50800" dir="5400000" algn="ctr" rotWithShape="0">
            <a:schemeClr val="accent6">
              <a:lumMod val="75000"/>
            </a:schemeClr>
          </a:outerShdw>
        </a:effectLst>
        <a:sp3d/>
      </c:spPr>
    </c:sideWall>
    <c:backWall>
      <c:thickness val="0"/>
      <c:spPr>
        <a:noFill/>
        <a:ln>
          <a:noFill/>
        </a:ln>
        <a:effectLst>
          <a:outerShdw blurRad="50800" dist="50800" dir="5400000" algn="ctr" rotWithShape="0">
            <a:schemeClr val="accent6">
              <a:lumMod val="75000"/>
            </a:schemeClr>
          </a:outerShdw>
        </a:effectLst>
        <a:sp3d/>
      </c:spPr>
    </c:backWall>
    <c:plotArea>
      <c:layout>
        <c:manualLayout>
          <c:layoutTarget val="inner"/>
          <c:xMode val="edge"/>
          <c:yMode val="edge"/>
          <c:x val="0.23847112860892392"/>
          <c:y val="3.3222591362126248E-2"/>
          <c:w val="0.7308460921551474"/>
          <c:h val="0.82794360007324663"/>
        </c:manualLayout>
      </c:layout>
      <c:bar3DChart>
        <c:barDir val="bar"/>
        <c:grouping val="stacked"/>
        <c:varyColors val="0"/>
        <c:ser>
          <c:idx val="0"/>
          <c:order val="0"/>
          <c:tx>
            <c:strRef>
              <c:f>Sheet1!$B$1</c:f>
              <c:strCache>
                <c:ptCount val="1"/>
                <c:pt idx="0">
                  <c:v>Fondul de rezervă</c:v>
                </c:pt>
              </c:strCache>
            </c:strRef>
          </c:tx>
          <c:spPr>
            <a:solidFill>
              <a:schemeClr val="accent2">
                <a:lumMod val="50000"/>
              </a:schemeClr>
            </a:solidFill>
            <a:ln>
              <a:noFill/>
            </a:ln>
            <a:effectLst>
              <a:outerShdw blurRad="57150" dist="19050" dir="5400000" algn="ctr" rotWithShape="0">
                <a:schemeClr val="accent3">
                  <a:lumMod val="75000"/>
                  <a:alpha val="63000"/>
                </a:schemeClr>
              </a:outerShdw>
            </a:effectLst>
            <a:sp3d/>
          </c:spPr>
          <c:invertIfNegative val="0"/>
          <c:dLbls>
            <c:dLbl>
              <c:idx val="3"/>
              <c:tx>
                <c:rich>
                  <a:bodyPr/>
                  <a:lstStyle/>
                  <a:p>
                    <a:r>
                      <a:rPr lang="en-US"/>
                      <a:t>147,1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E5-473E-8188-3304C067916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spc="0" baseline="0">
                    <a:ln w="0"/>
                    <a:solidFill>
                      <a:schemeClr val="bg1"/>
                    </a:solidFill>
                    <a:effectLst>
                      <a:outerShdw blurRad="38100" dist="19050" dir="2700000" algn="tl" rotWithShape="0">
                        <a:schemeClr val="dk1">
                          <a:alpha val="40000"/>
                        </a:schemeClr>
                      </a:outerShdw>
                    </a:effectLst>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Aprobat prin legea bugetară</c:v>
                </c:pt>
                <c:pt idx="1">
                  <c:v>Precizat prin legea bugetară</c:v>
                </c:pt>
                <c:pt idx="2">
                  <c:v>Repatizat (HG emise)</c:v>
                </c:pt>
                <c:pt idx="3">
                  <c:v>Executat</c:v>
                </c:pt>
              </c:strCache>
            </c:strRef>
          </c:cat>
          <c:val>
            <c:numRef>
              <c:f>Sheet1!$B$2:$B$5</c:f>
              <c:numCache>
                <c:formatCode>0.0</c:formatCode>
                <c:ptCount val="4"/>
                <c:pt idx="0">
                  <c:v>161.5</c:v>
                </c:pt>
                <c:pt idx="1">
                  <c:v>500</c:v>
                </c:pt>
                <c:pt idx="2">
                  <c:v>181.3</c:v>
                </c:pt>
                <c:pt idx="3">
                  <c:v>147.1</c:v>
                </c:pt>
              </c:numCache>
            </c:numRef>
          </c:val>
          <c:extLst>
            <c:ext xmlns:c16="http://schemas.microsoft.com/office/drawing/2014/chart" uri="{C3380CC4-5D6E-409C-BE32-E72D297353CC}">
              <c16:uniqueId val="{00000001-62E5-473E-8188-3304C0679165}"/>
            </c:ext>
          </c:extLst>
        </c:ser>
        <c:ser>
          <c:idx val="1"/>
          <c:order val="1"/>
          <c:tx>
            <c:strRef>
              <c:f>Sheet1!$C$1</c:f>
              <c:strCache>
                <c:ptCount val="1"/>
                <c:pt idx="0">
                  <c:v>Fondul de intervenție</c:v>
                </c:pt>
              </c:strCache>
            </c:strRef>
          </c:tx>
          <c:spPr>
            <a:solidFill>
              <a:schemeClr val="accent2">
                <a:lumMod val="60000"/>
                <a:lumOff val="40000"/>
              </a:schemeClr>
            </a:solidFill>
            <a:ln>
              <a:solidFill>
                <a:schemeClr val="accent2">
                  <a:lumMod val="75000"/>
                </a:schemeClr>
              </a:solidFill>
            </a:ln>
            <a:effectLst>
              <a:outerShdw blurRad="57150" dist="19050" dir="5400000" algn="ctr" rotWithShape="0">
                <a:srgbClr val="000000">
                  <a:alpha val="63000"/>
                </a:srgbClr>
              </a:outerShdw>
            </a:effectLst>
            <a:sp3d>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spc="0" baseline="0">
                    <a:ln w="0"/>
                    <a:solidFill>
                      <a:schemeClr val="tx1"/>
                    </a:solidFill>
                    <a:effectLst>
                      <a:outerShdw blurRad="38100" dist="19050" dir="2700000" algn="tl" rotWithShape="0">
                        <a:schemeClr val="dk1">
                          <a:alpha val="40000"/>
                        </a:schemeClr>
                      </a:outerShdw>
                    </a:effectLst>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Aprobat prin legea bugetară</c:v>
                </c:pt>
                <c:pt idx="1">
                  <c:v>Precizat prin legea bugetară</c:v>
                </c:pt>
                <c:pt idx="2">
                  <c:v>Repatizat (HG emise)</c:v>
                </c:pt>
                <c:pt idx="3">
                  <c:v>Executat</c:v>
                </c:pt>
              </c:strCache>
            </c:strRef>
          </c:cat>
          <c:val>
            <c:numRef>
              <c:f>Sheet1!$C$2:$C$5</c:f>
              <c:numCache>
                <c:formatCode>0.0</c:formatCode>
                <c:ptCount val="4"/>
                <c:pt idx="0">
                  <c:v>116.3</c:v>
                </c:pt>
                <c:pt idx="1">
                  <c:v>323</c:v>
                </c:pt>
                <c:pt idx="2">
                  <c:v>199.8</c:v>
                </c:pt>
                <c:pt idx="3">
                  <c:v>196</c:v>
                </c:pt>
              </c:numCache>
            </c:numRef>
          </c:val>
          <c:extLst>
            <c:ext xmlns:c16="http://schemas.microsoft.com/office/drawing/2014/chart" uri="{C3380CC4-5D6E-409C-BE32-E72D297353CC}">
              <c16:uniqueId val="{00000002-62E5-473E-8188-3304C0679165}"/>
            </c:ext>
          </c:extLst>
        </c:ser>
        <c:dLbls>
          <c:showLegendKey val="0"/>
          <c:showVal val="1"/>
          <c:showCatName val="0"/>
          <c:showSerName val="0"/>
          <c:showPercent val="0"/>
          <c:showBubbleSize val="0"/>
        </c:dLbls>
        <c:gapWidth val="150"/>
        <c:shape val="cylinder"/>
        <c:axId val="242257135"/>
        <c:axId val="242261295"/>
        <c:axId val="0"/>
      </c:bar3DChart>
      <c:catAx>
        <c:axId val="24225713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en-US"/>
          </a:p>
        </c:txPr>
        <c:crossAx val="242261295"/>
        <c:crosses val="autoZero"/>
        <c:auto val="1"/>
        <c:lblAlgn val="ctr"/>
        <c:lblOffset val="100"/>
        <c:noMultiLvlLbl val="0"/>
      </c:catAx>
      <c:valAx>
        <c:axId val="242261295"/>
        <c:scaling>
          <c:orientation val="minMax"/>
        </c:scaling>
        <c:delete val="1"/>
        <c:axPos val="b"/>
        <c:majorGridlines>
          <c:spPr>
            <a:ln w="9525" cap="flat" cmpd="sng" algn="ctr">
              <a:solidFill>
                <a:schemeClr val="tx1">
                  <a:lumMod val="15000"/>
                  <a:lumOff val="85000"/>
                </a:schemeClr>
              </a:solidFill>
              <a:round/>
            </a:ln>
            <a:effectLst>
              <a:outerShdw blurRad="50800" dist="50800" dir="5400000" algn="ctr" rotWithShape="0">
                <a:srgbClr val="FF0000"/>
              </a:outerShdw>
            </a:effectLst>
          </c:spPr>
        </c:majorGridlines>
        <c:numFmt formatCode="0.0" sourceLinked="1"/>
        <c:majorTickMark val="none"/>
        <c:minorTickMark val="none"/>
        <c:tickLblPos val="nextTo"/>
        <c:crossAx val="242257135"/>
        <c:crosses val="autoZero"/>
        <c:crossBetween val="between"/>
      </c:valAx>
      <c:spPr>
        <a:solidFill>
          <a:srgbClr val="A5A5A5">
            <a:lumMod val="20000"/>
            <a:lumOff val="80000"/>
          </a:srgbClr>
        </a:solidFill>
        <a:ln>
          <a:solidFill>
            <a:srgbClr val="ED7D31">
              <a:lumMod val="75000"/>
            </a:srgbClr>
          </a:solid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j-lt"/>
              <a:ea typeface="+mn-ea"/>
              <a:cs typeface="+mn-cs"/>
            </a:defRPr>
          </a:pPr>
          <a:endParaRPr lang="en-US"/>
        </a:p>
      </c:txPr>
    </c:legend>
    <c:plotVisOnly val="1"/>
    <c:dispBlanksAs val="gap"/>
    <c:showDLblsOverMax val="0"/>
  </c:chart>
  <c:spPr>
    <a:pattFill prst="pct60">
      <a:fgClr>
        <a:srgbClr val="ED7D31">
          <a:lumMod val="20000"/>
          <a:lumOff val="80000"/>
        </a:srgbClr>
      </a:fgClr>
      <a:bgClr>
        <a:sysClr val="window" lastClr="FFFFFF"/>
      </a:bgClr>
    </a:patt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o-RO" sz="800" b="1">
                <a:solidFill>
                  <a:schemeClr val="tx1"/>
                </a:solidFill>
              </a:rPr>
              <a:t>Veniturile BASS 201</a:t>
            </a:r>
            <a:r>
              <a:rPr lang="en-US" sz="800" b="1">
                <a:solidFill>
                  <a:schemeClr val="tx1"/>
                </a:solidFill>
              </a:rPr>
              <a:t>9</a:t>
            </a:r>
            <a:r>
              <a:rPr lang="ro-RO" sz="800" b="1">
                <a:solidFill>
                  <a:schemeClr val="tx1"/>
                </a:solidFill>
              </a:rPr>
              <a:t>-20</a:t>
            </a:r>
            <a:r>
              <a:rPr lang="en-US" sz="800" b="1">
                <a:solidFill>
                  <a:schemeClr val="tx1"/>
                </a:solidFill>
              </a:rPr>
              <a:t>21</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6.9952305246422888E-2"/>
          <c:y val="0.21584510058070153"/>
          <c:w val="0.86009538950715425"/>
          <c:h val="0.51622309901617625"/>
        </c:manualLayout>
      </c:layout>
      <c:barChart>
        <c:barDir val="col"/>
        <c:grouping val="clustered"/>
        <c:varyColors val="0"/>
        <c:ser>
          <c:idx val="0"/>
          <c:order val="0"/>
          <c:tx>
            <c:strRef>
              <c:f>Sheet1!$B$1</c:f>
              <c:strCache>
                <c:ptCount val="1"/>
                <c:pt idx="0">
                  <c:v>venituri proprii</c:v>
                </c:pt>
              </c:strCache>
            </c:strRef>
          </c:tx>
          <c:spPr>
            <a:solidFill>
              <a:srgbClr val="70AD47">
                <a:lumMod val="60000"/>
                <a:lumOff val="40000"/>
              </a:srgbClr>
            </a:solidFill>
            <a:ln>
              <a:noFill/>
            </a:ln>
            <a:effectLst>
              <a:outerShdw blurRad="63500" dist="50800" dir="13200000" sx="1000" sy="1000" algn="ctr" rotWithShape="0">
                <a:srgbClr val="000000">
                  <a:alpha val="20000"/>
                </a:srgbClr>
              </a:outerShdw>
            </a:effectLst>
            <a:scene3d>
              <a:camera prst="orthographicFront"/>
              <a:lightRig rig="threePt" dir="t"/>
            </a:scene3d>
            <a:sp3d>
              <a:bevelT/>
            </a:sp3d>
          </c:spPr>
          <c:invertIfNegative val="0"/>
          <c:dLbls>
            <c:dLbl>
              <c:idx val="0"/>
              <c:layout>
                <c:manualLayout>
                  <c:x val="1.9077901430842606E-2"/>
                  <c:y val="2.1754894851341518E-2"/>
                </c:manualLayout>
              </c:layout>
              <c:showLegendKey val="0"/>
              <c:showVal val="1"/>
              <c:showCatName val="0"/>
              <c:showSerName val="0"/>
              <c:showPercent val="0"/>
              <c:showBubbleSize val="0"/>
              <c:extLst>
                <c:ext xmlns:c15="http://schemas.microsoft.com/office/drawing/2012/chart" uri="{CE6537A1-D6FC-4f65-9D91-7224C49458BB}">
                  <c15:layout>
                    <c:manualLayout>
                      <c:w val="0.2192391372382109"/>
                      <c:h val="0.13985885013104329"/>
                    </c:manualLayout>
                  </c15:layout>
                </c:ext>
                <c:ext xmlns:c16="http://schemas.microsoft.com/office/drawing/2014/chart" uri="{C3380CC4-5D6E-409C-BE32-E72D297353CC}">
                  <c16:uniqueId val="{00000000-19D5-472A-AC9A-05B00954EA5E}"/>
                </c:ext>
              </c:extLst>
            </c:dLbl>
            <c:dLbl>
              <c:idx val="1"/>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0" rIns="0" bIns="19050" anchor="ctr" anchorCtr="1">
                  <a:spAutoFit/>
                </a:bodyPr>
                <a:lstStyle/>
                <a:p>
                  <a:pPr>
                    <a:defRPr sz="7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19D5-472A-AC9A-05B00954EA5E}"/>
                </c:ext>
              </c:extLst>
            </c:dLbl>
            <c:dLbl>
              <c:idx val="2"/>
              <c:layout>
                <c:manualLayout>
                  <c:x val="1.9077901430842491E-2"/>
                  <c:y val="2.1754894851341553E-2"/>
                </c:manualLayout>
              </c:layout>
              <c:showLegendKey val="0"/>
              <c:showVal val="1"/>
              <c:showCatName val="0"/>
              <c:showSerName val="0"/>
              <c:showPercent val="0"/>
              <c:showBubbleSize val="0"/>
              <c:extLst>
                <c:ext xmlns:c15="http://schemas.microsoft.com/office/drawing/2012/chart" uri="{CE6537A1-D6FC-4f65-9D91-7224C49458BB}">
                  <c15:layout>
                    <c:manualLayout>
                      <c:w val="0.23831703866905349"/>
                      <c:h val="0.13985885013104329"/>
                    </c:manualLayout>
                  </c15:layout>
                </c:ext>
                <c:ext xmlns:c16="http://schemas.microsoft.com/office/drawing/2014/chart" uri="{C3380CC4-5D6E-409C-BE32-E72D297353CC}">
                  <c16:uniqueId val="{00000002-19D5-472A-AC9A-05B00954EA5E}"/>
                </c:ext>
              </c:extLst>
            </c:dLbl>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19050" rIns="91440" bIns="19050" anchor="ctr" anchorCtr="1">
                <a:spAutoFit/>
              </a:bodyPr>
              <a:lstStyle/>
              <a:p>
                <a:pPr>
                  <a:defRPr sz="7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prstDash val="solid"/>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#,##0.0</c:formatCode>
                <c:ptCount val="3"/>
                <c:pt idx="0">
                  <c:v>13791.3</c:v>
                </c:pt>
                <c:pt idx="1">
                  <c:v>14516.2</c:v>
                </c:pt>
                <c:pt idx="2">
                  <c:v>16522.099999999999</c:v>
                </c:pt>
              </c:numCache>
            </c:numRef>
          </c:val>
          <c:extLst>
            <c:ext xmlns:c16="http://schemas.microsoft.com/office/drawing/2014/chart" uri="{C3380CC4-5D6E-409C-BE32-E72D297353CC}">
              <c16:uniqueId val="{00000003-19D5-472A-AC9A-05B00954EA5E}"/>
            </c:ext>
          </c:extLst>
        </c:ser>
        <c:ser>
          <c:idx val="1"/>
          <c:order val="1"/>
          <c:tx>
            <c:strRef>
              <c:f>Sheet1!$C$1</c:f>
              <c:strCache>
                <c:ptCount val="1"/>
                <c:pt idx="0">
                  <c:v>transferuri</c:v>
                </c:pt>
              </c:strCache>
            </c:strRef>
          </c:tx>
          <c:spPr>
            <a:solidFill>
              <a:schemeClr val="accent5"/>
            </a:solidFill>
            <a:ln>
              <a:noFill/>
            </a:ln>
            <a:effectLst>
              <a:innerShdw blurRad="63500" dist="50800" dir="13500000">
                <a:prstClr val="black">
                  <a:alpha val="0"/>
                </a:prstClr>
              </a:innerShdw>
              <a:softEdge rad="12700"/>
            </a:effectLst>
            <a:scene3d>
              <a:camera prst="orthographicFront"/>
              <a:lightRig rig="threePt" dir="t"/>
            </a:scene3d>
            <a:sp3d>
              <a:bevelT/>
            </a:sp3d>
          </c:spPr>
          <c:invertIfNegative val="0"/>
          <c:dLbls>
            <c:dLbl>
              <c:idx val="0"/>
              <c:layout>
                <c:manualLayout>
                  <c:x val="1.90779014308425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D5-472A-AC9A-05B00954EA5E}"/>
                </c:ext>
              </c:extLst>
            </c:dLbl>
            <c:dLbl>
              <c:idx val="1"/>
              <c:layout>
                <c:manualLayout>
                  <c:x val="1.9077901430842606E-2"/>
                  <c:y val="-6.64725219272980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D5-472A-AC9A-05B00954EA5E}"/>
                </c:ext>
              </c:extLst>
            </c:dLbl>
            <c:dLbl>
              <c:idx val="2"/>
              <c:layout>
                <c:manualLayout>
                  <c:x val="2.5437201907790145E-2"/>
                  <c:y val="-6.64725219272980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D5-472A-AC9A-05B00954EA5E}"/>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#,##0.0</c:formatCode>
                <c:ptCount val="3"/>
                <c:pt idx="0">
                  <c:v>7957</c:v>
                </c:pt>
                <c:pt idx="1">
                  <c:v>9769.4</c:v>
                </c:pt>
                <c:pt idx="2">
                  <c:v>10724.7</c:v>
                </c:pt>
              </c:numCache>
            </c:numRef>
          </c:val>
          <c:extLst>
            <c:ext xmlns:c16="http://schemas.microsoft.com/office/drawing/2014/chart" uri="{C3380CC4-5D6E-409C-BE32-E72D297353CC}">
              <c16:uniqueId val="{00000007-19D5-472A-AC9A-05B00954EA5E}"/>
            </c:ext>
          </c:extLst>
        </c:ser>
        <c:dLbls>
          <c:showLegendKey val="0"/>
          <c:showVal val="1"/>
          <c:showCatName val="0"/>
          <c:showSerName val="0"/>
          <c:showPercent val="0"/>
          <c:showBubbleSize val="0"/>
        </c:dLbls>
        <c:gapWidth val="43"/>
        <c:axId val="402479432"/>
        <c:axId val="193200496"/>
      </c:barChart>
      <c:catAx>
        <c:axId val="402479432"/>
        <c:scaling>
          <c:orientation val="minMax"/>
        </c:scaling>
        <c:delete val="0"/>
        <c:axPos val="b"/>
        <c:numFmt formatCode="General"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crossAx val="193200496"/>
        <c:crosses val="autoZero"/>
        <c:auto val="1"/>
        <c:lblAlgn val="ctr"/>
        <c:lblOffset val="100"/>
        <c:noMultiLvlLbl val="0"/>
      </c:catAx>
      <c:valAx>
        <c:axId val="193200496"/>
        <c:scaling>
          <c:orientation val="minMax"/>
          <c:max val="18000"/>
          <c:min val="0"/>
        </c:scaling>
        <c:delete val="1"/>
        <c:axPos val="l"/>
        <c:majorGridlines>
          <c:spPr>
            <a:ln w="6350" cap="flat" cmpd="sng" algn="ctr">
              <a:solidFill>
                <a:schemeClr val="bg1"/>
              </a:solidFill>
              <a:prstDash val="sysDot"/>
              <a:round/>
            </a:ln>
            <a:effectLst/>
          </c:spPr>
        </c:majorGridlines>
        <c:numFmt formatCode="#,##0.0" sourceLinked="1"/>
        <c:majorTickMark val="out"/>
        <c:minorTickMark val="none"/>
        <c:tickLblPos val="nextTo"/>
        <c:crossAx val="402479432"/>
        <c:crosses val="autoZero"/>
        <c:crossBetween val="between"/>
        <c:majorUnit val="15000"/>
        <c:minorUnit val="5000"/>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prstDash val="solid"/>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o-RO" sz="800" b="1">
                <a:solidFill>
                  <a:schemeClr val="tx1"/>
                </a:solidFill>
              </a:rPr>
              <a:t>Veniturile FAOAM 20</a:t>
            </a:r>
            <a:r>
              <a:rPr lang="en-US" sz="800" b="1">
                <a:solidFill>
                  <a:schemeClr val="tx1"/>
                </a:solidFill>
              </a:rPr>
              <a:t>19</a:t>
            </a:r>
            <a:r>
              <a:rPr lang="ro-RO" sz="800" b="1">
                <a:solidFill>
                  <a:schemeClr val="tx1"/>
                </a:solidFill>
              </a:rPr>
              <a:t>-20</a:t>
            </a:r>
            <a:r>
              <a:rPr lang="en-US" sz="800" b="1">
                <a:solidFill>
                  <a:schemeClr val="tx1"/>
                </a:solidFill>
              </a:rPr>
              <a:t>21</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8.7791298814920884E-2"/>
          <c:y val="0.21584510058070153"/>
          <c:w val="0.88641904610408551"/>
          <c:h val="0.51976440762163612"/>
        </c:manualLayout>
      </c:layout>
      <c:barChart>
        <c:barDir val="col"/>
        <c:grouping val="clustered"/>
        <c:varyColors val="0"/>
        <c:ser>
          <c:idx val="0"/>
          <c:order val="0"/>
          <c:tx>
            <c:strRef>
              <c:f>Sheet1!$B$1</c:f>
              <c:strCache>
                <c:ptCount val="1"/>
                <c:pt idx="0">
                  <c:v>venituri proprii</c:v>
                </c:pt>
              </c:strCache>
            </c:strRef>
          </c:tx>
          <c:spPr>
            <a:solidFill>
              <a:srgbClr val="70AD47">
                <a:lumMod val="60000"/>
                <a:lumOff val="40000"/>
              </a:srgbClr>
            </a:solidFill>
            <a:ln>
              <a:noFill/>
            </a:ln>
            <a:effectLst>
              <a:innerShdw blurRad="63500" dist="50800" dir="135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0" tIns="0" rIns="0" bIns="457200" anchor="ctr" anchorCtr="1">
                  <a:no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58CF-43B8-859F-B973A7FCE036}"/>
                </c:ext>
              </c:extLst>
            </c:dLbl>
            <c:dLbl>
              <c:idx val="1"/>
              <c:layout>
                <c:manualLayout>
                  <c:x val="0"/>
                  <c:y val="-1.4503263234227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CF-43B8-859F-B973A7FCE036}"/>
                </c:ext>
              </c:extLst>
            </c:dLbl>
            <c:dLbl>
              <c:idx val="2"/>
              <c:layout>
                <c:manualLayout>
                  <c:x val="-2.0202020202020204E-2"/>
                  <c:y val="-2.1754894851341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CF-43B8-859F-B973A7FCE036}"/>
                </c:ext>
              </c:extLst>
            </c:dLbl>
            <c:spPr>
              <a:noFill/>
              <a:ln>
                <a:noFill/>
              </a:ln>
              <a:effectLst/>
            </c:spPr>
            <c:txPr>
              <a:bodyPr rot="0" spcFirstLastPara="1" vertOverflow="ellipsis" vert="horz" wrap="square" lIns="0" tIns="0" rIns="0" bIns="45720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prstDash val="solid"/>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#,##0.0</c:formatCode>
                <c:ptCount val="3"/>
                <c:pt idx="0">
                  <c:v>4822.7</c:v>
                </c:pt>
                <c:pt idx="1">
                  <c:v>5008.8</c:v>
                </c:pt>
                <c:pt idx="2">
                  <c:v>5705</c:v>
                </c:pt>
              </c:numCache>
            </c:numRef>
          </c:val>
          <c:extLst>
            <c:ext xmlns:c16="http://schemas.microsoft.com/office/drawing/2014/chart" uri="{C3380CC4-5D6E-409C-BE32-E72D297353CC}">
              <c16:uniqueId val="{00000003-58CF-43B8-859F-B973A7FCE036}"/>
            </c:ext>
          </c:extLst>
        </c:ser>
        <c:ser>
          <c:idx val="1"/>
          <c:order val="1"/>
          <c:tx>
            <c:strRef>
              <c:f>Sheet1!$C$1</c:f>
              <c:strCache>
                <c:ptCount val="1"/>
                <c:pt idx="0">
                  <c:v>transferuri</c:v>
                </c:pt>
              </c:strCache>
            </c:strRef>
          </c:tx>
          <c:spPr>
            <a:solidFill>
              <a:schemeClr val="accent5"/>
            </a:solidFill>
            <a:ln>
              <a:noFill/>
            </a:ln>
            <a:effectLst>
              <a:innerShdw blurRad="63500" dist="50800" dir="13500000">
                <a:prstClr val="black">
                  <a:alpha val="0"/>
                </a:prstClr>
              </a:innerShdw>
            </a:effectLst>
            <a:scene3d>
              <a:camera prst="orthographicFront"/>
              <a:lightRig rig="threePt" dir="t"/>
            </a:scene3d>
            <a:sp3d>
              <a:bevelT/>
            </a:sp3d>
          </c:spPr>
          <c:invertIfNegative val="0"/>
          <c:dLbls>
            <c:dLbl>
              <c:idx val="0"/>
              <c:layout>
                <c:manualLayout>
                  <c:x val="1.3468013468013467E-2"/>
                  <c:y val="2.1754894851341553E-2"/>
                </c:manualLayout>
              </c:layout>
              <c:spPr>
                <a:noFill/>
                <a:ln>
                  <a:noFill/>
                </a:ln>
                <a:effectLst/>
              </c:spPr>
              <c:txPr>
                <a:bodyPr rot="0" spcFirstLastPara="1" vertOverflow="ellipsis" vert="horz" wrap="square" lIns="38100" tIns="19050" rIns="0" bIns="19050" anchor="ctr" anchorCtr="1">
                  <a:no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58CF-43B8-859F-B973A7FCE036}"/>
                </c:ext>
              </c:extLst>
            </c:dLbl>
            <c:dLbl>
              <c:idx val="1"/>
              <c:layout>
                <c:manualLayout>
                  <c:x val="7.8803785890398832E-3"/>
                  <c:y val="2.1754894851341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CF-43B8-859F-B973A7FCE036}"/>
                </c:ext>
              </c:extLst>
            </c:dLbl>
            <c:dLbl>
              <c:idx val="2"/>
              <c:layout>
                <c:manualLayout>
                  <c:x val="1.3468013468013344E-2"/>
                  <c:y val="1.4503263234227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CF-43B8-859F-B973A7FCE036}"/>
                </c:ext>
              </c:extLst>
            </c:dLbl>
            <c:spPr>
              <a:noFill/>
              <a:ln>
                <a:noFill/>
              </a:ln>
              <a:effectLst/>
            </c:spPr>
            <c:txPr>
              <a:bodyPr rot="0" spcFirstLastPara="1" vertOverflow="ellipsis" vert="horz" wrap="square" lIns="38100" tIns="19050" rIns="0" bIns="1905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prstDash val="solid"/>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#,##0.0</c:formatCode>
                <c:ptCount val="3"/>
                <c:pt idx="0">
                  <c:v>2813.6</c:v>
                </c:pt>
                <c:pt idx="1">
                  <c:v>3533.7</c:v>
                </c:pt>
                <c:pt idx="2">
                  <c:v>5835</c:v>
                </c:pt>
              </c:numCache>
            </c:numRef>
          </c:val>
          <c:extLst>
            <c:ext xmlns:c16="http://schemas.microsoft.com/office/drawing/2014/chart" uri="{C3380CC4-5D6E-409C-BE32-E72D297353CC}">
              <c16:uniqueId val="{00000007-58CF-43B8-859F-B973A7FCE036}"/>
            </c:ext>
          </c:extLst>
        </c:ser>
        <c:dLbls>
          <c:showLegendKey val="0"/>
          <c:showVal val="1"/>
          <c:showCatName val="0"/>
          <c:showSerName val="0"/>
          <c:showPercent val="0"/>
          <c:showBubbleSize val="0"/>
        </c:dLbls>
        <c:gapWidth val="47"/>
        <c:axId val="406238192"/>
        <c:axId val="406238584"/>
      </c:barChart>
      <c:catAx>
        <c:axId val="406238192"/>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crossAx val="406238584"/>
        <c:crosses val="autoZero"/>
        <c:auto val="1"/>
        <c:lblAlgn val="ctr"/>
        <c:lblOffset val="100"/>
        <c:noMultiLvlLbl val="0"/>
      </c:catAx>
      <c:valAx>
        <c:axId val="406238584"/>
        <c:scaling>
          <c:orientation val="minMax"/>
          <c:max val="15000"/>
        </c:scaling>
        <c:delete val="1"/>
        <c:axPos val="l"/>
        <c:majorGridlines>
          <c:spPr>
            <a:ln w="6350" cap="flat" cmpd="sng" algn="ctr">
              <a:solidFill>
                <a:schemeClr val="bg2">
                  <a:lumMod val="75000"/>
                </a:schemeClr>
              </a:solidFill>
              <a:prstDash val="sysDot"/>
              <a:round/>
            </a:ln>
            <a:effectLst/>
          </c:spPr>
        </c:majorGridlines>
        <c:numFmt formatCode="#,##0.0" sourceLinked="1"/>
        <c:majorTickMark val="none"/>
        <c:minorTickMark val="none"/>
        <c:tickLblPos val="nextTo"/>
        <c:crossAx val="406238192"/>
        <c:crosses val="autoZero"/>
        <c:crossBetween val="between"/>
        <c:majorUnit val="15000"/>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prstDash val="solid"/>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o-RO" sz="800" b="1">
                <a:solidFill>
                  <a:schemeClr val="tx1"/>
                </a:solidFill>
              </a:rPr>
              <a:t>Veniturile BUAT 20</a:t>
            </a:r>
            <a:r>
              <a:rPr lang="en-US" sz="800" b="1">
                <a:solidFill>
                  <a:schemeClr val="tx1"/>
                </a:solidFill>
              </a:rPr>
              <a:t>19</a:t>
            </a:r>
            <a:r>
              <a:rPr lang="ro-RO" sz="800" b="1">
                <a:solidFill>
                  <a:schemeClr val="tx1"/>
                </a:solidFill>
              </a:rPr>
              <a:t>-20</a:t>
            </a:r>
            <a:r>
              <a:rPr lang="en-US" sz="800" b="1">
                <a:solidFill>
                  <a:schemeClr val="tx1"/>
                </a:solidFill>
              </a:rPr>
              <a:t>21</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6.8857589984350542E-2"/>
          <c:y val="0.22309673219781537"/>
          <c:w val="0.86228482003129892"/>
          <c:h val="0.5089714673990624"/>
        </c:manualLayout>
      </c:layout>
      <c:barChart>
        <c:barDir val="col"/>
        <c:grouping val="clustered"/>
        <c:varyColors val="0"/>
        <c:ser>
          <c:idx val="0"/>
          <c:order val="0"/>
          <c:tx>
            <c:strRef>
              <c:f>Sheet1!$B$1</c:f>
              <c:strCache>
                <c:ptCount val="1"/>
                <c:pt idx="0">
                  <c:v>venituri proprii</c:v>
                </c:pt>
              </c:strCache>
            </c:strRef>
          </c:tx>
          <c:spPr>
            <a:solidFill>
              <a:srgbClr val="70AD47">
                <a:lumMod val="60000"/>
                <a:lumOff val="40000"/>
              </a:srgbClr>
            </a:solidFill>
            <a:ln>
              <a:noFill/>
            </a:ln>
            <a:effectLst>
              <a:innerShdw blurRad="63500" dist="50800" dir="12900000">
                <a:prstClr val="black">
                  <a:alpha val="0"/>
                </a:prstClr>
              </a:innerShdw>
            </a:effectLst>
            <a:scene3d>
              <a:camera prst="orthographicFront"/>
              <a:lightRig rig="threePt" dir="t"/>
            </a:scene3d>
            <a:sp3d>
              <a:bevelT/>
            </a:sp3d>
          </c:spPr>
          <c:invertIfNegative val="0"/>
          <c:dLbls>
            <c:dLbl>
              <c:idx val="0"/>
              <c:layout>
                <c:manualLayout>
                  <c:x val="-2.5039123630672934E-2"/>
                  <c:y val="0"/>
                </c:manualLayout>
              </c:layout>
              <c:spPr>
                <a:noFill/>
                <a:ln>
                  <a:noFill/>
                </a:ln>
                <a:effectLst/>
              </c:spPr>
              <c:txPr>
                <a:bodyPr rot="0" spcFirstLastPara="1" vertOverflow="ellipsis" vert="horz" wrap="square" lIns="38100" tIns="0" rIns="38100" bIns="0" anchor="ctr" anchorCtr="1">
                  <a:no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A45D-4274-8805-A1CF814260CE}"/>
                </c:ext>
              </c:extLst>
            </c:dLbl>
            <c:dLbl>
              <c:idx val="1"/>
              <c:layout>
                <c:manualLayout>
                  <c:x val="-1.8779342723004695E-2"/>
                  <c:y val="-6.64725219272980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5D-4274-8805-A1CF814260CE}"/>
                </c:ext>
              </c:extLst>
            </c:dLbl>
            <c:dLbl>
              <c:idx val="2"/>
              <c:layout>
                <c:manualLayout>
                  <c:x val="-1.2519561815336464E-2"/>
                  <c:y val="7.2516316171138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5D-4274-8805-A1CF814260CE}"/>
                </c:ext>
              </c:extLst>
            </c:dLbl>
            <c:spPr>
              <a:noFill/>
              <a:ln>
                <a:noFill/>
              </a:ln>
              <a:effectLst/>
            </c:spPr>
            <c:txPr>
              <a:bodyPr rot="0" spcFirstLastPara="1" vertOverflow="ellipsis" vert="horz" wrap="square" lIns="38100" tIns="0" rIns="38100" bIns="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prstDash val="solid"/>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#,##0.0</c:formatCode>
                <c:ptCount val="3"/>
                <c:pt idx="0">
                  <c:v>4396.2</c:v>
                </c:pt>
                <c:pt idx="1">
                  <c:v>4646.3999999999996</c:v>
                </c:pt>
                <c:pt idx="2">
                  <c:v>5778</c:v>
                </c:pt>
              </c:numCache>
            </c:numRef>
          </c:val>
          <c:extLst>
            <c:ext xmlns:c16="http://schemas.microsoft.com/office/drawing/2014/chart" uri="{C3380CC4-5D6E-409C-BE32-E72D297353CC}">
              <c16:uniqueId val="{00000003-A45D-4274-8805-A1CF814260CE}"/>
            </c:ext>
          </c:extLst>
        </c:ser>
        <c:ser>
          <c:idx val="1"/>
          <c:order val="1"/>
          <c:tx>
            <c:strRef>
              <c:f>Sheet1!$C$1</c:f>
              <c:strCache>
                <c:ptCount val="1"/>
                <c:pt idx="0">
                  <c:v>transferuri</c:v>
                </c:pt>
              </c:strCache>
            </c:strRef>
          </c:tx>
          <c:spPr>
            <a:solidFill>
              <a:schemeClr val="accent5"/>
            </a:solidFill>
            <a:ln>
              <a:noFill/>
            </a:ln>
            <a:effectLst>
              <a:innerShdw blurRad="63500" dist="50800" dir="13500000">
                <a:prstClr val="black">
                  <a:alpha val="0"/>
                </a:prstClr>
              </a:innerShdw>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#,##0.0</c:formatCode>
                <c:ptCount val="3"/>
                <c:pt idx="0">
                  <c:v>12328.2</c:v>
                </c:pt>
                <c:pt idx="1">
                  <c:v>13617.9</c:v>
                </c:pt>
                <c:pt idx="2">
                  <c:v>14609.1</c:v>
                </c:pt>
              </c:numCache>
            </c:numRef>
          </c:val>
          <c:extLst>
            <c:ext xmlns:c16="http://schemas.microsoft.com/office/drawing/2014/chart" uri="{C3380CC4-5D6E-409C-BE32-E72D297353CC}">
              <c16:uniqueId val="{00000004-A45D-4274-8805-A1CF814260CE}"/>
            </c:ext>
          </c:extLst>
        </c:ser>
        <c:dLbls>
          <c:showLegendKey val="0"/>
          <c:showVal val="1"/>
          <c:showCatName val="0"/>
          <c:showSerName val="0"/>
          <c:showPercent val="0"/>
          <c:showBubbleSize val="0"/>
        </c:dLbls>
        <c:gapWidth val="46"/>
        <c:axId val="406239368"/>
        <c:axId val="406239760"/>
      </c:barChart>
      <c:catAx>
        <c:axId val="406239368"/>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crossAx val="406239760"/>
        <c:crosses val="autoZero"/>
        <c:auto val="1"/>
        <c:lblAlgn val="ctr"/>
        <c:lblOffset val="100"/>
        <c:noMultiLvlLbl val="0"/>
      </c:catAx>
      <c:valAx>
        <c:axId val="406239760"/>
        <c:scaling>
          <c:orientation val="minMax"/>
          <c:max val="15000"/>
        </c:scaling>
        <c:delete val="1"/>
        <c:axPos val="l"/>
        <c:majorGridlines>
          <c:spPr>
            <a:ln w="6350" cap="flat" cmpd="sng" algn="ctr">
              <a:solidFill>
                <a:schemeClr val="bg2">
                  <a:lumMod val="75000"/>
                </a:schemeClr>
              </a:solidFill>
              <a:prstDash val="sysDot"/>
              <a:round/>
            </a:ln>
            <a:effectLst/>
          </c:spPr>
        </c:majorGridlines>
        <c:numFmt formatCode="#,##0.0" sourceLinked="1"/>
        <c:majorTickMark val="none"/>
        <c:minorTickMark val="none"/>
        <c:tickLblPos val="nextTo"/>
        <c:crossAx val="406239368"/>
        <c:crosses val="autoZero"/>
        <c:crossBetween val="between"/>
        <c:majorUnit val="15000"/>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prstDash val="solid"/>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935586176727914E-2"/>
          <c:y val="0.13442507186601674"/>
          <c:w val="0.89360145086030918"/>
          <c:h val="0.78939132608423945"/>
        </c:manualLayout>
      </c:layout>
      <c:barChart>
        <c:barDir val="col"/>
        <c:grouping val="stacked"/>
        <c:varyColors val="0"/>
        <c:ser>
          <c:idx val="0"/>
          <c:order val="0"/>
          <c:tx>
            <c:strRef>
              <c:f>Sheet1!$B$1</c:f>
              <c:strCache>
                <c:ptCount val="1"/>
                <c:pt idx="0">
                  <c:v>Executorii de buget</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2019</c:v>
                </c:pt>
                <c:pt idx="1">
                  <c:v>2020</c:v>
                </c:pt>
                <c:pt idx="2">
                  <c:v>2021</c:v>
                </c:pt>
              </c:numCache>
            </c:numRef>
          </c:cat>
          <c:val>
            <c:numRef>
              <c:f>Sheet1!$B$2:$B$4</c:f>
              <c:numCache>
                <c:formatCode>0.0</c:formatCode>
                <c:ptCount val="3"/>
                <c:pt idx="0">
                  <c:v>14.8</c:v>
                </c:pt>
                <c:pt idx="1">
                  <c:v>6.7</c:v>
                </c:pt>
                <c:pt idx="2">
                  <c:v>83</c:v>
                </c:pt>
              </c:numCache>
            </c:numRef>
          </c:val>
          <c:extLst>
            <c:ext xmlns:c16="http://schemas.microsoft.com/office/drawing/2014/chart" uri="{C3380CC4-5D6E-409C-BE32-E72D297353CC}">
              <c16:uniqueId val="{00000000-AA96-4D65-B789-646C8F4705CB}"/>
            </c:ext>
          </c:extLst>
        </c:ser>
        <c:ser>
          <c:idx val="1"/>
          <c:order val="1"/>
          <c:tx>
            <c:strRef>
              <c:f>Sheet1!$C$1</c:f>
              <c:strCache>
                <c:ptCount val="1"/>
                <c:pt idx="0">
                  <c:v>Ministerul Finanțelor</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2019</c:v>
                </c:pt>
                <c:pt idx="1">
                  <c:v>2020</c:v>
                </c:pt>
                <c:pt idx="2">
                  <c:v>2021</c:v>
                </c:pt>
              </c:numCache>
            </c:numRef>
          </c:cat>
          <c:val>
            <c:numRef>
              <c:f>Sheet1!$C$2:$C$4</c:f>
              <c:numCache>
                <c:formatCode>0.0</c:formatCode>
                <c:ptCount val="3"/>
                <c:pt idx="0">
                  <c:v>18.600000000000001</c:v>
                </c:pt>
                <c:pt idx="1">
                  <c:v>51.5</c:v>
                </c:pt>
                <c:pt idx="2">
                  <c:v>106.2</c:v>
                </c:pt>
              </c:numCache>
            </c:numRef>
          </c:val>
          <c:extLst>
            <c:ext xmlns:c16="http://schemas.microsoft.com/office/drawing/2014/chart" uri="{C3380CC4-5D6E-409C-BE32-E72D297353CC}">
              <c16:uniqueId val="{00000001-AA96-4D65-B789-646C8F4705CB}"/>
            </c:ext>
          </c:extLst>
        </c:ser>
        <c:dLbls>
          <c:showLegendKey val="0"/>
          <c:showVal val="0"/>
          <c:showCatName val="0"/>
          <c:showSerName val="0"/>
          <c:showPercent val="0"/>
          <c:showBubbleSize val="0"/>
        </c:dLbls>
        <c:gapWidth val="150"/>
        <c:overlap val="100"/>
        <c:axId val="277177424"/>
        <c:axId val="90229904"/>
      </c:barChart>
      <c:lineChart>
        <c:grouping val="standard"/>
        <c:varyColors val="0"/>
        <c:ser>
          <c:idx val="2"/>
          <c:order val="2"/>
          <c:tx>
            <c:strRef>
              <c:f>Sheet1!$D$1</c:f>
              <c:strCache>
                <c:ptCount val="1"/>
                <c:pt idx="0">
                  <c:v>Total</c:v>
                </c:pt>
              </c:strCache>
            </c:strRef>
          </c:tx>
          <c:spPr>
            <a:ln w="28575" cap="rnd">
              <a:solidFill>
                <a:schemeClr val="accent3"/>
              </a:solidFill>
              <a:round/>
            </a:ln>
            <a:effectLst/>
          </c:spPr>
          <c:marker>
            <c:symbol val="none"/>
          </c:marker>
          <c:dLbls>
            <c:dLbl>
              <c:idx val="0"/>
              <c:layout>
                <c:manualLayout>
                  <c:x val="-3.4364261168384883E-2"/>
                  <c:y val="-3.1746031746031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96-4D65-B789-646C8F4705CB}"/>
                </c:ext>
              </c:extLst>
            </c:dLbl>
            <c:dLbl>
              <c:idx val="1"/>
              <c:layout>
                <c:manualLayout>
                  <c:x val="-5.6259864355557881E-2"/>
                  <c:y val="-3.5786526684164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96-4D65-B789-646C8F4705CB}"/>
                </c:ext>
              </c:extLst>
            </c:dLbl>
            <c:dLbl>
              <c:idx val="2"/>
              <c:layout>
                <c:manualLayout>
                  <c:x val="-4.123711340206202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96-4D65-B789-646C8F4705C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2019</c:v>
                </c:pt>
                <c:pt idx="1">
                  <c:v>2020</c:v>
                </c:pt>
                <c:pt idx="2">
                  <c:v>2021</c:v>
                </c:pt>
              </c:numCache>
            </c:numRef>
          </c:cat>
          <c:val>
            <c:numRef>
              <c:f>Sheet1!$D$2:$D$4</c:f>
              <c:numCache>
                <c:formatCode>0.0</c:formatCode>
                <c:ptCount val="3"/>
                <c:pt idx="0">
                  <c:v>33.5</c:v>
                </c:pt>
                <c:pt idx="1">
                  <c:v>58.2</c:v>
                </c:pt>
                <c:pt idx="2">
                  <c:v>189.2</c:v>
                </c:pt>
              </c:numCache>
            </c:numRef>
          </c:val>
          <c:smooth val="0"/>
          <c:extLst>
            <c:ext xmlns:c16="http://schemas.microsoft.com/office/drawing/2014/chart" uri="{C3380CC4-5D6E-409C-BE32-E72D297353CC}">
              <c16:uniqueId val="{00000005-AA96-4D65-B789-646C8F4705CB}"/>
            </c:ext>
          </c:extLst>
        </c:ser>
        <c:dLbls>
          <c:showLegendKey val="0"/>
          <c:showVal val="0"/>
          <c:showCatName val="0"/>
          <c:showSerName val="0"/>
          <c:showPercent val="0"/>
          <c:showBubbleSize val="0"/>
        </c:dLbls>
        <c:marker val="1"/>
        <c:smooth val="0"/>
        <c:axId val="277177424"/>
        <c:axId val="90229904"/>
      </c:lineChart>
      <c:catAx>
        <c:axId val="2771774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90229904"/>
        <c:crosses val="autoZero"/>
        <c:auto val="1"/>
        <c:lblAlgn val="ctr"/>
        <c:lblOffset val="100"/>
        <c:noMultiLvlLbl val="0"/>
      </c:catAx>
      <c:valAx>
        <c:axId val="90229904"/>
        <c:scaling>
          <c:orientation val="minMax"/>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17742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ro-MD" sz="1100" b="1">
                <a:solidFill>
                  <a:sysClr val="windowText" lastClr="000000"/>
                </a:solidFill>
              </a:rPr>
              <a:t>Dinamica executării cheltuielilor destinate investițiilor capitale din bugetul de stat în perioada 201</a:t>
            </a:r>
            <a:r>
              <a:rPr lang="en-US" sz="1100" b="1">
                <a:solidFill>
                  <a:sysClr val="windowText" lastClr="000000"/>
                </a:solidFill>
              </a:rPr>
              <a:t>9</a:t>
            </a:r>
            <a:r>
              <a:rPr lang="ro-MD" sz="1100" b="1">
                <a:solidFill>
                  <a:sysClr val="windowText" lastClr="000000"/>
                </a:solidFill>
              </a:rPr>
              <a:t>-202</a:t>
            </a:r>
            <a:r>
              <a:rPr lang="en-US" sz="1100" b="1">
                <a:solidFill>
                  <a:sysClr val="windowText" lastClr="000000"/>
                </a:solidFill>
              </a:rPr>
              <a:t>1</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Aprobat</c:v>
                </c:pt>
              </c:strCache>
            </c:strRef>
          </c:tx>
          <c:spPr>
            <a:solidFill>
              <a:schemeClr val="accent5">
                <a:lumMod val="60000"/>
                <a:lumOff val="40000"/>
              </a:schemeClr>
            </a:solidFill>
            <a:ln>
              <a:solidFill>
                <a:schemeClr val="accent1">
                  <a:alpha val="97000"/>
                </a:schemeClr>
              </a:solidFill>
            </a:ln>
            <a:effectLst/>
          </c:spPr>
          <c:invertIfNegative val="0"/>
          <c:dLbls>
            <c:dLbl>
              <c:idx val="0"/>
              <c:layout>
                <c:manualLayout>
                  <c:x val="-8.708272859216255E-3"/>
                  <c:y val="1.82926829268292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D9-4EE2-89CB-47D8C3A9575A}"/>
                </c:ext>
              </c:extLst>
            </c:dLbl>
            <c:dLbl>
              <c:idx val="1"/>
              <c:layout>
                <c:manualLayout>
                  <c:x val="-2.9027576197387518E-3"/>
                  <c:y val="1.82926829268292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D9-4EE2-89CB-47D8C3A9575A}"/>
                </c:ext>
              </c:extLst>
            </c:dLbl>
            <c:dLbl>
              <c:idx val="2"/>
              <c:layout>
                <c:manualLayout>
                  <c:x val="-2.5499925716832565E-2"/>
                  <c:y val="1.8292682926829212E-2"/>
                </c:manualLayout>
              </c:layout>
              <c:tx>
                <c:rich>
                  <a:bodyPr/>
                  <a:lstStyle/>
                  <a:p>
                    <a:fld id="{F5691B1A-B568-466A-941D-15BC8997C060}" type="VALUE">
                      <a:rPr lang="en-US"/>
                      <a:pPr/>
                      <a:t>[VALUE]</a:t>
                    </a:fld>
                    <a:r>
                      <a:rPr lang="en-US"/>
                      <a:t>,0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6D9-4EE2-89CB-47D8C3A9575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Anul 2019</c:v>
                </c:pt>
                <c:pt idx="1">
                  <c:v>Anul 2020</c:v>
                </c:pt>
                <c:pt idx="2">
                  <c:v>Anul 2021</c:v>
                </c:pt>
              </c:strCache>
            </c:strRef>
          </c:cat>
          <c:val>
            <c:numRef>
              <c:f>Sheet1!$B$2:$B$4</c:f>
              <c:numCache>
                <c:formatCode>General</c:formatCode>
                <c:ptCount val="3"/>
                <c:pt idx="0">
                  <c:v>2374.1999999999998</c:v>
                </c:pt>
                <c:pt idx="1">
                  <c:v>4133.3999999999996</c:v>
                </c:pt>
                <c:pt idx="2">
                  <c:v>1648</c:v>
                </c:pt>
              </c:numCache>
            </c:numRef>
          </c:val>
          <c:extLst>
            <c:ext xmlns:c16="http://schemas.microsoft.com/office/drawing/2014/chart" uri="{C3380CC4-5D6E-409C-BE32-E72D297353CC}">
              <c16:uniqueId val="{00000003-F6D9-4EE2-89CB-47D8C3A9575A}"/>
            </c:ext>
          </c:extLst>
        </c:ser>
        <c:ser>
          <c:idx val="1"/>
          <c:order val="1"/>
          <c:tx>
            <c:strRef>
              <c:f>Sheet1!$C$1</c:f>
              <c:strCache>
                <c:ptCount val="1"/>
                <c:pt idx="0">
                  <c:v>Precizat</c:v>
                </c:pt>
              </c:strCache>
            </c:strRef>
          </c:tx>
          <c:spPr>
            <a:solidFill>
              <a:schemeClr val="accent5">
                <a:lumMod val="75000"/>
              </a:schemeClr>
            </a:solidFill>
            <a:ln>
              <a:noFill/>
            </a:ln>
            <a:effectLst/>
          </c:spPr>
          <c:invertIfNegative val="0"/>
          <c:dLbls>
            <c:dLbl>
              <c:idx val="0"/>
              <c:layout>
                <c:manualLayout>
                  <c:x val="1.7967498257202612E-2"/>
                  <c:y val="2.1341463414634148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9.033381712626995E-2"/>
                      <c:h val="9.1372191280967921E-2"/>
                    </c:manualLayout>
                  </c15:layout>
                </c:ext>
                <c:ext xmlns:c16="http://schemas.microsoft.com/office/drawing/2014/chart" uri="{C3380CC4-5D6E-409C-BE32-E72D297353CC}">
                  <c16:uniqueId val="{00000004-F6D9-4EE2-89CB-47D8C3A9575A}"/>
                </c:ext>
              </c:extLst>
            </c:dLbl>
            <c:dLbl>
              <c:idx val="1"/>
              <c:layout>
                <c:manualLayout>
                  <c:x val="1.5652720478155035E-2"/>
                  <c:y val="-1.21951219512195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D9-4EE2-89CB-47D8C3A9575A}"/>
                </c:ext>
              </c:extLst>
            </c:dLbl>
            <c:dLbl>
              <c:idx val="2"/>
              <c:layout>
                <c:manualLayout>
                  <c:x val="6.3565820600436553E-3"/>
                  <c:y val="1.21951219512195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D9-4EE2-89CB-47D8C3A9575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Anul 2019</c:v>
                </c:pt>
                <c:pt idx="1">
                  <c:v>Anul 2020</c:v>
                </c:pt>
                <c:pt idx="2">
                  <c:v>Anul 2021</c:v>
                </c:pt>
              </c:strCache>
            </c:strRef>
          </c:cat>
          <c:val>
            <c:numRef>
              <c:f>Sheet1!$C$2:$C$4</c:f>
              <c:numCache>
                <c:formatCode>General</c:formatCode>
                <c:ptCount val="3"/>
                <c:pt idx="0">
                  <c:v>1665.4</c:v>
                </c:pt>
                <c:pt idx="1">
                  <c:v>1598.7</c:v>
                </c:pt>
                <c:pt idx="2">
                  <c:v>2257.1999999999998</c:v>
                </c:pt>
              </c:numCache>
            </c:numRef>
          </c:val>
          <c:extLst>
            <c:ext xmlns:c16="http://schemas.microsoft.com/office/drawing/2014/chart" uri="{C3380CC4-5D6E-409C-BE32-E72D297353CC}">
              <c16:uniqueId val="{00000007-F6D9-4EE2-89CB-47D8C3A9575A}"/>
            </c:ext>
          </c:extLst>
        </c:ser>
        <c:ser>
          <c:idx val="2"/>
          <c:order val="2"/>
          <c:tx>
            <c:strRef>
              <c:f>Sheet1!$D$1</c:f>
              <c:strCache>
                <c:ptCount val="1"/>
                <c:pt idx="0">
                  <c:v>Executat</c:v>
                </c:pt>
              </c:strCache>
            </c:strRef>
          </c:tx>
          <c:spPr>
            <a:solidFill>
              <a:srgbClr val="002060"/>
            </a:solidFill>
            <a:ln>
              <a:noFill/>
            </a:ln>
            <a:effectLst/>
          </c:spPr>
          <c:invertIfNegative val="0"/>
          <c:dLbls>
            <c:dLbl>
              <c:idx val="0"/>
              <c:layout>
                <c:manualLayout>
                  <c:x val="2.4360993337371292E-2"/>
                  <c:y val="2.43902439024390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D9-4EE2-89CB-47D8C3A9575A}"/>
                </c:ext>
              </c:extLst>
            </c:dLbl>
            <c:dLbl>
              <c:idx val="1"/>
              <c:layout>
                <c:manualLayout>
                  <c:x val="1.216209729952116E-2"/>
                  <c:y val="3.0487804878048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D9-4EE2-89CB-47D8C3A9575A}"/>
                </c:ext>
              </c:extLst>
            </c:dLbl>
            <c:dLbl>
              <c:idx val="2"/>
              <c:layout>
                <c:manualLayout>
                  <c:x val="1.855547809789368E-2"/>
                  <c:y val="3.65853658536585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6D9-4EE2-89CB-47D8C3A9575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Anul 2019</c:v>
                </c:pt>
                <c:pt idx="1">
                  <c:v>Anul 2020</c:v>
                </c:pt>
                <c:pt idx="2">
                  <c:v>Anul 2021</c:v>
                </c:pt>
              </c:strCache>
            </c:strRef>
          </c:cat>
          <c:val>
            <c:numRef>
              <c:f>Sheet1!$D$2:$D$4</c:f>
              <c:numCache>
                <c:formatCode>General</c:formatCode>
                <c:ptCount val="3"/>
                <c:pt idx="0">
                  <c:v>1278.7</c:v>
                </c:pt>
                <c:pt idx="1">
                  <c:v>1524.2</c:v>
                </c:pt>
                <c:pt idx="2">
                  <c:v>1665.2</c:v>
                </c:pt>
              </c:numCache>
            </c:numRef>
          </c:val>
          <c:extLst>
            <c:ext xmlns:c16="http://schemas.microsoft.com/office/drawing/2014/chart" uri="{C3380CC4-5D6E-409C-BE32-E72D297353CC}">
              <c16:uniqueId val="{0000000B-F6D9-4EE2-89CB-47D8C3A9575A}"/>
            </c:ext>
          </c:extLst>
        </c:ser>
        <c:dLbls>
          <c:dLblPos val="outEnd"/>
          <c:showLegendKey val="0"/>
          <c:showVal val="1"/>
          <c:showCatName val="0"/>
          <c:showSerName val="0"/>
          <c:showPercent val="0"/>
          <c:showBubbleSize val="0"/>
        </c:dLbls>
        <c:gapWidth val="80"/>
        <c:overlap val="25"/>
        <c:axId val="1997613120"/>
        <c:axId val="1997616864"/>
      </c:barChart>
      <c:catAx>
        <c:axId val="199761312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1997616864"/>
        <c:crosses val="autoZero"/>
        <c:auto val="1"/>
        <c:lblAlgn val="ctr"/>
        <c:lblOffset val="100"/>
        <c:noMultiLvlLbl val="0"/>
      </c:catAx>
      <c:valAx>
        <c:axId val="199761686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199761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C9B8-0435-4208-AD09-FB503FD9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26052</Words>
  <Characters>148503</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Borșevschi Vera</dc:creator>
  <cp:keywords/>
  <dc:description/>
  <cp:lastModifiedBy>Paiu Eugenia</cp:lastModifiedBy>
  <cp:revision>2</cp:revision>
  <cp:lastPrinted>2022-05-31T13:48:00Z</cp:lastPrinted>
  <dcterms:created xsi:type="dcterms:W3CDTF">2022-05-31T14:11:00Z</dcterms:created>
  <dcterms:modified xsi:type="dcterms:W3CDTF">2022-05-31T14:11:00Z</dcterms:modified>
</cp:coreProperties>
</file>