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CA" w:rsidRPr="00A21A6B" w:rsidRDefault="005A5BCA" w:rsidP="005A5BCA">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A21A6B">
        <w:rPr>
          <w:rFonts w:asciiTheme="majorHAnsi" w:eastAsia="Times New Roman" w:hAnsiTheme="majorHAnsi" w:cs="Times New Roman"/>
          <w:b/>
          <w:bCs/>
          <w:sz w:val="28"/>
          <w:szCs w:val="28"/>
          <w:u w:val="single"/>
          <w:lang w:val="ru-MD"/>
        </w:rPr>
        <w:t>ПЕРЕВОД</w:t>
      </w:r>
    </w:p>
    <w:p w:rsidR="005A5BCA" w:rsidRPr="00A21A6B" w:rsidRDefault="005A5BCA" w:rsidP="005A5BCA">
      <w:pPr>
        <w:tabs>
          <w:tab w:val="left" w:pos="720"/>
        </w:tabs>
        <w:spacing w:after="0" w:line="276" w:lineRule="auto"/>
        <w:jc w:val="right"/>
        <w:rPr>
          <w:rFonts w:asciiTheme="majorHAnsi" w:eastAsia="Times New Roman" w:hAnsiTheme="majorHAnsi" w:cs="Times New Roman"/>
          <w:bCs/>
          <w:i/>
          <w:iCs/>
          <w:sz w:val="28"/>
          <w:szCs w:val="28"/>
          <w:lang w:val="ru-MD"/>
        </w:rPr>
      </w:pPr>
    </w:p>
    <w:p w:rsidR="005A5BCA" w:rsidRPr="00A21A6B" w:rsidRDefault="005A5BCA" w:rsidP="005A5BCA">
      <w:pPr>
        <w:tabs>
          <w:tab w:val="left" w:pos="720"/>
        </w:tabs>
        <w:spacing w:after="0" w:line="276" w:lineRule="auto"/>
        <w:jc w:val="right"/>
        <w:rPr>
          <w:rFonts w:asciiTheme="majorHAnsi" w:eastAsia="Times New Roman" w:hAnsiTheme="majorHAnsi" w:cs="Times New Roman"/>
          <w:bCs/>
          <w:iCs/>
          <w:sz w:val="28"/>
          <w:szCs w:val="28"/>
          <w:lang w:val="ru-MD"/>
        </w:rPr>
      </w:pPr>
      <w:r w:rsidRPr="00A21A6B">
        <w:rPr>
          <w:rFonts w:asciiTheme="majorHAnsi" w:eastAsia="Times New Roman" w:hAnsiTheme="majorHAnsi" w:cs="Times New Roman"/>
          <w:bCs/>
          <w:iCs/>
          <w:sz w:val="28"/>
          <w:szCs w:val="28"/>
          <w:lang w:val="ru-MD"/>
        </w:rPr>
        <w:t>Приложение</w:t>
      </w:r>
    </w:p>
    <w:p w:rsidR="005A5BCA" w:rsidRPr="00A21A6B" w:rsidRDefault="005A5BCA" w:rsidP="005A5BCA">
      <w:pPr>
        <w:tabs>
          <w:tab w:val="left" w:pos="720"/>
        </w:tabs>
        <w:spacing w:after="0" w:line="276" w:lineRule="auto"/>
        <w:jc w:val="right"/>
        <w:rPr>
          <w:rFonts w:asciiTheme="majorHAnsi" w:eastAsia="Times New Roman" w:hAnsiTheme="majorHAnsi" w:cs="Times New Roman"/>
          <w:bCs/>
          <w:sz w:val="28"/>
          <w:szCs w:val="28"/>
          <w:lang w:val="ru-MD"/>
        </w:rPr>
      </w:pPr>
      <w:r w:rsidRPr="00A21A6B">
        <w:rPr>
          <w:rFonts w:asciiTheme="majorHAnsi" w:eastAsia="Times New Roman" w:hAnsiTheme="majorHAnsi" w:cs="Times New Roman"/>
          <w:bCs/>
          <w:sz w:val="28"/>
          <w:szCs w:val="28"/>
          <w:lang w:val="ru-MD"/>
        </w:rPr>
        <w:t>к Постановлению Счетной палаты</w:t>
      </w:r>
    </w:p>
    <w:p w:rsidR="005A5BCA" w:rsidRPr="00A21A6B" w:rsidRDefault="005A5BCA" w:rsidP="005A5BCA">
      <w:pPr>
        <w:tabs>
          <w:tab w:val="left" w:pos="720"/>
        </w:tabs>
        <w:spacing w:after="0" w:line="276" w:lineRule="auto"/>
        <w:jc w:val="right"/>
        <w:rPr>
          <w:rFonts w:asciiTheme="majorHAnsi" w:eastAsia="Times New Roman" w:hAnsiTheme="majorHAnsi" w:cs="Times New Roman"/>
          <w:bCs/>
          <w:sz w:val="28"/>
          <w:szCs w:val="28"/>
          <w:lang w:val="ru-MD"/>
        </w:rPr>
      </w:pPr>
      <w:r w:rsidRPr="00A21A6B">
        <w:rPr>
          <w:rFonts w:asciiTheme="majorHAnsi" w:eastAsia="Times New Roman" w:hAnsiTheme="majorHAnsi" w:cs="Times New Roman"/>
          <w:bCs/>
          <w:sz w:val="28"/>
          <w:szCs w:val="28"/>
          <w:lang w:val="ru-MD"/>
        </w:rPr>
        <w:t>№2</w:t>
      </w:r>
      <w:r w:rsidR="00D07ED6" w:rsidRPr="00A21A6B">
        <w:rPr>
          <w:rFonts w:asciiTheme="majorHAnsi" w:eastAsia="Times New Roman" w:hAnsiTheme="majorHAnsi" w:cs="Times New Roman"/>
          <w:bCs/>
          <w:sz w:val="28"/>
          <w:szCs w:val="28"/>
          <w:lang w:val="ru-MD"/>
        </w:rPr>
        <w:t>9</w:t>
      </w:r>
      <w:r w:rsidRPr="00A21A6B">
        <w:rPr>
          <w:rFonts w:asciiTheme="majorHAnsi" w:eastAsia="Times New Roman" w:hAnsiTheme="majorHAnsi" w:cs="Times New Roman"/>
          <w:bCs/>
          <w:sz w:val="28"/>
          <w:szCs w:val="28"/>
          <w:lang w:val="ru-MD"/>
        </w:rPr>
        <w:t xml:space="preserve"> от 2</w:t>
      </w:r>
      <w:r w:rsidR="00D07ED6" w:rsidRPr="00A21A6B">
        <w:rPr>
          <w:rFonts w:asciiTheme="majorHAnsi" w:eastAsia="Times New Roman" w:hAnsiTheme="majorHAnsi" w:cs="Times New Roman"/>
          <w:bCs/>
          <w:sz w:val="28"/>
          <w:szCs w:val="28"/>
          <w:lang w:val="ru-MD"/>
        </w:rPr>
        <w:t>8</w:t>
      </w:r>
      <w:r w:rsidRPr="00A21A6B">
        <w:rPr>
          <w:rFonts w:asciiTheme="majorHAnsi" w:eastAsia="Times New Roman" w:hAnsiTheme="majorHAnsi" w:cs="Times New Roman"/>
          <w:bCs/>
          <w:sz w:val="28"/>
          <w:szCs w:val="28"/>
          <w:lang w:val="ru-MD"/>
        </w:rPr>
        <w:t xml:space="preserve"> </w:t>
      </w:r>
      <w:r w:rsidR="00D07ED6" w:rsidRPr="00A21A6B">
        <w:rPr>
          <w:rFonts w:asciiTheme="majorHAnsi" w:eastAsia="Times New Roman" w:hAnsiTheme="majorHAnsi" w:cs="Times New Roman"/>
          <w:bCs/>
          <w:sz w:val="28"/>
          <w:szCs w:val="28"/>
          <w:lang w:val="ru-MD"/>
        </w:rPr>
        <w:t>июня</w:t>
      </w:r>
      <w:r w:rsidRPr="00A21A6B">
        <w:rPr>
          <w:rFonts w:asciiTheme="majorHAnsi" w:eastAsia="Times New Roman" w:hAnsiTheme="majorHAnsi" w:cs="Times New Roman"/>
          <w:bCs/>
          <w:sz w:val="28"/>
          <w:szCs w:val="28"/>
          <w:lang w:val="ru-MD"/>
        </w:rPr>
        <w:t xml:space="preserve"> 2022 года </w:t>
      </w:r>
    </w:p>
    <w:p w:rsidR="00F40961" w:rsidRPr="00A21A6B" w:rsidRDefault="00F40961" w:rsidP="00F40961">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u-MD"/>
        </w:rPr>
      </w:pPr>
    </w:p>
    <w:p w:rsidR="00F40961" w:rsidRPr="00A21A6B" w:rsidRDefault="00F40961" w:rsidP="00F40961">
      <w:pPr>
        <w:spacing w:after="0" w:line="276" w:lineRule="auto"/>
        <w:rPr>
          <w:rFonts w:asciiTheme="majorHAnsi" w:hAnsiTheme="majorHAnsi" w:cstheme="majorHAnsi"/>
          <w:lang w:val="ru-MD"/>
        </w:rPr>
      </w:pPr>
    </w:p>
    <w:p w:rsidR="00F40961" w:rsidRPr="00A21A6B" w:rsidRDefault="00F40961" w:rsidP="00F40961">
      <w:pPr>
        <w:spacing w:after="0" w:line="276" w:lineRule="auto"/>
        <w:jc w:val="center"/>
        <w:rPr>
          <w:rFonts w:asciiTheme="majorHAnsi" w:hAnsiTheme="majorHAnsi" w:cstheme="majorHAnsi"/>
          <w:b/>
          <w:sz w:val="28"/>
          <w:szCs w:val="28"/>
          <w:lang w:val="ru-MD"/>
        </w:rPr>
      </w:pPr>
      <w:r w:rsidRPr="00A21A6B">
        <w:rPr>
          <w:rFonts w:asciiTheme="majorHAnsi" w:hAnsiTheme="majorHAnsi" w:cstheme="majorHAnsi"/>
          <w:b/>
          <w:noProof/>
          <w:sz w:val="28"/>
          <w:szCs w:val="28"/>
        </w:rPr>
        <w:drawing>
          <wp:inline distT="0" distB="0" distL="0" distR="0" wp14:anchorId="7587CBD0" wp14:editId="75A2F1F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40961" w:rsidRPr="00A21A6B" w:rsidRDefault="00F40961" w:rsidP="00F40961">
      <w:pPr>
        <w:spacing w:after="0" w:line="276" w:lineRule="auto"/>
        <w:jc w:val="center"/>
        <w:rPr>
          <w:rFonts w:asciiTheme="majorHAnsi" w:hAnsiTheme="majorHAnsi" w:cstheme="majorHAnsi"/>
          <w:b/>
          <w:sz w:val="28"/>
          <w:szCs w:val="28"/>
          <w:lang w:val="ru-MD"/>
        </w:rPr>
      </w:pPr>
    </w:p>
    <w:p w:rsidR="00F40961" w:rsidRPr="00A21A6B" w:rsidRDefault="00F40961" w:rsidP="00F40961">
      <w:pPr>
        <w:spacing w:after="0" w:line="276" w:lineRule="auto"/>
        <w:jc w:val="center"/>
        <w:rPr>
          <w:rFonts w:asciiTheme="majorHAnsi" w:hAnsiTheme="majorHAnsi" w:cstheme="majorHAnsi"/>
          <w:b/>
          <w:sz w:val="28"/>
          <w:szCs w:val="28"/>
          <w:lang w:val="ru-MD"/>
        </w:rPr>
      </w:pPr>
    </w:p>
    <w:p w:rsidR="00F40961" w:rsidRPr="00A21A6B" w:rsidRDefault="00F40961" w:rsidP="00F40961">
      <w:pPr>
        <w:spacing w:after="0" w:line="276" w:lineRule="auto"/>
        <w:jc w:val="center"/>
        <w:rPr>
          <w:rFonts w:asciiTheme="majorHAnsi" w:hAnsiTheme="majorHAnsi" w:cstheme="majorHAnsi"/>
          <w:b/>
          <w:sz w:val="28"/>
          <w:szCs w:val="28"/>
          <w:lang w:val="ru-MD"/>
        </w:rPr>
      </w:pPr>
    </w:p>
    <w:p w:rsidR="00F40961" w:rsidRPr="00A21A6B" w:rsidRDefault="00D07ED6" w:rsidP="00D07ED6">
      <w:pPr>
        <w:spacing w:after="0" w:line="276" w:lineRule="auto"/>
        <w:jc w:val="center"/>
        <w:rPr>
          <w:rFonts w:asciiTheme="majorHAnsi" w:hAnsiTheme="majorHAnsi" w:cstheme="majorHAnsi"/>
          <w:b/>
          <w:sz w:val="28"/>
          <w:szCs w:val="28"/>
          <w:lang w:val="ru-MD"/>
        </w:rPr>
      </w:pPr>
      <w:r w:rsidRPr="00A21A6B">
        <w:rPr>
          <w:rFonts w:asciiTheme="majorHAnsi" w:hAnsiTheme="majorHAnsi" w:cstheme="majorHAnsi"/>
          <w:b/>
          <w:bCs/>
          <w:iCs/>
          <w:sz w:val="28"/>
          <w:szCs w:val="28"/>
          <w:lang w:val="ru-MD"/>
        </w:rPr>
        <w:t>СЧЕТНАЯ ПАЛАТА РЕСПУБЛИКИ МОЛДОВА</w:t>
      </w:r>
    </w:p>
    <w:p w:rsidR="00F40961" w:rsidRPr="00A21A6B"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72"/>
      </w:tblGrid>
      <w:tr w:rsidR="00F40961" w:rsidRPr="00A21A6B" w:rsidTr="00797CA1">
        <w:trPr>
          <w:trHeight w:val="435"/>
        </w:trPr>
        <w:tc>
          <w:tcPr>
            <w:tcW w:w="9350" w:type="dxa"/>
          </w:tcPr>
          <w:p w:rsidR="00F40961" w:rsidRPr="00A21A6B" w:rsidRDefault="00F40961" w:rsidP="00797CA1">
            <w:pPr>
              <w:tabs>
                <w:tab w:val="left" w:pos="720"/>
              </w:tabs>
              <w:spacing w:after="0" w:line="276" w:lineRule="auto"/>
              <w:jc w:val="center"/>
              <w:rPr>
                <w:rFonts w:asciiTheme="majorHAnsi" w:hAnsiTheme="majorHAnsi" w:cstheme="majorHAnsi"/>
                <w:sz w:val="18"/>
                <w:szCs w:val="18"/>
                <w:lang w:val="ru-MD"/>
              </w:rPr>
            </w:pPr>
            <w:r w:rsidRPr="00A21A6B">
              <w:rPr>
                <w:rFonts w:asciiTheme="majorHAnsi" w:hAnsiTheme="majorHAnsi" w:cstheme="majorHAnsi"/>
                <w:sz w:val="18"/>
                <w:szCs w:val="18"/>
                <w:lang w:val="ru-MD"/>
              </w:rPr>
              <w:t xml:space="preserve">MD-2001, mun. Chișinău, bd. Ștefan cel Mare și Sfânt nr.69, tel.: (+373) 22 26 60 02, fax: (+373) 22 26 61 00, </w:t>
            </w:r>
          </w:p>
          <w:p w:rsidR="00F40961" w:rsidRPr="002B6AA4" w:rsidRDefault="001C0122" w:rsidP="00797CA1">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rPr>
            </w:pPr>
            <w:hyperlink r:id="rId8" w:history="1">
              <w:r w:rsidR="00F40961" w:rsidRPr="002B6AA4">
                <w:rPr>
                  <w:rStyle w:val="Hyperlink"/>
                  <w:rFonts w:asciiTheme="majorHAnsi" w:hAnsiTheme="majorHAnsi" w:cstheme="majorHAnsi"/>
                  <w:b/>
                  <w:sz w:val="18"/>
                  <w:szCs w:val="18"/>
                </w:rPr>
                <w:t>www.ccrm.md</w:t>
              </w:r>
            </w:hyperlink>
            <w:r w:rsidR="00F40961" w:rsidRPr="002B6AA4">
              <w:rPr>
                <w:rStyle w:val="Hyperlink"/>
                <w:rFonts w:asciiTheme="majorHAnsi" w:hAnsiTheme="majorHAnsi" w:cstheme="majorHAnsi"/>
                <w:b/>
                <w:sz w:val="18"/>
                <w:szCs w:val="18"/>
              </w:rPr>
              <w:t xml:space="preserve">; </w:t>
            </w:r>
            <w:r w:rsidR="00F40961" w:rsidRPr="002B6AA4">
              <w:rPr>
                <w:rFonts w:asciiTheme="majorHAnsi" w:hAnsiTheme="majorHAnsi" w:cstheme="majorHAnsi"/>
                <w:sz w:val="18"/>
                <w:szCs w:val="18"/>
              </w:rPr>
              <w:t xml:space="preserve">e-mail: </w:t>
            </w:r>
            <w:hyperlink r:id="rId9" w:history="1">
              <w:r w:rsidR="00F40961" w:rsidRPr="002B6AA4">
                <w:rPr>
                  <w:rStyle w:val="Hyperlink"/>
                  <w:rFonts w:asciiTheme="majorHAnsi" w:hAnsiTheme="majorHAnsi" w:cstheme="majorHAnsi"/>
                  <w:b/>
                  <w:sz w:val="18"/>
                  <w:szCs w:val="18"/>
                </w:rPr>
                <w:t>ccrm@ccrm.md</w:t>
              </w:r>
            </w:hyperlink>
          </w:p>
        </w:tc>
      </w:tr>
    </w:tbl>
    <w:p w:rsidR="00F40961" w:rsidRPr="002B6AA4"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rsidR="00F40961" w:rsidRPr="002B6AA4"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rsidR="00F40961" w:rsidRPr="002B6AA4" w:rsidRDefault="00F40961" w:rsidP="00F40961">
      <w:pPr>
        <w:tabs>
          <w:tab w:val="left" w:pos="720"/>
        </w:tabs>
        <w:spacing w:after="0" w:line="276" w:lineRule="auto"/>
        <w:jc w:val="right"/>
        <w:rPr>
          <w:rFonts w:asciiTheme="majorHAnsi" w:eastAsia="Times New Roman" w:hAnsiTheme="majorHAnsi" w:cstheme="majorHAnsi"/>
          <w:b/>
          <w:bCs/>
          <w:color w:val="FF0000"/>
          <w:sz w:val="24"/>
          <w:szCs w:val="24"/>
        </w:rPr>
      </w:pPr>
    </w:p>
    <w:p w:rsidR="00F40961" w:rsidRPr="002B6AA4"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rsidR="00D07ED6" w:rsidRPr="00A21A6B" w:rsidRDefault="00D07ED6" w:rsidP="00D07ED6">
      <w:pPr>
        <w:tabs>
          <w:tab w:val="left" w:pos="720"/>
        </w:tabs>
        <w:spacing w:after="0" w:line="276" w:lineRule="auto"/>
        <w:jc w:val="center"/>
        <w:rPr>
          <w:rFonts w:asciiTheme="majorHAnsi" w:eastAsia="Times New Roman" w:hAnsiTheme="majorHAnsi" w:cstheme="majorHAnsi"/>
          <w:b/>
          <w:bCs/>
          <w:sz w:val="32"/>
          <w:szCs w:val="32"/>
          <w:lang w:val="ru-MD"/>
        </w:rPr>
      </w:pPr>
      <w:r w:rsidRPr="00A21A6B">
        <w:rPr>
          <w:rFonts w:asciiTheme="majorHAnsi" w:eastAsia="Times New Roman" w:hAnsiTheme="majorHAnsi" w:cstheme="majorHAnsi"/>
          <w:b/>
          <w:bCs/>
          <w:sz w:val="32"/>
          <w:szCs w:val="32"/>
          <w:lang w:val="ru-MD"/>
        </w:rPr>
        <w:t xml:space="preserve">ОТЧЕТ </w:t>
      </w:r>
    </w:p>
    <w:p w:rsidR="00D07ED6" w:rsidRPr="00A21A6B" w:rsidRDefault="00D07ED6" w:rsidP="00D07ED6">
      <w:pPr>
        <w:tabs>
          <w:tab w:val="left" w:pos="720"/>
        </w:tabs>
        <w:spacing w:after="0" w:line="276" w:lineRule="auto"/>
        <w:jc w:val="center"/>
        <w:rPr>
          <w:rFonts w:asciiTheme="majorHAnsi" w:eastAsia="Times New Roman" w:hAnsiTheme="majorHAnsi" w:cstheme="majorHAnsi"/>
          <w:b/>
          <w:bCs/>
          <w:sz w:val="32"/>
          <w:szCs w:val="32"/>
          <w:lang w:val="ru-MD"/>
        </w:rPr>
      </w:pPr>
    </w:p>
    <w:p w:rsidR="00D07ED6" w:rsidRPr="00A21A6B" w:rsidRDefault="00D07ED6" w:rsidP="00D07ED6">
      <w:pPr>
        <w:tabs>
          <w:tab w:val="left" w:pos="720"/>
        </w:tabs>
        <w:spacing w:after="0" w:line="276" w:lineRule="auto"/>
        <w:jc w:val="center"/>
        <w:rPr>
          <w:rFonts w:asciiTheme="majorHAnsi" w:eastAsia="Times New Roman" w:hAnsiTheme="majorHAnsi" w:cstheme="majorHAnsi"/>
          <w:b/>
          <w:bCs/>
          <w:sz w:val="32"/>
          <w:szCs w:val="32"/>
          <w:lang w:val="ru-MD"/>
        </w:rPr>
      </w:pPr>
      <w:r w:rsidRPr="00A21A6B">
        <w:rPr>
          <w:rFonts w:asciiTheme="majorHAnsi" w:eastAsia="Times New Roman" w:hAnsiTheme="majorHAnsi" w:cstheme="majorHAnsi"/>
          <w:b/>
          <w:bCs/>
          <w:sz w:val="32"/>
          <w:szCs w:val="32"/>
          <w:lang w:val="ru-MD"/>
        </w:rPr>
        <w:t xml:space="preserve">аудита консолидированной финансовой отчетности Министерства сельского хозяйства, регионального развития и окружающей среды по состоянию на 31 декабря 2021 года </w:t>
      </w:r>
    </w:p>
    <w:p w:rsidR="001422DE" w:rsidRPr="00A21A6B" w:rsidRDefault="001422DE" w:rsidP="00F40961">
      <w:pPr>
        <w:tabs>
          <w:tab w:val="left" w:pos="720"/>
        </w:tabs>
        <w:spacing w:after="0" w:line="276" w:lineRule="auto"/>
        <w:ind w:right="-24"/>
        <w:jc w:val="center"/>
        <w:rPr>
          <w:rFonts w:asciiTheme="majorHAnsi" w:eastAsia="Times New Roman" w:hAnsiTheme="majorHAnsi" w:cstheme="majorHAnsi"/>
          <w:b/>
          <w:bCs/>
          <w:sz w:val="32"/>
          <w:szCs w:val="32"/>
          <w:lang w:val="ru-MD"/>
        </w:rPr>
      </w:pPr>
    </w:p>
    <w:p w:rsidR="00F40961" w:rsidRPr="00A21A6B" w:rsidRDefault="00F40961" w:rsidP="00F40961">
      <w:pPr>
        <w:tabs>
          <w:tab w:val="left" w:pos="720"/>
        </w:tabs>
        <w:spacing w:after="0" w:line="276" w:lineRule="auto"/>
        <w:ind w:right="-24"/>
        <w:jc w:val="both"/>
        <w:rPr>
          <w:rFonts w:asciiTheme="majorHAnsi" w:eastAsia="Times New Roman" w:hAnsiTheme="majorHAnsi" w:cstheme="majorHAnsi"/>
          <w:b/>
          <w:bCs/>
          <w:sz w:val="32"/>
          <w:szCs w:val="32"/>
          <w:lang w:val="ru-MD"/>
        </w:rPr>
      </w:pPr>
    </w:p>
    <w:p w:rsidR="00F40961" w:rsidRPr="00A21A6B"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rsidR="00F40961" w:rsidRPr="00A21A6B"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rsidR="00F40961" w:rsidRPr="00A21A6B"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rsidR="00F40961" w:rsidRPr="00A21A6B"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rsidR="00F40961" w:rsidRPr="00A21A6B" w:rsidRDefault="00F40961" w:rsidP="00F40961">
      <w:pPr>
        <w:spacing w:line="276" w:lineRule="auto"/>
        <w:rPr>
          <w:rFonts w:asciiTheme="majorHAnsi" w:eastAsia="Times New Roman" w:hAnsiTheme="majorHAnsi" w:cstheme="majorHAnsi"/>
          <w:b/>
          <w:bCs/>
          <w:sz w:val="32"/>
          <w:szCs w:val="32"/>
          <w:lang w:val="ru-MD"/>
        </w:rPr>
      </w:pPr>
      <w:r w:rsidRPr="00A21A6B">
        <w:rPr>
          <w:rFonts w:asciiTheme="majorHAnsi" w:eastAsia="Times New Roman" w:hAnsiTheme="majorHAnsi" w:cstheme="majorHAnsi"/>
          <w:b/>
          <w:bCs/>
          <w:sz w:val="32"/>
          <w:szCs w:val="32"/>
          <w:lang w:val="ru-MD"/>
        </w:rPr>
        <w:br w:type="page"/>
      </w:r>
    </w:p>
    <w:p w:rsidR="00F40961" w:rsidRPr="00A21A6B" w:rsidRDefault="00F40961" w:rsidP="00F40961">
      <w:pPr>
        <w:pStyle w:val="ListParagraph"/>
        <w:numPr>
          <w:ilvl w:val="0"/>
          <w:numId w:val="1"/>
        </w:numPr>
        <w:spacing w:after="0" w:line="276" w:lineRule="auto"/>
        <w:jc w:val="both"/>
        <w:outlineLvl w:val="0"/>
        <w:rPr>
          <w:rFonts w:asciiTheme="majorHAnsi" w:hAnsiTheme="majorHAnsi" w:cstheme="majorHAnsi"/>
          <w:b/>
          <w:sz w:val="24"/>
          <w:szCs w:val="24"/>
          <w:lang w:val="ru-MD"/>
        </w:rPr>
      </w:pPr>
      <w:bookmarkStart w:id="1" w:name="_Toc530056756"/>
      <w:bookmarkStart w:id="2" w:name="_Toc532292925"/>
      <w:r w:rsidRPr="00A21A6B">
        <w:rPr>
          <w:rFonts w:asciiTheme="majorHAnsi" w:hAnsiTheme="majorHAnsi" w:cstheme="majorHAnsi"/>
          <w:b/>
          <w:sz w:val="24"/>
          <w:szCs w:val="24"/>
          <w:lang w:val="ru-MD"/>
        </w:rPr>
        <w:lastRenderedPageBreak/>
        <w:t xml:space="preserve"> </w:t>
      </w:r>
      <w:r w:rsidR="00835DA8" w:rsidRPr="00A21A6B">
        <w:rPr>
          <w:rFonts w:asciiTheme="majorHAnsi" w:hAnsiTheme="majorHAnsi" w:cstheme="majorHAnsi"/>
          <w:b/>
          <w:sz w:val="24"/>
          <w:szCs w:val="24"/>
          <w:lang w:val="ru-MD"/>
        </w:rPr>
        <w:t xml:space="preserve">УСЛОВНОЕ МНЕНИЕ </w:t>
      </w:r>
      <w:bookmarkEnd w:id="1"/>
      <w:bookmarkEnd w:id="2"/>
    </w:p>
    <w:p w:rsidR="00F40961" w:rsidRPr="00A21A6B" w:rsidRDefault="00835DA8" w:rsidP="00F40961">
      <w:pPr>
        <w:pStyle w:val="FootnoteText"/>
        <w:spacing w:before="120" w:line="276" w:lineRule="auto"/>
        <w:jc w:val="both"/>
        <w:rPr>
          <w:rFonts w:asciiTheme="majorHAnsi" w:eastAsia="Times New Roman" w:hAnsiTheme="majorHAnsi" w:cstheme="majorHAnsi"/>
          <w:sz w:val="24"/>
          <w:szCs w:val="24"/>
          <w:lang w:val="ru-MD"/>
        </w:rPr>
      </w:pPr>
      <w:r w:rsidRPr="00A21A6B">
        <w:rPr>
          <w:rFonts w:asciiTheme="majorHAnsi" w:hAnsiTheme="majorHAnsi" w:cstheme="majorHAnsi"/>
          <w:sz w:val="24"/>
          <w:szCs w:val="24"/>
          <w:lang w:val="ru-MD"/>
        </w:rPr>
        <w:t xml:space="preserve">Мы провели аудит консолидированной финансовой отчетности </w:t>
      </w:r>
      <w:r w:rsidR="00FB3AEA" w:rsidRPr="00A21A6B">
        <w:rPr>
          <w:rFonts w:asciiTheme="majorHAnsi" w:hAnsiTheme="majorHAnsi" w:cstheme="majorHAnsi"/>
          <w:sz w:val="24"/>
          <w:szCs w:val="24"/>
          <w:lang w:val="ru-MD"/>
        </w:rPr>
        <w:t xml:space="preserve">Министерства сельского хозяйства, регионального развития и окружающей среды (далее – Министерство) </w:t>
      </w:r>
      <w:r w:rsidRPr="00A21A6B">
        <w:rPr>
          <w:rFonts w:asciiTheme="majorHAnsi" w:hAnsiTheme="majorHAnsi" w:cstheme="majorHAnsi"/>
          <w:sz w:val="24"/>
          <w:szCs w:val="24"/>
          <w:lang w:val="ru-MD"/>
        </w:rPr>
        <w:t>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F40961" w:rsidRPr="00A21A6B">
        <w:rPr>
          <w:rFonts w:asciiTheme="majorHAnsi" w:eastAsia="Times New Roman" w:hAnsiTheme="majorHAnsi" w:cstheme="majorHAnsi"/>
          <w:sz w:val="24"/>
          <w:szCs w:val="24"/>
          <w:lang w:val="ru-MD"/>
        </w:rPr>
        <w:t xml:space="preserve">. </w:t>
      </w:r>
    </w:p>
    <w:p w:rsidR="00F40961" w:rsidRPr="00A21A6B" w:rsidRDefault="00835DA8" w:rsidP="00F40961">
      <w:pPr>
        <w:tabs>
          <w:tab w:val="left" w:pos="720"/>
        </w:tabs>
        <w:spacing w:before="120" w:after="0" w:line="276" w:lineRule="auto"/>
        <w:jc w:val="both"/>
        <w:rPr>
          <w:rFonts w:asciiTheme="majorHAnsi" w:eastAsia="Times New Roman" w:hAnsiTheme="majorHAnsi" w:cstheme="majorHAnsi"/>
          <w:i/>
          <w:sz w:val="24"/>
          <w:szCs w:val="24"/>
          <w:lang w:val="ru-MD"/>
        </w:rPr>
      </w:pPr>
      <w:r w:rsidRPr="00A21A6B">
        <w:rPr>
          <w:rFonts w:asciiTheme="majorHAnsi" w:hAnsiTheme="majorHAnsi" w:cstheme="majorHAnsi"/>
          <w:sz w:val="24"/>
          <w:szCs w:val="24"/>
          <w:lang w:val="ru-MD"/>
        </w:rPr>
        <w:t xml:space="preserve">По нашему мнению, </w:t>
      </w:r>
      <w:r w:rsidRPr="00A21A6B">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A21A6B">
        <w:rPr>
          <w:rFonts w:asciiTheme="majorHAnsi" w:eastAsia="Times New Roman" w:hAnsiTheme="majorHAnsi" w:cstheme="majorHAnsi"/>
          <w:i/>
          <w:sz w:val="24"/>
          <w:szCs w:val="24"/>
          <w:lang w:val="ru-MD"/>
        </w:rPr>
        <w:t>Основание для условного мнения,</w:t>
      </w:r>
      <w:r w:rsidRPr="00A21A6B">
        <w:rPr>
          <w:rFonts w:asciiTheme="majorHAnsi" w:eastAsia="Times New Roman" w:hAnsiTheme="majorHAnsi" w:cstheme="majorHAnsi"/>
          <w:sz w:val="24"/>
          <w:szCs w:val="24"/>
          <w:lang w:val="ru-MD"/>
        </w:rPr>
        <w:t xml:space="preserve"> </w:t>
      </w:r>
      <w:r w:rsidRPr="00A21A6B">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A21A6B">
        <w:rPr>
          <w:sz w:val="24"/>
          <w:szCs w:val="24"/>
          <w:vertAlign w:val="superscript"/>
          <w:lang w:val="ru-MD"/>
        </w:rPr>
        <w:footnoteReference w:id="1"/>
      </w:r>
      <w:r w:rsidR="00F40961" w:rsidRPr="00A21A6B">
        <w:rPr>
          <w:rFonts w:asciiTheme="majorHAnsi" w:eastAsia="Times New Roman" w:hAnsiTheme="majorHAnsi" w:cstheme="majorHAnsi"/>
          <w:i/>
          <w:sz w:val="24"/>
          <w:szCs w:val="24"/>
          <w:lang w:val="ru-MD"/>
        </w:rPr>
        <w:t>.</w:t>
      </w:r>
    </w:p>
    <w:p w:rsidR="00F40961" w:rsidRPr="00A21A6B" w:rsidRDefault="00F40961" w:rsidP="00F40961">
      <w:pPr>
        <w:tabs>
          <w:tab w:val="left" w:pos="720"/>
        </w:tabs>
        <w:spacing w:after="0" w:line="276" w:lineRule="auto"/>
        <w:ind w:hanging="218"/>
        <w:jc w:val="both"/>
        <w:rPr>
          <w:rFonts w:asciiTheme="majorHAnsi" w:eastAsia="Times New Roman" w:hAnsiTheme="majorHAnsi" w:cstheme="majorHAnsi"/>
          <w:i/>
          <w:sz w:val="24"/>
          <w:szCs w:val="24"/>
          <w:lang w:val="ru-MD"/>
        </w:rPr>
      </w:pPr>
    </w:p>
    <w:p w:rsidR="00F40961" w:rsidRPr="00A21A6B" w:rsidRDefault="00F40961" w:rsidP="00F40961">
      <w:pPr>
        <w:pStyle w:val="ListParagraph"/>
        <w:numPr>
          <w:ilvl w:val="0"/>
          <w:numId w:val="1"/>
        </w:numPr>
        <w:spacing w:after="0" w:line="276" w:lineRule="auto"/>
        <w:jc w:val="both"/>
        <w:outlineLvl w:val="0"/>
        <w:rPr>
          <w:rFonts w:asciiTheme="majorHAnsi" w:hAnsiTheme="majorHAnsi" w:cstheme="majorHAnsi"/>
          <w:b/>
          <w:sz w:val="24"/>
          <w:szCs w:val="24"/>
          <w:lang w:val="ru-MD"/>
        </w:rPr>
      </w:pPr>
      <w:bookmarkStart w:id="3" w:name="_Toc530056757"/>
      <w:bookmarkStart w:id="4" w:name="_Toc532292926"/>
      <w:r w:rsidRPr="00A21A6B">
        <w:rPr>
          <w:rFonts w:asciiTheme="majorHAnsi" w:hAnsiTheme="majorHAnsi" w:cstheme="majorHAnsi"/>
          <w:b/>
          <w:sz w:val="24"/>
          <w:szCs w:val="24"/>
          <w:lang w:val="ru-MD"/>
        </w:rPr>
        <w:t xml:space="preserve"> </w:t>
      </w:r>
      <w:bookmarkStart w:id="5" w:name="_Toc529533666"/>
      <w:r w:rsidR="00835DA8" w:rsidRPr="00A21A6B">
        <w:rPr>
          <w:rFonts w:asciiTheme="majorHAnsi" w:hAnsiTheme="majorHAnsi" w:cstheme="majorHAnsi"/>
          <w:b/>
          <w:sz w:val="24"/>
          <w:szCs w:val="24"/>
          <w:lang w:val="ru-MD"/>
        </w:rPr>
        <w:t>ОСНОВАНИЕ ДЛЯ УСЛОВНОГО МНЕНИЯ</w:t>
      </w:r>
      <w:bookmarkEnd w:id="5"/>
      <w:r w:rsidR="00835DA8" w:rsidRPr="00A21A6B">
        <w:rPr>
          <w:rFonts w:asciiTheme="majorHAnsi" w:hAnsiTheme="majorHAnsi" w:cstheme="majorHAnsi"/>
          <w:b/>
          <w:sz w:val="24"/>
          <w:szCs w:val="24"/>
          <w:lang w:val="ru-MD"/>
        </w:rPr>
        <w:t xml:space="preserve"> </w:t>
      </w:r>
      <w:bookmarkEnd w:id="3"/>
      <w:bookmarkEnd w:id="4"/>
    </w:p>
    <w:p w:rsidR="00F40961" w:rsidRPr="00A21A6B" w:rsidRDefault="00835DA8" w:rsidP="00F40961">
      <w:pPr>
        <w:pStyle w:val="FootnoteText"/>
        <w:spacing w:after="120" w:line="276" w:lineRule="auto"/>
        <w:jc w:val="both"/>
        <w:rPr>
          <w:rFonts w:asciiTheme="majorHAnsi" w:hAnsiTheme="majorHAnsi" w:cs="Times New Roman"/>
          <w:sz w:val="24"/>
          <w:szCs w:val="24"/>
          <w:lang w:val="ru-MD"/>
        </w:rPr>
      </w:pPr>
      <w:r w:rsidRPr="00A21A6B">
        <w:rPr>
          <w:rFonts w:asciiTheme="majorHAnsi" w:hAnsiTheme="majorHAnsi" w:cs="Times New Roman"/>
          <w:sz w:val="24"/>
          <w:szCs w:val="24"/>
          <w:lang w:val="ru-MD"/>
        </w:rPr>
        <w:t>В соответствии с Постановлением Правительства №117 от 12 августа 2021 года</w:t>
      </w:r>
      <w:r w:rsidR="009B3ECB" w:rsidRPr="00A21A6B">
        <w:rPr>
          <w:rFonts w:asciiTheme="majorHAnsi" w:hAnsiTheme="majorHAnsi" w:cs="Times New Roman"/>
          <w:sz w:val="24"/>
          <w:szCs w:val="24"/>
          <w:lang w:val="ru-MD"/>
        </w:rPr>
        <w:t>, Министерство сельского хозяйства, регионального развития и окружающей среды</w:t>
      </w:r>
      <w:r w:rsidRPr="00A21A6B">
        <w:rPr>
          <w:rFonts w:asciiTheme="majorHAnsi" w:hAnsiTheme="majorHAnsi" w:cs="Times New Roman"/>
          <w:sz w:val="24"/>
          <w:szCs w:val="24"/>
          <w:lang w:val="ru-MD"/>
        </w:rPr>
        <w:t xml:space="preserve"> было реорганизовано в Министерство сельского хозяйства и пищевой промышленности</w:t>
      </w:r>
      <w:r w:rsidR="009B3ECB" w:rsidRPr="00A21A6B">
        <w:rPr>
          <w:rFonts w:asciiTheme="majorHAnsi" w:hAnsiTheme="majorHAnsi" w:cs="Times New Roman"/>
          <w:sz w:val="24"/>
          <w:szCs w:val="24"/>
          <w:lang w:val="ru-MD"/>
        </w:rPr>
        <w:t>,</w:t>
      </w:r>
      <w:r w:rsidRPr="00A21A6B">
        <w:rPr>
          <w:rFonts w:asciiTheme="majorHAnsi" w:hAnsiTheme="majorHAnsi" w:cs="Times New Roman"/>
          <w:sz w:val="24"/>
          <w:szCs w:val="24"/>
          <w:lang w:val="ru-MD"/>
        </w:rPr>
        <w:t xml:space="preserve"> и Министерство окружающей среды, а </w:t>
      </w:r>
      <w:r w:rsidR="009B3ECB" w:rsidRPr="00A21A6B">
        <w:rPr>
          <w:rFonts w:asciiTheme="majorHAnsi" w:hAnsiTheme="majorHAnsi" w:cs="Times New Roman"/>
          <w:sz w:val="24"/>
          <w:szCs w:val="24"/>
          <w:lang w:val="ru-MD"/>
        </w:rPr>
        <w:t>3 подведомственные подразделения</w:t>
      </w:r>
      <w:r w:rsidRPr="00A21A6B">
        <w:rPr>
          <w:rFonts w:asciiTheme="majorHAnsi" w:hAnsiTheme="majorHAnsi" w:cs="Times New Roman"/>
          <w:sz w:val="24"/>
          <w:szCs w:val="24"/>
          <w:lang w:val="ru-MD"/>
        </w:rPr>
        <w:t xml:space="preserve"> были переданы Министерству инфраструктуры и регионального развития. Таким образом, Министерство сельского хозяйства, регионального развития и окружающей среды передало реорганизованным/вновь созданным </w:t>
      </w:r>
      <w:r w:rsidR="009B3ECB" w:rsidRPr="00A21A6B">
        <w:rPr>
          <w:rFonts w:asciiTheme="majorHAnsi" w:hAnsiTheme="majorHAnsi" w:cs="Times New Roman"/>
          <w:sz w:val="24"/>
          <w:szCs w:val="24"/>
          <w:lang w:val="ru-MD"/>
        </w:rPr>
        <w:t>М</w:t>
      </w:r>
      <w:r w:rsidRPr="00A21A6B">
        <w:rPr>
          <w:rFonts w:asciiTheme="majorHAnsi" w:hAnsiTheme="majorHAnsi" w:cs="Times New Roman"/>
          <w:sz w:val="24"/>
          <w:szCs w:val="24"/>
          <w:lang w:val="ru-MD"/>
        </w:rPr>
        <w:t xml:space="preserve">инистерствам </w:t>
      </w:r>
      <w:r w:rsidR="009B3ECB" w:rsidRPr="00A21A6B">
        <w:rPr>
          <w:rFonts w:asciiTheme="majorHAnsi" w:hAnsiTheme="majorHAnsi" w:cs="Times New Roman"/>
          <w:sz w:val="24"/>
          <w:szCs w:val="24"/>
          <w:lang w:val="ru-MD"/>
        </w:rPr>
        <w:t xml:space="preserve">управляемое </w:t>
      </w:r>
      <w:r w:rsidRPr="00A21A6B">
        <w:rPr>
          <w:rFonts w:asciiTheme="majorHAnsi" w:hAnsiTheme="majorHAnsi" w:cs="Times New Roman"/>
          <w:sz w:val="24"/>
          <w:szCs w:val="24"/>
          <w:lang w:val="ru-MD"/>
        </w:rPr>
        <w:t>имущество</w:t>
      </w:r>
      <w:r w:rsidR="009B3ECB" w:rsidRPr="00A21A6B">
        <w:rPr>
          <w:rFonts w:asciiTheme="majorHAnsi" w:hAnsiTheme="majorHAnsi" w:cs="Times New Roman"/>
          <w:sz w:val="24"/>
          <w:szCs w:val="24"/>
          <w:lang w:val="ru-MD"/>
        </w:rPr>
        <w:t>, отразив консолидированный остаток балансовых элементов по состоянию на 31.12.202 со значением 0</w:t>
      </w:r>
      <w:r w:rsidR="00F40961" w:rsidRPr="00A21A6B">
        <w:rPr>
          <w:rFonts w:asciiTheme="majorHAnsi" w:hAnsiTheme="majorHAnsi" w:cs="Times New Roman"/>
          <w:sz w:val="24"/>
          <w:szCs w:val="24"/>
          <w:lang w:val="ru-MD"/>
        </w:rPr>
        <w:t xml:space="preserve">. </w:t>
      </w:r>
      <w:r w:rsidR="009B3ECB" w:rsidRPr="00A21A6B">
        <w:rPr>
          <w:rFonts w:asciiTheme="majorHAnsi" w:hAnsiTheme="majorHAnsi" w:cs="Times New Roman"/>
          <w:sz w:val="24"/>
          <w:szCs w:val="24"/>
          <w:lang w:val="ru-MD"/>
        </w:rPr>
        <w:t>Хотя передача имущества осуществлялась в соответствии с положениями действующей нормативной базы, отмечается полное искажение остатков и информации, включенной в акты приема-передачи, следующим образом</w:t>
      </w:r>
      <w:r w:rsidR="00F40961" w:rsidRPr="00A21A6B">
        <w:rPr>
          <w:rFonts w:asciiTheme="majorHAnsi" w:hAnsiTheme="majorHAnsi" w:cs="Times New Roman"/>
          <w:sz w:val="24"/>
          <w:szCs w:val="24"/>
          <w:lang w:val="ru-MD"/>
        </w:rPr>
        <w:t>:</w:t>
      </w:r>
    </w:p>
    <w:p w:rsidR="00F40961" w:rsidRPr="00A21A6B" w:rsidRDefault="00F40961" w:rsidP="00F40961">
      <w:pPr>
        <w:pStyle w:val="CommentText"/>
        <w:tabs>
          <w:tab w:val="left" w:pos="0"/>
        </w:tabs>
        <w:spacing w:after="120" w:line="276" w:lineRule="auto"/>
        <w:ind w:firstLine="0"/>
        <w:rPr>
          <w:rFonts w:asciiTheme="majorHAnsi" w:hAnsiTheme="majorHAnsi" w:cstheme="majorHAnsi"/>
          <w:sz w:val="24"/>
          <w:szCs w:val="24"/>
          <w:lang w:val="ru-MD"/>
        </w:rPr>
      </w:pPr>
      <w:r w:rsidRPr="00A21A6B">
        <w:rPr>
          <w:rFonts w:asciiTheme="majorHAnsi" w:hAnsiTheme="majorHAnsi" w:cstheme="majorHAnsi"/>
          <w:b/>
          <w:sz w:val="24"/>
          <w:szCs w:val="24"/>
          <w:lang w:val="ru-MD"/>
        </w:rPr>
        <w:t>2.1</w:t>
      </w:r>
      <w:r w:rsidRPr="00A21A6B">
        <w:rPr>
          <w:rFonts w:asciiTheme="majorHAnsi" w:hAnsiTheme="majorHAnsi" w:cstheme="majorHAnsi"/>
          <w:sz w:val="24"/>
          <w:szCs w:val="24"/>
          <w:lang w:val="ru-MD"/>
        </w:rPr>
        <w:t xml:space="preserve"> </w:t>
      </w:r>
      <w:r w:rsidR="008861FB" w:rsidRPr="00A21A6B">
        <w:rPr>
          <w:rFonts w:asciiTheme="majorHAnsi" w:hAnsiTheme="majorHAnsi" w:cstheme="majorHAnsi"/>
          <w:sz w:val="24"/>
          <w:szCs w:val="24"/>
          <w:lang w:val="ru-MD"/>
        </w:rPr>
        <w:t>Министерство не оценило и не учло в установленном порядке земли лесного фонда и в области гидромелиорации, переданные в управление государственным предприятиям, учредителями которых являются под</w:t>
      </w:r>
      <w:r w:rsidR="00FB3AEA" w:rsidRPr="00A21A6B">
        <w:rPr>
          <w:rFonts w:asciiTheme="majorHAnsi" w:hAnsiTheme="majorHAnsi" w:cstheme="majorHAnsi"/>
          <w:sz w:val="24"/>
          <w:szCs w:val="24"/>
          <w:lang w:val="ru-MD"/>
        </w:rPr>
        <w:t>ведомств</w:t>
      </w:r>
      <w:r w:rsidR="008861FB" w:rsidRPr="00A21A6B">
        <w:rPr>
          <w:rFonts w:asciiTheme="majorHAnsi" w:hAnsiTheme="majorHAnsi" w:cstheme="majorHAnsi"/>
          <w:sz w:val="24"/>
          <w:szCs w:val="24"/>
          <w:lang w:val="ru-MD"/>
        </w:rPr>
        <w:t xml:space="preserve">енные учреждения, баланс группы счетов 415 </w:t>
      </w:r>
      <w:r w:rsidR="00FB3AEA" w:rsidRPr="00A21A6B">
        <w:rPr>
          <w:rFonts w:asciiTheme="majorHAnsi" w:hAnsiTheme="majorHAnsi" w:cstheme="majorHAnsi"/>
          <w:sz w:val="24"/>
          <w:szCs w:val="24"/>
          <w:lang w:val="ru-MD"/>
        </w:rPr>
        <w:t>„А</w:t>
      </w:r>
      <w:r w:rsidR="008861FB" w:rsidRPr="00A21A6B">
        <w:rPr>
          <w:rFonts w:asciiTheme="majorHAnsi" w:hAnsiTheme="majorHAnsi" w:cstheme="majorHAnsi"/>
          <w:sz w:val="24"/>
          <w:szCs w:val="24"/>
          <w:lang w:val="ru-MD"/>
        </w:rPr>
        <w:t>кции и другие формы участия внутри страны</w:t>
      </w:r>
      <w:r w:rsidR="00FB3AEA" w:rsidRPr="00A21A6B">
        <w:rPr>
          <w:rFonts w:asciiTheme="majorHAnsi" w:hAnsiTheme="majorHAnsi" w:cstheme="majorHAnsi"/>
          <w:sz w:val="24"/>
          <w:szCs w:val="24"/>
          <w:lang w:val="ru-MD"/>
        </w:rPr>
        <w:t>” был занижен на</w:t>
      </w:r>
      <w:r w:rsidR="008861FB" w:rsidRPr="00A21A6B">
        <w:rPr>
          <w:rFonts w:asciiTheme="majorHAnsi" w:hAnsiTheme="majorHAnsi" w:cstheme="majorHAnsi"/>
          <w:sz w:val="24"/>
          <w:szCs w:val="24"/>
          <w:lang w:val="ru-MD"/>
        </w:rPr>
        <w:t xml:space="preserve"> 24 827,5 млн. ле</w:t>
      </w:r>
      <w:r w:rsidR="00FB3AEA" w:rsidRPr="00A21A6B">
        <w:rPr>
          <w:rFonts w:asciiTheme="majorHAnsi" w:hAnsiTheme="majorHAnsi" w:cstheme="majorHAnsi"/>
          <w:sz w:val="24"/>
          <w:szCs w:val="24"/>
          <w:lang w:val="ru-MD"/>
        </w:rPr>
        <w:t xml:space="preserve">ев. </w:t>
      </w:r>
    </w:p>
    <w:p w:rsidR="00F40961" w:rsidRPr="00A21A6B" w:rsidRDefault="008861FB"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Министерство, </w:t>
      </w:r>
      <w:r w:rsidR="000A03FA" w:rsidRPr="00A21A6B">
        <w:rPr>
          <w:rFonts w:asciiTheme="majorHAnsi" w:hAnsiTheme="majorHAnsi" w:cstheme="majorHAnsi"/>
          <w:sz w:val="24"/>
          <w:szCs w:val="24"/>
          <w:lang w:val="ru-MD"/>
        </w:rPr>
        <w:t>в результате несоблюдения положений Приказа министра финансов №216/2015</w:t>
      </w:r>
      <w:r w:rsidR="00793C21" w:rsidRPr="00A21A6B">
        <w:rPr>
          <w:rFonts w:asciiTheme="majorHAnsi" w:hAnsiTheme="majorHAnsi" w:cstheme="majorHAnsi"/>
          <w:sz w:val="24"/>
          <w:szCs w:val="24"/>
          <w:lang w:val="ru-MD"/>
        </w:rPr>
        <w:t>,</w:t>
      </w:r>
      <w:r w:rsidR="000A03FA" w:rsidRPr="00A21A6B">
        <w:rPr>
          <w:rFonts w:asciiTheme="majorHAnsi" w:hAnsiTheme="majorHAnsi" w:cstheme="majorHAnsi"/>
          <w:sz w:val="24"/>
          <w:szCs w:val="24"/>
          <w:lang w:val="ru-MD"/>
        </w:rPr>
        <w:t xml:space="preserve"> не исключило из бухгалтерского учета объем акций и дол</w:t>
      </w:r>
      <w:r w:rsidR="00793C21" w:rsidRPr="00A21A6B">
        <w:rPr>
          <w:rFonts w:asciiTheme="majorHAnsi" w:hAnsiTheme="majorHAnsi" w:cstheme="majorHAnsi"/>
          <w:sz w:val="24"/>
          <w:szCs w:val="24"/>
          <w:lang w:val="ru-MD"/>
        </w:rPr>
        <w:t>и</w:t>
      </w:r>
      <w:r w:rsidR="000A03FA" w:rsidRPr="00A21A6B">
        <w:rPr>
          <w:rFonts w:asciiTheme="majorHAnsi" w:hAnsiTheme="majorHAnsi" w:cstheme="majorHAnsi"/>
          <w:sz w:val="24"/>
          <w:szCs w:val="24"/>
          <w:lang w:val="ru-MD"/>
        </w:rPr>
        <w:t xml:space="preserve"> в уставном капитале </w:t>
      </w:r>
      <w:r w:rsidR="00793C21" w:rsidRPr="00A21A6B">
        <w:rPr>
          <w:rFonts w:asciiTheme="majorHAnsi" w:hAnsiTheme="majorHAnsi" w:cstheme="majorHAnsi"/>
          <w:sz w:val="24"/>
          <w:szCs w:val="24"/>
          <w:lang w:val="ru-MD"/>
        </w:rPr>
        <w:t xml:space="preserve">внутри страны, в сумме 25,7 млн. леев, представляющие размер доли участия в уставном капитале </w:t>
      </w:r>
      <w:r w:rsidR="000A03FA" w:rsidRPr="00A21A6B">
        <w:rPr>
          <w:rFonts w:asciiTheme="majorHAnsi" w:hAnsiTheme="majorHAnsi" w:cstheme="majorHAnsi"/>
          <w:sz w:val="24"/>
          <w:szCs w:val="24"/>
          <w:lang w:val="ru-MD"/>
        </w:rPr>
        <w:t>2 государственных предприятий</w:t>
      </w:r>
      <w:r w:rsidR="000A03FA" w:rsidRPr="00A21A6B">
        <w:rPr>
          <w:rFonts w:asciiTheme="majorHAnsi" w:hAnsiTheme="majorHAnsi" w:cstheme="majorHAnsi"/>
          <w:sz w:val="24"/>
          <w:szCs w:val="24"/>
          <w:vertAlign w:val="superscript"/>
          <w:lang w:val="ru-MD"/>
        </w:rPr>
        <w:footnoteReference w:id="2"/>
      </w:r>
      <w:r w:rsidR="000A03FA" w:rsidRPr="00A21A6B">
        <w:rPr>
          <w:rFonts w:asciiTheme="majorHAnsi" w:hAnsiTheme="majorHAnsi" w:cstheme="majorHAnsi"/>
          <w:sz w:val="24"/>
          <w:szCs w:val="24"/>
          <w:lang w:val="ru-MD"/>
        </w:rPr>
        <w:t>, расположенных за границей (25,7 млн. ​​леев), а также стоимост</w:t>
      </w:r>
      <w:r w:rsidR="00793C21" w:rsidRPr="00A21A6B">
        <w:rPr>
          <w:rFonts w:asciiTheme="majorHAnsi" w:hAnsiTheme="majorHAnsi" w:cstheme="majorHAnsi"/>
          <w:sz w:val="24"/>
          <w:szCs w:val="24"/>
          <w:lang w:val="ru-MD"/>
        </w:rPr>
        <w:t>ь</w:t>
      </w:r>
      <w:r w:rsidR="000A03FA" w:rsidRPr="00A21A6B">
        <w:rPr>
          <w:rFonts w:asciiTheme="majorHAnsi" w:hAnsiTheme="majorHAnsi" w:cstheme="majorHAnsi"/>
          <w:sz w:val="24"/>
          <w:szCs w:val="24"/>
          <w:lang w:val="ru-MD"/>
        </w:rPr>
        <w:t xml:space="preserve"> уставной доли одного предприятия в размере 20,5 млн. леев, которое было ликвидировано и исключено из Государственного реестра юридических лиц в 2021 </w:t>
      </w:r>
      <w:r w:rsidRPr="00A21A6B">
        <w:rPr>
          <w:rFonts w:asciiTheme="majorHAnsi" w:hAnsiTheme="majorHAnsi" w:cstheme="majorHAnsi"/>
          <w:sz w:val="24"/>
          <w:szCs w:val="24"/>
          <w:lang w:val="ru-MD"/>
        </w:rPr>
        <w:t>году</w:t>
      </w:r>
      <w:r w:rsidR="00793C21" w:rsidRPr="00A21A6B">
        <w:rPr>
          <w:rFonts w:asciiTheme="majorHAnsi" w:hAnsiTheme="majorHAnsi" w:cstheme="majorHAnsi"/>
          <w:sz w:val="24"/>
          <w:szCs w:val="24"/>
          <w:lang w:val="ru-MD"/>
        </w:rPr>
        <w:t>.</w:t>
      </w:r>
      <w:r w:rsidR="00F40961" w:rsidRPr="00A21A6B">
        <w:rPr>
          <w:rFonts w:asciiTheme="majorHAnsi" w:hAnsiTheme="majorHAnsi" w:cstheme="majorHAnsi"/>
          <w:sz w:val="24"/>
          <w:szCs w:val="24"/>
          <w:lang w:val="ru-MD"/>
        </w:rPr>
        <w:t xml:space="preserve"> </w:t>
      </w:r>
    </w:p>
    <w:p w:rsidR="00F40961" w:rsidRPr="00A21A6B" w:rsidRDefault="00793C21"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lastRenderedPageBreak/>
        <w:t>Кроме того,</w:t>
      </w:r>
      <w:r w:rsidR="008861FB"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Министерство незаконно передало на безвозмездной основе колледжам, перешедшим на самоуправление после реформы 2018 года</w:t>
      </w:r>
      <w:r w:rsidRPr="00A21A6B">
        <w:rPr>
          <w:rFonts w:asciiTheme="majorHAnsi" w:hAnsiTheme="majorHAnsi" w:cstheme="majorHAnsi"/>
          <w:sz w:val="24"/>
          <w:szCs w:val="24"/>
          <w:vertAlign w:val="superscript"/>
          <w:lang w:val="ru-MD"/>
        </w:rPr>
        <w:footnoteReference w:id="3"/>
      </w:r>
      <w:r w:rsidRPr="00A21A6B">
        <w:rPr>
          <w:rFonts w:asciiTheme="majorHAnsi" w:hAnsiTheme="majorHAnsi" w:cstheme="majorHAnsi"/>
          <w:sz w:val="24"/>
          <w:szCs w:val="24"/>
          <w:lang w:val="ru-MD"/>
        </w:rPr>
        <w:t xml:space="preserve">, </w:t>
      </w:r>
      <w:r w:rsidR="00CB5643" w:rsidRPr="00A21A6B">
        <w:rPr>
          <w:rFonts w:asciiTheme="majorHAnsi" w:hAnsiTheme="majorHAnsi" w:cstheme="majorHAnsi"/>
          <w:sz w:val="24"/>
          <w:szCs w:val="24"/>
          <w:lang w:val="ru-MD"/>
        </w:rPr>
        <w:t xml:space="preserve">долю в размере 247,5 млн. леев, состоящую из </w:t>
      </w:r>
      <w:r w:rsidRPr="00A21A6B">
        <w:rPr>
          <w:rFonts w:asciiTheme="majorHAnsi" w:hAnsiTheme="majorHAnsi" w:cstheme="majorHAnsi"/>
          <w:sz w:val="24"/>
          <w:szCs w:val="24"/>
          <w:lang w:val="ru-MD"/>
        </w:rPr>
        <w:t>недвижимо</w:t>
      </w:r>
      <w:r w:rsidR="00CB5643" w:rsidRPr="00A21A6B">
        <w:rPr>
          <w:rFonts w:asciiTheme="majorHAnsi" w:hAnsiTheme="majorHAnsi" w:cstheme="majorHAnsi"/>
          <w:sz w:val="24"/>
          <w:szCs w:val="24"/>
          <w:lang w:val="ru-MD"/>
        </w:rPr>
        <w:t>го</w:t>
      </w:r>
      <w:r w:rsidRPr="00A21A6B">
        <w:rPr>
          <w:rFonts w:asciiTheme="majorHAnsi" w:hAnsiTheme="majorHAnsi" w:cstheme="majorHAnsi"/>
          <w:sz w:val="24"/>
          <w:szCs w:val="24"/>
          <w:lang w:val="ru-MD"/>
        </w:rPr>
        <w:t xml:space="preserve"> имуществ</w:t>
      </w:r>
      <w:r w:rsidR="00CB5643"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публичной собственности</w:t>
      </w:r>
      <w:r w:rsidR="00F40961" w:rsidRPr="00A21A6B">
        <w:rPr>
          <w:rFonts w:asciiTheme="majorHAnsi" w:hAnsiTheme="majorHAnsi" w:cstheme="majorHAnsi"/>
          <w:sz w:val="24"/>
          <w:szCs w:val="24"/>
          <w:lang w:val="ru-MD"/>
        </w:rPr>
        <w:t xml:space="preserve">. </w:t>
      </w:r>
    </w:p>
    <w:p w:rsidR="00F40961" w:rsidRPr="00A21A6B" w:rsidRDefault="008861FB"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Учитывая эти ошибки, </w:t>
      </w:r>
      <w:r w:rsidR="006403B1" w:rsidRPr="00A21A6B">
        <w:rPr>
          <w:rFonts w:asciiTheme="majorHAnsi" w:hAnsiTheme="majorHAnsi" w:cstheme="majorHAnsi"/>
          <w:sz w:val="24"/>
          <w:szCs w:val="24"/>
          <w:lang w:val="ru-MD"/>
        </w:rPr>
        <w:t>отраж</w:t>
      </w:r>
      <w:r w:rsidRPr="00A21A6B">
        <w:rPr>
          <w:rFonts w:asciiTheme="majorHAnsi" w:hAnsiTheme="majorHAnsi" w:cstheme="majorHAnsi"/>
          <w:sz w:val="24"/>
          <w:szCs w:val="24"/>
          <w:lang w:val="ru-MD"/>
        </w:rPr>
        <w:t>енная стоимость дол</w:t>
      </w:r>
      <w:r w:rsidR="006403B1" w:rsidRPr="00A21A6B">
        <w:rPr>
          <w:rFonts w:asciiTheme="majorHAnsi" w:hAnsiTheme="majorHAnsi" w:cstheme="majorHAnsi"/>
          <w:sz w:val="24"/>
          <w:szCs w:val="24"/>
          <w:lang w:val="ru-MD"/>
        </w:rPr>
        <w:t>ей</w:t>
      </w:r>
      <w:r w:rsidRPr="00A21A6B">
        <w:rPr>
          <w:rFonts w:asciiTheme="majorHAnsi" w:hAnsiTheme="majorHAnsi" w:cstheme="majorHAnsi"/>
          <w:sz w:val="24"/>
          <w:szCs w:val="24"/>
          <w:lang w:val="ru-MD"/>
        </w:rPr>
        <w:t xml:space="preserve"> участия в уставном капитале государственных предприятий была занижена на 25 028,8 млн. ле</w:t>
      </w:r>
      <w:r w:rsidR="006403B1" w:rsidRPr="00A21A6B">
        <w:rPr>
          <w:rFonts w:asciiTheme="majorHAnsi" w:hAnsiTheme="majorHAnsi" w:cstheme="majorHAnsi"/>
          <w:sz w:val="24"/>
          <w:szCs w:val="24"/>
          <w:lang w:val="ru-MD"/>
        </w:rPr>
        <w:t>ев</w:t>
      </w:r>
      <w:r w:rsidR="00F40961" w:rsidRPr="00A21A6B">
        <w:rPr>
          <w:rStyle w:val="FootnoteReference"/>
          <w:rFonts w:asciiTheme="majorHAnsi" w:hAnsiTheme="majorHAnsi" w:cstheme="majorHAnsi"/>
          <w:sz w:val="24"/>
          <w:lang w:val="ru-MD"/>
        </w:rPr>
        <w:footnoteReference w:id="4"/>
      </w:r>
      <w:r w:rsidR="00F40961" w:rsidRPr="00A21A6B">
        <w:rPr>
          <w:rFonts w:asciiTheme="majorHAnsi" w:hAnsiTheme="majorHAnsi" w:cstheme="majorHAnsi"/>
          <w:sz w:val="24"/>
          <w:szCs w:val="24"/>
          <w:lang w:val="ru-MD"/>
        </w:rPr>
        <w:t>.</w:t>
      </w:r>
    </w:p>
    <w:p w:rsidR="00F40961" w:rsidRPr="00A21A6B" w:rsidRDefault="006403B1" w:rsidP="00F40961">
      <w:pPr>
        <w:pStyle w:val="CommentText"/>
        <w:tabs>
          <w:tab w:val="left" w:pos="0"/>
        </w:tabs>
        <w:spacing w:after="12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Министерство не соблюдало положения Закона №29/2018</w:t>
      </w:r>
      <w:r w:rsidRPr="00A21A6B">
        <w:rPr>
          <w:rFonts w:asciiTheme="majorHAnsi" w:hAnsiTheme="majorHAnsi" w:cstheme="majorHAnsi"/>
          <w:sz w:val="24"/>
          <w:szCs w:val="24"/>
          <w:vertAlign w:val="superscript"/>
          <w:lang w:val="ru-MD"/>
        </w:rPr>
        <w:footnoteReference w:id="5"/>
      </w:r>
      <w:r w:rsidRPr="00A21A6B">
        <w:rPr>
          <w:rFonts w:asciiTheme="majorHAnsi" w:hAnsiTheme="majorHAnsi" w:cstheme="majorHAnsi"/>
          <w:sz w:val="24"/>
          <w:szCs w:val="24"/>
          <w:lang w:val="ru-MD"/>
        </w:rPr>
        <w:t xml:space="preserve"> и Закона №246/2017</w:t>
      </w:r>
      <w:r w:rsidRPr="00A21A6B">
        <w:rPr>
          <w:rFonts w:asciiTheme="majorHAnsi" w:hAnsiTheme="majorHAnsi" w:cstheme="majorHAnsi"/>
          <w:sz w:val="24"/>
          <w:szCs w:val="24"/>
          <w:vertAlign w:val="superscript"/>
          <w:lang w:val="ru-MD"/>
        </w:rPr>
        <w:footnoteReference w:id="6"/>
      </w:r>
      <w:r w:rsidRPr="00A21A6B">
        <w:rPr>
          <w:rFonts w:asciiTheme="majorHAnsi" w:hAnsiTheme="majorHAnsi" w:cstheme="majorHAnsi"/>
          <w:sz w:val="24"/>
          <w:szCs w:val="24"/>
          <w:lang w:val="ru-MD"/>
        </w:rPr>
        <w:t xml:space="preserve"> в отношении уставного капитала и состава депонированных в нем активов</w:t>
      </w:r>
      <w:r w:rsidRPr="00A21A6B">
        <w:rPr>
          <w:rFonts w:asciiTheme="majorHAnsi" w:hAnsiTheme="majorHAnsi" w:cstheme="majorHAnsi"/>
          <w:sz w:val="24"/>
          <w:szCs w:val="24"/>
          <w:vertAlign w:val="superscript"/>
          <w:lang w:val="ru-MD"/>
        </w:rPr>
        <w:footnoteReference w:id="7"/>
      </w:r>
      <w:r w:rsidRPr="00A21A6B">
        <w:rPr>
          <w:rFonts w:asciiTheme="majorHAnsi" w:hAnsiTheme="majorHAnsi" w:cstheme="majorHAnsi"/>
          <w:sz w:val="24"/>
          <w:szCs w:val="24"/>
          <w:lang w:val="ru-MD"/>
        </w:rPr>
        <w:t>. Отсутствие исчерпывающего перечня активов, переданных в уставный капитал государственных предприятий, не позволяет обеспечить разумную уверенность в реальности и достоверности отраженной стоимости в 648,04 млн. леев</w:t>
      </w:r>
      <w:r w:rsidR="008861FB" w:rsidRPr="00A21A6B">
        <w:rPr>
          <w:rFonts w:asciiTheme="majorHAnsi" w:hAnsiTheme="majorHAnsi" w:cstheme="majorHAnsi"/>
          <w:sz w:val="24"/>
          <w:szCs w:val="24"/>
          <w:lang w:val="ru-MD"/>
        </w:rPr>
        <w:t>, котор</w:t>
      </w:r>
      <w:r w:rsidRPr="00A21A6B">
        <w:rPr>
          <w:rFonts w:asciiTheme="majorHAnsi" w:hAnsiTheme="majorHAnsi" w:cstheme="majorHAnsi"/>
          <w:sz w:val="24"/>
          <w:szCs w:val="24"/>
          <w:lang w:val="ru-MD"/>
        </w:rPr>
        <w:t>ая</w:t>
      </w:r>
      <w:r w:rsidR="008861FB" w:rsidRPr="00A21A6B">
        <w:rPr>
          <w:rFonts w:asciiTheme="majorHAnsi" w:hAnsiTheme="majorHAnsi" w:cstheme="majorHAnsi"/>
          <w:sz w:val="24"/>
          <w:szCs w:val="24"/>
          <w:lang w:val="ru-MD"/>
        </w:rPr>
        <w:t xml:space="preserve"> составляет долю в уставном капитале 44 государственных предприятий и акционерных обществ</w:t>
      </w:r>
      <w:r w:rsidR="00F40961" w:rsidRPr="00A21A6B">
        <w:rPr>
          <w:rFonts w:asciiTheme="majorHAnsi" w:hAnsiTheme="majorHAnsi" w:cstheme="majorHAnsi"/>
          <w:sz w:val="24"/>
          <w:szCs w:val="24"/>
          <w:lang w:val="ru-MD"/>
        </w:rPr>
        <w:t xml:space="preserve">. </w:t>
      </w:r>
    </w:p>
    <w:p w:rsidR="00F40961" w:rsidRPr="00A21A6B" w:rsidRDefault="008861FB" w:rsidP="00AD3B65">
      <w:pPr>
        <w:pStyle w:val="CommentText"/>
        <w:numPr>
          <w:ilvl w:val="1"/>
          <w:numId w:val="12"/>
        </w:numPr>
        <w:tabs>
          <w:tab w:val="left" w:pos="0"/>
          <w:tab w:val="left" w:pos="540"/>
        </w:tabs>
        <w:spacing w:before="60" w:line="276" w:lineRule="auto"/>
        <w:ind w:left="0"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Министерство владеет 48 земельными участками площадью 723,99 га</w:t>
      </w:r>
      <w:r w:rsidR="00BA32A0" w:rsidRPr="00A21A6B">
        <w:rPr>
          <w:rStyle w:val="FootnoteReference"/>
          <w:rFonts w:asciiTheme="majorHAnsi" w:hAnsiTheme="majorHAnsi" w:cstheme="majorHAnsi"/>
          <w:sz w:val="24"/>
          <w:szCs w:val="24"/>
          <w:lang w:val="ru-MD"/>
        </w:rPr>
        <w:footnoteReference w:id="8"/>
      </w:r>
      <w:r w:rsidRPr="00A21A6B">
        <w:rPr>
          <w:rFonts w:asciiTheme="majorHAnsi" w:hAnsiTheme="majorHAnsi" w:cstheme="majorHAnsi"/>
          <w:sz w:val="24"/>
          <w:szCs w:val="24"/>
          <w:lang w:val="ru-MD"/>
        </w:rPr>
        <w:t>, которы</w:t>
      </w:r>
      <w:r w:rsidR="00BA32A0" w:rsidRPr="00A21A6B">
        <w:rPr>
          <w:rFonts w:asciiTheme="majorHAnsi" w:hAnsiTheme="majorHAnsi" w:cstheme="majorHAnsi"/>
          <w:sz w:val="24"/>
          <w:szCs w:val="24"/>
          <w:lang w:val="ru-MD"/>
        </w:rPr>
        <w:t xml:space="preserve">е </w:t>
      </w:r>
      <w:r w:rsidRPr="00A21A6B">
        <w:rPr>
          <w:rFonts w:asciiTheme="majorHAnsi" w:hAnsiTheme="majorHAnsi" w:cstheme="majorHAnsi"/>
          <w:sz w:val="24"/>
          <w:szCs w:val="24"/>
          <w:lang w:val="ru-MD"/>
        </w:rPr>
        <w:t>не</w:t>
      </w:r>
      <w:r w:rsidR="00BA32A0" w:rsidRPr="00A21A6B">
        <w:rPr>
          <w:rFonts w:asciiTheme="majorHAnsi" w:hAnsiTheme="majorHAnsi" w:cstheme="majorHAnsi"/>
          <w:sz w:val="24"/>
          <w:szCs w:val="24"/>
          <w:lang w:val="ru-MD"/>
        </w:rPr>
        <w:t xml:space="preserve"> отражены </w:t>
      </w:r>
      <w:r w:rsidRPr="00A21A6B">
        <w:rPr>
          <w:rFonts w:asciiTheme="majorHAnsi" w:hAnsiTheme="majorHAnsi" w:cstheme="majorHAnsi"/>
          <w:sz w:val="24"/>
          <w:szCs w:val="24"/>
          <w:lang w:val="ru-MD"/>
        </w:rPr>
        <w:t xml:space="preserve">в бухгалтерском учете. Чтобы определить стоимость </w:t>
      </w:r>
      <w:r w:rsidR="00B62691"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субъект должен был применить</w:t>
      </w:r>
      <w:r w:rsidR="00B62691"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для признания</w:t>
      </w:r>
      <w:r w:rsidR="00B62691"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r w:rsidR="006403B1" w:rsidRPr="00A21A6B">
        <w:rPr>
          <w:rFonts w:asciiTheme="majorHAnsi" w:hAnsiTheme="majorHAnsi" w:cstheme="majorHAnsi"/>
          <w:sz w:val="24"/>
          <w:szCs w:val="24"/>
          <w:lang w:val="ru-MD"/>
        </w:rPr>
        <w:t xml:space="preserve">нормативную цену, рассчитанную в соответствии с положениями Закона о нормативной цене и порядке купли-продажи земли №1308-XIII от 25 июля 1997 года. </w:t>
      </w:r>
      <w:r w:rsidRPr="00A21A6B">
        <w:rPr>
          <w:rFonts w:asciiTheme="majorHAnsi" w:hAnsiTheme="majorHAnsi" w:cstheme="majorHAnsi"/>
          <w:sz w:val="24"/>
          <w:szCs w:val="24"/>
          <w:lang w:val="ru-MD"/>
        </w:rPr>
        <w:t xml:space="preserve">Таким образом, стоимость </w:t>
      </w:r>
      <w:r w:rsidR="006403B1"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xml:space="preserve"> была занижена на 161,35 млн. ле</w:t>
      </w:r>
      <w:r w:rsidR="006403B1" w:rsidRPr="00A21A6B">
        <w:rPr>
          <w:rFonts w:asciiTheme="majorHAnsi" w:hAnsiTheme="majorHAnsi" w:cstheme="majorHAnsi"/>
          <w:sz w:val="24"/>
          <w:szCs w:val="24"/>
          <w:lang w:val="ru-MD"/>
        </w:rPr>
        <w:t>ев</w:t>
      </w:r>
      <w:r w:rsidR="00F40961" w:rsidRPr="00A21A6B">
        <w:rPr>
          <w:rFonts w:asciiTheme="majorHAnsi" w:hAnsiTheme="majorHAnsi" w:cstheme="majorHAnsi"/>
          <w:sz w:val="24"/>
          <w:szCs w:val="24"/>
          <w:lang w:val="ru-MD"/>
        </w:rPr>
        <w:t>.</w:t>
      </w:r>
    </w:p>
    <w:p w:rsidR="00F40961" w:rsidRPr="00A21A6B" w:rsidRDefault="00BA32A0"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Одновременно,</w:t>
      </w:r>
      <w:r w:rsidR="008861FB"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М</w:t>
      </w:r>
      <w:r w:rsidR="008861FB" w:rsidRPr="00A21A6B">
        <w:rPr>
          <w:rFonts w:asciiTheme="majorHAnsi" w:hAnsiTheme="majorHAnsi" w:cstheme="majorHAnsi"/>
          <w:sz w:val="24"/>
          <w:szCs w:val="24"/>
          <w:lang w:val="ru-MD"/>
        </w:rPr>
        <w:t>инистерство признало в бухгалтерском учете сумму в 63,20 млн. ле</w:t>
      </w:r>
      <w:r w:rsidRPr="00A21A6B">
        <w:rPr>
          <w:rFonts w:asciiTheme="majorHAnsi" w:hAnsiTheme="majorHAnsi" w:cstheme="majorHAnsi"/>
          <w:sz w:val="24"/>
          <w:szCs w:val="24"/>
          <w:lang w:val="ru-MD"/>
        </w:rPr>
        <w:t>ев</w:t>
      </w:r>
      <w:r w:rsidR="008861FB" w:rsidRPr="00A21A6B">
        <w:rPr>
          <w:rFonts w:asciiTheme="majorHAnsi" w:hAnsiTheme="majorHAnsi" w:cstheme="majorHAnsi"/>
          <w:sz w:val="24"/>
          <w:szCs w:val="24"/>
          <w:lang w:val="ru-MD"/>
        </w:rPr>
        <w:t>, представляющ</w:t>
      </w:r>
      <w:r w:rsidRPr="00A21A6B">
        <w:rPr>
          <w:rFonts w:asciiTheme="majorHAnsi" w:hAnsiTheme="majorHAnsi" w:cstheme="majorHAnsi"/>
          <w:sz w:val="24"/>
          <w:szCs w:val="24"/>
          <w:lang w:val="ru-MD"/>
        </w:rPr>
        <w:t>ую</w:t>
      </w:r>
      <w:r w:rsidR="008861FB" w:rsidRPr="00A21A6B">
        <w:rPr>
          <w:rFonts w:asciiTheme="majorHAnsi" w:hAnsiTheme="majorHAnsi" w:cstheme="majorHAnsi"/>
          <w:sz w:val="24"/>
          <w:szCs w:val="24"/>
          <w:lang w:val="ru-MD"/>
        </w:rPr>
        <w:t xml:space="preserve"> стоимость 97 земельных участков общей площадью 1 694,5 га, которые, согласно записям </w:t>
      </w:r>
      <w:r w:rsidRPr="00A21A6B">
        <w:rPr>
          <w:rFonts w:asciiTheme="majorHAnsi" w:hAnsiTheme="majorHAnsi" w:cstheme="majorHAnsi"/>
          <w:sz w:val="24"/>
          <w:szCs w:val="24"/>
          <w:lang w:val="ru-MD"/>
        </w:rPr>
        <w:t>из Р</w:t>
      </w:r>
      <w:r w:rsidR="008861FB"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ги</w:t>
      </w:r>
      <w:r w:rsidR="008861FB" w:rsidRPr="00A21A6B">
        <w:rPr>
          <w:rFonts w:asciiTheme="majorHAnsi" w:hAnsiTheme="majorHAnsi" w:cstheme="majorHAnsi"/>
          <w:sz w:val="24"/>
          <w:szCs w:val="24"/>
          <w:lang w:val="ru-MD"/>
        </w:rPr>
        <w:t>стр</w:t>
      </w:r>
      <w:r w:rsidRPr="00A21A6B">
        <w:rPr>
          <w:rFonts w:asciiTheme="majorHAnsi" w:hAnsiTheme="majorHAnsi" w:cstheme="majorHAnsi"/>
          <w:sz w:val="24"/>
          <w:szCs w:val="24"/>
          <w:lang w:val="ru-MD"/>
        </w:rPr>
        <w:t>а</w:t>
      </w:r>
      <w:r w:rsidR="008861FB" w:rsidRPr="00A21A6B">
        <w:rPr>
          <w:rFonts w:asciiTheme="majorHAnsi" w:hAnsiTheme="majorHAnsi" w:cstheme="majorHAnsi"/>
          <w:sz w:val="24"/>
          <w:szCs w:val="24"/>
          <w:lang w:val="ru-MD"/>
        </w:rPr>
        <w:t xml:space="preserve"> недвижимого имущества, принадлежат третьим лицам</w:t>
      </w:r>
      <w:r w:rsidR="00F40961" w:rsidRPr="00A21A6B">
        <w:rPr>
          <w:rFonts w:asciiTheme="majorHAnsi" w:hAnsiTheme="majorHAnsi" w:cstheme="majorHAnsi"/>
          <w:sz w:val="24"/>
          <w:szCs w:val="24"/>
          <w:lang w:val="ru-MD"/>
        </w:rPr>
        <w:t xml:space="preserve">. </w:t>
      </w:r>
    </w:p>
    <w:p w:rsidR="00F40961" w:rsidRPr="00A21A6B" w:rsidRDefault="008861FB"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Министерство также не применило нормативные положения и </w:t>
      </w:r>
      <w:r w:rsidR="006A6510" w:rsidRPr="00A21A6B">
        <w:rPr>
          <w:rFonts w:asciiTheme="majorHAnsi" w:hAnsiTheme="majorHAnsi" w:cstheme="majorHAnsi"/>
          <w:sz w:val="24"/>
          <w:szCs w:val="24"/>
          <w:lang w:val="ru-MD"/>
        </w:rPr>
        <w:t>за</w:t>
      </w:r>
      <w:r w:rsidR="003E1E9C" w:rsidRPr="00A21A6B">
        <w:rPr>
          <w:rFonts w:asciiTheme="majorHAnsi" w:hAnsiTheme="majorHAnsi" w:cstheme="majorHAnsi"/>
          <w:sz w:val="24"/>
          <w:szCs w:val="24"/>
          <w:lang w:val="ru-MD"/>
        </w:rPr>
        <w:t>регистр</w:t>
      </w:r>
      <w:r w:rsidR="006A6510" w:rsidRPr="00A21A6B">
        <w:rPr>
          <w:rFonts w:asciiTheme="majorHAnsi" w:hAnsiTheme="majorHAnsi" w:cstheme="majorHAnsi"/>
          <w:sz w:val="24"/>
          <w:szCs w:val="24"/>
          <w:lang w:val="ru-MD"/>
        </w:rPr>
        <w:t>ировало</w:t>
      </w:r>
      <w:r w:rsidR="003E1E9C" w:rsidRPr="00A21A6B">
        <w:rPr>
          <w:rFonts w:asciiTheme="majorHAnsi" w:hAnsiTheme="majorHAnsi" w:cstheme="majorHAnsi"/>
          <w:sz w:val="24"/>
          <w:szCs w:val="24"/>
          <w:lang w:val="ru-MD"/>
        </w:rPr>
        <w:t xml:space="preserve"> в учете 9 земельных участков площадью 1 668,73 га на сумму 57,13 млн. леев, полученных в безвозмездном пользовании от Агентства публичной собственности</w:t>
      </w:r>
      <w:r w:rsidR="00F40961" w:rsidRPr="00A21A6B">
        <w:rPr>
          <w:rFonts w:asciiTheme="majorHAnsi" w:hAnsiTheme="majorHAnsi" w:cstheme="majorHAnsi"/>
          <w:sz w:val="24"/>
          <w:szCs w:val="24"/>
          <w:lang w:val="ru-MD"/>
        </w:rPr>
        <w:t>.</w:t>
      </w:r>
    </w:p>
    <w:p w:rsidR="00F40961" w:rsidRPr="00A21A6B" w:rsidRDefault="008861FB" w:rsidP="00355CA5">
      <w:pPr>
        <w:pStyle w:val="CommentText"/>
        <w:tabs>
          <w:tab w:val="left" w:pos="0"/>
        </w:tabs>
        <w:spacing w:before="60" w:line="276" w:lineRule="auto"/>
        <w:ind w:firstLine="0"/>
        <w:rPr>
          <w:rFonts w:asciiTheme="majorHAnsi" w:hAnsiTheme="majorHAnsi" w:cstheme="majorHAnsi"/>
          <w:sz w:val="24"/>
          <w:szCs w:val="24"/>
          <w:lang w:val="ru-MD"/>
        </w:rPr>
      </w:pPr>
      <w:r w:rsidRPr="00A21A6B">
        <w:rPr>
          <w:rFonts w:asciiTheme="majorHAnsi" w:hAnsiTheme="majorHAnsi" w:cstheme="majorHAnsi"/>
          <w:sz w:val="24"/>
          <w:szCs w:val="24"/>
          <w:lang w:val="ru-MD"/>
        </w:rPr>
        <w:t>В результате этих ошибок</w:t>
      </w:r>
      <w:r w:rsidR="006A6510"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r w:rsidR="006A6510" w:rsidRPr="00A21A6B">
        <w:rPr>
          <w:rFonts w:asciiTheme="majorHAnsi" w:hAnsiTheme="majorHAnsi" w:cstheme="majorHAnsi"/>
          <w:sz w:val="24"/>
          <w:szCs w:val="24"/>
          <w:lang w:val="ru-MD"/>
        </w:rPr>
        <w:t>отраж</w:t>
      </w:r>
      <w:r w:rsidRPr="00A21A6B">
        <w:rPr>
          <w:rFonts w:asciiTheme="majorHAnsi" w:hAnsiTheme="majorHAnsi" w:cstheme="majorHAnsi"/>
          <w:sz w:val="24"/>
          <w:szCs w:val="24"/>
          <w:lang w:val="ru-MD"/>
        </w:rPr>
        <w:t xml:space="preserve">енная стоимость </w:t>
      </w:r>
      <w:r w:rsidR="006A6510"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xml:space="preserve"> была занижена на 41,02 млн. ле</w:t>
      </w:r>
      <w:r w:rsidR="006A6510" w:rsidRPr="00A21A6B">
        <w:rPr>
          <w:rFonts w:asciiTheme="majorHAnsi" w:hAnsiTheme="majorHAnsi" w:cstheme="majorHAnsi"/>
          <w:sz w:val="24"/>
          <w:szCs w:val="24"/>
          <w:lang w:val="ru-MD"/>
        </w:rPr>
        <w:t>ев</w:t>
      </w:r>
      <w:r w:rsidR="00F40961" w:rsidRPr="00A21A6B">
        <w:rPr>
          <w:rStyle w:val="FootnoteReference"/>
          <w:rFonts w:asciiTheme="majorHAnsi" w:hAnsiTheme="majorHAnsi" w:cstheme="majorHAnsi"/>
          <w:sz w:val="24"/>
          <w:szCs w:val="24"/>
          <w:lang w:val="ru-MD"/>
        </w:rPr>
        <w:footnoteReference w:id="9"/>
      </w:r>
      <w:r w:rsidR="00F40961" w:rsidRPr="00A21A6B">
        <w:rPr>
          <w:rFonts w:asciiTheme="majorHAnsi" w:hAnsiTheme="majorHAnsi" w:cstheme="majorHAnsi"/>
          <w:sz w:val="24"/>
          <w:szCs w:val="24"/>
          <w:lang w:val="ru-MD"/>
        </w:rPr>
        <w:t>.</w:t>
      </w:r>
    </w:p>
    <w:p w:rsidR="00F40961" w:rsidRPr="00A21A6B" w:rsidRDefault="00E75E1E" w:rsidP="00BA32A0">
      <w:pPr>
        <w:pStyle w:val="HTMLPreformatted"/>
        <w:numPr>
          <w:ilvl w:val="1"/>
          <w:numId w:val="12"/>
        </w:numPr>
        <w:shd w:val="clear" w:color="auto" w:fill="FFFFFF" w:themeFill="background1"/>
        <w:tabs>
          <w:tab w:val="left" w:pos="360"/>
        </w:tabs>
        <w:spacing w:after="120" w:line="276" w:lineRule="auto"/>
        <w:ind w:left="0" w:firstLine="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Министерство признало в бухгалтерском учете стоимость 9 объектов недвижимости, принадлежащих третьим лицам, согласно данным </w:t>
      </w:r>
      <w:r w:rsidR="00BA32A0" w:rsidRPr="00A21A6B">
        <w:rPr>
          <w:rFonts w:asciiTheme="majorHAnsi" w:hAnsiTheme="majorHAnsi" w:cstheme="majorHAnsi"/>
          <w:sz w:val="24"/>
          <w:szCs w:val="24"/>
          <w:lang w:val="ru-MD"/>
        </w:rPr>
        <w:t>из Регистра недвижимого имущества</w:t>
      </w:r>
      <w:r w:rsidRPr="00A21A6B">
        <w:rPr>
          <w:rFonts w:asciiTheme="majorHAnsi" w:hAnsiTheme="majorHAnsi" w:cstheme="majorHAnsi"/>
          <w:sz w:val="24"/>
          <w:szCs w:val="24"/>
          <w:lang w:val="ru-MD"/>
        </w:rPr>
        <w:t>, на сумму 13,83 млн. леев, в то же время Министерство ошибочно истолковало положения Приказа министра финансов №216/2015 в отношении правил признания и оценки недвижимого имущества</w:t>
      </w:r>
      <w:r w:rsidR="00BA32A0"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r w:rsidR="00BA32A0" w:rsidRPr="00A21A6B">
        <w:rPr>
          <w:rFonts w:asciiTheme="majorHAnsi" w:hAnsiTheme="majorHAnsi" w:cstheme="majorHAnsi"/>
          <w:sz w:val="24"/>
          <w:szCs w:val="24"/>
          <w:lang w:val="ru-MD"/>
        </w:rPr>
        <w:t>Так,</w:t>
      </w:r>
      <w:r w:rsidRPr="00A21A6B">
        <w:rPr>
          <w:rFonts w:asciiTheme="majorHAnsi" w:hAnsiTheme="majorHAnsi" w:cstheme="majorHAnsi"/>
          <w:sz w:val="24"/>
          <w:szCs w:val="24"/>
          <w:lang w:val="ru-MD"/>
        </w:rPr>
        <w:t xml:space="preserve"> 46 зданий не были признаны в бухгалтерском учете, из которых 8 зданий зарегистрированы в кадастровых офисах со стоимостью 20,75 млн. леев. Аудиторская группа не смогла получить достаточных доказательств для определения </w:t>
      </w:r>
      <w:r w:rsidRPr="00A21A6B">
        <w:rPr>
          <w:rFonts w:asciiTheme="majorHAnsi" w:hAnsiTheme="majorHAnsi" w:cstheme="majorHAnsi"/>
          <w:sz w:val="24"/>
          <w:szCs w:val="24"/>
          <w:lang w:val="ru-MD"/>
        </w:rPr>
        <w:lastRenderedPageBreak/>
        <w:t>стоимости 38 объектов недвижимости и, соответственно, была ограничена в своей сфере деятельности, предположив, что этот н</w:t>
      </w:r>
      <w:r w:rsidR="00BA32A0" w:rsidRPr="00A21A6B">
        <w:rPr>
          <w:rFonts w:asciiTheme="majorHAnsi" w:hAnsiTheme="majorHAnsi" w:cstheme="majorHAnsi"/>
          <w:sz w:val="24"/>
          <w:szCs w:val="24"/>
          <w:lang w:val="ru-MD"/>
        </w:rPr>
        <w:t>арушение</w:t>
      </w:r>
      <w:r w:rsidRPr="00A21A6B">
        <w:rPr>
          <w:rFonts w:asciiTheme="majorHAnsi" w:hAnsiTheme="majorHAnsi" w:cstheme="majorHAnsi"/>
          <w:sz w:val="24"/>
          <w:szCs w:val="24"/>
          <w:lang w:val="ru-MD"/>
        </w:rPr>
        <w:t xml:space="preserve"> будет существенным</w:t>
      </w:r>
      <w:r w:rsidR="00F40961" w:rsidRPr="00A21A6B">
        <w:rPr>
          <w:rFonts w:asciiTheme="majorHAnsi" w:hAnsiTheme="majorHAnsi" w:cstheme="majorHAnsi"/>
          <w:sz w:val="24"/>
          <w:szCs w:val="24"/>
          <w:lang w:val="ru-MD"/>
        </w:rPr>
        <w:t xml:space="preserve">. </w:t>
      </w:r>
    </w:p>
    <w:p w:rsidR="00F40961" w:rsidRPr="00A21A6B" w:rsidRDefault="008861FB" w:rsidP="00AD3B65">
      <w:pPr>
        <w:pStyle w:val="HTMLPreformatted"/>
        <w:numPr>
          <w:ilvl w:val="1"/>
          <w:numId w:val="12"/>
        </w:numPr>
        <w:shd w:val="clear" w:color="auto" w:fill="FFFFFF" w:themeFill="background1"/>
        <w:tabs>
          <w:tab w:val="left" w:pos="540"/>
        </w:tabs>
        <w:spacing w:after="120" w:line="276" w:lineRule="auto"/>
        <w:ind w:left="0" w:firstLine="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Министерство не применило положения Постановления Правительства №500/1998 об утверждении Положения о списании пришедших в негодность ценностей, относящихся к основным средствам, в отношении Базы отдыха „Selecția”, расположенной в Украине</w:t>
      </w:r>
      <w:r w:rsidRPr="00A21A6B">
        <w:rPr>
          <w:rFonts w:asciiTheme="majorHAnsi" w:hAnsiTheme="majorHAnsi" w:cstheme="majorHAnsi"/>
          <w:sz w:val="24"/>
          <w:szCs w:val="24"/>
          <w:vertAlign w:val="superscript"/>
          <w:lang w:val="ru-MD"/>
        </w:rPr>
        <w:footnoteReference w:id="10"/>
      </w:r>
      <w:r w:rsidRPr="00A21A6B">
        <w:rPr>
          <w:rFonts w:asciiTheme="majorHAnsi" w:hAnsiTheme="majorHAnsi" w:cstheme="majorHAnsi"/>
          <w:sz w:val="24"/>
          <w:szCs w:val="24"/>
          <w:lang w:val="ru-MD"/>
        </w:rPr>
        <w:t xml:space="preserve"> и снесенной еще в 2013 году. Таким образом, остаток группы счетов 311 „Здания” был завышен на 1,3 млн. леев</w:t>
      </w:r>
      <w:r w:rsidR="00F40961" w:rsidRPr="00A21A6B">
        <w:rPr>
          <w:rFonts w:asciiTheme="majorHAnsi" w:hAnsiTheme="majorHAnsi" w:cstheme="majorHAnsi"/>
          <w:sz w:val="24"/>
          <w:szCs w:val="24"/>
          <w:lang w:val="ru-MD"/>
        </w:rPr>
        <w:t>.</w:t>
      </w:r>
    </w:p>
    <w:p w:rsidR="00F40961" w:rsidRPr="00A21A6B" w:rsidRDefault="008861FB" w:rsidP="00AD3B65">
      <w:pPr>
        <w:pStyle w:val="HTMLPreformatted"/>
        <w:numPr>
          <w:ilvl w:val="1"/>
          <w:numId w:val="12"/>
        </w:numPr>
        <w:shd w:val="clear" w:color="auto" w:fill="FFFFFF" w:themeFill="background1"/>
        <w:tabs>
          <w:tab w:val="left" w:pos="540"/>
        </w:tabs>
        <w:spacing w:after="120" w:line="276" w:lineRule="auto"/>
        <w:ind w:left="0" w:firstLine="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Министерство неверно истолковало положения Приказа Министра Финансов №216/2015 и ошибочно учл</w:t>
      </w:r>
      <w:r w:rsidR="00E5676E"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 объемы </w:t>
      </w:r>
      <w:r w:rsidR="00E5676E" w:rsidRPr="00A21A6B">
        <w:rPr>
          <w:rFonts w:asciiTheme="majorHAnsi" w:hAnsiTheme="majorHAnsi" w:cstheme="majorHAnsi"/>
          <w:sz w:val="24"/>
          <w:szCs w:val="24"/>
          <w:lang w:val="ru-MD"/>
        </w:rPr>
        <w:t xml:space="preserve">реализованных </w:t>
      </w:r>
      <w:r w:rsidRPr="00A21A6B">
        <w:rPr>
          <w:rFonts w:asciiTheme="majorHAnsi" w:hAnsiTheme="majorHAnsi" w:cstheme="majorHAnsi"/>
          <w:sz w:val="24"/>
          <w:szCs w:val="24"/>
          <w:lang w:val="ru-MD"/>
        </w:rPr>
        <w:t>инвестиций на объектах, которые ему не принадлежат. Таким образом, остатки на счетах 311 „Здания”, 312 „Специальные сооружения”, 314 „Машины и оборудования” были завышены на 0,9 млн. леев, 36,22 млн. леев и</w:t>
      </w:r>
      <w:r w:rsidR="00E5676E" w:rsidRPr="00A21A6B">
        <w:rPr>
          <w:rFonts w:asciiTheme="majorHAnsi" w:hAnsiTheme="majorHAnsi" w:cstheme="majorHAnsi"/>
          <w:sz w:val="24"/>
          <w:szCs w:val="24"/>
          <w:lang w:val="ru-MD"/>
        </w:rPr>
        <w:t>, соответственно,</w:t>
      </w:r>
      <w:r w:rsidRPr="00A21A6B">
        <w:rPr>
          <w:rFonts w:asciiTheme="majorHAnsi" w:hAnsiTheme="majorHAnsi" w:cstheme="majorHAnsi"/>
          <w:sz w:val="24"/>
          <w:szCs w:val="24"/>
          <w:lang w:val="ru-MD"/>
        </w:rPr>
        <w:t xml:space="preserve"> 73,9 млн. леев, а остаток на счете 319 „Незавершенные капитальные инвестиции” был занижен на сумму 111,02 млн. леев. Одновременно, общая стоимость активов была завышена на 111,02 млн. леев, из-за сохранения в бухгалтерском учете объемов работ по некоторым активам, принадлежащим третьим лицам</w:t>
      </w:r>
      <w:r w:rsidR="00F40961" w:rsidRPr="00A21A6B">
        <w:rPr>
          <w:rFonts w:asciiTheme="majorHAnsi" w:hAnsiTheme="majorHAnsi" w:cstheme="majorHAnsi"/>
          <w:sz w:val="24"/>
          <w:szCs w:val="24"/>
          <w:lang w:val="ru-MD"/>
        </w:rPr>
        <w:t xml:space="preserve">. </w:t>
      </w:r>
    </w:p>
    <w:p w:rsidR="00F40961" w:rsidRPr="00A21A6B" w:rsidRDefault="00E5676E" w:rsidP="00F40961">
      <w:pPr>
        <w:spacing w:after="120" w:line="276" w:lineRule="auto"/>
        <w:jc w:val="both"/>
        <w:rPr>
          <w:rFonts w:asciiTheme="majorHAnsi" w:eastAsia="Times New Roman" w:hAnsiTheme="majorHAnsi" w:cstheme="majorHAnsi"/>
          <w:bCs/>
          <w:color w:val="000000" w:themeColor="text1"/>
          <w:sz w:val="24"/>
          <w:szCs w:val="24"/>
          <w:lang w:val="ru-MD"/>
        </w:rPr>
      </w:pPr>
      <w:r w:rsidRPr="00A21A6B">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A21A6B">
        <w:rPr>
          <w:rStyle w:val="FootnoteReference"/>
          <w:rFonts w:asciiTheme="majorHAnsi" w:eastAsia="Times New Roman" w:hAnsiTheme="majorHAnsi" w:cs="Times New Roman"/>
          <w:sz w:val="24"/>
          <w:szCs w:val="24"/>
          <w:lang w:val="ru-MD"/>
        </w:rPr>
        <w:footnoteReference w:id="11"/>
      </w:r>
      <w:r w:rsidRPr="00A21A6B">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A21A6B">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A21A6B">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F40961" w:rsidRPr="00A21A6B">
        <w:rPr>
          <w:rFonts w:asciiTheme="majorHAnsi" w:eastAsia="Times New Roman" w:hAnsiTheme="majorHAnsi" w:cstheme="majorHAnsi"/>
          <w:bCs/>
          <w:color w:val="000000" w:themeColor="text1"/>
          <w:sz w:val="24"/>
          <w:szCs w:val="24"/>
          <w:lang w:val="ru-MD"/>
        </w:rPr>
        <w:t>.</w:t>
      </w:r>
    </w:p>
    <w:p w:rsidR="00F40961" w:rsidRPr="00A21A6B" w:rsidRDefault="004138F3" w:rsidP="00F40961">
      <w:pPr>
        <w:pStyle w:val="ListParagraph"/>
        <w:numPr>
          <w:ilvl w:val="0"/>
          <w:numId w:val="1"/>
        </w:numPr>
        <w:spacing w:before="100" w:beforeAutospacing="1" w:after="0" w:line="276" w:lineRule="auto"/>
        <w:ind w:hanging="218"/>
        <w:jc w:val="both"/>
        <w:outlineLvl w:val="0"/>
        <w:rPr>
          <w:rFonts w:asciiTheme="majorHAnsi" w:hAnsiTheme="majorHAnsi" w:cstheme="majorHAnsi"/>
          <w:b/>
          <w:sz w:val="24"/>
          <w:szCs w:val="24"/>
          <w:lang w:val="ru-MD"/>
        </w:rPr>
      </w:pPr>
      <w:r w:rsidRPr="00A21A6B">
        <w:rPr>
          <w:rFonts w:asciiTheme="majorHAnsi" w:hAnsiTheme="majorHAnsi" w:cstheme="majorHAnsi"/>
          <w:b/>
          <w:sz w:val="24"/>
          <w:szCs w:val="24"/>
          <w:lang w:val="ru-MD"/>
        </w:rPr>
        <w:t>ВЫДЕЛЕНИЕ НЕКОТОРЫХ АСПЕКТОВ</w:t>
      </w:r>
    </w:p>
    <w:p w:rsidR="00F40961" w:rsidRPr="00A21A6B" w:rsidRDefault="004138F3" w:rsidP="00AD3B65">
      <w:pPr>
        <w:pStyle w:val="ListParagraph"/>
        <w:numPr>
          <w:ilvl w:val="1"/>
          <w:numId w:val="4"/>
        </w:numPr>
        <w:tabs>
          <w:tab w:val="left" w:pos="540"/>
        </w:tabs>
        <w:spacing w:after="0" w:line="276" w:lineRule="auto"/>
        <w:ind w:left="0" w:firstLine="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Обращаем внимание на то, что учетную стоимость основных средств, приобретенных до 1990-х годов, но действующих и используемых по сей день, невозможно подтвердить. Первоначальная стоимость основных средств, приобретенных в 1960-1990 годах, устан</w:t>
      </w:r>
      <w:r w:rsidR="00AD3B65" w:rsidRPr="00A21A6B">
        <w:rPr>
          <w:rFonts w:asciiTheme="majorHAnsi" w:hAnsiTheme="majorHAnsi" w:cstheme="majorHAnsi"/>
          <w:sz w:val="24"/>
          <w:szCs w:val="24"/>
          <w:lang w:val="ru-MD"/>
        </w:rPr>
        <w:t>овлена</w:t>
      </w:r>
      <w:r w:rsidRPr="00A21A6B">
        <w:rPr>
          <w:rFonts w:asciiTheme="majorHAnsi" w:hAnsiTheme="majorHAnsi" w:cstheme="majorHAnsi"/>
          <w:sz w:val="24"/>
          <w:szCs w:val="24"/>
          <w:lang w:val="ru-MD"/>
        </w:rPr>
        <w:t xml:space="preserve"> на основе исторических аналитических записей, хранящихся в учреждениях, однако </w:t>
      </w:r>
      <w:r w:rsidR="00AD3B65" w:rsidRPr="00A21A6B">
        <w:rPr>
          <w:rFonts w:asciiTheme="majorHAnsi" w:hAnsiTheme="majorHAnsi" w:cstheme="majorHAnsi"/>
          <w:sz w:val="24"/>
          <w:szCs w:val="24"/>
          <w:lang w:val="ru-MD"/>
        </w:rPr>
        <w:t>она</w:t>
      </w:r>
      <w:r w:rsidRPr="00A21A6B">
        <w:rPr>
          <w:rFonts w:asciiTheme="majorHAnsi" w:hAnsiTheme="majorHAnsi" w:cstheme="majorHAnsi"/>
          <w:sz w:val="24"/>
          <w:szCs w:val="24"/>
          <w:lang w:val="ru-MD"/>
        </w:rPr>
        <w:t xml:space="preserve"> не может быть подтвержден</w:t>
      </w:r>
      <w:r w:rsidR="00AD3B65"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первичными документами (налоговые счета,</w:t>
      </w:r>
      <w:r w:rsidR="00AD3B6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протоколы сдачи в эксплуатацию и т. д.), </w:t>
      </w:r>
      <w:r w:rsidR="00AD3B65"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документы, удостоверяющие их приобретение/строительство или капитализацию</w:t>
      </w:r>
      <w:r w:rsidR="00AD3B65" w:rsidRPr="00A21A6B">
        <w:rPr>
          <w:rFonts w:asciiTheme="majorHAnsi" w:hAnsiTheme="majorHAnsi" w:cstheme="majorHAnsi"/>
          <w:sz w:val="24"/>
          <w:szCs w:val="24"/>
          <w:lang w:val="ru-MD"/>
        </w:rPr>
        <w:t xml:space="preserve"> их стоимости</w:t>
      </w:r>
      <w:r w:rsidRPr="00A21A6B">
        <w:rPr>
          <w:rFonts w:asciiTheme="majorHAnsi" w:hAnsiTheme="majorHAnsi" w:cstheme="majorHAnsi"/>
          <w:sz w:val="24"/>
          <w:szCs w:val="24"/>
          <w:lang w:val="ru-MD"/>
        </w:rPr>
        <w:t>, отсутствуют или невозможно восстановить</w:t>
      </w:r>
      <w:r w:rsidR="00F40961" w:rsidRPr="00A21A6B">
        <w:rPr>
          <w:rFonts w:asciiTheme="majorHAnsi" w:hAnsiTheme="majorHAnsi" w:cstheme="majorHAnsi"/>
          <w:sz w:val="24"/>
          <w:szCs w:val="24"/>
          <w:lang w:val="ru-MD"/>
        </w:rPr>
        <w:t xml:space="preserve">. </w:t>
      </w:r>
    </w:p>
    <w:p w:rsidR="00F40961" w:rsidRPr="00A21A6B" w:rsidRDefault="004138F3" w:rsidP="00355CA5">
      <w:pPr>
        <w:pStyle w:val="ListParagraph"/>
        <w:spacing w:before="60" w:after="0" w:line="276" w:lineRule="auto"/>
        <w:ind w:left="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Хотя учреждения владеют </w:t>
      </w:r>
      <w:r w:rsidR="00AD3B65" w:rsidRPr="00A21A6B">
        <w:rPr>
          <w:rFonts w:asciiTheme="majorHAnsi" w:hAnsiTheme="majorHAnsi" w:cstheme="majorHAnsi"/>
          <w:sz w:val="24"/>
          <w:szCs w:val="24"/>
          <w:lang w:val="ru-MD"/>
        </w:rPr>
        <w:t>карточк</w:t>
      </w:r>
      <w:r w:rsidRPr="00A21A6B">
        <w:rPr>
          <w:rFonts w:asciiTheme="majorHAnsi" w:hAnsiTheme="majorHAnsi" w:cstheme="majorHAnsi"/>
          <w:sz w:val="24"/>
          <w:szCs w:val="24"/>
          <w:lang w:val="ru-MD"/>
        </w:rPr>
        <w:t xml:space="preserve">ами основных средств и </w:t>
      </w:r>
      <w:r w:rsidR="00AD3B65" w:rsidRPr="00A21A6B">
        <w:rPr>
          <w:rFonts w:asciiTheme="majorHAnsi" w:hAnsiTheme="majorHAnsi" w:cstheme="majorHAnsi"/>
          <w:sz w:val="24"/>
          <w:szCs w:val="24"/>
          <w:lang w:val="ru-MD"/>
        </w:rPr>
        <w:t>надлежа</w:t>
      </w:r>
      <w:r w:rsidRPr="00A21A6B">
        <w:rPr>
          <w:rFonts w:asciiTheme="majorHAnsi" w:hAnsiTheme="majorHAnsi" w:cstheme="majorHAnsi"/>
          <w:sz w:val="24"/>
          <w:szCs w:val="24"/>
          <w:lang w:val="ru-MD"/>
        </w:rPr>
        <w:t xml:space="preserve">щим образом применяют правила установления стоимости основных средств, расчета их износа, переоценки и капитализации расходов, </w:t>
      </w:r>
      <w:r w:rsidR="00AD3B65" w:rsidRPr="00A21A6B">
        <w:rPr>
          <w:rFonts w:asciiTheme="majorHAnsi" w:hAnsiTheme="majorHAnsi" w:cstheme="majorHAnsi"/>
          <w:sz w:val="24"/>
          <w:szCs w:val="24"/>
          <w:lang w:val="ru-MD"/>
        </w:rPr>
        <w:t>из-за</w:t>
      </w:r>
      <w:r w:rsidRPr="00A21A6B">
        <w:rPr>
          <w:rFonts w:asciiTheme="majorHAnsi" w:hAnsiTheme="majorHAnsi" w:cstheme="majorHAnsi"/>
          <w:sz w:val="24"/>
          <w:szCs w:val="24"/>
          <w:lang w:val="ru-MD"/>
        </w:rPr>
        <w:t xml:space="preserve"> отсутстви</w:t>
      </w:r>
      <w:r w:rsidR="00AD3B65"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w:t>
      </w:r>
      <w:r w:rsidR="00AD3B65" w:rsidRPr="00A21A6B">
        <w:rPr>
          <w:rFonts w:asciiTheme="majorHAnsi" w:hAnsiTheme="majorHAnsi" w:cstheme="majorHAnsi"/>
          <w:sz w:val="24"/>
          <w:szCs w:val="24"/>
          <w:lang w:val="ru-MD"/>
        </w:rPr>
        <w:t xml:space="preserve">соответствующих </w:t>
      </w:r>
      <w:r w:rsidRPr="00A21A6B">
        <w:rPr>
          <w:rFonts w:asciiTheme="majorHAnsi" w:hAnsiTheme="majorHAnsi" w:cstheme="majorHAnsi"/>
          <w:sz w:val="24"/>
          <w:szCs w:val="24"/>
          <w:lang w:val="ru-MD"/>
        </w:rPr>
        <w:t xml:space="preserve">исчерпывающих норм исторические начальные значения не могут быть подтверждены. В этих условиях, чтобы исключить в будущем уничтожение документов, </w:t>
      </w:r>
      <w:r w:rsidR="00110084" w:rsidRPr="00A21A6B">
        <w:rPr>
          <w:rFonts w:asciiTheme="majorHAnsi" w:hAnsiTheme="majorHAnsi" w:cstheme="majorHAnsi"/>
          <w:sz w:val="24"/>
          <w:szCs w:val="24"/>
          <w:lang w:val="ru-MD"/>
        </w:rPr>
        <w:t>подтвержда</w:t>
      </w:r>
      <w:r w:rsidRPr="00A21A6B">
        <w:rPr>
          <w:rFonts w:asciiTheme="majorHAnsi" w:hAnsiTheme="majorHAnsi" w:cstheme="majorHAnsi"/>
          <w:sz w:val="24"/>
          <w:szCs w:val="24"/>
          <w:lang w:val="ru-MD"/>
        </w:rPr>
        <w:t xml:space="preserve">ющих </w:t>
      </w:r>
      <w:r w:rsidR="00110084" w:rsidRPr="00A21A6B">
        <w:rPr>
          <w:rFonts w:asciiTheme="majorHAnsi" w:hAnsiTheme="majorHAnsi" w:cstheme="majorHAnsi"/>
          <w:sz w:val="24"/>
          <w:szCs w:val="24"/>
          <w:lang w:val="ru-MD"/>
        </w:rPr>
        <w:t>опера</w:t>
      </w:r>
      <w:r w:rsidRPr="00A21A6B">
        <w:rPr>
          <w:rFonts w:asciiTheme="majorHAnsi" w:hAnsiTheme="majorHAnsi" w:cstheme="majorHAnsi"/>
          <w:sz w:val="24"/>
          <w:szCs w:val="24"/>
          <w:lang w:val="ru-MD"/>
        </w:rPr>
        <w:t>ции</w:t>
      </w:r>
      <w:r w:rsidR="00110084" w:rsidRPr="00A21A6B">
        <w:rPr>
          <w:rFonts w:asciiTheme="majorHAnsi" w:hAnsiTheme="majorHAnsi" w:cstheme="majorHAnsi"/>
          <w:sz w:val="24"/>
          <w:szCs w:val="24"/>
          <w:lang w:val="ru-MD"/>
        </w:rPr>
        <w:t xml:space="preserve"> по</w:t>
      </w:r>
      <w:r w:rsidRPr="00A21A6B">
        <w:rPr>
          <w:rFonts w:asciiTheme="majorHAnsi" w:hAnsiTheme="majorHAnsi" w:cstheme="majorHAnsi"/>
          <w:sz w:val="24"/>
          <w:szCs w:val="24"/>
          <w:lang w:val="ru-MD"/>
        </w:rPr>
        <w:t xml:space="preserve"> формировани</w:t>
      </w:r>
      <w:r w:rsidR="00110084" w:rsidRPr="00A21A6B">
        <w:rPr>
          <w:rFonts w:asciiTheme="majorHAnsi" w:hAnsiTheme="majorHAnsi" w:cstheme="majorHAnsi"/>
          <w:sz w:val="24"/>
          <w:szCs w:val="24"/>
          <w:lang w:val="ru-MD"/>
        </w:rPr>
        <w:t>ю</w:t>
      </w:r>
      <w:r w:rsidRPr="00A21A6B">
        <w:rPr>
          <w:rFonts w:asciiTheme="majorHAnsi" w:hAnsiTheme="majorHAnsi" w:cstheme="majorHAnsi"/>
          <w:sz w:val="24"/>
          <w:szCs w:val="24"/>
          <w:lang w:val="ru-MD"/>
        </w:rPr>
        <w:t xml:space="preserve"> стоимости основных средств, помимо </w:t>
      </w:r>
      <w:r w:rsidR="00110084" w:rsidRPr="00A21A6B">
        <w:rPr>
          <w:rFonts w:asciiTheme="majorHAnsi" w:hAnsiTheme="majorHAnsi" w:cstheme="majorHAnsi"/>
          <w:sz w:val="24"/>
          <w:szCs w:val="24"/>
          <w:lang w:val="ru-MD"/>
        </w:rPr>
        <w:t>карточки</w:t>
      </w:r>
      <w:r w:rsidRPr="00A21A6B">
        <w:rPr>
          <w:rFonts w:asciiTheme="majorHAnsi" w:hAnsiTheme="majorHAnsi" w:cstheme="majorHAnsi"/>
          <w:sz w:val="24"/>
          <w:szCs w:val="24"/>
          <w:lang w:val="ru-MD"/>
        </w:rPr>
        <w:t xml:space="preserve"> основн</w:t>
      </w:r>
      <w:r w:rsidR="00110084"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средств</w:t>
      </w:r>
      <w:r w:rsidR="00110084"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необходимо создать </w:t>
      </w:r>
      <w:r w:rsidR="00110084" w:rsidRPr="00A21A6B">
        <w:rPr>
          <w:rFonts w:asciiTheme="majorHAnsi" w:hAnsiTheme="majorHAnsi" w:cstheme="majorHAnsi"/>
          <w:sz w:val="24"/>
          <w:szCs w:val="24"/>
          <w:lang w:val="ru-MD"/>
        </w:rPr>
        <w:t>дело основного средства</w:t>
      </w:r>
      <w:r w:rsidRPr="00A21A6B">
        <w:rPr>
          <w:rFonts w:asciiTheme="majorHAnsi" w:hAnsiTheme="majorHAnsi" w:cstheme="majorHAnsi"/>
          <w:sz w:val="24"/>
          <w:szCs w:val="24"/>
          <w:lang w:val="ru-MD"/>
        </w:rPr>
        <w:t>, в котором будет накапливаться информация обо всех изменениях, внесенных в нефинансовый актив, и хранить</w:t>
      </w:r>
      <w:r w:rsidR="00110084" w:rsidRPr="00A21A6B">
        <w:rPr>
          <w:rFonts w:asciiTheme="majorHAnsi" w:hAnsiTheme="majorHAnsi" w:cstheme="majorHAnsi"/>
          <w:sz w:val="24"/>
          <w:szCs w:val="24"/>
          <w:lang w:val="ru-MD"/>
        </w:rPr>
        <w:t xml:space="preserve"> его</w:t>
      </w:r>
      <w:r w:rsidRPr="00A21A6B">
        <w:rPr>
          <w:rFonts w:asciiTheme="majorHAnsi" w:hAnsiTheme="majorHAnsi" w:cstheme="majorHAnsi"/>
          <w:sz w:val="24"/>
          <w:szCs w:val="24"/>
          <w:lang w:val="ru-MD"/>
        </w:rPr>
        <w:t xml:space="preserve"> до </w:t>
      </w:r>
      <w:r w:rsidRPr="00A21A6B">
        <w:rPr>
          <w:rFonts w:asciiTheme="majorHAnsi" w:hAnsiTheme="majorHAnsi" w:cstheme="majorHAnsi"/>
          <w:sz w:val="24"/>
          <w:szCs w:val="24"/>
          <w:lang w:val="ru-MD"/>
        </w:rPr>
        <w:lastRenderedPageBreak/>
        <w:t>момента списания основн</w:t>
      </w:r>
      <w:r w:rsidR="00110084"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средств</w:t>
      </w:r>
      <w:r w:rsidR="00110084"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Такие правила должны применяться для основных средств, для которых </w:t>
      </w:r>
      <w:r w:rsidR="00110084" w:rsidRPr="00A21A6B">
        <w:rPr>
          <w:rFonts w:asciiTheme="majorHAnsi" w:hAnsiTheme="majorHAnsi" w:cstheme="majorHAnsi"/>
          <w:sz w:val="24"/>
          <w:szCs w:val="24"/>
          <w:lang w:val="ru-MD"/>
        </w:rPr>
        <w:t>воз</w:t>
      </w:r>
      <w:r w:rsidRPr="00A21A6B">
        <w:rPr>
          <w:rFonts w:asciiTheme="majorHAnsi" w:hAnsiTheme="majorHAnsi" w:cstheme="majorHAnsi"/>
          <w:sz w:val="24"/>
          <w:szCs w:val="24"/>
          <w:lang w:val="ru-MD"/>
        </w:rPr>
        <w:t xml:space="preserve">можно восстановить все операции </w:t>
      </w:r>
      <w:r w:rsidR="00110084" w:rsidRPr="00A21A6B">
        <w:rPr>
          <w:rFonts w:asciiTheme="majorHAnsi" w:hAnsiTheme="majorHAnsi" w:cstheme="majorHAnsi"/>
          <w:sz w:val="24"/>
          <w:szCs w:val="24"/>
          <w:lang w:val="ru-MD"/>
        </w:rPr>
        <w:t>по</w:t>
      </w:r>
      <w:r w:rsidRPr="00A21A6B">
        <w:rPr>
          <w:rFonts w:asciiTheme="majorHAnsi" w:hAnsiTheme="majorHAnsi" w:cstheme="majorHAnsi"/>
          <w:sz w:val="24"/>
          <w:szCs w:val="24"/>
          <w:lang w:val="ru-MD"/>
        </w:rPr>
        <w:t xml:space="preserve"> соответствующ</w:t>
      </w:r>
      <w:r w:rsidR="00110084" w:rsidRPr="00A21A6B">
        <w:rPr>
          <w:rFonts w:asciiTheme="majorHAnsi" w:hAnsiTheme="majorHAnsi" w:cstheme="majorHAnsi"/>
          <w:sz w:val="24"/>
          <w:szCs w:val="24"/>
          <w:lang w:val="ru-MD"/>
        </w:rPr>
        <w:t>ему</w:t>
      </w:r>
      <w:r w:rsidRPr="00A21A6B">
        <w:rPr>
          <w:rFonts w:asciiTheme="majorHAnsi" w:hAnsiTheme="majorHAnsi" w:cstheme="majorHAnsi"/>
          <w:sz w:val="24"/>
          <w:szCs w:val="24"/>
          <w:lang w:val="ru-MD"/>
        </w:rPr>
        <w:t xml:space="preserve"> основн</w:t>
      </w:r>
      <w:r w:rsidR="00110084" w:rsidRPr="00A21A6B">
        <w:rPr>
          <w:rFonts w:asciiTheme="majorHAnsi" w:hAnsiTheme="majorHAnsi" w:cstheme="majorHAnsi"/>
          <w:sz w:val="24"/>
          <w:szCs w:val="24"/>
          <w:lang w:val="ru-MD"/>
        </w:rPr>
        <w:t>ому</w:t>
      </w:r>
      <w:r w:rsidRPr="00A21A6B">
        <w:rPr>
          <w:rFonts w:asciiTheme="majorHAnsi" w:hAnsiTheme="majorHAnsi" w:cstheme="majorHAnsi"/>
          <w:sz w:val="24"/>
          <w:szCs w:val="24"/>
          <w:lang w:val="ru-MD"/>
        </w:rPr>
        <w:t xml:space="preserve"> средств</w:t>
      </w:r>
      <w:r w:rsidR="00110084"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а для основных средств, для которых невозможно восстановить затраты, участвовавшие в формировании их стоимости, должны быть созданы комиссии по переоценке основных средств или привлечены специализированные оценщики, а д</w:t>
      </w:r>
      <w:r w:rsidR="00110084" w:rsidRPr="00A21A6B">
        <w:rPr>
          <w:rFonts w:asciiTheme="majorHAnsi" w:hAnsiTheme="majorHAnsi" w:cstheme="majorHAnsi"/>
          <w:sz w:val="24"/>
          <w:szCs w:val="24"/>
          <w:lang w:val="ru-MD"/>
        </w:rPr>
        <w:t>окументы</w:t>
      </w:r>
      <w:r w:rsidRPr="00A21A6B">
        <w:rPr>
          <w:rFonts w:asciiTheme="majorHAnsi" w:hAnsiTheme="majorHAnsi" w:cstheme="majorHAnsi"/>
          <w:sz w:val="24"/>
          <w:szCs w:val="24"/>
          <w:lang w:val="ru-MD"/>
        </w:rPr>
        <w:t xml:space="preserve"> по переоценке основных средств послужат основой для </w:t>
      </w:r>
      <w:r w:rsidR="00110084" w:rsidRPr="00A21A6B">
        <w:rPr>
          <w:rFonts w:asciiTheme="majorHAnsi" w:hAnsiTheme="majorHAnsi" w:cstheme="majorHAnsi"/>
          <w:sz w:val="24"/>
          <w:szCs w:val="24"/>
          <w:lang w:val="ru-MD"/>
        </w:rPr>
        <w:t>подтверждения</w:t>
      </w:r>
      <w:r w:rsidRPr="00A21A6B">
        <w:rPr>
          <w:rFonts w:asciiTheme="majorHAnsi" w:hAnsiTheme="majorHAnsi" w:cstheme="majorHAnsi"/>
          <w:sz w:val="24"/>
          <w:szCs w:val="24"/>
          <w:lang w:val="ru-MD"/>
        </w:rPr>
        <w:t xml:space="preserve"> новой стоимос</w:t>
      </w:r>
      <w:r w:rsidR="00110084" w:rsidRPr="00A21A6B">
        <w:rPr>
          <w:rFonts w:asciiTheme="majorHAnsi" w:hAnsiTheme="majorHAnsi" w:cstheme="majorHAnsi"/>
          <w:sz w:val="24"/>
          <w:szCs w:val="24"/>
          <w:lang w:val="ru-MD"/>
        </w:rPr>
        <w:t>ти основных средств</w:t>
      </w:r>
      <w:r w:rsidR="00F40961" w:rsidRPr="00A21A6B">
        <w:rPr>
          <w:rFonts w:asciiTheme="majorHAnsi" w:eastAsia="Times New Roman" w:hAnsiTheme="majorHAnsi" w:cstheme="majorHAnsi"/>
          <w:color w:val="202124"/>
          <w:sz w:val="24"/>
          <w:szCs w:val="24"/>
          <w:lang w:val="ru-MD" w:eastAsia="ru-RU"/>
        </w:rPr>
        <w:t>.</w:t>
      </w:r>
    </w:p>
    <w:p w:rsidR="00F40961" w:rsidRPr="00A21A6B" w:rsidRDefault="004138F3" w:rsidP="0095192F">
      <w:pPr>
        <w:pStyle w:val="ListParagraph"/>
        <w:numPr>
          <w:ilvl w:val="1"/>
          <w:numId w:val="4"/>
        </w:numPr>
        <w:tabs>
          <w:tab w:val="left" w:pos="540"/>
        </w:tabs>
        <w:spacing w:before="60" w:after="0" w:line="276" w:lineRule="auto"/>
        <w:ind w:left="0" w:firstLine="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Обращаем внимание на то, что до настоящего времени Агентство публичной собственности (</w:t>
      </w:r>
      <w:r w:rsidR="0095192F" w:rsidRPr="00A21A6B">
        <w:rPr>
          <w:rFonts w:asciiTheme="majorHAnsi" w:hAnsiTheme="majorHAnsi" w:cstheme="majorHAnsi"/>
          <w:sz w:val="24"/>
          <w:szCs w:val="24"/>
          <w:lang w:val="ru-MD"/>
        </w:rPr>
        <w:t>д</w:t>
      </w:r>
      <w:r w:rsidRPr="00A21A6B">
        <w:rPr>
          <w:rFonts w:asciiTheme="majorHAnsi" w:hAnsiTheme="majorHAnsi" w:cstheme="majorHAnsi"/>
          <w:sz w:val="24"/>
          <w:szCs w:val="24"/>
          <w:lang w:val="ru-MD"/>
        </w:rPr>
        <w:t>алее</w:t>
      </w:r>
      <w:r w:rsidR="0095192F"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w:t>
      </w:r>
      <w:r w:rsidR="0095192F" w:rsidRPr="00A21A6B">
        <w:rPr>
          <w:rFonts w:asciiTheme="majorHAnsi" w:hAnsiTheme="majorHAnsi" w:cstheme="majorHAnsi"/>
          <w:sz w:val="24"/>
          <w:szCs w:val="24"/>
          <w:lang w:val="ru-MD"/>
        </w:rPr>
        <w:t xml:space="preserve"> АПС</w:t>
      </w:r>
      <w:r w:rsidRPr="00A21A6B">
        <w:rPr>
          <w:rFonts w:asciiTheme="majorHAnsi" w:hAnsiTheme="majorHAnsi" w:cstheme="majorHAnsi"/>
          <w:sz w:val="24"/>
          <w:szCs w:val="24"/>
          <w:lang w:val="ru-MD"/>
        </w:rPr>
        <w:t>) не предприняло никаких мер для реализации положени</w:t>
      </w:r>
      <w:r w:rsidR="0095192F" w:rsidRPr="00A21A6B">
        <w:rPr>
          <w:rFonts w:asciiTheme="majorHAnsi" w:hAnsiTheme="majorHAnsi" w:cstheme="majorHAnsi"/>
          <w:sz w:val="24"/>
          <w:szCs w:val="24"/>
          <w:lang w:val="ru-MD"/>
        </w:rPr>
        <w:t>й Постановления Правительства №</w:t>
      </w:r>
      <w:r w:rsidRPr="00A21A6B">
        <w:rPr>
          <w:rFonts w:asciiTheme="majorHAnsi" w:hAnsiTheme="majorHAnsi" w:cstheme="majorHAnsi"/>
          <w:sz w:val="24"/>
          <w:szCs w:val="24"/>
          <w:lang w:val="ru-MD"/>
        </w:rPr>
        <w:t xml:space="preserve">902/2017 о смене учредителя государственных предприятий, а именно государственных предприятий, находящихся в процессе несостоятельности. Отмечается, что в </w:t>
      </w:r>
      <w:r w:rsidR="0095192F" w:rsidRPr="00A21A6B">
        <w:rPr>
          <w:rFonts w:asciiTheme="majorHAnsi" w:hAnsiTheme="majorHAnsi" w:cstheme="majorHAnsi"/>
          <w:sz w:val="24"/>
          <w:szCs w:val="24"/>
          <w:lang w:val="ru-MD"/>
        </w:rPr>
        <w:t>на протяжении многих</w:t>
      </w:r>
      <w:r w:rsidRPr="00A21A6B">
        <w:rPr>
          <w:rFonts w:asciiTheme="majorHAnsi" w:hAnsiTheme="majorHAnsi" w:cstheme="majorHAnsi"/>
          <w:sz w:val="24"/>
          <w:szCs w:val="24"/>
          <w:lang w:val="ru-MD"/>
        </w:rPr>
        <w:t xml:space="preserve"> лет, хотя </w:t>
      </w:r>
      <w:r w:rsidR="0095192F" w:rsidRPr="00A21A6B">
        <w:rPr>
          <w:rFonts w:asciiTheme="majorHAnsi" w:hAnsiTheme="majorHAnsi" w:cstheme="majorHAnsi"/>
          <w:sz w:val="24"/>
          <w:szCs w:val="24"/>
          <w:lang w:val="ru-MD"/>
        </w:rPr>
        <w:t>ПП</w:t>
      </w:r>
      <w:r w:rsidRPr="00A21A6B">
        <w:rPr>
          <w:rFonts w:asciiTheme="majorHAnsi" w:hAnsiTheme="majorHAnsi" w:cstheme="majorHAnsi"/>
          <w:sz w:val="24"/>
          <w:szCs w:val="24"/>
          <w:lang w:val="ru-MD"/>
        </w:rPr>
        <w:t xml:space="preserve"> о смене учредителя был</w:t>
      </w:r>
      <w:r w:rsidR="0095192F" w:rsidRPr="00A21A6B">
        <w:rPr>
          <w:rFonts w:asciiTheme="majorHAnsi" w:hAnsiTheme="majorHAnsi" w:cstheme="majorHAnsi"/>
          <w:sz w:val="24"/>
          <w:szCs w:val="24"/>
          <w:lang w:val="ru-MD"/>
        </w:rPr>
        <w:t>о принято</w:t>
      </w:r>
      <w:r w:rsidRPr="00A21A6B">
        <w:rPr>
          <w:rFonts w:asciiTheme="majorHAnsi" w:hAnsiTheme="majorHAnsi" w:cstheme="majorHAnsi"/>
          <w:sz w:val="24"/>
          <w:szCs w:val="24"/>
          <w:lang w:val="ru-MD"/>
        </w:rPr>
        <w:t xml:space="preserve"> в 2018 году, </w:t>
      </w:r>
      <w:r w:rsidR="0095192F" w:rsidRPr="00A21A6B">
        <w:rPr>
          <w:rFonts w:asciiTheme="majorHAnsi" w:hAnsiTheme="majorHAnsi" w:cstheme="majorHAnsi"/>
          <w:sz w:val="24"/>
          <w:szCs w:val="24"/>
          <w:lang w:val="ru-MD"/>
        </w:rPr>
        <w:t>для</w:t>
      </w:r>
      <w:r w:rsidRPr="00A21A6B">
        <w:rPr>
          <w:rFonts w:asciiTheme="majorHAnsi" w:hAnsiTheme="majorHAnsi" w:cstheme="majorHAnsi"/>
          <w:sz w:val="24"/>
          <w:szCs w:val="24"/>
          <w:lang w:val="ru-MD"/>
        </w:rPr>
        <w:t xml:space="preserve"> 7 </w:t>
      </w:r>
      <w:r w:rsidR="0095192F" w:rsidRPr="00A21A6B">
        <w:rPr>
          <w:rFonts w:asciiTheme="majorHAnsi" w:hAnsiTheme="majorHAnsi" w:cstheme="majorHAnsi"/>
          <w:sz w:val="24"/>
          <w:szCs w:val="24"/>
          <w:lang w:val="ru-MD"/>
        </w:rPr>
        <w:t xml:space="preserve">ГП, </w:t>
      </w:r>
      <w:r w:rsidRPr="00A21A6B">
        <w:rPr>
          <w:rFonts w:asciiTheme="majorHAnsi" w:hAnsiTheme="majorHAnsi" w:cstheme="majorHAnsi"/>
          <w:sz w:val="24"/>
          <w:szCs w:val="24"/>
          <w:lang w:val="ru-MD"/>
        </w:rPr>
        <w:t>учредителем котор</w:t>
      </w:r>
      <w:r w:rsidR="0095192F" w:rsidRPr="00A21A6B">
        <w:rPr>
          <w:rFonts w:asciiTheme="majorHAnsi" w:hAnsiTheme="majorHAnsi" w:cstheme="majorHAnsi"/>
          <w:sz w:val="24"/>
          <w:szCs w:val="24"/>
          <w:lang w:val="ru-MD"/>
        </w:rPr>
        <w:t>ых</w:t>
      </w:r>
      <w:r w:rsidRPr="00A21A6B">
        <w:rPr>
          <w:rFonts w:asciiTheme="majorHAnsi" w:hAnsiTheme="majorHAnsi" w:cstheme="majorHAnsi"/>
          <w:sz w:val="24"/>
          <w:szCs w:val="24"/>
          <w:lang w:val="ru-MD"/>
        </w:rPr>
        <w:t xml:space="preserve"> на момент вступления в силу </w:t>
      </w:r>
      <w:r w:rsidR="0095192F" w:rsidRPr="00A21A6B">
        <w:rPr>
          <w:rFonts w:asciiTheme="majorHAnsi" w:hAnsiTheme="majorHAnsi" w:cstheme="majorHAnsi"/>
          <w:sz w:val="24"/>
          <w:szCs w:val="24"/>
          <w:lang w:val="ru-MD"/>
        </w:rPr>
        <w:t>указанного П</w:t>
      </w:r>
      <w:r w:rsidRPr="00A21A6B">
        <w:rPr>
          <w:rFonts w:asciiTheme="majorHAnsi" w:hAnsiTheme="majorHAnsi" w:cstheme="majorHAnsi"/>
          <w:sz w:val="24"/>
          <w:szCs w:val="24"/>
          <w:lang w:val="ru-MD"/>
        </w:rPr>
        <w:t xml:space="preserve">остановления </w:t>
      </w:r>
      <w:r w:rsidR="0095192F"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 xml:space="preserve">равительства было и до сих пор является Агентство „Apele Moldovei” (2 государственных предприятия) и Министерство сельского хозяйства, регионального развития и окружающей среды (5 государственных предприятий), </w:t>
      </w:r>
      <w:r w:rsidR="0095192F" w:rsidRPr="00A21A6B">
        <w:rPr>
          <w:rFonts w:asciiTheme="majorHAnsi" w:hAnsiTheme="majorHAnsi" w:cstheme="majorHAnsi"/>
          <w:sz w:val="24"/>
          <w:szCs w:val="24"/>
          <w:lang w:val="ru-MD"/>
        </w:rPr>
        <w:t>АПС, в качестве их</w:t>
      </w:r>
      <w:r w:rsidRPr="00A21A6B">
        <w:rPr>
          <w:rFonts w:asciiTheme="majorHAnsi" w:hAnsiTheme="majorHAnsi" w:cstheme="majorHAnsi"/>
          <w:sz w:val="24"/>
          <w:szCs w:val="24"/>
          <w:lang w:val="ru-MD"/>
        </w:rPr>
        <w:t xml:space="preserve"> нов</w:t>
      </w:r>
      <w:r w:rsidR="0095192F"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учредител</w:t>
      </w:r>
      <w:r w:rsidR="0095192F"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не пр</w:t>
      </w:r>
      <w:r w:rsidR="0095192F" w:rsidRPr="00A21A6B">
        <w:rPr>
          <w:rFonts w:asciiTheme="majorHAnsi" w:hAnsiTheme="majorHAnsi" w:cstheme="majorHAnsi"/>
          <w:sz w:val="24"/>
          <w:szCs w:val="24"/>
          <w:lang w:val="ru-MD"/>
        </w:rPr>
        <w:t>иняло меры, предусмотренные ст.</w:t>
      </w:r>
      <w:r w:rsidRPr="00A21A6B">
        <w:rPr>
          <w:rFonts w:asciiTheme="majorHAnsi" w:hAnsiTheme="majorHAnsi" w:cstheme="majorHAnsi"/>
          <w:sz w:val="24"/>
          <w:szCs w:val="24"/>
          <w:lang w:val="ru-MD"/>
        </w:rPr>
        <w:t>35</w:t>
      </w:r>
      <w:r w:rsidR="0095192F" w:rsidRPr="00A21A6B">
        <w:rPr>
          <w:rFonts w:asciiTheme="majorHAnsi" w:hAnsiTheme="majorHAnsi" w:cstheme="majorHAnsi"/>
          <w:sz w:val="24"/>
          <w:szCs w:val="24"/>
          <w:lang w:val="ru-MD"/>
        </w:rPr>
        <w:t xml:space="preserve"> (3) Закона №</w:t>
      </w:r>
      <w:r w:rsidRPr="00A21A6B">
        <w:rPr>
          <w:rFonts w:asciiTheme="majorHAnsi" w:hAnsiTheme="majorHAnsi" w:cstheme="majorHAnsi"/>
          <w:sz w:val="24"/>
          <w:szCs w:val="24"/>
          <w:lang w:val="ru-MD"/>
        </w:rPr>
        <w:t xml:space="preserve">149/2012 о том, что </w:t>
      </w:r>
      <w:r w:rsidR="00065D6F" w:rsidRPr="00A21A6B">
        <w:rPr>
          <w:rFonts w:asciiTheme="majorHAnsi" w:hAnsiTheme="majorHAnsi" w:cstheme="majorHAnsi"/>
          <w:sz w:val="24"/>
          <w:szCs w:val="24"/>
          <w:lang w:val="ru-MD"/>
        </w:rPr>
        <w:t>любая запись о регистрации или изменении правового статуса должника или его имущества совершается только по требованию управляющего процессом несостоятельности</w:t>
      </w:r>
      <w:r w:rsidR="00F40961" w:rsidRPr="00A21A6B">
        <w:rPr>
          <w:rFonts w:asciiTheme="majorHAnsi" w:hAnsiTheme="majorHAnsi" w:cstheme="majorHAnsi"/>
          <w:sz w:val="24"/>
          <w:szCs w:val="24"/>
          <w:lang w:val="ru-MD"/>
        </w:rPr>
        <w:t>.</w:t>
      </w:r>
    </w:p>
    <w:p w:rsidR="00F40961" w:rsidRPr="00A21A6B" w:rsidRDefault="00065D6F"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Одновременно</w:t>
      </w:r>
      <w:r w:rsidR="004138F3" w:rsidRPr="00A21A6B">
        <w:rPr>
          <w:rFonts w:asciiTheme="majorHAnsi" w:hAnsiTheme="majorHAnsi" w:cstheme="majorHAnsi"/>
          <w:sz w:val="24"/>
          <w:szCs w:val="24"/>
          <w:lang w:val="ru-MD"/>
        </w:rPr>
        <w:t>, согласно устав</w:t>
      </w:r>
      <w:r w:rsidRPr="00A21A6B">
        <w:rPr>
          <w:rFonts w:asciiTheme="majorHAnsi" w:hAnsiTheme="majorHAnsi" w:cstheme="majorHAnsi"/>
          <w:sz w:val="24"/>
          <w:szCs w:val="24"/>
          <w:lang w:val="ru-MD"/>
        </w:rPr>
        <w:t>ов</w:t>
      </w:r>
      <w:r w:rsidR="004138F3" w:rsidRPr="00A21A6B">
        <w:rPr>
          <w:rFonts w:asciiTheme="majorHAnsi" w:hAnsiTheme="majorHAnsi" w:cstheme="majorHAnsi"/>
          <w:sz w:val="24"/>
          <w:szCs w:val="24"/>
          <w:lang w:val="ru-MD"/>
        </w:rPr>
        <w:t xml:space="preserve"> двух предприятий, им были переданы в хозяйственное управление зем</w:t>
      </w:r>
      <w:r w:rsidRPr="00A21A6B">
        <w:rPr>
          <w:rFonts w:asciiTheme="majorHAnsi" w:hAnsiTheme="majorHAnsi" w:cstheme="majorHAnsi"/>
          <w:sz w:val="24"/>
          <w:szCs w:val="24"/>
          <w:lang w:val="ru-MD"/>
        </w:rPr>
        <w:t>ельные участки</w:t>
      </w:r>
      <w:r w:rsidR="004138F3" w:rsidRPr="00A21A6B">
        <w:rPr>
          <w:rFonts w:asciiTheme="majorHAnsi" w:hAnsiTheme="majorHAnsi" w:cstheme="majorHAnsi"/>
          <w:sz w:val="24"/>
          <w:szCs w:val="24"/>
          <w:lang w:val="ru-MD"/>
        </w:rPr>
        <w:t xml:space="preserve"> общей площадью 326,84 га, нормативная цена которых составляет 24,01 млн.</w:t>
      </w:r>
      <w:r w:rsidRPr="00A21A6B">
        <w:rPr>
          <w:rFonts w:asciiTheme="majorHAnsi" w:hAnsiTheme="majorHAnsi" w:cstheme="majorHAnsi"/>
          <w:sz w:val="24"/>
          <w:szCs w:val="24"/>
          <w:lang w:val="ru-MD"/>
        </w:rPr>
        <w:t xml:space="preserve"> </w:t>
      </w:r>
      <w:r w:rsidR="004138F3" w:rsidRPr="00A21A6B">
        <w:rPr>
          <w:rFonts w:asciiTheme="majorHAnsi" w:hAnsiTheme="majorHAnsi" w:cstheme="majorHAnsi"/>
          <w:sz w:val="24"/>
          <w:szCs w:val="24"/>
          <w:lang w:val="ru-MD"/>
        </w:rPr>
        <w:t>ле</w:t>
      </w:r>
      <w:r w:rsidRPr="00A21A6B">
        <w:rPr>
          <w:rFonts w:asciiTheme="majorHAnsi" w:hAnsiTheme="majorHAnsi" w:cstheme="majorHAnsi"/>
          <w:sz w:val="24"/>
          <w:szCs w:val="24"/>
          <w:lang w:val="ru-MD"/>
        </w:rPr>
        <w:t>ев</w:t>
      </w:r>
      <w:r w:rsidR="004138F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Согласно</w:t>
      </w:r>
      <w:r w:rsidR="004138F3" w:rsidRPr="00A21A6B">
        <w:rPr>
          <w:rFonts w:asciiTheme="majorHAnsi" w:hAnsiTheme="majorHAnsi" w:cstheme="majorHAnsi"/>
          <w:sz w:val="24"/>
          <w:szCs w:val="24"/>
          <w:lang w:val="ru-MD"/>
        </w:rPr>
        <w:t xml:space="preserve"> положени</w:t>
      </w:r>
      <w:r w:rsidRPr="00A21A6B">
        <w:rPr>
          <w:rFonts w:asciiTheme="majorHAnsi" w:hAnsiTheme="majorHAnsi" w:cstheme="majorHAnsi"/>
          <w:sz w:val="24"/>
          <w:szCs w:val="24"/>
          <w:lang w:val="ru-MD"/>
        </w:rPr>
        <w:t>ям Постановления Правительства №</w:t>
      </w:r>
      <w:r w:rsidR="004138F3" w:rsidRPr="00A21A6B">
        <w:rPr>
          <w:rFonts w:asciiTheme="majorHAnsi" w:hAnsiTheme="majorHAnsi" w:cstheme="majorHAnsi"/>
          <w:sz w:val="24"/>
          <w:szCs w:val="24"/>
          <w:lang w:val="ru-MD"/>
        </w:rPr>
        <w:t xml:space="preserve">161/2018, все </w:t>
      </w:r>
      <w:r w:rsidRPr="00A21A6B">
        <w:rPr>
          <w:rFonts w:asciiTheme="majorHAnsi" w:hAnsiTheme="majorHAnsi" w:cstheme="majorHAnsi"/>
          <w:sz w:val="24"/>
          <w:szCs w:val="24"/>
          <w:lang w:val="ru-MD"/>
        </w:rPr>
        <w:t>земельные участки публич</w:t>
      </w:r>
      <w:r w:rsidR="004138F3" w:rsidRPr="00A21A6B">
        <w:rPr>
          <w:rFonts w:asciiTheme="majorHAnsi" w:hAnsiTheme="majorHAnsi" w:cstheme="majorHAnsi"/>
          <w:sz w:val="24"/>
          <w:szCs w:val="24"/>
          <w:lang w:val="ru-MD"/>
        </w:rPr>
        <w:t>ной собственности государства</w:t>
      </w:r>
      <w:r w:rsidRPr="00A21A6B">
        <w:rPr>
          <w:rFonts w:asciiTheme="majorHAnsi" w:hAnsiTheme="majorHAnsi" w:cstheme="majorHAnsi"/>
          <w:sz w:val="24"/>
          <w:szCs w:val="24"/>
          <w:lang w:val="ru-MD"/>
        </w:rPr>
        <w:t xml:space="preserve"> администрируются АПС</w:t>
      </w:r>
      <w:r w:rsidR="004138F3" w:rsidRPr="00A21A6B">
        <w:rPr>
          <w:rFonts w:asciiTheme="majorHAnsi" w:hAnsiTheme="majorHAnsi" w:cstheme="majorHAnsi"/>
          <w:sz w:val="24"/>
          <w:szCs w:val="24"/>
          <w:lang w:val="ru-MD"/>
        </w:rPr>
        <w:t xml:space="preserve">. Таким образом, в течение 2019-2021 годов ни </w:t>
      </w:r>
      <w:r w:rsidRPr="00A21A6B">
        <w:rPr>
          <w:rFonts w:asciiTheme="majorHAnsi" w:hAnsiTheme="majorHAnsi" w:cstheme="majorHAnsi"/>
          <w:sz w:val="24"/>
          <w:szCs w:val="24"/>
          <w:lang w:val="ru-MD"/>
        </w:rPr>
        <w:t>А</w:t>
      </w:r>
      <w:r w:rsidR="004138F3" w:rsidRPr="00A21A6B">
        <w:rPr>
          <w:rFonts w:asciiTheme="majorHAnsi" w:hAnsiTheme="majorHAnsi" w:cstheme="majorHAnsi"/>
          <w:sz w:val="24"/>
          <w:szCs w:val="24"/>
          <w:lang w:val="ru-MD"/>
        </w:rPr>
        <w:t xml:space="preserve">гентством </w:t>
      </w:r>
      <w:r w:rsidRPr="00A21A6B">
        <w:rPr>
          <w:rFonts w:asciiTheme="majorHAnsi" w:hAnsiTheme="majorHAnsi" w:cstheme="majorHAnsi"/>
          <w:sz w:val="24"/>
          <w:szCs w:val="24"/>
          <w:lang w:val="ru-MD"/>
        </w:rPr>
        <w:t>«</w:t>
      </w:r>
      <w:r w:rsidR="004138F3" w:rsidRPr="00A21A6B">
        <w:rPr>
          <w:rFonts w:asciiTheme="majorHAnsi" w:hAnsiTheme="majorHAnsi" w:cstheme="majorHAnsi"/>
          <w:sz w:val="24"/>
          <w:szCs w:val="24"/>
          <w:lang w:val="ru-MD"/>
        </w:rPr>
        <w:t>Apele Moldovei</w:t>
      </w:r>
      <w:r w:rsidRPr="00A21A6B">
        <w:rPr>
          <w:rFonts w:asciiTheme="majorHAnsi" w:hAnsiTheme="majorHAnsi" w:cstheme="majorHAnsi"/>
          <w:sz w:val="24"/>
          <w:szCs w:val="24"/>
          <w:lang w:val="ru-MD"/>
        </w:rPr>
        <w:t>»,</w:t>
      </w:r>
      <w:r w:rsidR="004138F3" w:rsidRPr="00A21A6B">
        <w:rPr>
          <w:rFonts w:asciiTheme="majorHAnsi" w:hAnsiTheme="majorHAnsi" w:cstheme="majorHAnsi"/>
          <w:sz w:val="24"/>
          <w:szCs w:val="24"/>
          <w:lang w:val="ru-MD"/>
        </w:rPr>
        <w:t xml:space="preserve"> в качестве нынешнего </w:t>
      </w:r>
      <w:r w:rsidRPr="00A21A6B">
        <w:rPr>
          <w:rFonts w:asciiTheme="majorHAnsi" w:hAnsiTheme="majorHAnsi" w:cstheme="majorHAnsi"/>
          <w:sz w:val="24"/>
          <w:szCs w:val="24"/>
          <w:lang w:val="ru-MD"/>
        </w:rPr>
        <w:t>учреди</w:t>
      </w:r>
      <w:r w:rsidR="004138F3" w:rsidRPr="00A21A6B">
        <w:rPr>
          <w:rFonts w:asciiTheme="majorHAnsi" w:hAnsiTheme="majorHAnsi" w:cstheme="majorHAnsi"/>
          <w:sz w:val="24"/>
          <w:szCs w:val="24"/>
          <w:lang w:val="ru-MD"/>
        </w:rPr>
        <w:t xml:space="preserve">теля этих предприятий, ни </w:t>
      </w:r>
      <w:r w:rsidRPr="00A21A6B">
        <w:rPr>
          <w:rFonts w:asciiTheme="majorHAnsi" w:hAnsiTheme="majorHAnsi" w:cstheme="majorHAnsi"/>
          <w:sz w:val="24"/>
          <w:szCs w:val="24"/>
          <w:lang w:val="ru-MD"/>
        </w:rPr>
        <w:t>АПС,</w:t>
      </w:r>
      <w:r w:rsidR="004138F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в</w:t>
      </w:r>
      <w:r w:rsidR="004138F3" w:rsidRPr="00A21A6B">
        <w:rPr>
          <w:rFonts w:asciiTheme="majorHAnsi" w:hAnsiTheme="majorHAnsi" w:cstheme="majorHAnsi"/>
          <w:sz w:val="24"/>
          <w:szCs w:val="24"/>
          <w:lang w:val="ru-MD"/>
        </w:rPr>
        <w:t xml:space="preserve"> качестве собственника </w:t>
      </w:r>
      <w:r w:rsidRPr="00A21A6B">
        <w:rPr>
          <w:rFonts w:asciiTheme="majorHAnsi" w:hAnsiTheme="majorHAnsi" w:cstheme="majorHAnsi"/>
          <w:sz w:val="24"/>
          <w:szCs w:val="24"/>
          <w:lang w:val="ru-MD"/>
        </w:rPr>
        <w:t>земельных участков публичной собственности</w:t>
      </w:r>
      <w:r w:rsidR="004138F3" w:rsidRPr="00A21A6B">
        <w:rPr>
          <w:rFonts w:asciiTheme="majorHAnsi" w:hAnsiTheme="majorHAnsi" w:cstheme="majorHAnsi"/>
          <w:sz w:val="24"/>
          <w:szCs w:val="24"/>
          <w:lang w:val="ru-MD"/>
        </w:rPr>
        <w:t xml:space="preserve">, не было предпринято никаких мер для </w:t>
      </w:r>
      <w:r w:rsidRPr="00A21A6B">
        <w:rPr>
          <w:rFonts w:asciiTheme="majorHAnsi" w:hAnsiTheme="majorHAnsi" w:cstheme="majorHAnsi"/>
          <w:sz w:val="24"/>
          <w:szCs w:val="24"/>
          <w:lang w:val="ru-MD"/>
        </w:rPr>
        <w:t xml:space="preserve">надлежащего </w:t>
      </w:r>
      <w:r w:rsidR="004138F3" w:rsidRPr="00A21A6B">
        <w:rPr>
          <w:rFonts w:asciiTheme="majorHAnsi" w:hAnsiTheme="majorHAnsi" w:cstheme="majorHAnsi"/>
          <w:sz w:val="24"/>
          <w:szCs w:val="24"/>
          <w:lang w:val="ru-MD"/>
        </w:rPr>
        <w:t>выполнения положени</w:t>
      </w:r>
      <w:r w:rsidRPr="00A21A6B">
        <w:rPr>
          <w:rFonts w:asciiTheme="majorHAnsi" w:hAnsiTheme="majorHAnsi" w:cstheme="majorHAnsi"/>
          <w:sz w:val="24"/>
          <w:szCs w:val="24"/>
          <w:lang w:val="ru-MD"/>
        </w:rPr>
        <w:t>й</w:t>
      </w:r>
      <w:r w:rsidR="004138F3" w:rsidRPr="00A21A6B">
        <w:rPr>
          <w:rFonts w:asciiTheme="majorHAnsi" w:hAnsiTheme="majorHAnsi" w:cstheme="majorHAnsi"/>
          <w:sz w:val="24"/>
          <w:szCs w:val="24"/>
          <w:lang w:val="ru-MD"/>
        </w:rPr>
        <w:t xml:space="preserve"> Постановл</w:t>
      </w:r>
      <w:r w:rsidRPr="00A21A6B">
        <w:rPr>
          <w:rFonts w:asciiTheme="majorHAnsi" w:hAnsiTheme="majorHAnsi" w:cstheme="majorHAnsi"/>
          <w:sz w:val="24"/>
          <w:szCs w:val="24"/>
          <w:lang w:val="ru-MD"/>
        </w:rPr>
        <w:t>ения Правительства №</w:t>
      </w:r>
      <w:r w:rsidR="004138F3" w:rsidRPr="00A21A6B">
        <w:rPr>
          <w:rFonts w:asciiTheme="majorHAnsi" w:hAnsiTheme="majorHAnsi" w:cstheme="majorHAnsi"/>
          <w:sz w:val="24"/>
          <w:szCs w:val="24"/>
          <w:lang w:val="ru-MD"/>
        </w:rPr>
        <w:t xml:space="preserve">161/2018 </w:t>
      </w:r>
      <w:r w:rsidRPr="00A21A6B">
        <w:rPr>
          <w:rFonts w:asciiTheme="majorHAnsi" w:hAnsiTheme="majorHAnsi" w:cstheme="majorHAnsi"/>
          <w:sz w:val="24"/>
          <w:szCs w:val="24"/>
          <w:lang w:val="ru-MD"/>
        </w:rPr>
        <w:t>и Постановления Правительства №</w:t>
      </w:r>
      <w:r w:rsidR="004138F3" w:rsidRPr="00A21A6B">
        <w:rPr>
          <w:rFonts w:asciiTheme="majorHAnsi" w:hAnsiTheme="majorHAnsi" w:cstheme="majorHAnsi"/>
          <w:sz w:val="24"/>
          <w:szCs w:val="24"/>
          <w:lang w:val="ru-MD"/>
        </w:rPr>
        <w:t xml:space="preserve">902/2017. В </w:t>
      </w:r>
      <w:r w:rsidRPr="00A21A6B">
        <w:rPr>
          <w:rFonts w:asciiTheme="majorHAnsi" w:hAnsiTheme="majorHAnsi" w:cstheme="majorHAnsi"/>
          <w:sz w:val="24"/>
          <w:szCs w:val="24"/>
          <w:lang w:val="ru-MD"/>
        </w:rPr>
        <w:t>итоге,</w:t>
      </w:r>
      <w:r w:rsidR="004138F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реализация</w:t>
      </w:r>
      <w:r w:rsidR="004138F3" w:rsidRPr="00A21A6B">
        <w:rPr>
          <w:rFonts w:asciiTheme="majorHAnsi" w:hAnsiTheme="majorHAnsi" w:cstheme="majorHAnsi"/>
          <w:sz w:val="24"/>
          <w:szCs w:val="24"/>
          <w:lang w:val="ru-MD"/>
        </w:rPr>
        <w:t xml:space="preserve"> положени</w:t>
      </w:r>
      <w:r w:rsidRPr="00A21A6B">
        <w:rPr>
          <w:rFonts w:asciiTheme="majorHAnsi" w:hAnsiTheme="majorHAnsi" w:cstheme="majorHAnsi"/>
          <w:sz w:val="24"/>
          <w:szCs w:val="24"/>
          <w:lang w:val="ru-MD"/>
        </w:rPr>
        <w:t>й Постановления Правительства №</w:t>
      </w:r>
      <w:r w:rsidR="004138F3" w:rsidRPr="00A21A6B">
        <w:rPr>
          <w:rFonts w:asciiTheme="majorHAnsi" w:hAnsiTheme="majorHAnsi" w:cstheme="majorHAnsi"/>
          <w:sz w:val="24"/>
          <w:szCs w:val="24"/>
          <w:lang w:val="ru-MD"/>
        </w:rPr>
        <w:t>161/2018 невозможн</w:t>
      </w:r>
      <w:r w:rsidRPr="00A21A6B">
        <w:rPr>
          <w:rFonts w:asciiTheme="majorHAnsi" w:hAnsiTheme="majorHAnsi" w:cstheme="majorHAnsi"/>
          <w:sz w:val="24"/>
          <w:szCs w:val="24"/>
          <w:lang w:val="ru-MD"/>
        </w:rPr>
        <w:t>а</w:t>
      </w:r>
      <w:r w:rsidR="004138F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из-за непринятия</w:t>
      </w:r>
      <w:r w:rsidR="004138F3" w:rsidRPr="00A21A6B">
        <w:rPr>
          <w:rFonts w:asciiTheme="majorHAnsi" w:hAnsiTheme="majorHAnsi" w:cstheme="majorHAnsi"/>
          <w:sz w:val="24"/>
          <w:szCs w:val="24"/>
          <w:lang w:val="ru-MD"/>
        </w:rPr>
        <w:t xml:space="preserve"> действий по внесению изменений в уставы предприятий, находящихся в </w:t>
      </w:r>
      <w:r w:rsidRPr="00A21A6B">
        <w:rPr>
          <w:rFonts w:asciiTheme="majorHAnsi" w:hAnsiTheme="majorHAnsi" w:cstheme="majorHAnsi"/>
          <w:sz w:val="24"/>
          <w:szCs w:val="24"/>
          <w:lang w:val="ru-MD"/>
        </w:rPr>
        <w:t xml:space="preserve">процессе </w:t>
      </w:r>
      <w:r w:rsidR="004138F3" w:rsidRPr="00A21A6B">
        <w:rPr>
          <w:rFonts w:asciiTheme="majorHAnsi" w:hAnsiTheme="majorHAnsi" w:cstheme="majorHAnsi"/>
          <w:sz w:val="24"/>
          <w:szCs w:val="24"/>
          <w:lang w:val="ru-MD"/>
        </w:rPr>
        <w:t xml:space="preserve">несостоятельности, путем исключения </w:t>
      </w:r>
      <w:r w:rsidRPr="00A21A6B">
        <w:rPr>
          <w:rFonts w:asciiTheme="majorHAnsi" w:hAnsiTheme="majorHAnsi" w:cstheme="majorHAnsi"/>
          <w:sz w:val="24"/>
          <w:szCs w:val="24"/>
          <w:lang w:val="ru-MD"/>
        </w:rPr>
        <w:t>переданных им в управление земельных</w:t>
      </w:r>
      <w:r w:rsidR="004138F3" w:rsidRPr="00A21A6B">
        <w:rPr>
          <w:rFonts w:asciiTheme="majorHAnsi" w:hAnsiTheme="majorHAnsi" w:cstheme="majorHAnsi"/>
          <w:sz w:val="24"/>
          <w:szCs w:val="24"/>
          <w:lang w:val="ru-MD"/>
        </w:rPr>
        <w:t xml:space="preserve"> участков. В </w:t>
      </w:r>
      <w:r w:rsidRPr="00A21A6B">
        <w:rPr>
          <w:rFonts w:asciiTheme="majorHAnsi" w:hAnsiTheme="majorHAnsi" w:cstheme="majorHAnsi"/>
          <w:sz w:val="24"/>
          <w:szCs w:val="24"/>
          <w:lang w:val="ru-MD"/>
        </w:rPr>
        <w:t xml:space="preserve">этой </w:t>
      </w:r>
      <w:r w:rsidR="004138F3" w:rsidRPr="00A21A6B">
        <w:rPr>
          <w:rFonts w:asciiTheme="majorHAnsi" w:hAnsiTheme="majorHAnsi" w:cstheme="majorHAnsi"/>
          <w:sz w:val="24"/>
          <w:szCs w:val="24"/>
          <w:lang w:val="ru-MD"/>
        </w:rPr>
        <w:t>связи</w:t>
      </w:r>
      <w:r w:rsidRPr="00A21A6B">
        <w:rPr>
          <w:rFonts w:asciiTheme="majorHAnsi" w:hAnsiTheme="majorHAnsi" w:cstheme="majorHAnsi"/>
          <w:sz w:val="24"/>
          <w:szCs w:val="24"/>
          <w:lang w:val="ru-MD"/>
        </w:rPr>
        <w:t>, необходимо</w:t>
      </w:r>
      <w:r w:rsidR="004138F3" w:rsidRPr="00A21A6B">
        <w:rPr>
          <w:rFonts w:asciiTheme="majorHAnsi" w:hAnsiTheme="majorHAnsi" w:cstheme="majorHAnsi"/>
          <w:sz w:val="24"/>
          <w:szCs w:val="24"/>
          <w:lang w:val="ru-MD"/>
        </w:rPr>
        <w:t xml:space="preserve"> принят</w:t>
      </w:r>
      <w:r w:rsidRPr="00A21A6B">
        <w:rPr>
          <w:rFonts w:asciiTheme="majorHAnsi" w:hAnsiTheme="majorHAnsi" w:cstheme="majorHAnsi"/>
          <w:sz w:val="24"/>
          <w:szCs w:val="24"/>
          <w:lang w:val="ru-MD"/>
        </w:rPr>
        <w:t>ь</w:t>
      </w:r>
      <w:r w:rsidR="004138F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соответствующие </w:t>
      </w:r>
      <w:r w:rsidR="004138F3" w:rsidRPr="00A21A6B">
        <w:rPr>
          <w:rFonts w:asciiTheme="majorHAnsi" w:hAnsiTheme="majorHAnsi" w:cstheme="majorHAnsi"/>
          <w:sz w:val="24"/>
          <w:szCs w:val="24"/>
          <w:lang w:val="ru-MD"/>
        </w:rPr>
        <w:t>меры</w:t>
      </w:r>
      <w:r w:rsidR="00F40961" w:rsidRPr="00A21A6B">
        <w:rPr>
          <w:rFonts w:asciiTheme="majorHAnsi" w:hAnsiTheme="majorHAnsi" w:cstheme="majorHAnsi"/>
          <w:sz w:val="24"/>
          <w:szCs w:val="24"/>
          <w:lang w:val="ru-MD"/>
        </w:rPr>
        <w:t>.</w:t>
      </w:r>
    </w:p>
    <w:p w:rsidR="00F40961" w:rsidRPr="00A21A6B" w:rsidRDefault="004138F3" w:rsidP="00355CA5">
      <w:pPr>
        <w:pStyle w:val="FootnoteText"/>
        <w:tabs>
          <w:tab w:val="left" w:pos="142"/>
        </w:tabs>
        <w:spacing w:before="60" w:line="276" w:lineRule="auto"/>
        <w:jc w:val="both"/>
        <w:rPr>
          <w:rFonts w:asciiTheme="majorHAnsi" w:hAnsiTheme="majorHAnsi" w:cstheme="majorHAnsi"/>
          <w:sz w:val="24"/>
          <w:szCs w:val="24"/>
          <w:lang w:val="ru-MD"/>
        </w:rPr>
      </w:pPr>
      <w:r w:rsidRPr="00A21A6B">
        <w:rPr>
          <w:rFonts w:asciiTheme="majorHAnsi" w:hAnsiTheme="majorHAnsi" w:cs="Calibri Light"/>
          <w:noProof/>
          <w:sz w:val="24"/>
          <w:szCs w:val="24"/>
          <w:lang w:val="ru-MD"/>
        </w:rPr>
        <w:t>В этом контексте подчеркиваем, что большая часть имущества государственных предприятий, находящихся в процессе не</w:t>
      </w:r>
      <w:r w:rsidR="00631629" w:rsidRPr="00A21A6B">
        <w:rPr>
          <w:rFonts w:asciiTheme="majorHAnsi" w:hAnsiTheme="majorHAnsi" w:cs="Calibri Light"/>
          <w:noProof/>
          <w:sz w:val="24"/>
          <w:szCs w:val="24"/>
          <w:lang w:val="ru-MD"/>
        </w:rPr>
        <w:t>состоятель</w:t>
      </w:r>
      <w:r w:rsidRPr="00A21A6B">
        <w:rPr>
          <w:rFonts w:asciiTheme="majorHAnsi" w:hAnsiTheme="majorHAnsi" w:cs="Calibri Light"/>
          <w:noProof/>
          <w:sz w:val="24"/>
          <w:szCs w:val="24"/>
          <w:lang w:val="ru-MD"/>
        </w:rPr>
        <w:t xml:space="preserve">ности, представляет собой </w:t>
      </w:r>
      <w:r w:rsidR="00631629" w:rsidRPr="00A21A6B">
        <w:rPr>
          <w:rFonts w:asciiTheme="majorHAnsi" w:hAnsiTheme="majorHAnsi" w:cs="Calibri Light"/>
          <w:noProof/>
          <w:sz w:val="24"/>
          <w:szCs w:val="24"/>
          <w:lang w:val="ru-MD"/>
        </w:rPr>
        <w:t>публич</w:t>
      </w:r>
      <w:r w:rsidRPr="00A21A6B">
        <w:rPr>
          <w:rFonts w:asciiTheme="majorHAnsi" w:hAnsiTheme="majorHAnsi" w:cs="Calibri Light"/>
          <w:noProof/>
          <w:sz w:val="24"/>
          <w:szCs w:val="24"/>
          <w:lang w:val="ru-MD"/>
        </w:rPr>
        <w:t>ную собственность или частную собственность государства. Целью установления процесса несостоятельности является улучшение финансово</w:t>
      </w:r>
      <w:r w:rsidR="00631629" w:rsidRPr="00A21A6B">
        <w:rPr>
          <w:rFonts w:asciiTheme="majorHAnsi" w:hAnsiTheme="majorHAnsi" w:cs="Calibri Light"/>
          <w:noProof/>
          <w:sz w:val="24"/>
          <w:szCs w:val="24"/>
          <w:lang w:val="ru-MD"/>
        </w:rPr>
        <w:t>го</w:t>
      </w:r>
      <w:r w:rsidRPr="00A21A6B">
        <w:rPr>
          <w:rFonts w:asciiTheme="majorHAnsi" w:hAnsiTheme="majorHAnsi" w:cs="Calibri Light"/>
          <w:noProof/>
          <w:sz w:val="24"/>
          <w:szCs w:val="24"/>
          <w:lang w:val="ru-MD"/>
        </w:rPr>
        <w:t xml:space="preserve"> и </w:t>
      </w:r>
      <w:r w:rsidR="00631629" w:rsidRPr="00A21A6B">
        <w:rPr>
          <w:rFonts w:asciiTheme="majorHAnsi" w:hAnsiTheme="majorHAnsi" w:cs="Calibri Light"/>
          <w:noProof/>
          <w:sz w:val="24"/>
          <w:szCs w:val="24"/>
          <w:lang w:val="ru-MD"/>
        </w:rPr>
        <w:t>имущественного</w:t>
      </w:r>
      <w:r w:rsidRPr="00A21A6B">
        <w:rPr>
          <w:rFonts w:asciiTheme="majorHAnsi" w:hAnsiTheme="majorHAnsi" w:cs="Calibri Light"/>
          <w:noProof/>
          <w:sz w:val="24"/>
          <w:szCs w:val="24"/>
          <w:lang w:val="ru-MD"/>
        </w:rPr>
        <w:t xml:space="preserve"> </w:t>
      </w:r>
      <w:r w:rsidR="00631629" w:rsidRPr="00A21A6B">
        <w:rPr>
          <w:rFonts w:asciiTheme="majorHAnsi" w:hAnsiTheme="majorHAnsi" w:cs="Calibri Light"/>
          <w:noProof/>
          <w:sz w:val="24"/>
          <w:szCs w:val="24"/>
          <w:lang w:val="ru-MD"/>
        </w:rPr>
        <w:t>положения</w:t>
      </w:r>
      <w:r w:rsidRPr="00A21A6B">
        <w:rPr>
          <w:rFonts w:asciiTheme="majorHAnsi" w:hAnsiTheme="majorHAnsi" w:cs="Calibri Light"/>
          <w:noProof/>
          <w:sz w:val="24"/>
          <w:szCs w:val="24"/>
          <w:lang w:val="ru-MD"/>
        </w:rPr>
        <w:t xml:space="preserve">, при этом право управления предприятием передается </w:t>
      </w:r>
      <w:r w:rsidR="00631629" w:rsidRPr="00A21A6B">
        <w:rPr>
          <w:rFonts w:asciiTheme="majorHAnsi" w:hAnsiTheme="majorHAnsi" w:cs="Calibri Light"/>
          <w:noProof/>
          <w:sz w:val="24"/>
          <w:szCs w:val="24"/>
          <w:lang w:val="ru-MD"/>
        </w:rPr>
        <w:t>управляющему процессом несостоятельности</w:t>
      </w:r>
      <w:r w:rsidRPr="00A21A6B">
        <w:rPr>
          <w:rFonts w:asciiTheme="majorHAnsi" w:hAnsiTheme="majorHAnsi" w:cs="Calibri Light"/>
          <w:noProof/>
          <w:sz w:val="24"/>
          <w:szCs w:val="24"/>
          <w:lang w:val="ru-MD"/>
        </w:rPr>
        <w:t>, от процесса несостоятельности от</w:t>
      </w:r>
      <w:r w:rsidR="00631629" w:rsidRPr="00A21A6B">
        <w:rPr>
          <w:rFonts w:asciiTheme="majorHAnsi" w:hAnsiTheme="majorHAnsi" w:cs="Calibri Light"/>
          <w:noProof/>
          <w:sz w:val="24"/>
          <w:szCs w:val="24"/>
          <w:lang w:val="ru-MD"/>
        </w:rPr>
        <w:t>страня</w:t>
      </w:r>
      <w:r w:rsidRPr="00A21A6B">
        <w:rPr>
          <w:rFonts w:asciiTheme="majorHAnsi" w:hAnsiTheme="majorHAnsi" w:cs="Calibri Light"/>
          <w:noProof/>
          <w:sz w:val="24"/>
          <w:szCs w:val="24"/>
          <w:lang w:val="ru-MD"/>
        </w:rPr>
        <w:t xml:space="preserve">ется не только администратор предприятия, назначенный учредителем, но и </w:t>
      </w:r>
      <w:r w:rsidR="00631629" w:rsidRPr="00A21A6B">
        <w:rPr>
          <w:rFonts w:asciiTheme="majorHAnsi" w:hAnsiTheme="majorHAnsi" w:cs="Calibri Light"/>
          <w:noProof/>
          <w:sz w:val="24"/>
          <w:szCs w:val="24"/>
          <w:lang w:val="ru-MD"/>
        </w:rPr>
        <w:t xml:space="preserve">сам </w:t>
      </w:r>
      <w:r w:rsidRPr="00A21A6B">
        <w:rPr>
          <w:rFonts w:asciiTheme="majorHAnsi" w:hAnsiTheme="majorHAnsi" w:cs="Calibri Light"/>
          <w:noProof/>
          <w:sz w:val="24"/>
          <w:szCs w:val="24"/>
          <w:lang w:val="ru-MD"/>
        </w:rPr>
        <w:t xml:space="preserve">учредитель, </w:t>
      </w:r>
      <w:r w:rsidR="00631629" w:rsidRPr="00A21A6B">
        <w:rPr>
          <w:rFonts w:asciiTheme="majorHAnsi" w:hAnsiTheme="majorHAnsi" w:cs="Calibri Light"/>
          <w:noProof/>
          <w:sz w:val="24"/>
          <w:szCs w:val="24"/>
          <w:lang w:val="ru-MD"/>
        </w:rPr>
        <w:t>которы</w:t>
      </w:r>
      <w:r w:rsidRPr="00A21A6B">
        <w:rPr>
          <w:rFonts w:asciiTheme="majorHAnsi" w:hAnsiTheme="majorHAnsi" w:cs="Calibri Light"/>
          <w:noProof/>
          <w:sz w:val="24"/>
          <w:szCs w:val="24"/>
          <w:lang w:val="ru-MD"/>
        </w:rPr>
        <w:t xml:space="preserve">й лишен информации об управлении государственной собственностью, а также </w:t>
      </w:r>
      <w:r w:rsidR="00631629" w:rsidRPr="00A21A6B">
        <w:rPr>
          <w:rFonts w:asciiTheme="majorHAnsi" w:hAnsiTheme="majorHAnsi" w:cs="Calibri Light"/>
          <w:noProof/>
          <w:sz w:val="24"/>
          <w:szCs w:val="24"/>
          <w:lang w:val="ru-MD"/>
        </w:rPr>
        <w:t xml:space="preserve">возможности </w:t>
      </w:r>
      <w:r w:rsidRPr="00A21A6B">
        <w:rPr>
          <w:rFonts w:asciiTheme="majorHAnsi" w:hAnsiTheme="majorHAnsi" w:cs="Calibri Light"/>
          <w:noProof/>
          <w:sz w:val="24"/>
          <w:szCs w:val="24"/>
          <w:lang w:val="ru-MD"/>
        </w:rPr>
        <w:t>мониторинга/надзора за ее эффективным управлением,</w:t>
      </w:r>
      <w:r w:rsidR="00631629" w:rsidRPr="00A21A6B">
        <w:rPr>
          <w:rFonts w:asciiTheme="majorHAnsi" w:hAnsiTheme="majorHAnsi" w:cs="Calibri Light"/>
          <w:noProof/>
          <w:sz w:val="24"/>
          <w:szCs w:val="24"/>
          <w:lang w:val="ru-MD"/>
        </w:rPr>
        <w:t xml:space="preserve"> для</w:t>
      </w:r>
      <w:r w:rsidRPr="00A21A6B">
        <w:rPr>
          <w:rFonts w:asciiTheme="majorHAnsi" w:hAnsiTheme="majorHAnsi" w:cs="Calibri Light"/>
          <w:noProof/>
          <w:sz w:val="24"/>
          <w:szCs w:val="24"/>
          <w:lang w:val="ru-MD"/>
        </w:rPr>
        <w:t xml:space="preserve"> недопу</w:t>
      </w:r>
      <w:r w:rsidR="00631629" w:rsidRPr="00A21A6B">
        <w:rPr>
          <w:rFonts w:asciiTheme="majorHAnsi" w:hAnsiTheme="majorHAnsi" w:cs="Calibri Light"/>
          <w:noProof/>
          <w:sz w:val="24"/>
          <w:szCs w:val="24"/>
          <w:lang w:val="ru-MD"/>
        </w:rPr>
        <w:t>щения принятия</w:t>
      </w:r>
      <w:r w:rsidRPr="00A21A6B">
        <w:rPr>
          <w:rFonts w:asciiTheme="majorHAnsi" w:hAnsiTheme="majorHAnsi" w:cs="Calibri Light"/>
          <w:noProof/>
          <w:sz w:val="24"/>
          <w:szCs w:val="24"/>
          <w:lang w:val="ru-MD"/>
        </w:rPr>
        <w:t xml:space="preserve"> решений, которые могут привести к потере контроля над </w:t>
      </w:r>
      <w:r w:rsidR="00631629" w:rsidRPr="00A21A6B">
        <w:rPr>
          <w:rFonts w:asciiTheme="majorHAnsi" w:hAnsiTheme="majorHAnsi" w:cs="Calibri Light"/>
          <w:noProof/>
          <w:sz w:val="24"/>
          <w:szCs w:val="24"/>
          <w:lang w:val="ru-MD"/>
        </w:rPr>
        <w:t>активами</w:t>
      </w:r>
      <w:r w:rsidRPr="00A21A6B">
        <w:rPr>
          <w:rFonts w:asciiTheme="majorHAnsi" w:hAnsiTheme="majorHAnsi" w:cs="Calibri Light"/>
          <w:noProof/>
          <w:sz w:val="24"/>
          <w:szCs w:val="24"/>
          <w:lang w:val="ru-MD"/>
        </w:rPr>
        <w:t xml:space="preserve"> государства </w:t>
      </w:r>
      <w:r w:rsidRPr="00A21A6B">
        <w:rPr>
          <w:rFonts w:asciiTheme="majorHAnsi" w:hAnsiTheme="majorHAnsi" w:cs="Calibri Light"/>
          <w:noProof/>
          <w:sz w:val="24"/>
          <w:szCs w:val="24"/>
          <w:lang w:val="ru-MD"/>
        </w:rPr>
        <w:lastRenderedPageBreak/>
        <w:t>и не</w:t>
      </w:r>
      <w:r w:rsidR="00631629" w:rsidRPr="00A21A6B">
        <w:rPr>
          <w:rFonts w:asciiTheme="majorHAnsi" w:hAnsiTheme="majorHAnsi" w:cs="Calibri Light"/>
          <w:noProof/>
          <w:sz w:val="24"/>
          <w:szCs w:val="24"/>
          <w:lang w:val="ru-MD"/>
        </w:rPr>
        <w:t>обеспече</w:t>
      </w:r>
      <w:r w:rsidRPr="00A21A6B">
        <w:rPr>
          <w:rFonts w:asciiTheme="majorHAnsi" w:hAnsiTheme="majorHAnsi" w:cs="Calibri Light"/>
          <w:noProof/>
          <w:sz w:val="24"/>
          <w:szCs w:val="24"/>
          <w:lang w:val="ru-MD"/>
        </w:rPr>
        <w:t xml:space="preserve">нию их целостности. </w:t>
      </w:r>
      <w:r w:rsidR="00714762" w:rsidRPr="00A21A6B">
        <w:rPr>
          <w:rFonts w:asciiTheme="majorHAnsi" w:hAnsiTheme="majorHAnsi" w:cs="Calibri Light"/>
          <w:noProof/>
          <w:sz w:val="24"/>
          <w:szCs w:val="24"/>
          <w:lang w:val="ru-MD"/>
        </w:rPr>
        <w:t>В связи с этим</w:t>
      </w:r>
      <w:r w:rsidR="00631629" w:rsidRPr="00A21A6B">
        <w:rPr>
          <w:rFonts w:asciiTheme="majorHAnsi" w:hAnsiTheme="majorHAnsi" w:cs="Calibri Light"/>
          <w:noProof/>
          <w:sz w:val="24"/>
          <w:szCs w:val="24"/>
          <w:lang w:val="ru-MD"/>
        </w:rPr>
        <w:t>,</w:t>
      </w:r>
      <w:r w:rsidR="00714762" w:rsidRPr="00A21A6B">
        <w:rPr>
          <w:rFonts w:asciiTheme="majorHAnsi" w:hAnsiTheme="majorHAnsi" w:cs="Calibri Light"/>
          <w:noProof/>
          <w:sz w:val="24"/>
          <w:szCs w:val="24"/>
          <w:lang w:val="ru-MD"/>
        </w:rPr>
        <w:t xml:space="preserve"> необходимо</w:t>
      </w:r>
      <w:r w:rsidR="00631629" w:rsidRPr="00A21A6B">
        <w:rPr>
          <w:rFonts w:asciiTheme="majorHAnsi" w:hAnsiTheme="majorHAnsi" w:cs="Calibri Light"/>
          <w:noProof/>
          <w:sz w:val="24"/>
          <w:szCs w:val="24"/>
          <w:lang w:val="ru-MD"/>
        </w:rPr>
        <w:t>сть</w:t>
      </w:r>
      <w:r w:rsidR="00714762" w:rsidRPr="00A21A6B">
        <w:rPr>
          <w:rFonts w:asciiTheme="majorHAnsi" w:hAnsiTheme="majorHAnsi" w:cs="Calibri Light"/>
          <w:noProof/>
          <w:sz w:val="24"/>
          <w:szCs w:val="24"/>
          <w:lang w:val="ru-MD"/>
        </w:rPr>
        <w:t xml:space="preserve"> пересмотр</w:t>
      </w:r>
      <w:r w:rsidR="00631629" w:rsidRPr="00A21A6B">
        <w:rPr>
          <w:rFonts w:asciiTheme="majorHAnsi" w:hAnsiTheme="majorHAnsi" w:cs="Calibri Light"/>
          <w:noProof/>
          <w:sz w:val="24"/>
          <w:szCs w:val="24"/>
          <w:lang w:val="ru-MD"/>
        </w:rPr>
        <w:t>а</w:t>
      </w:r>
      <w:r w:rsidR="00714762" w:rsidRPr="00A21A6B">
        <w:rPr>
          <w:rFonts w:asciiTheme="majorHAnsi" w:hAnsiTheme="majorHAnsi" w:cs="Calibri Light"/>
          <w:noProof/>
          <w:sz w:val="24"/>
          <w:szCs w:val="24"/>
          <w:lang w:val="ru-MD"/>
        </w:rPr>
        <w:t xml:space="preserve"> </w:t>
      </w:r>
      <w:r w:rsidR="00631629" w:rsidRPr="00A21A6B">
        <w:rPr>
          <w:rFonts w:asciiTheme="majorHAnsi" w:hAnsiTheme="majorHAnsi" w:cs="Calibri Light"/>
          <w:noProof/>
          <w:sz w:val="24"/>
          <w:szCs w:val="24"/>
          <w:lang w:val="ru-MD"/>
        </w:rPr>
        <w:t>Закона о неплатежеспособности №</w:t>
      </w:r>
      <w:r w:rsidR="00714762" w:rsidRPr="00A21A6B">
        <w:rPr>
          <w:rFonts w:asciiTheme="majorHAnsi" w:hAnsiTheme="majorHAnsi" w:cs="Calibri Light"/>
          <w:noProof/>
          <w:sz w:val="24"/>
          <w:szCs w:val="24"/>
          <w:lang w:val="ru-MD"/>
        </w:rPr>
        <w:t>149/2012</w:t>
      </w:r>
      <w:r w:rsidR="002E6D75" w:rsidRPr="00A21A6B">
        <w:rPr>
          <w:rStyle w:val="FootnoteReference"/>
          <w:rFonts w:asciiTheme="majorHAnsi" w:hAnsiTheme="majorHAnsi" w:cstheme="majorHAnsi"/>
          <w:sz w:val="24"/>
          <w:szCs w:val="24"/>
          <w:lang w:val="ru-MD"/>
        </w:rPr>
        <w:footnoteReference w:id="12"/>
      </w:r>
      <w:r w:rsidR="00714762" w:rsidRPr="00A21A6B">
        <w:rPr>
          <w:rFonts w:asciiTheme="majorHAnsi" w:hAnsiTheme="majorHAnsi" w:cs="Calibri Light"/>
          <w:noProof/>
          <w:sz w:val="24"/>
          <w:szCs w:val="24"/>
          <w:lang w:val="ru-MD"/>
        </w:rPr>
        <w:t xml:space="preserve"> является неизбежн</w:t>
      </w:r>
      <w:r w:rsidR="00631629" w:rsidRPr="00A21A6B">
        <w:rPr>
          <w:rFonts w:asciiTheme="majorHAnsi" w:hAnsiTheme="majorHAnsi" w:cs="Calibri Light"/>
          <w:noProof/>
          <w:sz w:val="24"/>
          <w:szCs w:val="24"/>
          <w:lang w:val="ru-MD"/>
        </w:rPr>
        <w:t>ой</w:t>
      </w:r>
      <w:r w:rsidR="00714762" w:rsidRPr="00A21A6B">
        <w:rPr>
          <w:rFonts w:asciiTheme="majorHAnsi" w:hAnsiTheme="majorHAnsi" w:cs="Calibri Light"/>
          <w:noProof/>
          <w:sz w:val="24"/>
          <w:szCs w:val="24"/>
          <w:lang w:val="ru-MD"/>
        </w:rPr>
        <w:t xml:space="preserve">, чтобы позволить учредителю </w:t>
      </w:r>
      <w:r w:rsidR="002E6D75" w:rsidRPr="00A21A6B">
        <w:rPr>
          <w:rFonts w:asciiTheme="majorHAnsi" w:hAnsiTheme="majorHAnsi" w:cs="Calibri Light"/>
          <w:noProof/>
          <w:sz w:val="24"/>
          <w:szCs w:val="24"/>
          <w:lang w:val="ru-MD"/>
        </w:rPr>
        <w:t>мониториз</w:t>
      </w:r>
      <w:r w:rsidR="00714762" w:rsidRPr="00A21A6B">
        <w:rPr>
          <w:rFonts w:asciiTheme="majorHAnsi" w:hAnsiTheme="majorHAnsi" w:cs="Calibri Light"/>
          <w:noProof/>
          <w:sz w:val="24"/>
          <w:szCs w:val="24"/>
          <w:lang w:val="ru-MD"/>
        </w:rPr>
        <w:t xml:space="preserve">ировать/контролировать процесс неплатежеспособности/ликвидации, в том числе путем участия представителя учредителя на всех заседаниях, организованных </w:t>
      </w:r>
      <w:r w:rsidR="002E6D75" w:rsidRPr="00A21A6B">
        <w:rPr>
          <w:rFonts w:asciiTheme="majorHAnsi" w:hAnsiTheme="majorHAnsi" w:cs="Calibri Light"/>
          <w:noProof/>
          <w:sz w:val="24"/>
          <w:szCs w:val="24"/>
          <w:lang w:val="ru-MD"/>
        </w:rPr>
        <w:t>управляющим процессом</w:t>
      </w:r>
      <w:r w:rsidR="00714762" w:rsidRPr="00A21A6B">
        <w:rPr>
          <w:rFonts w:asciiTheme="majorHAnsi" w:hAnsiTheme="majorHAnsi" w:cs="Calibri Light"/>
          <w:noProof/>
          <w:sz w:val="24"/>
          <w:szCs w:val="24"/>
          <w:lang w:val="ru-MD"/>
        </w:rPr>
        <w:t xml:space="preserve"> неплатежеспособности, а также, в случае необходимости, путем </w:t>
      </w:r>
      <w:r w:rsidR="002E6D75" w:rsidRPr="00A21A6B">
        <w:rPr>
          <w:rFonts w:asciiTheme="majorHAnsi" w:hAnsiTheme="majorHAnsi" w:cs="Calibri Light"/>
          <w:noProof/>
          <w:sz w:val="24"/>
          <w:szCs w:val="24"/>
          <w:lang w:val="ru-MD"/>
        </w:rPr>
        <w:t>облада</w:t>
      </w:r>
      <w:r w:rsidR="00714762" w:rsidRPr="00A21A6B">
        <w:rPr>
          <w:rFonts w:asciiTheme="majorHAnsi" w:hAnsiTheme="majorHAnsi" w:cs="Calibri Light"/>
          <w:noProof/>
          <w:sz w:val="24"/>
          <w:szCs w:val="24"/>
          <w:lang w:val="ru-MD"/>
        </w:rPr>
        <w:t xml:space="preserve">ния </w:t>
      </w:r>
      <w:r w:rsidR="002E6D75" w:rsidRPr="00A21A6B">
        <w:rPr>
          <w:rFonts w:asciiTheme="majorHAnsi" w:hAnsiTheme="majorHAnsi" w:cs="Calibri Light"/>
          <w:noProof/>
          <w:sz w:val="24"/>
          <w:szCs w:val="24"/>
          <w:lang w:val="ru-MD"/>
        </w:rPr>
        <w:t>правом</w:t>
      </w:r>
      <w:r w:rsidR="00714762" w:rsidRPr="00A21A6B">
        <w:rPr>
          <w:rFonts w:asciiTheme="majorHAnsi" w:hAnsiTheme="majorHAnsi" w:cs="Calibri Light"/>
          <w:noProof/>
          <w:sz w:val="24"/>
          <w:szCs w:val="24"/>
          <w:lang w:val="ru-MD"/>
        </w:rPr>
        <w:t xml:space="preserve"> </w:t>
      </w:r>
      <w:r w:rsidR="002E6D75" w:rsidRPr="00A21A6B">
        <w:rPr>
          <w:rFonts w:asciiTheme="majorHAnsi" w:hAnsiTheme="majorHAnsi" w:cstheme="majorHAnsi"/>
          <w:sz w:val="24"/>
          <w:szCs w:val="24"/>
          <w:lang w:val="ru-MD"/>
        </w:rPr>
        <w:t>„veto”</w:t>
      </w:r>
      <w:r w:rsidR="00714762" w:rsidRPr="00A21A6B">
        <w:rPr>
          <w:rFonts w:asciiTheme="majorHAnsi" w:hAnsiTheme="majorHAnsi" w:cs="Calibri Light"/>
          <w:noProof/>
          <w:sz w:val="24"/>
          <w:szCs w:val="24"/>
          <w:lang w:val="ru-MD"/>
        </w:rPr>
        <w:t xml:space="preserve"> в </w:t>
      </w:r>
      <w:r w:rsidR="002E6D75" w:rsidRPr="00A21A6B">
        <w:rPr>
          <w:rFonts w:asciiTheme="majorHAnsi" w:hAnsiTheme="majorHAnsi" w:cs="Calibri Light"/>
          <w:noProof/>
          <w:sz w:val="24"/>
          <w:szCs w:val="24"/>
          <w:lang w:val="ru-MD"/>
        </w:rPr>
        <w:t xml:space="preserve">случае </w:t>
      </w:r>
      <w:r w:rsidR="00714762" w:rsidRPr="00A21A6B">
        <w:rPr>
          <w:rFonts w:asciiTheme="majorHAnsi" w:hAnsiTheme="majorHAnsi" w:cs="Calibri Light"/>
          <w:noProof/>
          <w:sz w:val="24"/>
          <w:szCs w:val="24"/>
          <w:lang w:val="ru-MD"/>
        </w:rPr>
        <w:t>решени</w:t>
      </w:r>
      <w:r w:rsidR="002E6D75" w:rsidRPr="00A21A6B">
        <w:rPr>
          <w:rFonts w:asciiTheme="majorHAnsi" w:hAnsiTheme="majorHAnsi" w:cs="Calibri Light"/>
          <w:noProof/>
          <w:sz w:val="24"/>
          <w:szCs w:val="24"/>
          <w:lang w:val="ru-MD"/>
        </w:rPr>
        <w:t>й</w:t>
      </w:r>
      <w:r w:rsidR="00714762" w:rsidRPr="00A21A6B">
        <w:rPr>
          <w:rFonts w:asciiTheme="majorHAnsi" w:hAnsiTheme="majorHAnsi" w:cs="Calibri Light"/>
          <w:noProof/>
          <w:sz w:val="24"/>
          <w:szCs w:val="24"/>
          <w:lang w:val="ru-MD"/>
        </w:rPr>
        <w:t>, каса</w:t>
      </w:r>
      <w:r w:rsidR="002E6D75" w:rsidRPr="00A21A6B">
        <w:rPr>
          <w:rFonts w:asciiTheme="majorHAnsi" w:hAnsiTheme="majorHAnsi" w:cs="Calibri Light"/>
          <w:noProof/>
          <w:sz w:val="24"/>
          <w:szCs w:val="24"/>
          <w:lang w:val="ru-MD"/>
        </w:rPr>
        <w:t>ющих</w:t>
      </w:r>
      <w:r w:rsidR="00714762" w:rsidRPr="00A21A6B">
        <w:rPr>
          <w:rFonts w:asciiTheme="majorHAnsi" w:hAnsiTheme="majorHAnsi" w:cs="Calibri Light"/>
          <w:noProof/>
          <w:sz w:val="24"/>
          <w:szCs w:val="24"/>
          <w:lang w:val="ru-MD"/>
        </w:rPr>
        <w:t xml:space="preserve">ся неэффективного использования/управления </w:t>
      </w:r>
      <w:r w:rsidR="002E6D75" w:rsidRPr="00A21A6B">
        <w:rPr>
          <w:rFonts w:asciiTheme="majorHAnsi" w:hAnsiTheme="majorHAnsi" w:cs="Calibri Light"/>
          <w:noProof/>
          <w:sz w:val="24"/>
          <w:szCs w:val="24"/>
          <w:lang w:val="ru-MD"/>
        </w:rPr>
        <w:t>управляющим процессом неплатежеспособности</w:t>
      </w:r>
      <w:r w:rsidR="00714762" w:rsidRPr="00A21A6B">
        <w:rPr>
          <w:rFonts w:asciiTheme="majorHAnsi" w:hAnsiTheme="majorHAnsi" w:cs="Calibri Light"/>
          <w:noProof/>
          <w:sz w:val="24"/>
          <w:szCs w:val="24"/>
          <w:lang w:val="ru-MD"/>
        </w:rPr>
        <w:t xml:space="preserve"> государственной собственности, а также ее отчуждения третьим лицам в результате не</w:t>
      </w:r>
      <w:r w:rsidR="002E6D75" w:rsidRPr="00A21A6B">
        <w:rPr>
          <w:rFonts w:asciiTheme="majorHAnsi" w:hAnsiTheme="majorHAnsi" w:cs="Calibri Light"/>
          <w:noProof/>
          <w:sz w:val="24"/>
          <w:szCs w:val="24"/>
          <w:lang w:val="ru-MD"/>
        </w:rPr>
        <w:t>закон</w:t>
      </w:r>
      <w:r w:rsidR="00714762" w:rsidRPr="00A21A6B">
        <w:rPr>
          <w:rFonts w:asciiTheme="majorHAnsi" w:hAnsiTheme="majorHAnsi" w:cs="Calibri Light"/>
          <w:noProof/>
          <w:sz w:val="24"/>
          <w:szCs w:val="24"/>
          <w:lang w:val="ru-MD"/>
        </w:rPr>
        <w:t xml:space="preserve">ного включения государственной собственности в дебиторскую массу. Кроме того, </w:t>
      </w:r>
      <w:r w:rsidR="002E6D75" w:rsidRPr="00A21A6B">
        <w:rPr>
          <w:rFonts w:asciiTheme="majorHAnsi" w:hAnsiTheme="majorHAnsi" w:cs="Calibri Light"/>
          <w:noProof/>
          <w:sz w:val="24"/>
          <w:szCs w:val="24"/>
          <w:lang w:val="ru-MD"/>
        </w:rPr>
        <w:t>в</w:t>
      </w:r>
      <w:r w:rsidR="00714762" w:rsidRPr="00A21A6B">
        <w:rPr>
          <w:rFonts w:asciiTheme="majorHAnsi" w:hAnsiTheme="majorHAnsi" w:cs="Calibri Light"/>
          <w:noProof/>
          <w:sz w:val="24"/>
          <w:szCs w:val="24"/>
          <w:lang w:val="ru-MD"/>
        </w:rPr>
        <w:t xml:space="preserve"> цел</w:t>
      </w:r>
      <w:r w:rsidR="002E6D75" w:rsidRPr="00A21A6B">
        <w:rPr>
          <w:rFonts w:asciiTheme="majorHAnsi" w:hAnsiTheme="majorHAnsi" w:cs="Calibri Light"/>
          <w:noProof/>
          <w:sz w:val="24"/>
          <w:szCs w:val="24"/>
          <w:lang w:val="ru-MD"/>
        </w:rPr>
        <w:t>ях</w:t>
      </w:r>
      <w:r w:rsidR="00714762" w:rsidRPr="00A21A6B">
        <w:rPr>
          <w:rFonts w:asciiTheme="majorHAnsi" w:hAnsiTheme="majorHAnsi" w:cs="Calibri Light"/>
          <w:noProof/>
          <w:sz w:val="24"/>
          <w:szCs w:val="24"/>
          <w:lang w:val="ru-MD"/>
        </w:rPr>
        <w:t xml:space="preserve"> мониторинга учредителем действий </w:t>
      </w:r>
      <w:r w:rsidR="002E6D75" w:rsidRPr="00A21A6B">
        <w:rPr>
          <w:rFonts w:asciiTheme="majorHAnsi" w:hAnsiTheme="majorHAnsi" w:cs="Calibri Light"/>
          <w:noProof/>
          <w:sz w:val="24"/>
          <w:szCs w:val="24"/>
          <w:lang w:val="ru-MD"/>
        </w:rPr>
        <w:t>управляющего процессом неплатежеспособности,</w:t>
      </w:r>
      <w:r w:rsidR="00714762" w:rsidRPr="00A21A6B">
        <w:rPr>
          <w:rFonts w:asciiTheme="majorHAnsi" w:hAnsiTheme="majorHAnsi" w:cs="Calibri Light"/>
          <w:noProof/>
          <w:sz w:val="24"/>
          <w:szCs w:val="24"/>
          <w:lang w:val="ru-MD"/>
        </w:rPr>
        <w:t xml:space="preserve"> было бы целесообразно, чтобы учредителю был представлен </w:t>
      </w:r>
      <w:r w:rsidR="002E6D75" w:rsidRPr="00A21A6B">
        <w:rPr>
          <w:rFonts w:asciiTheme="majorHAnsi" w:hAnsiTheme="majorHAnsi" w:cs="Calibri Light"/>
          <w:noProof/>
          <w:sz w:val="24"/>
          <w:szCs w:val="24"/>
          <w:lang w:val="ru-MD"/>
        </w:rPr>
        <w:t>экземпляр</w:t>
      </w:r>
      <w:r w:rsidR="00714762" w:rsidRPr="00A21A6B">
        <w:rPr>
          <w:rFonts w:asciiTheme="majorHAnsi" w:hAnsiTheme="majorHAnsi" w:cs="Calibri Light"/>
          <w:noProof/>
          <w:sz w:val="24"/>
          <w:szCs w:val="24"/>
          <w:lang w:val="ru-MD"/>
        </w:rPr>
        <w:t xml:space="preserve"> ежеквартального отчета, который также будет передан </w:t>
      </w:r>
      <w:r w:rsidR="002E6D75" w:rsidRPr="00A21A6B">
        <w:rPr>
          <w:rFonts w:asciiTheme="majorHAnsi" w:hAnsiTheme="majorHAnsi" w:cs="Calibri Light"/>
          <w:noProof/>
          <w:sz w:val="24"/>
          <w:szCs w:val="24"/>
          <w:lang w:val="ru-MD"/>
        </w:rPr>
        <w:t>инстанциям</w:t>
      </w:r>
      <w:r w:rsidR="00714762" w:rsidRPr="00A21A6B">
        <w:rPr>
          <w:rFonts w:asciiTheme="majorHAnsi" w:hAnsiTheme="majorHAnsi" w:cs="Calibri Light"/>
          <w:noProof/>
          <w:sz w:val="24"/>
          <w:szCs w:val="24"/>
          <w:lang w:val="ru-MD"/>
        </w:rPr>
        <w:t xml:space="preserve"> по неплатежеспособности</w:t>
      </w:r>
      <w:r w:rsidR="00F40961" w:rsidRPr="00A21A6B">
        <w:rPr>
          <w:rFonts w:asciiTheme="majorHAnsi" w:hAnsiTheme="majorHAnsi" w:cstheme="majorHAnsi"/>
          <w:sz w:val="24"/>
          <w:szCs w:val="24"/>
          <w:lang w:val="ru-MD"/>
        </w:rPr>
        <w:t>.</w:t>
      </w:r>
    </w:p>
    <w:p w:rsidR="00F40961" w:rsidRPr="00A21A6B" w:rsidRDefault="00714762" w:rsidP="00355CA5">
      <w:pPr>
        <w:pStyle w:val="FootnoteText"/>
        <w:tabs>
          <w:tab w:val="left" w:pos="142"/>
        </w:tabs>
        <w:spacing w:before="6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Не</w:t>
      </w:r>
      <w:r w:rsidR="002E6D75" w:rsidRPr="00A21A6B">
        <w:rPr>
          <w:rFonts w:asciiTheme="majorHAnsi" w:hAnsiTheme="majorHAnsi" w:cstheme="majorHAnsi"/>
          <w:sz w:val="24"/>
          <w:szCs w:val="24"/>
          <w:lang w:val="ru-MD"/>
        </w:rPr>
        <w:t>закон</w:t>
      </w:r>
      <w:r w:rsidRPr="00A21A6B">
        <w:rPr>
          <w:rFonts w:asciiTheme="majorHAnsi" w:hAnsiTheme="majorHAnsi" w:cstheme="majorHAnsi"/>
          <w:sz w:val="24"/>
          <w:szCs w:val="24"/>
          <w:lang w:val="ru-MD"/>
        </w:rPr>
        <w:t xml:space="preserve">ное включение государственной собственности в долговую массу в значительной степени является следствием того факта, что </w:t>
      </w:r>
      <w:r w:rsidR="002E6D75" w:rsidRPr="00A21A6B">
        <w:rPr>
          <w:rFonts w:asciiTheme="majorHAnsi" w:hAnsiTheme="majorHAnsi" w:cstheme="majorHAnsi"/>
          <w:sz w:val="24"/>
          <w:szCs w:val="24"/>
          <w:lang w:val="ru-MD"/>
        </w:rPr>
        <w:t>на протяжении мног</w:t>
      </w:r>
      <w:r w:rsidRPr="00A21A6B">
        <w:rPr>
          <w:rFonts w:asciiTheme="majorHAnsi" w:hAnsiTheme="majorHAnsi" w:cstheme="majorHAnsi"/>
          <w:sz w:val="24"/>
          <w:szCs w:val="24"/>
          <w:lang w:val="ru-MD"/>
        </w:rPr>
        <w:t xml:space="preserve">их лет государственные предприятия не соблюдали правила учета имущества, принадлежащего </w:t>
      </w:r>
      <w:r w:rsidR="007C3FCD" w:rsidRPr="00A21A6B">
        <w:rPr>
          <w:rFonts w:asciiTheme="majorHAnsi" w:hAnsiTheme="majorHAnsi" w:cstheme="majorHAnsi"/>
          <w:sz w:val="24"/>
          <w:szCs w:val="24"/>
          <w:lang w:val="ru-MD"/>
        </w:rPr>
        <w:t xml:space="preserve">с правом </w:t>
      </w:r>
      <w:r w:rsidRPr="00A21A6B">
        <w:rPr>
          <w:rFonts w:asciiTheme="majorHAnsi" w:hAnsiTheme="majorHAnsi" w:cstheme="majorHAnsi"/>
          <w:sz w:val="24"/>
          <w:szCs w:val="24"/>
          <w:lang w:val="ru-MD"/>
        </w:rPr>
        <w:t>собственности третьим лицам, и не учитывали этот вид имущества на отдельных счетах, предназначенных для учета основных средств и земель</w:t>
      </w:r>
      <w:r w:rsidR="007C3FCD" w:rsidRPr="00A21A6B">
        <w:rPr>
          <w:rFonts w:asciiTheme="majorHAnsi" w:hAnsiTheme="majorHAnsi" w:cstheme="majorHAnsi"/>
          <w:sz w:val="24"/>
          <w:szCs w:val="24"/>
          <w:lang w:val="ru-MD"/>
        </w:rPr>
        <w:t>ных участков</w:t>
      </w:r>
      <w:r w:rsidRPr="00A21A6B">
        <w:rPr>
          <w:rFonts w:asciiTheme="majorHAnsi" w:hAnsiTheme="majorHAnsi" w:cstheme="majorHAnsi"/>
          <w:sz w:val="24"/>
          <w:szCs w:val="24"/>
          <w:lang w:val="ru-MD"/>
        </w:rPr>
        <w:t xml:space="preserve">, полученных в хозяйственном </w:t>
      </w:r>
      <w:r w:rsidR="007C3FCD" w:rsidRPr="00A21A6B">
        <w:rPr>
          <w:rFonts w:asciiTheme="majorHAnsi" w:hAnsiTheme="majorHAnsi" w:cstheme="majorHAnsi"/>
          <w:sz w:val="24"/>
          <w:szCs w:val="24"/>
          <w:lang w:val="ru-MD"/>
        </w:rPr>
        <w:t>ведении</w:t>
      </w:r>
      <w:r w:rsidR="00F40961" w:rsidRPr="00A21A6B">
        <w:rPr>
          <w:rStyle w:val="FootnoteReference"/>
          <w:rFonts w:asciiTheme="majorHAnsi" w:hAnsiTheme="majorHAnsi" w:cstheme="majorHAnsi"/>
          <w:sz w:val="24"/>
          <w:szCs w:val="24"/>
          <w:lang w:val="ru-MD"/>
        </w:rPr>
        <w:footnoteReference w:id="13"/>
      </w:r>
      <w:r w:rsidR="00F40961" w:rsidRPr="00A21A6B">
        <w:rPr>
          <w:rFonts w:asciiTheme="majorHAnsi" w:hAnsiTheme="majorHAnsi" w:cstheme="majorHAnsi"/>
          <w:sz w:val="24"/>
          <w:szCs w:val="24"/>
          <w:lang w:val="ru-MD"/>
        </w:rPr>
        <w:t xml:space="preserve">. </w:t>
      </w:r>
    </w:p>
    <w:p w:rsidR="00F40961" w:rsidRPr="00A21A6B" w:rsidRDefault="007C3FCD" w:rsidP="00355CA5">
      <w:pPr>
        <w:pStyle w:val="NormalWeb"/>
        <w:tabs>
          <w:tab w:val="left" w:pos="2192"/>
        </w:tabs>
        <w:spacing w:before="60" w:line="276" w:lineRule="auto"/>
        <w:ind w:firstLine="0"/>
        <w:rPr>
          <w:rFonts w:asciiTheme="majorHAnsi" w:hAnsiTheme="majorHAnsi" w:cs="Calibri Light"/>
          <w:noProof/>
          <w:lang w:val="ru-MD"/>
        </w:rPr>
      </w:pPr>
      <w:r w:rsidRPr="00A21A6B">
        <w:rPr>
          <w:rFonts w:asciiTheme="majorHAnsi" w:hAnsiTheme="majorHAnsi" w:cs="Calibri Light"/>
          <w:noProof/>
          <w:lang w:val="ru-MD"/>
        </w:rPr>
        <w:t>Также</w:t>
      </w:r>
      <w:r w:rsidR="00714762" w:rsidRPr="00A21A6B">
        <w:rPr>
          <w:rFonts w:asciiTheme="majorHAnsi" w:hAnsiTheme="majorHAnsi" w:cs="Calibri Light"/>
          <w:noProof/>
          <w:lang w:val="ru-MD"/>
        </w:rPr>
        <w:t xml:space="preserve"> отме</w:t>
      </w:r>
      <w:r w:rsidRPr="00A21A6B">
        <w:rPr>
          <w:rFonts w:asciiTheme="majorHAnsi" w:hAnsiTheme="majorHAnsi" w:cs="Calibri Light"/>
          <w:noProof/>
          <w:lang w:val="ru-MD"/>
        </w:rPr>
        <w:t>чается</w:t>
      </w:r>
      <w:r w:rsidR="00714762" w:rsidRPr="00A21A6B">
        <w:rPr>
          <w:rFonts w:asciiTheme="majorHAnsi" w:hAnsiTheme="majorHAnsi" w:cs="Calibri Light"/>
          <w:noProof/>
          <w:lang w:val="ru-MD"/>
        </w:rPr>
        <w:t>, что, хотя</w:t>
      </w:r>
      <w:r w:rsidRPr="00A21A6B">
        <w:rPr>
          <w:rFonts w:asciiTheme="majorHAnsi" w:hAnsiTheme="majorHAnsi" w:cs="Calibri Light"/>
          <w:noProof/>
          <w:lang w:val="ru-MD"/>
        </w:rPr>
        <w:t xml:space="preserve"> согласно ст.</w:t>
      </w:r>
      <w:r w:rsidR="00714762" w:rsidRPr="00A21A6B">
        <w:rPr>
          <w:rFonts w:asciiTheme="majorHAnsi" w:hAnsiTheme="majorHAnsi" w:cs="Calibri Light"/>
          <w:noProof/>
          <w:lang w:val="ru-MD"/>
        </w:rPr>
        <w:t xml:space="preserve">117 </w:t>
      </w:r>
      <w:r w:rsidRPr="00A21A6B">
        <w:rPr>
          <w:rFonts w:asciiTheme="majorHAnsi" w:hAnsiTheme="majorHAnsi" w:cs="Calibri Light"/>
          <w:noProof/>
          <w:lang w:val="ru-MD"/>
        </w:rPr>
        <w:t>З</w:t>
      </w:r>
      <w:r w:rsidR="00714762" w:rsidRPr="00A21A6B">
        <w:rPr>
          <w:rFonts w:asciiTheme="majorHAnsi" w:hAnsiTheme="majorHAnsi" w:cs="Calibri Light"/>
          <w:noProof/>
          <w:lang w:val="ru-MD"/>
        </w:rPr>
        <w:t xml:space="preserve">акона о неплатежеспособности срок </w:t>
      </w:r>
      <w:r w:rsidRPr="00A21A6B">
        <w:rPr>
          <w:rFonts w:asciiTheme="majorHAnsi" w:hAnsiTheme="majorHAnsi" w:cs="Calibri Light"/>
          <w:noProof/>
          <w:lang w:val="ru-MD"/>
        </w:rPr>
        <w:t>использова</w:t>
      </w:r>
      <w:r w:rsidR="00714762" w:rsidRPr="00A21A6B">
        <w:rPr>
          <w:rFonts w:asciiTheme="majorHAnsi" w:hAnsiTheme="majorHAnsi" w:cs="Calibri Light"/>
          <w:noProof/>
          <w:lang w:val="ru-MD"/>
        </w:rPr>
        <w:t xml:space="preserve">ния и/или ликвидации дебиторской массы не может превышать 2 лет с момента </w:t>
      </w:r>
      <w:r w:rsidRPr="00A21A6B">
        <w:rPr>
          <w:rFonts w:asciiTheme="majorHAnsi" w:hAnsiTheme="majorHAnsi" w:cs="Calibri Light"/>
          <w:noProof/>
          <w:lang w:val="ru-MD"/>
        </w:rPr>
        <w:t>возбуждения процедуры банкротства, и согласно ст.</w:t>
      </w:r>
      <w:r w:rsidR="00714762" w:rsidRPr="00A21A6B">
        <w:rPr>
          <w:rFonts w:asciiTheme="majorHAnsi" w:hAnsiTheme="majorHAnsi" w:cs="Calibri Light"/>
          <w:noProof/>
          <w:lang w:val="ru-MD"/>
        </w:rPr>
        <w:t xml:space="preserve">190 (6) </w:t>
      </w:r>
      <w:r w:rsidRPr="00A21A6B">
        <w:rPr>
          <w:rFonts w:asciiTheme="majorHAnsi" w:hAnsiTheme="majorHAnsi" w:cs="Calibri Light"/>
          <w:noProof/>
          <w:lang w:val="ru-MD"/>
        </w:rPr>
        <w:t xml:space="preserve">срок реализации плана процедуры реструктуризации не может превышать 3 лет со дня его утверждения </w:t>
      </w:r>
      <w:r w:rsidR="00714762" w:rsidRPr="00A21A6B">
        <w:rPr>
          <w:rFonts w:asciiTheme="majorHAnsi" w:hAnsiTheme="majorHAnsi" w:cs="Calibri Light"/>
          <w:noProof/>
          <w:lang w:val="ru-MD"/>
        </w:rPr>
        <w:t xml:space="preserve">выполнение плана процедуры реструктуризации не может превышать 3 лет, рассчитанных с даты подтверждения, а в исключительных случаях, основательно мотивированных, и при условии, что должник выполнил план реструктуризации в течение первых 2 лет, </w:t>
      </w:r>
      <w:r w:rsidRPr="00A21A6B">
        <w:rPr>
          <w:rFonts w:asciiTheme="majorHAnsi" w:hAnsiTheme="majorHAnsi" w:cs="Calibri Light"/>
          <w:noProof/>
          <w:lang w:val="ru-MD"/>
        </w:rPr>
        <w:t>срок реструктуризации может быть продлен решением собрания кредиторов один раз на срок до 2 лет</w:t>
      </w:r>
      <w:r w:rsidR="00714762" w:rsidRPr="00A21A6B">
        <w:rPr>
          <w:rFonts w:asciiTheme="majorHAnsi" w:hAnsiTheme="majorHAnsi" w:cs="Calibri Light"/>
          <w:noProof/>
          <w:lang w:val="ru-MD"/>
        </w:rPr>
        <w:t xml:space="preserve">, </w:t>
      </w:r>
      <w:r w:rsidR="00F10CF3" w:rsidRPr="00A21A6B">
        <w:rPr>
          <w:rFonts w:asciiTheme="majorHAnsi" w:hAnsiTheme="majorHAnsi" w:cs="Calibri Light"/>
          <w:noProof/>
          <w:lang w:val="ru-MD"/>
        </w:rPr>
        <w:t>таким образом,</w:t>
      </w:r>
      <w:r w:rsidR="00714762" w:rsidRPr="00A21A6B">
        <w:rPr>
          <w:rFonts w:asciiTheme="majorHAnsi" w:hAnsiTheme="majorHAnsi" w:cs="Calibri Light"/>
          <w:noProof/>
          <w:lang w:val="ru-MD"/>
        </w:rPr>
        <w:t xml:space="preserve"> процедура реструктуризации </w:t>
      </w:r>
      <w:r w:rsidR="00F10CF3" w:rsidRPr="00A21A6B">
        <w:rPr>
          <w:rFonts w:asciiTheme="majorHAnsi" w:hAnsiTheme="majorHAnsi" w:cs="Calibri Light"/>
          <w:noProof/>
          <w:lang w:val="ru-MD"/>
        </w:rPr>
        <w:t xml:space="preserve">не </w:t>
      </w:r>
      <w:r w:rsidR="00714762" w:rsidRPr="00A21A6B">
        <w:rPr>
          <w:rFonts w:asciiTheme="majorHAnsi" w:hAnsiTheme="majorHAnsi" w:cs="Calibri Light"/>
          <w:noProof/>
          <w:lang w:val="ru-MD"/>
        </w:rPr>
        <w:t xml:space="preserve">может длиться более 5 лет, в некоторых </w:t>
      </w:r>
      <w:r w:rsidR="00F10CF3" w:rsidRPr="00A21A6B">
        <w:rPr>
          <w:rFonts w:asciiTheme="majorHAnsi" w:hAnsiTheme="majorHAnsi" w:cs="Calibri Light"/>
          <w:noProof/>
          <w:lang w:val="ru-MD"/>
        </w:rPr>
        <w:t>ГП</w:t>
      </w:r>
      <w:r w:rsidR="00714762" w:rsidRPr="00A21A6B">
        <w:rPr>
          <w:rFonts w:asciiTheme="majorHAnsi" w:hAnsiTheme="majorHAnsi" w:cs="Calibri Light"/>
          <w:noProof/>
          <w:lang w:val="ru-MD"/>
        </w:rPr>
        <w:t xml:space="preserve"> процесс несостоятельности был </w:t>
      </w:r>
      <w:r w:rsidR="00F10CF3" w:rsidRPr="00A21A6B">
        <w:rPr>
          <w:rFonts w:asciiTheme="majorHAnsi" w:hAnsiTheme="majorHAnsi" w:cs="Calibri Light"/>
          <w:noProof/>
          <w:lang w:val="ru-MD"/>
        </w:rPr>
        <w:t>инициирован</w:t>
      </w:r>
      <w:r w:rsidR="00714762" w:rsidRPr="00A21A6B">
        <w:rPr>
          <w:rFonts w:asciiTheme="majorHAnsi" w:hAnsiTheme="majorHAnsi" w:cs="Calibri Light"/>
          <w:noProof/>
          <w:lang w:val="ru-MD"/>
        </w:rPr>
        <w:t xml:space="preserve"> в 2010 году и продолжается и по сей день</w:t>
      </w:r>
      <w:r w:rsidR="00F10CF3" w:rsidRPr="00A21A6B">
        <w:rPr>
          <w:rStyle w:val="FootnoteReference"/>
          <w:rFonts w:asciiTheme="majorHAnsi" w:hAnsiTheme="majorHAnsi" w:cs="Calibri Light"/>
          <w:noProof/>
          <w:lang w:val="ru-MD"/>
        </w:rPr>
        <w:footnoteReference w:id="14"/>
      </w:r>
      <w:r w:rsidR="00714762" w:rsidRPr="00A21A6B">
        <w:rPr>
          <w:rFonts w:asciiTheme="majorHAnsi" w:hAnsiTheme="majorHAnsi" w:cs="Calibri Light"/>
          <w:noProof/>
          <w:lang w:val="ru-MD"/>
        </w:rPr>
        <w:t xml:space="preserve">, что означает несоблюдение положений нормативной базы и, как следствие, несение дополнительных расходов, в том числе на оплату труда </w:t>
      </w:r>
      <w:r w:rsidR="00F10CF3" w:rsidRPr="00A21A6B">
        <w:rPr>
          <w:rFonts w:asciiTheme="majorHAnsi" w:hAnsiTheme="majorHAnsi" w:cs="Calibri Light"/>
          <w:noProof/>
          <w:lang w:val="ru-MD"/>
        </w:rPr>
        <w:t>управляющего процессом</w:t>
      </w:r>
      <w:r w:rsidR="00714762" w:rsidRPr="00A21A6B">
        <w:rPr>
          <w:rFonts w:asciiTheme="majorHAnsi" w:hAnsiTheme="majorHAnsi" w:cs="Calibri Light"/>
          <w:noProof/>
          <w:lang w:val="ru-MD"/>
        </w:rPr>
        <w:t xml:space="preserve"> несостоятельности и/или ликвидатора государственного предприятия. В </w:t>
      </w:r>
      <w:r w:rsidR="00F10CF3" w:rsidRPr="00A21A6B">
        <w:rPr>
          <w:rFonts w:asciiTheme="majorHAnsi" w:hAnsiTheme="majorHAnsi" w:cs="Calibri Light"/>
          <w:noProof/>
          <w:lang w:val="ru-MD"/>
        </w:rPr>
        <w:t xml:space="preserve">этой </w:t>
      </w:r>
      <w:r w:rsidR="00714762" w:rsidRPr="00A21A6B">
        <w:rPr>
          <w:rFonts w:asciiTheme="majorHAnsi" w:hAnsiTheme="majorHAnsi" w:cs="Calibri Light"/>
          <w:noProof/>
          <w:lang w:val="ru-MD"/>
        </w:rPr>
        <w:t>связи</w:t>
      </w:r>
      <w:r w:rsidR="00F10CF3" w:rsidRPr="00A21A6B">
        <w:rPr>
          <w:rFonts w:asciiTheme="majorHAnsi" w:hAnsiTheme="majorHAnsi" w:cs="Calibri Light"/>
          <w:noProof/>
          <w:lang w:val="ru-MD"/>
        </w:rPr>
        <w:t>,</w:t>
      </w:r>
      <w:r w:rsidR="00714762" w:rsidRPr="00A21A6B">
        <w:rPr>
          <w:rFonts w:asciiTheme="majorHAnsi" w:hAnsiTheme="majorHAnsi" w:cs="Calibri Light"/>
          <w:noProof/>
          <w:lang w:val="ru-MD"/>
        </w:rPr>
        <w:t xml:space="preserve"> необходимо принять меры по п</w:t>
      </w:r>
      <w:r w:rsidR="00F10CF3" w:rsidRPr="00A21A6B">
        <w:rPr>
          <w:rFonts w:asciiTheme="majorHAnsi" w:hAnsiTheme="majorHAnsi" w:cs="Calibri Light"/>
          <w:noProof/>
          <w:lang w:val="ru-MD"/>
        </w:rPr>
        <w:t>овыш</w:t>
      </w:r>
      <w:r w:rsidR="00714762" w:rsidRPr="00A21A6B">
        <w:rPr>
          <w:rFonts w:asciiTheme="majorHAnsi" w:hAnsiTheme="majorHAnsi" w:cs="Calibri Light"/>
          <w:noProof/>
          <w:lang w:val="ru-MD"/>
        </w:rPr>
        <w:t xml:space="preserve">ению ответственности </w:t>
      </w:r>
      <w:r w:rsidR="00F10CF3" w:rsidRPr="00A21A6B">
        <w:rPr>
          <w:rFonts w:asciiTheme="majorHAnsi" w:hAnsiTheme="majorHAnsi" w:cs="Calibri Light"/>
          <w:noProof/>
          <w:lang w:val="ru-MD"/>
        </w:rPr>
        <w:t>управляющего процессом</w:t>
      </w:r>
      <w:r w:rsidR="00714762" w:rsidRPr="00A21A6B">
        <w:rPr>
          <w:rFonts w:asciiTheme="majorHAnsi" w:hAnsiTheme="majorHAnsi" w:cs="Calibri Light"/>
          <w:noProof/>
          <w:lang w:val="ru-MD"/>
        </w:rPr>
        <w:t xml:space="preserve"> несостоятельности и/или ликвидатора государственного предприятия за соблюдение установленных сроков ликвидации и/или реструктуризации государственных предприятий, находящихся в процессе несостоятельности, с усилением контроля за соблюдением этих положений уполномоченными органами (</w:t>
      </w:r>
      <w:r w:rsidR="00F10CF3" w:rsidRPr="00A21A6B">
        <w:rPr>
          <w:rFonts w:asciiTheme="majorHAnsi" w:hAnsiTheme="majorHAnsi" w:cs="Calibri Light"/>
          <w:noProof/>
          <w:lang w:val="ru-MD"/>
        </w:rPr>
        <w:t>инстанциями</w:t>
      </w:r>
      <w:r w:rsidR="00714762" w:rsidRPr="00A21A6B">
        <w:rPr>
          <w:rFonts w:asciiTheme="majorHAnsi" w:hAnsiTheme="majorHAnsi" w:cs="Calibri Light"/>
          <w:noProof/>
          <w:lang w:val="ru-MD"/>
        </w:rPr>
        <w:t xml:space="preserve"> по несостоятельности).</w:t>
      </w:r>
    </w:p>
    <w:p w:rsidR="00F40961" w:rsidRPr="00A21A6B" w:rsidRDefault="00714762" w:rsidP="00F10CF3">
      <w:pPr>
        <w:pStyle w:val="ListParagraph"/>
        <w:numPr>
          <w:ilvl w:val="1"/>
          <w:numId w:val="4"/>
        </w:numPr>
        <w:tabs>
          <w:tab w:val="left" w:pos="540"/>
        </w:tabs>
        <w:spacing w:before="60" w:after="0" w:line="276" w:lineRule="auto"/>
        <w:ind w:left="0" w:firstLine="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Обращаем внимание на то, что реорганизация центральных органов публичной власти осуществилась с некоторыми отклонениями от нормативной базы в данной области. Так, хотя </w:t>
      </w:r>
      <w:r w:rsidR="00731E28" w:rsidRPr="00A21A6B">
        <w:rPr>
          <w:rFonts w:asciiTheme="majorHAnsi" w:hAnsiTheme="majorHAnsi" w:cstheme="majorHAnsi"/>
          <w:sz w:val="24"/>
          <w:szCs w:val="24"/>
          <w:lang w:val="ru-MD"/>
        </w:rPr>
        <w:t>Постановл</w:t>
      </w:r>
      <w:r w:rsidRPr="00A21A6B">
        <w:rPr>
          <w:rFonts w:asciiTheme="majorHAnsi" w:hAnsiTheme="majorHAnsi" w:cstheme="majorHAnsi"/>
          <w:sz w:val="24"/>
          <w:szCs w:val="24"/>
          <w:lang w:val="ru-MD"/>
        </w:rPr>
        <w:t>ение</w:t>
      </w:r>
      <w:r w:rsidR="00731E28" w:rsidRPr="00A21A6B">
        <w:rPr>
          <w:rFonts w:asciiTheme="majorHAnsi" w:hAnsiTheme="majorHAnsi" w:cstheme="majorHAnsi"/>
          <w:sz w:val="24"/>
          <w:szCs w:val="24"/>
          <w:lang w:val="ru-MD"/>
        </w:rPr>
        <w:t>м</w:t>
      </w:r>
      <w:r w:rsidRPr="00A21A6B">
        <w:rPr>
          <w:rFonts w:asciiTheme="majorHAnsi" w:hAnsiTheme="majorHAnsi" w:cstheme="majorHAnsi"/>
          <w:sz w:val="24"/>
          <w:szCs w:val="24"/>
          <w:lang w:val="ru-MD"/>
        </w:rPr>
        <w:t xml:space="preserve"> </w:t>
      </w:r>
      <w:r w:rsidR="00731E28" w:rsidRPr="00A21A6B">
        <w:rPr>
          <w:rFonts w:asciiTheme="majorHAnsi" w:hAnsiTheme="majorHAnsi" w:cstheme="majorHAnsi"/>
          <w:sz w:val="24"/>
          <w:szCs w:val="24"/>
          <w:lang w:val="ru-MD"/>
        </w:rPr>
        <w:t>Правительства №</w:t>
      </w:r>
      <w:r w:rsidRPr="00A21A6B">
        <w:rPr>
          <w:rFonts w:asciiTheme="majorHAnsi" w:hAnsiTheme="majorHAnsi" w:cstheme="majorHAnsi"/>
          <w:sz w:val="24"/>
          <w:szCs w:val="24"/>
          <w:lang w:val="ru-MD"/>
        </w:rPr>
        <w:t xml:space="preserve">117/2021 </w:t>
      </w:r>
      <w:r w:rsidR="00731E28"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 реструктуризации </w:t>
      </w:r>
      <w:r w:rsidR="00731E28" w:rsidRPr="00A21A6B">
        <w:rPr>
          <w:rFonts w:asciiTheme="majorHAnsi" w:hAnsiTheme="majorHAnsi" w:cstheme="majorHAnsi"/>
          <w:sz w:val="24"/>
          <w:szCs w:val="24"/>
          <w:lang w:val="ru-MD"/>
        </w:rPr>
        <w:t>ц</w:t>
      </w:r>
      <w:r w:rsidRPr="00A21A6B">
        <w:rPr>
          <w:rFonts w:asciiTheme="majorHAnsi" w:hAnsiTheme="majorHAnsi" w:cstheme="majorHAnsi"/>
          <w:sz w:val="24"/>
          <w:szCs w:val="24"/>
          <w:lang w:val="ru-MD"/>
        </w:rPr>
        <w:t xml:space="preserve">ентрального </w:t>
      </w:r>
      <w:r w:rsidR="00731E28" w:rsidRPr="00A21A6B">
        <w:rPr>
          <w:rFonts w:asciiTheme="majorHAnsi" w:hAnsiTheme="majorHAnsi" w:cstheme="majorHAnsi"/>
          <w:sz w:val="24"/>
          <w:szCs w:val="24"/>
          <w:lang w:val="ru-MD"/>
        </w:rPr>
        <w:t>отраслево</w:t>
      </w:r>
      <w:r w:rsidRPr="00A21A6B">
        <w:rPr>
          <w:rFonts w:asciiTheme="majorHAnsi" w:hAnsiTheme="majorHAnsi" w:cstheme="majorHAnsi"/>
          <w:sz w:val="24"/>
          <w:szCs w:val="24"/>
          <w:lang w:val="ru-MD"/>
        </w:rPr>
        <w:t xml:space="preserve">го публичного управления прямо </w:t>
      </w:r>
      <w:r w:rsidR="00731E28" w:rsidRPr="00A21A6B">
        <w:rPr>
          <w:rFonts w:asciiTheme="majorHAnsi" w:hAnsiTheme="majorHAnsi" w:cstheme="majorHAnsi"/>
          <w:sz w:val="24"/>
          <w:szCs w:val="24"/>
          <w:lang w:val="ru-MD"/>
        </w:rPr>
        <w:t>установлено</w:t>
      </w:r>
      <w:r w:rsidRPr="00A21A6B">
        <w:rPr>
          <w:rFonts w:asciiTheme="majorHAnsi" w:hAnsiTheme="majorHAnsi" w:cstheme="majorHAnsi"/>
          <w:sz w:val="24"/>
          <w:szCs w:val="24"/>
          <w:lang w:val="ru-MD"/>
        </w:rPr>
        <w:t xml:space="preserve">, что </w:t>
      </w:r>
      <w:r w:rsidR="00731E28" w:rsidRPr="00A21A6B">
        <w:rPr>
          <w:rFonts w:asciiTheme="majorHAnsi" w:hAnsiTheme="majorHAnsi" w:cstheme="majorHAnsi"/>
          <w:sz w:val="24"/>
          <w:szCs w:val="24"/>
          <w:lang w:val="ru-MD"/>
        </w:rPr>
        <w:t xml:space="preserve">передача имущества в связи с процессом реорганизации должна осуществляться в соответствии с Положением о порядке передачи объектов публичной собственности, утвержденным Постановлением Правительства №901/2015 об </w:t>
      </w:r>
      <w:r w:rsidRPr="00A21A6B">
        <w:rPr>
          <w:rFonts w:asciiTheme="majorHAnsi" w:hAnsiTheme="majorHAnsi" w:cstheme="majorHAnsi"/>
          <w:sz w:val="24"/>
          <w:szCs w:val="24"/>
          <w:lang w:val="ru-MD"/>
        </w:rPr>
        <w:t>утвержден</w:t>
      </w:r>
      <w:r w:rsidR="00731E28" w:rsidRPr="00A21A6B">
        <w:rPr>
          <w:rFonts w:asciiTheme="majorHAnsi" w:hAnsiTheme="majorHAnsi" w:cstheme="majorHAnsi"/>
          <w:sz w:val="24"/>
          <w:szCs w:val="24"/>
          <w:lang w:val="ru-MD"/>
        </w:rPr>
        <w:t>ии</w:t>
      </w:r>
      <w:r w:rsidRPr="00A21A6B">
        <w:rPr>
          <w:rFonts w:asciiTheme="majorHAnsi" w:hAnsiTheme="majorHAnsi" w:cstheme="majorHAnsi"/>
          <w:sz w:val="24"/>
          <w:szCs w:val="24"/>
          <w:lang w:val="ru-MD"/>
        </w:rPr>
        <w:t xml:space="preserve"> </w:t>
      </w:r>
      <w:r w:rsidR="00731E28" w:rsidRPr="00A21A6B">
        <w:rPr>
          <w:rFonts w:asciiTheme="majorHAnsi" w:hAnsiTheme="majorHAnsi" w:cstheme="majorHAnsi"/>
          <w:sz w:val="24"/>
          <w:szCs w:val="24"/>
          <w:lang w:val="ru-MD"/>
        </w:rPr>
        <w:t>Положения о порядке передачи объектов публичной собственности</w:t>
      </w:r>
      <w:r w:rsidRPr="00A21A6B">
        <w:rPr>
          <w:rFonts w:asciiTheme="majorHAnsi" w:hAnsiTheme="majorHAnsi" w:cstheme="majorHAnsi"/>
          <w:sz w:val="24"/>
          <w:szCs w:val="24"/>
          <w:lang w:val="ru-MD"/>
        </w:rPr>
        <w:t xml:space="preserve">, Министерство финансов выпустило циркуляры </w:t>
      </w:r>
      <w:r w:rsidR="00731E28" w:rsidRPr="00A21A6B">
        <w:rPr>
          <w:rFonts w:asciiTheme="majorHAnsi" w:hAnsiTheme="majorHAnsi" w:cstheme="majorHAnsi"/>
          <w:sz w:val="24"/>
          <w:szCs w:val="24"/>
          <w:lang w:val="ru-MD"/>
        </w:rPr>
        <w:t xml:space="preserve">с </w:t>
      </w:r>
      <w:r w:rsidRPr="00A21A6B">
        <w:rPr>
          <w:rFonts w:asciiTheme="majorHAnsi" w:hAnsiTheme="majorHAnsi" w:cstheme="majorHAnsi"/>
          <w:sz w:val="24"/>
          <w:szCs w:val="24"/>
          <w:lang w:val="ru-MD"/>
        </w:rPr>
        <w:t>руководства</w:t>
      </w:r>
      <w:r w:rsidR="00731E28" w:rsidRPr="00A21A6B">
        <w:rPr>
          <w:rFonts w:asciiTheme="majorHAnsi" w:hAnsiTheme="majorHAnsi" w:cstheme="majorHAnsi"/>
          <w:sz w:val="24"/>
          <w:szCs w:val="24"/>
          <w:lang w:val="ru-MD"/>
        </w:rPr>
        <w:t>ми</w:t>
      </w:r>
      <w:r w:rsidRPr="00A21A6B">
        <w:rPr>
          <w:rFonts w:asciiTheme="majorHAnsi" w:hAnsiTheme="majorHAnsi" w:cstheme="majorHAnsi"/>
          <w:sz w:val="24"/>
          <w:szCs w:val="24"/>
          <w:lang w:val="ru-MD"/>
        </w:rPr>
        <w:t xml:space="preserve"> </w:t>
      </w:r>
      <w:r w:rsidR="00731E28" w:rsidRPr="00A21A6B">
        <w:rPr>
          <w:rFonts w:asciiTheme="majorHAnsi" w:hAnsiTheme="majorHAnsi" w:cstheme="majorHAnsi"/>
          <w:sz w:val="24"/>
          <w:szCs w:val="24"/>
          <w:lang w:val="ru-MD"/>
        </w:rPr>
        <w:t xml:space="preserve">для </w:t>
      </w:r>
      <w:r w:rsidRPr="00A21A6B">
        <w:rPr>
          <w:rFonts w:asciiTheme="majorHAnsi" w:hAnsiTheme="majorHAnsi" w:cstheme="majorHAnsi"/>
          <w:sz w:val="24"/>
          <w:szCs w:val="24"/>
          <w:lang w:val="ru-MD"/>
        </w:rPr>
        <w:t>государственны учреждени</w:t>
      </w:r>
      <w:r w:rsidR="00731E28" w:rsidRPr="00A21A6B">
        <w:rPr>
          <w:rFonts w:asciiTheme="majorHAnsi" w:hAnsiTheme="majorHAnsi" w:cstheme="majorHAnsi"/>
          <w:sz w:val="24"/>
          <w:szCs w:val="24"/>
          <w:lang w:val="ru-MD"/>
        </w:rPr>
        <w:t>й</w:t>
      </w:r>
      <w:r w:rsidRPr="00A21A6B">
        <w:rPr>
          <w:rFonts w:asciiTheme="majorHAnsi" w:hAnsiTheme="majorHAnsi" w:cstheme="majorHAnsi"/>
          <w:sz w:val="24"/>
          <w:szCs w:val="24"/>
          <w:lang w:val="ru-MD"/>
        </w:rPr>
        <w:t>, подлежащи</w:t>
      </w:r>
      <w:r w:rsidR="00731E28" w:rsidRPr="00A21A6B">
        <w:rPr>
          <w:rFonts w:asciiTheme="majorHAnsi" w:hAnsiTheme="majorHAnsi" w:cstheme="majorHAnsi"/>
          <w:sz w:val="24"/>
          <w:szCs w:val="24"/>
          <w:lang w:val="ru-MD"/>
        </w:rPr>
        <w:t>х</w:t>
      </w:r>
      <w:r w:rsidRPr="00A21A6B">
        <w:rPr>
          <w:rFonts w:asciiTheme="majorHAnsi" w:hAnsiTheme="majorHAnsi" w:cstheme="majorHAnsi"/>
          <w:sz w:val="24"/>
          <w:szCs w:val="24"/>
          <w:lang w:val="ru-MD"/>
        </w:rPr>
        <w:t xml:space="preserve"> реорганизации, в них не оговаривается необходимость составления </w:t>
      </w:r>
      <w:r w:rsidR="00731E28" w:rsidRPr="00A21A6B">
        <w:rPr>
          <w:rFonts w:asciiTheme="majorHAnsi" w:hAnsiTheme="majorHAnsi" w:cstheme="majorHAnsi"/>
          <w:sz w:val="24"/>
          <w:szCs w:val="24"/>
          <w:lang w:val="ru-MD"/>
        </w:rPr>
        <w:t>акт</w:t>
      </w:r>
      <w:r w:rsidRPr="00A21A6B">
        <w:rPr>
          <w:rFonts w:asciiTheme="majorHAnsi" w:hAnsiTheme="majorHAnsi" w:cstheme="majorHAnsi"/>
          <w:sz w:val="24"/>
          <w:szCs w:val="24"/>
          <w:lang w:val="ru-MD"/>
        </w:rPr>
        <w:t xml:space="preserve">ов </w:t>
      </w:r>
      <w:r w:rsidR="00731E28" w:rsidRPr="00A21A6B">
        <w:rPr>
          <w:rFonts w:asciiTheme="majorHAnsi" w:hAnsiTheme="majorHAnsi" w:cstheme="majorHAnsi"/>
          <w:sz w:val="24"/>
          <w:szCs w:val="24"/>
          <w:lang w:val="ru-MD"/>
        </w:rPr>
        <w:t>приема</w:t>
      </w:r>
      <w:r w:rsidRPr="00A21A6B">
        <w:rPr>
          <w:rFonts w:asciiTheme="majorHAnsi" w:hAnsiTheme="majorHAnsi" w:cstheme="majorHAnsi"/>
          <w:sz w:val="24"/>
          <w:szCs w:val="24"/>
          <w:lang w:val="ru-MD"/>
        </w:rPr>
        <w:t>-</w:t>
      </w:r>
      <w:r w:rsidR="00731E28" w:rsidRPr="00A21A6B">
        <w:rPr>
          <w:rFonts w:asciiTheme="majorHAnsi" w:hAnsiTheme="majorHAnsi" w:cstheme="majorHAnsi"/>
          <w:sz w:val="24"/>
          <w:szCs w:val="24"/>
          <w:lang w:val="ru-MD"/>
        </w:rPr>
        <w:t>пере</w:t>
      </w:r>
      <w:r w:rsidRPr="00A21A6B">
        <w:rPr>
          <w:rFonts w:asciiTheme="majorHAnsi" w:hAnsiTheme="majorHAnsi" w:cstheme="majorHAnsi"/>
          <w:sz w:val="24"/>
          <w:szCs w:val="24"/>
          <w:lang w:val="ru-MD"/>
        </w:rPr>
        <w:t>дач</w:t>
      </w:r>
      <w:r w:rsidR="00731E28"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в соответствии с балансом распределения под</w:t>
      </w:r>
      <w:r w:rsidR="00731E28" w:rsidRPr="00A21A6B">
        <w:rPr>
          <w:rFonts w:asciiTheme="majorHAnsi" w:hAnsiTheme="majorHAnsi" w:cstheme="majorHAnsi"/>
          <w:sz w:val="24"/>
          <w:szCs w:val="24"/>
          <w:lang w:val="ru-MD"/>
        </w:rPr>
        <w:t>ведомств</w:t>
      </w:r>
      <w:r w:rsidRPr="00A21A6B">
        <w:rPr>
          <w:rFonts w:asciiTheme="majorHAnsi" w:hAnsiTheme="majorHAnsi" w:cstheme="majorHAnsi"/>
          <w:sz w:val="24"/>
          <w:szCs w:val="24"/>
          <w:lang w:val="ru-MD"/>
        </w:rPr>
        <w:t xml:space="preserve">енными организациями </w:t>
      </w:r>
      <w:r w:rsidR="00731E28"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рг.2, акты приема-передачи </w:t>
      </w:r>
      <w:r w:rsidR="00731E28" w:rsidRPr="00A21A6B">
        <w:rPr>
          <w:rFonts w:asciiTheme="majorHAnsi" w:hAnsiTheme="majorHAnsi" w:cstheme="majorHAnsi"/>
          <w:sz w:val="24"/>
          <w:szCs w:val="24"/>
          <w:lang w:val="ru-MD"/>
        </w:rPr>
        <w:t xml:space="preserve">были </w:t>
      </w:r>
      <w:r w:rsidRPr="00A21A6B">
        <w:rPr>
          <w:rFonts w:asciiTheme="majorHAnsi" w:hAnsiTheme="majorHAnsi" w:cstheme="majorHAnsi"/>
          <w:sz w:val="24"/>
          <w:szCs w:val="24"/>
          <w:lang w:val="ru-MD"/>
        </w:rPr>
        <w:t>составл</w:t>
      </w:r>
      <w:r w:rsidR="00731E28" w:rsidRPr="00A21A6B">
        <w:rPr>
          <w:rFonts w:asciiTheme="majorHAnsi" w:hAnsiTheme="majorHAnsi" w:cstheme="majorHAnsi"/>
          <w:sz w:val="24"/>
          <w:szCs w:val="24"/>
          <w:lang w:val="ru-MD"/>
        </w:rPr>
        <w:t>ены</w:t>
      </w:r>
      <w:r w:rsidRPr="00A21A6B">
        <w:rPr>
          <w:rFonts w:asciiTheme="majorHAnsi" w:hAnsiTheme="majorHAnsi" w:cstheme="majorHAnsi"/>
          <w:sz w:val="24"/>
          <w:szCs w:val="24"/>
          <w:lang w:val="ru-MD"/>
        </w:rPr>
        <w:t xml:space="preserve"> только между аппаратами министерств </w:t>
      </w:r>
      <w:r w:rsidR="00731E28" w:rsidRPr="00A21A6B">
        <w:rPr>
          <w:rFonts w:asciiTheme="majorHAnsi" w:hAnsiTheme="majorHAnsi" w:cstheme="majorHAnsi"/>
          <w:sz w:val="24"/>
          <w:szCs w:val="24"/>
          <w:lang w:val="ru-MD"/>
        </w:rPr>
        <w:t>„</w:t>
      </w:r>
      <w:r w:rsidR="00A21A6B">
        <w:rPr>
          <w:rFonts w:asciiTheme="majorHAnsi" w:hAnsiTheme="majorHAnsi" w:cstheme="majorHAnsi"/>
          <w:sz w:val="24"/>
          <w:szCs w:val="24"/>
          <w:lang w:val="ru-MD"/>
        </w:rPr>
        <w:t>Орг</w:t>
      </w:r>
      <w:r w:rsidR="00731E28" w:rsidRPr="00A21A6B">
        <w:rPr>
          <w:rFonts w:asciiTheme="majorHAnsi" w:hAnsiTheme="majorHAnsi" w:cstheme="majorHAnsi"/>
          <w:sz w:val="24"/>
          <w:szCs w:val="24"/>
          <w:lang w:val="ru-MD"/>
        </w:rPr>
        <w:t>.1”</w:t>
      </w:r>
      <w:r w:rsidRPr="00A21A6B">
        <w:rPr>
          <w:rFonts w:asciiTheme="majorHAnsi" w:hAnsiTheme="majorHAnsi" w:cstheme="majorHAnsi"/>
          <w:sz w:val="24"/>
          <w:szCs w:val="24"/>
          <w:lang w:val="ru-MD"/>
        </w:rPr>
        <w:t xml:space="preserve">. При этом, хотя между </w:t>
      </w:r>
      <w:r w:rsidR="00ED0A85" w:rsidRPr="00A21A6B">
        <w:rPr>
          <w:rFonts w:asciiTheme="majorHAnsi" w:hAnsiTheme="majorHAnsi" w:cstheme="majorHAnsi"/>
          <w:sz w:val="24"/>
          <w:szCs w:val="24"/>
          <w:lang w:val="ru-MD"/>
        </w:rPr>
        <w:t xml:space="preserve">старым </w:t>
      </w:r>
      <w:r w:rsidR="00A21A6B">
        <w:rPr>
          <w:rFonts w:asciiTheme="majorHAnsi" w:hAnsiTheme="majorHAnsi" w:cstheme="majorHAnsi"/>
          <w:sz w:val="24"/>
          <w:szCs w:val="24"/>
          <w:lang w:val="ru-MD"/>
        </w:rPr>
        <w:t>Орг</w:t>
      </w:r>
      <w:r w:rsidR="00ED0A85" w:rsidRPr="00A21A6B">
        <w:rPr>
          <w:rFonts w:asciiTheme="majorHAnsi" w:hAnsiTheme="majorHAnsi" w:cstheme="majorHAnsi"/>
          <w:sz w:val="24"/>
          <w:szCs w:val="24"/>
          <w:lang w:val="ru-MD"/>
        </w:rPr>
        <w:t xml:space="preserve">.1 </w:t>
      </w:r>
      <w:r w:rsidRPr="00A21A6B">
        <w:rPr>
          <w:rFonts w:asciiTheme="majorHAnsi" w:hAnsiTheme="majorHAnsi" w:cstheme="majorHAnsi"/>
          <w:sz w:val="24"/>
          <w:szCs w:val="24"/>
          <w:lang w:val="ru-MD"/>
        </w:rPr>
        <w:t xml:space="preserve">и </w:t>
      </w:r>
      <w:r w:rsidR="00ED0A85" w:rsidRPr="00A21A6B">
        <w:rPr>
          <w:rFonts w:asciiTheme="majorHAnsi" w:hAnsiTheme="majorHAnsi" w:cstheme="majorHAnsi"/>
          <w:sz w:val="24"/>
          <w:szCs w:val="24"/>
          <w:lang w:val="ru-MD"/>
        </w:rPr>
        <w:t xml:space="preserve">новым </w:t>
      </w:r>
      <w:r w:rsidR="00A21A6B">
        <w:rPr>
          <w:rFonts w:asciiTheme="majorHAnsi" w:hAnsiTheme="majorHAnsi" w:cstheme="majorHAnsi"/>
          <w:sz w:val="24"/>
          <w:szCs w:val="24"/>
          <w:lang w:val="ru-MD"/>
        </w:rPr>
        <w:t>Орг</w:t>
      </w:r>
      <w:r w:rsidR="00ED0A85" w:rsidRPr="00A21A6B">
        <w:rPr>
          <w:rFonts w:asciiTheme="majorHAnsi" w:hAnsiTheme="majorHAnsi" w:cstheme="majorHAnsi"/>
          <w:sz w:val="24"/>
          <w:szCs w:val="24"/>
          <w:lang w:val="ru-MD"/>
        </w:rPr>
        <w:t>.1</w:t>
      </w:r>
      <w:r w:rsidRPr="00A21A6B">
        <w:rPr>
          <w:rFonts w:asciiTheme="majorHAnsi" w:hAnsiTheme="majorHAnsi" w:cstheme="majorHAnsi"/>
          <w:sz w:val="24"/>
          <w:szCs w:val="24"/>
          <w:lang w:val="ru-MD"/>
        </w:rPr>
        <w:t xml:space="preserve"> были составлены акты приема-передачи, к ним не были приложены распределительные балансы с указанием остатков по переданным счетам, а в консолидированных финансовых отчетах сумма остатков до передачи равна „нулю”. </w:t>
      </w:r>
      <w:r w:rsidR="00ED0A85" w:rsidRPr="00A21A6B">
        <w:rPr>
          <w:rFonts w:asciiTheme="majorHAnsi" w:hAnsiTheme="majorHAnsi" w:cstheme="majorHAnsi"/>
          <w:sz w:val="24"/>
          <w:szCs w:val="24"/>
          <w:lang w:val="ru-MD"/>
        </w:rPr>
        <w:t>Одно</w:t>
      </w:r>
      <w:r w:rsidRPr="00A21A6B">
        <w:rPr>
          <w:rFonts w:asciiTheme="majorHAnsi" w:hAnsiTheme="majorHAnsi" w:cstheme="majorHAnsi"/>
          <w:sz w:val="24"/>
          <w:szCs w:val="24"/>
          <w:lang w:val="ru-MD"/>
        </w:rPr>
        <w:t>врем</w:t>
      </w:r>
      <w:r w:rsidR="00ED0A85" w:rsidRPr="00A21A6B">
        <w:rPr>
          <w:rFonts w:asciiTheme="majorHAnsi" w:hAnsiTheme="majorHAnsi" w:cstheme="majorHAnsi"/>
          <w:sz w:val="24"/>
          <w:szCs w:val="24"/>
          <w:lang w:val="ru-MD"/>
        </w:rPr>
        <w:t>енно</w:t>
      </w:r>
      <w:r w:rsidRPr="00A21A6B">
        <w:rPr>
          <w:rFonts w:asciiTheme="majorHAnsi" w:hAnsiTheme="majorHAnsi" w:cstheme="majorHAnsi"/>
          <w:sz w:val="24"/>
          <w:szCs w:val="24"/>
          <w:lang w:val="ru-MD"/>
        </w:rPr>
        <w:t xml:space="preserve">, </w:t>
      </w:r>
      <w:r w:rsidR="00ED0A85" w:rsidRPr="00A21A6B">
        <w:rPr>
          <w:rFonts w:asciiTheme="majorHAnsi" w:hAnsiTheme="majorHAnsi" w:cstheme="majorHAnsi"/>
          <w:sz w:val="24"/>
          <w:szCs w:val="24"/>
          <w:lang w:val="ru-MD"/>
        </w:rPr>
        <w:t>обращаем внимание</w:t>
      </w:r>
      <w:r w:rsidRPr="00A21A6B">
        <w:rPr>
          <w:rFonts w:asciiTheme="majorHAnsi" w:hAnsiTheme="majorHAnsi" w:cstheme="majorHAnsi"/>
          <w:sz w:val="24"/>
          <w:szCs w:val="24"/>
          <w:lang w:val="ru-MD"/>
        </w:rPr>
        <w:t xml:space="preserve">, что </w:t>
      </w:r>
      <w:r w:rsidR="00ED0A85" w:rsidRPr="00A21A6B">
        <w:rPr>
          <w:rFonts w:asciiTheme="majorHAnsi" w:hAnsiTheme="majorHAnsi" w:cstheme="majorHAnsi"/>
          <w:sz w:val="24"/>
          <w:szCs w:val="24"/>
          <w:lang w:val="ru-MD"/>
        </w:rPr>
        <w:t>отсутствуют</w:t>
      </w:r>
      <w:r w:rsidRPr="00A21A6B">
        <w:rPr>
          <w:rFonts w:asciiTheme="majorHAnsi" w:hAnsiTheme="majorHAnsi" w:cstheme="majorHAnsi"/>
          <w:sz w:val="24"/>
          <w:szCs w:val="24"/>
          <w:lang w:val="ru-MD"/>
        </w:rPr>
        <w:t xml:space="preserve"> исчерпывающи</w:t>
      </w:r>
      <w:r w:rsidR="00ED0A85"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правил</w:t>
      </w:r>
      <w:r w:rsidR="00ED0A85"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относительно </w:t>
      </w:r>
      <w:r w:rsidR="00ED0A85" w:rsidRPr="00A21A6B">
        <w:rPr>
          <w:rFonts w:asciiTheme="majorHAnsi" w:hAnsiTheme="majorHAnsi" w:cstheme="majorHAnsi"/>
          <w:sz w:val="24"/>
          <w:szCs w:val="24"/>
          <w:lang w:val="ru-MD"/>
        </w:rPr>
        <w:t>календаря</w:t>
      </w:r>
      <w:r w:rsidRPr="00A21A6B">
        <w:rPr>
          <w:rFonts w:asciiTheme="majorHAnsi" w:hAnsiTheme="majorHAnsi" w:cstheme="majorHAnsi"/>
          <w:sz w:val="24"/>
          <w:szCs w:val="24"/>
          <w:lang w:val="ru-MD"/>
        </w:rPr>
        <w:t xml:space="preserve"> действий в рамках подобных реформ. </w:t>
      </w:r>
      <w:r w:rsidR="00ED0A85" w:rsidRPr="00A21A6B">
        <w:rPr>
          <w:rFonts w:asciiTheme="majorHAnsi" w:hAnsiTheme="majorHAnsi" w:cstheme="majorHAnsi"/>
          <w:sz w:val="24"/>
          <w:szCs w:val="24"/>
          <w:lang w:val="ru-MD"/>
        </w:rPr>
        <w:t>Кроме того,</w:t>
      </w:r>
      <w:r w:rsidRPr="00A21A6B">
        <w:rPr>
          <w:rFonts w:asciiTheme="majorHAnsi" w:hAnsiTheme="majorHAnsi" w:cstheme="majorHAnsi"/>
          <w:sz w:val="24"/>
          <w:szCs w:val="24"/>
          <w:lang w:val="ru-MD"/>
        </w:rPr>
        <w:t xml:space="preserve"> несоблюдение сроков проведения реформ центрального публичного управления, проведенных в 2021 году и в предыдущие годы, связано с </w:t>
      </w:r>
      <w:r w:rsidR="00ED0A85" w:rsidRPr="00A21A6B">
        <w:rPr>
          <w:rFonts w:asciiTheme="majorHAnsi" w:hAnsiTheme="majorHAnsi" w:cstheme="majorHAnsi"/>
          <w:sz w:val="24"/>
          <w:szCs w:val="24"/>
          <w:lang w:val="ru-MD"/>
        </w:rPr>
        <w:t xml:space="preserve">допущенными </w:t>
      </w:r>
      <w:r w:rsidRPr="00A21A6B">
        <w:rPr>
          <w:rFonts w:asciiTheme="majorHAnsi" w:hAnsiTheme="majorHAnsi" w:cstheme="majorHAnsi"/>
          <w:sz w:val="24"/>
          <w:szCs w:val="24"/>
          <w:lang w:val="ru-MD"/>
        </w:rPr>
        <w:t>недостатками</w:t>
      </w:r>
      <w:r w:rsidR="00ED0A85" w:rsidRPr="00A21A6B">
        <w:rPr>
          <w:rFonts w:asciiTheme="majorHAnsi" w:hAnsiTheme="majorHAnsi" w:cstheme="majorHAnsi"/>
          <w:sz w:val="24"/>
          <w:szCs w:val="24"/>
          <w:lang w:val="ru-MD"/>
        </w:rPr>
        <w:t xml:space="preserve"> при</w:t>
      </w:r>
      <w:r w:rsidRPr="00A21A6B">
        <w:rPr>
          <w:rFonts w:asciiTheme="majorHAnsi" w:hAnsiTheme="majorHAnsi" w:cstheme="majorHAnsi"/>
          <w:sz w:val="24"/>
          <w:szCs w:val="24"/>
          <w:lang w:val="ru-MD"/>
        </w:rPr>
        <w:t xml:space="preserve"> разделени</w:t>
      </w:r>
      <w:r w:rsidR="00ED0A85"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имущества, в результате </w:t>
      </w:r>
      <w:r w:rsidR="00ED0A85" w:rsidRPr="00A21A6B">
        <w:rPr>
          <w:rFonts w:asciiTheme="majorHAnsi" w:hAnsiTheme="majorHAnsi" w:cstheme="majorHAnsi"/>
          <w:sz w:val="24"/>
          <w:szCs w:val="24"/>
          <w:lang w:val="ru-MD"/>
        </w:rPr>
        <w:t>че</w:t>
      </w:r>
      <w:r w:rsidRPr="00A21A6B">
        <w:rPr>
          <w:rFonts w:asciiTheme="majorHAnsi" w:hAnsiTheme="majorHAnsi" w:cstheme="majorHAnsi"/>
          <w:sz w:val="24"/>
          <w:szCs w:val="24"/>
          <w:lang w:val="ru-MD"/>
        </w:rPr>
        <w:t xml:space="preserve">го </w:t>
      </w:r>
      <w:r w:rsidR="00ED0A85" w:rsidRPr="00A21A6B">
        <w:rPr>
          <w:rFonts w:asciiTheme="majorHAnsi" w:hAnsiTheme="majorHAnsi" w:cstheme="majorHAnsi"/>
          <w:sz w:val="24"/>
          <w:szCs w:val="24"/>
          <w:lang w:val="ru-MD"/>
        </w:rPr>
        <w:t>обязательства</w:t>
      </w:r>
      <w:r w:rsidRPr="00A21A6B">
        <w:rPr>
          <w:rFonts w:asciiTheme="majorHAnsi" w:hAnsiTheme="majorHAnsi" w:cstheme="majorHAnsi"/>
          <w:sz w:val="24"/>
          <w:szCs w:val="24"/>
          <w:lang w:val="ru-MD"/>
        </w:rPr>
        <w:t xml:space="preserve"> и долги, как старых, так и новых структур, обычно искажаются кажд</w:t>
      </w:r>
      <w:r w:rsidR="00ED0A85" w:rsidRPr="00A21A6B">
        <w:rPr>
          <w:rFonts w:asciiTheme="majorHAnsi" w:hAnsiTheme="majorHAnsi" w:cstheme="majorHAnsi"/>
          <w:sz w:val="24"/>
          <w:szCs w:val="24"/>
          <w:lang w:val="ru-MD"/>
        </w:rPr>
        <w:t>ый раз при</w:t>
      </w:r>
      <w:r w:rsidRPr="00A21A6B">
        <w:rPr>
          <w:rFonts w:asciiTheme="majorHAnsi" w:hAnsiTheme="majorHAnsi" w:cstheme="majorHAnsi"/>
          <w:sz w:val="24"/>
          <w:szCs w:val="24"/>
          <w:lang w:val="ru-MD"/>
        </w:rPr>
        <w:t xml:space="preserve"> закрыт</w:t>
      </w:r>
      <w:r w:rsidR="00ED0A85" w:rsidRPr="00A21A6B">
        <w:rPr>
          <w:rFonts w:asciiTheme="majorHAnsi" w:hAnsiTheme="majorHAnsi" w:cstheme="majorHAnsi"/>
          <w:sz w:val="24"/>
          <w:szCs w:val="24"/>
          <w:lang w:val="ru-MD"/>
        </w:rPr>
        <w:t>ии</w:t>
      </w:r>
      <w:r w:rsidRPr="00A21A6B">
        <w:rPr>
          <w:rFonts w:asciiTheme="majorHAnsi" w:hAnsiTheme="majorHAnsi" w:cstheme="majorHAnsi"/>
          <w:sz w:val="24"/>
          <w:szCs w:val="24"/>
          <w:lang w:val="ru-MD"/>
        </w:rPr>
        <w:t xml:space="preserve"> отчет</w:t>
      </w:r>
      <w:r w:rsidR="00ED0A85" w:rsidRPr="00A21A6B">
        <w:rPr>
          <w:rFonts w:asciiTheme="majorHAnsi" w:hAnsiTheme="majorHAnsi" w:cstheme="majorHAnsi"/>
          <w:sz w:val="24"/>
          <w:szCs w:val="24"/>
          <w:lang w:val="ru-MD"/>
        </w:rPr>
        <w:t>ов</w:t>
      </w:r>
      <w:r w:rsidRPr="00A21A6B">
        <w:rPr>
          <w:rFonts w:asciiTheme="majorHAnsi" w:hAnsiTheme="majorHAnsi" w:cstheme="majorHAnsi"/>
          <w:sz w:val="24"/>
          <w:szCs w:val="24"/>
          <w:lang w:val="ru-MD"/>
        </w:rPr>
        <w:t xml:space="preserve">. Чтобы исключить </w:t>
      </w:r>
      <w:r w:rsidR="00ED0A85" w:rsidRPr="00A21A6B">
        <w:rPr>
          <w:rFonts w:asciiTheme="majorHAnsi" w:hAnsiTheme="majorHAnsi" w:cstheme="majorHAnsi"/>
          <w:sz w:val="24"/>
          <w:szCs w:val="24"/>
          <w:lang w:val="ru-MD"/>
        </w:rPr>
        <w:t>указанны</w:t>
      </w:r>
      <w:r w:rsidRPr="00A21A6B">
        <w:rPr>
          <w:rFonts w:asciiTheme="majorHAnsi" w:hAnsiTheme="majorHAnsi" w:cstheme="majorHAnsi"/>
          <w:sz w:val="24"/>
          <w:szCs w:val="24"/>
          <w:lang w:val="ru-MD"/>
        </w:rPr>
        <w:t>е недостатки в будущем и провести реформы центрального публичного управления в заранее установленные сроки, необходим</w:t>
      </w:r>
      <w:r w:rsidR="00ED0A85"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 </w:t>
      </w:r>
      <w:r w:rsidR="00ED0A85" w:rsidRPr="00A21A6B">
        <w:rPr>
          <w:rFonts w:asciiTheme="majorHAnsi" w:hAnsiTheme="majorHAnsi" w:cstheme="majorHAnsi"/>
          <w:sz w:val="24"/>
          <w:szCs w:val="24"/>
          <w:lang w:val="ru-MD"/>
        </w:rPr>
        <w:t>принять меры по</w:t>
      </w:r>
      <w:r w:rsidRPr="00A21A6B">
        <w:rPr>
          <w:rFonts w:asciiTheme="majorHAnsi" w:hAnsiTheme="majorHAnsi" w:cstheme="majorHAnsi"/>
          <w:sz w:val="24"/>
          <w:szCs w:val="24"/>
          <w:lang w:val="ru-MD"/>
        </w:rPr>
        <w:t xml:space="preserve"> корректировке и изменению </w:t>
      </w:r>
      <w:r w:rsidR="00ED0A85" w:rsidRPr="00A21A6B">
        <w:rPr>
          <w:rFonts w:asciiTheme="majorHAnsi" w:hAnsiTheme="majorHAnsi" w:cstheme="majorHAnsi"/>
          <w:sz w:val="24"/>
          <w:szCs w:val="24"/>
          <w:lang w:val="ru-MD"/>
        </w:rPr>
        <w:t xml:space="preserve">применяемых </w:t>
      </w:r>
      <w:r w:rsidRPr="00A21A6B">
        <w:rPr>
          <w:rFonts w:asciiTheme="majorHAnsi" w:hAnsiTheme="majorHAnsi" w:cstheme="majorHAnsi"/>
          <w:sz w:val="24"/>
          <w:szCs w:val="24"/>
          <w:lang w:val="ru-MD"/>
        </w:rPr>
        <w:t>процедур и действий</w:t>
      </w:r>
      <w:r w:rsidR="00ED0A85" w:rsidRPr="00A21A6B">
        <w:rPr>
          <w:rFonts w:asciiTheme="majorHAnsi" w:hAnsiTheme="majorHAnsi" w:cstheme="majorHAnsi"/>
          <w:sz w:val="24"/>
          <w:szCs w:val="24"/>
          <w:lang w:val="ru-MD"/>
        </w:rPr>
        <w:t xml:space="preserve"> в рамках этих реформ.</w:t>
      </w:r>
      <w:r w:rsidRPr="00A21A6B">
        <w:rPr>
          <w:rFonts w:asciiTheme="majorHAnsi" w:hAnsiTheme="majorHAnsi" w:cstheme="majorHAnsi"/>
          <w:sz w:val="24"/>
          <w:szCs w:val="24"/>
          <w:lang w:val="ru-MD"/>
        </w:rPr>
        <w:t xml:space="preserve"> </w:t>
      </w:r>
      <w:r w:rsidRPr="00A21A6B">
        <w:rPr>
          <w:rFonts w:asciiTheme="majorHAnsi" w:hAnsiTheme="majorHAnsi" w:cstheme="majorHAnsi"/>
          <w:i/>
          <w:sz w:val="24"/>
          <w:szCs w:val="24"/>
          <w:lang w:val="ru-MD"/>
        </w:rPr>
        <w:t xml:space="preserve">Подробности см. </w:t>
      </w:r>
      <w:r w:rsidR="00ED0A85" w:rsidRPr="00A21A6B">
        <w:rPr>
          <w:rFonts w:asciiTheme="majorHAnsi" w:hAnsiTheme="majorHAnsi" w:cstheme="majorHAnsi"/>
          <w:i/>
          <w:sz w:val="24"/>
          <w:szCs w:val="24"/>
          <w:lang w:val="ru-MD"/>
        </w:rPr>
        <w:t>в</w:t>
      </w:r>
      <w:r w:rsidRPr="00A21A6B">
        <w:rPr>
          <w:rFonts w:asciiTheme="majorHAnsi" w:hAnsiTheme="majorHAnsi" w:cstheme="majorHAnsi"/>
          <w:i/>
          <w:sz w:val="24"/>
          <w:szCs w:val="24"/>
          <w:lang w:val="ru-MD"/>
        </w:rPr>
        <w:t xml:space="preserve"> Приложении №1 к </w:t>
      </w:r>
      <w:r w:rsidR="00ED0A85" w:rsidRPr="00A21A6B">
        <w:rPr>
          <w:rFonts w:asciiTheme="majorHAnsi" w:hAnsiTheme="majorHAnsi" w:cstheme="majorHAnsi"/>
          <w:i/>
          <w:sz w:val="24"/>
          <w:szCs w:val="24"/>
          <w:lang w:val="ru-MD"/>
        </w:rPr>
        <w:t>О</w:t>
      </w:r>
      <w:r w:rsidRPr="00A21A6B">
        <w:rPr>
          <w:rFonts w:asciiTheme="majorHAnsi" w:hAnsiTheme="majorHAnsi" w:cstheme="majorHAnsi"/>
          <w:i/>
          <w:sz w:val="24"/>
          <w:szCs w:val="24"/>
          <w:lang w:val="ru-MD"/>
        </w:rPr>
        <w:t>тчету аудита</w:t>
      </w:r>
      <w:r w:rsidR="00F40961" w:rsidRPr="00A21A6B">
        <w:rPr>
          <w:rFonts w:asciiTheme="majorHAnsi" w:hAnsiTheme="majorHAnsi" w:cstheme="majorHAnsi"/>
          <w:i/>
          <w:sz w:val="24"/>
          <w:szCs w:val="24"/>
          <w:lang w:val="ru-MD"/>
        </w:rPr>
        <w:t>.</w:t>
      </w:r>
    </w:p>
    <w:p w:rsidR="00F40961" w:rsidRPr="00A21A6B" w:rsidRDefault="00E9611E" w:rsidP="00EA6FD6">
      <w:pPr>
        <w:pStyle w:val="ListParagraph"/>
        <w:numPr>
          <w:ilvl w:val="1"/>
          <w:numId w:val="4"/>
        </w:numPr>
        <w:tabs>
          <w:tab w:val="left" w:pos="540"/>
        </w:tabs>
        <w:spacing w:before="60" w:after="0" w:line="276" w:lineRule="auto"/>
        <w:ind w:left="0" w:firstLine="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Обращаем внимание на не</w:t>
      </w:r>
      <w:r w:rsidR="00EA6FD6" w:rsidRPr="00A21A6B">
        <w:rPr>
          <w:rFonts w:asciiTheme="majorHAnsi" w:hAnsiTheme="majorHAnsi" w:cstheme="majorHAnsi"/>
          <w:sz w:val="24"/>
          <w:szCs w:val="24"/>
          <w:lang w:val="ru-MD"/>
        </w:rPr>
        <w:t>правильно</w:t>
      </w:r>
      <w:r w:rsidRPr="00A21A6B">
        <w:rPr>
          <w:rFonts w:asciiTheme="majorHAnsi" w:hAnsiTheme="majorHAnsi" w:cstheme="majorHAnsi"/>
          <w:sz w:val="24"/>
          <w:szCs w:val="24"/>
          <w:lang w:val="ru-MD"/>
        </w:rPr>
        <w:t xml:space="preserve">е применение государственными предприятиями, учредителями которых являются </w:t>
      </w:r>
      <w:r w:rsidR="00EA6FD6" w:rsidRPr="00A21A6B">
        <w:rPr>
          <w:rFonts w:asciiTheme="majorHAnsi" w:hAnsiTheme="majorHAnsi" w:cstheme="majorHAnsi"/>
          <w:sz w:val="24"/>
          <w:szCs w:val="24"/>
          <w:lang w:val="ru-MD"/>
        </w:rPr>
        <w:t xml:space="preserve">органы </w:t>
      </w:r>
      <w:r w:rsidRPr="00A21A6B">
        <w:rPr>
          <w:rFonts w:asciiTheme="majorHAnsi" w:hAnsiTheme="majorHAnsi" w:cstheme="majorHAnsi"/>
          <w:sz w:val="24"/>
          <w:szCs w:val="24"/>
          <w:lang w:val="ru-MD"/>
        </w:rPr>
        <w:t>центрально</w:t>
      </w:r>
      <w:r w:rsidR="00EA6FD6" w:rsidRPr="00A21A6B">
        <w:rPr>
          <w:rFonts w:asciiTheme="majorHAnsi" w:hAnsiTheme="majorHAnsi" w:cstheme="majorHAnsi"/>
          <w:sz w:val="24"/>
          <w:szCs w:val="24"/>
          <w:lang w:val="ru-MD"/>
        </w:rPr>
        <w:t>го</w:t>
      </w:r>
      <w:r w:rsidRPr="00A21A6B">
        <w:rPr>
          <w:rFonts w:asciiTheme="majorHAnsi" w:hAnsiTheme="majorHAnsi" w:cstheme="majorHAnsi"/>
          <w:sz w:val="24"/>
          <w:szCs w:val="24"/>
          <w:lang w:val="ru-MD"/>
        </w:rPr>
        <w:t xml:space="preserve"> </w:t>
      </w:r>
      <w:r w:rsidR="00EA6FD6" w:rsidRPr="00A21A6B">
        <w:rPr>
          <w:rFonts w:asciiTheme="majorHAnsi" w:hAnsiTheme="majorHAnsi" w:cstheme="majorHAnsi"/>
          <w:sz w:val="24"/>
          <w:szCs w:val="24"/>
          <w:lang w:val="ru-MD"/>
        </w:rPr>
        <w:t>публич</w:t>
      </w:r>
      <w:r w:rsidRPr="00A21A6B">
        <w:rPr>
          <w:rFonts w:asciiTheme="majorHAnsi" w:hAnsiTheme="majorHAnsi" w:cstheme="majorHAnsi"/>
          <w:sz w:val="24"/>
          <w:szCs w:val="24"/>
          <w:lang w:val="ru-MD"/>
        </w:rPr>
        <w:t>но</w:t>
      </w:r>
      <w:r w:rsidR="00EA6FD6" w:rsidRPr="00A21A6B">
        <w:rPr>
          <w:rFonts w:asciiTheme="majorHAnsi" w:hAnsiTheme="majorHAnsi" w:cstheme="majorHAnsi"/>
          <w:sz w:val="24"/>
          <w:szCs w:val="24"/>
          <w:lang w:val="ru-MD"/>
        </w:rPr>
        <w:t>го</w:t>
      </w:r>
      <w:r w:rsidRPr="00A21A6B">
        <w:rPr>
          <w:rFonts w:asciiTheme="majorHAnsi" w:hAnsiTheme="majorHAnsi" w:cstheme="majorHAnsi"/>
          <w:sz w:val="24"/>
          <w:szCs w:val="24"/>
          <w:lang w:val="ru-MD"/>
        </w:rPr>
        <w:t xml:space="preserve"> управлени</w:t>
      </w:r>
      <w:r w:rsidR="00EA6FD6"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положений </w:t>
      </w:r>
      <w:r w:rsidR="00EA6FD6" w:rsidRPr="00A21A6B">
        <w:rPr>
          <w:rFonts w:asciiTheme="majorHAnsi" w:hAnsiTheme="majorHAnsi" w:cstheme="majorHAnsi"/>
          <w:sz w:val="24"/>
          <w:szCs w:val="24"/>
          <w:lang w:val="ru-MD"/>
        </w:rPr>
        <w:t>Обще</w:t>
      </w:r>
      <w:r w:rsidRPr="00A21A6B">
        <w:rPr>
          <w:rFonts w:asciiTheme="majorHAnsi" w:hAnsiTheme="majorHAnsi" w:cstheme="majorHAnsi"/>
          <w:sz w:val="24"/>
          <w:szCs w:val="24"/>
          <w:lang w:val="ru-MD"/>
        </w:rPr>
        <w:t xml:space="preserve">го плана бухгалтерских счетов, касающихся </w:t>
      </w:r>
      <w:r w:rsidR="00EA6FD6" w:rsidRPr="00A21A6B">
        <w:rPr>
          <w:rFonts w:asciiTheme="majorHAnsi" w:hAnsiTheme="majorHAnsi" w:cstheme="majorHAnsi"/>
          <w:sz w:val="24"/>
          <w:szCs w:val="24"/>
          <w:lang w:val="ru-MD"/>
        </w:rPr>
        <w:t>объект</w:t>
      </w:r>
      <w:r w:rsidRPr="00A21A6B">
        <w:rPr>
          <w:rFonts w:asciiTheme="majorHAnsi" w:hAnsiTheme="majorHAnsi" w:cstheme="majorHAnsi"/>
          <w:sz w:val="24"/>
          <w:szCs w:val="24"/>
          <w:lang w:val="ru-MD"/>
        </w:rPr>
        <w:t xml:space="preserve">ов, полученных в хозяйственном </w:t>
      </w:r>
      <w:r w:rsidR="00EA6FD6" w:rsidRPr="00A21A6B">
        <w:rPr>
          <w:rFonts w:asciiTheme="majorHAnsi" w:hAnsiTheme="majorHAnsi" w:cstheme="majorHAnsi"/>
          <w:sz w:val="24"/>
          <w:szCs w:val="24"/>
          <w:lang w:val="ru-MD"/>
        </w:rPr>
        <w:t>вед</w:t>
      </w:r>
      <w:r w:rsidRPr="00A21A6B">
        <w:rPr>
          <w:rFonts w:asciiTheme="majorHAnsi" w:hAnsiTheme="majorHAnsi" w:cstheme="majorHAnsi"/>
          <w:sz w:val="24"/>
          <w:szCs w:val="24"/>
          <w:lang w:val="ru-MD"/>
        </w:rPr>
        <w:t xml:space="preserve">ении. Для отражения </w:t>
      </w:r>
      <w:r w:rsidR="00EA6FD6" w:rsidRPr="00A21A6B">
        <w:rPr>
          <w:rFonts w:asciiTheme="majorHAnsi" w:hAnsiTheme="majorHAnsi" w:cstheme="majorHAnsi"/>
          <w:sz w:val="24"/>
          <w:szCs w:val="24"/>
          <w:lang w:val="ru-MD"/>
        </w:rPr>
        <w:t>имущества</w:t>
      </w:r>
      <w:r w:rsidRPr="00A21A6B">
        <w:rPr>
          <w:rFonts w:asciiTheme="majorHAnsi" w:hAnsiTheme="majorHAnsi" w:cstheme="majorHAnsi"/>
          <w:sz w:val="24"/>
          <w:szCs w:val="24"/>
          <w:lang w:val="ru-MD"/>
        </w:rPr>
        <w:t>, полученн</w:t>
      </w:r>
      <w:r w:rsidR="00EA6FD6"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в хозяйственном </w:t>
      </w:r>
      <w:r w:rsidR="00EA6FD6" w:rsidRPr="00A21A6B">
        <w:rPr>
          <w:rFonts w:asciiTheme="majorHAnsi" w:hAnsiTheme="majorHAnsi" w:cstheme="majorHAnsi"/>
          <w:sz w:val="24"/>
          <w:szCs w:val="24"/>
          <w:lang w:val="ru-MD"/>
        </w:rPr>
        <w:t>вед</w:t>
      </w:r>
      <w:r w:rsidRPr="00A21A6B">
        <w:rPr>
          <w:rFonts w:asciiTheme="majorHAnsi" w:hAnsiTheme="majorHAnsi" w:cstheme="majorHAnsi"/>
          <w:sz w:val="24"/>
          <w:szCs w:val="24"/>
          <w:lang w:val="ru-MD"/>
        </w:rPr>
        <w:t xml:space="preserve">ении, </w:t>
      </w:r>
      <w:r w:rsidR="00EA6FD6"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бщий план бухгалтерских счетов корпоративного сектора включает отдельные позиции </w:t>
      </w:r>
      <w:r w:rsidR="00EA6FD6" w:rsidRPr="00A21A6B">
        <w:rPr>
          <w:rFonts w:asciiTheme="majorHAnsi" w:hAnsiTheme="majorHAnsi" w:cstheme="majorHAnsi"/>
          <w:sz w:val="24"/>
          <w:szCs w:val="24"/>
          <w:lang w:val="ru-MD"/>
        </w:rPr>
        <w:t>для</w:t>
      </w:r>
      <w:r w:rsidRPr="00A21A6B">
        <w:rPr>
          <w:rFonts w:asciiTheme="majorHAnsi" w:hAnsiTheme="majorHAnsi" w:cstheme="majorHAnsi"/>
          <w:sz w:val="24"/>
          <w:szCs w:val="24"/>
          <w:lang w:val="ru-MD"/>
        </w:rPr>
        <w:t xml:space="preserve"> </w:t>
      </w:r>
      <w:r w:rsidR="00EA6FD6" w:rsidRPr="00A21A6B">
        <w:rPr>
          <w:rFonts w:asciiTheme="majorHAnsi" w:hAnsiTheme="majorHAnsi" w:cstheme="majorHAnsi"/>
          <w:sz w:val="24"/>
          <w:szCs w:val="24"/>
          <w:lang w:val="ru-MD"/>
        </w:rPr>
        <w:t>З</w:t>
      </w:r>
      <w:r w:rsidRPr="00A21A6B">
        <w:rPr>
          <w:rFonts w:asciiTheme="majorHAnsi" w:hAnsiTheme="majorHAnsi" w:cstheme="majorHAnsi"/>
          <w:sz w:val="24"/>
          <w:szCs w:val="24"/>
          <w:lang w:val="ru-MD"/>
        </w:rPr>
        <w:t>ем</w:t>
      </w:r>
      <w:r w:rsidR="00EA6FD6" w:rsidRPr="00A21A6B">
        <w:rPr>
          <w:rFonts w:asciiTheme="majorHAnsi" w:hAnsiTheme="majorHAnsi" w:cstheme="majorHAnsi"/>
          <w:sz w:val="24"/>
          <w:szCs w:val="24"/>
          <w:lang w:val="ru-MD"/>
        </w:rPr>
        <w:t>ельных участков</w:t>
      </w:r>
      <w:r w:rsidRPr="00A21A6B">
        <w:rPr>
          <w:rFonts w:asciiTheme="majorHAnsi" w:hAnsiTheme="majorHAnsi" w:cstheme="majorHAnsi"/>
          <w:sz w:val="24"/>
          <w:szCs w:val="24"/>
          <w:lang w:val="ru-MD"/>
        </w:rPr>
        <w:t xml:space="preserve"> (счет 1226), </w:t>
      </w:r>
      <w:r w:rsidR="00EA6FD6"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сновны</w:t>
      </w:r>
      <w:r w:rsidR="00EA6FD6" w:rsidRPr="00A21A6B">
        <w:rPr>
          <w:rFonts w:asciiTheme="majorHAnsi" w:hAnsiTheme="majorHAnsi" w:cstheme="majorHAnsi"/>
          <w:sz w:val="24"/>
          <w:szCs w:val="24"/>
          <w:lang w:val="ru-MD"/>
        </w:rPr>
        <w:t>х</w:t>
      </w:r>
      <w:r w:rsidRPr="00A21A6B">
        <w:rPr>
          <w:rFonts w:asciiTheme="majorHAnsi" w:hAnsiTheme="majorHAnsi" w:cstheme="majorHAnsi"/>
          <w:sz w:val="24"/>
          <w:szCs w:val="24"/>
          <w:lang w:val="ru-MD"/>
        </w:rPr>
        <w:t xml:space="preserve"> средств (счет 1238) и </w:t>
      </w:r>
      <w:r w:rsidR="00EA6FD6"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мортизации основных средств, полученных в хозяйственном </w:t>
      </w:r>
      <w:r w:rsidR="00EA6FD6" w:rsidRPr="00A21A6B">
        <w:rPr>
          <w:rFonts w:asciiTheme="majorHAnsi" w:hAnsiTheme="majorHAnsi" w:cstheme="majorHAnsi"/>
          <w:sz w:val="24"/>
          <w:szCs w:val="24"/>
          <w:lang w:val="ru-MD"/>
        </w:rPr>
        <w:t>вед</w:t>
      </w:r>
      <w:r w:rsidRPr="00A21A6B">
        <w:rPr>
          <w:rFonts w:asciiTheme="majorHAnsi" w:hAnsiTheme="majorHAnsi" w:cstheme="majorHAnsi"/>
          <w:sz w:val="24"/>
          <w:szCs w:val="24"/>
          <w:lang w:val="ru-MD"/>
        </w:rPr>
        <w:t>ении (счет 1248).</w:t>
      </w:r>
      <w:r w:rsidR="00F40961" w:rsidRPr="00A21A6B">
        <w:rPr>
          <w:rFonts w:asciiTheme="majorHAnsi" w:hAnsiTheme="majorHAnsi" w:cstheme="majorHAnsi"/>
          <w:sz w:val="24"/>
          <w:szCs w:val="24"/>
          <w:lang w:val="ru-MD"/>
        </w:rPr>
        <w:t xml:space="preserve"> </w:t>
      </w:r>
    </w:p>
    <w:p w:rsidR="00F40961" w:rsidRPr="00A21A6B" w:rsidRDefault="00E9611E" w:rsidP="00355CA5">
      <w:pPr>
        <w:pStyle w:val="ListParagraph"/>
        <w:spacing w:before="60" w:after="0" w:line="276" w:lineRule="auto"/>
        <w:ind w:left="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Следует отметить, что эти счета не применяются большинством государственны</w:t>
      </w:r>
      <w:r w:rsidR="00D35CBA" w:rsidRPr="00A21A6B">
        <w:rPr>
          <w:rFonts w:asciiTheme="majorHAnsi" w:hAnsiTheme="majorHAnsi" w:cstheme="majorHAnsi"/>
          <w:sz w:val="24"/>
          <w:szCs w:val="24"/>
          <w:lang w:val="ru-MD"/>
        </w:rPr>
        <w:t>х</w:t>
      </w:r>
      <w:r w:rsidRPr="00A21A6B">
        <w:rPr>
          <w:rFonts w:asciiTheme="majorHAnsi" w:hAnsiTheme="majorHAnsi" w:cstheme="majorHAnsi"/>
          <w:sz w:val="24"/>
          <w:szCs w:val="24"/>
          <w:lang w:val="ru-MD"/>
        </w:rPr>
        <w:t xml:space="preserve"> предприяти</w:t>
      </w:r>
      <w:r w:rsidR="00D35CBA" w:rsidRPr="00A21A6B">
        <w:rPr>
          <w:rFonts w:asciiTheme="majorHAnsi" w:hAnsiTheme="majorHAnsi" w:cstheme="majorHAnsi"/>
          <w:sz w:val="24"/>
          <w:szCs w:val="24"/>
          <w:lang w:val="ru-MD"/>
        </w:rPr>
        <w:t>й</w:t>
      </w:r>
      <w:r w:rsidRPr="00A21A6B">
        <w:rPr>
          <w:rFonts w:asciiTheme="majorHAnsi" w:hAnsiTheme="majorHAnsi" w:cstheme="majorHAnsi"/>
          <w:sz w:val="24"/>
          <w:szCs w:val="24"/>
          <w:lang w:val="ru-MD"/>
        </w:rPr>
        <w:t xml:space="preserve">, при этом активы, переданные в </w:t>
      </w:r>
      <w:r w:rsidR="00D35CBA" w:rsidRPr="00A21A6B">
        <w:rPr>
          <w:rFonts w:asciiTheme="majorHAnsi" w:hAnsiTheme="majorHAnsi" w:cstheme="majorHAnsi"/>
          <w:sz w:val="24"/>
          <w:szCs w:val="24"/>
          <w:lang w:val="ru-MD"/>
        </w:rPr>
        <w:t>уставн</w:t>
      </w:r>
      <w:r w:rsidRPr="00A21A6B">
        <w:rPr>
          <w:rFonts w:asciiTheme="majorHAnsi" w:hAnsiTheme="majorHAnsi" w:cstheme="majorHAnsi"/>
          <w:sz w:val="24"/>
          <w:szCs w:val="24"/>
          <w:lang w:val="ru-MD"/>
        </w:rPr>
        <w:t xml:space="preserve">ый капитал, учитываются как собственные активы предприятий, хотя они должны были </w:t>
      </w:r>
      <w:r w:rsidR="00D35CBA" w:rsidRPr="00A21A6B">
        <w:rPr>
          <w:rFonts w:asciiTheme="majorHAnsi" w:hAnsiTheme="majorHAnsi" w:cstheme="majorHAnsi"/>
          <w:sz w:val="24"/>
          <w:szCs w:val="24"/>
          <w:lang w:val="ru-MD"/>
        </w:rPr>
        <w:t>отражаться</w:t>
      </w:r>
      <w:r w:rsidRPr="00A21A6B">
        <w:rPr>
          <w:rFonts w:asciiTheme="majorHAnsi" w:hAnsiTheme="majorHAnsi" w:cstheme="majorHAnsi"/>
          <w:sz w:val="24"/>
          <w:szCs w:val="24"/>
          <w:lang w:val="ru-MD"/>
        </w:rPr>
        <w:t xml:space="preserve"> </w:t>
      </w:r>
      <w:r w:rsidR="00D35CBA" w:rsidRPr="00A21A6B">
        <w:rPr>
          <w:rFonts w:asciiTheme="majorHAnsi" w:hAnsiTheme="majorHAnsi" w:cstheme="majorHAnsi"/>
          <w:sz w:val="24"/>
          <w:szCs w:val="24"/>
          <w:lang w:val="ru-MD"/>
        </w:rPr>
        <w:t xml:space="preserve">на отдельных счетах баланса </w:t>
      </w:r>
      <w:r w:rsidRPr="00A21A6B">
        <w:rPr>
          <w:rFonts w:asciiTheme="majorHAnsi" w:hAnsiTheme="majorHAnsi" w:cstheme="majorHAnsi"/>
          <w:sz w:val="24"/>
          <w:szCs w:val="24"/>
          <w:lang w:val="ru-MD"/>
        </w:rPr>
        <w:t>(зем</w:t>
      </w:r>
      <w:r w:rsidR="00D35CBA" w:rsidRPr="00A21A6B">
        <w:rPr>
          <w:rFonts w:asciiTheme="majorHAnsi" w:hAnsiTheme="majorHAnsi" w:cstheme="majorHAnsi"/>
          <w:sz w:val="24"/>
          <w:szCs w:val="24"/>
          <w:lang w:val="ru-MD"/>
        </w:rPr>
        <w:t>ельные участки</w:t>
      </w:r>
      <w:r w:rsidRPr="00A21A6B">
        <w:rPr>
          <w:rFonts w:asciiTheme="majorHAnsi" w:hAnsiTheme="majorHAnsi" w:cstheme="majorHAnsi"/>
          <w:sz w:val="24"/>
          <w:szCs w:val="24"/>
          <w:lang w:val="ru-MD"/>
        </w:rPr>
        <w:t xml:space="preserve"> или основные средства, полученные </w:t>
      </w:r>
      <w:r w:rsidR="00D35CBA" w:rsidRPr="00A21A6B">
        <w:rPr>
          <w:rFonts w:asciiTheme="majorHAnsi" w:hAnsiTheme="majorHAnsi" w:cstheme="majorHAnsi"/>
          <w:sz w:val="24"/>
          <w:szCs w:val="24"/>
          <w:lang w:val="ru-MD"/>
        </w:rPr>
        <w:t>в</w:t>
      </w:r>
      <w:r w:rsidRPr="00A21A6B">
        <w:rPr>
          <w:rFonts w:asciiTheme="majorHAnsi" w:hAnsiTheme="majorHAnsi" w:cstheme="majorHAnsi"/>
          <w:sz w:val="24"/>
          <w:szCs w:val="24"/>
          <w:lang w:val="ru-MD"/>
        </w:rPr>
        <w:t xml:space="preserve"> управление), что показ</w:t>
      </w:r>
      <w:r w:rsidR="00D35CBA" w:rsidRPr="00A21A6B">
        <w:rPr>
          <w:rFonts w:asciiTheme="majorHAnsi" w:hAnsiTheme="majorHAnsi" w:cstheme="majorHAnsi"/>
          <w:sz w:val="24"/>
          <w:szCs w:val="24"/>
          <w:lang w:val="ru-MD"/>
        </w:rPr>
        <w:t>ало бы</w:t>
      </w:r>
      <w:r w:rsidRPr="00A21A6B">
        <w:rPr>
          <w:rFonts w:asciiTheme="majorHAnsi" w:hAnsiTheme="majorHAnsi" w:cstheme="majorHAnsi"/>
          <w:sz w:val="24"/>
          <w:szCs w:val="24"/>
          <w:lang w:val="ru-MD"/>
        </w:rPr>
        <w:t xml:space="preserve"> пользователю и суд</w:t>
      </w:r>
      <w:r w:rsidR="00D35CBA" w:rsidRPr="00A21A6B">
        <w:rPr>
          <w:rFonts w:asciiTheme="majorHAnsi" w:hAnsiTheme="majorHAnsi" w:cstheme="majorHAnsi"/>
          <w:sz w:val="24"/>
          <w:szCs w:val="24"/>
          <w:lang w:val="ru-MD"/>
        </w:rPr>
        <w:t>ебным инстанциям</w:t>
      </w:r>
      <w:r w:rsidRPr="00A21A6B">
        <w:rPr>
          <w:rFonts w:asciiTheme="majorHAnsi" w:hAnsiTheme="majorHAnsi" w:cstheme="majorHAnsi"/>
          <w:sz w:val="24"/>
          <w:szCs w:val="24"/>
          <w:lang w:val="ru-MD"/>
        </w:rPr>
        <w:t xml:space="preserve">, что </w:t>
      </w:r>
      <w:r w:rsidR="00D35CBA" w:rsidRPr="00A21A6B">
        <w:rPr>
          <w:rFonts w:asciiTheme="majorHAnsi" w:hAnsiTheme="majorHAnsi" w:cstheme="majorHAnsi"/>
          <w:sz w:val="24"/>
          <w:szCs w:val="24"/>
          <w:lang w:val="ru-MD"/>
        </w:rPr>
        <w:t>актив</w:t>
      </w:r>
      <w:r w:rsidRPr="00A21A6B">
        <w:rPr>
          <w:rFonts w:asciiTheme="majorHAnsi" w:hAnsiTheme="majorHAnsi" w:cstheme="majorHAnsi"/>
          <w:sz w:val="24"/>
          <w:szCs w:val="24"/>
          <w:lang w:val="ru-MD"/>
        </w:rPr>
        <w:t>ы не принадлежат предприятию</w:t>
      </w:r>
      <w:r w:rsidR="00D35CBA" w:rsidRPr="00A21A6B">
        <w:rPr>
          <w:rFonts w:asciiTheme="majorHAnsi" w:hAnsiTheme="majorHAnsi" w:cstheme="majorHAnsi"/>
          <w:sz w:val="24"/>
          <w:szCs w:val="24"/>
          <w:lang w:val="ru-MD"/>
        </w:rPr>
        <w:t xml:space="preserve"> по</w:t>
      </w:r>
      <w:r w:rsidRPr="00A21A6B">
        <w:rPr>
          <w:rFonts w:asciiTheme="majorHAnsi" w:hAnsiTheme="majorHAnsi" w:cstheme="majorHAnsi"/>
          <w:sz w:val="24"/>
          <w:szCs w:val="24"/>
          <w:lang w:val="ru-MD"/>
        </w:rPr>
        <w:t xml:space="preserve"> прав</w:t>
      </w:r>
      <w:r w:rsidR="00D35CBA"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собственности. Таким </w:t>
      </w:r>
      <w:r w:rsidR="00D35CBA" w:rsidRPr="00A21A6B">
        <w:rPr>
          <w:rFonts w:asciiTheme="majorHAnsi" w:hAnsiTheme="majorHAnsi" w:cstheme="majorHAnsi"/>
          <w:sz w:val="24"/>
          <w:szCs w:val="24"/>
          <w:lang w:val="ru-MD"/>
        </w:rPr>
        <w:t xml:space="preserve">же </w:t>
      </w:r>
      <w:r w:rsidRPr="00A21A6B">
        <w:rPr>
          <w:rFonts w:asciiTheme="majorHAnsi" w:hAnsiTheme="majorHAnsi" w:cstheme="majorHAnsi"/>
          <w:sz w:val="24"/>
          <w:szCs w:val="24"/>
          <w:lang w:val="ru-MD"/>
        </w:rPr>
        <w:t>образом, большая часть зем</w:t>
      </w:r>
      <w:r w:rsidR="00D35CBA" w:rsidRPr="00A21A6B">
        <w:rPr>
          <w:rFonts w:asciiTheme="majorHAnsi" w:hAnsiTheme="majorHAnsi" w:cstheme="majorHAnsi"/>
          <w:sz w:val="24"/>
          <w:szCs w:val="24"/>
          <w:lang w:val="ru-MD"/>
        </w:rPr>
        <w:t>ельных участков</w:t>
      </w:r>
      <w:r w:rsidRPr="00A21A6B">
        <w:rPr>
          <w:rFonts w:asciiTheme="majorHAnsi" w:hAnsiTheme="majorHAnsi" w:cstheme="majorHAnsi"/>
          <w:sz w:val="24"/>
          <w:szCs w:val="24"/>
          <w:lang w:val="ru-MD"/>
        </w:rPr>
        <w:t>, переданн</w:t>
      </w:r>
      <w:r w:rsidR="00D35CBA" w:rsidRPr="00A21A6B">
        <w:rPr>
          <w:rFonts w:asciiTheme="majorHAnsi" w:hAnsiTheme="majorHAnsi" w:cstheme="majorHAnsi"/>
          <w:sz w:val="24"/>
          <w:szCs w:val="24"/>
          <w:lang w:val="ru-MD"/>
        </w:rPr>
        <w:t>ых</w:t>
      </w:r>
      <w:r w:rsidRPr="00A21A6B">
        <w:rPr>
          <w:rFonts w:asciiTheme="majorHAnsi" w:hAnsiTheme="majorHAnsi" w:cstheme="majorHAnsi"/>
          <w:sz w:val="24"/>
          <w:szCs w:val="24"/>
          <w:lang w:val="ru-MD"/>
        </w:rPr>
        <w:t xml:space="preserve"> в экономическое управление, не оценива</w:t>
      </w:r>
      <w:r w:rsidR="00D35CBA" w:rsidRPr="00A21A6B">
        <w:rPr>
          <w:rFonts w:asciiTheme="majorHAnsi" w:hAnsiTheme="majorHAnsi" w:cstheme="majorHAnsi"/>
          <w:sz w:val="24"/>
          <w:szCs w:val="24"/>
          <w:lang w:val="ru-MD"/>
        </w:rPr>
        <w:t>ю</w:t>
      </w:r>
      <w:r w:rsidRPr="00A21A6B">
        <w:rPr>
          <w:rFonts w:asciiTheme="majorHAnsi" w:hAnsiTheme="majorHAnsi" w:cstheme="majorHAnsi"/>
          <w:sz w:val="24"/>
          <w:szCs w:val="24"/>
          <w:lang w:val="ru-MD"/>
        </w:rPr>
        <w:t>тся и не учитыва</w:t>
      </w:r>
      <w:r w:rsidR="00D35CBA" w:rsidRPr="00A21A6B">
        <w:rPr>
          <w:rFonts w:asciiTheme="majorHAnsi" w:hAnsiTheme="majorHAnsi" w:cstheme="majorHAnsi"/>
          <w:sz w:val="24"/>
          <w:szCs w:val="24"/>
          <w:lang w:val="ru-MD"/>
        </w:rPr>
        <w:t>ю</w:t>
      </w:r>
      <w:r w:rsidRPr="00A21A6B">
        <w:rPr>
          <w:rFonts w:asciiTheme="majorHAnsi" w:hAnsiTheme="majorHAnsi" w:cstheme="majorHAnsi"/>
          <w:sz w:val="24"/>
          <w:szCs w:val="24"/>
          <w:lang w:val="ru-MD"/>
        </w:rPr>
        <w:t xml:space="preserve">тся ни учредителем, ни государственными предприятиями, </w:t>
      </w:r>
      <w:r w:rsidR="00D35CBA" w:rsidRPr="00A21A6B">
        <w:rPr>
          <w:rFonts w:asciiTheme="majorHAnsi" w:hAnsiTheme="majorHAnsi" w:cstheme="majorHAnsi"/>
          <w:sz w:val="24"/>
          <w:szCs w:val="24"/>
          <w:lang w:val="ru-MD"/>
        </w:rPr>
        <w:t>что приводит к искажению</w:t>
      </w:r>
      <w:r w:rsidRPr="00A21A6B">
        <w:rPr>
          <w:rFonts w:asciiTheme="majorHAnsi" w:hAnsiTheme="majorHAnsi" w:cstheme="majorHAnsi"/>
          <w:sz w:val="24"/>
          <w:szCs w:val="24"/>
          <w:lang w:val="ru-MD"/>
        </w:rPr>
        <w:t xml:space="preserve"> как финансов</w:t>
      </w:r>
      <w:r w:rsidR="001F311F" w:rsidRPr="00A21A6B">
        <w:rPr>
          <w:rFonts w:asciiTheme="majorHAnsi" w:hAnsiTheme="majorHAnsi" w:cstheme="majorHAnsi"/>
          <w:sz w:val="24"/>
          <w:szCs w:val="24"/>
          <w:lang w:val="ru-MD"/>
        </w:rPr>
        <w:t>ой</w:t>
      </w:r>
      <w:r w:rsidRPr="00A21A6B">
        <w:rPr>
          <w:rFonts w:asciiTheme="majorHAnsi" w:hAnsiTheme="majorHAnsi" w:cstheme="majorHAnsi"/>
          <w:sz w:val="24"/>
          <w:szCs w:val="24"/>
          <w:lang w:val="ru-MD"/>
        </w:rPr>
        <w:t xml:space="preserve"> отчет</w:t>
      </w:r>
      <w:r w:rsidR="001F311F" w:rsidRPr="00A21A6B">
        <w:rPr>
          <w:rFonts w:asciiTheme="majorHAnsi" w:hAnsiTheme="majorHAnsi" w:cstheme="majorHAnsi"/>
          <w:sz w:val="24"/>
          <w:szCs w:val="24"/>
          <w:lang w:val="ru-MD"/>
        </w:rPr>
        <w:t>номти</w:t>
      </w:r>
      <w:r w:rsidRPr="00A21A6B">
        <w:rPr>
          <w:rFonts w:asciiTheme="majorHAnsi" w:hAnsiTheme="majorHAnsi" w:cstheme="majorHAnsi"/>
          <w:sz w:val="24"/>
          <w:szCs w:val="24"/>
          <w:lang w:val="ru-MD"/>
        </w:rPr>
        <w:t xml:space="preserve"> </w:t>
      </w:r>
      <w:r w:rsidR="001F311F" w:rsidRPr="00A21A6B">
        <w:rPr>
          <w:rFonts w:asciiTheme="majorHAnsi" w:hAnsiTheme="majorHAnsi" w:cstheme="majorHAnsi"/>
          <w:sz w:val="24"/>
          <w:szCs w:val="24"/>
          <w:lang w:val="ru-MD"/>
        </w:rPr>
        <w:t>учреди</w:t>
      </w:r>
      <w:r w:rsidRPr="00A21A6B">
        <w:rPr>
          <w:rFonts w:asciiTheme="majorHAnsi" w:hAnsiTheme="majorHAnsi" w:cstheme="majorHAnsi"/>
          <w:sz w:val="24"/>
          <w:szCs w:val="24"/>
          <w:lang w:val="ru-MD"/>
        </w:rPr>
        <w:t>теля, так и финансовы</w:t>
      </w:r>
      <w:r w:rsidR="001F311F" w:rsidRPr="00A21A6B">
        <w:rPr>
          <w:rFonts w:asciiTheme="majorHAnsi" w:hAnsiTheme="majorHAnsi" w:cstheme="majorHAnsi"/>
          <w:sz w:val="24"/>
          <w:szCs w:val="24"/>
          <w:lang w:val="ru-MD"/>
        </w:rPr>
        <w:t>х</w:t>
      </w:r>
      <w:r w:rsidRPr="00A21A6B">
        <w:rPr>
          <w:rFonts w:asciiTheme="majorHAnsi" w:hAnsiTheme="majorHAnsi" w:cstheme="majorHAnsi"/>
          <w:sz w:val="24"/>
          <w:szCs w:val="24"/>
          <w:lang w:val="ru-MD"/>
        </w:rPr>
        <w:t xml:space="preserve"> отчет</w:t>
      </w:r>
      <w:r w:rsidR="001F311F" w:rsidRPr="00A21A6B">
        <w:rPr>
          <w:rFonts w:asciiTheme="majorHAnsi" w:hAnsiTheme="majorHAnsi" w:cstheme="majorHAnsi"/>
          <w:sz w:val="24"/>
          <w:szCs w:val="24"/>
          <w:lang w:val="ru-MD"/>
        </w:rPr>
        <w:t>ов</w:t>
      </w:r>
      <w:r w:rsidRPr="00A21A6B">
        <w:rPr>
          <w:rFonts w:asciiTheme="majorHAnsi" w:hAnsiTheme="majorHAnsi" w:cstheme="majorHAnsi"/>
          <w:sz w:val="24"/>
          <w:szCs w:val="24"/>
          <w:lang w:val="ru-MD"/>
        </w:rPr>
        <w:t xml:space="preserve"> предприятий</w:t>
      </w:r>
      <w:r w:rsidR="00F40961" w:rsidRPr="00A21A6B">
        <w:rPr>
          <w:rFonts w:asciiTheme="majorHAnsi" w:hAnsiTheme="majorHAnsi" w:cstheme="majorHAnsi"/>
          <w:sz w:val="24"/>
          <w:szCs w:val="24"/>
          <w:lang w:val="ru-MD"/>
        </w:rPr>
        <w:t xml:space="preserve">. </w:t>
      </w:r>
      <w:r w:rsidR="008507F0" w:rsidRPr="00A21A6B">
        <w:rPr>
          <w:rFonts w:asciiTheme="majorHAnsi" w:hAnsiTheme="majorHAnsi" w:cstheme="majorHAnsi"/>
          <w:sz w:val="24"/>
          <w:szCs w:val="24"/>
          <w:lang w:val="ru-MD"/>
        </w:rPr>
        <w:t xml:space="preserve"> </w:t>
      </w:r>
    </w:p>
    <w:p w:rsidR="00E9611E" w:rsidRPr="00A21A6B" w:rsidRDefault="00E9611E" w:rsidP="00E9611E">
      <w:pPr>
        <w:pStyle w:val="ListParagraph"/>
        <w:spacing w:before="60" w:after="0" w:line="276" w:lineRule="auto"/>
        <w:ind w:left="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В </w:t>
      </w:r>
      <w:r w:rsidR="001F311F" w:rsidRPr="00A21A6B">
        <w:rPr>
          <w:rFonts w:asciiTheme="majorHAnsi" w:hAnsiTheme="majorHAnsi" w:cstheme="majorHAnsi"/>
          <w:sz w:val="24"/>
          <w:szCs w:val="24"/>
          <w:lang w:val="ru-MD"/>
        </w:rPr>
        <w:t xml:space="preserve">этой </w:t>
      </w:r>
      <w:r w:rsidRPr="00A21A6B">
        <w:rPr>
          <w:rFonts w:asciiTheme="majorHAnsi" w:hAnsiTheme="majorHAnsi" w:cstheme="majorHAnsi"/>
          <w:sz w:val="24"/>
          <w:szCs w:val="24"/>
          <w:lang w:val="ru-MD"/>
        </w:rPr>
        <w:t>связи</w:t>
      </w:r>
      <w:r w:rsidR="001F311F"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со стороны учредителя необходимы меры по п</w:t>
      </w:r>
      <w:r w:rsidR="005C2E30" w:rsidRPr="00A21A6B">
        <w:rPr>
          <w:rFonts w:asciiTheme="majorHAnsi" w:hAnsiTheme="majorHAnsi" w:cstheme="majorHAnsi"/>
          <w:sz w:val="24"/>
          <w:szCs w:val="24"/>
          <w:lang w:val="ru-MD"/>
        </w:rPr>
        <w:t>овыш</w:t>
      </w:r>
      <w:r w:rsidRPr="00A21A6B">
        <w:rPr>
          <w:rFonts w:asciiTheme="majorHAnsi" w:hAnsiTheme="majorHAnsi" w:cstheme="majorHAnsi"/>
          <w:sz w:val="24"/>
          <w:szCs w:val="24"/>
          <w:lang w:val="ru-MD"/>
        </w:rPr>
        <w:t xml:space="preserve">ению к ответственности </w:t>
      </w:r>
      <w:r w:rsidR="005C2E30" w:rsidRPr="00A21A6B">
        <w:rPr>
          <w:rFonts w:asciiTheme="majorHAnsi" w:hAnsiTheme="majorHAnsi" w:cstheme="majorHAnsi"/>
          <w:sz w:val="24"/>
          <w:szCs w:val="24"/>
          <w:lang w:val="ru-MD"/>
        </w:rPr>
        <w:t>руководства</w:t>
      </w:r>
      <w:r w:rsidRPr="00A21A6B">
        <w:rPr>
          <w:rFonts w:asciiTheme="majorHAnsi" w:hAnsiTheme="majorHAnsi" w:cstheme="majorHAnsi"/>
          <w:sz w:val="24"/>
          <w:szCs w:val="24"/>
          <w:lang w:val="ru-MD"/>
        </w:rPr>
        <w:t xml:space="preserve"> государственны</w:t>
      </w:r>
      <w:r w:rsidR="005C2E30" w:rsidRPr="00A21A6B">
        <w:rPr>
          <w:rFonts w:asciiTheme="majorHAnsi" w:hAnsiTheme="majorHAnsi" w:cstheme="majorHAnsi"/>
          <w:sz w:val="24"/>
          <w:szCs w:val="24"/>
          <w:lang w:val="ru-MD"/>
        </w:rPr>
        <w:t>х</w:t>
      </w:r>
      <w:r w:rsidRPr="00A21A6B">
        <w:rPr>
          <w:rFonts w:asciiTheme="majorHAnsi" w:hAnsiTheme="majorHAnsi" w:cstheme="majorHAnsi"/>
          <w:sz w:val="24"/>
          <w:szCs w:val="24"/>
          <w:lang w:val="ru-MD"/>
        </w:rPr>
        <w:t xml:space="preserve"> предприяти</w:t>
      </w:r>
      <w:r w:rsidR="005C2E30" w:rsidRPr="00A21A6B">
        <w:rPr>
          <w:rFonts w:asciiTheme="majorHAnsi" w:hAnsiTheme="majorHAnsi" w:cstheme="majorHAnsi"/>
          <w:sz w:val="24"/>
          <w:szCs w:val="24"/>
          <w:lang w:val="ru-MD"/>
        </w:rPr>
        <w:t>й</w:t>
      </w:r>
      <w:r w:rsidRPr="00A21A6B">
        <w:rPr>
          <w:rFonts w:asciiTheme="majorHAnsi" w:hAnsiTheme="majorHAnsi" w:cstheme="majorHAnsi"/>
          <w:sz w:val="24"/>
          <w:szCs w:val="24"/>
          <w:lang w:val="ru-MD"/>
        </w:rPr>
        <w:t xml:space="preserve"> </w:t>
      </w:r>
      <w:r w:rsidR="005C2E30" w:rsidRPr="00A21A6B">
        <w:rPr>
          <w:rFonts w:asciiTheme="majorHAnsi" w:hAnsiTheme="majorHAnsi" w:cstheme="majorHAnsi"/>
          <w:sz w:val="24"/>
          <w:szCs w:val="24"/>
          <w:lang w:val="ru-MD"/>
        </w:rPr>
        <w:t>за</w:t>
      </w:r>
      <w:r w:rsidRPr="00A21A6B">
        <w:rPr>
          <w:rFonts w:asciiTheme="majorHAnsi" w:hAnsiTheme="majorHAnsi" w:cstheme="majorHAnsi"/>
          <w:sz w:val="24"/>
          <w:szCs w:val="24"/>
          <w:lang w:val="ru-MD"/>
        </w:rPr>
        <w:t xml:space="preserve"> </w:t>
      </w:r>
      <w:r w:rsidR="005C2E30" w:rsidRPr="00A21A6B">
        <w:rPr>
          <w:rFonts w:asciiTheme="majorHAnsi" w:hAnsiTheme="majorHAnsi" w:cstheme="majorHAnsi"/>
          <w:sz w:val="24"/>
          <w:szCs w:val="24"/>
          <w:lang w:val="ru-MD"/>
        </w:rPr>
        <w:t xml:space="preserve">оеспечение надлежащего </w:t>
      </w:r>
      <w:r w:rsidRPr="00A21A6B">
        <w:rPr>
          <w:rFonts w:asciiTheme="majorHAnsi" w:hAnsiTheme="majorHAnsi" w:cstheme="majorHAnsi"/>
          <w:sz w:val="24"/>
          <w:szCs w:val="24"/>
          <w:lang w:val="ru-MD"/>
        </w:rPr>
        <w:t>учет</w:t>
      </w:r>
      <w:r w:rsidR="005C2E30"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w:t>
      </w:r>
      <w:r w:rsidR="005C2E30" w:rsidRPr="00A21A6B">
        <w:rPr>
          <w:rFonts w:asciiTheme="majorHAnsi" w:hAnsiTheme="majorHAnsi" w:cstheme="majorHAnsi"/>
          <w:sz w:val="24"/>
          <w:szCs w:val="24"/>
          <w:lang w:val="ru-MD"/>
        </w:rPr>
        <w:t>имущества</w:t>
      </w:r>
      <w:r w:rsidRPr="00A21A6B">
        <w:rPr>
          <w:rFonts w:asciiTheme="majorHAnsi" w:hAnsiTheme="majorHAnsi" w:cstheme="majorHAnsi"/>
          <w:sz w:val="24"/>
          <w:szCs w:val="24"/>
          <w:lang w:val="ru-MD"/>
        </w:rPr>
        <w:t>, полученн</w:t>
      </w:r>
      <w:r w:rsidR="005C2E30"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в хозяйственном </w:t>
      </w:r>
      <w:r w:rsidR="005C2E30" w:rsidRPr="00A21A6B">
        <w:rPr>
          <w:rFonts w:asciiTheme="majorHAnsi" w:hAnsiTheme="majorHAnsi" w:cstheme="majorHAnsi"/>
          <w:sz w:val="24"/>
          <w:szCs w:val="24"/>
          <w:lang w:val="ru-MD"/>
        </w:rPr>
        <w:t>вед</w:t>
      </w:r>
      <w:r w:rsidRPr="00A21A6B">
        <w:rPr>
          <w:rFonts w:asciiTheme="majorHAnsi" w:hAnsiTheme="majorHAnsi" w:cstheme="majorHAnsi"/>
          <w:sz w:val="24"/>
          <w:szCs w:val="24"/>
          <w:lang w:val="ru-MD"/>
        </w:rPr>
        <w:t>ении, не принадлежащ</w:t>
      </w:r>
      <w:r w:rsidR="005C2E30" w:rsidRPr="00A21A6B">
        <w:rPr>
          <w:rFonts w:asciiTheme="majorHAnsi" w:hAnsiTheme="majorHAnsi" w:cstheme="majorHAnsi"/>
          <w:sz w:val="24"/>
          <w:szCs w:val="24"/>
          <w:lang w:val="ru-MD"/>
        </w:rPr>
        <w:t>его</w:t>
      </w:r>
      <w:r w:rsidRPr="00A21A6B">
        <w:rPr>
          <w:rFonts w:asciiTheme="majorHAnsi" w:hAnsiTheme="majorHAnsi" w:cstheme="majorHAnsi"/>
          <w:sz w:val="24"/>
          <w:szCs w:val="24"/>
          <w:lang w:val="ru-MD"/>
        </w:rPr>
        <w:t xml:space="preserve"> государственным предприятиям</w:t>
      </w:r>
      <w:r w:rsidR="005C2E30" w:rsidRPr="00A21A6B">
        <w:rPr>
          <w:rFonts w:asciiTheme="majorHAnsi" w:hAnsiTheme="majorHAnsi" w:cstheme="majorHAnsi"/>
          <w:sz w:val="24"/>
          <w:szCs w:val="24"/>
          <w:lang w:val="ru-MD"/>
        </w:rPr>
        <w:t xml:space="preserve"> по праву</w:t>
      </w:r>
      <w:r w:rsidRPr="00A21A6B">
        <w:rPr>
          <w:rFonts w:asciiTheme="majorHAnsi" w:hAnsiTheme="majorHAnsi" w:cstheme="majorHAnsi"/>
          <w:sz w:val="24"/>
          <w:szCs w:val="24"/>
          <w:lang w:val="ru-MD"/>
        </w:rPr>
        <w:t xml:space="preserve"> собственности.</w:t>
      </w:r>
    </w:p>
    <w:p w:rsidR="00F40961" w:rsidRPr="00A21A6B" w:rsidRDefault="00E9611E" w:rsidP="005C2E30">
      <w:pPr>
        <w:pStyle w:val="ListParagraph"/>
        <w:spacing w:before="60" w:after="0" w:line="276" w:lineRule="auto"/>
        <w:ind w:left="0"/>
        <w:contextualSpacing w:val="0"/>
        <w:jc w:val="both"/>
        <w:outlineLvl w:val="0"/>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Мнение не было </w:t>
      </w:r>
      <w:r w:rsidR="005C2E30" w:rsidRPr="00A21A6B">
        <w:rPr>
          <w:rFonts w:asciiTheme="majorHAnsi" w:hAnsiTheme="majorHAnsi" w:cstheme="majorHAnsi"/>
          <w:sz w:val="24"/>
          <w:szCs w:val="24"/>
          <w:lang w:val="ru-MD"/>
        </w:rPr>
        <w:t>модифицирова</w:t>
      </w:r>
      <w:r w:rsidRPr="00A21A6B">
        <w:rPr>
          <w:rFonts w:asciiTheme="majorHAnsi" w:hAnsiTheme="majorHAnsi" w:cstheme="majorHAnsi"/>
          <w:sz w:val="24"/>
          <w:szCs w:val="24"/>
          <w:lang w:val="ru-MD"/>
        </w:rPr>
        <w:t xml:space="preserve">но из-за этих </w:t>
      </w:r>
      <w:r w:rsidR="005C2E30" w:rsidRPr="00A21A6B">
        <w:rPr>
          <w:rFonts w:asciiTheme="majorHAnsi" w:hAnsiTheme="majorHAnsi" w:cstheme="majorHAnsi"/>
          <w:sz w:val="24"/>
          <w:szCs w:val="24"/>
          <w:lang w:val="ru-MD"/>
        </w:rPr>
        <w:t>аспект</w:t>
      </w:r>
      <w:r w:rsidRPr="00A21A6B">
        <w:rPr>
          <w:rFonts w:asciiTheme="majorHAnsi" w:hAnsiTheme="majorHAnsi" w:cstheme="majorHAnsi"/>
          <w:sz w:val="24"/>
          <w:szCs w:val="24"/>
          <w:lang w:val="ru-MD"/>
        </w:rPr>
        <w:t>ов</w:t>
      </w:r>
      <w:r w:rsidR="00F40961" w:rsidRPr="00A21A6B">
        <w:rPr>
          <w:rFonts w:asciiTheme="majorHAnsi" w:hAnsiTheme="majorHAnsi" w:cstheme="majorHAnsi"/>
          <w:sz w:val="24"/>
          <w:szCs w:val="24"/>
          <w:lang w:val="ru-MD"/>
        </w:rPr>
        <w:t>.</w:t>
      </w:r>
    </w:p>
    <w:p w:rsidR="00F40961" w:rsidRPr="00A21A6B" w:rsidRDefault="00797CA1" w:rsidP="00F40961">
      <w:pPr>
        <w:pStyle w:val="ListParagraph"/>
        <w:numPr>
          <w:ilvl w:val="0"/>
          <w:numId w:val="1"/>
        </w:numPr>
        <w:spacing w:before="100" w:beforeAutospacing="1" w:after="0" w:line="276" w:lineRule="auto"/>
        <w:ind w:left="0" w:firstLine="284"/>
        <w:contextualSpacing w:val="0"/>
        <w:jc w:val="both"/>
        <w:outlineLvl w:val="0"/>
        <w:rPr>
          <w:rFonts w:asciiTheme="majorHAnsi" w:hAnsiTheme="majorHAnsi" w:cstheme="majorHAnsi"/>
          <w:b/>
          <w:sz w:val="24"/>
          <w:szCs w:val="24"/>
          <w:lang w:val="ru-MD"/>
        </w:rPr>
      </w:pPr>
      <w:r w:rsidRPr="00A21A6B">
        <w:rPr>
          <w:rFonts w:asciiTheme="majorHAnsi" w:hAnsiTheme="majorHAnsi" w:cstheme="majorHAnsi"/>
          <w:b/>
          <w:bCs/>
          <w:sz w:val="24"/>
          <w:szCs w:val="24"/>
          <w:lang w:val="ru-MD"/>
        </w:rPr>
        <w:t>КЛЮЧЕВЫЕ АСПЕКТЫ АУДИТА</w:t>
      </w:r>
    </w:p>
    <w:p w:rsidR="00F40961" w:rsidRPr="00A21A6B" w:rsidRDefault="00797CA1" w:rsidP="00F40961">
      <w:pPr>
        <w:tabs>
          <w:tab w:val="left" w:pos="720"/>
        </w:tabs>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w:t>
      </w:r>
      <w:r w:rsidR="00155976" w:rsidRPr="00A21A6B">
        <w:rPr>
          <w:rFonts w:asciiTheme="majorHAnsi" w:hAnsiTheme="majorHAnsi" w:cstheme="majorHAnsi"/>
          <w:sz w:val="24"/>
          <w:szCs w:val="24"/>
          <w:lang w:val="ru-MD"/>
        </w:rPr>
        <w:t>Министерства сельского хозяйства, регионального развития и окружающей среды</w:t>
      </w:r>
      <w:r w:rsidRPr="00A21A6B">
        <w:rPr>
          <w:rFonts w:asciiTheme="majorHAnsi" w:hAnsiTheme="majorHAnsi" w:cstheme="majorHAnsi"/>
          <w:sz w:val="24"/>
          <w:szCs w:val="24"/>
          <w:lang w:val="ru-MD"/>
        </w:rPr>
        <w:t xml:space="preserve"> по состоянию на 31 декабря 2021 года. Эти аспекты были рассмотрены в контексте аудита финансовой отчетности в целом</w:t>
      </w:r>
      <w:r w:rsidR="00155976" w:rsidRPr="00A21A6B">
        <w:rPr>
          <w:lang w:val="ru-MD"/>
        </w:rPr>
        <w:t xml:space="preserve"> </w:t>
      </w:r>
      <w:r w:rsidR="00155976" w:rsidRPr="00A21A6B">
        <w:rPr>
          <w:rFonts w:asciiTheme="majorHAnsi" w:hAnsiTheme="majorHAnsi" w:cstheme="majorHAnsi"/>
          <w:sz w:val="24"/>
          <w:szCs w:val="24"/>
          <w:lang w:val="ru-MD"/>
        </w:rPr>
        <w:t>и формирования нашего мнения о ней</w:t>
      </w:r>
      <w:r w:rsidRPr="00A21A6B">
        <w:rPr>
          <w:rFonts w:asciiTheme="majorHAnsi" w:hAnsiTheme="majorHAnsi" w:cstheme="majorHAnsi"/>
          <w:sz w:val="24"/>
          <w:szCs w:val="24"/>
          <w:lang w:val="ru-MD"/>
        </w:rPr>
        <w:t>, без выражения особого мнения по ним. За исключением аспект</w:t>
      </w:r>
      <w:r w:rsidR="00155976"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описанн</w:t>
      </w:r>
      <w:r w:rsidR="00155976"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в разделе </w:t>
      </w:r>
      <w:r w:rsidRPr="00A21A6B">
        <w:rPr>
          <w:rFonts w:asciiTheme="majorHAnsi" w:hAnsiTheme="majorHAnsi" w:cstheme="majorHAnsi"/>
          <w:i/>
          <w:sz w:val="24"/>
          <w:szCs w:val="24"/>
          <w:lang w:val="ru-MD"/>
        </w:rPr>
        <w:t>Основание для условного мнения</w:t>
      </w:r>
      <w:r w:rsidRPr="00A21A6B">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155976"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p>
    <w:p w:rsidR="00F40961" w:rsidRPr="00A21A6B" w:rsidRDefault="00F40961" w:rsidP="00F40961">
      <w:pPr>
        <w:tabs>
          <w:tab w:val="left" w:pos="720"/>
        </w:tabs>
        <w:spacing w:after="120" w:line="276" w:lineRule="auto"/>
        <w:jc w:val="both"/>
        <w:rPr>
          <w:rFonts w:asciiTheme="majorHAnsi" w:eastAsia="Calibri" w:hAnsiTheme="majorHAnsi" w:cstheme="majorHAnsi"/>
          <w:sz w:val="24"/>
          <w:szCs w:val="24"/>
          <w:lang w:val="ru-MD"/>
        </w:rPr>
      </w:pPr>
      <w:r w:rsidRPr="00A21A6B">
        <w:rPr>
          <w:rFonts w:asciiTheme="majorHAnsi" w:eastAsia="Calibri" w:hAnsiTheme="majorHAnsi" w:cstheme="majorHAnsi"/>
          <w:b/>
          <w:sz w:val="24"/>
          <w:szCs w:val="24"/>
          <w:lang w:val="ru-MD"/>
        </w:rPr>
        <w:t>4.1</w:t>
      </w:r>
      <w:r w:rsidRPr="00A21A6B">
        <w:rPr>
          <w:rFonts w:asciiTheme="majorHAnsi" w:hAnsiTheme="majorHAnsi" w:cstheme="majorHAnsi"/>
          <w:sz w:val="24"/>
          <w:szCs w:val="24"/>
          <w:lang w:val="ru-MD"/>
        </w:rPr>
        <w:t xml:space="preserve"> </w:t>
      </w:r>
      <w:r w:rsidR="00797CA1" w:rsidRPr="00A21A6B">
        <w:rPr>
          <w:rFonts w:asciiTheme="majorHAnsi" w:hAnsiTheme="majorHAnsi" w:cstheme="majorHAnsi"/>
          <w:sz w:val="24"/>
          <w:szCs w:val="24"/>
          <w:lang w:val="ru-MD"/>
        </w:rPr>
        <w:t>Обращаем внимание и на то, что, согласно циркулярам Мин</w:t>
      </w:r>
      <w:r w:rsidR="00155976" w:rsidRPr="00A21A6B">
        <w:rPr>
          <w:rFonts w:asciiTheme="majorHAnsi" w:hAnsiTheme="majorHAnsi" w:cstheme="majorHAnsi"/>
          <w:sz w:val="24"/>
          <w:szCs w:val="24"/>
          <w:lang w:val="ru-MD"/>
        </w:rPr>
        <w:t xml:space="preserve">истерства </w:t>
      </w:r>
      <w:r w:rsidR="00797CA1" w:rsidRPr="00A21A6B">
        <w:rPr>
          <w:rFonts w:asciiTheme="majorHAnsi" w:hAnsiTheme="majorHAnsi" w:cstheme="majorHAnsi"/>
          <w:sz w:val="24"/>
          <w:szCs w:val="24"/>
          <w:lang w:val="ru-MD"/>
        </w:rPr>
        <w:t>фин</w:t>
      </w:r>
      <w:r w:rsidR="00155976" w:rsidRPr="00A21A6B">
        <w:rPr>
          <w:rFonts w:asciiTheme="majorHAnsi" w:hAnsiTheme="majorHAnsi" w:cstheme="majorHAnsi"/>
          <w:sz w:val="24"/>
          <w:szCs w:val="24"/>
          <w:lang w:val="ru-MD"/>
        </w:rPr>
        <w:t>ансов</w:t>
      </w:r>
      <w:r w:rsidR="00797CA1" w:rsidRPr="00A21A6B">
        <w:rPr>
          <w:rFonts w:asciiTheme="majorHAnsi" w:hAnsiTheme="majorHAnsi" w:cstheme="majorHAnsi"/>
          <w:sz w:val="24"/>
          <w:szCs w:val="24"/>
          <w:lang w:val="ru-MD"/>
        </w:rPr>
        <w:t>, процесс реорганизации центрального публичного управления должен был завершиться 31.08.2021. Определенные обстоятельства привели к затягиванию процесса реорганизации, что привело к увеличению риска того, что реорганизация не будет проведена до конца 2021 года, а передача активов и обязательств будет осуществлена в 2022 году. Для облегчения процесса передачи и доработки процесса реорганизации аудиторская группа провела несколько совместных заседаний с представителями Министерства сельского хозяйства и пищевой промышленности (в качестве правопреемника Министерства сельского хозяйства</w:t>
      </w:r>
      <w:r w:rsidR="00155976"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регионального развития и окружающей среды) и представителями Министерства окружающей среды и Министерства инфраструктуры и регионального развития, участвующими в процессе реорганизации</w:t>
      </w:r>
      <w:r w:rsidRPr="00A21A6B">
        <w:rPr>
          <w:rFonts w:asciiTheme="majorHAnsi" w:hAnsiTheme="majorHAnsi" w:cstheme="majorHAnsi"/>
          <w:sz w:val="24"/>
          <w:szCs w:val="24"/>
          <w:lang w:val="ru-MD"/>
        </w:rPr>
        <w:t xml:space="preserve">. </w:t>
      </w:r>
      <w:r w:rsidR="00155976" w:rsidRPr="00A21A6B">
        <w:rPr>
          <w:rFonts w:asciiTheme="majorHAnsi" w:hAnsiTheme="majorHAnsi" w:cstheme="majorHAnsi"/>
          <w:sz w:val="24"/>
          <w:szCs w:val="24"/>
          <w:lang w:val="ru-MD"/>
        </w:rPr>
        <w:t>В итоге</w:t>
      </w:r>
      <w:r w:rsidR="00797CA1" w:rsidRPr="00A21A6B">
        <w:rPr>
          <w:rFonts w:asciiTheme="majorHAnsi" w:hAnsiTheme="majorHAnsi" w:cstheme="majorHAnsi"/>
          <w:sz w:val="24"/>
          <w:szCs w:val="24"/>
          <w:lang w:val="ru-MD"/>
        </w:rPr>
        <w:t>, было решено, что Министерство сельского хозяйства</w:t>
      </w:r>
      <w:r w:rsidR="00155976"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регионального развития и окружающей среды будет составлять </w:t>
      </w:r>
      <w:r w:rsidR="00155976" w:rsidRPr="00A21A6B">
        <w:rPr>
          <w:rFonts w:asciiTheme="majorHAnsi" w:hAnsiTheme="majorHAnsi" w:cstheme="majorHAnsi"/>
          <w:sz w:val="24"/>
          <w:szCs w:val="24"/>
          <w:lang w:val="ru-MD"/>
        </w:rPr>
        <w:t>ак</w:t>
      </w:r>
      <w:r w:rsidR="00797CA1" w:rsidRPr="00A21A6B">
        <w:rPr>
          <w:rFonts w:asciiTheme="majorHAnsi" w:hAnsiTheme="majorHAnsi" w:cstheme="majorHAnsi"/>
          <w:sz w:val="24"/>
          <w:szCs w:val="24"/>
          <w:lang w:val="ru-MD"/>
        </w:rPr>
        <w:t>ты прием</w:t>
      </w:r>
      <w:r w:rsidR="00155976" w:rsidRPr="00A21A6B">
        <w:rPr>
          <w:rFonts w:asciiTheme="majorHAnsi" w:hAnsiTheme="majorHAnsi" w:cstheme="majorHAnsi"/>
          <w:sz w:val="24"/>
          <w:szCs w:val="24"/>
          <w:lang w:val="ru-MD"/>
        </w:rPr>
        <w:t>а</w:t>
      </w:r>
      <w:r w:rsidR="00797CA1" w:rsidRPr="00A21A6B">
        <w:rPr>
          <w:rFonts w:asciiTheme="majorHAnsi" w:hAnsiTheme="majorHAnsi" w:cstheme="majorHAnsi"/>
          <w:sz w:val="24"/>
          <w:szCs w:val="24"/>
          <w:lang w:val="ru-MD"/>
        </w:rPr>
        <w:t>-</w:t>
      </w:r>
      <w:r w:rsidR="00155976" w:rsidRPr="00A21A6B">
        <w:rPr>
          <w:rFonts w:asciiTheme="majorHAnsi" w:hAnsiTheme="majorHAnsi" w:cstheme="majorHAnsi"/>
          <w:sz w:val="24"/>
          <w:szCs w:val="24"/>
          <w:lang w:val="ru-MD"/>
        </w:rPr>
        <w:t>передачи</w:t>
      </w:r>
      <w:r w:rsidR="00797CA1" w:rsidRPr="00A21A6B">
        <w:rPr>
          <w:rFonts w:asciiTheme="majorHAnsi" w:hAnsiTheme="majorHAnsi" w:cstheme="majorHAnsi"/>
          <w:sz w:val="24"/>
          <w:szCs w:val="24"/>
          <w:lang w:val="ru-MD"/>
        </w:rPr>
        <w:t xml:space="preserve">, датированные февралем 2022 года, но по состоянию на 31.12.2021, с </w:t>
      </w:r>
      <w:r w:rsidR="00155976" w:rsidRPr="00A21A6B">
        <w:rPr>
          <w:rFonts w:asciiTheme="majorHAnsi" w:hAnsiTheme="majorHAnsi" w:cstheme="majorHAnsi"/>
          <w:sz w:val="24"/>
          <w:szCs w:val="24"/>
          <w:lang w:val="ru-MD"/>
        </w:rPr>
        <w:t xml:space="preserve">представлением </w:t>
      </w:r>
      <w:r w:rsidR="00797CA1" w:rsidRPr="00A21A6B">
        <w:rPr>
          <w:rFonts w:asciiTheme="majorHAnsi" w:hAnsiTheme="majorHAnsi" w:cstheme="majorHAnsi"/>
          <w:sz w:val="24"/>
          <w:szCs w:val="24"/>
          <w:lang w:val="ru-MD"/>
        </w:rPr>
        <w:t>отчетност</w:t>
      </w:r>
      <w:r w:rsidR="00155976" w:rsidRPr="00A21A6B">
        <w:rPr>
          <w:rFonts w:asciiTheme="majorHAnsi" w:hAnsiTheme="majorHAnsi" w:cstheme="majorHAnsi"/>
          <w:sz w:val="24"/>
          <w:szCs w:val="24"/>
          <w:lang w:val="ru-MD"/>
        </w:rPr>
        <w:t>и</w:t>
      </w:r>
      <w:r w:rsidR="00797CA1" w:rsidRPr="00A21A6B">
        <w:rPr>
          <w:rFonts w:asciiTheme="majorHAnsi" w:hAnsiTheme="majorHAnsi" w:cstheme="majorHAnsi"/>
          <w:sz w:val="24"/>
          <w:szCs w:val="24"/>
          <w:lang w:val="ru-MD"/>
        </w:rPr>
        <w:t xml:space="preserve"> </w:t>
      </w:r>
      <w:r w:rsidR="00155976" w:rsidRPr="00A21A6B">
        <w:rPr>
          <w:rFonts w:asciiTheme="majorHAnsi" w:hAnsiTheme="majorHAnsi" w:cstheme="majorHAnsi"/>
          <w:sz w:val="24"/>
          <w:szCs w:val="24"/>
          <w:lang w:val="ru-MD"/>
        </w:rPr>
        <w:t>п</w:t>
      </w:r>
      <w:r w:rsidR="00797CA1" w:rsidRPr="00A21A6B">
        <w:rPr>
          <w:rFonts w:asciiTheme="majorHAnsi" w:hAnsiTheme="majorHAnsi" w:cstheme="majorHAnsi"/>
          <w:sz w:val="24"/>
          <w:szCs w:val="24"/>
          <w:lang w:val="ru-MD"/>
        </w:rPr>
        <w:t xml:space="preserve">о </w:t>
      </w:r>
      <w:r w:rsidR="00155976" w:rsidRPr="00A21A6B">
        <w:rPr>
          <w:rFonts w:asciiTheme="majorHAnsi" w:hAnsiTheme="majorHAnsi" w:cstheme="majorHAnsi"/>
          <w:sz w:val="24"/>
          <w:szCs w:val="24"/>
          <w:lang w:val="ru-MD"/>
        </w:rPr>
        <w:t>операциям</w:t>
      </w:r>
      <w:r w:rsidR="00797CA1" w:rsidRPr="00A21A6B">
        <w:rPr>
          <w:rFonts w:asciiTheme="majorHAnsi" w:hAnsiTheme="majorHAnsi" w:cstheme="majorHAnsi"/>
          <w:sz w:val="24"/>
          <w:szCs w:val="24"/>
          <w:lang w:val="ru-MD"/>
        </w:rPr>
        <w:t xml:space="preserve"> в </w:t>
      </w:r>
      <w:r w:rsidR="00155976" w:rsidRPr="00A21A6B">
        <w:rPr>
          <w:rFonts w:asciiTheme="majorHAnsi" w:hAnsiTheme="majorHAnsi" w:cstheme="majorHAnsi"/>
          <w:sz w:val="24"/>
          <w:szCs w:val="24"/>
          <w:lang w:val="ru-MD"/>
        </w:rPr>
        <w:t>ежегодн</w:t>
      </w:r>
      <w:r w:rsidR="00797CA1" w:rsidRPr="00A21A6B">
        <w:rPr>
          <w:rFonts w:asciiTheme="majorHAnsi" w:hAnsiTheme="majorHAnsi" w:cstheme="majorHAnsi"/>
          <w:sz w:val="24"/>
          <w:szCs w:val="24"/>
          <w:lang w:val="ru-MD"/>
        </w:rPr>
        <w:t>ом финансовом отчете за 2021 год. Таким образом, передача вновь созданным министерствам активов и обязательств состоялась 11.02.2022 (Министерству окружающей среды) и 25.02.2022 (Министерству сельского хозяйства</w:t>
      </w:r>
      <w:r w:rsidR="00155976"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регионального развития и окружающей среды). Консолидированные финансовые отчеты, составленные всеми структурами, участвующими в реформе, были приняты и одобрены Министерством финансов</w:t>
      </w:r>
      <w:r w:rsidRPr="00A21A6B">
        <w:rPr>
          <w:rFonts w:asciiTheme="majorHAnsi" w:hAnsiTheme="majorHAnsi" w:cstheme="majorHAnsi"/>
          <w:sz w:val="24"/>
          <w:szCs w:val="24"/>
          <w:lang w:val="ru-MD"/>
        </w:rPr>
        <w:t>.</w:t>
      </w:r>
    </w:p>
    <w:p w:rsidR="00F40961" w:rsidRPr="00A21A6B" w:rsidRDefault="00F40961" w:rsidP="00F40961">
      <w:pPr>
        <w:spacing w:after="120"/>
        <w:jc w:val="both"/>
        <w:rPr>
          <w:rFonts w:asciiTheme="majorHAnsi" w:hAnsiTheme="majorHAnsi" w:cstheme="majorHAnsi"/>
          <w:sz w:val="24"/>
          <w:szCs w:val="24"/>
          <w:lang w:val="ru-MD"/>
        </w:rPr>
      </w:pPr>
      <w:r w:rsidRPr="00A21A6B">
        <w:rPr>
          <w:rFonts w:asciiTheme="majorHAnsi" w:hAnsiTheme="majorHAnsi" w:cstheme="minorHAnsi"/>
          <w:b/>
          <w:bCs/>
          <w:sz w:val="24"/>
          <w:szCs w:val="24"/>
          <w:lang w:val="ru-MD"/>
        </w:rPr>
        <w:t>4.2</w:t>
      </w:r>
      <w:r w:rsidRPr="00A21A6B">
        <w:rPr>
          <w:rFonts w:asciiTheme="majorHAnsi" w:hAnsiTheme="majorHAnsi" w:cstheme="minorHAnsi"/>
          <w:bCs/>
          <w:sz w:val="24"/>
          <w:szCs w:val="24"/>
          <w:lang w:val="ru-MD"/>
        </w:rPr>
        <w:t xml:space="preserve"> </w:t>
      </w:r>
      <w:r w:rsidR="00797CA1" w:rsidRPr="00A21A6B">
        <w:rPr>
          <w:rFonts w:asciiTheme="majorHAnsi" w:hAnsiTheme="majorHAnsi" w:cstheme="minorHAnsi"/>
          <w:bCs/>
          <w:sz w:val="24"/>
          <w:szCs w:val="24"/>
          <w:lang w:val="ru-MD"/>
        </w:rPr>
        <w:t xml:space="preserve">В результате </w:t>
      </w:r>
      <w:r w:rsidR="00B10DE7" w:rsidRPr="00A21A6B">
        <w:rPr>
          <w:rFonts w:asciiTheme="majorHAnsi" w:hAnsiTheme="majorHAnsi" w:cstheme="minorHAnsi"/>
          <w:bCs/>
          <w:sz w:val="24"/>
          <w:szCs w:val="24"/>
          <w:lang w:val="ru-MD"/>
        </w:rPr>
        <w:t>дискуссий</w:t>
      </w:r>
      <w:r w:rsidR="00797CA1" w:rsidRPr="00A21A6B">
        <w:rPr>
          <w:rFonts w:asciiTheme="majorHAnsi" w:hAnsiTheme="majorHAnsi" w:cstheme="minorHAnsi"/>
          <w:bCs/>
          <w:sz w:val="24"/>
          <w:szCs w:val="24"/>
          <w:lang w:val="ru-MD"/>
        </w:rPr>
        <w:t xml:space="preserve"> с </w:t>
      </w:r>
      <w:r w:rsidR="00155976" w:rsidRPr="00A21A6B">
        <w:rPr>
          <w:rFonts w:asciiTheme="majorHAnsi" w:hAnsiTheme="majorHAnsi" w:cstheme="minorHAnsi"/>
          <w:bCs/>
          <w:sz w:val="24"/>
          <w:szCs w:val="24"/>
          <w:lang w:val="ru-MD"/>
        </w:rPr>
        <w:t>субъекта</w:t>
      </w:r>
      <w:r w:rsidR="00797CA1" w:rsidRPr="00A21A6B">
        <w:rPr>
          <w:rFonts w:asciiTheme="majorHAnsi" w:hAnsiTheme="majorHAnsi" w:cstheme="minorHAnsi"/>
          <w:bCs/>
          <w:sz w:val="24"/>
          <w:szCs w:val="24"/>
          <w:lang w:val="ru-MD"/>
        </w:rPr>
        <w:t xml:space="preserve">ми, </w:t>
      </w:r>
      <w:r w:rsidR="00155976" w:rsidRPr="00A21A6B">
        <w:rPr>
          <w:rFonts w:asciiTheme="majorHAnsi" w:hAnsiTheme="majorHAnsi" w:cstheme="minorHAnsi"/>
          <w:bCs/>
          <w:sz w:val="24"/>
          <w:szCs w:val="24"/>
          <w:lang w:val="ru-MD"/>
        </w:rPr>
        <w:t>допусти</w:t>
      </w:r>
      <w:r w:rsidR="00797CA1" w:rsidRPr="00A21A6B">
        <w:rPr>
          <w:rFonts w:asciiTheme="majorHAnsi" w:hAnsiTheme="majorHAnsi" w:cstheme="minorHAnsi"/>
          <w:bCs/>
          <w:sz w:val="24"/>
          <w:szCs w:val="24"/>
          <w:lang w:val="ru-MD"/>
        </w:rPr>
        <w:t xml:space="preserve">вшими ошибочную классификацию </w:t>
      </w:r>
      <w:r w:rsidR="00155976" w:rsidRPr="00A21A6B">
        <w:rPr>
          <w:rFonts w:asciiTheme="majorHAnsi" w:hAnsiTheme="majorHAnsi" w:cstheme="minorHAnsi"/>
          <w:bCs/>
          <w:sz w:val="24"/>
          <w:szCs w:val="24"/>
          <w:lang w:val="ru-MD"/>
        </w:rPr>
        <w:t>операций</w:t>
      </w:r>
      <w:r w:rsidR="00797CA1" w:rsidRPr="00A21A6B">
        <w:rPr>
          <w:rFonts w:asciiTheme="majorHAnsi" w:hAnsiTheme="majorHAnsi" w:cstheme="minorHAnsi"/>
          <w:bCs/>
          <w:sz w:val="24"/>
          <w:szCs w:val="24"/>
          <w:lang w:val="ru-MD"/>
        </w:rPr>
        <w:t xml:space="preserve">, представляющих возврат ассигнований предыдущих лет, </w:t>
      </w:r>
      <w:r w:rsidR="00155976" w:rsidRPr="00A21A6B">
        <w:rPr>
          <w:rFonts w:asciiTheme="majorHAnsi" w:hAnsiTheme="majorHAnsi" w:cstheme="minorHAnsi"/>
          <w:bCs/>
          <w:sz w:val="24"/>
          <w:szCs w:val="24"/>
          <w:lang w:val="ru-MD"/>
        </w:rPr>
        <w:t>по</w:t>
      </w:r>
      <w:r w:rsidR="00797CA1" w:rsidRPr="00A21A6B">
        <w:rPr>
          <w:rFonts w:asciiTheme="majorHAnsi" w:hAnsiTheme="majorHAnsi" w:cstheme="minorHAnsi"/>
          <w:bCs/>
          <w:sz w:val="24"/>
          <w:szCs w:val="24"/>
          <w:lang w:val="ru-MD"/>
        </w:rPr>
        <w:t xml:space="preserve"> </w:t>
      </w:r>
      <w:r w:rsidR="00155976" w:rsidRPr="00A21A6B">
        <w:rPr>
          <w:rFonts w:asciiTheme="majorHAnsi" w:hAnsiTheme="majorHAnsi" w:cstheme="minorHAnsi"/>
          <w:bCs/>
          <w:sz w:val="24"/>
          <w:szCs w:val="24"/>
          <w:lang w:val="ru-MD"/>
        </w:rPr>
        <w:t>согласованию</w:t>
      </w:r>
      <w:r w:rsidR="00797CA1" w:rsidRPr="00A21A6B">
        <w:rPr>
          <w:rFonts w:asciiTheme="majorHAnsi" w:hAnsiTheme="majorHAnsi" w:cstheme="minorHAnsi"/>
          <w:bCs/>
          <w:sz w:val="24"/>
          <w:szCs w:val="24"/>
          <w:lang w:val="ru-MD"/>
        </w:rPr>
        <w:t xml:space="preserve"> с Министерством финансов было принято решение исправить их в ранее утвержденных консолидированных финансовых отчетах.  Таким образом, </w:t>
      </w:r>
      <w:r w:rsidR="00B10DE7" w:rsidRPr="00A21A6B">
        <w:rPr>
          <w:rFonts w:asciiTheme="majorHAnsi" w:hAnsiTheme="majorHAnsi" w:cstheme="minorHAnsi"/>
          <w:bCs/>
          <w:sz w:val="24"/>
          <w:szCs w:val="24"/>
          <w:lang w:val="ru-MD"/>
        </w:rPr>
        <w:t xml:space="preserve">один </w:t>
      </w:r>
      <w:r w:rsidR="00797CA1" w:rsidRPr="00A21A6B">
        <w:rPr>
          <w:rFonts w:asciiTheme="majorHAnsi" w:hAnsiTheme="majorHAnsi" w:cstheme="minorHAnsi"/>
          <w:bCs/>
          <w:sz w:val="24"/>
          <w:szCs w:val="24"/>
          <w:lang w:val="ru-MD"/>
        </w:rPr>
        <w:t>под</w:t>
      </w:r>
      <w:r w:rsidR="00B10DE7" w:rsidRPr="00A21A6B">
        <w:rPr>
          <w:rFonts w:asciiTheme="majorHAnsi" w:hAnsiTheme="majorHAnsi" w:cstheme="minorHAnsi"/>
          <w:bCs/>
          <w:sz w:val="24"/>
          <w:szCs w:val="24"/>
          <w:lang w:val="ru-MD"/>
        </w:rPr>
        <w:t>ведомственны</w:t>
      </w:r>
      <w:r w:rsidR="00641889">
        <w:rPr>
          <w:rFonts w:asciiTheme="majorHAnsi" w:hAnsiTheme="majorHAnsi" w:cstheme="minorHAnsi"/>
          <w:bCs/>
          <w:sz w:val="24"/>
          <w:szCs w:val="24"/>
          <w:lang w:val="ru-MD"/>
        </w:rPr>
        <w:t>й</w:t>
      </w:r>
      <w:r w:rsidR="00B10DE7" w:rsidRPr="00A21A6B">
        <w:rPr>
          <w:rFonts w:asciiTheme="majorHAnsi" w:hAnsiTheme="majorHAnsi" w:cstheme="minorHAnsi"/>
          <w:bCs/>
          <w:sz w:val="24"/>
          <w:szCs w:val="24"/>
          <w:lang w:val="ru-MD"/>
        </w:rPr>
        <w:t xml:space="preserve"> субъект</w:t>
      </w:r>
      <w:r w:rsidR="00797CA1" w:rsidRPr="00A21A6B">
        <w:rPr>
          <w:rFonts w:asciiTheme="majorHAnsi" w:hAnsiTheme="majorHAnsi" w:cstheme="minorHAnsi"/>
          <w:bCs/>
          <w:sz w:val="24"/>
          <w:szCs w:val="24"/>
          <w:lang w:val="ru-MD"/>
        </w:rPr>
        <w:t xml:space="preserve"> Министерства сельского хозяйства, регионального развития и окружающей среды</w:t>
      </w:r>
      <w:r w:rsidR="00B10DE7" w:rsidRPr="00A21A6B">
        <w:rPr>
          <w:rStyle w:val="FootnoteReference"/>
          <w:rFonts w:asciiTheme="majorHAnsi" w:hAnsiTheme="majorHAnsi" w:cstheme="majorHAnsi"/>
          <w:sz w:val="24"/>
          <w:szCs w:val="24"/>
          <w:lang w:val="ru-MD"/>
        </w:rPr>
        <w:footnoteReference w:id="15"/>
      </w:r>
      <w:r w:rsidR="00797CA1" w:rsidRPr="00A21A6B">
        <w:rPr>
          <w:rFonts w:asciiTheme="majorHAnsi" w:hAnsiTheme="majorHAnsi" w:cstheme="minorHAnsi"/>
          <w:bCs/>
          <w:sz w:val="24"/>
          <w:szCs w:val="24"/>
          <w:lang w:val="ru-MD"/>
        </w:rPr>
        <w:t>, а также субъект, подчиненный Министерству сельского хозяйства и пищевой промышленности</w:t>
      </w:r>
      <w:r w:rsidR="00B10DE7" w:rsidRPr="00A21A6B">
        <w:rPr>
          <w:rStyle w:val="FootnoteReference"/>
          <w:rFonts w:asciiTheme="majorHAnsi" w:hAnsiTheme="majorHAnsi" w:cstheme="majorHAnsi"/>
          <w:sz w:val="24"/>
          <w:szCs w:val="24"/>
          <w:lang w:val="ru-MD"/>
        </w:rPr>
        <w:footnoteReference w:id="16"/>
      </w:r>
      <w:r w:rsidR="00797CA1" w:rsidRPr="00A21A6B">
        <w:rPr>
          <w:rFonts w:asciiTheme="majorHAnsi" w:hAnsiTheme="majorHAnsi" w:cstheme="minorHAnsi"/>
          <w:bCs/>
          <w:sz w:val="24"/>
          <w:szCs w:val="24"/>
          <w:lang w:val="ru-MD"/>
        </w:rPr>
        <w:t>, исправили ошибки</w:t>
      </w:r>
      <w:r w:rsidR="00B10DE7" w:rsidRPr="00A21A6B">
        <w:rPr>
          <w:rFonts w:asciiTheme="majorHAnsi" w:hAnsiTheme="majorHAnsi" w:cstheme="minorHAnsi"/>
          <w:bCs/>
          <w:sz w:val="24"/>
          <w:szCs w:val="24"/>
          <w:lang w:val="ru-MD"/>
        </w:rPr>
        <w:t xml:space="preserve"> путем</w:t>
      </w:r>
      <w:r w:rsidR="00797CA1" w:rsidRPr="00A21A6B">
        <w:rPr>
          <w:rFonts w:asciiTheme="majorHAnsi" w:hAnsiTheme="majorHAnsi" w:cstheme="minorHAnsi"/>
          <w:bCs/>
          <w:sz w:val="24"/>
          <w:szCs w:val="24"/>
          <w:lang w:val="ru-MD"/>
        </w:rPr>
        <w:t xml:space="preserve"> состав</w:t>
      </w:r>
      <w:r w:rsidR="00B10DE7" w:rsidRPr="00A21A6B">
        <w:rPr>
          <w:rFonts w:asciiTheme="majorHAnsi" w:hAnsiTheme="majorHAnsi" w:cstheme="minorHAnsi"/>
          <w:bCs/>
          <w:sz w:val="24"/>
          <w:szCs w:val="24"/>
          <w:lang w:val="ru-MD"/>
        </w:rPr>
        <w:t>ления</w:t>
      </w:r>
      <w:r w:rsidR="00797CA1" w:rsidRPr="00A21A6B">
        <w:rPr>
          <w:rFonts w:asciiTheme="majorHAnsi" w:hAnsiTheme="majorHAnsi" w:cstheme="minorHAnsi"/>
          <w:bCs/>
          <w:sz w:val="24"/>
          <w:szCs w:val="24"/>
          <w:lang w:val="ru-MD"/>
        </w:rPr>
        <w:t xml:space="preserve"> </w:t>
      </w:r>
      <w:r w:rsidR="00B10DE7" w:rsidRPr="00A21A6B">
        <w:rPr>
          <w:rFonts w:asciiTheme="majorHAnsi" w:hAnsiTheme="majorHAnsi" w:cstheme="minorHAnsi"/>
          <w:bCs/>
          <w:sz w:val="24"/>
          <w:szCs w:val="24"/>
          <w:lang w:val="ru-MD"/>
        </w:rPr>
        <w:t>ордера на перечисление</w:t>
      </w:r>
      <w:r w:rsidR="00797CA1" w:rsidRPr="00A21A6B">
        <w:rPr>
          <w:rFonts w:asciiTheme="majorHAnsi" w:hAnsiTheme="majorHAnsi" w:cstheme="minorHAnsi"/>
          <w:bCs/>
          <w:sz w:val="24"/>
          <w:szCs w:val="24"/>
          <w:lang w:val="ru-MD"/>
        </w:rPr>
        <w:t xml:space="preserve">, </w:t>
      </w:r>
      <w:r w:rsidR="00B10DE7" w:rsidRPr="00A21A6B">
        <w:rPr>
          <w:rFonts w:asciiTheme="majorHAnsi" w:hAnsiTheme="majorHAnsi" w:cstheme="minorHAnsi"/>
          <w:bCs/>
          <w:sz w:val="24"/>
          <w:szCs w:val="24"/>
          <w:lang w:val="ru-MD"/>
        </w:rPr>
        <w:t>что</w:t>
      </w:r>
      <w:r w:rsidR="00797CA1" w:rsidRPr="00A21A6B">
        <w:rPr>
          <w:rFonts w:asciiTheme="majorHAnsi" w:hAnsiTheme="majorHAnsi" w:cstheme="minorHAnsi"/>
          <w:bCs/>
          <w:sz w:val="24"/>
          <w:szCs w:val="24"/>
          <w:lang w:val="ru-MD"/>
        </w:rPr>
        <w:t xml:space="preserve"> </w:t>
      </w:r>
      <w:r w:rsidR="00B10DE7" w:rsidRPr="00A21A6B">
        <w:rPr>
          <w:rFonts w:asciiTheme="majorHAnsi" w:hAnsiTheme="majorHAnsi" w:cstheme="minorHAnsi"/>
          <w:bCs/>
          <w:sz w:val="24"/>
          <w:szCs w:val="24"/>
          <w:lang w:val="ru-MD"/>
        </w:rPr>
        <w:t>по</w:t>
      </w:r>
      <w:r w:rsidR="00797CA1" w:rsidRPr="00A21A6B">
        <w:rPr>
          <w:rFonts w:asciiTheme="majorHAnsi" w:hAnsiTheme="majorHAnsi" w:cstheme="minorHAnsi"/>
          <w:bCs/>
          <w:sz w:val="24"/>
          <w:szCs w:val="24"/>
          <w:lang w:val="ru-MD"/>
        </w:rPr>
        <w:t>способств</w:t>
      </w:r>
      <w:r w:rsidR="00B10DE7" w:rsidRPr="00A21A6B">
        <w:rPr>
          <w:rFonts w:asciiTheme="majorHAnsi" w:hAnsiTheme="majorHAnsi" w:cstheme="minorHAnsi"/>
          <w:bCs/>
          <w:sz w:val="24"/>
          <w:szCs w:val="24"/>
          <w:lang w:val="ru-MD"/>
        </w:rPr>
        <w:t>овало</w:t>
      </w:r>
      <w:r w:rsidR="00797CA1" w:rsidRPr="00A21A6B">
        <w:rPr>
          <w:rFonts w:asciiTheme="majorHAnsi" w:hAnsiTheme="majorHAnsi" w:cstheme="minorHAnsi"/>
          <w:bCs/>
          <w:sz w:val="24"/>
          <w:szCs w:val="24"/>
          <w:lang w:val="ru-MD"/>
        </w:rPr>
        <w:t xml:space="preserve"> повышению качества годовых финансовых отчетов. Сумма проведенных исправлений составляет в общей сложности 0,5 млн.</w:t>
      </w:r>
      <w:r w:rsidR="00B10DE7" w:rsidRPr="00A21A6B">
        <w:rPr>
          <w:rFonts w:asciiTheme="majorHAnsi" w:hAnsiTheme="majorHAnsi" w:cstheme="minorHAnsi"/>
          <w:bCs/>
          <w:sz w:val="24"/>
          <w:szCs w:val="24"/>
          <w:lang w:val="ru-MD"/>
        </w:rPr>
        <w:t xml:space="preserve"> </w:t>
      </w:r>
      <w:r w:rsidR="00797CA1" w:rsidRPr="00A21A6B">
        <w:rPr>
          <w:rFonts w:asciiTheme="majorHAnsi" w:hAnsiTheme="majorHAnsi" w:cstheme="minorHAnsi"/>
          <w:bCs/>
          <w:sz w:val="24"/>
          <w:szCs w:val="24"/>
          <w:lang w:val="ru-MD"/>
        </w:rPr>
        <w:t>ле</w:t>
      </w:r>
      <w:r w:rsidR="00B10DE7" w:rsidRPr="00A21A6B">
        <w:rPr>
          <w:rFonts w:asciiTheme="majorHAnsi" w:hAnsiTheme="majorHAnsi" w:cstheme="minorHAnsi"/>
          <w:bCs/>
          <w:sz w:val="24"/>
          <w:szCs w:val="24"/>
          <w:lang w:val="ru-MD"/>
        </w:rPr>
        <w:t>ев</w:t>
      </w:r>
      <w:r w:rsidRPr="00A21A6B">
        <w:rPr>
          <w:rFonts w:asciiTheme="majorHAnsi" w:hAnsiTheme="majorHAnsi" w:cstheme="majorHAnsi"/>
          <w:sz w:val="24"/>
          <w:szCs w:val="24"/>
          <w:lang w:val="ru-MD"/>
        </w:rPr>
        <w:t>.</w:t>
      </w:r>
    </w:p>
    <w:p w:rsidR="00F40961" w:rsidRPr="00A21A6B" w:rsidRDefault="00F40961" w:rsidP="00F40961">
      <w:pPr>
        <w:spacing w:after="120"/>
        <w:jc w:val="both"/>
        <w:rPr>
          <w:rFonts w:asciiTheme="majorHAnsi" w:hAnsiTheme="majorHAnsi" w:cstheme="majorHAnsi"/>
          <w:sz w:val="24"/>
          <w:szCs w:val="24"/>
          <w:lang w:val="ru-MD"/>
        </w:rPr>
      </w:pPr>
      <w:r w:rsidRPr="00A21A6B">
        <w:rPr>
          <w:rFonts w:asciiTheme="majorHAnsi" w:hAnsiTheme="majorHAnsi" w:cstheme="minorHAnsi"/>
          <w:b/>
          <w:bCs/>
          <w:sz w:val="24"/>
          <w:szCs w:val="24"/>
          <w:lang w:val="ru-MD"/>
        </w:rPr>
        <w:t>4.3</w:t>
      </w:r>
      <w:r w:rsidRPr="00A21A6B">
        <w:rPr>
          <w:rFonts w:asciiTheme="majorHAnsi" w:hAnsiTheme="majorHAnsi" w:cstheme="minorHAnsi"/>
          <w:bCs/>
          <w:sz w:val="24"/>
          <w:szCs w:val="24"/>
          <w:lang w:val="ru-MD"/>
        </w:rPr>
        <w:t xml:space="preserve"> </w:t>
      </w:r>
      <w:r w:rsidR="00797CA1" w:rsidRPr="00A21A6B">
        <w:rPr>
          <w:rFonts w:asciiTheme="majorHAnsi" w:hAnsiTheme="majorHAnsi" w:cstheme="minorHAnsi"/>
          <w:bCs/>
          <w:sz w:val="24"/>
          <w:szCs w:val="24"/>
          <w:lang w:val="ru-MD"/>
        </w:rPr>
        <w:t xml:space="preserve">В результате </w:t>
      </w:r>
      <w:r w:rsidR="00B10DE7" w:rsidRPr="00A21A6B">
        <w:rPr>
          <w:rFonts w:asciiTheme="majorHAnsi" w:hAnsiTheme="majorHAnsi" w:cstheme="minorHAnsi"/>
          <w:bCs/>
          <w:sz w:val="24"/>
          <w:szCs w:val="24"/>
          <w:lang w:val="ru-MD"/>
        </w:rPr>
        <w:t>дискуссий</w:t>
      </w:r>
      <w:r w:rsidR="00797CA1" w:rsidRPr="00A21A6B">
        <w:rPr>
          <w:rFonts w:asciiTheme="majorHAnsi" w:hAnsiTheme="majorHAnsi" w:cstheme="minorHAnsi"/>
          <w:bCs/>
          <w:sz w:val="24"/>
          <w:szCs w:val="24"/>
          <w:lang w:val="ru-MD"/>
        </w:rPr>
        <w:t xml:space="preserve"> с Министерством финансов</w:t>
      </w:r>
      <w:r w:rsidR="001F3E42" w:rsidRPr="00A21A6B">
        <w:rPr>
          <w:rFonts w:asciiTheme="majorHAnsi" w:hAnsiTheme="majorHAnsi" w:cstheme="minorHAnsi"/>
          <w:bCs/>
          <w:sz w:val="24"/>
          <w:szCs w:val="24"/>
          <w:lang w:val="ru-MD"/>
        </w:rPr>
        <w:t>,</w:t>
      </w:r>
      <w:r w:rsidR="00797CA1" w:rsidRPr="00A21A6B">
        <w:rPr>
          <w:rFonts w:asciiTheme="majorHAnsi" w:hAnsiTheme="majorHAnsi" w:cstheme="minorHAnsi"/>
          <w:bCs/>
          <w:sz w:val="24"/>
          <w:szCs w:val="24"/>
          <w:lang w:val="ru-MD"/>
        </w:rPr>
        <w:t xml:space="preserve"> было принято решение об устранении недостатков, </w:t>
      </w:r>
      <w:r w:rsidR="001F3E42" w:rsidRPr="00A21A6B">
        <w:rPr>
          <w:rFonts w:asciiTheme="majorHAnsi" w:hAnsiTheme="majorHAnsi" w:cstheme="minorHAnsi"/>
          <w:bCs/>
          <w:sz w:val="24"/>
          <w:szCs w:val="24"/>
          <w:lang w:val="ru-MD"/>
        </w:rPr>
        <w:t>касающихся</w:t>
      </w:r>
      <w:r w:rsidR="00797CA1" w:rsidRPr="00A21A6B">
        <w:rPr>
          <w:rFonts w:asciiTheme="majorHAnsi" w:hAnsiTheme="majorHAnsi" w:cstheme="minorHAnsi"/>
          <w:bCs/>
          <w:sz w:val="24"/>
          <w:szCs w:val="24"/>
          <w:lang w:val="ru-MD"/>
        </w:rPr>
        <w:t xml:space="preserve"> ошибочной классификацией </w:t>
      </w:r>
      <w:r w:rsidR="001F3E42" w:rsidRPr="00A21A6B">
        <w:rPr>
          <w:rFonts w:asciiTheme="majorHAnsi" w:hAnsiTheme="majorHAnsi" w:cstheme="minorHAnsi"/>
          <w:bCs/>
          <w:sz w:val="24"/>
          <w:szCs w:val="24"/>
          <w:lang w:val="ru-MD"/>
        </w:rPr>
        <w:t>А</w:t>
      </w:r>
      <w:r w:rsidR="00797CA1" w:rsidRPr="00A21A6B">
        <w:rPr>
          <w:rFonts w:asciiTheme="majorHAnsi" w:hAnsiTheme="majorHAnsi" w:cstheme="minorHAnsi"/>
          <w:bCs/>
          <w:sz w:val="24"/>
          <w:szCs w:val="24"/>
          <w:lang w:val="ru-MD"/>
        </w:rPr>
        <w:t xml:space="preserve">гентством </w:t>
      </w:r>
      <w:r w:rsidR="001F3E42" w:rsidRPr="00A21A6B">
        <w:rPr>
          <w:rFonts w:asciiTheme="majorHAnsi" w:hAnsiTheme="majorHAnsi" w:cstheme="majorHAnsi"/>
          <w:sz w:val="24"/>
          <w:szCs w:val="24"/>
          <w:lang w:val="ru-MD"/>
        </w:rPr>
        <w:t>„Moldsilva”</w:t>
      </w:r>
      <w:r w:rsidR="001F3E42" w:rsidRPr="00A21A6B">
        <w:rPr>
          <w:rFonts w:asciiTheme="majorHAnsi" w:hAnsiTheme="majorHAnsi" w:cstheme="minorHAnsi"/>
          <w:bCs/>
          <w:sz w:val="24"/>
          <w:szCs w:val="24"/>
          <w:lang w:val="ru-MD"/>
        </w:rPr>
        <w:t xml:space="preserve"> операций</w:t>
      </w:r>
      <w:r w:rsidR="00797CA1" w:rsidRPr="00A21A6B">
        <w:rPr>
          <w:rFonts w:asciiTheme="majorHAnsi" w:hAnsiTheme="majorHAnsi" w:cstheme="minorHAnsi"/>
          <w:bCs/>
          <w:sz w:val="24"/>
          <w:szCs w:val="24"/>
          <w:lang w:val="ru-MD"/>
        </w:rPr>
        <w:t>, связанных с об</w:t>
      </w:r>
      <w:r w:rsidR="001F3E42" w:rsidRPr="00A21A6B">
        <w:rPr>
          <w:rFonts w:asciiTheme="majorHAnsi" w:hAnsiTheme="majorHAnsi" w:cstheme="minorHAnsi"/>
          <w:bCs/>
          <w:sz w:val="24"/>
          <w:szCs w:val="24"/>
          <w:lang w:val="ru-MD"/>
        </w:rPr>
        <w:t>язательства</w:t>
      </w:r>
      <w:r w:rsidR="00797CA1" w:rsidRPr="00A21A6B">
        <w:rPr>
          <w:rFonts w:asciiTheme="majorHAnsi" w:hAnsiTheme="majorHAnsi" w:cstheme="minorHAnsi"/>
          <w:bCs/>
          <w:sz w:val="24"/>
          <w:szCs w:val="24"/>
          <w:lang w:val="ru-MD"/>
        </w:rPr>
        <w:t xml:space="preserve">ми арендаторов земель лесного фонда </w:t>
      </w:r>
      <w:r w:rsidR="001F3E42" w:rsidRPr="00A21A6B">
        <w:rPr>
          <w:rFonts w:asciiTheme="majorHAnsi" w:hAnsiTheme="majorHAnsi" w:cstheme="minorHAnsi"/>
          <w:bCs/>
          <w:sz w:val="24"/>
          <w:szCs w:val="24"/>
          <w:lang w:val="ru-MD"/>
        </w:rPr>
        <w:t>перед</w:t>
      </w:r>
      <w:r w:rsidR="00797CA1" w:rsidRPr="00A21A6B">
        <w:rPr>
          <w:rFonts w:asciiTheme="majorHAnsi" w:hAnsiTheme="majorHAnsi" w:cstheme="minorHAnsi"/>
          <w:bCs/>
          <w:sz w:val="24"/>
          <w:szCs w:val="24"/>
          <w:lang w:val="ru-MD"/>
        </w:rPr>
        <w:t xml:space="preserve"> государственн</w:t>
      </w:r>
      <w:r w:rsidR="001F3E42" w:rsidRPr="00A21A6B">
        <w:rPr>
          <w:rFonts w:asciiTheme="majorHAnsi" w:hAnsiTheme="majorHAnsi" w:cstheme="minorHAnsi"/>
          <w:bCs/>
          <w:sz w:val="24"/>
          <w:szCs w:val="24"/>
          <w:lang w:val="ru-MD"/>
        </w:rPr>
        <w:t>ым</w:t>
      </w:r>
      <w:r w:rsidR="00797CA1" w:rsidRPr="00A21A6B">
        <w:rPr>
          <w:rFonts w:asciiTheme="majorHAnsi" w:hAnsiTheme="majorHAnsi" w:cstheme="minorHAnsi"/>
          <w:bCs/>
          <w:sz w:val="24"/>
          <w:szCs w:val="24"/>
          <w:lang w:val="ru-MD"/>
        </w:rPr>
        <w:t xml:space="preserve"> бюджет</w:t>
      </w:r>
      <w:r w:rsidR="001F3E42" w:rsidRPr="00A21A6B">
        <w:rPr>
          <w:rFonts w:asciiTheme="majorHAnsi" w:hAnsiTheme="majorHAnsi" w:cstheme="minorHAnsi"/>
          <w:bCs/>
          <w:sz w:val="24"/>
          <w:szCs w:val="24"/>
          <w:lang w:val="ru-MD"/>
        </w:rPr>
        <w:t>ом</w:t>
      </w:r>
      <w:r w:rsidR="00797CA1" w:rsidRPr="00A21A6B">
        <w:rPr>
          <w:rFonts w:asciiTheme="majorHAnsi" w:hAnsiTheme="majorHAnsi" w:cstheme="minorHAnsi"/>
          <w:bCs/>
          <w:sz w:val="24"/>
          <w:szCs w:val="24"/>
          <w:lang w:val="ru-MD"/>
        </w:rPr>
        <w:t>, которые представляют собой общие доходы государственного бюджета и</w:t>
      </w:r>
      <w:r w:rsidR="001F3E42" w:rsidRPr="00A21A6B">
        <w:rPr>
          <w:rFonts w:asciiTheme="majorHAnsi" w:hAnsiTheme="majorHAnsi" w:cstheme="minorHAnsi"/>
          <w:bCs/>
          <w:sz w:val="24"/>
          <w:szCs w:val="24"/>
          <w:lang w:val="ru-MD"/>
        </w:rPr>
        <w:t>, согласно нормам,</w:t>
      </w:r>
      <w:r w:rsidR="00797CA1" w:rsidRPr="00A21A6B">
        <w:rPr>
          <w:rFonts w:asciiTheme="majorHAnsi" w:hAnsiTheme="majorHAnsi" w:cstheme="minorHAnsi"/>
          <w:bCs/>
          <w:sz w:val="24"/>
          <w:szCs w:val="24"/>
          <w:lang w:val="ru-MD"/>
        </w:rPr>
        <w:t xml:space="preserve"> должны быть </w:t>
      </w:r>
      <w:r w:rsidR="001F3E42" w:rsidRPr="00A21A6B">
        <w:rPr>
          <w:rFonts w:asciiTheme="majorHAnsi" w:hAnsiTheme="majorHAnsi" w:cstheme="minorHAnsi"/>
          <w:bCs/>
          <w:sz w:val="24"/>
          <w:szCs w:val="24"/>
          <w:lang w:val="ru-MD"/>
        </w:rPr>
        <w:t>отраж</w:t>
      </w:r>
      <w:r w:rsidR="00797CA1" w:rsidRPr="00A21A6B">
        <w:rPr>
          <w:rFonts w:asciiTheme="majorHAnsi" w:hAnsiTheme="majorHAnsi" w:cstheme="minorHAnsi"/>
          <w:bCs/>
          <w:sz w:val="24"/>
          <w:szCs w:val="24"/>
          <w:lang w:val="ru-MD"/>
        </w:rPr>
        <w:t xml:space="preserve">ены на </w:t>
      </w:r>
      <w:r w:rsidR="001F3E42" w:rsidRPr="00A21A6B">
        <w:rPr>
          <w:rFonts w:asciiTheme="majorHAnsi" w:hAnsiTheme="majorHAnsi" w:cstheme="minorHAnsi"/>
          <w:bCs/>
          <w:sz w:val="24"/>
          <w:szCs w:val="24"/>
          <w:lang w:val="ru-MD"/>
        </w:rPr>
        <w:t>внебалансовом</w:t>
      </w:r>
      <w:r w:rsidR="00797CA1" w:rsidRPr="00A21A6B">
        <w:rPr>
          <w:rFonts w:asciiTheme="majorHAnsi" w:hAnsiTheme="majorHAnsi" w:cstheme="minorHAnsi"/>
          <w:bCs/>
          <w:sz w:val="24"/>
          <w:szCs w:val="24"/>
          <w:lang w:val="ru-MD"/>
        </w:rPr>
        <w:t xml:space="preserve"> счет</w:t>
      </w:r>
      <w:r w:rsidR="001F3E42" w:rsidRPr="00A21A6B">
        <w:rPr>
          <w:rFonts w:asciiTheme="majorHAnsi" w:hAnsiTheme="majorHAnsi" w:cstheme="minorHAnsi"/>
          <w:bCs/>
          <w:sz w:val="24"/>
          <w:szCs w:val="24"/>
          <w:lang w:val="ru-MD"/>
        </w:rPr>
        <w:t>е</w:t>
      </w:r>
      <w:r w:rsidR="00797CA1" w:rsidRPr="00A21A6B">
        <w:rPr>
          <w:rFonts w:asciiTheme="majorHAnsi" w:hAnsiTheme="majorHAnsi" w:cstheme="minorHAnsi"/>
          <w:bCs/>
          <w:sz w:val="24"/>
          <w:szCs w:val="24"/>
          <w:lang w:val="ru-MD"/>
        </w:rPr>
        <w:t xml:space="preserve"> 811</w:t>
      </w:r>
      <w:r w:rsidR="001F3E42" w:rsidRPr="00A21A6B">
        <w:rPr>
          <w:rFonts w:asciiTheme="majorHAnsi" w:hAnsiTheme="majorHAnsi" w:cstheme="minorHAnsi"/>
          <w:bCs/>
          <w:sz w:val="24"/>
          <w:szCs w:val="24"/>
          <w:lang w:val="ru-MD"/>
        </w:rPr>
        <w:t> </w:t>
      </w:r>
      <w:r w:rsidR="00797CA1" w:rsidRPr="00A21A6B">
        <w:rPr>
          <w:rFonts w:asciiTheme="majorHAnsi" w:hAnsiTheme="majorHAnsi" w:cstheme="minorHAnsi"/>
          <w:bCs/>
          <w:sz w:val="24"/>
          <w:szCs w:val="24"/>
          <w:lang w:val="ru-MD"/>
        </w:rPr>
        <w:t>420</w:t>
      </w:r>
      <w:r w:rsidR="001F3E42" w:rsidRPr="00A21A6B">
        <w:rPr>
          <w:rFonts w:asciiTheme="majorHAnsi" w:hAnsiTheme="majorHAnsi" w:cstheme="minorHAnsi"/>
          <w:bCs/>
          <w:sz w:val="24"/>
          <w:szCs w:val="24"/>
          <w:lang w:val="ru-MD"/>
        </w:rPr>
        <w:t xml:space="preserve"> </w:t>
      </w:r>
      <w:r w:rsidR="001F3E42" w:rsidRPr="00A21A6B">
        <w:rPr>
          <w:rFonts w:asciiTheme="majorHAnsi" w:hAnsiTheme="majorHAnsi" w:cstheme="majorHAnsi"/>
          <w:sz w:val="24"/>
          <w:szCs w:val="24"/>
          <w:lang w:val="ru-MD"/>
        </w:rPr>
        <w:t>„Д</w:t>
      </w:r>
      <w:r w:rsidR="00797CA1" w:rsidRPr="00A21A6B">
        <w:rPr>
          <w:rFonts w:asciiTheme="majorHAnsi" w:hAnsiTheme="majorHAnsi" w:cstheme="minorHAnsi"/>
          <w:bCs/>
          <w:sz w:val="24"/>
          <w:szCs w:val="24"/>
          <w:lang w:val="ru-MD"/>
        </w:rPr>
        <w:t>ебиторская задолженность налогоплательщиков</w:t>
      </w:r>
      <w:r w:rsidR="001F3E42" w:rsidRPr="00A21A6B">
        <w:rPr>
          <w:rFonts w:asciiTheme="majorHAnsi" w:hAnsiTheme="majorHAnsi" w:cstheme="majorHAnsi"/>
          <w:sz w:val="24"/>
          <w:szCs w:val="24"/>
          <w:lang w:val="ru-MD"/>
        </w:rPr>
        <w:t>”</w:t>
      </w:r>
      <w:r w:rsidR="00797CA1" w:rsidRPr="00A21A6B">
        <w:rPr>
          <w:rFonts w:asciiTheme="majorHAnsi" w:hAnsiTheme="majorHAnsi" w:cstheme="minorHAnsi"/>
          <w:bCs/>
          <w:sz w:val="24"/>
          <w:szCs w:val="24"/>
          <w:lang w:val="ru-MD"/>
        </w:rPr>
        <w:t>. Таким образом, был</w:t>
      </w:r>
      <w:r w:rsidR="001F3E42" w:rsidRPr="00A21A6B">
        <w:rPr>
          <w:rFonts w:asciiTheme="majorHAnsi" w:hAnsiTheme="majorHAnsi" w:cstheme="minorHAnsi"/>
          <w:bCs/>
          <w:sz w:val="24"/>
          <w:szCs w:val="24"/>
          <w:lang w:val="ru-MD"/>
        </w:rPr>
        <w:t>а</w:t>
      </w:r>
      <w:r w:rsidR="00797CA1" w:rsidRPr="00A21A6B">
        <w:rPr>
          <w:rFonts w:asciiTheme="majorHAnsi" w:hAnsiTheme="majorHAnsi" w:cstheme="minorHAnsi"/>
          <w:bCs/>
          <w:sz w:val="24"/>
          <w:szCs w:val="24"/>
          <w:lang w:val="ru-MD"/>
        </w:rPr>
        <w:t xml:space="preserve"> исправлен</w:t>
      </w:r>
      <w:r w:rsidR="001F3E42" w:rsidRPr="00A21A6B">
        <w:rPr>
          <w:rFonts w:asciiTheme="majorHAnsi" w:hAnsiTheme="majorHAnsi" w:cstheme="minorHAnsi"/>
          <w:bCs/>
          <w:sz w:val="24"/>
          <w:szCs w:val="24"/>
          <w:lang w:val="ru-MD"/>
        </w:rPr>
        <w:t>а путем</w:t>
      </w:r>
      <w:r w:rsidR="00797CA1" w:rsidRPr="00A21A6B">
        <w:rPr>
          <w:rFonts w:asciiTheme="majorHAnsi" w:hAnsiTheme="majorHAnsi" w:cstheme="minorHAnsi"/>
          <w:bCs/>
          <w:sz w:val="24"/>
          <w:szCs w:val="24"/>
          <w:lang w:val="ru-MD"/>
        </w:rPr>
        <w:t xml:space="preserve"> уменьшени</w:t>
      </w:r>
      <w:r w:rsidR="001F3E42" w:rsidRPr="00A21A6B">
        <w:rPr>
          <w:rFonts w:asciiTheme="majorHAnsi" w:hAnsiTheme="majorHAnsi" w:cstheme="minorHAnsi"/>
          <w:bCs/>
          <w:sz w:val="24"/>
          <w:szCs w:val="24"/>
          <w:lang w:val="ru-MD"/>
        </w:rPr>
        <w:t>я</w:t>
      </w:r>
      <w:r w:rsidR="00797CA1" w:rsidRPr="00A21A6B">
        <w:rPr>
          <w:rFonts w:asciiTheme="majorHAnsi" w:hAnsiTheme="majorHAnsi" w:cstheme="minorHAnsi"/>
          <w:bCs/>
          <w:sz w:val="24"/>
          <w:szCs w:val="24"/>
          <w:lang w:val="ru-MD"/>
        </w:rPr>
        <w:t xml:space="preserve"> на 2,4 млн. ле</w:t>
      </w:r>
      <w:r w:rsidR="001F3E42" w:rsidRPr="00A21A6B">
        <w:rPr>
          <w:rFonts w:asciiTheme="majorHAnsi" w:hAnsiTheme="majorHAnsi" w:cstheme="minorHAnsi"/>
          <w:bCs/>
          <w:sz w:val="24"/>
          <w:szCs w:val="24"/>
          <w:lang w:val="ru-MD"/>
        </w:rPr>
        <w:t>ев</w:t>
      </w:r>
      <w:r w:rsidR="00797CA1" w:rsidRPr="00A21A6B">
        <w:rPr>
          <w:rFonts w:asciiTheme="majorHAnsi" w:hAnsiTheme="majorHAnsi" w:cstheme="minorHAnsi"/>
          <w:bCs/>
          <w:sz w:val="24"/>
          <w:szCs w:val="24"/>
          <w:lang w:val="ru-MD"/>
        </w:rPr>
        <w:t xml:space="preserve"> сумма </w:t>
      </w:r>
      <w:r w:rsidR="001F3E42" w:rsidRPr="00A21A6B">
        <w:rPr>
          <w:rFonts w:asciiTheme="majorHAnsi" w:hAnsiTheme="majorHAnsi" w:cstheme="minorHAnsi"/>
          <w:bCs/>
          <w:sz w:val="24"/>
          <w:szCs w:val="24"/>
          <w:lang w:val="ru-MD"/>
        </w:rPr>
        <w:t xml:space="preserve">начисленных </w:t>
      </w:r>
      <w:r w:rsidR="00797CA1" w:rsidRPr="00A21A6B">
        <w:rPr>
          <w:rFonts w:asciiTheme="majorHAnsi" w:hAnsiTheme="majorHAnsi" w:cstheme="minorHAnsi"/>
          <w:bCs/>
          <w:sz w:val="24"/>
          <w:szCs w:val="24"/>
          <w:lang w:val="ru-MD"/>
        </w:rPr>
        <w:t>доход</w:t>
      </w:r>
      <w:r w:rsidR="001F3E42" w:rsidRPr="00A21A6B">
        <w:rPr>
          <w:rFonts w:asciiTheme="majorHAnsi" w:hAnsiTheme="majorHAnsi" w:cstheme="minorHAnsi"/>
          <w:bCs/>
          <w:sz w:val="24"/>
          <w:szCs w:val="24"/>
          <w:lang w:val="ru-MD"/>
        </w:rPr>
        <w:t>ов,</w:t>
      </w:r>
      <w:r w:rsidR="00797CA1" w:rsidRPr="00A21A6B">
        <w:rPr>
          <w:rFonts w:asciiTheme="majorHAnsi" w:hAnsiTheme="majorHAnsi" w:cstheme="minorHAnsi"/>
          <w:bCs/>
          <w:sz w:val="24"/>
          <w:szCs w:val="24"/>
          <w:lang w:val="ru-MD"/>
        </w:rPr>
        <w:t xml:space="preserve"> и на 8,6 млн.</w:t>
      </w:r>
      <w:r w:rsidR="001F3E42" w:rsidRPr="00A21A6B">
        <w:rPr>
          <w:rFonts w:asciiTheme="majorHAnsi" w:hAnsiTheme="majorHAnsi" w:cstheme="minorHAnsi"/>
          <w:bCs/>
          <w:sz w:val="24"/>
          <w:szCs w:val="24"/>
          <w:lang w:val="ru-MD"/>
        </w:rPr>
        <w:t xml:space="preserve"> леев –</w:t>
      </w:r>
      <w:r w:rsidR="00797CA1" w:rsidRPr="00A21A6B">
        <w:rPr>
          <w:rFonts w:asciiTheme="majorHAnsi" w:hAnsiTheme="majorHAnsi" w:cstheme="minorHAnsi"/>
          <w:bCs/>
          <w:sz w:val="24"/>
          <w:szCs w:val="24"/>
          <w:lang w:val="ru-MD"/>
        </w:rPr>
        <w:t xml:space="preserve"> </w:t>
      </w:r>
      <w:r w:rsidR="001F3E42" w:rsidRPr="00A21A6B">
        <w:rPr>
          <w:rFonts w:asciiTheme="majorHAnsi" w:hAnsiTheme="majorHAnsi" w:cstheme="minorHAnsi"/>
          <w:bCs/>
          <w:sz w:val="24"/>
          <w:szCs w:val="24"/>
          <w:lang w:val="ru-MD"/>
        </w:rPr>
        <w:t>обязательства по</w:t>
      </w:r>
      <w:r w:rsidR="00797CA1" w:rsidRPr="00A21A6B">
        <w:rPr>
          <w:rFonts w:asciiTheme="majorHAnsi" w:hAnsiTheme="majorHAnsi" w:cstheme="minorHAnsi"/>
          <w:bCs/>
          <w:sz w:val="24"/>
          <w:szCs w:val="24"/>
          <w:lang w:val="ru-MD"/>
        </w:rPr>
        <w:t xml:space="preserve"> аренд</w:t>
      </w:r>
      <w:r w:rsidR="001F3E42" w:rsidRPr="00A21A6B">
        <w:rPr>
          <w:rFonts w:asciiTheme="majorHAnsi" w:hAnsiTheme="majorHAnsi" w:cstheme="minorHAnsi"/>
          <w:bCs/>
          <w:sz w:val="24"/>
          <w:szCs w:val="24"/>
          <w:lang w:val="ru-MD"/>
        </w:rPr>
        <w:t>е</w:t>
      </w:r>
      <w:r w:rsidR="00797CA1" w:rsidRPr="00A21A6B">
        <w:rPr>
          <w:rFonts w:asciiTheme="majorHAnsi" w:hAnsiTheme="majorHAnsi" w:cstheme="minorHAnsi"/>
          <w:bCs/>
          <w:sz w:val="24"/>
          <w:szCs w:val="24"/>
          <w:lang w:val="ru-MD"/>
        </w:rPr>
        <w:t xml:space="preserve"> лесного фонда, а также увеличени</w:t>
      </w:r>
      <w:r w:rsidR="001F3E42" w:rsidRPr="00A21A6B">
        <w:rPr>
          <w:rFonts w:asciiTheme="majorHAnsi" w:hAnsiTheme="majorHAnsi" w:cstheme="minorHAnsi"/>
          <w:bCs/>
          <w:sz w:val="24"/>
          <w:szCs w:val="24"/>
          <w:lang w:val="ru-MD"/>
        </w:rPr>
        <w:t>я</w:t>
      </w:r>
      <w:r w:rsidR="00797CA1" w:rsidRPr="00A21A6B">
        <w:rPr>
          <w:rFonts w:asciiTheme="majorHAnsi" w:hAnsiTheme="majorHAnsi" w:cstheme="minorHAnsi"/>
          <w:bCs/>
          <w:sz w:val="24"/>
          <w:szCs w:val="24"/>
          <w:lang w:val="ru-MD"/>
        </w:rPr>
        <w:t xml:space="preserve"> внеб</w:t>
      </w:r>
      <w:r w:rsidR="001F3E42" w:rsidRPr="00A21A6B">
        <w:rPr>
          <w:rFonts w:asciiTheme="majorHAnsi" w:hAnsiTheme="majorHAnsi" w:cstheme="minorHAnsi"/>
          <w:bCs/>
          <w:sz w:val="24"/>
          <w:szCs w:val="24"/>
          <w:lang w:val="ru-MD"/>
        </w:rPr>
        <w:t>алансо</w:t>
      </w:r>
      <w:r w:rsidR="00797CA1" w:rsidRPr="00A21A6B">
        <w:rPr>
          <w:rFonts w:asciiTheme="majorHAnsi" w:hAnsiTheme="majorHAnsi" w:cstheme="minorHAnsi"/>
          <w:bCs/>
          <w:sz w:val="24"/>
          <w:szCs w:val="24"/>
          <w:lang w:val="ru-MD"/>
        </w:rPr>
        <w:t>вого счета на 10,82 млн. леев.</w:t>
      </w:r>
    </w:p>
    <w:p w:rsidR="00F40961" w:rsidRPr="00A21A6B" w:rsidRDefault="00F40961"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4.4</w:t>
      </w:r>
      <w:r w:rsidRPr="00A21A6B">
        <w:rPr>
          <w:rFonts w:asciiTheme="majorHAnsi" w:hAnsiTheme="majorHAnsi" w:cstheme="majorHAnsi"/>
          <w:sz w:val="24"/>
          <w:szCs w:val="24"/>
          <w:lang w:val="ru-MD"/>
        </w:rPr>
        <w:t xml:space="preserve"> </w:t>
      </w:r>
      <w:r w:rsidR="00797CA1" w:rsidRPr="00A21A6B">
        <w:rPr>
          <w:rFonts w:asciiTheme="majorHAnsi" w:hAnsiTheme="majorHAnsi" w:cstheme="majorHAnsi"/>
          <w:sz w:val="24"/>
          <w:szCs w:val="24"/>
          <w:lang w:val="ru-MD"/>
        </w:rPr>
        <w:t>Отме</w:t>
      </w:r>
      <w:r w:rsidR="001F3E42" w:rsidRPr="00A21A6B">
        <w:rPr>
          <w:rFonts w:asciiTheme="majorHAnsi" w:hAnsiTheme="majorHAnsi" w:cstheme="majorHAnsi"/>
          <w:sz w:val="24"/>
          <w:szCs w:val="24"/>
          <w:lang w:val="ru-MD"/>
        </w:rPr>
        <w:t>чается</w:t>
      </w:r>
      <w:r w:rsidR="00797CA1" w:rsidRPr="00A21A6B">
        <w:rPr>
          <w:rFonts w:asciiTheme="majorHAnsi" w:hAnsiTheme="majorHAnsi" w:cstheme="majorHAnsi"/>
          <w:sz w:val="24"/>
          <w:szCs w:val="24"/>
          <w:lang w:val="ru-MD"/>
        </w:rPr>
        <w:t>, что в рамках реформы центрального публичного управления Агентств</w:t>
      </w:r>
      <w:r w:rsidR="001F3E42" w:rsidRPr="00A21A6B">
        <w:rPr>
          <w:rFonts w:asciiTheme="majorHAnsi" w:hAnsiTheme="majorHAnsi" w:cstheme="majorHAnsi"/>
          <w:sz w:val="24"/>
          <w:szCs w:val="24"/>
          <w:lang w:val="ru-MD"/>
        </w:rPr>
        <w:t>у</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 xml:space="preserve">„Moldsilva”, начиная </w:t>
      </w:r>
      <w:r w:rsidR="00797CA1" w:rsidRPr="00A21A6B">
        <w:rPr>
          <w:rFonts w:asciiTheme="majorHAnsi" w:hAnsiTheme="majorHAnsi" w:cstheme="majorHAnsi"/>
          <w:sz w:val="24"/>
          <w:szCs w:val="24"/>
          <w:lang w:val="ru-MD"/>
        </w:rPr>
        <w:t>с 01.01.2021</w:t>
      </w:r>
      <w:r w:rsidR="001F3E42"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был изменен</w:t>
      </w:r>
      <w:r w:rsidR="001F3E42" w:rsidRPr="00A21A6B">
        <w:rPr>
          <w:rFonts w:asciiTheme="majorHAnsi" w:hAnsiTheme="majorHAnsi" w:cstheme="majorHAnsi"/>
          <w:sz w:val="24"/>
          <w:szCs w:val="24"/>
          <w:lang w:val="ru-MD"/>
        </w:rPr>
        <w:t xml:space="preserve"> статус</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 xml:space="preserve">из Орг.1 </w:t>
      </w:r>
      <w:r w:rsidR="00797CA1" w:rsidRPr="00A21A6B">
        <w:rPr>
          <w:rFonts w:asciiTheme="majorHAnsi" w:hAnsiTheme="majorHAnsi" w:cstheme="majorHAnsi"/>
          <w:sz w:val="24"/>
          <w:szCs w:val="24"/>
          <w:lang w:val="ru-MD"/>
        </w:rPr>
        <w:t xml:space="preserve">на </w:t>
      </w:r>
      <w:r w:rsidR="001F3E42" w:rsidRPr="00A21A6B">
        <w:rPr>
          <w:rFonts w:asciiTheme="majorHAnsi" w:hAnsiTheme="majorHAnsi" w:cstheme="majorHAnsi"/>
          <w:sz w:val="24"/>
          <w:szCs w:val="24"/>
          <w:lang w:val="ru-MD"/>
        </w:rPr>
        <w:t>О</w:t>
      </w:r>
      <w:r w:rsidR="00797CA1" w:rsidRPr="00A21A6B">
        <w:rPr>
          <w:rFonts w:asciiTheme="majorHAnsi" w:hAnsiTheme="majorHAnsi" w:cstheme="majorHAnsi"/>
          <w:sz w:val="24"/>
          <w:szCs w:val="24"/>
          <w:lang w:val="ru-MD"/>
        </w:rPr>
        <w:t>рг.</w:t>
      </w:r>
      <w:r w:rsidR="001F3E42" w:rsidRPr="00A21A6B">
        <w:rPr>
          <w:rFonts w:asciiTheme="majorHAnsi" w:hAnsiTheme="majorHAnsi" w:cstheme="majorHAnsi"/>
          <w:sz w:val="24"/>
          <w:szCs w:val="24"/>
          <w:lang w:val="ru-MD"/>
        </w:rPr>
        <w:t>2</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 xml:space="preserve">в </w:t>
      </w:r>
      <w:r w:rsidR="00797CA1" w:rsidRPr="00A21A6B">
        <w:rPr>
          <w:rFonts w:asciiTheme="majorHAnsi" w:hAnsiTheme="majorHAnsi" w:cstheme="majorHAnsi"/>
          <w:sz w:val="24"/>
          <w:szCs w:val="24"/>
          <w:lang w:val="ru-MD"/>
        </w:rPr>
        <w:t>подчинен</w:t>
      </w:r>
      <w:r w:rsidR="001F3E42" w:rsidRPr="00A21A6B">
        <w:rPr>
          <w:rFonts w:asciiTheme="majorHAnsi" w:hAnsiTheme="majorHAnsi" w:cstheme="majorHAnsi"/>
          <w:sz w:val="24"/>
          <w:szCs w:val="24"/>
          <w:lang w:val="ru-MD"/>
        </w:rPr>
        <w:t>ии</w:t>
      </w:r>
      <w:r w:rsidR="00797CA1" w:rsidRPr="00A21A6B">
        <w:rPr>
          <w:rFonts w:asciiTheme="majorHAnsi" w:hAnsiTheme="majorHAnsi" w:cstheme="majorHAnsi"/>
          <w:sz w:val="24"/>
          <w:szCs w:val="24"/>
          <w:lang w:val="ru-MD"/>
        </w:rPr>
        <w:t xml:space="preserve"> Министерств</w:t>
      </w:r>
      <w:r w:rsidR="001F3E42" w:rsidRPr="00A21A6B">
        <w:rPr>
          <w:rFonts w:asciiTheme="majorHAnsi" w:hAnsiTheme="majorHAnsi" w:cstheme="majorHAnsi"/>
          <w:sz w:val="24"/>
          <w:szCs w:val="24"/>
          <w:lang w:val="ru-MD"/>
        </w:rPr>
        <w:t>а</w:t>
      </w:r>
      <w:r w:rsidR="00797CA1" w:rsidRPr="00A21A6B">
        <w:rPr>
          <w:rFonts w:asciiTheme="majorHAnsi" w:hAnsiTheme="majorHAnsi" w:cstheme="majorHAnsi"/>
          <w:sz w:val="24"/>
          <w:szCs w:val="24"/>
          <w:lang w:val="ru-MD"/>
        </w:rPr>
        <w:t xml:space="preserve"> сельского хозяйства, регионального развития и окружающей среды, а передача остатков осуществ</w:t>
      </w:r>
      <w:r w:rsidR="001F3E42" w:rsidRPr="00A21A6B">
        <w:rPr>
          <w:rFonts w:asciiTheme="majorHAnsi" w:hAnsiTheme="majorHAnsi" w:cstheme="majorHAnsi"/>
          <w:sz w:val="24"/>
          <w:szCs w:val="24"/>
          <w:lang w:val="ru-MD"/>
        </w:rPr>
        <w:t>илась</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через</w:t>
      </w:r>
      <w:r w:rsidR="00797CA1" w:rsidRPr="00A21A6B">
        <w:rPr>
          <w:rFonts w:asciiTheme="majorHAnsi" w:hAnsiTheme="majorHAnsi" w:cstheme="majorHAnsi"/>
          <w:sz w:val="24"/>
          <w:szCs w:val="24"/>
          <w:lang w:val="ru-MD"/>
        </w:rPr>
        <w:t xml:space="preserve"> счет 723 </w:t>
      </w:r>
      <w:r w:rsidR="001F3E42"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Исправление результатов предыдущего года</w:t>
      </w:r>
      <w:r w:rsidR="001F3E42"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без</w:t>
      </w:r>
      <w:r w:rsidR="00797CA1" w:rsidRPr="00A21A6B">
        <w:rPr>
          <w:rFonts w:asciiTheme="majorHAnsi" w:hAnsiTheme="majorHAnsi" w:cstheme="majorHAnsi"/>
          <w:sz w:val="24"/>
          <w:szCs w:val="24"/>
          <w:lang w:val="ru-MD"/>
        </w:rPr>
        <w:t xml:space="preserve"> составл</w:t>
      </w:r>
      <w:r w:rsidR="001F3E42" w:rsidRPr="00A21A6B">
        <w:rPr>
          <w:rFonts w:asciiTheme="majorHAnsi" w:hAnsiTheme="majorHAnsi" w:cstheme="majorHAnsi"/>
          <w:sz w:val="24"/>
          <w:szCs w:val="24"/>
          <w:lang w:val="ru-MD"/>
        </w:rPr>
        <w:t>ения</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С</w:t>
      </w:r>
      <w:r w:rsidR="00797CA1" w:rsidRPr="00A21A6B">
        <w:rPr>
          <w:rFonts w:asciiTheme="majorHAnsi" w:hAnsiTheme="majorHAnsi" w:cstheme="majorHAnsi"/>
          <w:sz w:val="24"/>
          <w:szCs w:val="24"/>
          <w:lang w:val="ru-MD"/>
        </w:rPr>
        <w:t>водн</w:t>
      </w:r>
      <w:r w:rsidR="001F3E42" w:rsidRPr="00A21A6B">
        <w:rPr>
          <w:rFonts w:asciiTheme="majorHAnsi" w:hAnsiTheme="majorHAnsi" w:cstheme="majorHAnsi"/>
          <w:sz w:val="24"/>
          <w:szCs w:val="24"/>
          <w:lang w:val="ru-MD"/>
        </w:rPr>
        <w:t>ого</w:t>
      </w:r>
      <w:r w:rsidR="00797CA1" w:rsidRPr="00A21A6B">
        <w:rPr>
          <w:rFonts w:asciiTheme="majorHAnsi" w:hAnsiTheme="majorHAnsi" w:cstheme="majorHAnsi"/>
          <w:sz w:val="24"/>
          <w:szCs w:val="24"/>
          <w:lang w:val="ru-MD"/>
        </w:rPr>
        <w:t xml:space="preserve"> отчет</w:t>
      </w:r>
      <w:r w:rsidR="001F3E42" w:rsidRPr="00A21A6B">
        <w:rPr>
          <w:rFonts w:asciiTheme="majorHAnsi" w:hAnsiTheme="majorHAnsi" w:cstheme="majorHAnsi"/>
          <w:sz w:val="24"/>
          <w:szCs w:val="24"/>
          <w:lang w:val="ru-MD"/>
        </w:rPr>
        <w:t>а</w:t>
      </w:r>
      <w:r w:rsidR="00797CA1" w:rsidRPr="00A21A6B">
        <w:rPr>
          <w:rFonts w:asciiTheme="majorHAnsi" w:hAnsiTheme="majorHAnsi" w:cstheme="majorHAnsi"/>
          <w:sz w:val="24"/>
          <w:szCs w:val="24"/>
          <w:lang w:val="ru-MD"/>
        </w:rPr>
        <w:t xml:space="preserve"> </w:t>
      </w:r>
      <w:r w:rsidR="001F3E42" w:rsidRPr="00A21A6B">
        <w:rPr>
          <w:rFonts w:asciiTheme="majorHAnsi" w:hAnsiTheme="majorHAnsi" w:cstheme="majorHAnsi"/>
          <w:sz w:val="24"/>
          <w:szCs w:val="24"/>
          <w:lang w:val="ru-MD"/>
        </w:rPr>
        <w:t>А</w:t>
      </w:r>
      <w:r w:rsidR="00797CA1" w:rsidRPr="00A21A6B">
        <w:rPr>
          <w:rFonts w:asciiTheme="majorHAnsi" w:hAnsiTheme="majorHAnsi" w:cstheme="majorHAnsi"/>
          <w:sz w:val="24"/>
          <w:szCs w:val="24"/>
          <w:lang w:val="ru-MD"/>
        </w:rPr>
        <w:t xml:space="preserve">гентства как </w:t>
      </w:r>
      <w:r w:rsidR="001F3E42" w:rsidRPr="00A21A6B">
        <w:rPr>
          <w:rFonts w:asciiTheme="majorHAnsi" w:hAnsiTheme="majorHAnsi" w:cstheme="majorHAnsi"/>
          <w:sz w:val="24"/>
          <w:szCs w:val="24"/>
          <w:lang w:val="ru-MD"/>
        </w:rPr>
        <w:t>О</w:t>
      </w:r>
      <w:r w:rsidR="00797CA1" w:rsidRPr="00A21A6B">
        <w:rPr>
          <w:rFonts w:asciiTheme="majorHAnsi" w:hAnsiTheme="majorHAnsi" w:cstheme="majorHAnsi"/>
          <w:sz w:val="24"/>
          <w:szCs w:val="24"/>
          <w:lang w:val="ru-MD"/>
        </w:rPr>
        <w:t xml:space="preserve">рг.1. В результате </w:t>
      </w:r>
      <w:r w:rsidR="00F61AD7" w:rsidRPr="00A21A6B">
        <w:rPr>
          <w:rFonts w:asciiTheme="majorHAnsi" w:hAnsiTheme="majorHAnsi" w:cstheme="majorHAnsi"/>
          <w:sz w:val="24"/>
          <w:szCs w:val="24"/>
          <w:lang w:val="ru-MD"/>
        </w:rPr>
        <w:t>дискуссий</w:t>
      </w:r>
      <w:r w:rsidR="00797CA1" w:rsidRPr="00A21A6B">
        <w:rPr>
          <w:rFonts w:asciiTheme="majorHAnsi" w:hAnsiTheme="majorHAnsi" w:cstheme="majorHAnsi"/>
          <w:sz w:val="24"/>
          <w:szCs w:val="24"/>
          <w:lang w:val="ru-MD"/>
        </w:rPr>
        <w:t xml:space="preserve"> по этому вопросу с ответственными лицами Министерства финансов</w:t>
      </w:r>
      <w:r w:rsidR="00F61AD7"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w:t>
      </w:r>
      <w:r w:rsidR="00F61AD7" w:rsidRPr="00A21A6B">
        <w:rPr>
          <w:rFonts w:asciiTheme="majorHAnsi" w:hAnsiTheme="majorHAnsi" w:cstheme="majorHAnsi"/>
          <w:sz w:val="24"/>
          <w:szCs w:val="24"/>
          <w:lang w:val="ru-MD"/>
        </w:rPr>
        <w:t>А</w:t>
      </w:r>
      <w:r w:rsidR="00797CA1" w:rsidRPr="00A21A6B">
        <w:rPr>
          <w:rFonts w:asciiTheme="majorHAnsi" w:hAnsiTheme="majorHAnsi" w:cstheme="majorHAnsi"/>
          <w:sz w:val="24"/>
          <w:szCs w:val="24"/>
          <w:lang w:val="ru-MD"/>
        </w:rPr>
        <w:t xml:space="preserve">гентство составило соответствующий </w:t>
      </w:r>
      <w:r w:rsidR="00F61AD7" w:rsidRPr="00A21A6B">
        <w:rPr>
          <w:rFonts w:asciiTheme="majorHAnsi" w:hAnsiTheme="majorHAnsi" w:cstheme="majorHAnsi"/>
          <w:sz w:val="24"/>
          <w:szCs w:val="24"/>
          <w:lang w:val="ru-MD"/>
        </w:rPr>
        <w:t>О</w:t>
      </w:r>
      <w:r w:rsidR="00797CA1" w:rsidRPr="00A21A6B">
        <w:rPr>
          <w:rFonts w:asciiTheme="majorHAnsi" w:hAnsiTheme="majorHAnsi" w:cstheme="majorHAnsi"/>
          <w:sz w:val="24"/>
          <w:szCs w:val="24"/>
          <w:lang w:val="ru-MD"/>
        </w:rPr>
        <w:t>тчет, исключив таким образом искажение остатков активов и обязательств в целом по государственному бюджету</w:t>
      </w:r>
      <w:r w:rsidR="00F61AD7" w:rsidRPr="00A21A6B">
        <w:rPr>
          <w:rFonts w:asciiTheme="majorHAnsi" w:hAnsiTheme="majorHAnsi" w:cstheme="majorHAnsi"/>
          <w:sz w:val="24"/>
          <w:szCs w:val="24"/>
          <w:lang w:val="ru-MD"/>
        </w:rPr>
        <w:t>,</w:t>
      </w:r>
      <w:r w:rsidR="00797CA1" w:rsidRPr="00A21A6B">
        <w:rPr>
          <w:rFonts w:asciiTheme="majorHAnsi" w:hAnsiTheme="majorHAnsi" w:cstheme="majorHAnsi"/>
          <w:sz w:val="24"/>
          <w:szCs w:val="24"/>
          <w:lang w:val="ru-MD"/>
        </w:rPr>
        <w:t xml:space="preserve"> в размере 80,7 млн.</w:t>
      </w:r>
      <w:r w:rsidR="00F61AD7" w:rsidRPr="00A21A6B">
        <w:rPr>
          <w:rFonts w:asciiTheme="majorHAnsi" w:hAnsiTheme="majorHAnsi" w:cstheme="majorHAnsi"/>
          <w:sz w:val="24"/>
          <w:szCs w:val="24"/>
          <w:lang w:val="ru-MD"/>
        </w:rPr>
        <w:t xml:space="preserve"> </w:t>
      </w:r>
      <w:r w:rsidR="00797CA1" w:rsidRPr="00A21A6B">
        <w:rPr>
          <w:rFonts w:asciiTheme="majorHAnsi" w:hAnsiTheme="majorHAnsi" w:cstheme="majorHAnsi"/>
          <w:sz w:val="24"/>
          <w:szCs w:val="24"/>
          <w:lang w:val="ru-MD"/>
        </w:rPr>
        <w:t>ле</w:t>
      </w:r>
      <w:r w:rsidR="00F61AD7" w:rsidRPr="00A21A6B">
        <w:rPr>
          <w:rFonts w:asciiTheme="majorHAnsi" w:hAnsiTheme="majorHAnsi" w:cstheme="majorHAnsi"/>
          <w:sz w:val="24"/>
          <w:szCs w:val="24"/>
          <w:lang w:val="ru-MD"/>
        </w:rPr>
        <w:t>ев</w:t>
      </w:r>
      <w:r w:rsidR="00797CA1" w:rsidRPr="00A21A6B">
        <w:rPr>
          <w:rFonts w:asciiTheme="majorHAnsi" w:hAnsiTheme="majorHAnsi" w:cstheme="majorHAnsi"/>
          <w:sz w:val="24"/>
          <w:szCs w:val="24"/>
          <w:lang w:val="ru-MD"/>
        </w:rPr>
        <w:t xml:space="preserve"> каждый</w:t>
      </w:r>
      <w:r w:rsidRPr="00A21A6B">
        <w:rPr>
          <w:rFonts w:asciiTheme="majorHAnsi" w:hAnsiTheme="majorHAnsi" w:cstheme="majorHAnsi"/>
          <w:sz w:val="24"/>
          <w:szCs w:val="24"/>
          <w:lang w:val="ru-MD"/>
        </w:rPr>
        <w:t>.</w:t>
      </w:r>
    </w:p>
    <w:p w:rsidR="00F40961" w:rsidRPr="00A21A6B" w:rsidRDefault="00797CA1" w:rsidP="00F40961">
      <w:pPr>
        <w:pStyle w:val="ListParagraph"/>
        <w:numPr>
          <w:ilvl w:val="0"/>
          <w:numId w:val="1"/>
        </w:numPr>
        <w:rPr>
          <w:rFonts w:asciiTheme="majorHAnsi" w:hAnsiTheme="majorHAnsi" w:cstheme="majorHAnsi"/>
          <w:b/>
          <w:sz w:val="24"/>
          <w:szCs w:val="24"/>
          <w:lang w:val="ru-MD"/>
        </w:rPr>
      </w:pPr>
      <w:bookmarkStart w:id="6" w:name="_Toc532292919"/>
      <w:bookmarkStart w:id="7" w:name="_Toc532292929"/>
      <w:bookmarkStart w:id="8" w:name="_Toc532292920"/>
      <w:bookmarkStart w:id="9" w:name="_Toc532292930"/>
      <w:bookmarkStart w:id="10" w:name="_Toc530056760"/>
      <w:bookmarkStart w:id="11" w:name="_Toc532292931"/>
      <w:bookmarkEnd w:id="6"/>
      <w:bookmarkEnd w:id="7"/>
      <w:bookmarkEnd w:id="8"/>
      <w:bookmarkEnd w:id="9"/>
      <w:r w:rsidRPr="00A21A6B">
        <w:rPr>
          <w:rFonts w:asciiTheme="majorHAnsi" w:hAnsiTheme="majorHAnsi" w:cstheme="majorHAnsi"/>
          <w:b/>
          <w:sz w:val="24"/>
          <w:szCs w:val="24"/>
          <w:lang w:val="ru-MD"/>
        </w:rPr>
        <w:t>ДРУГАЯ ИНФОРМАЦИЯ</w:t>
      </w:r>
      <w:bookmarkEnd w:id="10"/>
      <w:bookmarkEnd w:id="11"/>
    </w:p>
    <w:p w:rsidR="00F40961" w:rsidRPr="00A21A6B" w:rsidRDefault="00F40961" w:rsidP="00F40961">
      <w:pPr>
        <w:spacing w:after="0"/>
        <w:jc w:val="both"/>
        <w:rPr>
          <w:rFonts w:asciiTheme="majorHAnsi" w:hAnsiTheme="majorHAnsi"/>
          <w:sz w:val="24"/>
          <w:szCs w:val="24"/>
          <w:lang w:val="ru-MD"/>
        </w:rPr>
      </w:pPr>
      <w:r w:rsidRPr="00A21A6B">
        <w:rPr>
          <w:rFonts w:asciiTheme="majorHAnsi" w:hAnsiTheme="majorHAnsi" w:cstheme="majorHAnsi"/>
          <w:b/>
          <w:sz w:val="24"/>
          <w:szCs w:val="24"/>
          <w:lang w:val="ru-MD"/>
        </w:rPr>
        <w:t>5.1</w:t>
      </w:r>
      <w:r w:rsidRPr="00A21A6B">
        <w:rPr>
          <w:rFonts w:asciiTheme="majorHAnsi" w:hAnsiTheme="majorHAnsi" w:cstheme="majorHAnsi"/>
          <w:sz w:val="24"/>
          <w:szCs w:val="24"/>
          <w:lang w:val="ru-MD"/>
        </w:rPr>
        <w:t xml:space="preserve"> </w:t>
      </w:r>
      <w:r w:rsidR="00B37F2F" w:rsidRPr="00A21A6B">
        <w:rPr>
          <w:rFonts w:asciiTheme="majorHAnsi" w:hAnsiTheme="majorHAnsi" w:cstheme="majorHAnsi"/>
          <w:sz w:val="24"/>
          <w:szCs w:val="24"/>
          <w:lang w:val="ru-MD"/>
        </w:rPr>
        <w:t xml:space="preserve">Министерство не </w:t>
      </w:r>
      <w:r w:rsidR="00E930C8" w:rsidRPr="00A21A6B">
        <w:rPr>
          <w:rFonts w:asciiTheme="majorHAnsi" w:hAnsiTheme="majorHAnsi" w:cstheme="majorHAnsi"/>
          <w:sz w:val="24"/>
          <w:szCs w:val="24"/>
          <w:lang w:val="ru-MD"/>
        </w:rPr>
        <w:t>соблюда</w:t>
      </w:r>
      <w:r w:rsidR="00B37F2F" w:rsidRPr="00A21A6B">
        <w:rPr>
          <w:rFonts w:asciiTheme="majorHAnsi" w:hAnsiTheme="majorHAnsi" w:cstheme="majorHAnsi"/>
          <w:sz w:val="24"/>
          <w:szCs w:val="24"/>
          <w:lang w:val="ru-MD"/>
        </w:rPr>
        <w:t>ло положения Приказа Министра финансов № 216/2015 и ошибочно классифицировал</w:t>
      </w:r>
      <w:r w:rsidR="00E930C8" w:rsidRPr="00A21A6B">
        <w:rPr>
          <w:rFonts w:asciiTheme="majorHAnsi" w:hAnsiTheme="majorHAnsi" w:cstheme="majorHAnsi"/>
          <w:sz w:val="24"/>
          <w:szCs w:val="24"/>
          <w:lang w:val="ru-MD"/>
        </w:rPr>
        <w:t>о</w:t>
      </w:r>
      <w:r w:rsidR="00B37F2F" w:rsidRPr="00A21A6B">
        <w:rPr>
          <w:rFonts w:asciiTheme="majorHAnsi" w:hAnsiTheme="majorHAnsi" w:cstheme="majorHAnsi"/>
          <w:sz w:val="24"/>
          <w:szCs w:val="24"/>
          <w:lang w:val="ru-MD"/>
        </w:rPr>
        <w:t xml:space="preserve"> бюджетные </w:t>
      </w:r>
      <w:r w:rsidR="00E930C8" w:rsidRPr="00A21A6B">
        <w:rPr>
          <w:rFonts w:asciiTheme="majorHAnsi" w:hAnsiTheme="majorHAnsi" w:cstheme="majorHAnsi"/>
          <w:sz w:val="24"/>
          <w:szCs w:val="24"/>
          <w:lang w:val="ru-MD"/>
        </w:rPr>
        <w:t>трансферт</w:t>
      </w:r>
      <w:r w:rsidR="00B37F2F" w:rsidRPr="00A21A6B">
        <w:rPr>
          <w:rFonts w:asciiTheme="majorHAnsi" w:hAnsiTheme="majorHAnsi" w:cstheme="majorHAnsi"/>
          <w:sz w:val="24"/>
          <w:szCs w:val="24"/>
          <w:lang w:val="ru-MD"/>
        </w:rPr>
        <w:t xml:space="preserve">ы, предназначенные для </w:t>
      </w:r>
      <w:r w:rsidR="00E930C8" w:rsidRPr="00A21A6B">
        <w:rPr>
          <w:rFonts w:asciiTheme="majorHAnsi" w:hAnsiTheme="majorHAnsi" w:cstheme="majorHAnsi"/>
          <w:sz w:val="24"/>
          <w:szCs w:val="24"/>
          <w:lang w:val="ru-MD"/>
        </w:rPr>
        <w:t xml:space="preserve">одного </w:t>
      </w:r>
      <w:r w:rsidR="00B37F2F" w:rsidRPr="00A21A6B">
        <w:rPr>
          <w:rFonts w:asciiTheme="majorHAnsi" w:hAnsiTheme="majorHAnsi" w:cstheme="majorHAnsi"/>
          <w:sz w:val="24"/>
          <w:szCs w:val="24"/>
          <w:lang w:val="ru-MD"/>
        </w:rPr>
        <w:t xml:space="preserve">государственного учреждения на </w:t>
      </w:r>
      <w:r w:rsidR="00E930C8" w:rsidRPr="00A21A6B">
        <w:rPr>
          <w:rFonts w:asciiTheme="majorHAnsi" w:hAnsiTheme="majorHAnsi" w:cstheme="majorHAnsi"/>
          <w:sz w:val="24"/>
          <w:szCs w:val="24"/>
          <w:lang w:val="ru-MD"/>
        </w:rPr>
        <w:t>самоуправлении</w:t>
      </w:r>
      <w:r w:rsidR="00E930C8" w:rsidRPr="00A21A6B">
        <w:rPr>
          <w:rStyle w:val="FootnoteReference"/>
          <w:rFonts w:asciiTheme="majorHAnsi" w:hAnsiTheme="majorHAnsi" w:cstheme="majorHAnsi"/>
          <w:sz w:val="24"/>
          <w:szCs w:val="24"/>
          <w:lang w:val="ru-MD"/>
        </w:rPr>
        <w:footnoteReference w:id="17"/>
      </w:r>
      <w:r w:rsidR="00B37F2F" w:rsidRPr="00A21A6B">
        <w:rPr>
          <w:rFonts w:asciiTheme="majorHAnsi" w:hAnsiTheme="majorHAnsi" w:cstheme="majorHAnsi"/>
          <w:sz w:val="24"/>
          <w:szCs w:val="24"/>
          <w:lang w:val="ru-MD"/>
        </w:rPr>
        <w:t>, таким образом баланс счета 254 „</w:t>
      </w:r>
      <w:r w:rsidR="00E930C8" w:rsidRPr="00A21A6B">
        <w:rPr>
          <w:rFonts w:asciiTheme="majorHAnsi" w:hAnsiTheme="majorHAnsi" w:cstheme="majorHAnsi"/>
          <w:sz w:val="24"/>
          <w:szCs w:val="24"/>
          <w:lang w:val="ru-MD"/>
        </w:rPr>
        <w:t>С</w:t>
      </w:r>
      <w:r w:rsidR="00B37F2F" w:rsidRPr="00A21A6B">
        <w:rPr>
          <w:rFonts w:asciiTheme="majorHAnsi" w:hAnsiTheme="majorHAnsi" w:cstheme="majorHAnsi"/>
          <w:sz w:val="24"/>
          <w:szCs w:val="24"/>
          <w:lang w:val="ru-MD"/>
        </w:rPr>
        <w:t xml:space="preserve">убсидии, предоставленные </w:t>
      </w:r>
      <w:r w:rsidR="00E930C8" w:rsidRPr="00A21A6B">
        <w:rPr>
          <w:rFonts w:asciiTheme="majorHAnsi" w:hAnsiTheme="majorHAnsi" w:cstheme="majorHAnsi"/>
          <w:sz w:val="24"/>
          <w:szCs w:val="24"/>
          <w:lang w:val="ru-MD"/>
        </w:rPr>
        <w:t>публич</w:t>
      </w:r>
      <w:r w:rsidR="00B37F2F" w:rsidRPr="00A21A6B">
        <w:rPr>
          <w:rFonts w:asciiTheme="majorHAnsi" w:hAnsiTheme="majorHAnsi" w:cstheme="majorHAnsi"/>
          <w:sz w:val="24"/>
          <w:szCs w:val="24"/>
          <w:lang w:val="ru-MD"/>
        </w:rPr>
        <w:t xml:space="preserve">ным органам/учреждениям на </w:t>
      </w:r>
      <w:r w:rsidR="00E930C8" w:rsidRPr="00A21A6B">
        <w:rPr>
          <w:rFonts w:asciiTheme="majorHAnsi" w:hAnsiTheme="majorHAnsi" w:cstheme="majorHAnsi"/>
          <w:sz w:val="24"/>
          <w:szCs w:val="24"/>
          <w:lang w:val="ru-MD"/>
        </w:rPr>
        <w:t>самоуправлении</w:t>
      </w:r>
      <w:r w:rsidR="00B37F2F" w:rsidRPr="00A21A6B">
        <w:rPr>
          <w:rFonts w:asciiTheme="majorHAnsi" w:hAnsiTheme="majorHAnsi" w:cstheme="majorHAnsi"/>
          <w:sz w:val="24"/>
          <w:szCs w:val="24"/>
          <w:lang w:val="ru-MD"/>
        </w:rPr>
        <w:t>” был завышен, а баланс счета 263 „</w:t>
      </w:r>
      <w:r w:rsidR="00E930C8" w:rsidRPr="00A21A6B">
        <w:rPr>
          <w:rFonts w:asciiTheme="majorHAnsi" w:hAnsiTheme="majorHAnsi" w:cstheme="majorHAnsi"/>
          <w:sz w:val="24"/>
          <w:szCs w:val="24"/>
          <w:lang w:val="ru-MD"/>
        </w:rPr>
        <w:t>Г</w:t>
      </w:r>
      <w:r w:rsidR="00B37F2F" w:rsidRPr="00A21A6B">
        <w:rPr>
          <w:rFonts w:asciiTheme="majorHAnsi" w:hAnsiTheme="majorHAnsi" w:cstheme="majorHAnsi"/>
          <w:sz w:val="24"/>
          <w:szCs w:val="24"/>
          <w:lang w:val="ru-MD"/>
        </w:rPr>
        <w:t xml:space="preserve">ранты, предоставленные бенефициарам внутри страны” был занижен на 3,1 млн. </w:t>
      </w:r>
      <w:r w:rsidR="00E930C8" w:rsidRPr="00A21A6B">
        <w:rPr>
          <w:rFonts w:asciiTheme="majorHAnsi" w:hAnsiTheme="majorHAnsi" w:cstheme="majorHAnsi"/>
          <w:sz w:val="24"/>
          <w:szCs w:val="24"/>
          <w:lang w:val="ru-MD"/>
        </w:rPr>
        <w:t xml:space="preserve">леев, </w:t>
      </w:r>
      <w:r w:rsidR="00B37F2F" w:rsidRPr="00A21A6B">
        <w:rPr>
          <w:rFonts w:asciiTheme="majorHAnsi" w:hAnsiTheme="majorHAnsi" w:cstheme="majorHAnsi"/>
          <w:sz w:val="24"/>
          <w:szCs w:val="24"/>
          <w:lang w:val="ru-MD"/>
        </w:rPr>
        <w:t>в то же время баланс счета 33 „</w:t>
      </w:r>
      <w:r w:rsidR="00E930C8" w:rsidRPr="00A21A6B">
        <w:rPr>
          <w:rFonts w:asciiTheme="majorHAnsi" w:hAnsiTheme="majorHAnsi" w:cstheme="majorHAnsi"/>
          <w:sz w:val="24"/>
          <w:szCs w:val="24"/>
          <w:lang w:val="ru-MD"/>
        </w:rPr>
        <w:t>З</w:t>
      </w:r>
      <w:r w:rsidR="00B37F2F" w:rsidRPr="00A21A6B">
        <w:rPr>
          <w:rFonts w:asciiTheme="majorHAnsi" w:hAnsiTheme="majorHAnsi" w:cstheme="majorHAnsi"/>
          <w:sz w:val="24"/>
          <w:szCs w:val="24"/>
          <w:lang w:val="ru-MD"/>
        </w:rPr>
        <w:t>апасы оборотных материалов” был завышен, а баланс счета 31 „</w:t>
      </w:r>
      <w:r w:rsidR="00E930C8" w:rsidRPr="00A21A6B">
        <w:rPr>
          <w:rFonts w:asciiTheme="majorHAnsi" w:hAnsiTheme="majorHAnsi" w:cstheme="majorHAnsi"/>
          <w:sz w:val="24"/>
          <w:szCs w:val="24"/>
          <w:lang w:val="ru-MD"/>
        </w:rPr>
        <w:t>О</w:t>
      </w:r>
      <w:r w:rsidR="00B37F2F" w:rsidRPr="00A21A6B">
        <w:rPr>
          <w:rFonts w:asciiTheme="majorHAnsi" w:hAnsiTheme="majorHAnsi" w:cstheme="majorHAnsi"/>
          <w:sz w:val="24"/>
          <w:szCs w:val="24"/>
          <w:lang w:val="ru-MD"/>
        </w:rPr>
        <w:t>сновные средства” был занижен на 1,81 млн. леев.</w:t>
      </w:r>
    </w:p>
    <w:p w:rsidR="00F40961" w:rsidRPr="00A21A6B" w:rsidRDefault="00B37F2F" w:rsidP="00B37F2F">
      <w:pPr>
        <w:pStyle w:val="CommentText"/>
        <w:numPr>
          <w:ilvl w:val="1"/>
          <w:numId w:val="14"/>
        </w:numPr>
        <w:tabs>
          <w:tab w:val="left" w:pos="0"/>
        </w:tabs>
        <w:spacing w:line="276" w:lineRule="auto"/>
        <w:ind w:left="0" w:firstLine="0"/>
        <w:rPr>
          <w:rFonts w:asciiTheme="majorHAnsi" w:hAnsiTheme="majorHAnsi"/>
          <w:sz w:val="24"/>
          <w:szCs w:val="24"/>
          <w:lang w:val="ru-MD"/>
        </w:rPr>
      </w:pPr>
      <w:r w:rsidRPr="00A21A6B">
        <w:rPr>
          <w:rFonts w:asciiTheme="majorHAnsi" w:hAnsiTheme="majorHAnsi"/>
          <w:sz w:val="24"/>
          <w:szCs w:val="24"/>
          <w:lang w:val="ru-MD"/>
        </w:rPr>
        <w:t xml:space="preserve">Министерство, в нарушение требований Приказа министра Финансов </w:t>
      </w:r>
      <w:r w:rsidR="00E930C8" w:rsidRPr="00A21A6B">
        <w:rPr>
          <w:rFonts w:asciiTheme="majorHAnsi" w:hAnsiTheme="majorHAnsi"/>
          <w:sz w:val="24"/>
          <w:szCs w:val="24"/>
          <w:lang w:val="ru-MD"/>
        </w:rPr>
        <w:t>№</w:t>
      </w:r>
      <w:r w:rsidRPr="00A21A6B">
        <w:rPr>
          <w:rFonts w:asciiTheme="majorHAnsi" w:hAnsiTheme="majorHAnsi"/>
          <w:sz w:val="24"/>
          <w:szCs w:val="24"/>
          <w:lang w:val="ru-MD"/>
        </w:rPr>
        <w:t xml:space="preserve">216/2015, </w:t>
      </w:r>
      <w:r w:rsidR="00E930C8" w:rsidRPr="00A21A6B">
        <w:rPr>
          <w:rFonts w:asciiTheme="majorHAnsi" w:hAnsiTheme="majorHAnsi"/>
          <w:sz w:val="24"/>
          <w:szCs w:val="24"/>
          <w:lang w:val="ru-MD"/>
        </w:rPr>
        <w:t xml:space="preserve">сохраняет </w:t>
      </w:r>
      <w:r w:rsidRPr="00A21A6B">
        <w:rPr>
          <w:rFonts w:asciiTheme="majorHAnsi" w:hAnsiTheme="majorHAnsi"/>
          <w:sz w:val="24"/>
          <w:szCs w:val="24"/>
          <w:lang w:val="ru-MD"/>
        </w:rPr>
        <w:t xml:space="preserve">в дебиторской задолженности стоимость информационной системы, созданной за счет средств донора, которая используется третьими лицами </w:t>
      </w:r>
      <w:r w:rsidR="00E930C8" w:rsidRPr="00A21A6B">
        <w:rPr>
          <w:rFonts w:asciiTheme="majorHAnsi" w:hAnsiTheme="majorHAnsi"/>
          <w:sz w:val="24"/>
          <w:szCs w:val="24"/>
          <w:lang w:val="ru-MD"/>
        </w:rPr>
        <w:t>на протяжении</w:t>
      </w:r>
      <w:r w:rsidRPr="00A21A6B">
        <w:rPr>
          <w:rFonts w:asciiTheme="majorHAnsi" w:hAnsiTheme="majorHAnsi"/>
          <w:sz w:val="24"/>
          <w:szCs w:val="24"/>
          <w:lang w:val="ru-MD"/>
        </w:rPr>
        <w:t xml:space="preserve"> </w:t>
      </w:r>
      <w:r w:rsidR="00E930C8" w:rsidRPr="00A21A6B">
        <w:rPr>
          <w:rFonts w:asciiTheme="majorHAnsi" w:hAnsiTheme="majorHAnsi"/>
          <w:sz w:val="24"/>
          <w:szCs w:val="24"/>
          <w:lang w:val="ru-MD"/>
        </w:rPr>
        <w:t>мног</w:t>
      </w:r>
      <w:r w:rsidRPr="00A21A6B">
        <w:rPr>
          <w:rFonts w:asciiTheme="majorHAnsi" w:hAnsiTheme="majorHAnsi"/>
          <w:sz w:val="24"/>
          <w:szCs w:val="24"/>
          <w:lang w:val="ru-MD"/>
        </w:rPr>
        <w:t xml:space="preserve">их лет. Это обусловило </w:t>
      </w:r>
      <w:r w:rsidR="00E930C8" w:rsidRPr="00A21A6B">
        <w:rPr>
          <w:rFonts w:asciiTheme="majorHAnsi" w:hAnsiTheme="majorHAnsi"/>
          <w:sz w:val="24"/>
          <w:szCs w:val="24"/>
          <w:lang w:val="ru-MD"/>
        </w:rPr>
        <w:t>занижение</w:t>
      </w:r>
      <w:r w:rsidRPr="00A21A6B">
        <w:rPr>
          <w:rFonts w:asciiTheme="majorHAnsi" w:hAnsiTheme="majorHAnsi"/>
          <w:sz w:val="24"/>
          <w:szCs w:val="24"/>
          <w:lang w:val="ru-MD"/>
        </w:rPr>
        <w:t xml:space="preserve"> баланса группы счетов 317 </w:t>
      </w:r>
      <w:r w:rsidR="00E930C8" w:rsidRPr="00A21A6B">
        <w:rPr>
          <w:rFonts w:asciiTheme="majorHAnsi" w:hAnsiTheme="majorHAnsi"/>
          <w:sz w:val="24"/>
          <w:szCs w:val="24"/>
          <w:lang w:val="ru-MD"/>
        </w:rPr>
        <w:t>„Н</w:t>
      </w:r>
      <w:r w:rsidRPr="00A21A6B">
        <w:rPr>
          <w:rFonts w:asciiTheme="majorHAnsi" w:hAnsiTheme="majorHAnsi"/>
          <w:sz w:val="24"/>
          <w:szCs w:val="24"/>
          <w:lang w:val="ru-MD"/>
        </w:rPr>
        <w:t>ематериальные активы</w:t>
      </w:r>
      <w:r w:rsidR="00E930C8" w:rsidRPr="00A21A6B">
        <w:rPr>
          <w:rFonts w:asciiTheme="majorHAnsi" w:hAnsiTheme="majorHAnsi"/>
          <w:sz w:val="24"/>
          <w:szCs w:val="24"/>
          <w:lang w:val="ru-MD"/>
        </w:rPr>
        <w:t>”</w:t>
      </w:r>
      <w:r w:rsidRPr="00A21A6B">
        <w:rPr>
          <w:rFonts w:asciiTheme="majorHAnsi" w:hAnsiTheme="majorHAnsi"/>
          <w:sz w:val="24"/>
          <w:szCs w:val="24"/>
          <w:lang w:val="ru-MD"/>
        </w:rPr>
        <w:t xml:space="preserve"> и </w:t>
      </w:r>
      <w:r w:rsidR="00E930C8" w:rsidRPr="00A21A6B">
        <w:rPr>
          <w:rFonts w:asciiTheme="majorHAnsi" w:hAnsiTheme="majorHAnsi"/>
          <w:sz w:val="24"/>
          <w:szCs w:val="24"/>
          <w:lang w:val="ru-MD"/>
        </w:rPr>
        <w:t>завышение</w:t>
      </w:r>
      <w:r w:rsidRPr="00A21A6B">
        <w:rPr>
          <w:rFonts w:asciiTheme="majorHAnsi" w:hAnsiTheme="majorHAnsi"/>
          <w:sz w:val="24"/>
          <w:szCs w:val="24"/>
          <w:lang w:val="ru-MD"/>
        </w:rPr>
        <w:t xml:space="preserve"> остатка на счете 419</w:t>
      </w:r>
      <w:r w:rsidR="00E930C8" w:rsidRPr="00A21A6B">
        <w:rPr>
          <w:rFonts w:asciiTheme="majorHAnsi" w:hAnsiTheme="majorHAnsi"/>
          <w:sz w:val="24"/>
          <w:szCs w:val="24"/>
          <w:lang w:val="ru-MD"/>
        </w:rPr>
        <w:t xml:space="preserve"> „Друг</w:t>
      </w:r>
      <w:r w:rsidRPr="00A21A6B">
        <w:rPr>
          <w:rFonts w:asciiTheme="majorHAnsi" w:hAnsiTheme="majorHAnsi"/>
          <w:sz w:val="24"/>
          <w:szCs w:val="24"/>
          <w:lang w:val="ru-MD"/>
        </w:rPr>
        <w:t xml:space="preserve">ие </w:t>
      </w:r>
      <w:r w:rsidR="00E930C8" w:rsidRPr="00A21A6B">
        <w:rPr>
          <w:rFonts w:asciiTheme="majorHAnsi" w:hAnsiTheme="majorHAnsi"/>
          <w:sz w:val="24"/>
          <w:szCs w:val="24"/>
          <w:lang w:val="ru-MD"/>
        </w:rPr>
        <w:t>обязательства</w:t>
      </w:r>
      <w:r w:rsidRPr="00A21A6B">
        <w:rPr>
          <w:rFonts w:asciiTheme="majorHAnsi" w:hAnsiTheme="majorHAnsi"/>
          <w:sz w:val="24"/>
          <w:szCs w:val="24"/>
          <w:lang w:val="ru-MD"/>
        </w:rPr>
        <w:t xml:space="preserve"> бюджетных органов</w:t>
      </w:r>
      <w:r w:rsidR="00E930C8" w:rsidRPr="00A21A6B">
        <w:rPr>
          <w:rFonts w:asciiTheme="majorHAnsi" w:hAnsiTheme="majorHAnsi"/>
          <w:sz w:val="24"/>
          <w:szCs w:val="24"/>
          <w:lang w:val="ru-MD"/>
        </w:rPr>
        <w:t>/</w:t>
      </w:r>
      <w:r w:rsidRPr="00A21A6B">
        <w:rPr>
          <w:rFonts w:asciiTheme="majorHAnsi" w:hAnsiTheme="majorHAnsi"/>
          <w:sz w:val="24"/>
          <w:szCs w:val="24"/>
          <w:lang w:val="ru-MD"/>
        </w:rPr>
        <w:t>учреждений</w:t>
      </w:r>
      <w:r w:rsidR="00E930C8" w:rsidRPr="00A21A6B">
        <w:rPr>
          <w:rFonts w:asciiTheme="majorHAnsi" w:hAnsiTheme="majorHAnsi"/>
          <w:sz w:val="24"/>
          <w:szCs w:val="24"/>
          <w:lang w:val="ru-MD"/>
        </w:rPr>
        <w:t xml:space="preserve">” </w:t>
      </w:r>
      <w:r w:rsidRPr="00A21A6B">
        <w:rPr>
          <w:rFonts w:asciiTheme="majorHAnsi" w:hAnsiTheme="majorHAnsi"/>
          <w:sz w:val="24"/>
          <w:szCs w:val="24"/>
          <w:lang w:val="ru-MD"/>
        </w:rPr>
        <w:t xml:space="preserve">на </w:t>
      </w:r>
      <w:r w:rsidR="00E930C8" w:rsidRPr="00A21A6B">
        <w:rPr>
          <w:rFonts w:asciiTheme="majorHAnsi" w:hAnsiTheme="majorHAnsi"/>
          <w:sz w:val="24"/>
          <w:szCs w:val="24"/>
          <w:lang w:val="ru-MD"/>
        </w:rPr>
        <w:t xml:space="preserve">сумму </w:t>
      </w:r>
      <w:r w:rsidRPr="00A21A6B">
        <w:rPr>
          <w:rFonts w:asciiTheme="majorHAnsi" w:hAnsiTheme="majorHAnsi"/>
          <w:sz w:val="24"/>
          <w:szCs w:val="24"/>
          <w:lang w:val="ru-MD"/>
        </w:rPr>
        <w:t>2,23 млн.</w:t>
      </w:r>
      <w:r w:rsidR="00E930C8" w:rsidRPr="00A21A6B">
        <w:rPr>
          <w:rFonts w:asciiTheme="majorHAnsi" w:hAnsiTheme="majorHAnsi"/>
          <w:sz w:val="24"/>
          <w:szCs w:val="24"/>
          <w:lang w:val="ru-MD"/>
        </w:rPr>
        <w:t xml:space="preserve"> </w:t>
      </w:r>
      <w:r w:rsidRPr="00A21A6B">
        <w:rPr>
          <w:rFonts w:asciiTheme="majorHAnsi" w:hAnsiTheme="majorHAnsi"/>
          <w:sz w:val="24"/>
          <w:szCs w:val="24"/>
          <w:lang w:val="ru-MD"/>
        </w:rPr>
        <w:t>ле</w:t>
      </w:r>
      <w:r w:rsidR="00E930C8" w:rsidRPr="00A21A6B">
        <w:rPr>
          <w:rFonts w:asciiTheme="majorHAnsi" w:hAnsiTheme="majorHAnsi"/>
          <w:sz w:val="24"/>
          <w:szCs w:val="24"/>
          <w:lang w:val="ru-MD"/>
        </w:rPr>
        <w:t>ев</w:t>
      </w:r>
      <w:r w:rsidR="00F40961" w:rsidRPr="00A21A6B">
        <w:rPr>
          <w:rFonts w:asciiTheme="majorHAnsi" w:hAnsiTheme="majorHAnsi"/>
          <w:sz w:val="24"/>
          <w:szCs w:val="24"/>
          <w:lang w:val="ru-MD"/>
        </w:rPr>
        <w:t>.</w:t>
      </w:r>
    </w:p>
    <w:p w:rsidR="00F40961" w:rsidRPr="00A21A6B" w:rsidRDefault="00F40961" w:rsidP="00F40961">
      <w:pPr>
        <w:pStyle w:val="CommentText"/>
        <w:tabs>
          <w:tab w:val="left" w:pos="0"/>
        </w:tabs>
        <w:spacing w:line="276" w:lineRule="auto"/>
        <w:ind w:firstLine="0"/>
        <w:rPr>
          <w:rFonts w:asciiTheme="majorHAnsi" w:hAnsiTheme="majorHAnsi"/>
          <w:sz w:val="24"/>
          <w:szCs w:val="24"/>
          <w:lang w:val="ru-MD"/>
        </w:rPr>
      </w:pPr>
      <w:r w:rsidRPr="00A21A6B">
        <w:rPr>
          <w:rFonts w:asciiTheme="majorHAnsi" w:hAnsiTheme="majorHAnsi"/>
          <w:b/>
          <w:sz w:val="24"/>
          <w:szCs w:val="24"/>
          <w:lang w:val="ru-MD"/>
        </w:rPr>
        <w:t>5.3</w:t>
      </w:r>
      <w:r w:rsidRPr="00A21A6B">
        <w:rPr>
          <w:rFonts w:asciiTheme="majorHAnsi" w:hAnsiTheme="majorHAnsi"/>
          <w:sz w:val="24"/>
          <w:szCs w:val="24"/>
          <w:lang w:val="ru-MD"/>
        </w:rPr>
        <w:t xml:space="preserve"> </w:t>
      </w:r>
      <w:r w:rsidR="00B37F2F" w:rsidRPr="00A21A6B">
        <w:rPr>
          <w:rFonts w:asciiTheme="majorHAnsi" w:hAnsiTheme="majorHAnsi"/>
          <w:sz w:val="24"/>
          <w:szCs w:val="24"/>
          <w:lang w:val="ru-MD"/>
        </w:rPr>
        <w:t xml:space="preserve">Министерство </w:t>
      </w:r>
      <w:r w:rsidR="0067369A" w:rsidRPr="00A21A6B">
        <w:rPr>
          <w:rFonts w:asciiTheme="majorHAnsi" w:hAnsiTheme="majorHAnsi"/>
          <w:sz w:val="24"/>
          <w:szCs w:val="24"/>
          <w:lang w:val="ru-MD"/>
        </w:rPr>
        <w:t>сохраняе</w:t>
      </w:r>
      <w:r w:rsidR="00B37F2F" w:rsidRPr="00A21A6B">
        <w:rPr>
          <w:rFonts w:asciiTheme="majorHAnsi" w:hAnsiTheme="majorHAnsi"/>
          <w:sz w:val="24"/>
          <w:szCs w:val="24"/>
          <w:lang w:val="ru-MD"/>
        </w:rPr>
        <w:t xml:space="preserve">ет в своем бухгалтерском учете </w:t>
      </w:r>
      <w:r w:rsidR="0067369A" w:rsidRPr="00A21A6B">
        <w:rPr>
          <w:rFonts w:asciiTheme="majorHAnsi" w:hAnsiTheme="majorHAnsi"/>
          <w:sz w:val="24"/>
          <w:szCs w:val="24"/>
          <w:lang w:val="ru-MD"/>
        </w:rPr>
        <w:t>задолженность</w:t>
      </w:r>
      <w:r w:rsidR="00B37F2F" w:rsidRPr="00A21A6B">
        <w:rPr>
          <w:rFonts w:asciiTheme="majorHAnsi" w:hAnsiTheme="majorHAnsi"/>
          <w:sz w:val="24"/>
          <w:szCs w:val="24"/>
          <w:lang w:val="ru-MD"/>
        </w:rPr>
        <w:t xml:space="preserve"> </w:t>
      </w:r>
      <w:r w:rsidR="0067369A" w:rsidRPr="00A21A6B">
        <w:rPr>
          <w:rFonts w:asciiTheme="majorHAnsi" w:hAnsiTheme="majorHAnsi"/>
          <w:sz w:val="24"/>
          <w:szCs w:val="24"/>
          <w:lang w:val="ru-MD"/>
        </w:rPr>
        <w:t xml:space="preserve">одного </w:t>
      </w:r>
      <w:r w:rsidR="00B37F2F" w:rsidRPr="00A21A6B">
        <w:rPr>
          <w:rFonts w:asciiTheme="majorHAnsi" w:hAnsiTheme="majorHAnsi"/>
          <w:sz w:val="24"/>
          <w:szCs w:val="24"/>
          <w:lang w:val="ru-MD"/>
        </w:rPr>
        <w:t xml:space="preserve">экономического оператора, которое не исключено из </w:t>
      </w:r>
      <w:r w:rsidR="0067369A" w:rsidRPr="00A21A6B">
        <w:rPr>
          <w:rFonts w:asciiTheme="majorHAnsi" w:hAnsiTheme="majorHAnsi"/>
          <w:sz w:val="24"/>
          <w:szCs w:val="24"/>
          <w:lang w:val="ru-MD"/>
        </w:rPr>
        <w:t>Р</w:t>
      </w:r>
      <w:r w:rsidR="00B37F2F" w:rsidRPr="00A21A6B">
        <w:rPr>
          <w:rFonts w:asciiTheme="majorHAnsi" w:hAnsiTheme="majorHAnsi"/>
          <w:sz w:val="24"/>
          <w:szCs w:val="24"/>
          <w:lang w:val="ru-MD"/>
        </w:rPr>
        <w:t xml:space="preserve">еестра юридических лиц </w:t>
      </w:r>
      <w:r w:rsidR="006808F7" w:rsidRPr="00A21A6B">
        <w:rPr>
          <w:rFonts w:asciiTheme="majorHAnsi" w:hAnsiTheme="majorHAnsi"/>
          <w:sz w:val="24"/>
          <w:szCs w:val="24"/>
          <w:lang w:val="ru-MD"/>
        </w:rPr>
        <w:t>в ведении АПС</w:t>
      </w:r>
      <w:r w:rsidR="00B37F2F" w:rsidRPr="00A21A6B">
        <w:rPr>
          <w:rFonts w:asciiTheme="majorHAnsi" w:hAnsiTheme="majorHAnsi"/>
          <w:sz w:val="24"/>
          <w:szCs w:val="24"/>
          <w:lang w:val="ru-MD"/>
        </w:rPr>
        <w:t xml:space="preserve">, тем самым допуская завышение баланса группы счетов 419 </w:t>
      </w:r>
      <w:r w:rsidR="006808F7" w:rsidRPr="00A21A6B">
        <w:rPr>
          <w:rFonts w:asciiTheme="majorHAnsi" w:hAnsiTheme="majorHAnsi"/>
          <w:sz w:val="24"/>
          <w:szCs w:val="24"/>
          <w:lang w:val="ru-MD"/>
        </w:rPr>
        <w:t>„Д</w:t>
      </w:r>
      <w:r w:rsidR="00B37F2F" w:rsidRPr="00A21A6B">
        <w:rPr>
          <w:rFonts w:asciiTheme="majorHAnsi" w:hAnsiTheme="majorHAnsi"/>
          <w:sz w:val="24"/>
          <w:szCs w:val="24"/>
          <w:lang w:val="ru-MD"/>
        </w:rPr>
        <w:t xml:space="preserve">ругие </w:t>
      </w:r>
      <w:r w:rsidR="006808F7" w:rsidRPr="00A21A6B">
        <w:rPr>
          <w:rFonts w:asciiTheme="majorHAnsi" w:hAnsiTheme="majorHAnsi"/>
          <w:sz w:val="24"/>
          <w:szCs w:val="24"/>
          <w:lang w:val="ru-MD"/>
        </w:rPr>
        <w:t>обязательства</w:t>
      </w:r>
      <w:r w:rsidR="00B37F2F" w:rsidRPr="00A21A6B">
        <w:rPr>
          <w:rFonts w:asciiTheme="majorHAnsi" w:hAnsiTheme="majorHAnsi"/>
          <w:sz w:val="24"/>
          <w:szCs w:val="24"/>
          <w:lang w:val="ru-MD"/>
        </w:rPr>
        <w:t xml:space="preserve"> бюджетных органов/учреждений</w:t>
      </w:r>
      <w:r w:rsidR="006808F7" w:rsidRPr="00A21A6B">
        <w:rPr>
          <w:rFonts w:asciiTheme="majorHAnsi" w:hAnsiTheme="majorHAnsi"/>
          <w:sz w:val="24"/>
          <w:szCs w:val="24"/>
          <w:lang w:val="ru-MD"/>
        </w:rPr>
        <w:t>”</w:t>
      </w:r>
      <w:r w:rsidR="00B37F2F" w:rsidRPr="00A21A6B">
        <w:rPr>
          <w:rFonts w:asciiTheme="majorHAnsi" w:hAnsiTheme="majorHAnsi"/>
          <w:sz w:val="24"/>
          <w:szCs w:val="24"/>
          <w:lang w:val="ru-MD"/>
        </w:rPr>
        <w:t xml:space="preserve"> на </w:t>
      </w:r>
      <w:r w:rsidR="006808F7" w:rsidRPr="00A21A6B">
        <w:rPr>
          <w:rFonts w:asciiTheme="majorHAnsi" w:hAnsiTheme="majorHAnsi"/>
          <w:sz w:val="24"/>
          <w:szCs w:val="24"/>
          <w:lang w:val="ru-MD"/>
        </w:rPr>
        <w:t xml:space="preserve">сумму </w:t>
      </w:r>
      <w:r w:rsidR="00B37F2F" w:rsidRPr="00A21A6B">
        <w:rPr>
          <w:rFonts w:asciiTheme="majorHAnsi" w:hAnsiTheme="majorHAnsi"/>
          <w:sz w:val="24"/>
          <w:szCs w:val="24"/>
          <w:lang w:val="ru-MD"/>
        </w:rPr>
        <w:t>3,48 млн. ле</w:t>
      </w:r>
      <w:r w:rsidR="006808F7" w:rsidRPr="00A21A6B">
        <w:rPr>
          <w:rFonts w:asciiTheme="majorHAnsi" w:hAnsiTheme="majorHAnsi"/>
          <w:sz w:val="24"/>
          <w:szCs w:val="24"/>
          <w:lang w:val="ru-MD"/>
        </w:rPr>
        <w:t>ев</w:t>
      </w:r>
      <w:r w:rsidRPr="00A21A6B">
        <w:rPr>
          <w:rFonts w:asciiTheme="majorHAnsi" w:hAnsiTheme="majorHAnsi"/>
          <w:sz w:val="24"/>
          <w:szCs w:val="24"/>
          <w:lang w:val="ru-MD"/>
        </w:rPr>
        <w:t>.</w:t>
      </w:r>
    </w:p>
    <w:p w:rsidR="00F40961" w:rsidRPr="00A21A6B" w:rsidRDefault="00B37F2F" w:rsidP="00B37F2F">
      <w:pPr>
        <w:pStyle w:val="CommentText"/>
        <w:numPr>
          <w:ilvl w:val="1"/>
          <w:numId w:val="15"/>
        </w:numPr>
        <w:tabs>
          <w:tab w:val="left" w:pos="0"/>
        </w:tabs>
        <w:spacing w:line="276" w:lineRule="auto"/>
        <w:ind w:left="0" w:firstLine="0"/>
        <w:rPr>
          <w:rFonts w:asciiTheme="majorHAnsi" w:hAnsiTheme="majorHAnsi" w:cstheme="majorHAnsi"/>
          <w:b/>
          <w:bCs/>
          <w:sz w:val="24"/>
          <w:szCs w:val="24"/>
          <w:lang w:val="ru-MD"/>
        </w:rPr>
      </w:pPr>
      <w:r w:rsidRPr="00A21A6B">
        <w:rPr>
          <w:rFonts w:asciiTheme="majorHAnsi" w:hAnsiTheme="majorHAnsi"/>
          <w:sz w:val="24"/>
          <w:szCs w:val="24"/>
          <w:lang w:val="ru-MD"/>
        </w:rPr>
        <w:t xml:space="preserve">Министерство </w:t>
      </w:r>
      <w:r w:rsidR="006808F7" w:rsidRPr="00A21A6B">
        <w:rPr>
          <w:rFonts w:asciiTheme="majorHAnsi" w:hAnsiTheme="majorHAnsi"/>
          <w:sz w:val="24"/>
          <w:szCs w:val="24"/>
          <w:lang w:val="ru-MD"/>
        </w:rPr>
        <w:t>занизил</w:t>
      </w:r>
      <w:r w:rsidRPr="00A21A6B">
        <w:rPr>
          <w:rFonts w:asciiTheme="majorHAnsi" w:hAnsiTheme="majorHAnsi"/>
          <w:sz w:val="24"/>
          <w:szCs w:val="24"/>
          <w:lang w:val="ru-MD"/>
        </w:rPr>
        <w:t>о на 3,4 млн. ле</w:t>
      </w:r>
      <w:r w:rsidR="006808F7" w:rsidRPr="00A21A6B">
        <w:rPr>
          <w:rFonts w:asciiTheme="majorHAnsi" w:hAnsiTheme="majorHAnsi"/>
          <w:sz w:val="24"/>
          <w:szCs w:val="24"/>
          <w:lang w:val="ru-MD"/>
        </w:rPr>
        <w:t>ев</w:t>
      </w:r>
      <w:r w:rsidRPr="00A21A6B">
        <w:rPr>
          <w:rFonts w:asciiTheme="majorHAnsi" w:hAnsiTheme="majorHAnsi"/>
          <w:sz w:val="24"/>
          <w:szCs w:val="24"/>
          <w:lang w:val="ru-MD"/>
        </w:rPr>
        <w:t xml:space="preserve"> остаток на внеб</w:t>
      </w:r>
      <w:r w:rsidR="006808F7" w:rsidRPr="00A21A6B">
        <w:rPr>
          <w:rFonts w:asciiTheme="majorHAnsi" w:hAnsiTheme="majorHAnsi"/>
          <w:sz w:val="24"/>
          <w:szCs w:val="24"/>
          <w:lang w:val="ru-MD"/>
        </w:rPr>
        <w:t>алансо</w:t>
      </w:r>
      <w:r w:rsidRPr="00A21A6B">
        <w:rPr>
          <w:rFonts w:asciiTheme="majorHAnsi" w:hAnsiTheme="majorHAnsi"/>
          <w:sz w:val="24"/>
          <w:szCs w:val="24"/>
          <w:lang w:val="ru-MD"/>
        </w:rPr>
        <w:t>вом счете 811420 „</w:t>
      </w:r>
      <w:r w:rsidR="006808F7" w:rsidRPr="00A21A6B">
        <w:rPr>
          <w:rFonts w:asciiTheme="majorHAnsi" w:hAnsiTheme="majorHAnsi"/>
          <w:sz w:val="24"/>
          <w:szCs w:val="24"/>
          <w:lang w:val="ru-MD"/>
        </w:rPr>
        <w:t>Д</w:t>
      </w:r>
      <w:r w:rsidRPr="00A21A6B">
        <w:rPr>
          <w:rFonts w:asciiTheme="majorHAnsi" w:hAnsiTheme="majorHAnsi"/>
          <w:sz w:val="24"/>
          <w:szCs w:val="24"/>
          <w:lang w:val="ru-MD"/>
        </w:rPr>
        <w:t>ебиторская задолженность налогоплательщиков” в результате не</w:t>
      </w:r>
      <w:r w:rsidR="006808F7" w:rsidRPr="00A21A6B">
        <w:rPr>
          <w:rFonts w:asciiTheme="majorHAnsi" w:hAnsiTheme="majorHAnsi"/>
          <w:sz w:val="24"/>
          <w:szCs w:val="24"/>
          <w:lang w:val="ru-MD"/>
        </w:rPr>
        <w:t>выдачи</w:t>
      </w:r>
      <w:r w:rsidRPr="00A21A6B">
        <w:rPr>
          <w:rFonts w:asciiTheme="majorHAnsi" w:hAnsiTheme="majorHAnsi"/>
          <w:sz w:val="24"/>
          <w:szCs w:val="24"/>
          <w:lang w:val="ru-MD"/>
        </w:rPr>
        <w:t xml:space="preserve"> в полном объеме и в установленный срок</w:t>
      </w:r>
      <w:r w:rsidR="006808F7" w:rsidRPr="00A21A6B">
        <w:rPr>
          <w:rStyle w:val="FootnoteReference"/>
          <w:rFonts w:asciiTheme="majorHAnsi" w:hAnsiTheme="majorHAnsi"/>
          <w:sz w:val="24"/>
          <w:szCs w:val="24"/>
          <w:lang w:val="ru-MD"/>
        </w:rPr>
        <w:footnoteReference w:id="18"/>
      </w:r>
      <w:r w:rsidRPr="00A21A6B">
        <w:rPr>
          <w:rFonts w:asciiTheme="majorHAnsi" w:hAnsiTheme="majorHAnsi"/>
          <w:sz w:val="24"/>
          <w:szCs w:val="24"/>
          <w:lang w:val="ru-MD"/>
        </w:rPr>
        <w:t xml:space="preserve"> счетов</w:t>
      </w:r>
      <w:r w:rsidR="006808F7" w:rsidRPr="00A21A6B">
        <w:rPr>
          <w:rFonts w:asciiTheme="majorHAnsi" w:hAnsiTheme="majorHAnsi"/>
          <w:sz w:val="24"/>
          <w:szCs w:val="24"/>
          <w:lang w:val="ru-MD"/>
        </w:rPr>
        <w:t>-фактур на</w:t>
      </w:r>
      <w:r w:rsidRPr="00A21A6B">
        <w:rPr>
          <w:rFonts w:asciiTheme="majorHAnsi" w:hAnsiTheme="majorHAnsi"/>
          <w:sz w:val="24"/>
          <w:szCs w:val="24"/>
          <w:lang w:val="ru-MD"/>
        </w:rPr>
        <w:t xml:space="preserve"> оплат</w:t>
      </w:r>
      <w:r w:rsidR="006808F7" w:rsidRPr="00A21A6B">
        <w:rPr>
          <w:rFonts w:asciiTheme="majorHAnsi" w:hAnsiTheme="majorHAnsi"/>
          <w:sz w:val="24"/>
          <w:szCs w:val="24"/>
          <w:lang w:val="ru-MD"/>
        </w:rPr>
        <w:t>у</w:t>
      </w:r>
      <w:r w:rsidRPr="00A21A6B">
        <w:rPr>
          <w:rFonts w:asciiTheme="majorHAnsi" w:hAnsiTheme="majorHAnsi"/>
          <w:sz w:val="24"/>
          <w:szCs w:val="24"/>
          <w:lang w:val="ru-MD"/>
        </w:rPr>
        <w:t xml:space="preserve"> аренды лесного фонда, что </w:t>
      </w:r>
      <w:r w:rsidR="006808F7" w:rsidRPr="00A21A6B">
        <w:rPr>
          <w:rFonts w:asciiTheme="majorHAnsi" w:hAnsiTheme="majorHAnsi"/>
          <w:sz w:val="24"/>
          <w:szCs w:val="24"/>
          <w:lang w:val="ru-MD"/>
        </w:rPr>
        <w:t>обуслови</w:t>
      </w:r>
      <w:r w:rsidRPr="00A21A6B">
        <w:rPr>
          <w:rFonts w:asciiTheme="majorHAnsi" w:hAnsiTheme="majorHAnsi"/>
          <w:sz w:val="24"/>
          <w:szCs w:val="24"/>
          <w:lang w:val="ru-MD"/>
        </w:rPr>
        <w:t xml:space="preserve">ло </w:t>
      </w:r>
      <w:r w:rsidR="006808F7" w:rsidRPr="00A21A6B">
        <w:rPr>
          <w:rFonts w:asciiTheme="majorHAnsi" w:hAnsiTheme="majorHAnsi"/>
          <w:sz w:val="24"/>
          <w:szCs w:val="24"/>
          <w:lang w:val="ru-MD"/>
        </w:rPr>
        <w:t>неотражение</w:t>
      </w:r>
      <w:r w:rsidRPr="00A21A6B">
        <w:rPr>
          <w:rFonts w:asciiTheme="majorHAnsi" w:hAnsiTheme="majorHAnsi"/>
          <w:sz w:val="24"/>
          <w:szCs w:val="24"/>
          <w:lang w:val="ru-MD"/>
        </w:rPr>
        <w:t xml:space="preserve"> в полном объеме остатка на внеб</w:t>
      </w:r>
      <w:r w:rsidR="006808F7" w:rsidRPr="00A21A6B">
        <w:rPr>
          <w:rFonts w:asciiTheme="majorHAnsi" w:hAnsiTheme="majorHAnsi"/>
          <w:sz w:val="24"/>
          <w:szCs w:val="24"/>
          <w:lang w:val="ru-MD"/>
        </w:rPr>
        <w:t>алансов</w:t>
      </w:r>
      <w:r w:rsidRPr="00A21A6B">
        <w:rPr>
          <w:rFonts w:asciiTheme="majorHAnsi" w:hAnsiTheme="majorHAnsi"/>
          <w:sz w:val="24"/>
          <w:szCs w:val="24"/>
          <w:lang w:val="ru-MD"/>
        </w:rPr>
        <w:t xml:space="preserve">ом счете, который был </w:t>
      </w:r>
      <w:r w:rsidR="006808F7" w:rsidRPr="00A21A6B">
        <w:rPr>
          <w:rFonts w:asciiTheme="majorHAnsi" w:hAnsiTheme="majorHAnsi"/>
          <w:sz w:val="24"/>
          <w:szCs w:val="24"/>
          <w:lang w:val="ru-MD"/>
        </w:rPr>
        <w:t>заниж</w:t>
      </w:r>
      <w:r w:rsidRPr="00A21A6B">
        <w:rPr>
          <w:rFonts w:asciiTheme="majorHAnsi" w:hAnsiTheme="majorHAnsi"/>
          <w:sz w:val="24"/>
          <w:szCs w:val="24"/>
          <w:lang w:val="ru-MD"/>
        </w:rPr>
        <w:t>ен на 3,4 млн. ле</w:t>
      </w:r>
      <w:r w:rsidR="006808F7" w:rsidRPr="00A21A6B">
        <w:rPr>
          <w:rFonts w:asciiTheme="majorHAnsi" w:hAnsiTheme="majorHAnsi"/>
          <w:sz w:val="24"/>
          <w:szCs w:val="24"/>
          <w:lang w:val="ru-MD"/>
        </w:rPr>
        <w:t>ев</w:t>
      </w:r>
      <w:r w:rsidR="00F40961" w:rsidRPr="00A21A6B">
        <w:rPr>
          <w:rFonts w:asciiTheme="majorHAnsi" w:hAnsiTheme="majorHAnsi"/>
          <w:sz w:val="24"/>
          <w:szCs w:val="24"/>
          <w:lang w:val="ru-MD"/>
        </w:rPr>
        <w:t>.</w:t>
      </w:r>
    </w:p>
    <w:p w:rsidR="00F40961" w:rsidRPr="00A21A6B" w:rsidRDefault="00B37F2F" w:rsidP="00F40961">
      <w:pPr>
        <w:pStyle w:val="ListParagraph"/>
        <w:numPr>
          <w:ilvl w:val="0"/>
          <w:numId w:val="1"/>
        </w:numPr>
        <w:spacing w:before="100" w:beforeAutospacing="1" w:after="0" w:line="276" w:lineRule="auto"/>
        <w:ind w:left="0" w:right="-23" w:firstLine="284"/>
        <w:contextualSpacing w:val="0"/>
        <w:jc w:val="both"/>
        <w:rPr>
          <w:rFonts w:asciiTheme="majorHAnsi" w:hAnsiTheme="majorHAnsi" w:cstheme="majorHAnsi"/>
          <w:b/>
          <w:bCs/>
          <w:sz w:val="24"/>
          <w:szCs w:val="24"/>
          <w:lang w:val="ru-MD"/>
        </w:rPr>
      </w:pPr>
      <w:r w:rsidRPr="00A21A6B">
        <w:rPr>
          <w:rFonts w:asciiTheme="majorHAnsi" w:hAnsiTheme="majorHAnsi" w:cstheme="majorHAnsi"/>
          <w:b/>
          <w:bCs/>
          <w:sz w:val="24"/>
          <w:szCs w:val="24"/>
          <w:lang w:val="ru-MD"/>
        </w:rPr>
        <w:t>НАДЛЕЖАЩЕЕ УПРАВЛЕНИЕ</w:t>
      </w:r>
    </w:p>
    <w:p w:rsidR="00F40961" w:rsidRPr="00A21A6B" w:rsidRDefault="00B37F2F" w:rsidP="00B37F2F">
      <w:pPr>
        <w:pStyle w:val="ListParagraph"/>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Внутренний управленческий контроль в </w:t>
      </w:r>
      <w:r w:rsidR="00597B10" w:rsidRPr="00A21A6B">
        <w:rPr>
          <w:rFonts w:asciiTheme="majorHAnsi" w:hAnsiTheme="majorHAnsi" w:cstheme="majorHAnsi"/>
          <w:sz w:val="24"/>
          <w:szCs w:val="24"/>
          <w:lang w:val="ru-MD"/>
        </w:rPr>
        <w:t>рамках М</w:t>
      </w:r>
      <w:r w:rsidRPr="00A21A6B">
        <w:rPr>
          <w:rFonts w:asciiTheme="majorHAnsi" w:hAnsiTheme="majorHAnsi" w:cstheme="majorHAnsi"/>
          <w:sz w:val="24"/>
          <w:szCs w:val="24"/>
          <w:lang w:val="ru-MD"/>
        </w:rPr>
        <w:t>инистерств</w:t>
      </w:r>
      <w:r w:rsidR="00597B10"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не обеспечивает эффективно</w:t>
      </w:r>
      <w:r w:rsidR="00597B10"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выявлени</w:t>
      </w:r>
      <w:r w:rsidR="00597B10"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и управлени</w:t>
      </w:r>
      <w:r w:rsidR="00597B10"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рисками, связанными с финансово-бухгалтерским процессом, в том числе связанными с составлением консолидированных финансовых отчетов. Из всей министерской системы только 19 из 27</w:t>
      </w:r>
      <w:r w:rsidR="00597B10" w:rsidRPr="00A21A6B">
        <w:rPr>
          <w:rStyle w:val="FootnoteReference"/>
          <w:rFonts w:asciiTheme="majorHAnsi" w:eastAsia="Times New Roman" w:hAnsiTheme="majorHAnsi" w:cstheme="majorHAnsi"/>
          <w:sz w:val="24"/>
          <w:szCs w:val="24"/>
          <w:lang w:val="ru-MD"/>
        </w:rPr>
        <w:footnoteReference w:id="19"/>
      </w:r>
      <w:r w:rsidRPr="00A21A6B">
        <w:rPr>
          <w:rFonts w:asciiTheme="majorHAnsi" w:hAnsiTheme="majorHAnsi" w:cstheme="majorHAnsi"/>
          <w:sz w:val="24"/>
          <w:szCs w:val="24"/>
          <w:lang w:val="ru-MD"/>
        </w:rPr>
        <w:t xml:space="preserve"> </w:t>
      </w:r>
      <w:r w:rsidR="00597B10" w:rsidRPr="00A21A6B">
        <w:rPr>
          <w:rFonts w:asciiTheme="majorHAnsi" w:hAnsiTheme="majorHAnsi" w:cstheme="majorHAnsi"/>
          <w:sz w:val="24"/>
          <w:szCs w:val="24"/>
          <w:lang w:val="ru-MD"/>
        </w:rPr>
        <w:t>учрежден</w:t>
      </w:r>
      <w:r w:rsidRPr="00A21A6B">
        <w:rPr>
          <w:rFonts w:asciiTheme="majorHAnsi" w:hAnsiTheme="majorHAnsi" w:cstheme="majorHAnsi"/>
          <w:sz w:val="24"/>
          <w:szCs w:val="24"/>
          <w:lang w:val="ru-MD"/>
        </w:rPr>
        <w:t xml:space="preserve">ий составили </w:t>
      </w:r>
      <w:r w:rsidR="00597B10" w:rsidRPr="00A21A6B">
        <w:rPr>
          <w:rFonts w:asciiTheme="majorHAnsi" w:hAnsiTheme="majorHAnsi" w:cstheme="majorHAnsi"/>
          <w:sz w:val="24"/>
          <w:szCs w:val="24"/>
          <w:lang w:val="ru-MD"/>
        </w:rPr>
        <w:t>Д</w:t>
      </w:r>
      <w:r w:rsidRPr="00A21A6B">
        <w:rPr>
          <w:rFonts w:asciiTheme="majorHAnsi" w:hAnsiTheme="majorHAnsi" w:cstheme="majorHAnsi"/>
          <w:sz w:val="24"/>
          <w:szCs w:val="24"/>
          <w:lang w:val="ru-MD"/>
        </w:rPr>
        <w:t xml:space="preserve">екларацию </w:t>
      </w:r>
      <w:r w:rsidR="00597B10" w:rsidRPr="00A21A6B">
        <w:rPr>
          <w:rFonts w:asciiTheme="majorHAnsi" w:hAnsiTheme="majorHAnsi" w:cstheme="majorHAnsi"/>
          <w:sz w:val="24"/>
          <w:szCs w:val="24"/>
          <w:lang w:val="ru-MD"/>
        </w:rPr>
        <w:t xml:space="preserve">об </w:t>
      </w:r>
      <w:r w:rsidRPr="00A21A6B">
        <w:rPr>
          <w:rFonts w:asciiTheme="majorHAnsi" w:hAnsiTheme="majorHAnsi" w:cstheme="majorHAnsi"/>
          <w:sz w:val="24"/>
          <w:szCs w:val="24"/>
          <w:lang w:val="ru-MD"/>
        </w:rPr>
        <w:t xml:space="preserve">управленческой ответственности за 2021 год. Выявленные несоответствия </w:t>
      </w:r>
      <w:r w:rsidR="00597B10" w:rsidRPr="00A21A6B">
        <w:rPr>
          <w:rFonts w:asciiTheme="majorHAnsi" w:hAnsiTheme="majorHAnsi" w:cstheme="majorHAnsi"/>
          <w:sz w:val="24"/>
          <w:szCs w:val="24"/>
          <w:lang w:val="ru-MD"/>
        </w:rPr>
        <w:t>указыв</w:t>
      </w:r>
      <w:r w:rsidRPr="00A21A6B">
        <w:rPr>
          <w:rFonts w:asciiTheme="majorHAnsi" w:hAnsiTheme="majorHAnsi" w:cstheme="majorHAnsi"/>
          <w:sz w:val="24"/>
          <w:szCs w:val="24"/>
          <w:lang w:val="ru-MD"/>
        </w:rPr>
        <w:t xml:space="preserve">ают </w:t>
      </w:r>
      <w:r w:rsidR="00597B10" w:rsidRPr="00A21A6B">
        <w:rPr>
          <w:rFonts w:asciiTheme="majorHAnsi" w:hAnsiTheme="majorHAnsi" w:cstheme="majorHAnsi"/>
          <w:sz w:val="24"/>
          <w:szCs w:val="24"/>
          <w:lang w:val="ru-MD"/>
        </w:rPr>
        <w:t xml:space="preserve">на </w:t>
      </w:r>
      <w:r w:rsidRPr="00A21A6B">
        <w:rPr>
          <w:rFonts w:asciiTheme="majorHAnsi" w:hAnsiTheme="majorHAnsi" w:cstheme="majorHAnsi"/>
          <w:sz w:val="24"/>
          <w:szCs w:val="24"/>
          <w:lang w:val="ru-MD"/>
        </w:rPr>
        <w:t xml:space="preserve">отсутствие или недостаточность внутреннего контроля внутри них. Так, не в полной мере обеспечена функциональность ключевых </w:t>
      </w:r>
      <w:r w:rsidR="00597B10" w:rsidRPr="00A21A6B">
        <w:rPr>
          <w:rFonts w:asciiTheme="majorHAnsi" w:hAnsiTheme="majorHAnsi" w:cstheme="majorHAnsi"/>
          <w:sz w:val="24"/>
          <w:szCs w:val="24"/>
          <w:lang w:val="ru-MD"/>
        </w:rPr>
        <w:t>контролей</w:t>
      </w:r>
      <w:r w:rsidRPr="00A21A6B">
        <w:rPr>
          <w:rFonts w:asciiTheme="majorHAnsi" w:hAnsiTheme="majorHAnsi" w:cstheme="majorHAnsi"/>
          <w:sz w:val="24"/>
          <w:szCs w:val="24"/>
          <w:lang w:val="ru-MD"/>
        </w:rPr>
        <w:t>, а также выявление и управление рисками, связанными с финансово-бухгалтерским процессом, в том числе связанными с составлением консолидированн</w:t>
      </w:r>
      <w:r w:rsidR="00597B10" w:rsidRPr="00A21A6B">
        <w:rPr>
          <w:rFonts w:asciiTheme="majorHAnsi" w:hAnsiTheme="majorHAnsi" w:cstheme="majorHAnsi"/>
          <w:sz w:val="24"/>
          <w:szCs w:val="24"/>
          <w:lang w:val="ru-MD"/>
        </w:rPr>
        <w:t>ой</w:t>
      </w:r>
      <w:r w:rsidRPr="00A21A6B">
        <w:rPr>
          <w:rFonts w:asciiTheme="majorHAnsi" w:hAnsiTheme="majorHAnsi" w:cstheme="majorHAnsi"/>
          <w:sz w:val="24"/>
          <w:szCs w:val="24"/>
          <w:lang w:val="ru-MD"/>
        </w:rPr>
        <w:t xml:space="preserve"> финансов</w:t>
      </w:r>
      <w:r w:rsidR="00597B10" w:rsidRPr="00A21A6B">
        <w:rPr>
          <w:rFonts w:asciiTheme="majorHAnsi" w:hAnsiTheme="majorHAnsi" w:cstheme="majorHAnsi"/>
          <w:sz w:val="24"/>
          <w:szCs w:val="24"/>
          <w:lang w:val="ru-MD"/>
        </w:rPr>
        <w:t>ой</w:t>
      </w:r>
      <w:r w:rsidRPr="00A21A6B">
        <w:rPr>
          <w:rFonts w:asciiTheme="majorHAnsi" w:hAnsiTheme="majorHAnsi" w:cstheme="majorHAnsi"/>
          <w:sz w:val="24"/>
          <w:szCs w:val="24"/>
          <w:lang w:val="ru-MD"/>
        </w:rPr>
        <w:t xml:space="preserve"> отчет</w:t>
      </w:r>
      <w:r w:rsidR="00597B10" w:rsidRPr="00A21A6B">
        <w:rPr>
          <w:rFonts w:asciiTheme="majorHAnsi" w:hAnsiTheme="majorHAnsi" w:cstheme="majorHAnsi"/>
          <w:sz w:val="24"/>
          <w:szCs w:val="24"/>
          <w:lang w:val="ru-MD"/>
        </w:rPr>
        <w:t>ности</w:t>
      </w:r>
      <w:r w:rsidRPr="00A21A6B">
        <w:rPr>
          <w:rFonts w:asciiTheme="majorHAnsi" w:hAnsiTheme="majorHAnsi" w:cstheme="majorHAnsi"/>
          <w:sz w:val="24"/>
          <w:szCs w:val="24"/>
          <w:lang w:val="ru-MD"/>
        </w:rPr>
        <w:t xml:space="preserve">. Пробелы, выявленные в </w:t>
      </w:r>
      <w:r w:rsidR="00597B10" w:rsidRPr="00A21A6B">
        <w:rPr>
          <w:rFonts w:asciiTheme="majorHAnsi" w:hAnsiTheme="majorHAnsi" w:cstheme="majorHAnsi"/>
          <w:sz w:val="24"/>
          <w:szCs w:val="24"/>
          <w:lang w:val="ru-MD"/>
        </w:rPr>
        <w:t xml:space="preserve">рамках </w:t>
      </w:r>
      <w:r w:rsidRPr="00A21A6B">
        <w:rPr>
          <w:rFonts w:asciiTheme="majorHAnsi" w:hAnsiTheme="majorHAnsi" w:cstheme="majorHAnsi"/>
          <w:sz w:val="24"/>
          <w:szCs w:val="24"/>
          <w:lang w:val="ru-MD"/>
        </w:rPr>
        <w:t>систем</w:t>
      </w:r>
      <w:r w:rsidR="00597B10"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внутреннего управленческого контроля, повлияли на достоверность и полноту информации, отраженной в консолидированн</w:t>
      </w:r>
      <w:r w:rsidR="00597B10" w:rsidRPr="00A21A6B">
        <w:rPr>
          <w:rFonts w:asciiTheme="majorHAnsi" w:hAnsiTheme="majorHAnsi" w:cstheme="majorHAnsi"/>
          <w:sz w:val="24"/>
          <w:szCs w:val="24"/>
          <w:lang w:val="ru-MD"/>
        </w:rPr>
        <w:t>ой</w:t>
      </w:r>
      <w:r w:rsidRPr="00A21A6B">
        <w:rPr>
          <w:rFonts w:asciiTheme="majorHAnsi" w:hAnsiTheme="majorHAnsi" w:cstheme="majorHAnsi"/>
          <w:sz w:val="24"/>
          <w:szCs w:val="24"/>
          <w:lang w:val="ru-MD"/>
        </w:rPr>
        <w:t xml:space="preserve"> финансов</w:t>
      </w:r>
      <w:r w:rsidR="00597B10" w:rsidRPr="00A21A6B">
        <w:rPr>
          <w:rFonts w:asciiTheme="majorHAnsi" w:hAnsiTheme="majorHAnsi" w:cstheme="majorHAnsi"/>
          <w:sz w:val="24"/>
          <w:szCs w:val="24"/>
          <w:lang w:val="ru-MD"/>
        </w:rPr>
        <w:t>ой</w:t>
      </w:r>
      <w:r w:rsidRPr="00A21A6B">
        <w:rPr>
          <w:rFonts w:asciiTheme="majorHAnsi" w:hAnsiTheme="majorHAnsi" w:cstheme="majorHAnsi"/>
          <w:sz w:val="24"/>
          <w:szCs w:val="24"/>
          <w:lang w:val="ru-MD"/>
        </w:rPr>
        <w:t xml:space="preserve"> отчет</w:t>
      </w:r>
      <w:r w:rsidR="00597B10" w:rsidRPr="00A21A6B">
        <w:rPr>
          <w:rFonts w:asciiTheme="majorHAnsi" w:hAnsiTheme="majorHAnsi" w:cstheme="majorHAnsi"/>
          <w:sz w:val="24"/>
          <w:szCs w:val="24"/>
          <w:lang w:val="ru-MD"/>
        </w:rPr>
        <w:t>ности</w:t>
      </w:r>
      <w:r w:rsidR="00F40961" w:rsidRPr="00A21A6B">
        <w:rPr>
          <w:rFonts w:asciiTheme="majorHAnsi" w:hAnsiTheme="majorHAnsi" w:cstheme="majorHAnsi"/>
          <w:bCs/>
          <w:iCs/>
          <w:sz w:val="24"/>
          <w:szCs w:val="24"/>
          <w:lang w:val="ru-MD"/>
        </w:rPr>
        <w:t xml:space="preserve">. </w:t>
      </w:r>
    </w:p>
    <w:p w:rsidR="00F40961" w:rsidRPr="00A21A6B" w:rsidRDefault="00597B10" w:rsidP="00B37F2F">
      <w:pPr>
        <w:pStyle w:val="ListParagraph"/>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w:t>
      </w:r>
      <w:r w:rsidR="00B37F2F" w:rsidRPr="00A21A6B">
        <w:rPr>
          <w:rFonts w:asciiTheme="majorHAnsi" w:hAnsiTheme="majorHAnsi" w:cstheme="majorHAnsi"/>
          <w:sz w:val="24"/>
          <w:szCs w:val="24"/>
          <w:lang w:val="ru-MD"/>
        </w:rPr>
        <w:t xml:space="preserve">бращаем внимание на трудности, возникающие при назначении персонала на должность внутреннего аудитора, который должен был оценить все процессы </w:t>
      </w:r>
      <w:r w:rsidRPr="00A21A6B">
        <w:rPr>
          <w:rFonts w:asciiTheme="majorHAnsi" w:hAnsiTheme="majorHAnsi" w:cstheme="majorHAnsi"/>
          <w:sz w:val="24"/>
          <w:szCs w:val="24"/>
          <w:lang w:val="ru-MD"/>
        </w:rPr>
        <w:t>повышенн</w:t>
      </w:r>
      <w:r w:rsidR="00B37F2F" w:rsidRPr="00A21A6B">
        <w:rPr>
          <w:rFonts w:asciiTheme="majorHAnsi" w:hAnsiTheme="majorHAnsi" w:cstheme="majorHAnsi"/>
          <w:sz w:val="24"/>
          <w:szCs w:val="24"/>
          <w:lang w:val="ru-MD"/>
        </w:rPr>
        <w:t xml:space="preserve">ого риска, в том числе в финансово-бухгалтерской области. Таким образом, только </w:t>
      </w:r>
      <w:r w:rsidRPr="00A21A6B">
        <w:rPr>
          <w:rFonts w:asciiTheme="majorHAnsi" w:hAnsiTheme="majorHAnsi" w:cstheme="majorHAnsi"/>
          <w:sz w:val="24"/>
          <w:szCs w:val="24"/>
          <w:lang w:val="ru-MD"/>
        </w:rPr>
        <w:t>у</w:t>
      </w:r>
      <w:r w:rsidR="00B37F2F" w:rsidRPr="00A21A6B">
        <w:rPr>
          <w:rFonts w:asciiTheme="majorHAnsi" w:hAnsiTheme="majorHAnsi" w:cstheme="majorHAnsi"/>
          <w:sz w:val="24"/>
          <w:szCs w:val="24"/>
          <w:lang w:val="ru-MD"/>
        </w:rPr>
        <w:t xml:space="preserve"> 11 </w:t>
      </w:r>
      <w:r w:rsidRPr="00A21A6B">
        <w:rPr>
          <w:rFonts w:asciiTheme="majorHAnsi" w:hAnsiTheme="majorHAnsi" w:cstheme="majorHAnsi"/>
          <w:sz w:val="24"/>
          <w:szCs w:val="24"/>
          <w:lang w:val="ru-MD"/>
        </w:rPr>
        <w:t>су</w:t>
      </w:r>
      <w:r w:rsidR="00B37F2F" w:rsidRPr="00A21A6B">
        <w:rPr>
          <w:rFonts w:asciiTheme="majorHAnsi" w:hAnsiTheme="majorHAnsi" w:cstheme="majorHAnsi"/>
          <w:sz w:val="24"/>
          <w:szCs w:val="24"/>
          <w:lang w:val="ru-MD"/>
        </w:rPr>
        <w:t>бъект</w:t>
      </w:r>
      <w:r w:rsidRPr="00A21A6B">
        <w:rPr>
          <w:rFonts w:asciiTheme="majorHAnsi" w:hAnsiTheme="majorHAnsi" w:cstheme="majorHAnsi"/>
          <w:sz w:val="24"/>
          <w:szCs w:val="24"/>
          <w:lang w:val="ru-MD"/>
        </w:rPr>
        <w:t>ов</w:t>
      </w:r>
      <w:r w:rsidR="00B37F2F" w:rsidRPr="00A21A6B">
        <w:rPr>
          <w:rFonts w:asciiTheme="majorHAnsi" w:hAnsiTheme="majorHAnsi" w:cstheme="majorHAnsi"/>
          <w:sz w:val="24"/>
          <w:szCs w:val="24"/>
          <w:lang w:val="ru-MD"/>
        </w:rPr>
        <w:t xml:space="preserve"> созда</w:t>
      </w:r>
      <w:r w:rsidRPr="00A21A6B">
        <w:rPr>
          <w:rFonts w:asciiTheme="majorHAnsi" w:hAnsiTheme="majorHAnsi" w:cstheme="majorHAnsi"/>
          <w:sz w:val="24"/>
          <w:szCs w:val="24"/>
          <w:lang w:val="ru-MD"/>
        </w:rPr>
        <w:t>ны</w:t>
      </w:r>
      <w:r w:rsidR="00B37F2F" w:rsidRPr="00A21A6B">
        <w:rPr>
          <w:rFonts w:asciiTheme="majorHAnsi" w:hAnsiTheme="majorHAnsi" w:cstheme="majorHAnsi"/>
          <w:sz w:val="24"/>
          <w:szCs w:val="24"/>
          <w:lang w:val="ru-MD"/>
        </w:rPr>
        <w:t xml:space="preserve"> подразделения внутреннего аудита с</w:t>
      </w:r>
      <w:r w:rsidR="002455CF" w:rsidRPr="00A21A6B">
        <w:rPr>
          <w:rFonts w:asciiTheme="majorHAnsi" w:hAnsiTheme="majorHAnsi" w:cstheme="majorHAnsi"/>
          <w:sz w:val="24"/>
          <w:szCs w:val="24"/>
          <w:lang w:val="ru-MD"/>
        </w:rPr>
        <w:t>о</w:t>
      </w:r>
      <w:r w:rsidR="00B37F2F" w:rsidRPr="00A21A6B">
        <w:rPr>
          <w:rFonts w:asciiTheme="majorHAnsi" w:hAnsiTheme="majorHAnsi" w:cstheme="majorHAnsi"/>
          <w:sz w:val="24"/>
          <w:szCs w:val="24"/>
          <w:lang w:val="ru-MD"/>
        </w:rPr>
        <w:t xml:space="preserve"> штатом из 13 человек, из которых 7,5 единиц персонала являются вакантными. Не</w:t>
      </w:r>
      <w:r w:rsidR="002455CF" w:rsidRPr="00A21A6B">
        <w:rPr>
          <w:rFonts w:asciiTheme="majorHAnsi" w:hAnsiTheme="majorHAnsi" w:cstheme="majorHAnsi"/>
          <w:sz w:val="24"/>
          <w:szCs w:val="24"/>
          <w:lang w:val="ru-MD"/>
        </w:rPr>
        <w:t>п</w:t>
      </w:r>
      <w:r w:rsidR="00B37F2F" w:rsidRPr="00A21A6B">
        <w:rPr>
          <w:rFonts w:asciiTheme="majorHAnsi" w:hAnsiTheme="majorHAnsi" w:cstheme="majorHAnsi"/>
          <w:sz w:val="24"/>
          <w:szCs w:val="24"/>
          <w:lang w:val="ru-MD"/>
        </w:rPr>
        <w:t>опол</w:t>
      </w:r>
      <w:r w:rsidR="002455CF" w:rsidRPr="00A21A6B">
        <w:rPr>
          <w:rFonts w:asciiTheme="majorHAnsi" w:hAnsiTheme="majorHAnsi" w:cstheme="majorHAnsi"/>
          <w:sz w:val="24"/>
          <w:szCs w:val="24"/>
          <w:lang w:val="ru-MD"/>
        </w:rPr>
        <w:t>н</w:t>
      </w:r>
      <w:r w:rsidR="00B37F2F" w:rsidRPr="00A21A6B">
        <w:rPr>
          <w:rFonts w:asciiTheme="majorHAnsi" w:hAnsiTheme="majorHAnsi" w:cstheme="majorHAnsi"/>
          <w:sz w:val="24"/>
          <w:szCs w:val="24"/>
          <w:lang w:val="ru-MD"/>
        </w:rPr>
        <w:t xml:space="preserve">ение должностей внутреннего аудитора обусловлено продлением моратория на </w:t>
      </w:r>
      <w:r w:rsidR="002455CF" w:rsidRPr="00A21A6B">
        <w:rPr>
          <w:rFonts w:asciiTheme="majorHAnsi" w:hAnsiTheme="majorHAnsi" w:cstheme="majorHAnsi"/>
          <w:sz w:val="24"/>
          <w:szCs w:val="24"/>
          <w:lang w:val="ru-MD"/>
        </w:rPr>
        <w:t>найм</w:t>
      </w:r>
      <w:r w:rsidR="00B37F2F" w:rsidRPr="00A21A6B">
        <w:rPr>
          <w:rFonts w:asciiTheme="majorHAnsi" w:hAnsiTheme="majorHAnsi" w:cstheme="majorHAnsi"/>
          <w:sz w:val="24"/>
          <w:szCs w:val="24"/>
          <w:lang w:val="ru-MD"/>
        </w:rPr>
        <w:t xml:space="preserve"> персонала </w:t>
      </w:r>
      <w:r w:rsidR="002455CF" w:rsidRPr="00A21A6B">
        <w:rPr>
          <w:rFonts w:asciiTheme="majorHAnsi" w:hAnsiTheme="majorHAnsi" w:cstheme="majorHAnsi"/>
          <w:sz w:val="24"/>
          <w:szCs w:val="24"/>
          <w:lang w:val="ru-MD"/>
        </w:rPr>
        <w:t xml:space="preserve">из </w:t>
      </w:r>
      <w:r w:rsidR="00B37F2F" w:rsidRPr="00A21A6B">
        <w:rPr>
          <w:rFonts w:asciiTheme="majorHAnsi" w:hAnsiTheme="majorHAnsi" w:cstheme="majorHAnsi"/>
          <w:sz w:val="24"/>
          <w:szCs w:val="24"/>
          <w:lang w:val="ru-MD"/>
        </w:rPr>
        <w:t xml:space="preserve">бюджетного сектора </w:t>
      </w:r>
      <w:r w:rsidR="002455CF" w:rsidRPr="00A21A6B">
        <w:rPr>
          <w:rFonts w:asciiTheme="majorHAnsi" w:hAnsiTheme="majorHAnsi" w:cstheme="majorHAnsi"/>
          <w:sz w:val="24"/>
          <w:szCs w:val="24"/>
          <w:lang w:val="ru-MD"/>
        </w:rPr>
        <w:t>на</w:t>
      </w:r>
      <w:r w:rsidR="00B37F2F" w:rsidRPr="00A21A6B">
        <w:rPr>
          <w:rFonts w:asciiTheme="majorHAnsi" w:hAnsiTheme="majorHAnsi" w:cstheme="majorHAnsi"/>
          <w:sz w:val="24"/>
          <w:szCs w:val="24"/>
          <w:lang w:val="ru-MD"/>
        </w:rPr>
        <w:t xml:space="preserve"> вакантны</w:t>
      </w:r>
      <w:r w:rsidR="002455CF" w:rsidRPr="00A21A6B">
        <w:rPr>
          <w:rFonts w:asciiTheme="majorHAnsi" w:hAnsiTheme="majorHAnsi" w:cstheme="majorHAnsi"/>
          <w:sz w:val="24"/>
          <w:szCs w:val="24"/>
          <w:lang w:val="ru-MD"/>
        </w:rPr>
        <w:t>х</w:t>
      </w:r>
      <w:r w:rsidR="00B37F2F" w:rsidRPr="00A21A6B">
        <w:rPr>
          <w:rFonts w:asciiTheme="majorHAnsi" w:hAnsiTheme="majorHAnsi" w:cstheme="majorHAnsi"/>
          <w:sz w:val="24"/>
          <w:szCs w:val="24"/>
          <w:lang w:val="ru-MD"/>
        </w:rPr>
        <w:t xml:space="preserve"> должностя</w:t>
      </w:r>
      <w:r w:rsidR="002455CF" w:rsidRPr="00A21A6B">
        <w:rPr>
          <w:rFonts w:asciiTheme="majorHAnsi" w:hAnsiTheme="majorHAnsi" w:cstheme="majorHAnsi"/>
          <w:sz w:val="24"/>
          <w:szCs w:val="24"/>
          <w:lang w:val="ru-MD"/>
        </w:rPr>
        <w:t>х</w:t>
      </w:r>
      <w:r w:rsidR="00B37F2F" w:rsidRPr="00A21A6B">
        <w:rPr>
          <w:rFonts w:asciiTheme="majorHAnsi" w:hAnsiTheme="majorHAnsi" w:cstheme="majorHAnsi"/>
          <w:sz w:val="24"/>
          <w:szCs w:val="24"/>
          <w:lang w:val="ru-MD"/>
        </w:rPr>
        <w:t>, зарегистрированны</w:t>
      </w:r>
      <w:r w:rsidR="002455CF" w:rsidRPr="00A21A6B">
        <w:rPr>
          <w:rFonts w:asciiTheme="majorHAnsi" w:hAnsiTheme="majorHAnsi" w:cstheme="majorHAnsi"/>
          <w:sz w:val="24"/>
          <w:szCs w:val="24"/>
          <w:lang w:val="ru-MD"/>
        </w:rPr>
        <w:t>х</w:t>
      </w:r>
      <w:r w:rsidR="00B37F2F" w:rsidRPr="00A21A6B">
        <w:rPr>
          <w:rFonts w:asciiTheme="majorHAnsi" w:hAnsiTheme="majorHAnsi" w:cstheme="majorHAnsi"/>
          <w:sz w:val="24"/>
          <w:szCs w:val="24"/>
          <w:lang w:val="ru-MD"/>
        </w:rPr>
        <w:t xml:space="preserve"> на 2021 год.</w:t>
      </w:r>
      <w:r w:rsidR="00F40961" w:rsidRPr="00A21A6B">
        <w:rPr>
          <w:rFonts w:asciiTheme="majorHAnsi" w:hAnsiTheme="majorHAnsi" w:cstheme="majorHAnsi"/>
          <w:sz w:val="24"/>
          <w:szCs w:val="24"/>
          <w:lang w:val="ru-MD"/>
        </w:rPr>
        <w:t xml:space="preserve"> </w:t>
      </w:r>
      <w:r w:rsidR="00B37F2F" w:rsidRPr="00A21A6B">
        <w:rPr>
          <w:rFonts w:asciiTheme="majorHAnsi" w:hAnsiTheme="majorHAnsi" w:cstheme="majorHAnsi"/>
          <w:sz w:val="24"/>
          <w:szCs w:val="24"/>
          <w:lang w:val="ru-MD"/>
        </w:rPr>
        <w:t xml:space="preserve">Пополнение на очень низком уровне </w:t>
      </w:r>
      <w:r w:rsidR="002455CF" w:rsidRPr="00A21A6B">
        <w:rPr>
          <w:rFonts w:asciiTheme="majorHAnsi" w:hAnsiTheme="majorHAnsi" w:cstheme="majorHAnsi"/>
          <w:sz w:val="24"/>
          <w:szCs w:val="24"/>
          <w:lang w:val="ru-MD"/>
        </w:rPr>
        <w:t xml:space="preserve">подразделений внутреннего аудита единицами персонала </w:t>
      </w:r>
      <w:r w:rsidR="00B37F2F" w:rsidRPr="00A21A6B">
        <w:rPr>
          <w:rFonts w:asciiTheme="majorHAnsi" w:hAnsiTheme="majorHAnsi" w:cstheme="majorHAnsi"/>
          <w:sz w:val="24"/>
          <w:szCs w:val="24"/>
          <w:lang w:val="ru-MD"/>
        </w:rPr>
        <w:t xml:space="preserve">уменьшило возможности руководителей учреждений получать соответствующие оценки и рекомендации для правильного управления </w:t>
      </w:r>
      <w:r w:rsidR="002455CF" w:rsidRPr="00A21A6B">
        <w:rPr>
          <w:rFonts w:asciiTheme="majorHAnsi" w:hAnsiTheme="majorHAnsi" w:cstheme="majorHAnsi"/>
          <w:sz w:val="24"/>
          <w:szCs w:val="24"/>
          <w:lang w:val="ru-MD"/>
        </w:rPr>
        <w:t>публич</w:t>
      </w:r>
      <w:r w:rsidR="00B37F2F" w:rsidRPr="00A21A6B">
        <w:rPr>
          <w:rFonts w:asciiTheme="majorHAnsi" w:hAnsiTheme="majorHAnsi" w:cstheme="majorHAnsi"/>
          <w:sz w:val="24"/>
          <w:szCs w:val="24"/>
          <w:lang w:val="ru-MD"/>
        </w:rPr>
        <w:t xml:space="preserve">ными </w:t>
      </w:r>
      <w:r w:rsidR="002455CF" w:rsidRPr="00A21A6B">
        <w:rPr>
          <w:rFonts w:asciiTheme="majorHAnsi" w:hAnsiTheme="majorHAnsi" w:cstheme="majorHAnsi"/>
          <w:sz w:val="24"/>
          <w:szCs w:val="24"/>
          <w:lang w:val="ru-MD"/>
        </w:rPr>
        <w:t>средств</w:t>
      </w:r>
      <w:r w:rsidR="00B37F2F" w:rsidRPr="00A21A6B">
        <w:rPr>
          <w:rFonts w:asciiTheme="majorHAnsi" w:hAnsiTheme="majorHAnsi" w:cstheme="majorHAnsi"/>
          <w:sz w:val="24"/>
          <w:szCs w:val="24"/>
          <w:lang w:val="ru-MD"/>
        </w:rPr>
        <w:t xml:space="preserve">ами. </w:t>
      </w:r>
      <w:r w:rsidR="002455CF" w:rsidRPr="00A21A6B">
        <w:rPr>
          <w:rFonts w:asciiTheme="majorHAnsi" w:hAnsiTheme="majorHAnsi" w:cstheme="majorHAnsi"/>
          <w:sz w:val="24"/>
          <w:szCs w:val="24"/>
          <w:lang w:val="ru-MD"/>
        </w:rPr>
        <w:t>Как с</w:t>
      </w:r>
      <w:r w:rsidR="00B37F2F" w:rsidRPr="00A21A6B">
        <w:rPr>
          <w:rFonts w:asciiTheme="majorHAnsi" w:hAnsiTheme="majorHAnsi" w:cstheme="majorHAnsi"/>
          <w:sz w:val="24"/>
          <w:szCs w:val="24"/>
          <w:lang w:val="ru-MD"/>
        </w:rPr>
        <w:t>лед</w:t>
      </w:r>
      <w:r w:rsidR="002455CF" w:rsidRPr="00A21A6B">
        <w:rPr>
          <w:rFonts w:asciiTheme="majorHAnsi" w:hAnsiTheme="majorHAnsi" w:cstheme="majorHAnsi"/>
          <w:sz w:val="24"/>
          <w:szCs w:val="24"/>
          <w:lang w:val="ru-MD"/>
        </w:rPr>
        <w:t>ствие</w:t>
      </w:r>
      <w:r w:rsidR="00B37F2F" w:rsidRPr="00A21A6B">
        <w:rPr>
          <w:rFonts w:asciiTheme="majorHAnsi" w:hAnsiTheme="majorHAnsi" w:cstheme="majorHAnsi"/>
          <w:sz w:val="24"/>
          <w:szCs w:val="24"/>
          <w:lang w:val="ru-MD"/>
        </w:rPr>
        <w:t xml:space="preserve">, </w:t>
      </w:r>
      <w:r w:rsidR="002455CF" w:rsidRPr="00A21A6B">
        <w:rPr>
          <w:rFonts w:asciiTheme="majorHAnsi" w:hAnsiTheme="majorHAnsi" w:cstheme="majorHAnsi"/>
          <w:sz w:val="24"/>
          <w:szCs w:val="24"/>
          <w:lang w:val="ru-MD"/>
        </w:rPr>
        <w:t xml:space="preserve">не была обеспечена ожидаемая </w:t>
      </w:r>
      <w:r w:rsidR="00B37F2F" w:rsidRPr="00A21A6B">
        <w:rPr>
          <w:rFonts w:asciiTheme="majorHAnsi" w:hAnsiTheme="majorHAnsi" w:cstheme="majorHAnsi"/>
          <w:sz w:val="24"/>
          <w:szCs w:val="24"/>
          <w:lang w:val="ru-MD"/>
        </w:rPr>
        <w:t xml:space="preserve">уверенность в эффективности или неэффективности ключевых контрольных </w:t>
      </w:r>
      <w:r w:rsidR="002455CF" w:rsidRPr="00A21A6B">
        <w:rPr>
          <w:rFonts w:asciiTheme="majorHAnsi" w:hAnsiTheme="majorHAnsi" w:cstheme="majorHAnsi"/>
          <w:sz w:val="24"/>
          <w:szCs w:val="24"/>
          <w:lang w:val="ru-MD"/>
        </w:rPr>
        <w:t>мероприят</w:t>
      </w:r>
      <w:r w:rsidR="00B37F2F" w:rsidRPr="00A21A6B">
        <w:rPr>
          <w:rFonts w:asciiTheme="majorHAnsi" w:hAnsiTheme="majorHAnsi" w:cstheme="majorHAnsi"/>
          <w:sz w:val="24"/>
          <w:szCs w:val="24"/>
          <w:lang w:val="ru-MD"/>
        </w:rPr>
        <w:t xml:space="preserve">ий. Слабые </w:t>
      </w:r>
      <w:r w:rsidR="002455CF" w:rsidRPr="00A21A6B">
        <w:rPr>
          <w:rFonts w:asciiTheme="majorHAnsi" w:hAnsiTheme="majorHAnsi" w:cstheme="majorHAnsi"/>
          <w:sz w:val="24"/>
          <w:szCs w:val="24"/>
          <w:lang w:val="ru-MD"/>
        </w:rPr>
        <w:t>стороны</w:t>
      </w:r>
      <w:r w:rsidR="00B37F2F" w:rsidRPr="00A21A6B">
        <w:rPr>
          <w:rFonts w:asciiTheme="majorHAnsi" w:hAnsiTheme="majorHAnsi" w:cstheme="majorHAnsi"/>
          <w:sz w:val="24"/>
          <w:szCs w:val="24"/>
          <w:lang w:val="ru-MD"/>
        </w:rPr>
        <w:t xml:space="preserve"> действи</w:t>
      </w:r>
      <w:r w:rsidR="002455CF" w:rsidRPr="00A21A6B">
        <w:rPr>
          <w:rFonts w:asciiTheme="majorHAnsi" w:hAnsiTheme="majorHAnsi" w:cstheme="majorHAnsi"/>
          <w:sz w:val="24"/>
          <w:szCs w:val="24"/>
          <w:lang w:val="ru-MD"/>
        </w:rPr>
        <w:t>й</w:t>
      </w:r>
      <w:r w:rsidR="00B37F2F" w:rsidRPr="00A21A6B">
        <w:rPr>
          <w:rFonts w:asciiTheme="majorHAnsi" w:hAnsiTheme="majorHAnsi" w:cstheme="majorHAnsi"/>
          <w:sz w:val="24"/>
          <w:szCs w:val="24"/>
          <w:lang w:val="ru-MD"/>
        </w:rPr>
        <w:t xml:space="preserve"> внутреннего контроля не идентифицируются </w:t>
      </w:r>
      <w:r w:rsidR="002455CF" w:rsidRPr="00A21A6B">
        <w:rPr>
          <w:rFonts w:asciiTheme="majorHAnsi" w:hAnsiTheme="majorHAnsi" w:cstheme="majorHAnsi"/>
          <w:sz w:val="24"/>
          <w:szCs w:val="24"/>
          <w:lang w:val="ru-MD"/>
        </w:rPr>
        <w:t xml:space="preserve">на систематической основе, </w:t>
      </w:r>
      <w:r w:rsidR="00B37F2F" w:rsidRPr="00A21A6B">
        <w:rPr>
          <w:rFonts w:asciiTheme="majorHAnsi" w:hAnsiTheme="majorHAnsi" w:cstheme="majorHAnsi"/>
          <w:sz w:val="24"/>
          <w:szCs w:val="24"/>
          <w:lang w:val="ru-MD"/>
        </w:rPr>
        <w:t xml:space="preserve">и не </w:t>
      </w:r>
      <w:r w:rsidR="002455CF" w:rsidRPr="00A21A6B">
        <w:rPr>
          <w:rFonts w:asciiTheme="majorHAnsi" w:hAnsiTheme="majorHAnsi" w:cstheme="majorHAnsi"/>
          <w:sz w:val="24"/>
          <w:szCs w:val="24"/>
          <w:lang w:val="ru-MD"/>
        </w:rPr>
        <w:t>рассматрива</w:t>
      </w:r>
      <w:r w:rsidR="00B37F2F" w:rsidRPr="00A21A6B">
        <w:rPr>
          <w:rFonts w:asciiTheme="majorHAnsi" w:hAnsiTheme="majorHAnsi" w:cstheme="majorHAnsi"/>
          <w:sz w:val="24"/>
          <w:szCs w:val="24"/>
          <w:lang w:val="ru-MD"/>
        </w:rPr>
        <w:t>ются руководством. В этих условиях</w:t>
      </w:r>
      <w:r w:rsidR="002455CF" w:rsidRPr="00A21A6B">
        <w:rPr>
          <w:rFonts w:asciiTheme="majorHAnsi" w:hAnsiTheme="majorHAnsi" w:cstheme="majorHAnsi"/>
          <w:sz w:val="24"/>
          <w:szCs w:val="24"/>
          <w:lang w:val="ru-MD"/>
        </w:rPr>
        <w:t>,</w:t>
      </w:r>
      <w:r w:rsidR="00B37F2F" w:rsidRPr="00A21A6B">
        <w:rPr>
          <w:rFonts w:asciiTheme="majorHAnsi" w:hAnsiTheme="majorHAnsi" w:cstheme="majorHAnsi"/>
          <w:sz w:val="24"/>
          <w:szCs w:val="24"/>
          <w:lang w:val="ru-MD"/>
        </w:rPr>
        <w:t xml:space="preserve"> руководств</w:t>
      </w:r>
      <w:r w:rsidR="002455CF" w:rsidRPr="00A21A6B">
        <w:rPr>
          <w:rFonts w:asciiTheme="majorHAnsi" w:hAnsiTheme="majorHAnsi" w:cstheme="majorHAnsi"/>
          <w:sz w:val="24"/>
          <w:szCs w:val="24"/>
          <w:lang w:val="ru-MD"/>
        </w:rPr>
        <w:t>о</w:t>
      </w:r>
      <w:r w:rsidR="00B37F2F" w:rsidRPr="00A21A6B">
        <w:rPr>
          <w:rFonts w:asciiTheme="majorHAnsi" w:hAnsiTheme="majorHAnsi" w:cstheme="majorHAnsi"/>
          <w:sz w:val="24"/>
          <w:szCs w:val="24"/>
          <w:lang w:val="ru-MD"/>
        </w:rPr>
        <w:t xml:space="preserve"> </w:t>
      </w:r>
      <w:r w:rsidR="002455CF" w:rsidRPr="00A21A6B">
        <w:rPr>
          <w:rFonts w:asciiTheme="majorHAnsi" w:hAnsiTheme="majorHAnsi" w:cstheme="majorHAnsi"/>
          <w:sz w:val="24"/>
          <w:szCs w:val="24"/>
          <w:lang w:val="ru-MD"/>
        </w:rPr>
        <w:t>М</w:t>
      </w:r>
      <w:r w:rsidR="00B37F2F" w:rsidRPr="00A21A6B">
        <w:rPr>
          <w:rFonts w:asciiTheme="majorHAnsi" w:hAnsiTheme="majorHAnsi" w:cstheme="majorHAnsi"/>
          <w:sz w:val="24"/>
          <w:szCs w:val="24"/>
          <w:lang w:val="ru-MD"/>
        </w:rPr>
        <w:t xml:space="preserve">инистерства </w:t>
      </w:r>
      <w:r w:rsidR="002455CF" w:rsidRPr="00A21A6B">
        <w:rPr>
          <w:rFonts w:asciiTheme="majorHAnsi" w:hAnsiTheme="majorHAnsi" w:cstheme="majorHAnsi"/>
          <w:sz w:val="24"/>
          <w:szCs w:val="24"/>
          <w:lang w:val="ru-MD"/>
        </w:rPr>
        <w:t>было лишено</w:t>
      </w:r>
      <w:r w:rsidR="00B37F2F" w:rsidRPr="00A21A6B">
        <w:rPr>
          <w:rFonts w:asciiTheme="majorHAnsi" w:hAnsiTheme="majorHAnsi" w:cstheme="majorHAnsi"/>
          <w:sz w:val="24"/>
          <w:szCs w:val="24"/>
          <w:lang w:val="ru-MD"/>
        </w:rPr>
        <w:t xml:space="preserve"> инструмента, обеспечивающего </w:t>
      </w:r>
      <w:r w:rsidR="002455CF" w:rsidRPr="00A21A6B">
        <w:rPr>
          <w:rFonts w:asciiTheme="majorHAnsi" w:hAnsiTheme="majorHAnsi" w:cstheme="majorHAnsi"/>
          <w:sz w:val="24"/>
          <w:szCs w:val="24"/>
          <w:lang w:val="ru-MD"/>
        </w:rPr>
        <w:t>прудентн</w:t>
      </w:r>
      <w:r w:rsidR="00B37F2F" w:rsidRPr="00A21A6B">
        <w:rPr>
          <w:rFonts w:asciiTheme="majorHAnsi" w:hAnsiTheme="majorHAnsi" w:cstheme="majorHAnsi"/>
          <w:sz w:val="24"/>
          <w:szCs w:val="24"/>
          <w:lang w:val="ru-MD"/>
        </w:rPr>
        <w:t>ое управление рисками, способствующего улучшению внутреннего управленческого контроля, а также повышающего уровень эффективности и результативности управляемых процессов</w:t>
      </w:r>
      <w:r w:rsidR="00F40961" w:rsidRPr="00A21A6B">
        <w:rPr>
          <w:rFonts w:asciiTheme="majorHAnsi" w:hAnsiTheme="majorHAnsi" w:cstheme="majorHAnsi"/>
          <w:sz w:val="24"/>
          <w:szCs w:val="24"/>
          <w:lang w:val="ru-MD"/>
        </w:rPr>
        <w:t xml:space="preserve">. </w:t>
      </w:r>
    </w:p>
    <w:p w:rsidR="00F40961" w:rsidRPr="00A21A6B" w:rsidRDefault="00B37F2F" w:rsidP="00B37F2F">
      <w:pPr>
        <w:pStyle w:val="ListParagraph"/>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Отме</w:t>
      </w:r>
      <w:r w:rsidR="0059174A" w:rsidRPr="00A21A6B">
        <w:rPr>
          <w:rFonts w:asciiTheme="majorHAnsi" w:hAnsiTheme="majorHAnsi" w:cstheme="majorHAnsi"/>
          <w:sz w:val="24"/>
          <w:szCs w:val="24"/>
          <w:lang w:val="ru-MD"/>
        </w:rPr>
        <w:t>чается</w:t>
      </w:r>
      <w:r w:rsidRPr="00A21A6B">
        <w:rPr>
          <w:rFonts w:asciiTheme="majorHAnsi" w:hAnsiTheme="majorHAnsi" w:cstheme="majorHAnsi"/>
          <w:sz w:val="24"/>
          <w:szCs w:val="24"/>
          <w:lang w:val="ru-MD"/>
        </w:rPr>
        <w:t xml:space="preserve">, что, хотя в рамках </w:t>
      </w:r>
      <w:r w:rsidR="0059174A" w:rsidRPr="00A21A6B">
        <w:rPr>
          <w:rFonts w:asciiTheme="majorHAnsi" w:hAnsiTheme="majorHAnsi" w:cstheme="majorHAnsi"/>
          <w:sz w:val="24"/>
          <w:szCs w:val="24"/>
          <w:lang w:val="ru-MD"/>
        </w:rPr>
        <w:t xml:space="preserve">проведенной в предыдущем году </w:t>
      </w:r>
      <w:r w:rsidRPr="00A21A6B">
        <w:rPr>
          <w:rFonts w:asciiTheme="majorHAnsi" w:hAnsiTheme="majorHAnsi" w:cstheme="majorHAnsi"/>
          <w:sz w:val="24"/>
          <w:szCs w:val="24"/>
          <w:lang w:val="ru-MD"/>
        </w:rPr>
        <w:t xml:space="preserve">аудиторской миссии было представлено 26 </w:t>
      </w:r>
      <w:r w:rsidR="0059174A" w:rsidRPr="00A21A6B">
        <w:rPr>
          <w:rFonts w:asciiTheme="majorHAnsi" w:hAnsiTheme="majorHAnsi" w:cstheme="majorHAnsi"/>
          <w:sz w:val="24"/>
          <w:szCs w:val="24"/>
          <w:lang w:val="ru-MD"/>
        </w:rPr>
        <w:t xml:space="preserve">аудиторских </w:t>
      </w:r>
      <w:r w:rsidRPr="00A21A6B">
        <w:rPr>
          <w:rFonts w:asciiTheme="majorHAnsi" w:hAnsiTheme="majorHAnsi" w:cstheme="majorHAnsi"/>
          <w:sz w:val="24"/>
          <w:szCs w:val="24"/>
          <w:lang w:val="ru-MD"/>
        </w:rPr>
        <w:t xml:space="preserve">рекомендаций, </w:t>
      </w:r>
      <w:r w:rsidR="0059174A" w:rsidRPr="00A21A6B">
        <w:rPr>
          <w:rFonts w:asciiTheme="majorHAnsi" w:hAnsiTheme="majorHAnsi" w:cstheme="majorHAnsi"/>
          <w:sz w:val="24"/>
          <w:szCs w:val="24"/>
          <w:lang w:val="ru-MD"/>
        </w:rPr>
        <w:t>призна</w:t>
      </w:r>
      <w:r w:rsidRPr="00A21A6B">
        <w:rPr>
          <w:rFonts w:asciiTheme="majorHAnsi" w:hAnsiTheme="majorHAnsi" w:cstheme="majorHAnsi"/>
          <w:sz w:val="24"/>
          <w:szCs w:val="24"/>
          <w:lang w:val="ru-MD"/>
        </w:rPr>
        <w:t>нных содейств</w:t>
      </w:r>
      <w:r w:rsidR="0059174A" w:rsidRPr="00A21A6B">
        <w:rPr>
          <w:rFonts w:asciiTheme="majorHAnsi" w:hAnsiTheme="majorHAnsi" w:cstheme="majorHAnsi"/>
          <w:sz w:val="24"/>
          <w:szCs w:val="24"/>
          <w:lang w:val="ru-MD"/>
        </w:rPr>
        <w:t>овать</w:t>
      </w:r>
      <w:r w:rsidRPr="00A21A6B">
        <w:rPr>
          <w:rFonts w:asciiTheme="majorHAnsi" w:hAnsiTheme="majorHAnsi" w:cstheme="majorHAnsi"/>
          <w:sz w:val="24"/>
          <w:szCs w:val="24"/>
          <w:lang w:val="ru-MD"/>
        </w:rPr>
        <w:t xml:space="preserve"> устранению выявленных несоответствий, лица, принимающие решения</w:t>
      </w:r>
      <w:r w:rsidR="0059174A"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некоторых </w:t>
      </w:r>
      <w:r w:rsidR="0059174A" w:rsidRPr="00A21A6B">
        <w:rPr>
          <w:rFonts w:asciiTheme="majorHAnsi" w:hAnsiTheme="majorHAnsi" w:cstheme="majorHAnsi"/>
          <w:sz w:val="24"/>
          <w:szCs w:val="24"/>
          <w:lang w:val="ru-MD"/>
        </w:rPr>
        <w:t>субъектов</w:t>
      </w:r>
      <w:r w:rsidRPr="00A21A6B">
        <w:rPr>
          <w:rFonts w:asciiTheme="majorHAnsi" w:hAnsiTheme="majorHAnsi" w:cstheme="majorHAnsi"/>
          <w:sz w:val="24"/>
          <w:szCs w:val="24"/>
          <w:lang w:val="ru-MD"/>
        </w:rPr>
        <w:t xml:space="preserve"> не предприняли необходимых мер в этом отношении, таким образом, в результате оценки степени их реализации было установлено, что 3 рекомендации были реализованы полностью, 3 рекомендации были реализованы частично, остальные 20 рекомендаций не были реализованы, уровень выполнения рекомендаций составил 17,3%. Нереализованные рекомендации были повтор</w:t>
      </w:r>
      <w:r w:rsidR="0059174A" w:rsidRPr="00A21A6B">
        <w:rPr>
          <w:rFonts w:asciiTheme="majorHAnsi" w:hAnsiTheme="majorHAnsi" w:cstheme="majorHAnsi"/>
          <w:sz w:val="24"/>
          <w:szCs w:val="24"/>
          <w:lang w:val="ru-MD"/>
        </w:rPr>
        <w:t>но изложены</w:t>
      </w:r>
      <w:r w:rsidRPr="00A21A6B">
        <w:rPr>
          <w:rFonts w:asciiTheme="majorHAnsi" w:hAnsiTheme="majorHAnsi" w:cstheme="majorHAnsi"/>
          <w:sz w:val="24"/>
          <w:szCs w:val="24"/>
          <w:lang w:val="ru-MD"/>
        </w:rPr>
        <w:t xml:space="preserve"> и </w:t>
      </w:r>
      <w:r w:rsidR="0059174A" w:rsidRPr="00A21A6B">
        <w:rPr>
          <w:rFonts w:asciiTheme="majorHAnsi" w:hAnsiTheme="majorHAnsi" w:cstheme="majorHAnsi"/>
          <w:sz w:val="24"/>
          <w:szCs w:val="24"/>
          <w:lang w:val="ru-MD"/>
        </w:rPr>
        <w:t>направле</w:t>
      </w:r>
      <w:r w:rsidRPr="00A21A6B">
        <w:rPr>
          <w:rFonts w:asciiTheme="majorHAnsi" w:hAnsiTheme="majorHAnsi" w:cstheme="majorHAnsi"/>
          <w:sz w:val="24"/>
          <w:szCs w:val="24"/>
          <w:lang w:val="ru-MD"/>
        </w:rPr>
        <w:t>ны вновь созданным министерствам</w:t>
      </w:r>
      <w:r w:rsidR="00F40961" w:rsidRPr="00A21A6B">
        <w:rPr>
          <w:rFonts w:asciiTheme="majorHAnsi" w:hAnsiTheme="majorHAnsi" w:cstheme="majorHAnsi"/>
          <w:sz w:val="24"/>
          <w:szCs w:val="24"/>
          <w:lang w:val="ru-MD"/>
        </w:rPr>
        <w:t xml:space="preserve">. </w:t>
      </w:r>
    </w:p>
    <w:p w:rsidR="00F40961" w:rsidRPr="00A21A6B" w:rsidRDefault="00F40961" w:rsidP="00A03471">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 </w:t>
      </w:r>
      <w:r w:rsidR="00B37F2F" w:rsidRPr="00A21A6B">
        <w:rPr>
          <w:rFonts w:asciiTheme="majorHAnsi" w:hAnsiTheme="majorHAnsi" w:cstheme="majorHAnsi"/>
          <w:sz w:val="24"/>
          <w:szCs w:val="24"/>
          <w:lang w:val="ru-MD"/>
        </w:rPr>
        <w:t>В ходе аудиторской миссии мы обратили внимание на недостатки, которые, хотя и не повлияли на аудиторское мнение, п</w:t>
      </w:r>
      <w:r w:rsidR="0056466F" w:rsidRPr="00A21A6B">
        <w:rPr>
          <w:rFonts w:asciiTheme="majorHAnsi" w:hAnsiTheme="majorHAnsi" w:cstheme="majorHAnsi"/>
          <w:sz w:val="24"/>
          <w:szCs w:val="24"/>
          <w:lang w:val="ru-MD"/>
        </w:rPr>
        <w:t>редполаг</w:t>
      </w:r>
      <w:r w:rsidR="00B37F2F" w:rsidRPr="00A21A6B">
        <w:rPr>
          <w:rFonts w:asciiTheme="majorHAnsi" w:hAnsiTheme="majorHAnsi" w:cstheme="majorHAnsi"/>
          <w:sz w:val="24"/>
          <w:szCs w:val="24"/>
          <w:lang w:val="ru-MD"/>
        </w:rPr>
        <w:t>ают несоответствие деятельности по регистрации и управлению имуществом учреждения законам и нормативным актам</w:t>
      </w:r>
      <w:r w:rsidR="00E577EF" w:rsidRPr="00A21A6B">
        <w:rPr>
          <w:rFonts w:asciiTheme="majorHAnsi" w:hAnsiTheme="majorHAnsi" w:cstheme="majorHAnsi"/>
          <w:sz w:val="24"/>
          <w:szCs w:val="24"/>
          <w:lang w:val="ru-MD"/>
        </w:rPr>
        <w:t xml:space="preserve"> в</w:t>
      </w:r>
      <w:r w:rsidR="00B37F2F" w:rsidRPr="00A21A6B">
        <w:rPr>
          <w:rFonts w:asciiTheme="majorHAnsi" w:hAnsiTheme="majorHAnsi" w:cstheme="majorHAnsi"/>
          <w:sz w:val="24"/>
          <w:szCs w:val="24"/>
          <w:lang w:val="ru-MD"/>
        </w:rPr>
        <w:t xml:space="preserve"> этой област</w:t>
      </w:r>
      <w:r w:rsidR="00E577EF" w:rsidRPr="00A21A6B">
        <w:rPr>
          <w:rFonts w:asciiTheme="majorHAnsi" w:hAnsiTheme="majorHAnsi" w:cstheme="majorHAnsi"/>
          <w:sz w:val="24"/>
          <w:szCs w:val="24"/>
          <w:lang w:val="ru-MD"/>
        </w:rPr>
        <w:t>и</w:t>
      </w:r>
      <w:r w:rsidR="00B37F2F" w:rsidRPr="00A21A6B">
        <w:rPr>
          <w:rFonts w:asciiTheme="majorHAnsi" w:hAnsiTheme="majorHAnsi" w:cstheme="majorHAnsi"/>
          <w:sz w:val="24"/>
          <w:szCs w:val="24"/>
          <w:lang w:val="ru-MD"/>
        </w:rPr>
        <w:t>. Так</w:t>
      </w:r>
      <w:r w:rsidR="00E577EF" w:rsidRPr="00A21A6B">
        <w:rPr>
          <w:rFonts w:asciiTheme="majorHAnsi" w:hAnsiTheme="majorHAnsi" w:cstheme="majorHAnsi"/>
          <w:sz w:val="24"/>
          <w:szCs w:val="24"/>
          <w:lang w:val="ru-MD"/>
        </w:rPr>
        <w:t>,</w:t>
      </w:r>
      <w:r w:rsidR="00B37F2F" w:rsidRPr="00A21A6B">
        <w:rPr>
          <w:rFonts w:asciiTheme="majorHAnsi" w:hAnsiTheme="majorHAnsi" w:cstheme="majorHAnsi"/>
          <w:sz w:val="24"/>
          <w:szCs w:val="24"/>
          <w:lang w:val="ru-MD"/>
        </w:rPr>
        <w:t xml:space="preserve"> </w:t>
      </w:r>
      <w:r w:rsidR="00E577EF" w:rsidRPr="00A21A6B">
        <w:rPr>
          <w:rFonts w:asciiTheme="majorHAnsi" w:hAnsiTheme="majorHAnsi" w:cstheme="majorHAnsi"/>
          <w:sz w:val="24"/>
          <w:szCs w:val="24"/>
          <w:lang w:val="ru-MD"/>
        </w:rPr>
        <w:t>М</w:t>
      </w:r>
      <w:r w:rsidR="00B37F2F" w:rsidRPr="00A21A6B">
        <w:rPr>
          <w:rFonts w:asciiTheme="majorHAnsi" w:hAnsiTheme="majorHAnsi" w:cstheme="majorHAnsi"/>
          <w:sz w:val="24"/>
          <w:szCs w:val="24"/>
          <w:lang w:val="ru-MD"/>
        </w:rPr>
        <w:t xml:space="preserve">инистерство не обеспечило регистрацию имущественных прав на 369 объектов недвижимости (зданий), из которых 361 </w:t>
      </w:r>
      <w:r w:rsidR="00E577EF" w:rsidRPr="00A21A6B">
        <w:rPr>
          <w:rFonts w:asciiTheme="majorHAnsi" w:hAnsiTheme="majorHAnsi" w:cstheme="majorHAnsi"/>
          <w:sz w:val="24"/>
          <w:szCs w:val="24"/>
          <w:lang w:val="ru-MD"/>
        </w:rPr>
        <w:t xml:space="preserve">зарегистрированы в </w:t>
      </w:r>
      <w:r w:rsidR="00B37F2F" w:rsidRPr="00A21A6B">
        <w:rPr>
          <w:rFonts w:asciiTheme="majorHAnsi" w:hAnsiTheme="majorHAnsi" w:cstheme="majorHAnsi"/>
          <w:sz w:val="24"/>
          <w:szCs w:val="24"/>
          <w:lang w:val="ru-MD"/>
        </w:rPr>
        <w:t>уч</w:t>
      </w:r>
      <w:r w:rsidR="00E577EF" w:rsidRPr="00A21A6B">
        <w:rPr>
          <w:rFonts w:asciiTheme="majorHAnsi" w:hAnsiTheme="majorHAnsi" w:cstheme="majorHAnsi"/>
          <w:sz w:val="24"/>
          <w:szCs w:val="24"/>
          <w:lang w:val="ru-MD"/>
        </w:rPr>
        <w:t>ете</w:t>
      </w:r>
      <w:r w:rsidR="00B37F2F" w:rsidRPr="00A21A6B">
        <w:rPr>
          <w:rFonts w:asciiTheme="majorHAnsi" w:hAnsiTheme="majorHAnsi" w:cstheme="majorHAnsi"/>
          <w:sz w:val="24"/>
          <w:szCs w:val="24"/>
          <w:lang w:val="ru-MD"/>
        </w:rPr>
        <w:t xml:space="preserve"> в сумме 53,7 млн.</w:t>
      </w:r>
      <w:r w:rsidR="00E577EF" w:rsidRPr="00A21A6B">
        <w:rPr>
          <w:rFonts w:asciiTheme="majorHAnsi" w:hAnsiTheme="majorHAnsi" w:cstheme="majorHAnsi"/>
          <w:sz w:val="24"/>
          <w:szCs w:val="24"/>
          <w:lang w:val="ru-MD"/>
        </w:rPr>
        <w:t xml:space="preserve"> </w:t>
      </w:r>
      <w:r w:rsidR="00B37F2F" w:rsidRPr="00A21A6B">
        <w:rPr>
          <w:rFonts w:asciiTheme="majorHAnsi" w:hAnsiTheme="majorHAnsi" w:cstheme="majorHAnsi"/>
          <w:sz w:val="24"/>
          <w:szCs w:val="24"/>
          <w:lang w:val="ru-MD"/>
        </w:rPr>
        <w:t>ле</w:t>
      </w:r>
      <w:r w:rsidR="00E577EF" w:rsidRPr="00A21A6B">
        <w:rPr>
          <w:rFonts w:asciiTheme="majorHAnsi" w:hAnsiTheme="majorHAnsi" w:cstheme="majorHAnsi"/>
          <w:sz w:val="24"/>
          <w:szCs w:val="24"/>
          <w:lang w:val="ru-MD"/>
        </w:rPr>
        <w:t>ев</w:t>
      </w:r>
      <w:r w:rsidR="00B37F2F" w:rsidRPr="00A21A6B">
        <w:rPr>
          <w:rFonts w:asciiTheme="majorHAnsi" w:hAnsiTheme="majorHAnsi" w:cstheme="majorHAnsi"/>
          <w:sz w:val="24"/>
          <w:szCs w:val="24"/>
          <w:lang w:val="ru-MD"/>
        </w:rPr>
        <w:t xml:space="preserve">, а также на 4 земельных участка, </w:t>
      </w:r>
      <w:r w:rsidR="00E577EF" w:rsidRPr="00A21A6B">
        <w:rPr>
          <w:rFonts w:asciiTheme="majorHAnsi" w:hAnsiTheme="majorHAnsi" w:cstheme="majorHAnsi"/>
          <w:sz w:val="24"/>
          <w:szCs w:val="24"/>
          <w:lang w:val="ru-MD"/>
        </w:rPr>
        <w:t xml:space="preserve">эта </w:t>
      </w:r>
      <w:r w:rsidR="00B37F2F" w:rsidRPr="00A21A6B">
        <w:rPr>
          <w:rFonts w:asciiTheme="majorHAnsi" w:hAnsiTheme="majorHAnsi" w:cstheme="majorHAnsi"/>
          <w:sz w:val="24"/>
          <w:szCs w:val="24"/>
          <w:lang w:val="ru-MD"/>
        </w:rPr>
        <w:t xml:space="preserve">ситуация может повлиять на целостность имущества или </w:t>
      </w:r>
      <w:r w:rsidR="00E577EF" w:rsidRPr="00A21A6B">
        <w:rPr>
          <w:rFonts w:asciiTheme="majorHAnsi" w:hAnsiTheme="majorHAnsi" w:cstheme="majorHAnsi"/>
          <w:sz w:val="24"/>
          <w:szCs w:val="24"/>
          <w:lang w:val="ru-MD"/>
        </w:rPr>
        <w:t>определи</w:t>
      </w:r>
      <w:r w:rsidR="00B37F2F" w:rsidRPr="00A21A6B">
        <w:rPr>
          <w:rFonts w:asciiTheme="majorHAnsi" w:hAnsiTheme="majorHAnsi" w:cstheme="majorHAnsi"/>
          <w:sz w:val="24"/>
          <w:szCs w:val="24"/>
          <w:lang w:val="ru-MD"/>
        </w:rPr>
        <w:t>ть его неконтролируемое отчуждение</w:t>
      </w:r>
      <w:r w:rsidRPr="00A21A6B">
        <w:rPr>
          <w:rFonts w:asciiTheme="majorHAnsi" w:hAnsiTheme="majorHAnsi" w:cstheme="majorHAnsi"/>
          <w:sz w:val="24"/>
          <w:szCs w:val="24"/>
          <w:lang w:val="ru-MD"/>
        </w:rPr>
        <w:t>.</w:t>
      </w:r>
    </w:p>
    <w:p w:rsidR="00F40961" w:rsidRPr="00A21A6B" w:rsidRDefault="00B37F2F" w:rsidP="00A03471">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Мы также подчеркиваем, что </w:t>
      </w:r>
      <w:r w:rsidR="00490DDC" w:rsidRPr="00A21A6B">
        <w:rPr>
          <w:rFonts w:asciiTheme="majorHAnsi" w:hAnsiTheme="majorHAnsi" w:cstheme="majorHAnsi"/>
          <w:sz w:val="24"/>
          <w:szCs w:val="24"/>
          <w:lang w:val="ru-MD"/>
        </w:rPr>
        <w:t>Н</w:t>
      </w:r>
      <w:r w:rsidRPr="00A21A6B">
        <w:rPr>
          <w:rFonts w:asciiTheme="majorHAnsi" w:hAnsiTheme="majorHAnsi" w:cstheme="majorHAnsi"/>
          <w:sz w:val="24"/>
          <w:szCs w:val="24"/>
          <w:lang w:val="ru-MD"/>
        </w:rPr>
        <w:t xml:space="preserve">аучно-практический институт садоводства и пищевых технологий и Институт </w:t>
      </w:r>
      <w:r w:rsidR="00490DDC" w:rsidRPr="00A21A6B">
        <w:rPr>
          <w:rFonts w:asciiTheme="majorHAnsi" w:hAnsiTheme="majorHAnsi" w:cstheme="majorHAnsi"/>
          <w:sz w:val="24"/>
          <w:szCs w:val="24"/>
          <w:lang w:val="ru-MD"/>
        </w:rPr>
        <w:t>почвоведения</w:t>
      </w:r>
      <w:r w:rsidRPr="00A21A6B">
        <w:rPr>
          <w:rFonts w:asciiTheme="majorHAnsi" w:hAnsiTheme="majorHAnsi" w:cstheme="majorHAnsi"/>
          <w:sz w:val="24"/>
          <w:szCs w:val="24"/>
          <w:lang w:val="ru-MD"/>
        </w:rPr>
        <w:t xml:space="preserve">, агрохимии и защиты почв </w:t>
      </w:r>
      <w:r w:rsidR="00490DDC" w:rsidRPr="00A21A6B">
        <w:rPr>
          <w:rFonts w:asciiTheme="majorHAnsi" w:hAnsiTheme="majorHAnsi" w:cstheme="majorHAnsi"/>
          <w:sz w:val="24"/>
          <w:szCs w:val="24"/>
          <w:lang w:val="ru-MD"/>
        </w:rPr>
        <w:t>„Nicolae Dimo”</w:t>
      </w:r>
      <w:r w:rsidRPr="00A21A6B">
        <w:rPr>
          <w:rFonts w:asciiTheme="majorHAnsi" w:hAnsiTheme="majorHAnsi" w:cstheme="majorHAnsi"/>
          <w:sz w:val="24"/>
          <w:szCs w:val="24"/>
          <w:lang w:val="ru-MD"/>
        </w:rPr>
        <w:t>, не соблюдая положе</w:t>
      </w:r>
      <w:r w:rsidR="00490DDC" w:rsidRPr="00A21A6B">
        <w:rPr>
          <w:rFonts w:asciiTheme="majorHAnsi" w:hAnsiTheme="majorHAnsi" w:cstheme="majorHAnsi"/>
          <w:sz w:val="24"/>
          <w:szCs w:val="24"/>
          <w:lang w:val="ru-MD"/>
        </w:rPr>
        <w:t>ния Приказа Министра финансов №</w:t>
      </w:r>
      <w:r w:rsidRPr="00A21A6B">
        <w:rPr>
          <w:rFonts w:asciiTheme="majorHAnsi" w:hAnsiTheme="majorHAnsi" w:cstheme="majorHAnsi"/>
          <w:sz w:val="24"/>
          <w:szCs w:val="24"/>
          <w:lang w:val="ru-MD"/>
        </w:rPr>
        <w:t xml:space="preserve">216/2015, </w:t>
      </w:r>
      <w:r w:rsidR="00490DDC" w:rsidRPr="00A21A6B">
        <w:rPr>
          <w:rFonts w:asciiTheme="majorHAnsi" w:hAnsiTheme="majorHAnsi" w:cstheme="majorHAnsi"/>
          <w:sz w:val="24"/>
          <w:szCs w:val="24"/>
          <w:lang w:val="ru-MD"/>
        </w:rPr>
        <w:t>начисля</w:t>
      </w:r>
      <w:r w:rsidRPr="00A21A6B">
        <w:rPr>
          <w:rFonts w:asciiTheme="majorHAnsi" w:hAnsiTheme="majorHAnsi" w:cstheme="majorHAnsi"/>
          <w:sz w:val="24"/>
          <w:szCs w:val="24"/>
          <w:lang w:val="ru-MD"/>
        </w:rPr>
        <w:t xml:space="preserve">ли заработную плату в отсутствие </w:t>
      </w:r>
      <w:r w:rsidR="00490DDC" w:rsidRPr="00A21A6B">
        <w:rPr>
          <w:rFonts w:asciiTheme="majorHAnsi" w:hAnsiTheme="majorHAnsi" w:cstheme="majorHAnsi"/>
          <w:sz w:val="24"/>
          <w:szCs w:val="24"/>
          <w:lang w:val="ru-MD"/>
        </w:rPr>
        <w:t xml:space="preserve">штатных расписаний, </w:t>
      </w:r>
      <w:r w:rsidRPr="00A21A6B">
        <w:rPr>
          <w:rFonts w:asciiTheme="majorHAnsi" w:hAnsiTheme="majorHAnsi" w:cstheme="majorHAnsi"/>
          <w:sz w:val="24"/>
          <w:szCs w:val="24"/>
          <w:lang w:val="ru-MD"/>
        </w:rPr>
        <w:t>утвержденных Министерством</w:t>
      </w:r>
      <w:r w:rsidR="00F40961" w:rsidRPr="00A21A6B">
        <w:rPr>
          <w:rFonts w:asciiTheme="majorHAnsi" w:hAnsiTheme="majorHAnsi" w:cstheme="majorHAnsi"/>
          <w:sz w:val="24"/>
          <w:szCs w:val="24"/>
          <w:lang w:val="ru-MD"/>
        </w:rPr>
        <w:t xml:space="preserve">. </w:t>
      </w:r>
    </w:p>
    <w:p w:rsidR="00F40961" w:rsidRPr="00A21A6B" w:rsidRDefault="00B37F2F" w:rsidP="00A03471">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В то же время обращаем внимание на то, что из 206 информационных систем/программного обеспечения, зарегистрированных в бухгалтерском учете </w:t>
      </w:r>
      <w:r w:rsidR="001837CC" w:rsidRPr="00A21A6B">
        <w:rPr>
          <w:rFonts w:asciiTheme="majorHAnsi" w:hAnsiTheme="majorHAnsi" w:cstheme="majorHAnsi"/>
          <w:sz w:val="24"/>
          <w:szCs w:val="24"/>
          <w:lang w:val="ru-MD"/>
        </w:rPr>
        <w:t>М</w:t>
      </w:r>
      <w:r w:rsidRPr="00A21A6B">
        <w:rPr>
          <w:rFonts w:asciiTheme="majorHAnsi" w:hAnsiTheme="majorHAnsi" w:cstheme="majorHAnsi"/>
          <w:sz w:val="24"/>
          <w:szCs w:val="24"/>
          <w:lang w:val="ru-MD"/>
        </w:rPr>
        <w:t>инистерства на общую сумму 41,1 млн. ле</w:t>
      </w:r>
      <w:r w:rsidR="001837CC"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34 информационных системы на сумму 4,13 млн. ле</w:t>
      </w:r>
      <w:r w:rsidR="001837CC"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не используется, 2 информационные системы на сумму 0,1 млн. </w:t>
      </w:r>
      <w:r w:rsidR="001837CC" w:rsidRPr="00A21A6B">
        <w:rPr>
          <w:rFonts w:asciiTheme="majorHAnsi" w:hAnsiTheme="majorHAnsi" w:cstheme="majorHAnsi"/>
          <w:sz w:val="24"/>
          <w:szCs w:val="24"/>
          <w:lang w:val="ru-MD"/>
        </w:rPr>
        <w:t>леев</w:t>
      </w:r>
      <w:r w:rsidRPr="00A21A6B">
        <w:rPr>
          <w:rFonts w:asciiTheme="majorHAnsi" w:hAnsiTheme="majorHAnsi" w:cstheme="majorHAnsi"/>
          <w:sz w:val="24"/>
          <w:szCs w:val="24"/>
          <w:lang w:val="ru-MD"/>
        </w:rPr>
        <w:t xml:space="preserve"> </w:t>
      </w:r>
      <w:r w:rsidR="001837CC" w:rsidRPr="00A21A6B">
        <w:rPr>
          <w:rFonts w:asciiTheme="majorHAnsi" w:hAnsiTheme="majorHAnsi" w:cstheme="majorHAnsi"/>
          <w:sz w:val="24"/>
          <w:szCs w:val="24"/>
          <w:lang w:val="ru-MD"/>
        </w:rPr>
        <w:t xml:space="preserve">являются </w:t>
      </w:r>
      <w:r w:rsidRPr="00A21A6B">
        <w:rPr>
          <w:rFonts w:asciiTheme="majorHAnsi" w:hAnsiTheme="majorHAnsi" w:cstheme="majorHAnsi"/>
          <w:sz w:val="24"/>
          <w:szCs w:val="24"/>
          <w:lang w:val="ru-MD"/>
        </w:rPr>
        <w:t>нефункцион</w:t>
      </w:r>
      <w:r w:rsidR="001837CC" w:rsidRPr="00A21A6B">
        <w:rPr>
          <w:rFonts w:asciiTheme="majorHAnsi" w:hAnsiTheme="majorHAnsi" w:cstheme="majorHAnsi"/>
          <w:sz w:val="24"/>
          <w:szCs w:val="24"/>
          <w:lang w:val="ru-MD"/>
        </w:rPr>
        <w:t>альными</w:t>
      </w:r>
      <w:r w:rsidRPr="00A21A6B">
        <w:rPr>
          <w:rFonts w:asciiTheme="majorHAnsi" w:hAnsiTheme="majorHAnsi" w:cstheme="majorHAnsi"/>
          <w:sz w:val="24"/>
          <w:szCs w:val="24"/>
          <w:lang w:val="ru-MD"/>
        </w:rPr>
        <w:t>, а 2 системы не оцен</w:t>
      </w:r>
      <w:r w:rsidR="001837CC" w:rsidRPr="00A21A6B">
        <w:rPr>
          <w:rFonts w:asciiTheme="majorHAnsi" w:hAnsiTheme="majorHAnsi" w:cstheme="majorHAnsi"/>
          <w:sz w:val="24"/>
          <w:szCs w:val="24"/>
          <w:lang w:val="ru-MD"/>
        </w:rPr>
        <w:t>ены</w:t>
      </w:r>
      <w:r w:rsidRPr="00A21A6B">
        <w:rPr>
          <w:rFonts w:asciiTheme="majorHAnsi" w:hAnsiTheme="majorHAnsi" w:cstheme="majorHAnsi"/>
          <w:sz w:val="24"/>
          <w:szCs w:val="24"/>
          <w:lang w:val="ru-MD"/>
        </w:rPr>
        <w:t xml:space="preserve">. </w:t>
      </w:r>
      <w:r w:rsidR="001837CC" w:rsidRPr="00A21A6B">
        <w:rPr>
          <w:rFonts w:asciiTheme="majorHAnsi" w:hAnsiTheme="majorHAnsi" w:cstheme="majorHAnsi"/>
          <w:sz w:val="24"/>
          <w:szCs w:val="24"/>
          <w:lang w:val="ru-MD"/>
        </w:rPr>
        <w:t>Ответственные л</w:t>
      </w:r>
      <w:r w:rsidRPr="00A21A6B">
        <w:rPr>
          <w:rFonts w:asciiTheme="majorHAnsi" w:hAnsiTheme="majorHAnsi" w:cstheme="majorHAnsi"/>
          <w:sz w:val="24"/>
          <w:szCs w:val="24"/>
          <w:lang w:val="ru-MD"/>
        </w:rPr>
        <w:t xml:space="preserve">ица не предприняли </w:t>
      </w:r>
      <w:r w:rsidR="001837CC" w:rsidRPr="00A21A6B">
        <w:rPr>
          <w:rFonts w:asciiTheme="majorHAnsi" w:hAnsiTheme="majorHAnsi" w:cstheme="majorHAnsi"/>
          <w:sz w:val="24"/>
          <w:szCs w:val="24"/>
          <w:lang w:val="ru-MD"/>
        </w:rPr>
        <w:t>необходимы</w:t>
      </w:r>
      <w:r w:rsidRPr="00A21A6B">
        <w:rPr>
          <w:rFonts w:asciiTheme="majorHAnsi" w:hAnsiTheme="majorHAnsi" w:cstheme="majorHAnsi"/>
          <w:sz w:val="24"/>
          <w:szCs w:val="24"/>
          <w:lang w:val="ru-MD"/>
        </w:rPr>
        <w:t>х мер по возвращению в эксплуатацию нефункциональных информационных систем или для принятия соответствующих решений по неиспользуемым информационным системам</w:t>
      </w:r>
      <w:r w:rsidR="00F40961" w:rsidRPr="00A21A6B">
        <w:rPr>
          <w:rFonts w:asciiTheme="majorHAnsi" w:hAnsiTheme="majorHAnsi" w:cstheme="majorHAnsi"/>
          <w:sz w:val="24"/>
          <w:szCs w:val="24"/>
          <w:lang w:val="ru-MD"/>
        </w:rPr>
        <w:t>.</w:t>
      </w:r>
    </w:p>
    <w:p w:rsidR="00F40961" w:rsidRPr="00A21A6B" w:rsidRDefault="00B37F2F" w:rsidP="00475D6C">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sz w:val="24"/>
          <w:szCs w:val="24"/>
          <w:lang w:val="ru-MD"/>
        </w:rPr>
        <w:t>Отме</w:t>
      </w:r>
      <w:r w:rsidR="00234783" w:rsidRPr="00A21A6B">
        <w:rPr>
          <w:rFonts w:asciiTheme="majorHAnsi" w:hAnsiTheme="majorHAnsi"/>
          <w:sz w:val="24"/>
          <w:szCs w:val="24"/>
          <w:lang w:val="ru-MD"/>
        </w:rPr>
        <w:t>чается</w:t>
      </w:r>
      <w:r w:rsidRPr="00A21A6B">
        <w:rPr>
          <w:rFonts w:asciiTheme="majorHAnsi" w:hAnsiTheme="majorHAnsi"/>
          <w:sz w:val="24"/>
          <w:szCs w:val="24"/>
          <w:lang w:val="ru-MD"/>
        </w:rPr>
        <w:t xml:space="preserve">, что </w:t>
      </w:r>
      <w:r w:rsidR="00234783" w:rsidRPr="00A21A6B">
        <w:rPr>
          <w:rFonts w:asciiTheme="majorHAnsi" w:hAnsiTheme="majorHAnsi"/>
          <w:sz w:val="24"/>
          <w:szCs w:val="24"/>
          <w:lang w:val="ru-MD"/>
        </w:rPr>
        <w:t>М</w:t>
      </w:r>
      <w:r w:rsidRPr="00A21A6B">
        <w:rPr>
          <w:rFonts w:asciiTheme="majorHAnsi" w:hAnsiTheme="majorHAnsi"/>
          <w:sz w:val="24"/>
          <w:szCs w:val="24"/>
          <w:lang w:val="ru-MD"/>
        </w:rPr>
        <w:t xml:space="preserve">инистерство продолжает </w:t>
      </w:r>
      <w:r w:rsidR="00234783" w:rsidRPr="00A21A6B">
        <w:rPr>
          <w:rFonts w:asciiTheme="majorHAnsi" w:hAnsiTheme="majorHAnsi"/>
          <w:sz w:val="24"/>
          <w:szCs w:val="24"/>
          <w:lang w:val="ru-MD"/>
        </w:rPr>
        <w:t>отражать</w:t>
      </w:r>
      <w:r w:rsidRPr="00A21A6B">
        <w:rPr>
          <w:rFonts w:asciiTheme="majorHAnsi" w:hAnsiTheme="majorHAnsi"/>
          <w:sz w:val="24"/>
          <w:szCs w:val="24"/>
          <w:lang w:val="ru-MD"/>
        </w:rPr>
        <w:t xml:space="preserve"> на внеб</w:t>
      </w:r>
      <w:r w:rsidR="00234783" w:rsidRPr="00A21A6B">
        <w:rPr>
          <w:rFonts w:asciiTheme="majorHAnsi" w:hAnsiTheme="majorHAnsi"/>
          <w:sz w:val="24"/>
          <w:szCs w:val="24"/>
          <w:lang w:val="ru-MD"/>
        </w:rPr>
        <w:t>алансо</w:t>
      </w:r>
      <w:r w:rsidRPr="00A21A6B">
        <w:rPr>
          <w:rFonts w:asciiTheme="majorHAnsi" w:hAnsiTheme="majorHAnsi"/>
          <w:sz w:val="24"/>
          <w:szCs w:val="24"/>
          <w:lang w:val="ru-MD"/>
        </w:rPr>
        <w:t xml:space="preserve">вом счете 822900 </w:t>
      </w:r>
      <w:r w:rsidR="00234783" w:rsidRPr="00A21A6B">
        <w:rPr>
          <w:rFonts w:asciiTheme="majorHAnsi" w:hAnsiTheme="majorHAnsi"/>
          <w:sz w:val="24"/>
          <w:szCs w:val="24"/>
          <w:lang w:val="ru-MD"/>
        </w:rPr>
        <w:t>„Другие</w:t>
      </w:r>
      <w:r w:rsidRPr="00A21A6B">
        <w:rPr>
          <w:rFonts w:asciiTheme="majorHAnsi" w:hAnsiTheme="majorHAnsi"/>
          <w:sz w:val="24"/>
          <w:szCs w:val="24"/>
          <w:lang w:val="ru-MD"/>
        </w:rPr>
        <w:t xml:space="preserve"> внеб</w:t>
      </w:r>
      <w:r w:rsidR="00234783" w:rsidRPr="00A21A6B">
        <w:rPr>
          <w:rFonts w:asciiTheme="majorHAnsi" w:hAnsiTheme="majorHAnsi"/>
          <w:sz w:val="24"/>
          <w:szCs w:val="24"/>
          <w:lang w:val="ru-MD"/>
        </w:rPr>
        <w:t>алансо</w:t>
      </w:r>
      <w:r w:rsidRPr="00A21A6B">
        <w:rPr>
          <w:rFonts w:asciiTheme="majorHAnsi" w:hAnsiTheme="majorHAnsi"/>
          <w:sz w:val="24"/>
          <w:szCs w:val="24"/>
          <w:lang w:val="ru-MD"/>
        </w:rPr>
        <w:t>вые счета</w:t>
      </w:r>
      <w:r w:rsidR="00234783" w:rsidRPr="00A21A6B">
        <w:rPr>
          <w:rFonts w:asciiTheme="majorHAnsi" w:hAnsiTheme="majorHAnsi"/>
          <w:sz w:val="24"/>
          <w:szCs w:val="24"/>
          <w:lang w:val="ru-MD"/>
        </w:rPr>
        <w:t>”</w:t>
      </w:r>
      <w:r w:rsidRPr="00A21A6B">
        <w:rPr>
          <w:rFonts w:asciiTheme="majorHAnsi" w:hAnsiTheme="majorHAnsi"/>
          <w:sz w:val="24"/>
          <w:szCs w:val="24"/>
          <w:lang w:val="ru-MD"/>
        </w:rPr>
        <w:t xml:space="preserve"> стоимость </w:t>
      </w:r>
      <w:r w:rsidR="00234783" w:rsidRPr="00A21A6B">
        <w:rPr>
          <w:rFonts w:asciiTheme="majorHAnsi" w:hAnsiTheme="majorHAnsi"/>
          <w:sz w:val="24"/>
          <w:szCs w:val="24"/>
          <w:lang w:val="ru-MD"/>
        </w:rPr>
        <w:t>товаров на сумму</w:t>
      </w:r>
      <w:r w:rsidRPr="00A21A6B">
        <w:rPr>
          <w:rFonts w:asciiTheme="majorHAnsi" w:hAnsiTheme="majorHAnsi"/>
          <w:sz w:val="24"/>
          <w:szCs w:val="24"/>
          <w:lang w:val="ru-MD"/>
        </w:rPr>
        <w:t xml:space="preserve"> 1,2 млн. ле</w:t>
      </w:r>
      <w:r w:rsidR="00234783" w:rsidRPr="00A21A6B">
        <w:rPr>
          <w:rFonts w:asciiTheme="majorHAnsi" w:hAnsiTheme="majorHAnsi"/>
          <w:sz w:val="24"/>
          <w:szCs w:val="24"/>
          <w:lang w:val="ru-MD"/>
        </w:rPr>
        <w:t>ев</w:t>
      </w:r>
      <w:r w:rsidRPr="00A21A6B">
        <w:rPr>
          <w:rFonts w:asciiTheme="majorHAnsi" w:hAnsiTheme="majorHAnsi"/>
          <w:sz w:val="24"/>
          <w:szCs w:val="24"/>
          <w:lang w:val="ru-MD"/>
        </w:rPr>
        <w:t xml:space="preserve">, которые не могут быть </w:t>
      </w:r>
      <w:r w:rsidR="001837CC" w:rsidRPr="00A21A6B">
        <w:rPr>
          <w:rFonts w:asciiTheme="majorHAnsi" w:hAnsiTheme="majorHAnsi"/>
          <w:sz w:val="24"/>
          <w:szCs w:val="24"/>
          <w:lang w:val="ru-MD"/>
        </w:rPr>
        <w:t>идентифицирова</w:t>
      </w:r>
      <w:r w:rsidRPr="00A21A6B">
        <w:rPr>
          <w:rFonts w:asciiTheme="majorHAnsi" w:hAnsiTheme="majorHAnsi"/>
          <w:sz w:val="24"/>
          <w:szCs w:val="24"/>
          <w:lang w:val="ru-MD"/>
        </w:rPr>
        <w:t>ны в результате смены помещений в рамках реформы центрального публичного управления 2017 года</w:t>
      </w:r>
      <w:r w:rsidR="00F40961" w:rsidRPr="00A21A6B">
        <w:rPr>
          <w:rFonts w:asciiTheme="majorHAnsi" w:hAnsiTheme="majorHAnsi"/>
          <w:sz w:val="24"/>
          <w:szCs w:val="24"/>
          <w:lang w:val="ru-MD"/>
        </w:rPr>
        <w:t>.</w:t>
      </w:r>
    </w:p>
    <w:p w:rsidR="00F40961" w:rsidRPr="00A21A6B" w:rsidRDefault="00B37F2F" w:rsidP="00475D6C">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Мы подчеркиваем, что </w:t>
      </w:r>
      <w:r w:rsidR="0020361D" w:rsidRPr="00A21A6B">
        <w:rPr>
          <w:rFonts w:asciiTheme="majorHAnsi" w:hAnsiTheme="majorHAnsi" w:cstheme="majorHAnsi"/>
          <w:sz w:val="24"/>
          <w:szCs w:val="24"/>
          <w:lang w:val="ru-MD"/>
        </w:rPr>
        <w:t>один подведомственный субъект</w:t>
      </w:r>
      <w:r w:rsidR="0020361D" w:rsidRPr="00A21A6B">
        <w:rPr>
          <w:rStyle w:val="FootnoteReference"/>
          <w:rFonts w:asciiTheme="majorHAnsi" w:hAnsiTheme="majorHAnsi" w:cstheme="majorHAnsi"/>
          <w:sz w:val="24"/>
          <w:szCs w:val="24"/>
          <w:lang w:val="ru-MD"/>
        </w:rPr>
        <w:footnoteReference w:id="20"/>
      </w:r>
      <w:r w:rsidR="0020361D"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накапливает доход от предоставления услуг водоснабжени</w:t>
      </w:r>
      <w:r w:rsidR="0020361D"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и </w:t>
      </w:r>
      <w:r w:rsidR="0020361D" w:rsidRPr="00A21A6B">
        <w:rPr>
          <w:rFonts w:asciiTheme="majorHAnsi" w:hAnsiTheme="majorHAnsi" w:cstheme="majorHAnsi"/>
          <w:sz w:val="24"/>
          <w:szCs w:val="24"/>
          <w:lang w:val="ru-MD"/>
        </w:rPr>
        <w:t>отвода</w:t>
      </w:r>
      <w:r w:rsidRPr="00A21A6B">
        <w:rPr>
          <w:rFonts w:asciiTheme="majorHAnsi" w:hAnsiTheme="majorHAnsi" w:cstheme="majorHAnsi"/>
          <w:sz w:val="24"/>
          <w:szCs w:val="24"/>
          <w:lang w:val="ru-MD"/>
        </w:rPr>
        <w:t xml:space="preserve"> сточных вод в отсутствие разрешительных документов для такого рода деятельности</w:t>
      </w:r>
      <w:r w:rsidR="0020361D" w:rsidRPr="00A21A6B">
        <w:rPr>
          <w:rStyle w:val="FootnoteReference"/>
          <w:rFonts w:asciiTheme="majorHAnsi" w:hAnsiTheme="majorHAnsi" w:cstheme="majorHAnsi"/>
          <w:sz w:val="24"/>
          <w:szCs w:val="24"/>
          <w:lang w:val="ru-MD"/>
        </w:rPr>
        <w:footnoteReference w:id="21"/>
      </w:r>
      <w:r w:rsidR="0020361D"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и без </w:t>
      </w:r>
      <w:r w:rsidR="0020361D" w:rsidRPr="00A21A6B">
        <w:rPr>
          <w:rFonts w:asciiTheme="majorHAnsi" w:hAnsiTheme="majorHAnsi" w:cstheme="majorHAnsi"/>
          <w:sz w:val="24"/>
          <w:szCs w:val="24"/>
          <w:lang w:val="ru-MD"/>
        </w:rPr>
        <w:t xml:space="preserve">тарифов, </w:t>
      </w:r>
      <w:r w:rsidRPr="00A21A6B">
        <w:rPr>
          <w:rFonts w:asciiTheme="majorHAnsi" w:hAnsiTheme="majorHAnsi" w:cstheme="majorHAnsi"/>
          <w:sz w:val="24"/>
          <w:szCs w:val="24"/>
          <w:lang w:val="ru-MD"/>
        </w:rPr>
        <w:t xml:space="preserve">утвержденных </w:t>
      </w:r>
      <w:r w:rsidR="0020361D" w:rsidRPr="00A21A6B">
        <w:rPr>
          <w:rFonts w:asciiTheme="majorHAnsi" w:hAnsiTheme="majorHAnsi" w:cstheme="majorHAnsi"/>
          <w:sz w:val="24"/>
          <w:szCs w:val="24"/>
          <w:lang w:val="ru-MD"/>
        </w:rPr>
        <w:t>в установленном порядке</w:t>
      </w:r>
      <w:r w:rsidR="00F40961" w:rsidRPr="00A21A6B">
        <w:rPr>
          <w:rStyle w:val="FootnoteReference"/>
          <w:rFonts w:asciiTheme="majorHAnsi" w:hAnsiTheme="majorHAnsi" w:cstheme="majorHAnsi"/>
          <w:sz w:val="24"/>
          <w:szCs w:val="24"/>
          <w:lang w:val="ru-MD"/>
        </w:rPr>
        <w:footnoteReference w:id="22"/>
      </w:r>
      <w:r w:rsidR="00F40961" w:rsidRPr="00A21A6B">
        <w:rPr>
          <w:rFonts w:asciiTheme="majorHAnsi" w:hAnsiTheme="majorHAnsi" w:cstheme="majorHAnsi"/>
          <w:sz w:val="24"/>
          <w:szCs w:val="24"/>
          <w:lang w:val="ru-MD"/>
        </w:rPr>
        <w:t>.</w:t>
      </w:r>
    </w:p>
    <w:p w:rsidR="00F40961" w:rsidRPr="00A21A6B" w:rsidRDefault="00B37F2F" w:rsidP="00475D6C">
      <w:pPr>
        <w:pStyle w:val="ListParagraph"/>
        <w:numPr>
          <w:ilvl w:val="1"/>
          <w:numId w:val="11"/>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Хотя, согласно общим правилам бюджетирования, центральные органы публичной власти могут выделять субсидии только государственным предприятиям, основанным </w:t>
      </w:r>
      <w:r w:rsidR="006F3703"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гентством </w:t>
      </w:r>
      <w:r w:rsidR="006F3703" w:rsidRPr="00A21A6B">
        <w:rPr>
          <w:rFonts w:asciiTheme="majorHAnsi" w:hAnsiTheme="majorHAnsi" w:cstheme="majorHAnsi"/>
          <w:sz w:val="24"/>
          <w:szCs w:val="24"/>
          <w:lang w:val="ru-MD"/>
        </w:rPr>
        <w:t>„Apele Moldovei”</w:t>
      </w:r>
      <w:r w:rsidRPr="00A21A6B">
        <w:rPr>
          <w:rFonts w:asciiTheme="majorHAnsi" w:hAnsiTheme="majorHAnsi" w:cstheme="majorHAnsi"/>
          <w:sz w:val="24"/>
          <w:szCs w:val="24"/>
          <w:lang w:val="ru-MD"/>
        </w:rPr>
        <w:t xml:space="preserve">, </w:t>
      </w:r>
      <w:r w:rsidR="006F3703" w:rsidRPr="00A21A6B">
        <w:rPr>
          <w:rFonts w:asciiTheme="majorHAnsi" w:hAnsiTheme="majorHAnsi" w:cstheme="majorHAnsi"/>
          <w:sz w:val="24"/>
          <w:szCs w:val="24"/>
          <w:lang w:val="ru-MD"/>
        </w:rPr>
        <w:t>в отступление</w:t>
      </w:r>
      <w:r w:rsidRPr="00A21A6B">
        <w:rPr>
          <w:rFonts w:asciiTheme="majorHAnsi" w:hAnsiTheme="majorHAnsi" w:cstheme="majorHAnsi"/>
          <w:sz w:val="24"/>
          <w:szCs w:val="24"/>
          <w:lang w:val="ru-MD"/>
        </w:rPr>
        <w:t xml:space="preserve"> от общих правил</w:t>
      </w:r>
      <w:r w:rsidR="00BD6F1D"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субсидировались предприятия, учредителем которых является Агентство публичной собственности, для этой цели </w:t>
      </w:r>
      <w:r w:rsidR="00BD6F1D" w:rsidRPr="00A21A6B">
        <w:rPr>
          <w:rFonts w:asciiTheme="majorHAnsi" w:hAnsiTheme="majorHAnsi" w:cstheme="majorHAnsi"/>
          <w:sz w:val="24"/>
          <w:szCs w:val="24"/>
          <w:lang w:val="ru-MD"/>
        </w:rPr>
        <w:t xml:space="preserve">были выделены </w:t>
      </w:r>
      <w:r w:rsidRPr="00A21A6B">
        <w:rPr>
          <w:rFonts w:asciiTheme="majorHAnsi" w:hAnsiTheme="majorHAnsi" w:cstheme="majorHAnsi"/>
          <w:sz w:val="24"/>
          <w:szCs w:val="24"/>
          <w:lang w:val="ru-MD"/>
        </w:rPr>
        <w:t>3,78 млн.</w:t>
      </w:r>
      <w:r w:rsidR="00BD6F1D" w:rsidRPr="00A21A6B">
        <w:rPr>
          <w:rFonts w:asciiTheme="majorHAnsi" w:hAnsiTheme="majorHAnsi" w:cstheme="majorHAnsi"/>
          <w:sz w:val="24"/>
          <w:szCs w:val="24"/>
          <w:lang w:val="ru-MD"/>
        </w:rPr>
        <w:t xml:space="preserve"> леев</w:t>
      </w:r>
      <w:r w:rsidR="00BD6F1D" w:rsidRPr="00A21A6B">
        <w:rPr>
          <w:szCs w:val="24"/>
          <w:vertAlign w:val="superscript"/>
          <w:lang w:val="ru-MD"/>
        </w:rPr>
        <w:footnoteReference w:id="23"/>
      </w:r>
      <w:r w:rsidRPr="00A21A6B">
        <w:rPr>
          <w:rFonts w:asciiTheme="majorHAnsi" w:hAnsiTheme="majorHAnsi" w:cstheme="majorHAnsi"/>
          <w:sz w:val="24"/>
          <w:szCs w:val="24"/>
          <w:lang w:val="ru-MD"/>
        </w:rPr>
        <w:t>, предназначенные для инвестиций в области гидро</w:t>
      </w:r>
      <w:r w:rsidR="00BD6F1D"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мел</w:t>
      </w:r>
      <w:r w:rsidR="00BD6F1D" w:rsidRPr="00A21A6B">
        <w:rPr>
          <w:rFonts w:asciiTheme="majorHAnsi" w:hAnsiTheme="majorHAnsi" w:cstheme="majorHAnsi"/>
          <w:sz w:val="24"/>
          <w:szCs w:val="24"/>
          <w:lang w:val="ru-MD"/>
        </w:rPr>
        <w:t>иора</w:t>
      </w:r>
      <w:r w:rsidRPr="00A21A6B">
        <w:rPr>
          <w:rFonts w:asciiTheme="majorHAnsi" w:hAnsiTheme="majorHAnsi" w:cstheme="majorHAnsi"/>
          <w:sz w:val="24"/>
          <w:szCs w:val="24"/>
          <w:lang w:val="ru-MD"/>
        </w:rPr>
        <w:t xml:space="preserve">ции и </w:t>
      </w:r>
      <w:r w:rsidR="00BD6F1D" w:rsidRPr="00A21A6B">
        <w:rPr>
          <w:rFonts w:asciiTheme="majorHAnsi" w:hAnsiTheme="majorHAnsi" w:cstheme="majorHAnsi"/>
          <w:sz w:val="24"/>
          <w:szCs w:val="24"/>
          <w:lang w:val="ru-MD"/>
        </w:rPr>
        <w:t>содерж</w:t>
      </w:r>
      <w:r w:rsidRPr="00A21A6B">
        <w:rPr>
          <w:rFonts w:asciiTheme="majorHAnsi" w:hAnsiTheme="majorHAnsi" w:cstheme="majorHAnsi"/>
          <w:sz w:val="24"/>
          <w:szCs w:val="24"/>
          <w:lang w:val="ru-MD"/>
        </w:rPr>
        <w:t xml:space="preserve">ания плотин. Сложившаяся ситуация обусловлена пересечением политик в области управления </w:t>
      </w:r>
      <w:r w:rsidR="00BD6F1D" w:rsidRPr="00A21A6B">
        <w:rPr>
          <w:rFonts w:asciiTheme="majorHAnsi" w:hAnsiTheme="majorHAnsi" w:cstheme="majorHAnsi"/>
          <w:sz w:val="24"/>
          <w:szCs w:val="24"/>
          <w:lang w:val="ru-MD"/>
        </w:rPr>
        <w:t>публич</w:t>
      </w:r>
      <w:r w:rsidRPr="00A21A6B">
        <w:rPr>
          <w:rFonts w:asciiTheme="majorHAnsi" w:hAnsiTheme="majorHAnsi" w:cstheme="majorHAnsi"/>
          <w:sz w:val="24"/>
          <w:szCs w:val="24"/>
          <w:lang w:val="ru-MD"/>
        </w:rPr>
        <w:t xml:space="preserve">ным </w:t>
      </w:r>
      <w:r w:rsidR="00BD6F1D" w:rsidRPr="00A21A6B">
        <w:rPr>
          <w:rFonts w:asciiTheme="majorHAnsi" w:hAnsiTheme="majorHAnsi" w:cstheme="majorHAnsi"/>
          <w:sz w:val="24"/>
          <w:szCs w:val="24"/>
          <w:lang w:val="ru-MD"/>
        </w:rPr>
        <w:t>имущество</w:t>
      </w:r>
      <w:r w:rsidRPr="00A21A6B">
        <w:rPr>
          <w:rFonts w:asciiTheme="majorHAnsi" w:hAnsiTheme="majorHAnsi" w:cstheme="majorHAnsi"/>
          <w:sz w:val="24"/>
          <w:szCs w:val="24"/>
          <w:lang w:val="ru-MD"/>
        </w:rPr>
        <w:t xml:space="preserve">м, за которые отвечает Агентство публичной собственности, с политикой в области гидроамелиорации, за которую отвечает </w:t>
      </w:r>
      <w:r w:rsidR="00BD6F1D" w:rsidRPr="00A21A6B">
        <w:rPr>
          <w:rFonts w:asciiTheme="majorHAnsi" w:hAnsiTheme="majorHAnsi" w:cstheme="majorHAnsi"/>
          <w:sz w:val="24"/>
          <w:szCs w:val="24"/>
          <w:lang w:val="ru-MD"/>
        </w:rPr>
        <w:t xml:space="preserve">отраслевое </w:t>
      </w:r>
      <w:r w:rsidRPr="00A21A6B">
        <w:rPr>
          <w:rFonts w:asciiTheme="majorHAnsi" w:hAnsiTheme="majorHAnsi" w:cstheme="majorHAnsi"/>
          <w:sz w:val="24"/>
          <w:szCs w:val="24"/>
          <w:lang w:val="ru-MD"/>
        </w:rPr>
        <w:t xml:space="preserve">Министерство через </w:t>
      </w:r>
      <w:r w:rsidR="00BD6F1D"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гентство </w:t>
      </w:r>
      <w:r w:rsidR="006F3703" w:rsidRPr="00A21A6B">
        <w:rPr>
          <w:rFonts w:asciiTheme="majorHAnsi" w:hAnsiTheme="majorHAnsi" w:cstheme="majorHAnsi"/>
          <w:sz w:val="24"/>
          <w:szCs w:val="24"/>
          <w:lang w:val="ru-MD"/>
        </w:rPr>
        <w:t>„Apele Moldovei”</w:t>
      </w:r>
      <w:r w:rsidRPr="00A21A6B">
        <w:rPr>
          <w:rFonts w:asciiTheme="majorHAnsi" w:hAnsiTheme="majorHAnsi" w:cstheme="majorHAnsi"/>
          <w:sz w:val="24"/>
          <w:szCs w:val="24"/>
          <w:lang w:val="ru-MD"/>
        </w:rPr>
        <w:t>. Таким образом, в результате реформы, начатой в 2018 году</w:t>
      </w:r>
      <w:r w:rsidR="006F3703" w:rsidRPr="00A21A6B">
        <w:rPr>
          <w:rFonts w:asciiTheme="majorHAnsi" w:hAnsiTheme="majorHAnsi" w:cstheme="majorHAnsi"/>
          <w:sz w:val="24"/>
          <w:szCs w:val="24"/>
          <w:vertAlign w:val="superscript"/>
          <w:lang w:val="ru-MD"/>
        </w:rPr>
        <w:footnoteReference w:id="24"/>
      </w:r>
      <w:r w:rsidRPr="00A21A6B">
        <w:rPr>
          <w:rFonts w:asciiTheme="majorHAnsi" w:hAnsiTheme="majorHAnsi" w:cstheme="majorHAnsi"/>
          <w:sz w:val="24"/>
          <w:szCs w:val="24"/>
          <w:lang w:val="ru-MD"/>
        </w:rPr>
        <w:t>, пересекаются две государственные политики, за реализацию которых отвечают разные государственные учреждения, хотя общие бюджетные правила не предусматривают таких ситуаций. В то же время наблюдается не</w:t>
      </w:r>
      <w:r w:rsidR="006F3703" w:rsidRPr="00A21A6B">
        <w:rPr>
          <w:rFonts w:asciiTheme="majorHAnsi" w:hAnsiTheme="majorHAnsi" w:cstheme="majorHAnsi"/>
          <w:sz w:val="24"/>
          <w:szCs w:val="24"/>
          <w:lang w:val="ru-MD"/>
        </w:rPr>
        <w:t>единообраз</w:t>
      </w:r>
      <w:r w:rsidRPr="00A21A6B">
        <w:rPr>
          <w:rFonts w:asciiTheme="majorHAnsi" w:hAnsiTheme="majorHAnsi" w:cstheme="majorHAnsi"/>
          <w:sz w:val="24"/>
          <w:szCs w:val="24"/>
          <w:lang w:val="ru-MD"/>
        </w:rPr>
        <w:t xml:space="preserve">ный подход к предоставлению субсидий: одна </w:t>
      </w:r>
      <w:r w:rsidR="006F3703" w:rsidRPr="00A21A6B">
        <w:rPr>
          <w:rFonts w:asciiTheme="majorHAnsi" w:hAnsiTheme="majorHAnsi" w:cstheme="majorHAnsi"/>
          <w:sz w:val="24"/>
          <w:szCs w:val="24"/>
          <w:lang w:val="ru-MD"/>
        </w:rPr>
        <w:t>часть</w:t>
      </w:r>
      <w:r w:rsidRPr="00A21A6B">
        <w:rPr>
          <w:rFonts w:asciiTheme="majorHAnsi" w:hAnsiTheme="majorHAnsi" w:cstheme="majorHAnsi"/>
          <w:sz w:val="24"/>
          <w:szCs w:val="24"/>
          <w:lang w:val="ru-MD"/>
        </w:rPr>
        <w:t xml:space="preserve"> выделяется по </w:t>
      </w:r>
      <w:r w:rsidR="006F3703" w:rsidRPr="00A21A6B">
        <w:rPr>
          <w:rFonts w:asciiTheme="majorHAnsi" w:hAnsiTheme="majorHAnsi" w:cstheme="majorHAnsi"/>
          <w:sz w:val="24"/>
          <w:szCs w:val="24"/>
          <w:lang w:val="ru-MD"/>
        </w:rPr>
        <w:t>договору</w:t>
      </w:r>
      <w:r w:rsidRPr="00A21A6B">
        <w:rPr>
          <w:rFonts w:asciiTheme="majorHAnsi" w:hAnsiTheme="majorHAnsi" w:cstheme="majorHAnsi"/>
          <w:sz w:val="24"/>
          <w:szCs w:val="24"/>
          <w:lang w:val="ru-MD"/>
        </w:rPr>
        <w:t>, другая</w:t>
      </w:r>
      <w:r w:rsidR="006F370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w:t>
      </w:r>
      <w:r w:rsidR="006F3703"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без какого-либо </w:t>
      </w:r>
      <w:r w:rsidR="006F3703" w:rsidRPr="00A21A6B">
        <w:rPr>
          <w:rFonts w:asciiTheme="majorHAnsi" w:hAnsiTheme="majorHAnsi" w:cstheme="majorHAnsi"/>
          <w:sz w:val="24"/>
          <w:szCs w:val="24"/>
          <w:lang w:val="ru-MD"/>
        </w:rPr>
        <w:t>документа</w:t>
      </w:r>
      <w:r w:rsidRPr="00A21A6B">
        <w:rPr>
          <w:rFonts w:asciiTheme="majorHAnsi" w:hAnsiTheme="majorHAnsi" w:cstheme="majorHAnsi"/>
          <w:sz w:val="24"/>
          <w:szCs w:val="24"/>
          <w:lang w:val="ru-MD"/>
        </w:rPr>
        <w:t xml:space="preserve">, подтверждающего или </w:t>
      </w:r>
      <w:r w:rsidR="006F3703" w:rsidRPr="00A21A6B">
        <w:rPr>
          <w:rFonts w:asciiTheme="majorHAnsi" w:hAnsiTheme="majorHAnsi" w:cstheme="majorHAnsi"/>
          <w:sz w:val="24"/>
          <w:szCs w:val="24"/>
          <w:lang w:val="ru-MD"/>
        </w:rPr>
        <w:t>обосн</w:t>
      </w:r>
      <w:r w:rsidRPr="00A21A6B">
        <w:rPr>
          <w:rFonts w:asciiTheme="majorHAnsi" w:hAnsiTheme="majorHAnsi" w:cstheme="majorHAnsi"/>
          <w:sz w:val="24"/>
          <w:szCs w:val="24"/>
          <w:lang w:val="ru-MD"/>
        </w:rPr>
        <w:t>ующего необходимость субсидирования</w:t>
      </w:r>
      <w:r w:rsidR="00F40961" w:rsidRPr="00A21A6B">
        <w:rPr>
          <w:rFonts w:asciiTheme="majorHAnsi" w:hAnsiTheme="majorHAnsi" w:cstheme="majorHAnsi"/>
          <w:sz w:val="24"/>
          <w:szCs w:val="24"/>
          <w:lang w:val="ru-MD"/>
        </w:rPr>
        <w:t>.</w:t>
      </w:r>
    </w:p>
    <w:p w:rsidR="00F40961" w:rsidRPr="00A21A6B" w:rsidRDefault="00B37F2F" w:rsidP="00F40961">
      <w:pPr>
        <w:pStyle w:val="ListParagraph"/>
        <w:tabs>
          <w:tab w:val="left" w:pos="0"/>
        </w:tabs>
        <w:spacing w:after="120" w:line="276" w:lineRule="auto"/>
        <w:ind w:left="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Так, Агентство </w:t>
      </w:r>
      <w:r w:rsidR="00BA3D5E" w:rsidRPr="00A21A6B">
        <w:rPr>
          <w:rFonts w:asciiTheme="majorHAnsi" w:hAnsiTheme="majorHAnsi" w:cstheme="majorHAnsi"/>
          <w:sz w:val="24"/>
          <w:szCs w:val="24"/>
          <w:lang w:val="ru-MD"/>
        </w:rPr>
        <w:t xml:space="preserve">„Moldsilva” </w:t>
      </w:r>
      <w:r w:rsidRPr="00A21A6B">
        <w:rPr>
          <w:rFonts w:asciiTheme="majorHAnsi" w:hAnsiTheme="majorHAnsi" w:cstheme="majorHAnsi"/>
          <w:sz w:val="24"/>
          <w:szCs w:val="24"/>
          <w:lang w:val="ru-MD"/>
        </w:rPr>
        <w:t xml:space="preserve">предоставило в 2021 году </w:t>
      </w:r>
      <w:r w:rsidR="00BA3D5E" w:rsidRPr="00A21A6B">
        <w:rPr>
          <w:rFonts w:asciiTheme="majorHAnsi" w:hAnsiTheme="majorHAnsi" w:cstheme="majorHAnsi"/>
          <w:sz w:val="24"/>
          <w:szCs w:val="24"/>
          <w:lang w:val="ru-MD"/>
        </w:rPr>
        <w:t>субсидии</w:t>
      </w:r>
      <w:r w:rsidRPr="00A21A6B">
        <w:rPr>
          <w:rFonts w:asciiTheme="majorHAnsi" w:hAnsiTheme="majorHAnsi" w:cstheme="majorHAnsi"/>
          <w:sz w:val="24"/>
          <w:szCs w:val="24"/>
          <w:lang w:val="ru-MD"/>
        </w:rPr>
        <w:t xml:space="preserve"> на сумму 10,84 млн. ле</w:t>
      </w:r>
      <w:r w:rsidR="00BA3D5E"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государственным </w:t>
      </w:r>
      <w:r w:rsidR="00BA3D5E" w:rsidRPr="00A21A6B">
        <w:rPr>
          <w:rFonts w:asciiTheme="majorHAnsi" w:hAnsiTheme="majorHAnsi" w:cstheme="majorHAnsi"/>
          <w:sz w:val="24"/>
          <w:szCs w:val="24"/>
          <w:lang w:val="ru-MD"/>
        </w:rPr>
        <w:t xml:space="preserve">лесным </w:t>
      </w:r>
      <w:r w:rsidRPr="00A21A6B">
        <w:rPr>
          <w:rFonts w:asciiTheme="majorHAnsi" w:hAnsiTheme="majorHAnsi" w:cstheme="majorHAnsi"/>
          <w:sz w:val="24"/>
          <w:szCs w:val="24"/>
          <w:lang w:val="ru-MD"/>
        </w:rPr>
        <w:t xml:space="preserve">предприятиям, учредителем которых является, </w:t>
      </w:r>
      <w:r w:rsidR="00BA3D5E" w:rsidRPr="00A21A6B">
        <w:rPr>
          <w:rFonts w:asciiTheme="majorHAnsi" w:hAnsiTheme="majorHAnsi" w:cstheme="majorHAnsi"/>
          <w:sz w:val="24"/>
          <w:szCs w:val="24"/>
          <w:lang w:val="ru-MD"/>
        </w:rPr>
        <w:t>в</w:t>
      </w:r>
      <w:r w:rsidRPr="00A21A6B">
        <w:rPr>
          <w:rFonts w:asciiTheme="majorHAnsi" w:hAnsiTheme="majorHAnsi" w:cstheme="majorHAnsi"/>
          <w:sz w:val="24"/>
          <w:szCs w:val="24"/>
          <w:lang w:val="ru-MD"/>
        </w:rPr>
        <w:t xml:space="preserve"> отсутстви</w:t>
      </w:r>
      <w:r w:rsidR="00BA3D5E"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w:t>
      </w:r>
      <w:r w:rsidR="00BA3D5E" w:rsidRPr="00A21A6B">
        <w:rPr>
          <w:rFonts w:asciiTheme="majorHAnsi" w:hAnsiTheme="majorHAnsi" w:cstheme="majorHAnsi"/>
          <w:sz w:val="24"/>
          <w:szCs w:val="24"/>
          <w:lang w:val="ru-MD"/>
        </w:rPr>
        <w:t xml:space="preserve">какого-либо </w:t>
      </w:r>
      <w:r w:rsidRPr="00A21A6B">
        <w:rPr>
          <w:rFonts w:asciiTheme="majorHAnsi" w:hAnsiTheme="majorHAnsi" w:cstheme="majorHAnsi"/>
          <w:sz w:val="24"/>
          <w:szCs w:val="24"/>
          <w:lang w:val="ru-MD"/>
        </w:rPr>
        <w:t>регламента или договора, хотя согласно ст. 47</w:t>
      </w:r>
      <w:r w:rsidR="00BA3D5E"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(2) Лесного кодекса предусмотрены только 2 направления, которые финансируются из государственного бюджета: а) расходы, связанные с защитой от болезней и вредителей; и </w:t>
      </w:r>
      <w:r w:rsidR="00BA3D5E" w:rsidRPr="00A21A6B">
        <w:rPr>
          <w:rFonts w:asciiTheme="majorHAnsi" w:hAnsiTheme="majorHAnsi" w:cstheme="majorHAnsi"/>
          <w:sz w:val="24"/>
          <w:szCs w:val="24"/>
          <w:lang w:val="ru-MD"/>
        </w:rPr>
        <w:t>b</w:t>
      </w:r>
      <w:r w:rsidRPr="00A21A6B">
        <w:rPr>
          <w:rFonts w:asciiTheme="majorHAnsi" w:hAnsiTheme="majorHAnsi" w:cstheme="majorHAnsi"/>
          <w:sz w:val="24"/>
          <w:szCs w:val="24"/>
          <w:lang w:val="ru-MD"/>
        </w:rPr>
        <w:t xml:space="preserve">) расходы на </w:t>
      </w:r>
      <w:r w:rsidR="00BA3D5E" w:rsidRPr="00A21A6B">
        <w:rPr>
          <w:rFonts w:asciiTheme="majorHAnsi" w:hAnsiTheme="majorHAnsi" w:cstheme="majorHAnsi"/>
          <w:sz w:val="24"/>
          <w:szCs w:val="24"/>
          <w:lang w:val="ru-MD"/>
        </w:rPr>
        <w:t>капитальные вложения в лесной и охотничий фонды, включая направленные на их восстановление</w:t>
      </w:r>
      <w:r w:rsidRPr="00A21A6B">
        <w:rPr>
          <w:rFonts w:asciiTheme="majorHAnsi" w:hAnsiTheme="majorHAnsi" w:cstheme="majorHAnsi"/>
          <w:sz w:val="24"/>
          <w:szCs w:val="24"/>
          <w:lang w:val="ru-MD"/>
        </w:rPr>
        <w:t>. Таким образом, необходим</w:t>
      </w:r>
      <w:r w:rsidR="00BA3D5E" w:rsidRPr="00A21A6B">
        <w:rPr>
          <w:rFonts w:asciiTheme="majorHAnsi" w:hAnsiTheme="majorHAnsi" w:cstheme="majorHAnsi"/>
          <w:sz w:val="24"/>
          <w:szCs w:val="24"/>
          <w:lang w:val="ru-MD"/>
        </w:rPr>
        <w:t xml:space="preserve">о принять </w:t>
      </w:r>
      <w:r w:rsidRPr="00A21A6B">
        <w:rPr>
          <w:rFonts w:asciiTheme="majorHAnsi" w:hAnsiTheme="majorHAnsi" w:cstheme="majorHAnsi"/>
          <w:sz w:val="24"/>
          <w:szCs w:val="24"/>
          <w:lang w:val="ru-MD"/>
        </w:rPr>
        <w:t xml:space="preserve">меры по мониторингу направлений </w:t>
      </w:r>
      <w:r w:rsidR="00BA3D5E" w:rsidRPr="00A21A6B">
        <w:rPr>
          <w:rFonts w:asciiTheme="majorHAnsi" w:hAnsiTheme="majorHAnsi" w:cstheme="majorHAnsi"/>
          <w:sz w:val="24"/>
          <w:szCs w:val="24"/>
          <w:lang w:val="ru-MD"/>
        </w:rPr>
        <w:t xml:space="preserve">использования </w:t>
      </w:r>
      <w:r w:rsidRPr="00A21A6B">
        <w:rPr>
          <w:rFonts w:asciiTheme="majorHAnsi" w:hAnsiTheme="majorHAnsi" w:cstheme="majorHAnsi"/>
          <w:sz w:val="24"/>
          <w:szCs w:val="24"/>
          <w:lang w:val="ru-MD"/>
        </w:rPr>
        <w:t>выделенного финансирования</w:t>
      </w:r>
    </w:p>
    <w:p w:rsidR="00F40961" w:rsidRPr="00A21A6B" w:rsidRDefault="006E3971" w:rsidP="006E3971">
      <w:pPr>
        <w:pStyle w:val="ListParagraph"/>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При выделении финансовых средств на осуществление капитальных расходов не соблюдался принцип эффективности, предусматривающий эконом</w:t>
      </w:r>
      <w:r w:rsidR="00BA3D5E" w:rsidRPr="00A21A6B">
        <w:rPr>
          <w:rFonts w:asciiTheme="majorHAnsi" w:hAnsiTheme="majorHAnsi" w:cstheme="majorHAnsi"/>
          <w:sz w:val="24"/>
          <w:szCs w:val="24"/>
          <w:lang w:val="ru-MD"/>
        </w:rPr>
        <w:t>н</w:t>
      </w:r>
      <w:r w:rsidRPr="00A21A6B">
        <w:rPr>
          <w:rFonts w:asciiTheme="majorHAnsi" w:hAnsiTheme="majorHAnsi" w:cstheme="majorHAnsi"/>
          <w:sz w:val="24"/>
          <w:szCs w:val="24"/>
          <w:lang w:val="ru-MD"/>
        </w:rPr>
        <w:t xml:space="preserve">ое, эффективное и </w:t>
      </w:r>
      <w:r w:rsidR="00BA3D5E" w:rsidRPr="00A21A6B">
        <w:rPr>
          <w:rFonts w:asciiTheme="majorHAnsi" w:hAnsiTheme="majorHAnsi" w:cstheme="majorHAnsi"/>
          <w:sz w:val="24"/>
          <w:szCs w:val="24"/>
          <w:lang w:val="ru-MD"/>
        </w:rPr>
        <w:t>результатив</w:t>
      </w:r>
      <w:r w:rsidRPr="00A21A6B">
        <w:rPr>
          <w:rFonts w:asciiTheme="majorHAnsi" w:hAnsiTheme="majorHAnsi" w:cstheme="majorHAnsi"/>
          <w:sz w:val="24"/>
          <w:szCs w:val="24"/>
          <w:lang w:val="ru-MD"/>
        </w:rPr>
        <w:t>ное использование бюджетных ресурсов в соответствии с принципами надлежащего управления</w:t>
      </w:r>
      <w:r w:rsidR="00F40961" w:rsidRPr="00A21A6B">
        <w:rPr>
          <w:rFonts w:asciiTheme="majorHAnsi" w:hAnsiTheme="majorHAnsi" w:cstheme="majorHAnsi"/>
          <w:sz w:val="24"/>
          <w:szCs w:val="24"/>
          <w:lang w:val="ru-MD"/>
        </w:rPr>
        <w:t>.</w:t>
      </w:r>
    </w:p>
    <w:p w:rsidR="00F40961" w:rsidRPr="00A21A6B" w:rsidRDefault="006E3971" w:rsidP="006E3971">
      <w:pPr>
        <w:pStyle w:val="ListParagraph"/>
        <w:numPr>
          <w:ilvl w:val="0"/>
          <w:numId w:val="16"/>
        </w:numPr>
        <w:tabs>
          <w:tab w:val="left" w:pos="360"/>
        </w:tabs>
        <w:spacing w:after="120"/>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Таким образом, было установлено, что в 2021 году Национальный экологический фонд (</w:t>
      </w:r>
      <w:r w:rsidR="004B14F9" w:rsidRPr="00A21A6B">
        <w:rPr>
          <w:rFonts w:asciiTheme="majorHAnsi" w:hAnsiTheme="majorHAnsi" w:cstheme="majorHAnsi"/>
          <w:sz w:val="24"/>
          <w:szCs w:val="24"/>
          <w:lang w:val="ru-MD"/>
        </w:rPr>
        <w:t>НЭФ</w:t>
      </w:r>
      <w:r w:rsidRPr="00A21A6B">
        <w:rPr>
          <w:rFonts w:asciiTheme="majorHAnsi" w:hAnsiTheme="majorHAnsi" w:cstheme="majorHAnsi"/>
          <w:sz w:val="24"/>
          <w:szCs w:val="24"/>
          <w:lang w:val="ru-MD"/>
        </w:rPr>
        <w:t>) утвердил для финансирования инвестиционный проект „</w:t>
      </w:r>
      <w:r w:rsidR="004B14F9" w:rsidRPr="00A21A6B">
        <w:rPr>
          <w:rFonts w:asciiTheme="majorHAnsi" w:hAnsiTheme="majorHAnsi" w:cstheme="majorHAnsi"/>
          <w:sz w:val="24"/>
          <w:szCs w:val="24"/>
          <w:lang w:val="ru-MD"/>
        </w:rPr>
        <w:t>С</w:t>
      </w:r>
      <w:r w:rsidRPr="00A21A6B">
        <w:rPr>
          <w:rFonts w:asciiTheme="majorHAnsi" w:hAnsiTheme="majorHAnsi" w:cstheme="majorHAnsi"/>
          <w:sz w:val="24"/>
          <w:szCs w:val="24"/>
          <w:lang w:val="ru-MD"/>
        </w:rPr>
        <w:t>оздание устойчивых решений для переработки осколков стекла” на сумму 14,0 млн. леев, бенефициаром которого является общественная ассоциация</w:t>
      </w:r>
      <w:r w:rsidR="004B14F9" w:rsidRPr="00A21A6B">
        <w:rPr>
          <w:rFonts w:asciiTheme="majorHAnsi" w:hAnsiTheme="majorHAnsi" w:cstheme="majorHAnsi"/>
          <w:sz w:val="24"/>
          <w:szCs w:val="24"/>
          <w:vertAlign w:val="superscript"/>
          <w:lang w:val="ru-MD"/>
        </w:rPr>
        <w:footnoteReference w:id="25"/>
      </w:r>
      <w:r w:rsidRPr="00A21A6B">
        <w:rPr>
          <w:rFonts w:asciiTheme="majorHAnsi" w:hAnsiTheme="majorHAnsi" w:cstheme="majorHAnsi"/>
          <w:sz w:val="24"/>
          <w:szCs w:val="24"/>
          <w:lang w:val="ru-MD"/>
        </w:rPr>
        <w:t xml:space="preserve">, не имеющая экологического разрешения на </w:t>
      </w:r>
      <w:r w:rsidR="004B14F9" w:rsidRPr="00A21A6B">
        <w:rPr>
          <w:rFonts w:asciiTheme="majorHAnsi" w:hAnsiTheme="majorHAnsi" w:cstheme="majorHAnsi"/>
          <w:sz w:val="24"/>
          <w:szCs w:val="24"/>
          <w:lang w:val="ru-MD"/>
        </w:rPr>
        <w:t>обращение с</w:t>
      </w:r>
      <w:r w:rsidRPr="00A21A6B">
        <w:rPr>
          <w:rFonts w:asciiTheme="majorHAnsi" w:hAnsiTheme="majorHAnsi" w:cstheme="majorHAnsi"/>
          <w:sz w:val="24"/>
          <w:szCs w:val="24"/>
          <w:lang w:val="ru-MD"/>
        </w:rPr>
        <w:t xml:space="preserve"> отход</w:t>
      </w:r>
      <w:r w:rsidR="004B14F9" w:rsidRPr="00A21A6B">
        <w:rPr>
          <w:rFonts w:asciiTheme="majorHAnsi" w:hAnsiTheme="majorHAnsi" w:cstheme="majorHAnsi"/>
          <w:sz w:val="24"/>
          <w:szCs w:val="24"/>
          <w:lang w:val="ru-MD"/>
        </w:rPr>
        <w:t>ами</w:t>
      </w:r>
      <w:r w:rsidRPr="00A21A6B">
        <w:rPr>
          <w:rFonts w:asciiTheme="majorHAnsi" w:hAnsiTheme="majorHAnsi" w:cstheme="majorHAnsi"/>
          <w:sz w:val="24"/>
          <w:szCs w:val="24"/>
          <w:lang w:val="ru-MD"/>
        </w:rPr>
        <w:t xml:space="preserve">, что не </w:t>
      </w:r>
      <w:r w:rsidR="004B14F9" w:rsidRPr="00A21A6B">
        <w:rPr>
          <w:rFonts w:asciiTheme="majorHAnsi" w:hAnsiTheme="majorHAnsi" w:cstheme="majorHAnsi"/>
          <w:sz w:val="24"/>
          <w:szCs w:val="24"/>
          <w:lang w:val="ru-MD"/>
        </w:rPr>
        <w:t xml:space="preserve">было </w:t>
      </w:r>
      <w:r w:rsidRPr="00A21A6B">
        <w:rPr>
          <w:rFonts w:asciiTheme="majorHAnsi" w:hAnsiTheme="majorHAnsi" w:cstheme="majorHAnsi"/>
          <w:sz w:val="24"/>
          <w:szCs w:val="24"/>
          <w:lang w:val="ru-MD"/>
        </w:rPr>
        <w:t>уч</w:t>
      </w:r>
      <w:r w:rsidR="004B14F9" w:rsidRPr="00A21A6B">
        <w:rPr>
          <w:rFonts w:asciiTheme="majorHAnsi" w:hAnsiTheme="majorHAnsi" w:cstheme="majorHAnsi"/>
          <w:sz w:val="24"/>
          <w:szCs w:val="24"/>
          <w:lang w:val="ru-MD"/>
        </w:rPr>
        <w:t>тено</w:t>
      </w:r>
      <w:r w:rsidRPr="00A21A6B">
        <w:rPr>
          <w:rFonts w:asciiTheme="majorHAnsi" w:hAnsiTheme="majorHAnsi" w:cstheme="majorHAnsi"/>
          <w:sz w:val="24"/>
          <w:szCs w:val="24"/>
          <w:lang w:val="ru-MD"/>
        </w:rPr>
        <w:t xml:space="preserve"> </w:t>
      </w:r>
      <w:r w:rsidR="004B14F9" w:rsidRPr="00A21A6B">
        <w:rPr>
          <w:rFonts w:asciiTheme="majorHAnsi" w:hAnsiTheme="majorHAnsi" w:cstheme="majorHAnsi"/>
          <w:sz w:val="24"/>
          <w:szCs w:val="24"/>
          <w:lang w:val="ru-MD"/>
        </w:rPr>
        <w:t xml:space="preserve">Административным </w:t>
      </w:r>
      <w:r w:rsidRPr="00A21A6B">
        <w:rPr>
          <w:rFonts w:asciiTheme="majorHAnsi" w:hAnsiTheme="majorHAnsi" w:cstheme="majorHAnsi"/>
          <w:sz w:val="24"/>
          <w:szCs w:val="24"/>
          <w:lang w:val="ru-MD"/>
        </w:rPr>
        <w:t xml:space="preserve">советом </w:t>
      </w:r>
      <w:r w:rsidR="004B14F9" w:rsidRPr="00A21A6B">
        <w:rPr>
          <w:rFonts w:asciiTheme="majorHAnsi" w:hAnsiTheme="majorHAnsi" w:cstheme="majorHAnsi"/>
          <w:sz w:val="24"/>
          <w:szCs w:val="24"/>
          <w:lang w:val="ru-MD"/>
        </w:rPr>
        <w:t>НЭФ</w:t>
      </w:r>
      <w:r w:rsidRPr="00A21A6B">
        <w:rPr>
          <w:rFonts w:asciiTheme="majorHAnsi" w:hAnsiTheme="majorHAnsi" w:cstheme="majorHAnsi"/>
          <w:sz w:val="24"/>
          <w:szCs w:val="24"/>
          <w:lang w:val="ru-MD"/>
        </w:rPr>
        <w:t xml:space="preserve"> на момент утверждения финансирования. Проверки аудита показали, что товары были приобретены общественной ассоциацией (дал</w:t>
      </w:r>
      <w:r w:rsidR="004B14F9" w:rsidRPr="00A21A6B">
        <w:rPr>
          <w:rFonts w:asciiTheme="majorHAnsi" w:hAnsiTheme="majorHAnsi" w:cstheme="majorHAnsi"/>
          <w:sz w:val="24"/>
          <w:szCs w:val="24"/>
          <w:lang w:val="ru-MD"/>
        </w:rPr>
        <w:t>ее</w:t>
      </w:r>
      <w:r w:rsidRPr="00A21A6B">
        <w:rPr>
          <w:rFonts w:asciiTheme="majorHAnsi" w:hAnsiTheme="majorHAnsi" w:cstheme="majorHAnsi"/>
          <w:sz w:val="24"/>
          <w:szCs w:val="24"/>
          <w:lang w:val="ru-MD"/>
        </w:rPr>
        <w:t xml:space="preserve"> – </w:t>
      </w:r>
      <w:r w:rsidR="004B14F9" w:rsidRPr="00A21A6B">
        <w:rPr>
          <w:rFonts w:asciiTheme="majorHAnsi" w:hAnsiTheme="majorHAnsi" w:cstheme="majorHAnsi"/>
          <w:sz w:val="24"/>
          <w:szCs w:val="24"/>
          <w:lang w:val="ru-MD"/>
        </w:rPr>
        <w:t>ОА</w:t>
      </w:r>
      <w:r w:rsidRPr="00A21A6B">
        <w:rPr>
          <w:rFonts w:asciiTheme="majorHAnsi" w:hAnsiTheme="majorHAnsi" w:cstheme="majorHAnsi"/>
          <w:sz w:val="24"/>
          <w:szCs w:val="24"/>
          <w:lang w:val="ru-MD"/>
        </w:rPr>
        <w:t xml:space="preserve">) </w:t>
      </w:r>
      <w:r w:rsidR="00723724"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экономического агента</w:t>
      </w:r>
      <w:r w:rsidR="00723724" w:rsidRPr="00A21A6B">
        <w:rPr>
          <w:rFonts w:asciiTheme="majorHAnsi" w:hAnsiTheme="majorHAnsi" w:cstheme="majorHAnsi"/>
          <w:sz w:val="24"/>
          <w:szCs w:val="24"/>
          <w:vertAlign w:val="superscript"/>
          <w:lang w:val="ru-MD"/>
        </w:rPr>
        <w:footnoteReference w:id="26"/>
      </w:r>
      <w:r w:rsidRPr="00A21A6B">
        <w:rPr>
          <w:rFonts w:asciiTheme="majorHAnsi" w:hAnsiTheme="majorHAnsi" w:cstheme="majorHAnsi"/>
          <w:sz w:val="24"/>
          <w:szCs w:val="24"/>
          <w:lang w:val="ru-MD"/>
        </w:rPr>
        <w:t xml:space="preserve">, </w:t>
      </w:r>
      <w:r w:rsidR="00723724" w:rsidRPr="00A21A6B">
        <w:rPr>
          <w:rFonts w:asciiTheme="majorHAnsi" w:hAnsiTheme="majorHAnsi" w:cstheme="majorHAnsi"/>
          <w:sz w:val="24"/>
          <w:szCs w:val="24"/>
          <w:lang w:val="ru-MD"/>
        </w:rPr>
        <w:t xml:space="preserve">должностные </w:t>
      </w:r>
      <w:r w:rsidRPr="00A21A6B">
        <w:rPr>
          <w:rFonts w:asciiTheme="majorHAnsi" w:hAnsiTheme="majorHAnsi" w:cstheme="majorHAnsi"/>
          <w:sz w:val="24"/>
          <w:szCs w:val="24"/>
          <w:lang w:val="ru-MD"/>
        </w:rPr>
        <w:t>лица котор</w:t>
      </w:r>
      <w:r w:rsidR="00723724" w:rsidRPr="00A21A6B">
        <w:rPr>
          <w:rFonts w:asciiTheme="majorHAnsi" w:hAnsiTheme="majorHAnsi" w:cstheme="majorHAnsi"/>
          <w:sz w:val="24"/>
          <w:szCs w:val="24"/>
          <w:lang w:val="ru-MD"/>
        </w:rPr>
        <w:t>ого</w:t>
      </w:r>
      <w:r w:rsidRPr="00A21A6B">
        <w:rPr>
          <w:rFonts w:asciiTheme="majorHAnsi" w:hAnsiTheme="majorHAnsi" w:cstheme="majorHAnsi"/>
          <w:sz w:val="24"/>
          <w:szCs w:val="24"/>
          <w:lang w:val="ru-MD"/>
        </w:rPr>
        <w:t xml:space="preserve"> являются </w:t>
      </w:r>
      <w:r w:rsidR="00723724" w:rsidRPr="00A21A6B">
        <w:rPr>
          <w:rFonts w:asciiTheme="majorHAnsi" w:hAnsiTheme="majorHAnsi" w:cstheme="majorHAnsi"/>
          <w:sz w:val="24"/>
          <w:szCs w:val="24"/>
          <w:lang w:val="ru-MD"/>
        </w:rPr>
        <w:t xml:space="preserve">учредителями некоторых </w:t>
      </w:r>
      <w:r w:rsidRPr="00A21A6B">
        <w:rPr>
          <w:rFonts w:asciiTheme="majorHAnsi" w:hAnsiTheme="majorHAnsi" w:cstheme="majorHAnsi"/>
          <w:sz w:val="24"/>
          <w:szCs w:val="24"/>
          <w:lang w:val="ru-MD"/>
        </w:rPr>
        <w:t>член</w:t>
      </w:r>
      <w:r w:rsidR="00723724" w:rsidRPr="00A21A6B">
        <w:rPr>
          <w:rFonts w:asciiTheme="majorHAnsi" w:hAnsiTheme="majorHAnsi" w:cstheme="majorHAnsi"/>
          <w:sz w:val="24"/>
          <w:szCs w:val="24"/>
          <w:lang w:val="ru-MD"/>
        </w:rPr>
        <w:t>ов</w:t>
      </w:r>
      <w:r w:rsidRPr="00A21A6B">
        <w:rPr>
          <w:rFonts w:asciiTheme="majorHAnsi" w:hAnsiTheme="majorHAnsi" w:cstheme="majorHAnsi"/>
          <w:sz w:val="24"/>
          <w:szCs w:val="24"/>
          <w:lang w:val="ru-MD"/>
        </w:rPr>
        <w:t xml:space="preserve"> Общественной ассоциации, а экономически</w:t>
      </w:r>
      <w:r w:rsidR="00723724" w:rsidRPr="00A21A6B">
        <w:rPr>
          <w:rFonts w:asciiTheme="majorHAnsi" w:hAnsiTheme="majorHAnsi" w:cstheme="majorHAnsi"/>
          <w:sz w:val="24"/>
          <w:szCs w:val="24"/>
          <w:lang w:val="ru-MD"/>
        </w:rPr>
        <w:t>й</w:t>
      </w:r>
      <w:r w:rsidRPr="00A21A6B">
        <w:rPr>
          <w:rFonts w:asciiTheme="majorHAnsi" w:hAnsiTheme="majorHAnsi" w:cstheme="majorHAnsi"/>
          <w:sz w:val="24"/>
          <w:szCs w:val="24"/>
          <w:lang w:val="ru-MD"/>
        </w:rPr>
        <w:t xml:space="preserve"> агент</w:t>
      </w:r>
      <w:r w:rsidR="00723724" w:rsidRPr="00A21A6B">
        <w:rPr>
          <w:rFonts w:asciiTheme="majorHAnsi" w:hAnsiTheme="majorHAnsi" w:cstheme="majorHAnsi"/>
          <w:sz w:val="24"/>
          <w:szCs w:val="24"/>
          <w:lang w:val="ru-MD"/>
        </w:rPr>
        <w:t xml:space="preserve"> одновременно являлся и</w:t>
      </w:r>
      <w:r w:rsidRPr="00A21A6B">
        <w:rPr>
          <w:rFonts w:asciiTheme="majorHAnsi" w:hAnsiTheme="majorHAnsi" w:cstheme="majorHAnsi"/>
          <w:sz w:val="24"/>
          <w:szCs w:val="24"/>
          <w:lang w:val="ru-MD"/>
        </w:rPr>
        <w:t xml:space="preserve"> конечным бенефициаром этих товаров</w:t>
      </w:r>
      <w:r w:rsidR="00F40961"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Анализ процесса организации </w:t>
      </w:r>
      <w:r w:rsidR="004B14F9" w:rsidRPr="00A21A6B">
        <w:rPr>
          <w:rFonts w:asciiTheme="majorHAnsi" w:hAnsiTheme="majorHAnsi" w:cstheme="majorHAnsi"/>
          <w:sz w:val="24"/>
          <w:szCs w:val="24"/>
          <w:lang w:val="ru-MD"/>
        </w:rPr>
        <w:t>аукциона</w:t>
      </w:r>
      <w:r w:rsidRPr="00A21A6B">
        <w:rPr>
          <w:rFonts w:asciiTheme="majorHAnsi" w:hAnsiTheme="majorHAnsi" w:cstheme="majorHAnsi"/>
          <w:sz w:val="24"/>
          <w:szCs w:val="24"/>
          <w:lang w:val="ru-MD"/>
        </w:rPr>
        <w:t xml:space="preserve"> </w:t>
      </w:r>
      <w:r w:rsidR="004B14F9" w:rsidRPr="00A21A6B">
        <w:rPr>
          <w:rFonts w:asciiTheme="majorHAnsi" w:hAnsiTheme="majorHAnsi" w:cstheme="majorHAnsi"/>
          <w:sz w:val="24"/>
          <w:szCs w:val="24"/>
          <w:lang w:val="ru-MD"/>
        </w:rPr>
        <w:t>закупающим органом показал</w:t>
      </w:r>
      <w:r w:rsidRPr="00A21A6B">
        <w:rPr>
          <w:rFonts w:asciiTheme="majorHAnsi" w:hAnsiTheme="majorHAnsi" w:cstheme="majorHAnsi"/>
          <w:sz w:val="24"/>
          <w:szCs w:val="24"/>
          <w:lang w:val="ru-MD"/>
        </w:rPr>
        <w:t>, что он не обеспечил прозрачность процесса закупок, не опубликова</w:t>
      </w:r>
      <w:r w:rsidR="00A92F43" w:rsidRPr="00A21A6B">
        <w:rPr>
          <w:rFonts w:asciiTheme="majorHAnsi" w:hAnsiTheme="majorHAnsi" w:cstheme="majorHAnsi"/>
          <w:sz w:val="24"/>
          <w:szCs w:val="24"/>
          <w:lang w:val="ru-MD"/>
        </w:rPr>
        <w:t>л</w:t>
      </w:r>
      <w:r w:rsidRPr="00A21A6B">
        <w:rPr>
          <w:rFonts w:asciiTheme="majorHAnsi" w:hAnsiTheme="majorHAnsi" w:cstheme="majorHAnsi"/>
          <w:sz w:val="24"/>
          <w:szCs w:val="24"/>
          <w:lang w:val="ru-MD"/>
        </w:rPr>
        <w:t xml:space="preserve"> объявление </w:t>
      </w:r>
      <w:r w:rsidR="004B14F9" w:rsidRPr="00A21A6B">
        <w:rPr>
          <w:rFonts w:asciiTheme="majorHAnsi" w:hAnsiTheme="majorHAnsi" w:cstheme="majorHAnsi"/>
          <w:sz w:val="24"/>
          <w:szCs w:val="24"/>
          <w:lang w:val="ru-MD"/>
        </w:rPr>
        <w:t>на</w:t>
      </w:r>
      <w:r w:rsidRPr="00A21A6B">
        <w:rPr>
          <w:rFonts w:asciiTheme="majorHAnsi" w:hAnsiTheme="majorHAnsi" w:cstheme="majorHAnsi"/>
          <w:sz w:val="24"/>
          <w:szCs w:val="24"/>
          <w:lang w:val="ru-MD"/>
        </w:rPr>
        <w:t xml:space="preserve"> участи</w:t>
      </w:r>
      <w:r w:rsidR="004B14F9" w:rsidRPr="00A21A6B">
        <w:rPr>
          <w:rFonts w:asciiTheme="majorHAnsi" w:hAnsiTheme="majorHAnsi" w:cstheme="majorHAnsi"/>
          <w:sz w:val="24"/>
          <w:szCs w:val="24"/>
          <w:lang w:val="ru-MD"/>
        </w:rPr>
        <w:t xml:space="preserve">е </w:t>
      </w:r>
      <w:r w:rsidRPr="00A21A6B">
        <w:rPr>
          <w:rFonts w:asciiTheme="majorHAnsi" w:hAnsiTheme="majorHAnsi" w:cstheme="majorHAnsi"/>
          <w:sz w:val="24"/>
          <w:szCs w:val="24"/>
          <w:lang w:val="ru-MD"/>
        </w:rPr>
        <w:t xml:space="preserve">в </w:t>
      </w:r>
      <w:r w:rsidR="004B14F9" w:rsidRPr="00A21A6B">
        <w:rPr>
          <w:rFonts w:asciiTheme="majorHAnsi" w:hAnsiTheme="majorHAnsi" w:cstheme="majorHAnsi"/>
          <w:sz w:val="24"/>
          <w:szCs w:val="24"/>
          <w:lang w:val="ru-MD"/>
        </w:rPr>
        <w:t>Б</w:t>
      </w:r>
      <w:r w:rsidRPr="00A21A6B">
        <w:rPr>
          <w:rFonts w:asciiTheme="majorHAnsi" w:hAnsiTheme="majorHAnsi" w:cstheme="majorHAnsi"/>
          <w:sz w:val="24"/>
          <w:szCs w:val="24"/>
          <w:lang w:val="ru-MD"/>
        </w:rPr>
        <w:t xml:space="preserve">юллетене государственных закупок и Официальном журнале Европейского Союза, что </w:t>
      </w:r>
      <w:r w:rsidR="004B14F9" w:rsidRPr="00A21A6B">
        <w:rPr>
          <w:rFonts w:asciiTheme="majorHAnsi" w:hAnsiTheme="majorHAnsi" w:cstheme="majorHAnsi"/>
          <w:sz w:val="24"/>
          <w:szCs w:val="24"/>
          <w:lang w:val="ru-MD"/>
        </w:rPr>
        <w:t>обуслови</w:t>
      </w:r>
      <w:r w:rsidRPr="00A21A6B">
        <w:rPr>
          <w:rFonts w:asciiTheme="majorHAnsi" w:hAnsiTheme="majorHAnsi" w:cstheme="majorHAnsi"/>
          <w:sz w:val="24"/>
          <w:szCs w:val="24"/>
          <w:lang w:val="ru-MD"/>
        </w:rPr>
        <w:t>ло участи</w:t>
      </w:r>
      <w:r w:rsidR="004B14F9"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в процедуре закупки только одного экономического агента, который</w:t>
      </w:r>
      <w:r w:rsidR="004B14F9"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r w:rsidR="004B14F9" w:rsidRPr="00A21A6B">
        <w:rPr>
          <w:rFonts w:asciiTheme="majorHAnsi" w:hAnsiTheme="majorHAnsi" w:cstheme="majorHAnsi"/>
          <w:sz w:val="24"/>
          <w:szCs w:val="24"/>
          <w:lang w:val="ru-MD"/>
        </w:rPr>
        <w:t>в действительности,</w:t>
      </w:r>
      <w:r w:rsidRPr="00A21A6B">
        <w:rPr>
          <w:rFonts w:asciiTheme="majorHAnsi" w:hAnsiTheme="majorHAnsi" w:cstheme="majorHAnsi"/>
          <w:sz w:val="24"/>
          <w:szCs w:val="24"/>
          <w:lang w:val="ru-MD"/>
        </w:rPr>
        <w:t xml:space="preserve"> представлял софинанс</w:t>
      </w:r>
      <w:r w:rsidR="004B14F9" w:rsidRPr="00A21A6B">
        <w:rPr>
          <w:rFonts w:asciiTheme="majorHAnsi" w:hAnsiTheme="majorHAnsi" w:cstheme="majorHAnsi"/>
          <w:sz w:val="24"/>
          <w:szCs w:val="24"/>
          <w:lang w:val="ru-MD"/>
        </w:rPr>
        <w:t>ирующую сторону</w:t>
      </w:r>
      <w:r w:rsidRPr="00A21A6B">
        <w:rPr>
          <w:rFonts w:asciiTheme="majorHAnsi" w:hAnsiTheme="majorHAnsi" w:cstheme="majorHAnsi"/>
          <w:sz w:val="24"/>
          <w:szCs w:val="24"/>
          <w:lang w:val="ru-MD"/>
        </w:rPr>
        <w:t xml:space="preserve"> проекта в рамках </w:t>
      </w:r>
      <w:r w:rsidR="004B14F9" w:rsidRPr="00A21A6B">
        <w:rPr>
          <w:rFonts w:asciiTheme="majorHAnsi" w:hAnsiTheme="majorHAnsi" w:cstheme="majorHAnsi"/>
          <w:sz w:val="24"/>
          <w:szCs w:val="24"/>
          <w:lang w:val="ru-MD"/>
        </w:rPr>
        <w:t>одного д</w:t>
      </w:r>
      <w:r w:rsidRPr="00A21A6B">
        <w:rPr>
          <w:rFonts w:asciiTheme="majorHAnsi" w:hAnsiTheme="majorHAnsi" w:cstheme="majorHAnsi"/>
          <w:sz w:val="24"/>
          <w:szCs w:val="24"/>
          <w:lang w:val="ru-MD"/>
        </w:rPr>
        <w:t>оговора о сотрудничестве с АО. В условиях отсутствия конкуренции поставщик</w:t>
      </w:r>
      <w:r w:rsidR="004B14F9" w:rsidRPr="00A21A6B">
        <w:rPr>
          <w:rFonts w:asciiTheme="majorHAnsi" w:hAnsiTheme="majorHAnsi" w:cstheme="majorHAnsi"/>
          <w:sz w:val="24"/>
          <w:szCs w:val="24"/>
          <w:vertAlign w:val="superscript"/>
          <w:lang w:val="ru-MD"/>
        </w:rPr>
        <w:footnoteReference w:id="27"/>
      </w:r>
      <w:r w:rsidRPr="00A21A6B">
        <w:rPr>
          <w:rFonts w:asciiTheme="majorHAnsi" w:hAnsiTheme="majorHAnsi" w:cstheme="majorHAnsi"/>
          <w:sz w:val="24"/>
          <w:szCs w:val="24"/>
          <w:lang w:val="ru-MD"/>
        </w:rPr>
        <w:t xml:space="preserve">, будучи единственным участником аукциона, </w:t>
      </w:r>
      <w:r w:rsidR="004B14F9"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остав</w:t>
      </w:r>
      <w:r w:rsidR="004B14F9" w:rsidRPr="00A21A6B">
        <w:rPr>
          <w:rFonts w:asciiTheme="majorHAnsi" w:hAnsiTheme="majorHAnsi" w:cstheme="majorHAnsi"/>
          <w:sz w:val="24"/>
          <w:szCs w:val="24"/>
          <w:lang w:val="ru-MD"/>
        </w:rPr>
        <w:t>лял</w:t>
      </w:r>
      <w:r w:rsidRPr="00A21A6B">
        <w:rPr>
          <w:rFonts w:asciiTheme="majorHAnsi" w:hAnsiTheme="majorHAnsi" w:cstheme="majorHAnsi"/>
          <w:sz w:val="24"/>
          <w:szCs w:val="24"/>
          <w:lang w:val="ru-MD"/>
        </w:rPr>
        <w:t xml:space="preserve"> АО товары </w:t>
      </w:r>
      <w:r w:rsidR="004B14F9" w:rsidRPr="00A21A6B">
        <w:rPr>
          <w:rFonts w:asciiTheme="majorHAnsi" w:hAnsiTheme="majorHAnsi" w:cstheme="majorHAnsi"/>
          <w:sz w:val="24"/>
          <w:szCs w:val="24"/>
          <w:lang w:val="ru-MD"/>
        </w:rPr>
        <w:t>на сумму</w:t>
      </w:r>
      <w:r w:rsidRPr="00A21A6B">
        <w:rPr>
          <w:rFonts w:asciiTheme="majorHAnsi" w:hAnsiTheme="majorHAnsi" w:cstheme="majorHAnsi"/>
          <w:sz w:val="24"/>
          <w:szCs w:val="24"/>
          <w:lang w:val="ru-MD"/>
        </w:rPr>
        <w:t xml:space="preserve"> 13,98 млн. ле</w:t>
      </w:r>
      <w:r w:rsidR="004B14F9"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Товары, приобретенные АО, были закуплены поставщиком в предыдущие годы, для </w:t>
      </w:r>
      <w:r w:rsidR="006C26BF" w:rsidRPr="00A21A6B">
        <w:rPr>
          <w:rFonts w:asciiTheme="majorHAnsi" w:hAnsiTheme="majorHAnsi" w:cstheme="majorHAnsi"/>
          <w:sz w:val="24"/>
          <w:szCs w:val="24"/>
          <w:lang w:val="ru-MD"/>
        </w:rPr>
        <w:t>них начислен</w:t>
      </w:r>
      <w:r w:rsidRPr="00A21A6B">
        <w:rPr>
          <w:rFonts w:asciiTheme="majorHAnsi" w:hAnsiTheme="majorHAnsi" w:cstheme="majorHAnsi"/>
          <w:sz w:val="24"/>
          <w:szCs w:val="24"/>
          <w:lang w:val="ru-MD"/>
        </w:rPr>
        <w:t xml:space="preserve"> износ на общую сумму 3,66 млн. ле</w:t>
      </w:r>
      <w:r w:rsidR="006C26BF"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Таким образом, оста</w:t>
      </w:r>
      <w:r w:rsidR="006C26BF" w:rsidRPr="00A21A6B">
        <w:rPr>
          <w:rFonts w:asciiTheme="majorHAnsi" w:hAnsiTheme="majorHAnsi" w:cstheme="majorHAnsi"/>
          <w:sz w:val="24"/>
          <w:szCs w:val="24"/>
          <w:lang w:val="ru-MD"/>
        </w:rPr>
        <w:t>точная</w:t>
      </w:r>
      <w:r w:rsidRPr="00A21A6B">
        <w:rPr>
          <w:rFonts w:asciiTheme="majorHAnsi" w:hAnsiTheme="majorHAnsi" w:cstheme="majorHAnsi"/>
          <w:sz w:val="24"/>
          <w:szCs w:val="24"/>
          <w:lang w:val="ru-MD"/>
        </w:rPr>
        <w:t xml:space="preserve"> балансовая стоимость товаров на момент продажи АО состав</w:t>
      </w:r>
      <w:r w:rsidR="00A92F43" w:rsidRPr="00A21A6B">
        <w:rPr>
          <w:rFonts w:asciiTheme="majorHAnsi" w:hAnsiTheme="majorHAnsi" w:cstheme="majorHAnsi"/>
          <w:sz w:val="24"/>
          <w:szCs w:val="24"/>
          <w:lang w:val="ru-MD"/>
        </w:rPr>
        <w:t>ля</w:t>
      </w:r>
      <w:r w:rsidRPr="00A21A6B">
        <w:rPr>
          <w:rFonts w:asciiTheme="majorHAnsi" w:hAnsiTheme="majorHAnsi" w:cstheme="majorHAnsi"/>
          <w:sz w:val="24"/>
          <w:szCs w:val="24"/>
          <w:lang w:val="ru-MD"/>
        </w:rPr>
        <w:t>ла 4,2 млн. ле</w:t>
      </w:r>
      <w:r w:rsidR="006C26BF"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w:t>
      </w:r>
      <w:r w:rsidR="006C26BF" w:rsidRPr="00A21A6B">
        <w:rPr>
          <w:rFonts w:asciiTheme="majorHAnsi" w:hAnsiTheme="majorHAnsi" w:cstheme="majorHAnsi"/>
          <w:sz w:val="24"/>
          <w:szCs w:val="24"/>
          <w:lang w:val="ru-MD"/>
        </w:rPr>
        <w:t>Следовательно</w:t>
      </w:r>
      <w:r w:rsidRPr="00A21A6B">
        <w:rPr>
          <w:rFonts w:asciiTheme="majorHAnsi" w:hAnsiTheme="majorHAnsi" w:cstheme="majorHAnsi"/>
          <w:sz w:val="24"/>
          <w:szCs w:val="24"/>
          <w:lang w:val="ru-MD"/>
        </w:rPr>
        <w:t xml:space="preserve">, цена продажи использованных </w:t>
      </w:r>
      <w:r w:rsidR="006C26BF" w:rsidRPr="00A21A6B">
        <w:rPr>
          <w:rFonts w:asciiTheme="majorHAnsi" w:hAnsiTheme="majorHAnsi" w:cstheme="majorHAnsi"/>
          <w:sz w:val="24"/>
          <w:szCs w:val="24"/>
          <w:lang w:val="ru-MD"/>
        </w:rPr>
        <w:t xml:space="preserve">ранее </w:t>
      </w:r>
      <w:r w:rsidRPr="00A21A6B">
        <w:rPr>
          <w:rFonts w:asciiTheme="majorHAnsi" w:hAnsiTheme="majorHAnsi" w:cstheme="majorHAnsi"/>
          <w:sz w:val="24"/>
          <w:szCs w:val="24"/>
          <w:lang w:val="ru-MD"/>
        </w:rPr>
        <w:t>товаров была увеличена поставщиком на 9,2 млн. ле</w:t>
      </w:r>
      <w:r w:rsidR="006C26BF"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или более чем в 2 раза больше оста</w:t>
      </w:r>
      <w:r w:rsidR="006C26BF" w:rsidRPr="00A21A6B">
        <w:rPr>
          <w:rFonts w:asciiTheme="majorHAnsi" w:hAnsiTheme="majorHAnsi" w:cstheme="majorHAnsi"/>
          <w:sz w:val="24"/>
          <w:szCs w:val="24"/>
          <w:lang w:val="ru-MD"/>
        </w:rPr>
        <w:t>точной</w:t>
      </w:r>
      <w:r w:rsidRPr="00A21A6B">
        <w:rPr>
          <w:rFonts w:asciiTheme="majorHAnsi" w:hAnsiTheme="majorHAnsi" w:cstheme="majorHAnsi"/>
          <w:sz w:val="24"/>
          <w:szCs w:val="24"/>
          <w:lang w:val="ru-MD"/>
        </w:rPr>
        <w:t xml:space="preserve"> с</w:t>
      </w:r>
      <w:r w:rsidR="006C26BF" w:rsidRPr="00A21A6B">
        <w:rPr>
          <w:rFonts w:asciiTheme="majorHAnsi" w:hAnsiTheme="majorHAnsi" w:cstheme="majorHAnsi"/>
          <w:sz w:val="24"/>
          <w:szCs w:val="24"/>
          <w:lang w:val="ru-MD"/>
        </w:rPr>
        <w:t>тоимости</w:t>
      </w:r>
      <w:r w:rsidRPr="00A21A6B">
        <w:rPr>
          <w:rFonts w:asciiTheme="majorHAnsi" w:hAnsiTheme="majorHAnsi" w:cstheme="majorHAnsi"/>
          <w:sz w:val="24"/>
          <w:szCs w:val="24"/>
          <w:lang w:val="ru-MD"/>
        </w:rPr>
        <w:t>, и на 6,1 млн. ле</w:t>
      </w:r>
      <w:r w:rsidR="006C26BF"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или в 1,7 раза больше чем цена их приобретения, </w:t>
      </w:r>
      <w:r w:rsidR="006C26BF" w:rsidRPr="00A21A6B">
        <w:rPr>
          <w:rFonts w:asciiTheme="majorHAnsi" w:hAnsiTheme="majorHAnsi" w:cstheme="majorHAnsi"/>
          <w:sz w:val="24"/>
          <w:szCs w:val="24"/>
          <w:lang w:val="ru-MD"/>
        </w:rPr>
        <w:t>уплач</w:t>
      </w:r>
      <w:r w:rsidRPr="00A21A6B">
        <w:rPr>
          <w:rFonts w:asciiTheme="majorHAnsi" w:hAnsiTheme="majorHAnsi" w:cstheme="majorHAnsi"/>
          <w:sz w:val="24"/>
          <w:szCs w:val="24"/>
          <w:lang w:val="ru-MD"/>
        </w:rPr>
        <w:t xml:space="preserve">енная поставщиком в предыдущие годы. </w:t>
      </w:r>
      <w:r w:rsidR="006C26BF" w:rsidRPr="00A21A6B">
        <w:rPr>
          <w:rFonts w:asciiTheme="majorHAnsi" w:hAnsiTheme="majorHAnsi" w:cstheme="majorHAnsi"/>
          <w:sz w:val="24"/>
          <w:szCs w:val="24"/>
          <w:lang w:val="ru-MD"/>
        </w:rPr>
        <w:t>Кроме того, отмеч</w:t>
      </w:r>
      <w:r w:rsidRPr="00A21A6B">
        <w:rPr>
          <w:rFonts w:asciiTheme="majorHAnsi" w:hAnsiTheme="majorHAnsi" w:cstheme="majorHAnsi"/>
          <w:sz w:val="24"/>
          <w:szCs w:val="24"/>
          <w:lang w:val="ru-MD"/>
        </w:rPr>
        <w:t>ается, что как оборудование для очистки и сортировки осколков стекла, так и самосвалы для сбора отходов</w:t>
      </w:r>
      <w:r w:rsidR="006C26BF" w:rsidRPr="00A21A6B">
        <w:rPr>
          <w:rFonts w:asciiTheme="majorHAnsi" w:hAnsiTheme="majorHAnsi" w:cstheme="majorHAnsi"/>
          <w:sz w:val="24"/>
          <w:szCs w:val="24"/>
          <w:lang w:val="ru-MD"/>
        </w:rPr>
        <w:t xml:space="preserve"> используются ООО</w:t>
      </w:r>
      <w:r w:rsidRPr="00A21A6B">
        <w:rPr>
          <w:rFonts w:asciiTheme="majorHAnsi" w:hAnsiTheme="majorHAnsi" w:cstheme="majorHAnsi"/>
          <w:sz w:val="24"/>
          <w:szCs w:val="24"/>
          <w:lang w:val="ru-MD"/>
        </w:rPr>
        <w:t xml:space="preserve">, </w:t>
      </w:r>
      <w:r w:rsidR="006C26BF" w:rsidRPr="00A21A6B">
        <w:rPr>
          <w:rFonts w:asciiTheme="majorHAnsi" w:hAnsiTheme="majorHAnsi" w:cstheme="majorHAnsi"/>
          <w:sz w:val="24"/>
          <w:szCs w:val="24"/>
          <w:lang w:val="ru-MD"/>
        </w:rPr>
        <w:t>поскольку оно</w:t>
      </w:r>
      <w:r w:rsidR="004B14F9"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явля</w:t>
      </w:r>
      <w:r w:rsidR="004B14F9" w:rsidRPr="00A21A6B">
        <w:rPr>
          <w:rFonts w:asciiTheme="majorHAnsi" w:hAnsiTheme="majorHAnsi" w:cstheme="majorHAnsi"/>
          <w:sz w:val="24"/>
          <w:szCs w:val="24"/>
          <w:lang w:val="ru-MD"/>
        </w:rPr>
        <w:t>ется</w:t>
      </w:r>
      <w:r w:rsidRPr="00A21A6B">
        <w:rPr>
          <w:rFonts w:asciiTheme="majorHAnsi" w:hAnsiTheme="majorHAnsi" w:cstheme="majorHAnsi"/>
          <w:sz w:val="24"/>
          <w:szCs w:val="24"/>
          <w:lang w:val="ru-MD"/>
        </w:rPr>
        <w:t xml:space="preserve"> обладателем экологического разрешения на обращение со стеклянными отходами</w:t>
      </w:r>
      <w:r w:rsidR="00F40961" w:rsidRPr="00A21A6B">
        <w:rPr>
          <w:rStyle w:val="FootnoteReference"/>
          <w:rFonts w:asciiTheme="majorHAnsi" w:hAnsiTheme="majorHAnsi" w:cstheme="majorHAnsi"/>
          <w:sz w:val="24"/>
          <w:szCs w:val="24"/>
          <w:lang w:val="ru-MD"/>
        </w:rPr>
        <w:footnoteReference w:id="28"/>
      </w:r>
      <w:r w:rsidR="00F40961" w:rsidRPr="00A21A6B">
        <w:rPr>
          <w:rFonts w:asciiTheme="majorHAnsi" w:hAnsiTheme="majorHAnsi" w:cstheme="majorHAnsi"/>
          <w:sz w:val="24"/>
          <w:szCs w:val="24"/>
          <w:lang w:val="ru-MD"/>
        </w:rPr>
        <w:t>.</w:t>
      </w:r>
    </w:p>
    <w:p w:rsidR="00F40961" w:rsidRPr="00A21A6B" w:rsidRDefault="006E3971" w:rsidP="00F40961">
      <w:pPr>
        <w:pStyle w:val="ListParagraph"/>
        <w:spacing w:after="120"/>
        <w:ind w:left="0"/>
        <w:contextualSpacing w:val="0"/>
        <w:jc w:val="both"/>
        <w:rPr>
          <w:rFonts w:asciiTheme="majorHAnsi" w:hAnsiTheme="majorHAnsi" w:cstheme="majorHAnsi"/>
          <w:bCs/>
          <w:sz w:val="24"/>
          <w:szCs w:val="24"/>
          <w:lang w:val="ru-MD"/>
        </w:rPr>
      </w:pPr>
      <w:r w:rsidRPr="00A21A6B">
        <w:rPr>
          <w:rFonts w:asciiTheme="majorHAnsi" w:hAnsiTheme="majorHAnsi" w:cstheme="majorHAnsi"/>
          <w:sz w:val="24"/>
          <w:szCs w:val="24"/>
          <w:lang w:val="ru-MD"/>
        </w:rPr>
        <w:t xml:space="preserve">В 2021 году для строительства склада с контролируемым климатом для хранения образцов семян </w:t>
      </w:r>
      <w:r w:rsidR="0067160D" w:rsidRPr="00A21A6B">
        <w:rPr>
          <w:rFonts w:asciiTheme="majorHAnsi" w:hAnsiTheme="majorHAnsi" w:cstheme="majorHAnsi"/>
          <w:sz w:val="24"/>
          <w:szCs w:val="24"/>
          <w:lang w:val="ru-MD"/>
        </w:rPr>
        <w:t>в</w:t>
      </w:r>
      <w:r w:rsidRPr="00A21A6B">
        <w:rPr>
          <w:rFonts w:asciiTheme="majorHAnsi" w:hAnsiTheme="majorHAnsi" w:cstheme="majorHAnsi"/>
          <w:sz w:val="24"/>
          <w:szCs w:val="24"/>
          <w:lang w:val="ru-MD"/>
        </w:rPr>
        <w:t xml:space="preserve"> ком. Бэчой, Государственная комиссия по тестированию сортов растений </w:t>
      </w:r>
      <w:r w:rsidR="0067160D" w:rsidRPr="00A21A6B">
        <w:rPr>
          <w:rFonts w:asciiTheme="majorHAnsi" w:hAnsiTheme="majorHAnsi" w:cstheme="majorHAnsi"/>
          <w:sz w:val="24"/>
          <w:szCs w:val="24"/>
          <w:lang w:val="ru-MD"/>
        </w:rPr>
        <w:t>запусти</w:t>
      </w:r>
      <w:r w:rsidRPr="00A21A6B">
        <w:rPr>
          <w:rFonts w:asciiTheme="majorHAnsi" w:hAnsiTheme="majorHAnsi" w:cstheme="majorHAnsi"/>
          <w:sz w:val="24"/>
          <w:szCs w:val="24"/>
          <w:lang w:val="ru-MD"/>
        </w:rPr>
        <w:t xml:space="preserve">ла инвестиционный проект с оценочной стоимостью 4,24 млн. леев </w:t>
      </w:r>
      <w:r w:rsidR="0067160D" w:rsidRPr="00A21A6B">
        <w:rPr>
          <w:rFonts w:asciiTheme="majorHAnsi" w:hAnsiTheme="majorHAnsi" w:cstheme="majorHAnsi"/>
          <w:sz w:val="24"/>
          <w:szCs w:val="24"/>
          <w:lang w:val="ru-MD"/>
        </w:rPr>
        <w:t>из</w:t>
      </w:r>
      <w:r w:rsidRPr="00A21A6B">
        <w:rPr>
          <w:rFonts w:asciiTheme="majorHAnsi" w:hAnsiTheme="majorHAnsi" w:cstheme="majorHAnsi"/>
          <w:sz w:val="24"/>
          <w:szCs w:val="24"/>
          <w:lang w:val="ru-MD"/>
        </w:rPr>
        <w:t xml:space="preserve"> общих ресурсов и накопленных доходов, </w:t>
      </w:r>
      <w:r w:rsidR="0067160D" w:rsidRPr="00A21A6B">
        <w:rPr>
          <w:rFonts w:asciiTheme="majorHAnsi" w:hAnsiTheme="majorHAnsi" w:cstheme="majorHAnsi"/>
          <w:sz w:val="24"/>
          <w:szCs w:val="24"/>
          <w:lang w:val="ru-MD"/>
        </w:rPr>
        <w:t>из которых было освоено</w:t>
      </w:r>
      <w:r w:rsidRPr="00A21A6B">
        <w:rPr>
          <w:rFonts w:asciiTheme="majorHAnsi" w:hAnsiTheme="majorHAnsi" w:cstheme="majorHAnsi"/>
          <w:sz w:val="24"/>
          <w:szCs w:val="24"/>
          <w:lang w:val="ru-MD"/>
        </w:rPr>
        <w:t xml:space="preserve"> 3,69 млн. ле</w:t>
      </w:r>
      <w:r w:rsidR="0067160D"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В результате проведенных аудиторских процедур было установлено, что </w:t>
      </w:r>
      <w:r w:rsidR="0067160D" w:rsidRPr="00A21A6B">
        <w:rPr>
          <w:rFonts w:asciiTheme="majorHAnsi" w:hAnsiTheme="majorHAnsi" w:cstheme="majorHAnsi"/>
          <w:sz w:val="24"/>
          <w:szCs w:val="24"/>
          <w:lang w:val="ru-MD"/>
        </w:rPr>
        <w:t>закупающий</w:t>
      </w:r>
      <w:r w:rsidRPr="00A21A6B">
        <w:rPr>
          <w:rFonts w:asciiTheme="majorHAnsi" w:hAnsiTheme="majorHAnsi" w:cstheme="majorHAnsi"/>
          <w:sz w:val="24"/>
          <w:szCs w:val="24"/>
          <w:lang w:val="ru-MD"/>
        </w:rPr>
        <w:t xml:space="preserve"> орган принял к оплате счета</w:t>
      </w:r>
      <w:r w:rsidR="0067160D" w:rsidRPr="00A21A6B">
        <w:rPr>
          <w:rFonts w:asciiTheme="majorHAnsi" w:hAnsiTheme="majorHAnsi" w:cstheme="majorHAnsi"/>
          <w:sz w:val="24"/>
          <w:szCs w:val="24"/>
          <w:lang w:val="ru-MD"/>
        </w:rPr>
        <w:t>-фактуры на сумму</w:t>
      </w:r>
      <w:r w:rsidRPr="00A21A6B">
        <w:rPr>
          <w:rFonts w:asciiTheme="majorHAnsi" w:hAnsiTheme="majorHAnsi" w:cstheme="majorHAnsi"/>
          <w:sz w:val="24"/>
          <w:szCs w:val="24"/>
          <w:lang w:val="ru-MD"/>
        </w:rPr>
        <w:t xml:space="preserve"> 157,8 тыс. леев, которые представляют собой оплату </w:t>
      </w:r>
      <w:r w:rsidR="0067160D" w:rsidRPr="00A21A6B">
        <w:rPr>
          <w:rFonts w:asciiTheme="majorHAnsi" w:hAnsiTheme="majorHAnsi" w:cstheme="majorHAnsi"/>
          <w:sz w:val="24"/>
          <w:szCs w:val="24"/>
          <w:lang w:val="ru-MD"/>
        </w:rPr>
        <w:t xml:space="preserve">товаров и услуг, </w:t>
      </w:r>
      <w:r w:rsidRPr="00A21A6B">
        <w:rPr>
          <w:rFonts w:asciiTheme="majorHAnsi" w:hAnsiTheme="majorHAnsi" w:cstheme="majorHAnsi"/>
          <w:sz w:val="24"/>
          <w:szCs w:val="24"/>
          <w:lang w:val="ru-MD"/>
        </w:rPr>
        <w:t xml:space="preserve">поставленных/выполненных на дату их выдачи. Кроме того, были заменены </w:t>
      </w:r>
      <w:r w:rsidR="0067160D" w:rsidRPr="00A21A6B">
        <w:rPr>
          <w:rFonts w:asciiTheme="majorHAnsi" w:hAnsiTheme="majorHAnsi" w:cstheme="majorHAnsi"/>
          <w:sz w:val="24"/>
          <w:szCs w:val="24"/>
          <w:lang w:val="ru-MD"/>
        </w:rPr>
        <w:t>оборудования</w:t>
      </w:r>
      <w:r w:rsidRPr="00A21A6B">
        <w:rPr>
          <w:rFonts w:asciiTheme="majorHAnsi" w:hAnsiTheme="majorHAnsi" w:cstheme="majorHAnsi"/>
          <w:sz w:val="24"/>
          <w:szCs w:val="24"/>
          <w:lang w:val="ru-MD"/>
        </w:rPr>
        <w:t xml:space="preserve">, </w:t>
      </w:r>
      <w:r w:rsidR="0067160D" w:rsidRPr="00A21A6B">
        <w:rPr>
          <w:rFonts w:asciiTheme="majorHAnsi" w:hAnsiTheme="majorHAnsi" w:cstheme="majorHAnsi"/>
          <w:sz w:val="24"/>
          <w:szCs w:val="24"/>
          <w:lang w:val="ru-MD"/>
        </w:rPr>
        <w:t>предусмотре</w:t>
      </w:r>
      <w:r w:rsidRPr="00A21A6B">
        <w:rPr>
          <w:rFonts w:asciiTheme="majorHAnsi" w:hAnsiTheme="majorHAnsi" w:cstheme="majorHAnsi"/>
          <w:sz w:val="24"/>
          <w:szCs w:val="24"/>
          <w:lang w:val="ru-MD"/>
        </w:rPr>
        <w:t xml:space="preserve">нные в </w:t>
      </w:r>
      <w:r w:rsidR="0067160D" w:rsidRPr="00A21A6B">
        <w:rPr>
          <w:rFonts w:asciiTheme="majorHAnsi" w:hAnsiTheme="majorHAnsi" w:cstheme="majorHAnsi"/>
          <w:sz w:val="24"/>
          <w:szCs w:val="24"/>
          <w:lang w:val="ru-MD"/>
        </w:rPr>
        <w:t>техническом задании</w:t>
      </w:r>
      <w:r w:rsidRPr="00A21A6B">
        <w:rPr>
          <w:rFonts w:asciiTheme="majorHAnsi" w:hAnsiTheme="majorHAnsi" w:cstheme="majorHAnsi"/>
          <w:sz w:val="24"/>
          <w:szCs w:val="24"/>
          <w:lang w:val="ru-MD"/>
        </w:rPr>
        <w:t xml:space="preserve"> и предложенных </w:t>
      </w:r>
      <w:r w:rsidR="0067160D" w:rsidRPr="00A21A6B">
        <w:rPr>
          <w:rFonts w:asciiTheme="majorHAnsi" w:hAnsiTheme="majorHAnsi" w:cstheme="majorHAnsi"/>
          <w:sz w:val="24"/>
          <w:szCs w:val="24"/>
          <w:lang w:val="ru-MD"/>
        </w:rPr>
        <w:t>оферта</w:t>
      </w:r>
      <w:r w:rsidRPr="00A21A6B">
        <w:rPr>
          <w:rFonts w:asciiTheme="majorHAnsi" w:hAnsiTheme="majorHAnsi" w:cstheme="majorHAnsi"/>
          <w:sz w:val="24"/>
          <w:szCs w:val="24"/>
          <w:lang w:val="ru-MD"/>
        </w:rPr>
        <w:t xml:space="preserve">х, на </w:t>
      </w:r>
      <w:r w:rsidR="0067160D" w:rsidRPr="00A21A6B">
        <w:rPr>
          <w:rFonts w:asciiTheme="majorHAnsi" w:hAnsiTheme="majorHAnsi" w:cstheme="majorHAnsi"/>
          <w:sz w:val="24"/>
          <w:szCs w:val="24"/>
          <w:lang w:val="ru-MD"/>
        </w:rPr>
        <w:t>оборудование</w:t>
      </w:r>
      <w:r w:rsidRPr="00A21A6B">
        <w:rPr>
          <w:rFonts w:asciiTheme="majorHAnsi" w:hAnsiTheme="majorHAnsi" w:cstheme="majorHAnsi"/>
          <w:sz w:val="24"/>
          <w:szCs w:val="24"/>
          <w:lang w:val="ru-MD"/>
        </w:rPr>
        <w:t xml:space="preserve"> другого типа, стоимость </w:t>
      </w:r>
      <w:r w:rsidR="0067160D" w:rsidRPr="00A21A6B">
        <w:rPr>
          <w:rFonts w:asciiTheme="majorHAnsi" w:hAnsiTheme="majorHAnsi" w:cstheme="majorHAnsi"/>
          <w:sz w:val="24"/>
          <w:szCs w:val="24"/>
          <w:lang w:val="ru-MD"/>
        </w:rPr>
        <w:t>закупки</w:t>
      </w:r>
      <w:r w:rsidRPr="00A21A6B">
        <w:rPr>
          <w:rFonts w:asciiTheme="majorHAnsi" w:hAnsiTheme="majorHAnsi" w:cstheme="majorHAnsi"/>
          <w:sz w:val="24"/>
          <w:szCs w:val="24"/>
          <w:lang w:val="ru-MD"/>
        </w:rPr>
        <w:t xml:space="preserve"> нового типа оборудования на 325,5 тыс. леев </w:t>
      </w:r>
      <w:r w:rsidR="0067160D" w:rsidRPr="00A21A6B">
        <w:rPr>
          <w:rFonts w:asciiTheme="majorHAnsi" w:hAnsiTheme="majorHAnsi" w:cstheme="majorHAnsi"/>
          <w:sz w:val="24"/>
          <w:szCs w:val="24"/>
          <w:lang w:val="ru-MD"/>
        </w:rPr>
        <w:t xml:space="preserve">ниже </w:t>
      </w:r>
      <w:r w:rsidRPr="00A21A6B">
        <w:rPr>
          <w:rFonts w:asciiTheme="majorHAnsi" w:hAnsiTheme="majorHAnsi" w:cstheme="majorHAnsi"/>
          <w:sz w:val="24"/>
          <w:szCs w:val="24"/>
          <w:lang w:val="ru-MD"/>
        </w:rPr>
        <w:t>по сравнению с предполагаемыми затратами. Так же</w:t>
      </w:r>
      <w:r w:rsidR="0067160D"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аудит</w:t>
      </w:r>
      <w:r w:rsidR="0067160D" w:rsidRPr="00A21A6B">
        <w:rPr>
          <w:rFonts w:asciiTheme="majorHAnsi" w:hAnsiTheme="majorHAnsi" w:cstheme="majorHAnsi"/>
          <w:sz w:val="24"/>
          <w:szCs w:val="24"/>
          <w:lang w:val="ru-MD"/>
        </w:rPr>
        <w:t>ом</w:t>
      </w:r>
      <w:r w:rsidRPr="00A21A6B">
        <w:rPr>
          <w:rFonts w:asciiTheme="majorHAnsi" w:hAnsiTheme="majorHAnsi" w:cstheme="majorHAnsi"/>
          <w:sz w:val="24"/>
          <w:szCs w:val="24"/>
          <w:lang w:val="ru-MD"/>
        </w:rPr>
        <w:t xml:space="preserve"> установ</w:t>
      </w:r>
      <w:r w:rsidR="0067160D" w:rsidRPr="00A21A6B">
        <w:rPr>
          <w:rFonts w:asciiTheme="majorHAnsi" w:hAnsiTheme="majorHAnsi" w:cstheme="majorHAnsi"/>
          <w:sz w:val="24"/>
          <w:szCs w:val="24"/>
          <w:lang w:val="ru-MD"/>
        </w:rPr>
        <w:t>лено</w:t>
      </w:r>
      <w:r w:rsidRPr="00A21A6B">
        <w:rPr>
          <w:rFonts w:asciiTheme="majorHAnsi" w:hAnsiTheme="majorHAnsi" w:cstheme="majorHAnsi"/>
          <w:sz w:val="24"/>
          <w:szCs w:val="24"/>
          <w:lang w:val="ru-MD"/>
        </w:rPr>
        <w:t xml:space="preserve">, что </w:t>
      </w:r>
      <w:r w:rsidR="0067160D" w:rsidRPr="00A21A6B">
        <w:rPr>
          <w:rFonts w:asciiTheme="majorHAnsi" w:hAnsiTheme="majorHAnsi" w:cstheme="majorHAnsi"/>
          <w:sz w:val="24"/>
          <w:szCs w:val="24"/>
          <w:lang w:val="ru-MD"/>
        </w:rPr>
        <w:t xml:space="preserve">в договор закупки </w:t>
      </w:r>
      <w:r w:rsidRPr="00A21A6B">
        <w:rPr>
          <w:rFonts w:asciiTheme="majorHAnsi" w:hAnsiTheme="majorHAnsi" w:cstheme="majorHAnsi"/>
          <w:sz w:val="24"/>
          <w:szCs w:val="24"/>
          <w:lang w:val="ru-MD"/>
        </w:rPr>
        <w:t>не был</w:t>
      </w:r>
      <w:r w:rsidR="0067160D"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включен</w:t>
      </w:r>
      <w:r w:rsidR="0067160D"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и, соответственно, не был</w:t>
      </w:r>
      <w:r w:rsidR="0067160D"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w:t>
      </w:r>
      <w:r w:rsidR="0067160D" w:rsidRPr="00A21A6B">
        <w:rPr>
          <w:rFonts w:asciiTheme="majorHAnsi" w:hAnsiTheme="majorHAnsi" w:cstheme="majorHAnsi"/>
          <w:sz w:val="24"/>
          <w:szCs w:val="24"/>
          <w:lang w:val="ru-MD"/>
        </w:rPr>
        <w:t>установлена</w:t>
      </w:r>
      <w:r w:rsidRPr="00A21A6B">
        <w:rPr>
          <w:rFonts w:asciiTheme="majorHAnsi" w:hAnsiTheme="majorHAnsi" w:cstheme="majorHAnsi"/>
          <w:sz w:val="24"/>
          <w:szCs w:val="24"/>
          <w:lang w:val="ru-MD"/>
        </w:rPr>
        <w:t xml:space="preserve"> </w:t>
      </w:r>
      <w:r w:rsidR="0067160D" w:rsidRPr="00A21A6B">
        <w:rPr>
          <w:rFonts w:asciiTheme="majorHAnsi" w:hAnsiTheme="majorHAnsi" w:cstheme="majorHAnsi"/>
          <w:sz w:val="24"/>
          <w:szCs w:val="24"/>
          <w:lang w:val="ru-MD"/>
        </w:rPr>
        <w:t>гарантия</w:t>
      </w:r>
      <w:r w:rsidRPr="00A21A6B">
        <w:rPr>
          <w:rFonts w:asciiTheme="majorHAnsi" w:hAnsiTheme="majorHAnsi" w:cstheme="majorHAnsi"/>
          <w:sz w:val="24"/>
          <w:szCs w:val="24"/>
          <w:lang w:val="ru-MD"/>
        </w:rPr>
        <w:t xml:space="preserve"> надлежащего исполнения на сумму 0,18 млн.</w:t>
      </w:r>
      <w:r w:rsidR="0067160D"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ле</w:t>
      </w:r>
      <w:r w:rsidR="0067160D" w:rsidRPr="00A21A6B">
        <w:rPr>
          <w:rFonts w:asciiTheme="majorHAnsi" w:hAnsiTheme="majorHAnsi" w:cstheme="majorHAnsi"/>
          <w:sz w:val="24"/>
          <w:szCs w:val="24"/>
          <w:lang w:val="ru-MD"/>
        </w:rPr>
        <w:t>ев</w:t>
      </w:r>
      <w:r w:rsidR="00F40961" w:rsidRPr="00A21A6B">
        <w:rPr>
          <w:rFonts w:asciiTheme="majorHAnsi" w:hAnsiTheme="majorHAnsi" w:cstheme="majorHAnsi"/>
          <w:sz w:val="24"/>
          <w:szCs w:val="24"/>
          <w:lang w:val="ru-MD"/>
        </w:rPr>
        <w:t>.</w:t>
      </w:r>
    </w:p>
    <w:p w:rsidR="00F40961" w:rsidRPr="00A21A6B" w:rsidRDefault="00E26A96" w:rsidP="00475D6C">
      <w:pPr>
        <w:pStyle w:val="ListParagraph"/>
        <w:numPr>
          <w:ilvl w:val="0"/>
          <w:numId w:val="16"/>
        </w:numPr>
        <w:tabs>
          <w:tab w:val="left" w:pos="540"/>
        </w:tabs>
        <w:spacing w:after="120"/>
        <w:ind w:left="0" w:firstLine="0"/>
        <w:contextualSpacing w:val="0"/>
        <w:jc w:val="both"/>
        <w:rPr>
          <w:rFonts w:asciiTheme="majorHAnsi" w:hAnsiTheme="majorHAnsi" w:cstheme="majorHAnsi"/>
          <w:sz w:val="24"/>
          <w:szCs w:val="24"/>
          <w:lang w:val="ru-MD"/>
        </w:rPr>
      </w:pPr>
      <w:r w:rsidRPr="00A21A6B">
        <w:rPr>
          <w:rFonts w:asciiTheme="majorHAnsi" w:hAnsiTheme="majorHAnsi" w:cstheme="majorHAnsi"/>
          <w:bCs/>
          <w:sz w:val="24"/>
          <w:szCs w:val="24"/>
          <w:lang w:val="ru-MD"/>
        </w:rPr>
        <w:t>На протяжении</w:t>
      </w:r>
      <w:r w:rsidR="006E3971" w:rsidRPr="00A21A6B">
        <w:rPr>
          <w:rFonts w:asciiTheme="majorHAnsi" w:hAnsiTheme="majorHAnsi" w:cstheme="majorHAnsi"/>
          <w:bCs/>
          <w:sz w:val="24"/>
          <w:szCs w:val="24"/>
          <w:lang w:val="ru-MD"/>
        </w:rPr>
        <w:t xml:space="preserve"> многих лет Агентство „Apele Moldovei” не предпринимало соответствующих мер по </w:t>
      </w:r>
      <w:r w:rsidRPr="00A21A6B">
        <w:rPr>
          <w:rFonts w:asciiTheme="majorHAnsi" w:hAnsiTheme="majorHAnsi" w:cstheme="majorHAnsi"/>
          <w:bCs/>
          <w:sz w:val="24"/>
          <w:szCs w:val="24"/>
          <w:lang w:val="ru-MD"/>
        </w:rPr>
        <w:t>с</w:t>
      </w:r>
      <w:r w:rsidR="006E3971" w:rsidRPr="00A21A6B">
        <w:rPr>
          <w:rFonts w:asciiTheme="majorHAnsi" w:hAnsiTheme="majorHAnsi" w:cstheme="majorHAnsi"/>
          <w:bCs/>
          <w:sz w:val="24"/>
          <w:szCs w:val="24"/>
          <w:lang w:val="ru-MD"/>
        </w:rPr>
        <w:t xml:space="preserve">оддержанию дамб, находящихся </w:t>
      </w:r>
      <w:r w:rsidRPr="00A21A6B">
        <w:rPr>
          <w:rFonts w:asciiTheme="majorHAnsi" w:hAnsiTheme="majorHAnsi" w:cstheme="majorHAnsi"/>
          <w:bCs/>
          <w:sz w:val="24"/>
          <w:szCs w:val="24"/>
          <w:lang w:val="ru-MD"/>
        </w:rPr>
        <w:t>в</w:t>
      </w:r>
      <w:r w:rsidR="006E3971" w:rsidRPr="00A21A6B">
        <w:rPr>
          <w:rFonts w:asciiTheme="majorHAnsi" w:hAnsiTheme="majorHAnsi" w:cstheme="majorHAnsi"/>
          <w:bCs/>
          <w:sz w:val="24"/>
          <w:szCs w:val="24"/>
          <w:lang w:val="ru-MD"/>
        </w:rPr>
        <w:t xml:space="preserve"> управлени</w:t>
      </w:r>
      <w:r w:rsidRPr="00A21A6B">
        <w:rPr>
          <w:rFonts w:asciiTheme="majorHAnsi" w:hAnsiTheme="majorHAnsi" w:cstheme="majorHAnsi"/>
          <w:bCs/>
          <w:sz w:val="24"/>
          <w:szCs w:val="24"/>
          <w:lang w:val="ru-MD"/>
        </w:rPr>
        <w:t>и</w:t>
      </w:r>
      <w:r w:rsidR="006E3971" w:rsidRPr="00A21A6B">
        <w:rPr>
          <w:rFonts w:asciiTheme="majorHAnsi" w:hAnsiTheme="majorHAnsi" w:cstheme="majorHAnsi"/>
          <w:bCs/>
          <w:sz w:val="24"/>
          <w:szCs w:val="24"/>
          <w:lang w:val="ru-MD"/>
        </w:rPr>
        <w:t xml:space="preserve"> ГП, </w:t>
      </w:r>
      <w:r w:rsidR="00B6074B" w:rsidRPr="00A21A6B">
        <w:rPr>
          <w:rFonts w:asciiTheme="majorHAnsi" w:hAnsiTheme="majorHAnsi" w:cstheme="majorHAnsi"/>
          <w:bCs/>
          <w:sz w:val="24"/>
          <w:szCs w:val="24"/>
          <w:lang w:val="ru-MD"/>
        </w:rPr>
        <w:t>учредит</w:t>
      </w:r>
      <w:r w:rsidR="006E3971" w:rsidRPr="00A21A6B">
        <w:rPr>
          <w:rFonts w:asciiTheme="majorHAnsi" w:hAnsiTheme="majorHAnsi" w:cstheme="majorHAnsi"/>
          <w:bCs/>
          <w:sz w:val="24"/>
          <w:szCs w:val="24"/>
          <w:lang w:val="ru-MD"/>
        </w:rPr>
        <w:t xml:space="preserve">елем которого с 2018 года является </w:t>
      </w:r>
      <w:r w:rsidR="00B6074B" w:rsidRPr="00A21A6B">
        <w:rPr>
          <w:rFonts w:asciiTheme="majorHAnsi" w:hAnsiTheme="majorHAnsi" w:cstheme="majorHAnsi"/>
          <w:bCs/>
          <w:sz w:val="24"/>
          <w:szCs w:val="24"/>
          <w:lang w:val="ru-MD"/>
        </w:rPr>
        <w:t>АПС</w:t>
      </w:r>
      <w:r w:rsidR="006E3971" w:rsidRPr="00A21A6B">
        <w:rPr>
          <w:rFonts w:asciiTheme="majorHAnsi" w:hAnsiTheme="majorHAnsi" w:cstheme="majorHAnsi"/>
          <w:bCs/>
          <w:sz w:val="24"/>
          <w:szCs w:val="24"/>
          <w:lang w:val="ru-MD"/>
        </w:rPr>
        <w:t xml:space="preserve">. Это привело к росту деревьев и кустарников на защитных дамбах, которые представляют </w:t>
      </w:r>
      <w:r w:rsidR="00B6074B" w:rsidRPr="00A21A6B">
        <w:rPr>
          <w:rFonts w:asciiTheme="majorHAnsi" w:hAnsiTheme="majorHAnsi" w:cstheme="majorHAnsi"/>
          <w:bCs/>
          <w:sz w:val="24"/>
          <w:szCs w:val="24"/>
          <w:lang w:val="ru-MD"/>
        </w:rPr>
        <w:t xml:space="preserve">собой </w:t>
      </w:r>
      <w:r w:rsidR="006E3971" w:rsidRPr="00A21A6B">
        <w:rPr>
          <w:rFonts w:asciiTheme="majorHAnsi" w:hAnsiTheme="majorHAnsi" w:cstheme="majorHAnsi"/>
          <w:bCs/>
          <w:sz w:val="24"/>
          <w:szCs w:val="24"/>
          <w:lang w:val="ru-MD"/>
        </w:rPr>
        <w:t xml:space="preserve">лесной фонд за пределами лесного фонда. В 2021 году </w:t>
      </w:r>
      <w:r w:rsidR="00B6074B" w:rsidRPr="00A21A6B">
        <w:rPr>
          <w:rFonts w:asciiTheme="majorHAnsi" w:hAnsiTheme="majorHAnsi" w:cstheme="majorHAnsi"/>
          <w:bCs/>
          <w:sz w:val="24"/>
          <w:szCs w:val="24"/>
          <w:lang w:val="ru-MD"/>
        </w:rPr>
        <w:t>А</w:t>
      </w:r>
      <w:r w:rsidR="006E3971" w:rsidRPr="00A21A6B">
        <w:rPr>
          <w:rFonts w:asciiTheme="majorHAnsi" w:hAnsiTheme="majorHAnsi" w:cstheme="majorHAnsi"/>
          <w:bCs/>
          <w:sz w:val="24"/>
          <w:szCs w:val="24"/>
          <w:lang w:val="ru-MD"/>
        </w:rPr>
        <w:t>гентство зак</w:t>
      </w:r>
      <w:r w:rsidR="00B6074B" w:rsidRPr="00A21A6B">
        <w:rPr>
          <w:rFonts w:asciiTheme="majorHAnsi" w:hAnsiTheme="majorHAnsi" w:cstheme="majorHAnsi"/>
          <w:bCs/>
          <w:sz w:val="24"/>
          <w:szCs w:val="24"/>
          <w:lang w:val="ru-MD"/>
        </w:rPr>
        <w:t>онтрактова</w:t>
      </w:r>
      <w:r w:rsidR="006E3971" w:rsidRPr="00A21A6B">
        <w:rPr>
          <w:rFonts w:asciiTheme="majorHAnsi" w:hAnsiTheme="majorHAnsi" w:cstheme="majorHAnsi"/>
          <w:bCs/>
          <w:sz w:val="24"/>
          <w:szCs w:val="24"/>
          <w:lang w:val="ru-MD"/>
        </w:rPr>
        <w:t xml:space="preserve">ло </w:t>
      </w:r>
      <w:r w:rsidR="00B6074B" w:rsidRPr="00A21A6B">
        <w:rPr>
          <w:rFonts w:asciiTheme="majorHAnsi" w:hAnsiTheme="majorHAnsi" w:cstheme="majorHAnsi"/>
          <w:bCs/>
          <w:sz w:val="24"/>
          <w:szCs w:val="24"/>
          <w:lang w:val="ru-MD"/>
        </w:rPr>
        <w:t>работы по</w:t>
      </w:r>
      <w:r w:rsidR="006E3971" w:rsidRPr="00A21A6B">
        <w:rPr>
          <w:rFonts w:asciiTheme="majorHAnsi" w:hAnsiTheme="majorHAnsi" w:cstheme="majorHAnsi"/>
          <w:bCs/>
          <w:sz w:val="24"/>
          <w:szCs w:val="24"/>
          <w:lang w:val="ru-MD"/>
        </w:rPr>
        <w:t xml:space="preserve"> ремонт</w:t>
      </w:r>
      <w:r w:rsidR="00B6074B" w:rsidRPr="00A21A6B">
        <w:rPr>
          <w:rFonts w:asciiTheme="majorHAnsi" w:hAnsiTheme="majorHAnsi" w:cstheme="majorHAnsi"/>
          <w:bCs/>
          <w:sz w:val="24"/>
          <w:szCs w:val="24"/>
          <w:lang w:val="ru-MD"/>
        </w:rPr>
        <w:t>у</w:t>
      </w:r>
      <w:r w:rsidR="006E3971" w:rsidRPr="00A21A6B">
        <w:rPr>
          <w:rFonts w:asciiTheme="majorHAnsi" w:hAnsiTheme="majorHAnsi" w:cstheme="majorHAnsi"/>
          <w:bCs/>
          <w:sz w:val="24"/>
          <w:szCs w:val="24"/>
          <w:lang w:val="ru-MD"/>
        </w:rPr>
        <w:t xml:space="preserve"> защитных дамб</w:t>
      </w:r>
      <w:r w:rsidR="00B6074B" w:rsidRPr="00A21A6B">
        <w:rPr>
          <w:rFonts w:asciiTheme="majorHAnsi" w:hAnsiTheme="majorHAnsi" w:cstheme="majorHAnsi"/>
          <w:sz w:val="24"/>
          <w:szCs w:val="24"/>
          <w:vertAlign w:val="superscript"/>
          <w:lang w:val="ru-MD"/>
        </w:rPr>
        <w:footnoteReference w:id="29"/>
      </w:r>
      <w:r w:rsidR="006E3971" w:rsidRPr="00A21A6B">
        <w:rPr>
          <w:rFonts w:asciiTheme="majorHAnsi" w:hAnsiTheme="majorHAnsi" w:cstheme="majorHAnsi"/>
          <w:bCs/>
          <w:sz w:val="24"/>
          <w:szCs w:val="24"/>
          <w:lang w:val="ru-MD"/>
        </w:rPr>
        <w:t xml:space="preserve"> на сумму 9,98 млн. </w:t>
      </w:r>
      <w:r w:rsidR="00B6074B" w:rsidRPr="00A21A6B">
        <w:rPr>
          <w:rFonts w:asciiTheme="majorHAnsi" w:hAnsiTheme="majorHAnsi" w:cstheme="majorHAnsi"/>
          <w:bCs/>
          <w:sz w:val="24"/>
          <w:szCs w:val="24"/>
          <w:lang w:val="ru-MD"/>
        </w:rPr>
        <w:t>леев</w:t>
      </w:r>
      <w:r w:rsidR="006E3971" w:rsidRPr="00A21A6B">
        <w:rPr>
          <w:rFonts w:asciiTheme="majorHAnsi" w:hAnsiTheme="majorHAnsi" w:cstheme="majorHAnsi"/>
          <w:bCs/>
          <w:sz w:val="24"/>
          <w:szCs w:val="24"/>
          <w:lang w:val="ru-MD"/>
        </w:rPr>
        <w:t xml:space="preserve">, которые </w:t>
      </w:r>
      <w:r w:rsidR="00B6074B" w:rsidRPr="00A21A6B">
        <w:rPr>
          <w:rFonts w:asciiTheme="majorHAnsi" w:hAnsiTheme="majorHAnsi" w:cstheme="majorHAnsi"/>
          <w:bCs/>
          <w:sz w:val="24"/>
          <w:szCs w:val="24"/>
          <w:lang w:val="ru-MD"/>
        </w:rPr>
        <w:t>состояли</w:t>
      </w:r>
      <w:r w:rsidR="006E3971" w:rsidRPr="00A21A6B">
        <w:rPr>
          <w:rFonts w:asciiTheme="majorHAnsi" w:hAnsiTheme="majorHAnsi" w:cstheme="majorHAnsi"/>
          <w:bCs/>
          <w:sz w:val="24"/>
          <w:szCs w:val="24"/>
          <w:lang w:val="ru-MD"/>
        </w:rPr>
        <w:t xml:space="preserve"> в очистке плотин от растительности. В результате этих работ было вырублено 140 деревьев диаметром от 20 до 100 см, собранная древесная масса не отражена в бухгалтерских книгах. Согласно объяснениям ответственных лиц Агентства </w:t>
      </w:r>
      <w:r w:rsidR="00140668" w:rsidRPr="00A21A6B">
        <w:rPr>
          <w:rFonts w:asciiTheme="majorHAnsi" w:hAnsiTheme="majorHAnsi" w:cstheme="majorHAnsi"/>
          <w:bCs/>
          <w:sz w:val="24"/>
          <w:szCs w:val="24"/>
          <w:lang w:val="ru-MD"/>
        </w:rPr>
        <w:t>„Apele Moldovei”</w:t>
      </w:r>
      <w:r w:rsidR="006E3971" w:rsidRPr="00A21A6B">
        <w:rPr>
          <w:rFonts w:asciiTheme="majorHAnsi" w:hAnsiTheme="majorHAnsi" w:cstheme="majorHAnsi"/>
          <w:bCs/>
          <w:sz w:val="24"/>
          <w:szCs w:val="24"/>
          <w:lang w:val="ru-MD"/>
        </w:rPr>
        <w:t xml:space="preserve">, </w:t>
      </w:r>
      <w:r w:rsidR="00140668" w:rsidRPr="00A21A6B">
        <w:rPr>
          <w:rFonts w:asciiTheme="majorHAnsi" w:hAnsiTheme="majorHAnsi" w:cstheme="majorHAnsi"/>
          <w:bCs/>
          <w:sz w:val="24"/>
          <w:szCs w:val="24"/>
          <w:lang w:val="ru-MD"/>
        </w:rPr>
        <w:t>из-за</w:t>
      </w:r>
      <w:r w:rsidR="006E3971" w:rsidRPr="00A21A6B">
        <w:rPr>
          <w:rFonts w:asciiTheme="majorHAnsi" w:hAnsiTheme="majorHAnsi" w:cstheme="majorHAnsi"/>
          <w:bCs/>
          <w:sz w:val="24"/>
          <w:szCs w:val="24"/>
          <w:lang w:val="ru-MD"/>
        </w:rPr>
        <w:t xml:space="preserve"> </w:t>
      </w:r>
      <w:r w:rsidR="00140668" w:rsidRPr="00A21A6B">
        <w:rPr>
          <w:rFonts w:asciiTheme="majorHAnsi" w:hAnsiTheme="majorHAnsi" w:cstheme="majorHAnsi"/>
          <w:bCs/>
          <w:sz w:val="24"/>
          <w:szCs w:val="24"/>
          <w:lang w:val="ru-MD"/>
        </w:rPr>
        <w:t>необеспечен</w:t>
      </w:r>
      <w:r w:rsidR="006E3971" w:rsidRPr="00A21A6B">
        <w:rPr>
          <w:rFonts w:asciiTheme="majorHAnsi" w:hAnsiTheme="majorHAnsi" w:cstheme="majorHAnsi"/>
          <w:bCs/>
          <w:sz w:val="24"/>
          <w:szCs w:val="24"/>
          <w:lang w:val="ru-MD"/>
        </w:rPr>
        <w:t xml:space="preserve">ия целостности этих материалов, на данный момент они считаются </w:t>
      </w:r>
      <w:r w:rsidR="00140668" w:rsidRPr="00A21A6B">
        <w:rPr>
          <w:rFonts w:asciiTheme="majorHAnsi" w:hAnsiTheme="majorHAnsi" w:cstheme="majorHAnsi"/>
          <w:bCs/>
          <w:sz w:val="24"/>
          <w:szCs w:val="24"/>
          <w:lang w:val="ru-MD"/>
        </w:rPr>
        <w:t>недостачей</w:t>
      </w:r>
      <w:r w:rsidR="006E3971" w:rsidRPr="00A21A6B">
        <w:rPr>
          <w:rFonts w:asciiTheme="majorHAnsi" w:hAnsiTheme="majorHAnsi" w:cstheme="majorHAnsi"/>
          <w:bCs/>
          <w:sz w:val="24"/>
          <w:szCs w:val="24"/>
          <w:lang w:val="ru-MD"/>
        </w:rPr>
        <w:t xml:space="preserve">. Стоимость ущерба, причиненного </w:t>
      </w:r>
      <w:r w:rsidR="00140668" w:rsidRPr="00A21A6B">
        <w:rPr>
          <w:rFonts w:asciiTheme="majorHAnsi" w:hAnsiTheme="majorHAnsi" w:cstheme="majorHAnsi"/>
          <w:bCs/>
          <w:sz w:val="24"/>
          <w:szCs w:val="24"/>
          <w:lang w:val="ru-MD"/>
        </w:rPr>
        <w:t>А</w:t>
      </w:r>
      <w:r w:rsidR="006E3971" w:rsidRPr="00A21A6B">
        <w:rPr>
          <w:rFonts w:asciiTheme="majorHAnsi" w:hAnsiTheme="majorHAnsi" w:cstheme="majorHAnsi"/>
          <w:bCs/>
          <w:sz w:val="24"/>
          <w:szCs w:val="24"/>
          <w:lang w:val="ru-MD"/>
        </w:rPr>
        <w:t>гентству, невозможно оценить</w:t>
      </w:r>
      <w:r w:rsidR="00140668" w:rsidRPr="00A21A6B">
        <w:rPr>
          <w:rFonts w:asciiTheme="majorHAnsi" w:hAnsiTheme="majorHAnsi" w:cstheme="majorHAnsi"/>
          <w:bCs/>
          <w:sz w:val="24"/>
          <w:szCs w:val="24"/>
          <w:lang w:val="ru-MD"/>
        </w:rPr>
        <w:t>.</w:t>
      </w:r>
    </w:p>
    <w:p w:rsidR="00F40961" w:rsidRPr="00A21A6B" w:rsidRDefault="006E3971" w:rsidP="00475D6C">
      <w:pPr>
        <w:pStyle w:val="ListParagraph"/>
        <w:numPr>
          <w:ilvl w:val="1"/>
          <w:numId w:val="11"/>
        </w:numPr>
        <w:tabs>
          <w:tab w:val="left" w:pos="0"/>
          <w:tab w:val="left" w:pos="540"/>
          <w:tab w:val="left" w:pos="709"/>
          <w:tab w:val="left" w:pos="851"/>
        </w:tabs>
        <w:autoSpaceDE w:val="0"/>
        <w:autoSpaceDN w:val="0"/>
        <w:adjustRightInd w:val="0"/>
        <w:spacing w:after="120" w:line="276" w:lineRule="auto"/>
        <w:ind w:left="0" w:right="-24"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Хотя Министерство финансов разработало новые правила для составления </w:t>
      </w:r>
      <w:r w:rsidR="00E26A96" w:rsidRPr="00A21A6B">
        <w:rPr>
          <w:rFonts w:asciiTheme="majorHAnsi" w:hAnsiTheme="majorHAnsi" w:cstheme="majorHAnsi"/>
          <w:sz w:val="24"/>
          <w:szCs w:val="24"/>
          <w:lang w:val="ru-MD"/>
        </w:rPr>
        <w:t>Пояснительной записки</w:t>
      </w:r>
      <w:r w:rsidRPr="00A21A6B">
        <w:rPr>
          <w:rFonts w:asciiTheme="majorHAnsi" w:hAnsiTheme="majorHAnsi" w:cstheme="majorHAnsi"/>
          <w:sz w:val="24"/>
          <w:szCs w:val="24"/>
          <w:lang w:val="ru-MD"/>
        </w:rPr>
        <w:t>, котор</w:t>
      </w:r>
      <w:r w:rsidR="00E26A96" w:rsidRPr="00A21A6B">
        <w:rPr>
          <w:rFonts w:asciiTheme="majorHAnsi" w:hAnsiTheme="majorHAnsi" w:cstheme="majorHAnsi"/>
          <w:sz w:val="24"/>
          <w:szCs w:val="24"/>
          <w:lang w:val="ru-MD"/>
        </w:rPr>
        <w:t>ая</w:t>
      </w:r>
      <w:r w:rsidRPr="00A21A6B">
        <w:rPr>
          <w:rFonts w:asciiTheme="majorHAnsi" w:hAnsiTheme="majorHAnsi" w:cstheme="majorHAnsi"/>
          <w:sz w:val="24"/>
          <w:szCs w:val="24"/>
          <w:lang w:val="ru-MD"/>
        </w:rPr>
        <w:t xml:space="preserve"> является составной частью </w:t>
      </w:r>
      <w:r w:rsidR="00E26A96" w:rsidRPr="00A21A6B">
        <w:rPr>
          <w:rFonts w:asciiTheme="majorHAnsi" w:hAnsiTheme="majorHAnsi" w:cstheme="majorHAnsi"/>
          <w:sz w:val="24"/>
          <w:szCs w:val="24"/>
          <w:lang w:val="ru-MD"/>
        </w:rPr>
        <w:t>К</w:t>
      </w:r>
      <w:r w:rsidRPr="00A21A6B">
        <w:rPr>
          <w:rFonts w:asciiTheme="majorHAnsi" w:hAnsiTheme="majorHAnsi" w:cstheme="majorHAnsi"/>
          <w:sz w:val="24"/>
          <w:szCs w:val="24"/>
          <w:lang w:val="ru-MD"/>
        </w:rPr>
        <w:t xml:space="preserve">онсолидированного финансового отчета, Министерство сельского хозяйства, регионального развития и окружающей среды, а также </w:t>
      </w:r>
      <w:r w:rsidR="00E26A96" w:rsidRPr="00A21A6B">
        <w:rPr>
          <w:rFonts w:asciiTheme="majorHAnsi" w:hAnsiTheme="majorHAnsi" w:cstheme="majorHAnsi"/>
          <w:sz w:val="24"/>
          <w:szCs w:val="24"/>
          <w:lang w:val="ru-MD"/>
        </w:rPr>
        <w:t xml:space="preserve">его </w:t>
      </w:r>
      <w:r w:rsidRPr="00A21A6B">
        <w:rPr>
          <w:rFonts w:asciiTheme="majorHAnsi" w:hAnsiTheme="majorHAnsi" w:cstheme="majorHAnsi"/>
          <w:sz w:val="24"/>
          <w:szCs w:val="24"/>
          <w:lang w:val="ru-MD"/>
        </w:rPr>
        <w:t>под</w:t>
      </w:r>
      <w:r w:rsidR="00E26A96" w:rsidRPr="00A21A6B">
        <w:rPr>
          <w:rFonts w:asciiTheme="majorHAnsi" w:hAnsiTheme="majorHAnsi" w:cstheme="majorHAnsi"/>
          <w:sz w:val="24"/>
          <w:szCs w:val="24"/>
          <w:lang w:val="ru-MD"/>
        </w:rPr>
        <w:t>ведомств</w:t>
      </w:r>
      <w:r w:rsidRPr="00A21A6B">
        <w:rPr>
          <w:rFonts w:asciiTheme="majorHAnsi" w:hAnsiTheme="majorHAnsi" w:cstheme="majorHAnsi"/>
          <w:sz w:val="24"/>
          <w:szCs w:val="24"/>
          <w:lang w:val="ru-MD"/>
        </w:rPr>
        <w:t xml:space="preserve">енные учреждения не составили </w:t>
      </w:r>
      <w:r w:rsidR="00E26A96" w:rsidRPr="00A21A6B">
        <w:rPr>
          <w:rFonts w:asciiTheme="majorHAnsi" w:hAnsiTheme="majorHAnsi" w:cstheme="majorHAnsi"/>
          <w:sz w:val="24"/>
          <w:szCs w:val="24"/>
          <w:lang w:val="ru-MD"/>
        </w:rPr>
        <w:t>Приложение №</w:t>
      </w:r>
      <w:r w:rsidRPr="00A21A6B">
        <w:rPr>
          <w:rFonts w:asciiTheme="majorHAnsi" w:hAnsiTheme="majorHAnsi" w:cstheme="majorHAnsi"/>
          <w:sz w:val="24"/>
          <w:szCs w:val="24"/>
          <w:lang w:val="ru-MD"/>
        </w:rPr>
        <w:t xml:space="preserve">5 к </w:t>
      </w:r>
      <w:r w:rsidR="00E26A96" w:rsidRPr="00A21A6B">
        <w:rPr>
          <w:rFonts w:asciiTheme="majorHAnsi" w:hAnsiTheme="majorHAnsi" w:cstheme="majorHAnsi"/>
          <w:sz w:val="24"/>
          <w:szCs w:val="24"/>
          <w:lang w:val="ru-MD"/>
        </w:rPr>
        <w:t>Пояснительной записке</w:t>
      </w:r>
      <w:r w:rsidRPr="00A21A6B">
        <w:rPr>
          <w:rFonts w:asciiTheme="majorHAnsi" w:hAnsiTheme="majorHAnsi" w:cstheme="majorHAnsi"/>
          <w:sz w:val="24"/>
          <w:szCs w:val="24"/>
          <w:lang w:val="ru-MD"/>
        </w:rPr>
        <w:t>, котор</w:t>
      </w:r>
      <w:r w:rsidR="00E26A96" w:rsidRPr="00A21A6B">
        <w:rPr>
          <w:rFonts w:asciiTheme="majorHAnsi" w:hAnsiTheme="majorHAnsi" w:cstheme="majorHAnsi"/>
          <w:sz w:val="24"/>
          <w:szCs w:val="24"/>
          <w:lang w:val="ru-MD"/>
        </w:rPr>
        <w:t>ое</w:t>
      </w:r>
      <w:r w:rsidRPr="00A21A6B">
        <w:rPr>
          <w:rFonts w:asciiTheme="majorHAnsi" w:hAnsiTheme="majorHAnsi" w:cstheme="majorHAnsi"/>
          <w:sz w:val="24"/>
          <w:szCs w:val="24"/>
          <w:lang w:val="ru-MD"/>
        </w:rPr>
        <w:t xml:space="preserve"> является обязательным к </w:t>
      </w:r>
      <w:r w:rsidR="00E26A96" w:rsidRPr="00A21A6B">
        <w:rPr>
          <w:rFonts w:asciiTheme="majorHAnsi" w:hAnsiTheme="majorHAnsi" w:cstheme="majorHAnsi"/>
          <w:sz w:val="24"/>
          <w:szCs w:val="24"/>
          <w:lang w:val="ru-MD"/>
        </w:rPr>
        <w:t>К</w:t>
      </w:r>
      <w:r w:rsidRPr="00A21A6B">
        <w:rPr>
          <w:rFonts w:asciiTheme="majorHAnsi" w:hAnsiTheme="majorHAnsi" w:cstheme="majorHAnsi"/>
          <w:sz w:val="24"/>
          <w:szCs w:val="24"/>
          <w:lang w:val="ru-MD"/>
        </w:rPr>
        <w:t>онсолидированному финансовому отчету и долж</w:t>
      </w:r>
      <w:r w:rsidR="00E26A96" w:rsidRPr="00A21A6B">
        <w:rPr>
          <w:rFonts w:asciiTheme="majorHAnsi" w:hAnsiTheme="majorHAnsi" w:cstheme="majorHAnsi"/>
          <w:sz w:val="24"/>
          <w:szCs w:val="24"/>
          <w:lang w:val="ru-MD"/>
        </w:rPr>
        <w:t>но</w:t>
      </w:r>
      <w:r w:rsidRPr="00A21A6B">
        <w:rPr>
          <w:rFonts w:asciiTheme="majorHAnsi" w:hAnsiTheme="majorHAnsi" w:cstheme="majorHAnsi"/>
          <w:sz w:val="24"/>
          <w:szCs w:val="24"/>
          <w:lang w:val="ru-MD"/>
        </w:rPr>
        <w:t xml:space="preserve"> включать информацию о </w:t>
      </w:r>
      <w:r w:rsidR="00E26A96" w:rsidRPr="00A21A6B">
        <w:rPr>
          <w:rFonts w:asciiTheme="majorHAnsi" w:hAnsiTheme="majorHAnsi" w:cstheme="majorHAnsi"/>
          <w:sz w:val="24"/>
          <w:szCs w:val="24"/>
          <w:lang w:val="ru-MD"/>
        </w:rPr>
        <w:t xml:space="preserve">принятых </w:t>
      </w:r>
      <w:r w:rsidRPr="00A21A6B">
        <w:rPr>
          <w:rFonts w:asciiTheme="majorHAnsi" w:hAnsiTheme="majorHAnsi" w:cstheme="majorHAnsi"/>
          <w:sz w:val="24"/>
          <w:szCs w:val="24"/>
          <w:lang w:val="ru-MD"/>
        </w:rPr>
        <w:t>мер</w:t>
      </w:r>
      <w:r w:rsidR="00E26A96" w:rsidRPr="00A21A6B">
        <w:rPr>
          <w:rFonts w:asciiTheme="majorHAnsi" w:hAnsiTheme="majorHAnsi" w:cstheme="majorHAnsi"/>
          <w:sz w:val="24"/>
          <w:szCs w:val="24"/>
          <w:lang w:val="ru-MD"/>
        </w:rPr>
        <w:t>ах</w:t>
      </w:r>
      <w:r w:rsidRPr="00A21A6B">
        <w:rPr>
          <w:rFonts w:asciiTheme="majorHAnsi" w:hAnsiTheme="majorHAnsi" w:cstheme="majorHAnsi"/>
          <w:sz w:val="24"/>
          <w:szCs w:val="24"/>
          <w:lang w:val="ru-MD"/>
        </w:rPr>
        <w:t xml:space="preserve"> по исправлению </w:t>
      </w:r>
      <w:r w:rsidR="00E26A96" w:rsidRPr="00A21A6B">
        <w:rPr>
          <w:rFonts w:asciiTheme="majorHAnsi" w:hAnsiTheme="majorHAnsi" w:cstheme="majorHAnsi"/>
          <w:sz w:val="24"/>
          <w:szCs w:val="24"/>
          <w:lang w:val="ru-MD"/>
        </w:rPr>
        <w:t>выявленных</w:t>
      </w:r>
      <w:r w:rsidRPr="00A21A6B">
        <w:rPr>
          <w:rFonts w:asciiTheme="majorHAnsi" w:hAnsiTheme="majorHAnsi" w:cstheme="majorHAnsi"/>
          <w:sz w:val="24"/>
          <w:szCs w:val="24"/>
          <w:lang w:val="ru-MD"/>
        </w:rPr>
        <w:t xml:space="preserve"> ситуаций и </w:t>
      </w:r>
      <w:r w:rsidR="00E26A96" w:rsidRPr="00A21A6B">
        <w:rPr>
          <w:rFonts w:asciiTheme="majorHAnsi" w:hAnsiTheme="majorHAnsi" w:cstheme="majorHAnsi"/>
          <w:sz w:val="24"/>
          <w:szCs w:val="24"/>
          <w:lang w:val="ru-MD"/>
        </w:rPr>
        <w:t>выполнению</w:t>
      </w:r>
      <w:r w:rsidRPr="00A21A6B">
        <w:rPr>
          <w:rFonts w:asciiTheme="majorHAnsi" w:hAnsiTheme="majorHAnsi" w:cstheme="majorHAnsi"/>
          <w:sz w:val="24"/>
          <w:szCs w:val="24"/>
          <w:lang w:val="ru-MD"/>
        </w:rPr>
        <w:t xml:space="preserve"> рекомендаций, содержащихся в </w:t>
      </w:r>
      <w:r w:rsidR="00E26A96"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остановлениях Счетной палаты</w:t>
      </w:r>
      <w:r w:rsidR="00F40961" w:rsidRPr="00A21A6B">
        <w:rPr>
          <w:rFonts w:asciiTheme="majorHAnsi" w:hAnsiTheme="majorHAnsi" w:cstheme="majorHAnsi"/>
          <w:sz w:val="24"/>
          <w:szCs w:val="24"/>
          <w:lang w:val="ru-MD"/>
        </w:rPr>
        <w:t>.</w:t>
      </w:r>
    </w:p>
    <w:p w:rsidR="00F40961" w:rsidRPr="00A21A6B" w:rsidRDefault="00254B4B" w:rsidP="006E3971">
      <w:pPr>
        <w:pStyle w:val="ListParagraph"/>
        <w:numPr>
          <w:ilvl w:val="1"/>
          <w:numId w:val="11"/>
        </w:numPr>
        <w:tabs>
          <w:tab w:val="left" w:pos="0"/>
          <w:tab w:val="left" w:pos="709"/>
          <w:tab w:val="left" w:pos="851"/>
        </w:tabs>
        <w:autoSpaceDE w:val="0"/>
        <w:autoSpaceDN w:val="0"/>
        <w:adjustRightInd w:val="0"/>
        <w:spacing w:after="120" w:line="276" w:lineRule="auto"/>
        <w:ind w:left="0" w:right="-24" w:firstLine="0"/>
        <w:contextualSpacing w:val="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w:t>
      </w:r>
      <w:r w:rsidR="006E3971" w:rsidRPr="00A21A6B">
        <w:rPr>
          <w:rFonts w:asciiTheme="majorHAnsi" w:hAnsiTheme="majorHAnsi" w:cstheme="majorHAnsi"/>
          <w:sz w:val="24"/>
          <w:szCs w:val="24"/>
          <w:lang w:val="ru-MD"/>
        </w:rPr>
        <w:t xml:space="preserve">бращаем внимание на отсутствие исчерпывающего механизма </w:t>
      </w:r>
      <w:r w:rsidR="006B26B7" w:rsidRPr="00A21A6B">
        <w:rPr>
          <w:rFonts w:asciiTheme="majorHAnsi" w:hAnsiTheme="majorHAnsi" w:cstheme="majorHAnsi"/>
          <w:sz w:val="24"/>
          <w:szCs w:val="24"/>
          <w:lang w:val="ru-MD"/>
        </w:rPr>
        <w:t xml:space="preserve">по </w:t>
      </w:r>
      <w:r w:rsidR="006E3971" w:rsidRPr="00A21A6B">
        <w:rPr>
          <w:rFonts w:asciiTheme="majorHAnsi" w:hAnsiTheme="majorHAnsi" w:cstheme="majorHAnsi"/>
          <w:sz w:val="24"/>
          <w:szCs w:val="24"/>
          <w:lang w:val="ru-MD"/>
        </w:rPr>
        <w:t>капитализации затрат</w:t>
      </w:r>
      <w:r w:rsidR="006B26B7" w:rsidRPr="00A21A6B">
        <w:rPr>
          <w:rFonts w:asciiTheme="majorHAnsi" w:hAnsiTheme="majorHAnsi" w:cstheme="majorHAnsi"/>
          <w:sz w:val="24"/>
          <w:szCs w:val="24"/>
          <w:lang w:val="ru-MD"/>
        </w:rPr>
        <w:t xml:space="preserve"> на</w:t>
      </w:r>
      <w:r w:rsidR="006E3971" w:rsidRPr="00A21A6B">
        <w:rPr>
          <w:rFonts w:asciiTheme="majorHAnsi" w:hAnsiTheme="majorHAnsi" w:cstheme="majorHAnsi"/>
          <w:sz w:val="24"/>
          <w:szCs w:val="24"/>
          <w:lang w:val="ru-MD"/>
        </w:rPr>
        <w:t xml:space="preserve"> исследовательски</w:t>
      </w:r>
      <w:r w:rsidR="006B26B7" w:rsidRPr="00A21A6B">
        <w:rPr>
          <w:rFonts w:asciiTheme="majorHAnsi" w:hAnsiTheme="majorHAnsi" w:cstheme="majorHAnsi"/>
          <w:sz w:val="24"/>
          <w:szCs w:val="24"/>
          <w:lang w:val="ru-MD"/>
        </w:rPr>
        <w:t>е</w:t>
      </w:r>
      <w:r w:rsidR="006E3971" w:rsidRPr="00A21A6B">
        <w:rPr>
          <w:rFonts w:asciiTheme="majorHAnsi" w:hAnsiTheme="majorHAnsi" w:cstheme="majorHAnsi"/>
          <w:sz w:val="24"/>
          <w:szCs w:val="24"/>
          <w:lang w:val="ru-MD"/>
        </w:rPr>
        <w:t xml:space="preserve"> проект</w:t>
      </w:r>
      <w:r w:rsidR="006B26B7" w:rsidRPr="00A21A6B">
        <w:rPr>
          <w:rFonts w:asciiTheme="majorHAnsi" w:hAnsiTheme="majorHAnsi" w:cstheme="majorHAnsi"/>
          <w:sz w:val="24"/>
          <w:szCs w:val="24"/>
          <w:lang w:val="ru-MD"/>
        </w:rPr>
        <w:t>ы</w:t>
      </w:r>
      <w:r w:rsidR="006E3971" w:rsidRPr="00A21A6B">
        <w:rPr>
          <w:rFonts w:asciiTheme="majorHAnsi" w:hAnsiTheme="majorHAnsi" w:cstheme="majorHAnsi"/>
          <w:sz w:val="24"/>
          <w:szCs w:val="24"/>
          <w:lang w:val="ru-MD"/>
        </w:rPr>
        <w:t xml:space="preserve">, что обусловливает </w:t>
      </w:r>
      <w:r w:rsidR="006B26B7" w:rsidRPr="00A21A6B">
        <w:rPr>
          <w:rFonts w:asciiTheme="majorHAnsi" w:hAnsiTheme="majorHAnsi" w:cstheme="majorHAnsi"/>
          <w:sz w:val="24"/>
          <w:szCs w:val="24"/>
          <w:lang w:val="ru-MD"/>
        </w:rPr>
        <w:t>занижение</w:t>
      </w:r>
      <w:r w:rsidR="006E3971" w:rsidRPr="00A21A6B">
        <w:rPr>
          <w:rFonts w:asciiTheme="majorHAnsi" w:hAnsiTheme="majorHAnsi" w:cstheme="majorHAnsi"/>
          <w:sz w:val="24"/>
          <w:szCs w:val="24"/>
          <w:lang w:val="ru-MD"/>
        </w:rPr>
        <w:t xml:space="preserve"> остатка на счете 319 </w:t>
      </w:r>
      <w:r w:rsidR="006B26B7" w:rsidRPr="00A21A6B">
        <w:rPr>
          <w:rFonts w:asciiTheme="majorHAnsi" w:hAnsiTheme="majorHAnsi" w:cstheme="majorHAnsi"/>
          <w:sz w:val="24"/>
          <w:szCs w:val="24"/>
          <w:lang w:val="ru-MD"/>
        </w:rPr>
        <w:t xml:space="preserve">„Незавершенные </w:t>
      </w:r>
      <w:r w:rsidR="006E3971" w:rsidRPr="00A21A6B">
        <w:rPr>
          <w:rFonts w:asciiTheme="majorHAnsi" w:hAnsiTheme="majorHAnsi" w:cstheme="majorHAnsi"/>
          <w:sz w:val="24"/>
          <w:szCs w:val="24"/>
          <w:lang w:val="ru-MD"/>
        </w:rPr>
        <w:t xml:space="preserve">капитальные </w:t>
      </w:r>
      <w:r w:rsidR="006B26B7" w:rsidRPr="00A21A6B">
        <w:rPr>
          <w:rFonts w:asciiTheme="majorHAnsi" w:hAnsiTheme="majorHAnsi" w:cstheme="majorHAnsi"/>
          <w:sz w:val="24"/>
          <w:szCs w:val="24"/>
          <w:lang w:val="ru-MD"/>
        </w:rPr>
        <w:t>инвестиции</w:t>
      </w:r>
      <w:r w:rsidR="006E3971" w:rsidRPr="00A21A6B">
        <w:rPr>
          <w:rFonts w:asciiTheme="majorHAnsi" w:hAnsiTheme="majorHAnsi" w:cstheme="majorHAnsi"/>
          <w:sz w:val="24"/>
          <w:szCs w:val="24"/>
          <w:lang w:val="ru-MD"/>
        </w:rPr>
        <w:t xml:space="preserve"> в активы”</w:t>
      </w:r>
      <w:r w:rsidR="006B26B7" w:rsidRPr="00A21A6B">
        <w:rPr>
          <w:rFonts w:asciiTheme="majorHAnsi" w:hAnsiTheme="majorHAnsi" w:cstheme="majorHAnsi"/>
          <w:sz w:val="24"/>
          <w:szCs w:val="24"/>
          <w:lang w:val="ru-MD"/>
        </w:rPr>
        <w:t>,</w:t>
      </w:r>
      <w:r w:rsidR="006E3971" w:rsidRPr="00A21A6B">
        <w:rPr>
          <w:rFonts w:asciiTheme="majorHAnsi" w:hAnsiTheme="majorHAnsi" w:cstheme="majorHAnsi"/>
          <w:sz w:val="24"/>
          <w:szCs w:val="24"/>
          <w:lang w:val="ru-MD"/>
        </w:rPr>
        <w:t xml:space="preserve"> а также отсутствие четких правил, касающихся расходов</w:t>
      </w:r>
      <w:r w:rsidR="00A270B4">
        <w:rPr>
          <w:rFonts w:asciiTheme="majorHAnsi" w:hAnsiTheme="majorHAnsi" w:cstheme="majorHAnsi"/>
          <w:sz w:val="24"/>
          <w:szCs w:val="24"/>
          <w:lang w:val="ru-MD"/>
        </w:rPr>
        <w:t xml:space="preserve"> </w:t>
      </w:r>
      <w:r w:rsidR="006B26B7" w:rsidRPr="00A21A6B">
        <w:rPr>
          <w:rFonts w:asciiTheme="majorHAnsi" w:hAnsiTheme="majorHAnsi" w:cstheme="majorHAnsi"/>
          <w:sz w:val="24"/>
          <w:szCs w:val="24"/>
          <w:lang w:val="ru-MD"/>
        </w:rPr>
        <w:t>на</w:t>
      </w:r>
      <w:r w:rsidR="006E3971" w:rsidRPr="00A21A6B">
        <w:rPr>
          <w:rFonts w:asciiTheme="majorHAnsi" w:hAnsiTheme="majorHAnsi" w:cstheme="majorHAnsi"/>
          <w:sz w:val="24"/>
          <w:szCs w:val="24"/>
          <w:lang w:val="ru-MD"/>
        </w:rPr>
        <w:t xml:space="preserve"> научны</w:t>
      </w:r>
      <w:r w:rsidR="006B26B7" w:rsidRPr="00A21A6B">
        <w:rPr>
          <w:rFonts w:asciiTheme="majorHAnsi" w:hAnsiTheme="majorHAnsi" w:cstheme="majorHAnsi"/>
          <w:sz w:val="24"/>
          <w:szCs w:val="24"/>
          <w:lang w:val="ru-MD"/>
        </w:rPr>
        <w:t>е</w:t>
      </w:r>
      <w:r w:rsidR="006E3971" w:rsidRPr="00A21A6B">
        <w:rPr>
          <w:rFonts w:asciiTheme="majorHAnsi" w:hAnsiTheme="majorHAnsi" w:cstheme="majorHAnsi"/>
          <w:sz w:val="24"/>
          <w:szCs w:val="24"/>
          <w:lang w:val="ru-MD"/>
        </w:rPr>
        <w:t xml:space="preserve"> проект</w:t>
      </w:r>
      <w:r w:rsidR="006B26B7" w:rsidRPr="00A21A6B">
        <w:rPr>
          <w:rFonts w:asciiTheme="majorHAnsi" w:hAnsiTheme="majorHAnsi" w:cstheme="majorHAnsi"/>
          <w:sz w:val="24"/>
          <w:szCs w:val="24"/>
          <w:lang w:val="ru-MD"/>
        </w:rPr>
        <w:t>ы</w:t>
      </w:r>
      <w:r w:rsidR="006E3971" w:rsidRPr="00A21A6B">
        <w:rPr>
          <w:rFonts w:asciiTheme="majorHAnsi" w:hAnsiTheme="majorHAnsi" w:cstheme="majorHAnsi"/>
          <w:sz w:val="24"/>
          <w:szCs w:val="24"/>
          <w:lang w:val="ru-MD"/>
        </w:rPr>
        <w:t xml:space="preserve">, которые </w:t>
      </w:r>
      <w:r w:rsidR="006B26B7" w:rsidRPr="00A21A6B">
        <w:rPr>
          <w:rFonts w:asciiTheme="majorHAnsi" w:hAnsiTheme="majorHAnsi" w:cstheme="majorHAnsi"/>
          <w:sz w:val="24"/>
          <w:szCs w:val="24"/>
          <w:lang w:val="ru-MD"/>
        </w:rPr>
        <w:t>должны</w:t>
      </w:r>
      <w:r w:rsidR="006E3971" w:rsidRPr="00A21A6B">
        <w:rPr>
          <w:rFonts w:asciiTheme="majorHAnsi" w:hAnsiTheme="majorHAnsi" w:cstheme="majorHAnsi"/>
          <w:sz w:val="24"/>
          <w:szCs w:val="24"/>
          <w:lang w:val="ru-MD"/>
        </w:rPr>
        <w:t xml:space="preserve"> капитализирова</w:t>
      </w:r>
      <w:r w:rsidR="006B26B7" w:rsidRPr="00A21A6B">
        <w:rPr>
          <w:rFonts w:asciiTheme="majorHAnsi" w:hAnsiTheme="majorHAnsi" w:cstheme="majorHAnsi"/>
          <w:sz w:val="24"/>
          <w:szCs w:val="24"/>
          <w:lang w:val="ru-MD"/>
        </w:rPr>
        <w:t>ться</w:t>
      </w:r>
      <w:r w:rsidR="006E3971" w:rsidRPr="00A21A6B">
        <w:rPr>
          <w:rFonts w:asciiTheme="majorHAnsi" w:hAnsiTheme="majorHAnsi" w:cstheme="majorHAnsi"/>
          <w:sz w:val="24"/>
          <w:szCs w:val="24"/>
          <w:lang w:val="ru-MD"/>
        </w:rPr>
        <w:t xml:space="preserve"> на счете 319 </w:t>
      </w:r>
      <w:r w:rsidR="006B26B7" w:rsidRPr="00A21A6B">
        <w:rPr>
          <w:rFonts w:asciiTheme="majorHAnsi" w:hAnsiTheme="majorHAnsi" w:cstheme="majorHAnsi"/>
          <w:sz w:val="24"/>
          <w:szCs w:val="24"/>
          <w:lang w:val="ru-MD"/>
        </w:rPr>
        <w:t>„Незавершенные капитальные инвестиции в активы”</w:t>
      </w:r>
      <w:r w:rsidR="006E3971" w:rsidRPr="00A21A6B">
        <w:rPr>
          <w:rFonts w:asciiTheme="majorHAnsi" w:hAnsiTheme="majorHAnsi" w:cstheme="majorHAnsi"/>
          <w:sz w:val="24"/>
          <w:szCs w:val="24"/>
          <w:lang w:val="ru-MD"/>
        </w:rPr>
        <w:t>. Таким образом, Министерств</w:t>
      </w:r>
      <w:r w:rsidR="006B26B7" w:rsidRPr="00A21A6B">
        <w:rPr>
          <w:rFonts w:asciiTheme="majorHAnsi" w:hAnsiTheme="majorHAnsi" w:cstheme="majorHAnsi"/>
          <w:sz w:val="24"/>
          <w:szCs w:val="24"/>
          <w:lang w:val="ru-MD"/>
        </w:rPr>
        <w:t>у</w:t>
      </w:r>
      <w:r w:rsidR="006E3971" w:rsidRPr="00A21A6B">
        <w:rPr>
          <w:rFonts w:asciiTheme="majorHAnsi" w:hAnsiTheme="majorHAnsi" w:cstheme="majorHAnsi"/>
          <w:sz w:val="24"/>
          <w:szCs w:val="24"/>
          <w:lang w:val="ru-MD"/>
        </w:rPr>
        <w:t xml:space="preserve"> финансов </w:t>
      </w:r>
      <w:r w:rsidR="006B26B7" w:rsidRPr="00A21A6B">
        <w:rPr>
          <w:rFonts w:asciiTheme="majorHAnsi" w:hAnsiTheme="majorHAnsi" w:cstheme="majorHAnsi"/>
          <w:sz w:val="24"/>
          <w:szCs w:val="24"/>
          <w:lang w:val="ru-MD"/>
        </w:rPr>
        <w:t>необходимо</w:t>
      </w:r>
      <w:r w:rsidR="006E3971" w:rsidRPr="00A21A6B">
        <w:rPr>
          <w:rFonts w:asciiTheme="majorHAnsi" w:hAnsiTheme="majorHAnsi" w:cstheme="majorHAnsi"/>
          <w:sz w:val="24"/>
          <w:szCs w:val="24"/>
          <w:lang w:val="ru-MD"/>
        </w:rPr>
        <w:t xml:space="preserve"> разработать </w:t>
      </w:r>
      <w:r w:rsidR="006B26B7" w:rsidRPr="00A21A6B">
        <w:rPr>
          <w:rFonts w:asciiTheme="majorHAnsi" w:hAnsiTheme="majorHAnsi" w:cstheme="majorHAnsi"/>
          <w:sz w:val="24"/>
          <w:szCs w:val="24"/>
          <w:lang w:val="ru-MD"/>
        </w:rPr>
        <w:t xml:space="preserve">соответствующие </w:t>
      </w:r>
      <w:r w:rsidR="006E3971" w:rsidRPr="00A21A6B">
        <w:rPr>
          <w:rFonts w:asciiTheme="majorHAnsi" w:hAnsiTheme="majorHAnsi" w:cstheme="majorHAnsi"/>
          <w:sz w:val="24"/>
          <w:szCs w:val="24"/>
          <w:lang w:val="ru-MD"/>
        </w:rPr>
        <w:t xml:space="preserve">правила в </w:t>
      </w:r>
      <w:r w:rsidR="006B26B7" w:rsidRPr="00A21A6B">
        <w:rPr>
          <w:rFonts w:asciiTheme="majorHAnsi" w:hAnsiTheme="majorHAnsi" w:cstheme="majorHAnsi"/>
          <w:sz w:val="24"/>
          <w:szCs w:val="24"/>
          <w:lang w:val="ru-MD"/>
        </w:rPr>
        <w:t>эт</w:t>
      </w:r>
      <w:r w:rsidR="006E3971" w:rsidRPr="00A21A6B">
        <w:rPr>
          <w:rFonts w:asciiTheme="majorHAnsi" w:hAnsiTheme="majorHAnsi" w:cstheme="majorHAnsi"/>
          <w:sz w:val="24"/>
          <w:szCs w:val="24"/>
          <w:lang w:val="ru-MD"/>
        </w:rPr>
        <w:t xml:space="preserve">ой области. </w:t>
      </w:r>
      <w:r w:rsidRPr="00A21A6B">
        <w:rPr>
          <w:rFonts w:asciiTheme="majorHAnsi" w:hAnsiTheme="majorHAnsi" w:cstheme="majorHAnsi"/>
          <w:i/>
          <w:sz w:val="24"/>
          <w:szCs w:val="24"/>
          <w:lang w:val="ru-MD"/>
        </w:rPr>
        <w:t>Подробности см. в Приложении №2 к настоящему Отчету аудита</w:t>
      </w:r>
      <w:r w:rsidR="00F40961" w:rsidRPr="00A21A6B">
        <w:rPr>
          <w:rFonts w:asciiTheme="majorHAnsi" w:hAnsiTheme="majorHAnsi" w:cstheme="majorHAnsi"/>
          <w:i/>
          <w:sz w:val="24"/>
          <w:szCs w:val="24"/>
          <w:lang w:val="ru-MD"/>
        </w:rPr>
        <w:t>.</w:t>
      </w:r>
      <w:r w:rsidR="00F40961" w:rsidRPr="00A21A6B">
        <w:rPr>
          <w:rFonts w:asciiTheme="majorHAnsi" w:hAnsiTheme="majorHAnsi" w:cstheme="majorHAnsi"/>
          <w:sz w:val="24"/>
          <w:szCs w:val="24"/>
          <w:lang w:val="ru-MD"/>
        </w:rPr>
        <w:t xml:space="preserve"> </w:t>
      </w:r>
    </w:p>
    <w:p w:rsidR="00F40961" w:rsidRPr="00A21A6B" w:rsidRDefault="00F40961" w:rsidP="00F40961">
      <w:pPr>
        <w:spacing w:after="120" w:line="276" w:lineRule="auto"/>
        <w:ind w:right="-24"/>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6.13</w:t>
      </w:r>
      <w:r w:rsidRPr="00A21A6B">
        <w:rPr>
          <w:rFonts w:asciiTheme="majorHAnsi" w:hAnsiTheme="majorHAnsi" w:cstheme="majorHAnsi"/>
          <w:sz w:val="24"/>
          <w:szCs w:val="24"/>
          <w:lang w:val="ru-MD"/>
        </w:rPr>
        <w:t xml:space="preserve"> </w:t>
      </w:r>
      <w:r w:rsidR="00254B4B" w:rsidRPr="00A21A6B">
        <w:rPr>
          <w:rFonts w:asciiTheme="majorHAnsi" w:hAnsiTheme="majorHAnsi" w:cstheme="majorHAnsi"/>
          <w:sz w:val="24"/>
          <w:szCs w:val="24"/>
          <w:lang w:val="ru-MD"/>
        </w:rPr>
        <w:t>Отмеч</w:t>
      </w:r>
      <w:r w:rsidR="006E3971" w:rsidRPr="00A21A6B">
        <w:rPr>
          <w:rFonts w:asciiTheme="majorHAnsi" w:hAnsiTheme="majorHAnsi" w:cstheme="majorHAnsi"/>
          <w:sz w:val="24"/>
          <w:szCs w:val="24"/>
          <w:lang w:val="ru-MD"/>
        </w:rPr>
        <w:t xml:space="preserve">ается дальнейшее сохранение двойного статуса, закрепленного за Национальным бюро винограда и вина. Так, хотя, согласно собственному уставу, </w:t>
      </w:r>
      <w:r w:rsidR="00254B4B" w:rsidRPr="00A21A6B">
        <w:rPr>
          <w:rFonts w:asciiTheme="majorHAnsi" w:hAnsiTheme="majorHAnsi" w:cstheme="majorHAnsi"/>
          <w:sz w:val="24"/>
          <w:szCs w:val="24"/>
          <w:lang w:val="ru-MD"/>
        </w:rPr>
        <w:t>Бюро</w:t>
      </w:r>
      <w:r w:rsidR="006E3971" w:rsidRPr="00A21A6B">
        <w:rPr>
          <w:rFonts w:asciiTheme="majorHAnsi" w:hAnsiTheme="majorHAnsi" w:cstheme="majorHAnsi"/>
          <w:sz w:val="24"/>
          <w:szCs w:val="24"/>
          <w:lang w:val="ru-MD"/>
        </w:rPr>
        <w:t xml:space="preserve"> является </w:t>
      </w:r>
      <w:r w:rsidR="00254B4B" w:rsidRPr="00A21A6B">
        <w:rPr>
          <w:rFonts w:asciiTheme="majorHAnsi" w:hAnsiTheme="majorHAnsi" w:cstheme="majorHAnsi"/>
          <w:sz w:val="24"/>
          <w:szCs w:val="24"/>
          <w:lang w:val="ru-MD"/>
        </w:rPr>
        <w:t>публич</w:t>
      </w:r>
      <w:r w:rsidR="006E3971" w:rsidRPr="00A21A6B">
        <w:rPr>
          <w:rFonts w:asciiTheme="majorHAnsi" w:hAnsiTheme="majorHAnsi" w:cstheme="majorHAnsi"/>
          <w:sz w:val="24"/>
          <w:szCs w:val="24"/>
          <w:lang w:val="ru-MD"/>
        </w:rPr>
        <w:t xml:space="preserve">ным учреждением </w:t>
      </w:r>
      <w:r w:rsidR="00254B4B" w:rsidRPr="00A21A6B">
        <w:rPr>
          <w:rFonts w:asciiTheme="majorHAnsi" w:hAnsiTheme="majorHAnsi" w:cstheme="majorHAnsi"/>
          <w:sz w:val="24"/>
          <w:szCs w:val="24"/>
          <w:lang w:val="ru-MD"/>
        </w:rPr>
        <w:t xml:space="preserve">на </w:t>
      </w:r>
      <w:r w:rsidR="006E3971" w:rsidRPr="00A21A6B">
        <w:rPr>
          <w:rFonts w:asciiTheme="majorHAnsi" w:hAnsiTheme="majorHAnsi" w:cstheme="majorHAnsi"/>
          <w:sz w:val="24"/>
          <w:szCs w:val="24"/>
          <w:lang w:val="ru-MD"/>
        </w:rPr>
        <w:t>самоуправлени</w:t>
      </w:r>
      <w:r w:rsidR="00254B4B" w:rsidRPr="00A21A6B">
        <w:rPr>
          <w:rFonts w:asciiTheme="majorHAnsi" w:hAnsiTheme="majorHAnsi" w:cstheme="majorHAnsi"/>
          <w:sz w:val="24"/>
          <w:szCs w:val="24"/>
          <w:lang w:val="ru-MD"/>
        </w:rPr>
        <w:t>и</w:t>
      </w:r>
      <w:r w:rsidR="00254B4B" w:rsidRPr="00A21A6B">
        <w:rPr>
          <w:rStyle w:val="FootnoteReference"/>
          <w:rFonts w:asciiTheme="majorHAnsi" w:hAnsiTheme="majorHAnsi" w:cstheme="majorHAnsi"/>
          <w:sz w:val="24"/>
          <w:lang w:val="ru-MD"/>
        </w:rPr>
        <w:footnoteReference w:id="30"/>
      </w:r>
      <w:r w:rsidR="006E3971" w:rsidRPr="00A21A6B">
        <w:rPr>
          <w:rFonts w:asciiTheme="majorHAnsi" w:hAnsiTheme="majorHAnsi" w:cstheme="majorHAnsi"/>
          <w:sz w:val="24"/>
          <w:szCs w:val="24"/>
          <w:lang w:val="ru-MD"/>
        </w:rPr>
        <w:t>, ему также был присвоен код исполнителя бюджета (орг.2 CBO</w:t>
      </w:r>
      <w:r w:rsidR="00254B4B" w:rsidRPr="00A21A6B">
        <w:rPr>
          <w:rStyle w:val="FootnoteReference"/>
          <w:rFonts w:asciiTheme="majorHAnsi" w:hAnsiTheme="majorHAnsi" w:cstheme="majorHAnsi"/>
          <w:sz w:val="24"/>
          <w:lang w:val="ru-MD"/>
        </w:rPr>
        <w:footnoteReference w:id="31"/>
      </w:r>
      <w:r w:rsidR="006E3971" w:rsidRPr="00A21A6B">
        <w:rPr>
          <w:rFonts w:asciiTheme="majorHAnsi" w:hAnsiTheme="majorHAnsi" w:cstheme="majorHAnsi"/>
          <w:sz w:val="24"/>
          <w:szCs w:val="24"/>
          <w:lang w:val="ru-MD"/>
        </w:rPr>
        <w:t xml:space="preserve"> 15473). </w:t>
      </w:r>
      <w:r w:rsidR="00254B4B" w:rsidRPr="00A21A6B">
        <w:rPr>
          <w:rFonts w:asciiTheme="majorHAnsi" w:hAnsiTheme="majorHAnsi" w:cstheme="majorHAnsi"/>
          <w:sz w:val="24"/>
          <w:szCs w:val="24"/>
          <w:lang w:val="ru-MD"/>
        </w:rPr>
        <w:t xml:space="preserve">Бюро </w:t>
      </w:r>
      <w:r w:rsidR="006E3971" w:rsidRPr="00A21A6B">
        <w:rPr>
          <w:rFonts w:asciiTheme="majorHAnsi" w:hAnsiTheme="majorHAnsi" w:cstheme="majorHAnsi"/>
          <w:sz w:val="24"/>
          <w:szCs w:val="24"/>
          <w:lang w:val="ru-MD"/>
        </w:rPr>
        <w:t xml:space="preserve">не является </w:t>
      </w:r>
      <w:r w:rsidR="00254B4B" w:rsidRPr="00A21A6B">
        <w:rPr>
          <w:rFonts w:asciiTheme="majorHAnsi" w:hAnsiTheme="majorHAnsi" w:cstheme="majorHAnsi"/>
          <w:sz w:val="24"/>
          <w:szCs w:val="24"/>
          <w:lang w:val="ru-MD"/>
        </w:rPr>
        <w:t xml:space="preserve">полномочным </w:t>
      </w:r>
      <w:r w:rsidR="006E3971" w:rsidRPr="00A21A6B">
        <w:rPr>
          <w:rFonts w:asciiTheme="majorHAnsi" w:hAnsiTheme="majorHAnsi" w:cstheme="majorHAnsi"/>
          <w:sz w:val="24"/>
          <w:szCs w:val="24"/>
          <w:lang w:val="ru-MD"/>
        </w:rPr>
        <w:t xml:space="preserve">исполнителем бюджета, </w:t>
      </w:r>
      <w:r w:rsidR="00254B4B" w:rsidRPr="00A21A6B">
        <w:rPr>
          <w:rFonts w:asciiTheme="majorHAnsi" w:hAnsiTheme="majorHAnsi" w:cstheme="majorHAnsi"/>
          <w:sz w:val="24"/>
          <w:szCs w:val="24"/>
          <w:lang w:val="ru-MD"/>
        </w:rPr>
        <w:t xml:space="preserve">а </w:t>
      </w:r>
      <w:r w:rsidR="006E3971" w:rsidRPr="00A21A6B">
        <w:rPr>
          <w:rFonts w:asciiTheme="majorHAnsi" w:hAnsiTheme="majorHAnsi" w:cstheme="majorHAnsi"/>
          <w:sz w:val="24"/>
          <w:szCs w:val="24"/>
          <w:lang w:val="ru-MD"/>
        </w:rPr>
        <w:t>поступившие на казначейский счет</w:t>
      </w:r>
      <w:r w:rsidR="00254B4B" w:rsidRPr="00A21A6B">
        <w:rPr>
          <w:rFonts w:asciiTheme="majorHAnsi" w:hAnsiTheme="majorHAnsi" w:cstheme="majorHAnsi"/>
          <w:sz w:val="24"/>
          <w:szCs w:val="24"/>
          <w:lang w:val="ru-MD"/>
        </w:rPr>
        <w:t xml:space="preserve"> суммы</w:t>
      </w:r>
      <w:r w:rsidR="006E3971" w:rsidRPr="00A21A6B">
        <w:rPr>
          <w:rFonts w:asciiTheme="majorHAnsi" w:hAnsiTheme="majorHAnsi" w:cstheme="majorHAnsi"/>
          <w:sz w:val="24"/>
          <w:szCs w:val="24"/>
          <w:lang w:val="ru-MD"/>
        </w:rPr>
        <w:t xml:space="preserve"> полностью переводятся через CBE</w:t>
      </w:r>
      <w:r w:rsidR="00254B4B" w:rsidRPr="00A21A6B">
        <w:rPr>
          <w:rStyle w:val="FootnoteReference"/>
          <w:rFonts w:asciiTheme="majorHAnsi" w:hAnsiTheme="majorHAnsi" w:cstheme="majorHAnsi"/>
          <w:sz w:val="24"/>
          <w:lang w:val="ru-MD"/>
        </w:rPr>
        <w:footnoteReference w:id="32"/>
      </w:r>
      <w:r w:rsidR="006E3971" w:rsidRPr="00A21A6B">
        <w:rPr>
          <w:rFonts w:asciiTheme="majorHAnsi" w:hAnsiTheme="majorHAnsi" w:cstheme="majorHAnsi"/>
          <w:sz w:val="24"/>
          <w:szCs w:val="24"/>
          <w:lang w:val="ru-MD"/>
        </w:rPr>
        <w:t xml:space="preserve"> 25 „</w:t>
      </w:r>
      <w:r w:rsidR="00254B4B" w:rsidRPr="00A21A6B">
        <w:rPr>
          <w:rFonts w:asciiTheme="majorHAnsi" w:hAnsiTheme="majorHAnsi" w:cstheme="majorHAnsi"/>
          <w:sz w:val="24"/>
          <w:szCs w:val="24"/>
          <w:lang w:val="ru-MD"/>
        </w:rPr>
        <w:t>Субсидии</w:t>
      </w:r>
      <w:r w:rsidR="006E3971" w:rsidRPr="00A21A6B">
        <w:rPr>
          <w:rFonts w:asciiTheme="majorHAnsi" w:hAnsiTheme="majorHAnsi" w:cstheme="majorHAnsi"/>
          <w:sz w:val="24"/>
          <w:szCs w:val="24"/>
          <w:lang w:val="ru-MD"/>
        </w:rPr>
        <w:t xml:space="preserve">” на внебюджетный казначейский счет, с которого производятся необходимые платежи. Этот механизм не вписывается в общие правила бюджетирования: </w:t>
      </w:r>
      <w:r w:rsidR="00254B4B" w:rsidRPr="00A21A6B">
        <w:rPr>
          <w:rFonts w:asciiTheme="majorHAnsi" w:hAnsiTheme="majorHAnsi" w:cstheme="majorHAnsi"/>
          <w:sz w:val="24"/>
          <w:szCs w:val="24"/>
          <w:lang w:val="ru-MD"/>
        </w:rPr>
        <w:t>Бюро</w:t>
      </w:r>
      <w:r w:rsidR="006E3971" w:rsidRPr="00A21A6B">
        <w:rPr>
          <w:rFonts w:asciiTheme="majorHAnsi" w:hAnsiTheme="majorHAnsi" w:cstheme="majorHAnsi"/>
          <w:sz w:val="24"/>
          <w:szCs w:val="24"/>
          <w:lang w:val="ru-MD"/>
        </w:rPr>
        <w:t xml:space="preserve"> предоставляет субсидии самому </w:t>
      </w:r>
      <w:r w:rsidR="00254B4B" w:rsidRPr="00A21A6B">
        <w:rPr>
          <w:rFonts w:asciiTheme="majorHAnsi" w:hAnsiTheme="majorHAnsi" w:cstheme="majorHAnsi"/>
          <w:sz w:val="24"/>
          <w:szCs w:val="24"/>
          <w:lang w:val="ru-MD"/>
        </w:rPr>
        <w:t>себе</w:t>
      </w:r>
      <w:r w:rsidR="006E3971" w:rsidRPr="00A21A6B">
        <w:rPr>
          <w:rFonts w:asciiTheme="majorHAnsi" w:hAnsiTheme="majorHAnsi" w:cstheme="majorHAnsi"/>
          <w:sz w:val="24"/>
          <w:szCs w:val="24"/>
          <w:lang w:val="ru-MD"/>
        </w:rPr>
        <w:t>, а бюджетный казначейский счет используется в качестве транзитного счета. Согласно нормативной базе, такие операции должны были осуществляться непосредственно через Министерство сельского хозяйства, регионального развития и окружающей среды</w:t>
      </w:r>
      <w:r w:rsidR="00254B4B" w:rsidRPr="00A21A6B">
        <w:rPr>
          <w:rFonts w:asciiTheme="majorHAnsi" w:hAnsiTheme="majorHAnsi" w:cstheme="majorHAnsi"/>
          <w:sz w:val="24"/>
          <w:szCs w:val="24"/>
          <w:lang w:val="ru-MD"/>
        </w:rPr>
        <w:t>,</w:t>
      </w:r>
      <w:r w:rsidR="006E3971" w:rsidRPr="00A21A6B">
        <w:rPr>
          <w:rFonts w:asciiTheme="majorHAnsi" w:hAnsiTheme="majorHAnsi" w:cstheme="majorHAnsi"/>
          <w:sz w:val="24"/>
          <w:szCs w:val="24"/>
          <w:lang w:val="ru-MD"/>
        </w:rPr>
        <w:t xml:space="preserve"> без присвоения организациям </w:t>
      </w:r>
      <w:r w:rsidR="00254B4B" w:rsidRPr="00A21A6B">
        <w:rPr>
          <w:rFonts w:asciiTheme="majorHAnsi" w:hAnsiTheme="majorHAnsi" w:cstheme="majorHAnsi"/>
          <w:sz w:val="24"/>
          <w:szCs w:val="24"/>
          <w:lang w:val="ru-MD"/>
        </w:rPr>
        <w:t xml:space="preserve">на </w:t>
      </w:r>
      <w:r w:rsidR="006E3971" w:rsidRPr="00A21A6B">
        <w:rPr>
          <w:rFonts w:asciiTheme="majorHAnsi" w:hAnsiTheme="majorHAnsi" w:cstheme="majorHAnsi"/>
          <w:sz w:val="24"/>
          <w:szCs w:val="24"/>
          <w:lang w:val="ru-MD"/>
        </w:rPr>
        <w:t>самоуправлени</w:t>
      </w:r>
      <w:r w:rsidR="00254B4B" w:rsidRPr="00A21A6B">
        <w:rPr>
          <w:rFonts w:asciiTheme="majorHAnsi" w:hAnsiTheme="majorHAnsi" w:cstheme="majorHAnsi"/>
          <w:sz w:val="24"/>
          <w:szCs w:val="24"/>
          <w:lang w:val="ru-MD"/>
        </w:rPr>
        <w:t>и</w:t>
      </w:r>
      <w:r w:rsidR="006E3971" w:rsidRPr="00A21A6B">
        <w:rPr>
          <w:rFonts w:asciiTheme="majorHAnsi" w:hAnsiTheme="majorHAnsi" w:cstheme="majorHAnsi"/>
          <w:sz w:val="24"/>
          <w:szCs w:val="24"/>
          <w:lang w:val="ru-MD"/>
        </w:rPr>
        <w:t xml:space="preserve"> статуса исполнителя бюджета (орг.2)</w:t>
      </w:r>
      <w:r w:rsidRPr="00A21A6B">
        <w:rPr>
          <w:rFonts w:asciiTheme="majorHAnsi" w:hAnsiTheme="majorHAnsi" w:cstheme="majorHAnsi"/>
          <w:sz w:val="24"/>
          <w:szCs w:val="24"/>
          <w:lang w:val="ru-MD"/>
        </w:rPr>
        <w:t>.</w:t>
      </w:r>
      <w:r w:rsidR="001F68D0" w:rsidRPr="00A21A6B">
        <w:rPr>
          <w:rFonts w:asciiTheme="majorHAnsi" w:hAnsiTheme="majorHAnsi" w:cstheme="majorHAnsi"/>
          <w:sz w:val="24"/>
          <w:szCs w:val="24"/>
          <w:lang w:val="ru-MD"/>
        </w:rPr>
        <w:t xml:space="preserve"> </w:t>
      </w:r>
    </w:p>
    <w:p w:rsidR="00F40961" w:rsidRPr="00A21A6B" w:rsidRDefault="00F40961" w:rsidP="00F40961">
      <w:pPr>
        <w:pStyle w:val="ListParagraph"/>
        <w:spacing w:after="120" w:line="276" w:lineRule="auto"/>
        <w:ind w:left="0"/>
        <w:contextualSpacing w:val="0"/>
        <w:jc w:val="both"/>
        <w:rPr>
          <w:rFonts w:asciiTheme="majorHAnsi" w:hAnsiTheme="majorHAnsi" w:cstheme="majorHAnsi"/>
          <w:i/>
          <w:sz w:val="24"/>
          <w:szCs w:val="24"/>
          <w:lang w:val="ru-MD"/>
        </w:rPr>
      </w:pPr>
      <w:r w:rsidRPr="00A21A6B">
        <w:rPr>
          <w:rFonts w:asciiTheme="majorHAnsi" w:hAnsiTheme="majorHAnsi" w:cstheme="majorHAnsi"/>
          <w:b/>
          <w:sz w:val="24"/>
          <w:szCs w:val="24"/>
          <w:lang w:val="ru-MD"/>
        </w:rPr>
        <w:t xml:space="preserve">6.14 </w:t>
      </w:r>
      <w:r w:rsidR="006E3971" w:rsidRPr="00A21A6B">
        <w:rPr>
          <w:rFonts w:asciiTheme="majorHAnsi" w:hAnsiTheme="majorHAnsi" w:cstheme="majorHAnsi"/>
          <w:sz w:val="24"/>
          <w:szCs w:val="24"/>
          <w:lang w:val="ru-MD"/>
        </w:rPr>
        <w:t xml:space="preserve">Механизмы, применяемые Агентством публичной собственности </w:t>
      </w:r>
      <w:r w:rsidR="00254B4B" w:rsidRPr="00A21A6B">
        <w:rPr>
          <w:rFonts w:asciiTheme="majorHAnsi" w:hAnsiTheme="majorHAnsi" w:cstheme="majorHAnsi"/>
          <w:sz w:val="24"/>
          <w:szCs w:val="24"/>
          <w:lang w:val="ru-MD"/>
        </w:rPr>
        <w:t>для</w:t>
      </w:r>
      <w:r w:rsidR="006E3971" w:rsidRPr="00A21A6B">
        <w:rPr>
          <w:rFonts w:asciiTheme="majorHAnsi" w:hAnsiTheme="majorHAnsi" w:cstheme="majorHAnsi"/>
          <w:sz w:val="24"/>
          <w:szCs w:val="24"/>
          <w:lang w:val="ru-MD"/>
        </w:rPr>
        <w:t xml:space="preserve"> передач</w:t>
      </w:r>
      <w:r w:rsidR="00254B4B" w:rsidRPr="00A21A6B">
        <w:rPr>
          <w:rFonts w:asciiTheme="majorHAnsi" w:hAnsiTheme="majorHAnsi" w:cstheme="majorHAnsi"/>
          <w:sz w:val="24"/>
          <w:szCs w:val="24"/>
          <w:lang w:val="ru-MD"/>
        </w:rPr>
        <w:t>и</w:t>
      </w:r>
      <w:r w:rsidR="006E3971" w:rsidRPr="00A21A6B">
        <w:rPr>
          <w:rFonts w:asciiTheme="majorHAnsi" w:hAnsiTheme="majorHAnsi" w:cstheme="majorHAnsi"/>
          <w:sz w:val="24"/>
          <w:szCs w:val="24"/>
          <w:lang w:val="ru-MD"/>
        </w:rPr>
        <w:t xml:space="preserve"> права на управление земельными </w:t>
      </w:r>
      <w:r w:rsidR="00254B4B" w:rsidRPr="00A21A6B">
        <w:rPr>
          <w:rFonts w:asciiTheme="majorHAnsi" w:hAnsiTheme="majorHAnsi" w:cstheme="majorHAnsi"/>
          <w:sz w:val="24"/>
          <w:szCs w:val="24"/>
          <w:lang w:val="ru-MD"/>
        </w:rPr>
        <w:t>участк</w:t>
      </w:r>
      <w:r w:rsidR="006E3971" w:rsidRPr="00A21A6B">
        <w:rPr>
          <w:rFonts w:asciiTheme="majorHAnsi" w:hAnsiTheme="majorHAnsi" w:cstheme="majorHAnsi"/>
          <w:sz w:val="24"/>
          <w:szCs w:val="24"/>
          <w:lang w:val="ru-MD"/>
        </w:rPr>
        <w:t>ами публичной собственности от Агентства публичной собственности центральным органам публично</w:t>
      </w:r>
      <w:r w:rsidR="00254B4B" w:rsidRPr="00A21A6B">
        <w:rPr>
          <w:rFonts w:asciiTheme="majorHAnsi" w:hAnsiTheme="majorHAnsi" w:cstheme="majorHAnsi"/>
          <w:sz w:val="24"/>
          <w:szCs w:val="24"/>
          <w:lang w:val="ru-MD"/>
        </w:rPr>
        <w:t>го управления</w:t>
      </w:r>
      <w:r w:rsidR="006E3971" w:rsidRPr="00A21A6B">
        <w:rPr>
          <w:rFonts w:asciiTheme="majorHAnsi" w:hAnsiTheme="majorHAnsi" w:cstheme="majorHAnsi"/>
          <w:sz w:val="24"/>
          <w:szCs w:val="24"/>
          <w:lang w:val="ru-MD"/>
        </w:rPr>
        <w:t xml:space="preserve">, определяют </w:t>
      </w:r>
      <w:r w:rsidR="00254B4B" w:rsidRPr="00A21A6B">
        <w:rPr>
          <w:rFonts w:asciiTheme="majorHAnsi" w:hAnsiTheme="majorHAnsi" w:cstheme="majorHAnsi"/>
          <w:sz w:val="24"/>
          <w:szCs w:val="24"/>
          <w:lang w:val="ru-MD"/>
        </w:rPr>
        <w:t>ненадлежащи</w:t>
      </w:r>
      <w:r w:rsidR="006E3971" w:rsidRPr="00A21A6B">
        <w:rPr>
          <w:rFonts w:asciiTheme="majorHAnsi" w:hAnsiTheme="majorHAnsi" w:cstheme="majorHAnsi"/>
          <w:sz w:val="24"/>
          <w:szCs w:val="24"/>
          <w:lang w:val="ru-MD"/>
        </w:rPr>
        <w:t xml:space="preserve">й учет государственных активов и наличие повышенного риска </w:t>
      </w:r>
      <w:r w:rsidR="00254B4B" w:rsidRPr="00A21A6B">
        <w:rPr>
          <w:rFonts w:asciiTheme="majorHAnsi" w:hAnsiTheme="majorHAnsi" w:cstheme="majorHAnsi"/>
          <w:sz w:val="24"/>
          <w:szCs w:val="24"/>
          <w:lang w:val="ru-MD"/>
        </w:rPr>
        <w:t>существенн</w:t>
      </w:r>
      <w:r w:rsidR="006E3971" w:rsidRPr="00A21A6B">
        <w:rPr>
          <w:rFonts w:asciiTheme="majorHAnsi" w:hAnsiTheme="majorHAnsi" w:cstheme="majorHAnsi"/>
          <w:sz w:val="24"/>
          <w:szCs w:val="24"/>
          <w:lang w:val="ru-MD"/>
        </w:rPr>
        <w:t>ого искажения стоимости земель</w:t>
      </w:r>
      <w:r w:rsidR="00254B4B" w:rsidRPr="00A21A6B">
        <w:rPr>
          <w:rFonts w:asciiTheme="majorHAnsi" w:hAnsiTheme="majorHAnsi" w:cstheme="majorHAnsi"/>
          <w:sz w:val="24"/>
          <w:szCs w:val="24"/>
          <w:lang w:val="ru-MD"/>
        </w:rPr>
        <w:t>ных участков</w:t>
      </w:r>
      <w:r w:rsidR="006E3971" w:rsidRPr="00A21A6B">
        <w:rPr>
          <w:rFonts w:asciiTheme="majorHAnsi" w:hAnsiTheme="majorHAnsi" w:cstheme="majorHAnsi"/>
          <w:sz w:val="24"/>
          <w:szCs w:val="24"/>
          <w:lang w:val="ru-MD"/>
        </w:rPr>
        <w:t xml:space="preserve"> публичной собственности. Также необходимо </w:t>
      </w:r>
      <w:r w:rsidR="00254B4B" w:rsidRPr="00A21A6B">
        <w:rPr>
          <w:rFonts w:asciiTheme="majorHAnsi" w:hAnsiTheme="majorHAnsi" w:cstheme="majorHAnsi"/>
          <w:sz w:val="24"/>
          <w:szCs w:val="24"/>
          <w:lang w:val="ru-MD"/>
        </w:rPr>
        <w:t>до</w:t>
      </w:r>
      <w:r w:rsidR="006E3971" w:rsidRPr="00A21A6B">
        <w:rPr>
          <w:rFonts w:asciiTheme="majorHAnsi" w:hAnsiTheme="majorHAnsi" w:cstheme="majorHAnsi"/>
          <w:sz w:val="24"/>
          <w:szCs w:val="24"/>
          <w:lang w:val="ru-MD"/>
        </w:rPr>
        <w:t xml:space="preserve">полнить </w:t>
      </w:r>
      <w:r w:rsidR="00254B4B" w:rsidRPr="00A21A6B">
        <w:rPr>
          <w:rFonts w:asciiTheme="majorHAnsi" w:hAnsiTheme="majorHAnsi" w:cstheme="majorHAnsi"/>
          <w:sz w:val="24"/>
          <w:szCs w:val="24"/>
          <w:lang w:val="ru-MD"/>
        </w:rPr>
        <w:t>П</w:t>
      </w:r>
      <w:r w:rsidR="006E3971" w:rsidRPr="00A21A6B">
        <w:rPr>
          <w:rFonts w:asciiTheme="majorHAnsi" w:hAnsiTheme="majorHAnsi" w:cstheme="majorHAnsi"/>
          <w:sz w:val="24"/>
          <w:szCs w:val="24"/>
          <w:lang w:val="ru-MD"/>
        </w:rPr>
        <w:t xml:space="preserve">лан счетов бюджетных учреждений новым счетом, предназначенным для имущества, полученного </w:t>
      </w:r>
      <w:r w:rsidR="00254B4B" w:rsidRPr="00A21A6B">
        <w:rPr>
          <w:rFonts w:asciiTheme="majorHAnsi" w:hAnsiTheme="majorHAnsi" w:cstheme="majorHAnsi"/>
          <w:sz w:val="24"/>
          <w:szCs w:val="24"/>
          <w:lang w:val="ru-MD"/>
        </w:rPr>
        <w:t>в</w:t>
      </w:r>
      <w:r w:rsidR="006E3971" w:rsidRPr="00A21A6B">
        <w:rPr>
          <w:rFonts w:asciiTheme="majorHAnsi" w:hAnsiTheme="majorHAnsi" w:cstheme="majorHAnsi"/>
          <w:sz w:val="24"/>
          <w:szCs w:val="24"/>
          <w:lang w:val="ru-MD"/>
        </w:rPr>
        <w:t xml:space="preserve"> управление. </w:t>
      </w:r>
      <w:r w:rsidRPr="00A21A6B">
        <w:rPr>
          <w:rFonts w:asciiTheme="majorHAnsi" w:hAnsiTheme="majorHAnsi" w:cstheme="majorHAnsi"/>
          <w:i/>
          <w:sz w:val="24"/>
          <w:szCs w:val="24"/>
          <w:lang w:val="ru-MD"/>
        </w:rPr>
        <w:t>(</w:t>
      </w:r>
      <w:r w:rsidR="00254B4B" w:rsidRPr="00A21A6B">
        <w:rPr>
          <w:rFonts w:asciiTheme="majorHAnsi" w:hAnsiTheme="majorHAnsi" w:cstheme="majorHAnsi"/>
          <w:i/>
          <w:sz w:val="24"/>
          <w:szCs w:val="24"/>
          <w:lang w:val="ru-MD"/>
        </w:rPr>
        <w:t>Подробности см. в Приложении №2 к настоящему Отчету аудита</w:t>
      </w:r>
      <w:r w:rsidRPr="00A21A6B">
        <w:rPr>
          <w:rFonts w:asciiTheme="majorHAnsi" w:hAnsiTheme="majorHAnsi" w:cstheme="majorHAnsi"/>
          <w:i/>
          <w:sz w:val="24"/>
          <w:szCs w:val="24"/>
          <w:lang w:val="ru-MD"/>
        </w:rPr>
        <w:t>).</w:t>
      </w:r>
    </w:p>
    <w:p w:rsidR="00F40961" w:rsidRPr="00A21A6B" w:rsidRDefault="00F40961" w:rsidP="00F40961">
      <w:pPr>
        <w:pStyle w:val="ListParagraph"/>
        <w:spacing w:after="120" w:line="276" w:lineRule="auto"/>
        <w:ind w:left="0"/>
        <w:contextualSpacing w:val="0"/>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6.15</w:t>
      </w:r>
      <w:r w:rsidRPr="00A21A6B">
        <w:rPr>
          <w:rFonts w:asciiTheme="majorHAnsi" w:hAnsiTheme="majorHAnsi" w:cstheme="majorHAnsi"/>
          <w:sz w:val="24"/>
          <w:szCs w:val="24"/>
          <w:lang w:val="ru-MD"/>
        </w:rPr>
        <w:t xml:space="preserve"> </w:t>
      </w:r>
      <w:r w:rsidR="006E3971" w:rsidRPr="00A21A6B">
        <w:rPr>
          <w:rFonts w:asciiTheme="majorHAnsi" w:hAnsiTheme="majorHAnsi" w:cstheme="majorHAnsi"/>
          <w:sz w:val="24"/>
          <w:szCs w:val="24"/>
          <w:lang w:val="ru-MD"/>
        </w:rPr>
        <w:t>Отме</w:t>
      </w:r>
      <w:r w:rsidR="009E78F1" w:rsidRPr="00A21A6B">
        <w:rPr>
          <w:rFonts w:asciiTheme="majorHAnsi" w:hAnsiTheme="majorHAnsi" w:cstheme="majorHAnsi"/>
          <w:sz w:val="24"/>
          <w:szCs w:val="24"/>
          <w:lang w:val="ru-MD"/>
        </w:rPr>
        <w:t>чается</w:t>
      </w:r>
      <w:r w:rsidR="006E3971" w:rsidRPr="00A21A6B">
        <w:rPr>
          <w:rFonts w:asciiTheme="majorHAnsi" w:hAnsiTheme="majorHAnsi" w:cstheme="majorHAnsi"/>
          <w:sz w:val="24"/>
          <w:szCs w:val="24"/>
          <w:lang w:val="ru-MD"/>
        </w:rPr>
        <w:t xml:space="preserve">, что, хотя </w:t>
      </w:r>
      <w:r w:rsidR="009E78F1" w:rsidRPr="00A21A6B">
        <w:rPr>
          <w:rFonts w:asciiTheme="majorHAnsi" w:hAnsiTheme="majorHAnsi" w:cstheme="majorHAnsi"/>
          <w:sz w:val="24"/>
          <w:szCs w:val="24"/>
          <w:lang w:val="ru-MD"/>
        </w:rPr>
        <w:t>А</w:t>
      </w:r>
      <w:r w:rsidR="006E3971" w:rsidRPr="00A21A6B">
        <w:rPr>
          <w:rFonts w:asciiTheme="majorHAnsi" w:hAnsiTheme="majorHAnsi" w:cstheme="majorHAnsi"/>
          <w:sz w:val="24"/>
          <w:szCs w:val="24"/>
          <w:lang w:val="ru-MD"/>
        </w:rPr>
        <w:t>гентств</w:t>
      </w:r>
      <w:r w:rsidR="009E78F1" w:rsidRPr="00A21A6B">
        <w:rPr>
          <w:rFonts w:asciiTheme="majorHAnsi" w:hAnsiTheme="majorHAnsi" w:cstheme="majorHAnsi"/>
          <w:sz w:val="24"/>
          <w:szCs w:val="24"/>
          <w:lang w:val="ru-MD"/>
        </w:rPr>
        <w:t>у</w:t>
      </w:r>
      <w:r w:rsidR="006E3971" w:rsidRPr="00A21A6B">
        <w:rPr>
          <w:rFonts w:asciiTheme="majorHAnsi" w:hAnsiTheme="majorHAnsi" w:cstheme="majorHAnsi"/>
          <w:sz w:val="24"/>
          <w:szCs w:val="24"/>
          <w:lang w:val="ru-MD"/>
        </w:rPr>
        <w:t xml:space="preserve"> </w:t>
      </w:r>
      <w:r w:rsidR="009E78F1" w:rsidRPr="00A21A6B">
        <w:rPr>
          <w:rFonts w:asciiTheme="majorHAnsi" w:hAnsiTheme="majorHAnsi" w:cstheme="majorHAnsi"/>
          <w:sz w:val="24"/>
          <w:szCs w:val="24"/>
          <w:lang w:val="ru-MD"/>
        </w:rPr>
        <w:t>„Moldsilva”</w:t>
      </w:r>
      <w:r w:rsidR="006E3971" w:rsidRPr="00A21A6B">
        <w:rPr>
          <w:rFonts w:asciiTheme="majorHAnsi" w:hAnsiTheme="majorHAnsi" w:cstheme="majorHAnsi"/>
          <w:sz w:val="24"/>
          <w:szCs w:val="24"/>
          <w:lang w:val="ru-MD"/>
        </w:rPr>
        <w:t xml:space="preserve"> еще в 2010 году </w:t>
      </w:r>
      <w:r w:rsidR="009E78F1" w:rsidRPr="00A21A6B">
        <w:rPr>
          <w:rFonts w:asciiTheme="majorHAnsi" w:hAnsiTheme="majorHAnsi" w:cstheme="majorHAnsi"/>
          <w:sz w:val="24"/>
          <w:szCs w:val="24"/>
          <w:lang w:val="ru-MD"/>
        </w:rPr>
        <w:t xml:space="preserve">был </w:t>
      </w:r>
      <w:r w:rsidR="006E3971" w:rsidRPr="00A21A6B">
        <w:rPr>
          <w:rFonts w:asciiTheme="majorHAnsi" w:hAnsiTheme="majorHAnsi" w:cstheme="majorHAnsi"/>
          <w:sz w:val="24"/>
          <w:szCs w:val="24"/>
          <w:lang w:val="ru-MD"/>
        </w:rPr>
        <w:t>измен</w:t>
      </w:r>
      <w:r w:rsidR="009E78F1" w:rsidRPr="00A21A6B">
        <w:rPr>
          <w:rFonts w:asciiTheme="majorHAnsi" w:hAnsiTheme="majorHAnsi" w:cstheme="majorHAnsi"/>
          <w:sz w:val="24"/>
          <w:szCs w:val="24"/>
          <w:lang w:val="ru-MD"/>
        </w:rPr>
        <w:t>ен</w:t>
      </w:r>
      <w:r w:rsidR="006E3971" w:rsidRPr="00A21A6B">
        <w:rPr>
          <w:rFonts w:asciiTheme="majorHAnsi" w:hAnsiTheme="majorHAnsi" w:cstheme="majorHAnsi"/>
          <w:sz w:val="24"/>
          <w:szCs w:val="24"/>
          <w:lang w:val="ru-MD"/>
        </w:rPr>
        <w:t xml:space="preserve"> статус </w:t>
      </w:r>
      <w:r w:rsidR="009E78F1" w:rsidRPr="00A21A6B">
        <w:rPr>
          <w:rFonts w:asciiTheme="majorHAnsi" w:hAnsiTheme="majorHAnsi" w:cstheme="majorHAnsi"/>
          <w:sz w:val="24"/>
          <w:szCs w:val="24"/>
          <w:lang w:val="ru-MD"/>
        </w:rPr>
        <w:t>из</w:t>
      </w:r>
      <w:r w:rsidR="006E3971" w:rsidRPr="00A21A6B">
        <w:rPr>
          <w:rFonts w:asciiTheme="majorHAnsi" w:hAnsiTheme="majorHAnsi" w:cstheme="majorHAnsi"/>
          <w:sz w:val="24"/>
          <w:szCs w:val="24"/>
          <w:lang w:val="ru-MD"/>
        </w:rPr>
        <w:t xml:space="preserve"> </w:t>
      </w:r>
      <w:r w:rsidR="009E78F1" w:rsidRPr="00A21A6B">
        <w:rPr>
          <w:rFonts w:asciiTheme="majorHAnsi" w:hAnsiTheme="majorHAnsi" w:cstheme="majorHAnsi"/>
          <w:sz w:val="24"/>
          <w:szCs w:val="24"/>
          <w:lang w:val="ru-MD"/>
        </w:rPr>
        <w:t>Публич</w:t>
      </w:r>
      <w:r w:rsidR="006E3971" w:rsidRPr="00A21A6B">
        <w:rPr>
          <w:rFonts w:asciiTheme="majorHAnsi" w:hAnsiTheme="majorHAnsi" w:cstheme="majorHAnsi"/>
          <w:sz w:val="24"/>
          <w:szCs w:val="24"/>
          <w:lang w:val="ru-MD"/>
        </w:rPr>
        <w:t>ного учреждения на самоуправлени</w:t>
      </w:r>
      <w:r w:rsidR="009E78F1" w:rsidRPr="00A21A6B">
        <w:rPr>
          <w:rFonts w:asciiTheme="majorHAnsi" w:hAnsiTheme="majorHAnsi" w:cstheme="majorHAnsi"/>
          <w:sz w:val="24"/>
          <w:szCs w:val="24"/>
          <w:lang w:val="ru-MD"/>
        </w:rPr>
        <w:t>и</w:t>
      </w:r>
      <w:r w:rsidR="006E3971" w:rsidRPr="00A21A6B">
        <w:rPr>
          <w:rFonts w:asciiTheme="majorHAnsi" w:hAnsiTheme="majorHAnsi" w:cstheme="majorHAnsi"/>
          <w:sz w:val="24"/>
          <w:szCs w:val="24"/>
          <w:lang w:val="ru-MD"/>
        </w:rPr>
        <w:t xml:space="preserve"> на </w:t>
      </w:r>
      <w:r w:rsidR="009E78F1" w:rsidRPr="00A21A6B">
        <w:rPr>
          <w:rFonts w:asciiTheme="majorHAnsi" w:hAnsiTheme="majorHAnsi" w:cstheme="majorHAnsi"/>
          <w:sz w:val="24"/>
          <w:szCs w:val="24"/>
          <w:lang w:val="ru-MD"/>
        </w:rPr>
        <w:t xml:space="preserve">статус бюджетного </w:t>
      </w:r>
      <w:r w:rsidR="006E3971" w:rsidRPr="00A21A6B">
        <w:rPr>
          <w:rFonts w:asciiTheme="majorHAnsi" w:hAnsiTheme="majorHAnsi" w:cstheme="majorHAnsi"/>
          <w:sz w:val="24"/>
          <w:szCs w:val="24"/>
          <w:lang w:val="ru-MD"/>
        </w:rPr>
        <w:t xml:space="preserve">исполнителя 0rg.1, а при изменении в 2016 году </w:t>
      </w:r>
      <w:r w:rsidR="009E78F1" w:rsidRPr="00A21A6B">
        <w:rPr>
          <w:rFonts w:asciiTheme="majorHAnsi" w:hAnsiTheme="majorHAnsi" w:cstheme="majorHAnsi"/>
          <w:sz w:val="24"/>
          <w:szCs w:val="24"/>
          <w:lang w:val="ru-MD"/>
        </w:rPr>
        <w:t>размера</w:t>
      </w:r>
      <w:r w:rsidR="006E3971" w:rsidRPr="00A21A6B">
        <w:rPr>
          <w:rFonts w:asciiTheme="majorHAnsi" w:hAnsiTheme="majorHAnsi" w:cstheme="majorHAnsi"/>
          <w:sz w:val="24"/>
          <w:szCs w:val="24"/>
          <w:lang w:val="ru-MD"/>
        </w:rPr>
        <w:t xml:space="preserve"> аренд</w:t>
      </w:r>
      <w:r w:rsidR="009E78F1" w:rsidRPr="00A21A6B">
        <w:rPr>
          <w:rFonts w:asciiTheme="majorHAnsi" w:hAnsiTheme="majorHAnsi" w:cstheme="majorHAnsi"/>
          <w:sz w:val="24"/>
          <w:szCs w:val="24"/>
          <w:lang w:val="ru-MD"/>
        </w:rPr>
        <w:t>ной платы за</w:t>
      </w:r>
      <w:r w:rsidR="006E3971" w:rsidRPr="00A21A6B">
        <w:rPr>
          <w:rFonts w:asciiTheme="majorHAnsi" w:hAnsiTheme="majorHAnsi" w:cstheme="majorHAnsi"/>
          <w:sz w:val="24"/>
          <w:szCs w:val="24"/>
          <w:lang w:val="ru-MD"/>
        </w:rPr>
        <w:t xml:space="preserve"> зем</w:t>
      </w:r>
      <w:r w:rsidR="009E78F1" w:rsidRPr="00A21A6B">
        <w:rPr>
          <w:rFonts w:asciiTheme="majorHAnsi" w:hAnsiTheme="majorHAnsi" w:cstheme="majorHAnsi"/>
          <w:sz w:val="24"/>
          <w:szCs w:val="24"/>
          <w:lang w:val="ru-MD"/>
        </w:rPr>
        <w:t>ли</w:t>
      </w:r>
      <w:r w:rsidR="006E3971" w:rsidRPr="00A21A6B">
        <w:rPr>
          <w:rFonts w:asciiTheme="majorHAnsi" w:hAnsiTheme="majorHAnsi" w:cstheme="majorHAnsi"/>
          <w:sz w:val="24"/>
          <w:szCs w:val="24"/>
          <w:lang w:val="ru-MD"/>
        </w:rPr>
        <w:t xml:space="preserve"> лесного фонда, утвержденной</w:t>
      </w:r>
      <w:r w:rsidR="009E78F1" w:rsidRPr="00A21A6B">
        <w:rPr>
          <w:rFonts w:asciiTheme="majorHAnsi" w:hAnsiTheme="majorHAnsi" w:cstheme="majorHAnsi"/>
          <w:sz w:val="24"/>
          <w:szCs w:val="24"/>
          <w:lang w:val="ru-MD"/>
        </w:rPr>
        <w:t xml:space="preserve"> Постановлением Правительства №</w:t>
      </w:r>
      <w:r w:rsidR="006E3971" w:rsidRPr="00A21A6B">
        <w:rPr>
          <w:rFonts w:asciiTheme="majorHAnsi" w:hAnsiTheme="majorHAnsi" w:cstheme="majorHAnsi"/>
          <w:sz w:val="24"/>
          <w:szCs w:val="24"/>
          <w:lang w:val="ru-MD"/>
        </w:rPr>
        <w:t>187/2008</w:t>
      </w:r>
      <w:r w:rsidR="009E78F1" w:rsidRPr="00A21A6B">
        <w:rPr>
          <w:rFonts w:asciiTheme="majorHAnsi" w:hAnsiTheme="majorHAnsi" w:cstheme="majorHAnsi"/>
          <w:sz w:val="24"/>
          <w:szCs w:val="24"/>
          <w:lang w:val="ru-MD"/>
        </w:rPr>
        <w:t>,</w:t>
      </w:r>
      <w:r w:rsidR="006E3971" w:rsidRPr="00A21A6B">
        <w:rPr>
          <w:rFonts w:asciiTheme="majorHAnsi" w:hAnsiTheme="majorHAnsi" w:cstheme="majorHAnsi"/>
          <w:sz w:val="24"/>
          <w:szCs w:val="24"/>
          <w:lang w:val="ru-MD"/>
        </w:rPr>
        <w:t xml:space="preserve"> это</w:t>
      </w:r>
      <w:r w:rsidR="009E78F1" w:rsidRPr="00A21A6B">
        <w:rPr>
          <w:rFonts w:asciiTheme="majorHAnsi" w:hAnsiTheme="majorHAnsi" w:cstheme="majorHAnsi"/>
          <w:sz w:val="24"/>
          <w:szCs w:val="24"/>
          <w:lang w:val="ru-MD"/>
        </w:rPr>
        <w:t>т</w:t>
      </w:r>
      <w:r w:rsidR="006E3971" w:rsidRPr="00A21A6B">
        <w:rPr>
          <w:rFonts w:asciiTheme="majorHAnsi" w:hAnsiTheme="majorHAnsi" w:cstheme="majorHAnsi"/>
          <w:sz w:val="24"/>
          <w:szCs w:val="24"/>
          <w:lang w:val="ru-MD"/>
        </w:rPr>
        <w:t xml:space="preserve"> факт не был учтен, </w:t>
      </w:r>
      <w:r w:rsidR="009E78F1" w:rsidRPr="00A21A6B">
        <w:rPr>
          <w:rFonts w:asciiTheme="majorHAnsi" w:hAnsiTheme="majorHAnsi" w:cstheme="majorHAnsi"/>
          <w:sz w:val="24"/>
          <w:szCs w:val="24"/>
          <w:lang w:val="ru-MD"/>
        </w:rPr>
        <w:t xml:space="preserve">а арендная плата продолжала </w:t>
      </w:r>
      <w:r w:rsidR="006E3971" w:rsidRPr="00A21A6B">
        <w:rPr>
          <w:rFonts w:asciiTheme="majorHAnsi" w:hAnsiTheme="majorHAnsi" w:cstheme="majorHAnsi"/>
          <w:sz w:val="24"/>
          <w:szCs w:val="24"/>
          <w:lang w:val="ru-MD"/>
        </w:rPr>
        <w:t>утвержд</w:t>
      </w:r>
      <w:r w:rsidR="009E78F1" w:rsidRPr="00A21A6B">
        <w:rPr>
          <w:rFonts w:asciiTheme="majorHAnsi" w:hAnsiTheme="majorHAnsi" w:cstheme="majorHAnsi"/>
          <w:sz w:val="24"/>
          <w:szCs w:val="24"/>
          <w:lang w:val="ru-MD"/>
        </w:rPr>
        <w:t>аться</w:t>
      </w:r>
      <w:r w:rsidR="006E3971" w:rsidRPr="00A21A6B">
        <w:rPr>
          <w:rFonts w:asciiTheme="majorHAnsi" w:hAnsiTheme="majorHAnsi" w:cstheme="majorHAnsi"/>
          <w:sz w:val="24"/>
          <w:szCs w:val="24"/>
          <w:lang w:val="ru-MD"/>
        </w:rPr>
        <w:t xml:space="preserve"> с НДС (+20%), хотя бюджетные учреждения </w:t>
      </w:r>
      <w:r w:rsidR="009E78F1" w:rsidRPr="00A21A6B">
        <w:rPr>
          <w:rFonts w:asciiTheme="majorHAnsi" w:hAnsiTheme="majorHAnsi" w:cstheme="majorHAnsi"/>
          <w:sz w:val="24"/>
          <w:szCs w:val="24"/>
          <w:lang w:val="ru-MD"/>
        </w:rPr>
        <w:t xml:space="preserve">НДС </w:t>
      </w:r>
      <w:r w:rsidR="006E3971" w:rsidRPr="00A21A6B">
        <w:rPr>
          <w:rFonts w:asciiTheme="majorHAnsi" w:hAnsiTheme="majorHAnsi" w:cstheme="majorHAnsi"/>
          <w:sz w:val="24"/>
          <w:szCs w:val="24"/>
          <w:lang w:val="ru-MD"/>
        </w:rPr>
        <w:t xml:space="preserve">не платят. </w:t>
      </w:r>
      <w:r w:rsidR="009E78F1" w:rsidRPr="00A21A6B">
        <w:rPr>
          <w:rFonts w:asciiTheme="majorHAnsi" w:hAnsiTheme="majorHAnsi" w:cstheme="majorHAnsi"/>
          <w:sz w:val="24"/>
          <w:szCs w:val="24"/>
          <w:lang w:val="ru-MD"/>
        </w:rPr>
        <w:t>Эта</w:t>
      </w:r>
      <w:r w:rsidR="006E3971" w:rsidRPr="00A21A6B">
        <w:rPr>
          <w:rFonts w:asciiTheme="majorHAnsi" w:hAnsiTheme="majorHAnsi" w:cstheme="majorHAnsi"/>
          <w:sz w:val="24"/>
          <w:szCs w:val="24"/>
          <w:lang w:val="ru-MD"/>
        </w:rPr>
        <w:t xml:space="preserve"> ситуация </w:t>
      </w:r>
      <w:r w:rsidR="009E78F1" w:rsidRPr="00A21A6B">
        <w:rPr>
          <w:rFonts w:asciiTheme="majorHAnsi" w:hAnsiTheme="majorHAnsi" w:cstheme="majorHAnsi"/>
          <w:sz w:val="24"/>
          <w:szCs w:val="24"/>
          <w:lang w:val="ru-MD"/>
        </w:rPr>
        <w:t>приве</w:t>
      </w:r>
      <w:r w:rsidR="006E3971" w:rsidRPr="00A21A6B">
        <w:rPr>
          <w:rFonts w:asciiTheme="majorHAnsi" w:hAnsiTheme="majorHAnsi" w:cstheme="majorHAnsi"/>
          <w:sz w:val="24"/>
          <w:szCs w:val="24"/>
          <w:lang w:val="ru-MD"/>
        </w:rPr>
        <w:t xml:space="preserve">ла </w:t>
      </w:r>
      <w:r w:rsidR="009E78F1" w:rsidRPr="00A21A6B">
        <w:rPr>
          <w:rFonts w:asciiTheme="majorHAnsi" w:hAnsiTheme="majorHAnsi" w:cstheme="majorHAnsi"/>
          <w:sz w:val="24"/>
          <w:szCs w:val="24"/>
          <w:lang w:val="ru-MD"/>
        </w:rPr>
        <w:t xml:space="preserve">к </w:t>
      </w:r>
      <w:r w:rsidR="006E3971" w:rsidRPr="00A21A6B">
        <w:rPr>
          <w:rFonts w:asciiTheme="majorHAnsi" w:hAnsiTheme="majorHAnsi" w:cstheme="majorHAnsi"/>
          <w:sz w:val="24"/>
          <w:szCs w:val="24"/>
          <w:lang w:val="ru-MD"/>
        </w:rPr>
        <w:t>ошибочн</w:t>
      </w:r>
      <w:r w:rsidR="009E78F1" w:rsidRPr="00A21A6B">
        <w:rPr>
          <w:rFonts w:asciiTheme="majorHAnsi" w:hAnsiTheme="majorHAnsi" w:cstheme="majorHAnsi"/>
          <w:sz w:val="24"/>
          <w:szCs w:val="24"/>
          <w:lang w:val="ru-MD"/>
        </w:rPr>
        <w:t>ой</w:t>
      </w:r>
      <w:r w:rsidR="006E3971" w:rsidRPr="00A21A6B">
        <w:rPr>
          <w:rFonts w:asciiTheme="majorHAnsi" w:hAnsiTheme="majorHAnsi" w:cstheme="majorHAnsi"/>
          <w:sz w:val="24"/>
          <w:szCs w:val="24"/>
          <w:lang w:val="ru-MD"/>
        </w:rPr>
        <w:t xml:space="preserve"> классификаци</w:t>
      </w:r>
      <w:r w:rsidR="009E78F1" w:rsidRPr="00A21A6B">
        <w:rPr>
          <w:rFonts w:asciiTheme="majorHAnsi" w:hAnsiTheme="majorHAnsi" w:cstheme="majorHAnsi"/>
          <w:sz w:val="24"/>
          <w:szCs w:val="24"/>
          <w:lang w:val="ru-MD"/>
        </w:rPr>
        <w:t>и</w:t>
      </w:r>
      <w:r w:rsidR="006E3971" w:rsidRPr="00A21A6B">
        <w:rPr>
          <w:rFonts w:asciiTheme="majorHAnsi" w:hAnsiTheme="majorHAnsi" w:cstheme="majorHAnsi"/>
          <w:sz w:val="24"/>
          <w:szCs w:val="24"/>
          <w:lang w:val="ru-MD"/>
        </w:rPr>
        <w:t xml:space="preserve"> поступлений в гос</w:t>
      </w:r>
      <w:r w:rsidR="009E78F1" w:rsidRPr="00A21A6B">
        <w:rPr>
          <w:rFonts w:asciiTheme="majorHAnsi" w:hAnsiTheme="majorHAnsi" w:cstheme="majorHAnsi"/>
          <w:sz w:val="24"/>
          <w:szCs w:val="24"/>
          <w:lang w:val="ru-MD"/>
        </w:rPr>
        <w:t xml:space="preserve">ударственный </w:t>
      </w:r>
      <w:r w:rsidR="006E3971" w:rsidRPr="00A21A6B">
        <w:rPr>
          <w:rFonts w:asciiTheme="majorHAnsi" w:hAnsiTheme="majorHAnsi" w:cstheme="majorHAnsi"/>
          <w:sz w:val="24"/>
          <w:szCs w:val="24"/>
          <w:lang w:val="ru-MD"/>
        </w:rPr>
        <w:t xml:space="preserve">бюджет, при этом НДС взимался в качестве </w:t>
      </w:r>
      <w:r w:rsidR="009E78F1" w:rsidRPr="00A21A6B">
        <w:rPr>
          <w:rFonts w:asciiTheme="majorHAnsi" w:hAnsiTheme="majorHAnsi" w:cstheme="majorHAnsi"/>
          <w:sz w:val="24"/>
          <w:szCs w:val="24"/>
          <w:lang w:val="ru-MD"/>
        </w:rPr>
        <w:t>платежа за</w:t>
      </w:r>
      <w:r w:rsidR="006E3971" w:rsidRPr="00A21A6B">
        <w:rPr>
          <w:rFonts w:asciiTheme="majorHAnsi" w:hAnsiTheme="majorHAnsi" w:cstheme="majorHAnsi"/>
          <w:sz w:val="24"/>
          <w:szCs w:val="24"/>
          <w:lang w:val="ru-MD"/>
        </w:rPr>
        <w:t xml:space="preserve"> аренд</w:t>
      </w:r>
      <w:r w:rsidR="009E78F1" w:rsidRPr="00A21A6B">
        <w:rPr>
          <w:rFonts w:asciiTheme="majorHAnsi" w:hAnsiTheme="majorHAnsi" w:cstheme="majorHAnsi"/>
          <w:sz w:val="24"/>
          <w:szCs w:val="24"/>
          <w:lang w:val="ru-MD"/>
        </w:rPr>
        <w:t>у</w:t>
      </w:r>
      <w:r w:rsidR="006E3971" w:rsidRPr="00A21A6B">
        <w:rPr>
          <w:rFonts w:asciiTheme="majorHAnsi" w:hAnsiTheme="majorHAnsi" w:cstheme="majorHAnsi"/>
          <w:sz w:val="24"/>
          <w:szCs w:val="24"/>
          <w:lang w:val="ru-MD"/>
        </w:rPr>
        <w:t xml:space="preserve"> зем</w:t>
      </w:r>
      <w:r w:rsidR="009E78F1" w:rsidRPr="00A21A6B">
        <w:rPr>
          <w:rFonts w:asciiTheme="majorHAnsi" w:hAnsiTheme="majorHAnsi" w:cstheme="majorHAnsi"/>
          <w:sz w:val="24"/>
          <w:szCs w:val="24"/>
          <w:lang w:val="ru-MD"/>
        </w:rPr>
        <w:t>е</w:t>
      </w:r>
      <w:r w:rsidR="006E3971" w:rsidRPr="00A21A6B">
        <w:rPr>
          <w:rFonts w:asciiTheme="majorHAnsi" w:hAnsiTheme="majorHAnsi" w:cstheme="majorHAnsi"/>
          <w:sz w:val="24"/>
          <w:szCs w:val="24"/>
          <w:lang w:val="ru-MD"/>
        </w:rPr>
        <w:t>л</w:t>
      </w:r>
      <w:r w:rsidR="009E78F1" w:rsidRPr="00A21A6B">
        <w:rPr>
          <w:rFonts w:asciiTheme="majorHAnsi" w:hAnsiTheme="majorHAnsi" w:cstheme="majorHAnsi"/>
          <w:sz w:val="24"/>
          <w:szCs w:val="24"/>
          <w:lang w:val="ru-MD"/>
        </w:rPr>
        <w:t>ь</w:t>
      </w:r>
      <w:r w:rsidR="006E3971" w:rsidRPr="00A21A6B">
        <w:rPr>
          <w:rFonts w:asciiTheme="majorHAnsi" w:hAnsiTheme="majorHAnsi" w:cstheme="majorHAnsi"/>
          <w:sz w:val="24"/>
          <w:szCs w:val="24"/>
          <w:lang w:val="ru-MD"/>
        </w:rPr>
        <w:t xml:space="preserve"> лесного фонда, а не </w:t>
      </w:r>
      <w:r w:rsidR="009E78F1" w:rsidRPr="00A21A6B">
        <w:rPr>
          <w:rFonts w:asciiTheme="majorHAnsi" w:hAnsiTheme="majorHAnsi" w:cstheme="majorHAnsi"/>
          <w:sz w:val="24"/>
          <w:szCs w:val="24"/>
          <w:lang w:val="ru-MD"/>
        </w:rPr>
        <w:t>по</w:t>
      </w:r>
      <w:r w:rsidR="006E3971" w:rsidRPr="00A21A6B">
        <w:rPr>
          <w:rFonts w:asciiTheme="majorHAnsi" w:hAnsiTheme="majorHAnsi" w:cstheme="majorHAnsi"/>
          <w:sz w:val="24"/>
          <w:szCs w:val="24"/>
          <w:lang w:val="ru-MD"/>
        </w:rPr>
        <w:t xml:space="preserve"> </w:t>
      </w:r>
      <w:r w:rsidR="009E78F1" w:rsidRPr="00A21A6B">
        <w:rPr>
          <w:rFonts w:asciiTheme="majorHAnsi" w:hAnsiTheme="majorHAnsi" w:cstheme="majorHAnsi"/>
          <w:sz w:val="24"/>
          <w:szCs w:val="24"/>
          <w:lang w:val="ru-MD"/>
        </w:rPr>
        <w:t>ECO</w:t>
      </w:r>
      <w:r w:rsidR="006E3971" w:rsidRPr="00A21A6B">
        <w:rPr>
          <w:rFonts w:asciiTheme="majorHAnsi" w:hAnsiTheme="majorHAnsi" w:cstheme="majorHAnsi"/>
          <w:sz w:val="24"/>
          <w:szCs w:val="24"/>
          <w:lang w:val="ru-MD"/>
        </w:rPr>
        <w:t xml:space="preserve">, предназначенной для НДС. Чтобы исправить сложившуюся ситуацию, необходимо внести поправки </w:t>
      </w:r>
      <w:r w:rsidR="009E78F1" w:rsidRPr="00A21A6B">
        <w:rPr>
          <w:rFonts w:asciiTheme="majorHAnsi" w:hAnsiTheme="majorHAnsi" w:cstheme="majorHAnsi"/>
          <w:sz w:val="24"/>
          <w:szCs w:val="24"/>
          <w:lang w:val="ru-MD"/>
        </w:rPr>
        <w:t>в Постановление Правительства №</w:t>
      </w:r>
      <w:r w:rsidR="006E3971" w:rsidRPr="00A21A6B">
        <w:rPr>
          <w:rFonts w:asciiTheme="majorHAnsi" w:hAnsiTheme="majorHAnsi" w:cstheme="majorHAnsi"/>
          <w:sz w:val="24"/>
          <w:szCs w:val="24"/>
          <w:lang w:val="ru-MD"/>
        </w:rPr>
        <w:t>187/2008, с целью пересмотра размера аренд</w:t>
      </w:r>
      <w:r w:rsidR="009E78F1" w:rsidRPr="00A21A6B">
        <w:rPr>
          <w:rFonts w:asciiTheme="majorHAnsi" w:hAnsiTheme="majorHAnsi" w:cstheme="majorHAnsi"/>
          <w:sz w:val="24"/>
          <w:szCs w:val="24"/>
          <w:lang w:val="ru-MD"/>
        </w:rPr>
        <w:t>ной платы</w:t>
      </w:r>
      <w:r w:rsidR="006E3971" w:rsidRPr="00A21A6B">
        <w:rPr>
          <w:rFonts w:asciiTheme="majorHAnsi" w:hAnsiTheme="majorHAnsi" w:cstheme="majorHAnsi"/>
          <w:sz w:val="24"/>
          <w:szCs w:val="24"/>
          <w:lang w:val="ru-MD"/>
        </w:rPr>
        <w:t>, котор</w:t>
      </w:r>
      <w:r w:rsidR="009E78F1" w:rsidRPr="00A21A6B">
        <w:rPr>
          <w:rFonts w:asciiTheme="majorHAnsi" w:hAnsiTheme="majorHAnsi" w:cstheme="majorHAnsi"/>
          <w:sz w:val="24"/>
          <w:szCs w:val="24"/>
          <w:lang w:val="ru-MD"/>
        </w:rPr>
        <w:t>ая</w:t>
      </w:r>
      <w:r w:rsidR="006E3971" w:rsidRPr="00A21A6B">
        <w:rPr>
          <w:rFonts w:asciiTheme="majorHAnsi" w:hAnsiTheme="majorHAnsi" w:cstheme="majorHAnsi"/>
          <w:sz w:val="24"/>
          <w:szCs w:val="24"/>
          <w:lang w:val="ru-MD"/>
        </w:rPr>
        <w:t xml:space="preserve"> утвержден</w:t>
      </w:r>
      <w:r w:rsidR="009E78F1" w:rsidRPr="00A21A6B">
        <w:rPr>
          <w:rFonts w:asciiTheme="majorHAnsi" w:hAnsiTheme="majorHAnsi" w:cstheme="majorHAnsi"/>
          <w:sz w:val="24"/>
          <w:szCs w:val="24"/>
          <w:lang w:val="ru-MD"/>
        </w:rPr>
        <w:t>а</w:t>
      </w:r>
      <w:r w:rsidR="006E3971" w:rsidRPr="00A21A6B">
        <w:rPr>
          <w:rFonts w:asciiTheme="majorHAnsi" w:hAnsiTheme="majorHAnsi" w:cstheme="majorHAnsi"/>
          <w:sz w:val="24"/>
          <w:szCs w:val="24"/>
          <w:lang w:val="ru-MD"/>
        </w:rPr>
        <w:t xml:space="preserve"> в фиксированном размере, а также публикации расчетов, связанных с этим размером, в качестве неотъемлемой части указанного </w:t>
      </w:r>
      <w:r w:rsidR="009E78F1" w:rsidRPr="00A21A6B">
        <w:rPr>
          <w:rFonts w:asciiTheme="majorHAnsi" w:hAnsiTheme="majorHAnsi" w:cstheme="majorHAnsi"/>
          <w:sz w:val="24"/>
          <w:szCs w:val="24"/>
          <w:lang w:val="ru-MD"/>
        </w:rPr>
        <w:t>Постановления П</w:t>
      </w:r>
      <w:r w:rsidR="006E3971" w:rsidRPr="00A21A6B">
        <w:rPr>
          <w:rFonts w:asciiTheme="majorHAnsi" w:hAnsiTheme="majorHAnsi" w:cstheme="majorHAnsi"/>
          <w:sz w:val="24"/>
          <w:szCs w:val="24"/>
          <w:lang w:val="ru-MD"/>
        </w:rPr>
        <w:t xml:space="preserve">равительства. </w:t>
      </w:r>
      <w:r w:rsidR="006E3971" w:rsidRPr="00A21A6B">
        <w:rPr>
          <w:rFonts w:asciiTheme="majorHAnsi" w:hAnsiTheme="majorHAnsi" w:cstheme="majorHAnsi"/>
          <w:i/>
          <w:sz w:val="24"/>
          <w:szCs w:val="24"/>
          <w:lang w:val="ru-MD"/>
        </w:rPr>
        <w:t xml:space="preserve">Подробности см. </w:t>
      </w:r>
      <w:r w:rsidR="00806B11" w:rsidRPr="00A21A6B">
        <w:rPr>
          <w:rFonts w:asciiTheme="majorHAnsi" w:hAnsiTheme="majorHAnsi" w:cstheme="majorHAnsi"/>
          <w:i/>
          <w:sz w:val="24"/>
          <w:szCs w:val="24"/>
          <w:lang w:val="ru-MD"/>
        </w:rPr>
        <w:t>в</w:t>
      </w:r>
      <w:r w:rsidR="00837672" w:rsidRPr="00A21A6B">
        <w:rPr>
          <w:rFonts w:asciiTheme="majorHAnsi" w:hAnsiTheme="majorHAnsi" w:cstheme="majorHAnsi"/>
          <w:i/>
          <w:sz w:val="24"/>
          <w:szCs w:val="24"/>
          <w:lang w:val="ru-MD"/>
        </w:rPr>
        <w:t xml:space="preserve"> </w:t>
      </w:r>
      <w:r w:rsidR="006E3971" w:rsidRPr="00A21A6B">
        <w:rPr>
          <w:rFonts w:asciiTheme="majorHAnsi" w:hAnsiTheme="majorHAnsi" w:cstheme="majorHAnsi"/>
          <w:i/>
          <w:sz w:val="24"/>
          <w:szCs w:val="24"/>
          <w:lang w:val="ru-MD"/>
        </w:rPr>
        <w:t xml:space="preserve">Приложении №4 к настоящему </w:t>
      </w:r>
      <w:r w:rsidR="00837672" w:rsidRPr="00A21A6B">
        <w:rPr>
          <w:rFonts w:asciiTheme="majorHAnsi" w:hAnsiTheme="majorHAnsi" w:cstheme="majorHAnsi"/>
          <w:i/>
          <w:sz w:val="24"/>
          <w:szCs w:val="24"/>
          <w:lang w:val="ru-MD"/>
        </w:rPr>
        <w:t>О</w:t>
      </w:r>
      <w:r w:rsidR="006E3971" w:rsidRPr="00A21A6B">
        <w:rPr>
          <w:rFonts w:asciiTheme="majorHAnsi" w:hAnsiTheme="majorHAnsi" w:cstheme="majorHAnsi"/>
          <w:i/>
          <w:sz w:val="24"/>
          <w:szCs w:val="24"/>
          <w:lang w:val="ru-MD"/>
        </w:rPr>
        <w:t xml:space="preserve">тчету </w:t>
      </w:r>
      <w:r w:rsidR="00837672" w:rsidRPr="00A21A6B">
        <w:rPr>
          <w:rFonts w:asciiTheme="majorHAnsi" w:hAnsiTheme="majorHAnsi" w:cstheme="majorHAnsi"/>
          <w:i/>
          <w:sz w:val="24"/>
          <w:szCs w:val="24"/>
          <w:lang w:val="ru-MD"/>
        </w:rPr>
        <w:t>аудита</w:t>
      </w:r>
      <w:r w:rsidR="00837672" w:rsidRPr="00A21A6B">
        <w:rPr>
          <w:rFonts w:asciiTheme="majorHAnsi" w:hAnsiTheme="majorHAnsi" w:cstheme="majorHAnsi"/>
          <w:sz w:val="24"/>
          <w:szCs w:val="24"/>
          <w:lang w:val="ru-MD"/>
        </w:rPr>
        <w:t xml:space="preserve">. </w:t>
      </w:r>
    </w:p>
    <w:p w:rsidR="004C6E3A" w:rsidRPr="00A21A6B" w:rsidRDefault="004C6E3A" w:rsidP="00F40961">
      <w:pPr>
        <w:pStyle w:val="ListParagraph"/>
        <w:spacing w:after="120" w:line="276" w:lineRule="auto"/>
        <w:ind w:left="0"/>
        <w:contextualSpacing w:val="0"/>
        <w:jc w:val="both"/>
        <w:rPr>
          <w:rFonts w:asciiTheme="majorHAnsi" w:hAnsiTheme="majorHAnsi" w:cstheme="majorHAnsi"/>
          <w:i/>
          <w:sz w:val="24"/>
          <w:szCs w:val="24"/>
          <w:lang w:val="ru-MD"/>
        </w:rPr>
      </w:pPr>
    </w:p>
    <w:p w:rsidR="00F40961" w:rsidRPr="00A21A6B" w:rsidRDefault="000F0802" w:rsidP="00475D6C">
      <w:pPr>
        <w:pStyle w:val="ListParagraph"/>
        <w:numPr>
          <w:ilvl w:val="0"/>
          <w:numId w:val="1"/>
        </w:numPr>
        <w:tabs>
          <w:tab w:val="center" w:pos="426"/>
          <w:tab w:val="left" w:pos="720"/>
        </w:tabs>
        <w:autoSpaceDE w:val="0"/>
        <w:autoSpaceDN w:val="0"/>
        <w:adjustRightInd w:val="0"/>
        <w:spacing w:beforeLines="60" w:before="144" w:beforeAutospacing="1" w:line="276" w:lineRule="auto"/>
        <w:ind w:left="0" w:firstLine="270"/>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 xml:space="preserve"> ОТВЕТСТВЕННОСТЬ РУКОВОДСТВА ЗА СОСТАВЛЕНИЕ ФИНАНСОВОЙ ОТЧЕТНОСТИ</w:t>
      </w:r>
    </w:p>
    <w:p w:rsidR="00F40961" w:rsidRPr="00A21A6B" w:rsidRDefault="003E064F" w:rsidP="00475D6C">
      <w:pPr>
        <w:spacing w:line="276" w:lineRule="auto"/>
        <w:jc w:val="both"/>
        <w:rPr>
          <w:rFonts w:asciiTheme="majorHAnsi" w:hAnsiTheme="majorHAnsi" w:cstheme="majorHAnsi"/>
          <w:color w:val="000000"/>
          <w:sz w:val="24"/>
          <w:szCs w:val="24"/>
          <w:lang w:val="ru-MD"/>
        </w:rPr>
      </w:pPr>
      <w:r w:rsidRPr="00A21A6B">
        <w:rPr>
          <w:rFonts w:asciiTheme="majorHAnsi" w:hAnsiTheme="majorHAnsi" w:cstheme="majorHAnsi"/>
          <w:color w:val="000000"/>
          <w:sz w:val="24"/>
          <w:szCs w:val="24"/>
          <w:lang w:val="ru-MD"/>
        </w:rPr>
        <w:t>Министр сельского хозяйства, регионального развития и окружающей среды</w:t>
      </w:r>
      <w:r w:rsidR="000F0802" w:rsidRPr="00A21A6B">
        <w:rPr>
          <w:rFonts w:asciiTheme="majorHAnsi" w:hAnsiTheme="majorHAnsi" w:cstheme="majorHAnsi"/>
          <w:color w:val="000000"/>
          <w:sz w:val="24"/>
          <w:szCs w:val="24"/>
          <w:lang w:val="ru-MD"/>
        </w:rPr>
        <w:t xml:space="preserve">, в качестве руководителя центрального отраслевого органа публичного управления, несет ответственность за составление, </w:t>
      </w:r>
      <w:r w:rsidR="007F6C5C" w:rsidRPr="00A21A6B">
        <w:rPr>
          <w:rFonts w:asciiTheme="majorHAnsi" w:hAnsiTheme="majorHAnsi" w:cstheme="majorHAnsi"/>
          <w:color w:val="000000"/>
          <w:sz w:val="24"/>
          <w:szCs w:val="24"/>
          <w:lang w:val="ru-MD"/>
        </w:rPr>
        <w:t>подписание</w:t>
      </w:r>
      <w:r w:rsidR="000F0802" w:rsidRPr="00A21A6B">
        <w:rPr>
          <w:rFonts w:asciiTheme="majorHAnsi" w:hAnsiTheme="majorHAnsi" w:cstheme="majorHAnsi"/>
          <w:color w:val="000000"/>
          <w:sz w:val="24"/>
          <w:szCs w:val="24"/>
          <w:lang w:val="ru-MD"/>
        </w:rPr>
        <w:t xml:space="preserve"> и достоверное представление консолидированной финансовой отчетности</w:t>
      </w:r>
      <w:r w:rsidR="000F0802" w:rsidRPr="00A21A6B">
        <w:rPr>
          <w:rFonts w:asciiTheme="majorHAnsi" w:hAnsiTheme="majorHAnsi" w:cstheme="majorHAnsi"/>
          <w:color w:val="000000"/>
          <w:sz w:val="24"/>
          <w:szCs w:val="24"/>
          <w:vertAlign w:val="superscript"/>
          <w:lang w:val="ru-MD"/>
        </w:rPr>
        <w:footnoteReference w:id="33"/>
      </w:r>
      <w:r w:rsidR="000F0802" w:rsidRPr="00A21A6B">
        <w:rPr>
          <w:rFonts w:asciiTheme="majorHAnsi" w:hAnsiTheme="majorHAnsi" w:cstheme="majorHAnsi"/>
          <w:color w:val="000000"/>
          <w:sz w:val="24"/>
          <w:szCs w:val="24"/>
          <w:lang w:val="ru-MD"/>
        </w:rPr>
        <w:t>, в соответствии с применяемой базой по финансовой отчетности</w:t>
      </w:r>
      <w:r w:rsidR="000F0802" w:rsidRPr="00A21A6B">
        <w:rPr>
          <w:rFonts w:asciiTheme="majorHAnsi" w:hAnsiTheme="majorHAnsi" w:cstheme="majorHAnsi"/>
          <w:color w:val="000000"/>
          <w:sz w:val="24"/>
          <w:szCs w:val="24"/>
          <w:vertAlign w:val="superscript"/>
          <w:lang w:val="ru-MD"/>
        </w:rPr>
        <w:footnoteReference w:id="34"/>
      </w:r>
      <w:r w:rsidR="007F6C5C" w:rsidRPr="00A21A6B">
        <w:rPr>
          <w:rFonts w:asciiTheme="majorHAnsi" w:hAnsiTheme="majorHAnsi" w:cstheme="majorHAnsi"/>
          <w:color w:val="000000"/>
          <w:sz w:val="24"/>
          <w:szCs w:val="24"/>
          <w:lang w:val="ru-MD"/>
        </w:rPr>
        <w:t>, а т</w:t>
      </w:r>
      <w:r w:rsidR="000F0802" w:rsidRPr="00A21A6B">
        <w:rPr>
          <w:rFonts w:asciiTheme="majorHAnsi" w:hAnsiTheme="majorHAnsi" w:cstheme="majorHAnsi"/>
          <w:color w:val="000000"/>
          <w:sz w:val="24"/>
          <w:szCs w:val="24"/>
          <w:lang w:val="ru-MD"/>
        </w:rPr>
        <w:t>акже за организацию системы внутреннего управленческого контроля, обеспечивающего эффективную организацию экономической деятельности в целом, в том числе путем строгого соблюдения целостности активов</w:t>
      </w:r>
      <w:r w:rsidR="007F6C5C" w:rsidRPr="00A21A6B">
        <w:rPr>
          <w:rFonts w:asciiTheme="majorHAnsi" w:hAnsiTheme="majorHAnsi" w:cstheme="majorHAnsi"/>
          <w:color w:val="000000"/>
          <w:sz w:val="24"/>
          <w:szCs w:val="24"/>
          <w:lang w:val="ru-MD"/>
        </w:rPr>
        <w:t>,</w:t>
      </w:r>
      <w:r w:rsidR="007F6C5C" w:rsidRPr="00A21A6B">
        <w:rPr>
          <w:lang w:val="ru-MD"/>
        </w:rPr>
        <w:t xml:space="preserve"> </w:t>
      </w:r>
      <w:r w:rsidR="007F6C5C" w:rsidRPr="00A21A6B">
        <w:rPr>
          <w:rFonts w:asciiTheme="majorHAnsi" w:hAnsiTheme="majorHAnsi" w:cstheme="majorHAnsi"/>
          <w:color w:val="000000"/>
          <w:sz w:val="24"/>
          <w:szCs w:val="24"/>
          <w:lang w:val="ru-MD"/>
        </w:rPr>
        <w:t>предотвращение и выявление причин мошенничества и/или ошибок, точность и полноту бухгалтерских записей, а также за своевременную подготовку достоверной финансовой информации</w:t>
      </w:r>
      <w:r w:rsidR="00F40961" w:rsidRPr="00A21A6B">
        <w:rPr>
          <w:rFonts w:asciiTheme="majorHAnsi" w:hAnsiTheme="majorHAnsi" w:cstheme="majorHAnsi"/>
          <w:color w:val="000000"/>
          <w:sz w:val="24"/>
          <w:szCs w:val="24"/>
          <w:lang w:val="ru-MD"/>
        </w:rPr>
        <w:t>.</w:t>
      </w:r>
    </w:p>
    <w:p w:rsidR="00F40961" w:rsidRPr="00A21A6B" w:rsidRDefault="000F0802" w:rsidP="004C6E3A">
      <w:pPr>
        <w:pStyle w:val="ListParagraph"/>
        <w:numPr>
          <w:ilvl w:val="0"/>
          <w:numId w:val="1"/>
        </w:numPr>
        <w:tabs>
          <w:tab w:val="center" w:pos="426"/>
        </w:tabs>
        <w:autoSpaceDE w:val="0"/>
        <w:autoSpaceDN w:val="0"/>
        <w:adjustRightInd w:val="0"/>
        <w:spacing w:beforeLines="60" w:before="144" w:line="276" w:lineRule="auto"/>
        <w:ind w:hanging="218"/>
        <w:jc w:val="both"/>
        <w:rPr>
          <w:rFonts w:asciiTheme="majorHAnsi" w:hAnsiTheme="majorHAnsi" w:cstheme="majorHAnsi"/>
          <w:b/>
          <w:color w:val="000000" w:themeColor="text1"/>
          <w:sz w:val="24"/>
          <w:szCs w:val="24"/>
          <w:lang w:val="ru-MD"/>
        </w:rPr>
      </w:pPr>
      <w:r w:rsidRPr="00A21A6B">
        <w:rPr>
          <w:rFonts w:asciiTheme="majorHAnsi" w:hAnsiTheme="majorHAnsi" w:cstheme="majorHAnsi"/>
          <w:b/>
          <w:color w:val="000000" w:themeColor="text1"/>
          <w:sz w:val="24"/>
          <w:szCs w:val="24"/>
          <w:lang w:val="ru-MD"/>
        </w:rPr>
        <w:t xml:space="preserve">ОТВЕТСТВЕННОСТЬ АУДИТОРА В РАМКАХ АУДИТА ФИНАНСОВОЙ ОТЧЕТНОСТИ </w:t>
      </w:r>
    </w:p>
    <w:p w:rsidR="00F40961" w:rsidRPr="00A21A6B" w:rsidRDefault="000F0802" w:rsidP="00355CA5">
      <w:pPr>
        <w:autoSpaceDE w:val="0"/>
        <w:autoSpaceDN w:val="0"/>
        <w:adjustRightInd w:val="0"/>
        <w:spacing w:after="60" w:line="276" w:lineRule="auto"/>
        <w:ind w:right="-24"/>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w:t>
      </w:r>
      <w:r w:rsidR="0075380B" w:rsidRPr="00A21A6B">
        <w:rPr>
          <w:rFonts w:asciiTheme="majorHAnsi" w:hAnsiTheme="majorHAnsi" w:cstheme="majorHAnsi"/>
          <w:sz w:val="24"/>
          <w:szCs w:val="24"/>
          <w:lang w:val="ru-MD"/>
        </w:rPr>
        <w:t xml:space="preserve">консолидированная </w:t>
      </w:r>
      <w:r w:rsidRPr="00A21A6B">
        <w:rPr>
          <w:rFonts w:asciiTheme="majorHAnsi" w:hAnsiTheme="majorHAnsi" w:cstheme="majorHAnsi"/>
          <w:sz w:val="24"/>
          <w:szCs w:val="24"/>
          <w:lang w:val="ru-MD"/>
        </w:rPr>
        <w:t>финансовая отчетность не содержит существенных искажений, обусловленных мошенничеством или ошибками, и в составлении соответствующего мнения</w:t>
      </w:r>
      <w:r w:rsidR="00F40961" w:rsidRPr="00A21A6B">
        <w:rPr>
          <w:rFonts w:asciiTheme="majorHAnsi" w:hAnsiTheme="majorHAnsi" w:cstheme="majorHAnsi"/>
          <w:sz w:val="24"/>
          <w:szCs w:val="24"/>
          <w:lang w:val="ru-MD"/>
        </w:rPr>
        <w:t>.</w:t>
      </w:r>
    </w:p>
    <w:p w:rsidR="00F40961" w:rsidRPr="00A21A6B" w:rsidRDefault="000F0802" w:rsidP="00355CA5">
      <w:pPr>
        <w:autoSpaceDE w:val="0"/>
        <w:autoSpaceDN w:val="0"/>
        <w:adjustRightInd w:val="0"/>
        <w:spacing w:after="60" w:line="276" w:lineRule="auto"/>
        <w:ind w:right="-24"/>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w:t>
      </w:r>
      <w:r w:rsidR="0075380B" w:rsidRPr="00A21A6B">
        <w:rPr>
          <w:rFonts w:asciiTheme="majorHAnsi" w:hAnsiTheme="majorHAnsi" w:cstheme="majorHAnsi"/>
          <w:sz w:val="24"/>
          <w:szCs w:val="24"/>
          <w:lang w:val="ru-MD"/>
        </w:rPr>
        <w:t>Международными стандартами</w:t>
      </w:r>
      <w:r w:rsidRPr="00A21A6B">
        <w:rPr>
          <w:rFonts w:asciiTheme="majorHAnsi" w:hAnsiTheme="majorHAnsi" w:cstheme="majorHAnsi"/>
          <w:sz w:val="24"/>
          <w:szCs w:val="24"/>
          <w:lang w:val="ru-MD"/>
        </w:rPr>
        <w:t>,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F40961" w:rsidRPr="00A21A6B">
        <w:rPr>
          <w:rFonts w:asciiTheme="majorHAnsi" w:hAnsiTheme="majorHAnsi" w:cstheme="majorHAnsi"/>
          <w:sz w:val="24"/>
          <w:szCs w:val="24"/>
          <w:lang w:val="ru-MD"/>
        </w:rPr>
        <w:t>.</w:t>
      </w:r>
    </w:p>
    <w:p w:rsidR="00F40961" w:rsidRPr="00A21A6B" w:rsidRDefault="000F0802" w:rsidP="00355CA5">
      <w:pPr>
        <w:pStyle w:val="Default"/>
        <w:spacing w:after="60" w:line="276" w:lineRule="auto"/>
        <w:ind w:right="-24"/>
        <w:jc w:val="both"/>
        <w:rPr>
          <w:rFonts w:asciiTheme="majorHAnsi" w:hAnsiTheme="majorHAnsi" w:cstheme="majorHAnsi"/>
          <w:color w:val="auto"/>
          <w:lang w:val="ru-MD"/>
        </w:rPr>
      </w:pPr>
      <w:r w:rsidRPr="00A21A6B">
        <w:rPr>
          <w:rFonts w:asciiTheme="majorHAnsi" w:eastAsia="Times New Roman" w:hAnsiTheme="majorHAnsi" w:cstheme="majorHAnsi"/>
          <w:lang w:val="ru-MD"/>
        </w:rPr>
        <w:t>Более детальное описание обязанностей аудитора в рамках аудита финансовой отчетности опубликовано на сайте Счетной палаты</w:t>
      </w:r>
      <w:r w:rsidR="00F40961" w:rsidRPr="00A21A6B">
        <w:rPr>
          <w:rFonts w:asciiTheme="majorHAnsi" w:hAnsiTheme="majorHAnsi" w:cstheme="majorHAnsi"/>
          <w:i/>
          <w:color w:val="auto"/>
          <w:lang w:val="ru-MD"/>
        </w:rPr>
        <w:t xml:space="preserve">: </w:t>
      </w:r>
      <w:hyperlink r:id="rId10" w:history="1">
        <w:r w:rsidR="00F40961" w:rsidRPr="00A21A6B">
          <w:rPr>
            <w:rStyle w:val="Hyperlink"/>
            <w:rFonts w:asciiTheme="majorHAnsi" w:hAnsiTheme="majorHAnsi" w:cstheme="majorHAnsi"/>
            <w:i/>
            <w:lang w:val="ru-MD"/>
          </w:rPr>
          <w:t>http://www.ccrm.md/activitatea-curtii-de-conturi-1-25</w:t>
        </w:r>
      </w:hyperlink>
      <w:r w:rsidR="00F40961" w:rsidRPr="00A21A6B">
        <w:rPr>
          <w:rFonts w:asciiTheme="majorHAnsi" w:hAnsiTheme="majorHAnsi" w:cstheme="majorHAnsi"/>
          <w:i/>
          <w:color w:val="auto"/>
          <w:lang w:val="ru-MD"/>
        </w:rPr>
        <w:t>.</w:t>
      </w:r>
      <w:r w:rsidR="00F40961" w:rsidRPr="00A21A6B">
        <w:rPr>
          <w:rFonts w:asciiTheme="majorHAnsi" w:hAnsiTheme="majorHAnsi" w:cstheme="majorHAnsi"/>
          <w:color w:val="auto"/>
          <w:lang w:val="ru-MD"/>
        </w:rPr>
        <w:t xml:space="preserve"> </w:t>
      </w:r>
      <w:r w:rsidRPr="00A21A6B">
        <w:rPr>
          <w:rFonts w:asciiTheme="majorHAnsi" w:eastAsia="Times New Roman" w:hAnsiTheme="majorHAnsi" w:cstheme="majorHAnsi"/>
          <w:lang w:val="ru-MD"/>
        </w:rPr>
        <w:t>Это описание является частью нашего Отчета аудита</w:t>
      </w:r>
      <w:r w:rsidR="00F40961" w:rsidRPr="00A21A6B">
        <w:rPr>
          <w:rFonts w:asciiTheme="majorHAnsi" w:hAnsiTheme="majorHAnsi" w:cstheme="majorHAnsi"/>
          <w:color w:val="auto"/>
          <w:lang w:val="ru-MD"/>
        </w:rPr>
        <w:t>.</w:t>
      </w: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F40961" w:rsidRPr="00A21A6B" w:rsidTr="00797CA1">
        <w:trPr>
          <w:trHeight w:val="878"/>
        </w:trPr>
        <w:tc>
          <w:tcPr>
            <w:tcW w:w="6948" w:type="dxa"/>
          </w:tcPr>
          <w:p w:rsidR="004C6E3A" w:rsidRPr="00A21A6B" w:rsidRDefault="004C6E3A" w:rsidP="00797CA1">
            <w:pPr>
              <w:spacing w:line="276" w:lineRule="auto"/>
              <w:jc w:val="both"/>
              <w:rPr>
                <w:rFonts w:asciiTheme="majorHAnsi" w:eastAsia="Times New Roman" w:hAnsiTheme="majorHAnsi" w:cstheme="majorHAnsi"/>
                <w:b/>
                <w:i/>
                <w:sz w:val="24"/>
                <w:szCs w:val="24"/>
                <w:lang w:val="ru-MD"/>
              </w:rPr>
            </w:pPr>
          </w:p>
          <w:p w:rsidR="00F40961" w:rsidRPr="00A21A6B" w:rsidRDefault="000F0802" w:rsidP="00797CA1">
            <w:pPr>
              <w:spacing w:line="276" w:lineRule="auto"/>
              <w:jc w:val="both"/>
              <w:rPr>
                <w:rFonts w:asciiTheme="majorHAnsi" w:eastAsia="Times New Roman" w:hAnsiTheme="majorHAnsi" w:cstheme="majorHAnsi"/>
                <w:b/>
                <w:i/>
                <w:sz w:val="24"/>
                <w:szCs w:val="24"/>
                <w:lang w:val="ru-MD"/>
              </w:rPr>
            </w:pPr>
            <w:r w:rsidRPr="00A21A6B">
              <w:rPr>
                <w:rFonts w:asciiTheme="majorHAnsi" w:eastAsia="Times New Roman" w:hAnsiTheme="majorHAnsi" w:cstheme="majorHAnsi"/>
                <w:b/>
                <w:i/>
                <w:sz w:val="24"/>
                <w:szCs w:val="24"/>
                <w:lang w:val="ru-MD"/>
              </w:rPr>
              <w:t>Ответственный за составление Отчета аудита</w:t>
            </w:r>
            <w:r w:rsidR="00F40961" w:rsidRPr="00A21A6B">
              <w:rPr>
                <w:rFonts w:asciiTheme="majorHAnsi" w:eastAsia="Times New Roman" w:hAnsiTheme="majorHAnsi" w:cstheme="majorHAnsi"/>
                <w:b/>
                <w:i/>
                <w:sz w:val="24"/>
                <w:szCs w:val="24"/>
                <w:lang w:val="ru-MD"/>
              </w:rPr>
              <w:t>:</w:t>
            </w:r>
          </w:p>
          <w:p w:rsidR="000F0802" w:rsidRPr="00A21A6B" w:rsidRDefault="000F0802" w:rsidP="00797CA1">
            <w:pPr>
              <w:spacing w:line="276" w:lineRule="auto"/>
              <w:rPr>
                <w:rFonts w:asciiTheme="majorHAnsi" w:eastAsia="Times New Roman" w:hAnsiTheme="majorHAnsi" w:cstheme="majorHAnsi"/>
                <w:bCs/>
                <w:iCs/>
                <w:noProof/>
                <w:sz w:val="24"/>
                <w:szCs w:val="24"/>
                <w:lang w:val="ru-MD"/>
              </w:rPr>
            </w:pPr>
            <w:r w:rsidRPr="00A21A6B">
              <w:rPr>
                <w:rFonts w:asciiTheme="majorHAnsi" w:eastAsia="Times New Roman" w:hAnsiTheme="majorHAnsi" w:cstheme="majorHAnsi"/>
                <w:bCs/>
                <w:iCs/>
                <w:noProof/>
                <w:sz w:val="24"/>
                <w:szCs w:val="24"/>
                <w:lang w:val="ru-MD"/>
              </w:rPr>
              <w:t>Руководитель аудиторской группы,</w:t>
            </w:r>
          </w:p>
          <w:p w:rsidR="00F40961" w:rsidRPr="00A21A6B" w:rsidRDefault="000F0802" w:rsidP="00797CA1">
            <w:pPr>
              <w:spacing w:line="276" w:lineRule="auto"/>
              <w:rPr>
                <w:rFonts w:asciiTheme="majorHAnsi" w:eastAsia="Times New Roman" w:hAnsiTheme="majorHAnsi" w:cstheme="majorHAnsi"/>
                <w:sz w:val="24"/>
                <w:szCs w:val="24"/>
                <w:lang w:val="ru-MD"/>
              </w:rPr>
            </w:pPr>
            <w:r w:rsidRPr="00A21A6B">
              <w:rPr>
                <w:rFonts w:asciiTheme="majorHAnsi" w:eastAsia="Times New Roman" w:hAnsiTheme="majorHAnsi" w:cstheme="majorHAnsi"/>
                <w:bCs/>
                <w:iCs/>
                <w:noProof/>
                <w:sz w:val="24"/>
                <w:szCs w:val="24"/>
                <w:lang w:val="ru-MD"/>
              </w:rPr>
              <w:t>начальник Управления аудита</w:t>
            </w:r>
            <w:r w:rsidRPr="00A21A6B">
              <w:rPr>
                <w:rFonts w:asciiTheme="majorHAnsi" w:eastAsia="Times New Roman" w:hAnsiTheme="majorHAnsi" w:cstheme="majorHAnsi"/>
                <w:sz w:val="24"/>
                <w:szCs w:val="24"/>
                <w:lang w:val="ru-MD"/>
              </w:rPr>
              <w:t xml:space="preserve"> </w:t>
            </w:r>
            <w:r w:rsidR="00F40961" w:rsidRPr="00A21A6B">
              <w:rPr>
                <w:rFonts w:asciiTheme="majorHAnsi" w:eastAsia="Times New Roman" w:hAnsiTheme="majorHAnsi" w:cstheme="majorHAnsi"/>
                <w:sz w:val="24"/>
                <w:szCs w:val="24"/>
                <w:lang w:val="ru-MD"/>
              </w:rPr>
              <w:t>I</w:t>
            </w:r>
          </w:p>
          <w:p w:rsidR="00F40961" w:rsidRPr="00A21A6B" w:rsidRDefault="000F0802" w:rsidP="000F0802">
            <w:pPr>
              <w:spacing w:line="276" w:lineRule="auto"/>
              <w:rPr>
                <w:rFonts w:asciiTheme="majorHAnsi" w:hAnsiTheme="majorHAnsi" w:cstheme="majorHAnsi"/>
                <w:lang w:val="ru-MD"/>
              </w:rPr>
            </w:pPr>
            <w:r w:rsidRPr="00A21A6B">
              <w:rPr>
                <w:rFonts w:asciiTheme="majorHAnsi" w:eastAsia="Times New Roman" w:hAnsiTheme="majorHAnsi" w:cstheme="majorHAnsi"/>
                <w:sz w:val="24"/>
                <w:szCs w:val="24"/>
                <w:lang w:val="ru-MD"/>
              </w:rPr>
              <w:t>в рамках Главного управления аудита</w:t>
            </w:r>
            <w:r w:rsidR="00F40961" w:rsidRPr="00A21A6B">
              <w:rPr>
                <w:rFonts w:asciiTheme="majorHAnsi" w:hAnsiTheme="majorHAnsi" w:cstheme="majorHAnsi"/>
                <w:sz w:val="24"/>
                <w:szCs w:val="24"/>
                <w:lang w:val="ru-MD"/>
              </w:rPr>
              <w:t xml:space="preserve"> III</w:t>
            </w:r>
            <w:r w:rsidR="00F40961" w:rsidRPr="00A21A6B">
              <w:rPr>
                <w:rFonts w:asciiTheme="majorHAnsi" w:hAnsiTheme="majorHAnsi" w:cstheme="majorHAnsi"/>
                <w:lang w:val="ru-MD"/>
              </w:rPr>
              <w:t xml:space="preserve">   </w:t>
            </w:r>
            <w:r w:rsidR="00F40961" w:rsidRPr="00A21A6B">
              <w:rPr>
                <w:rFonts w:asciiTheme="majorHAnsi" w:hAnsiTheme="majorHAnsi" w:cstheme="majorHAnsi"/>
                <w:b/>
                <w:sz w:val="24"/>
                <w:szCs w:val="24"/>
                <w:lang w:val="ru-MD"/>
              </w:rPr>
              <w:t xml:space="preserve">                                               </w:t>
            </w:r>
          </w:p>
        </w:tc>
        <w:tc>
          <w:tcPr>
            <w:tcW w:w="2670" w:type="dxa"/>
          </w:tcPr>
          <w:p w:rsidR="00DC25FE" w:rsidRPr="00A21A6B" w:rsidRDefault="00DC25FE" w:rsidP="00797CA1">
            <w:pPr>
              <w:pStyle w:val="Default"/>
              <w:spacing w:line="276" w:lineRule="auto"/>
              <w:jc w:val="right"/>
              <w:rPr>
                <w:rFonts w:asciiTheme="majorHAnsi" w:hAnsiTheme="majorHAnsi" w:cstheme="majorHAnsi"/>
                <w:b/>
                <w:lang w:val="ru-MD"/>
              </w:rPr>
            </w:pPr>
          </w:p>
          <w:p w:rsidR="00DC25FE" w:rsidRPr="00A21A6B" w:rsidRDefault="00DC25FE" w:rsidP="00797CA1">
            <w:pPr>
              <w:pStyle w:val="Default"/>
              <w:spacing w:line="276" w:lineRule="auto"/>
              <w:jc w:val="right"/>
              <w:rPr>
                <w:rFonts w:asciiTheme="majorHAnsi" w:hAnsiTheme="majorHAnsi" w:cstheme="majorHAnsi"/>
                <w:b/>
                <w:lang w:val="ru-MD"/>
              </w:rPr>
            </w:pPr>
          </w:p>
          <w:p w:rsidR="00F40961" w:rsidRPr="00A21A6B" w:rsidRDefault="000F0802" w:rsidP="00797CA1">
            <w:pPr>
              <w:pStyle w:val="Default"/>
              <w:spacing w:line="276" w:lineRule="auto"/>
              <w:jc w:val="right"/>
              <w:rPr>
                <w:rFonts w:asciiTheme="majorHAnsi" w:hAnsiTheme="majorHAnsi" w:cstheme="majorHAnsi"/>
                <w:b/>
                <w:lang w:val="ru-MD"/>
              </w:rPr>
            </w:pPr>
            <w:r w:rsidRPr="00A21A6B">
              <w:rPr>
                <w:rFonts w:asciiTheme="majorHAnsi" w:hAnsiTheme="majorHAnsi" w:cstheme="majorHAnsi"/>
                <w:b/>
                <w:lang w:val="ru-MD"/>
              </w:rPr>
              <w:t>Вердеш Виорика</w:t>
            </w:r>
          </w:p>
          <w:p w:rsidR="00F40961" w:rsidRPr="00A21A6B" w:rsidRDefault="00F40961" w:rsidP="00797CA1">
            <w:pPr>
              <w:pStyle w:val="Default"/>
              <w:spacing w:line="276" w:lineRule="auto"/>
              <w:jc w:val="right"/>
              <w:rPr>
                <w:rFonts w:asciiTheme="majorHAnsi" w:hAnsiTheme="majorHAnsi" w:cstheme="majorHAnsi"/>
                <w:color w:val="auto"/>
                <w:lang w:val="ru-MD"/>
              </w:rPr>
            </w:pPr>
          </w:p>
        </w:tc>
      </w:tr>
      <w:tr w:rsidR="00F40961" w:rsidRPr="00A21A6B" w:rsidTr="00797CA1">
        <w:trPr>
          <w:trHeight w:val="781"/>
        </w:trPr>
        <w:tc>
          <w:tcPr>
            <w:tcW w:w="6948" w:type="dxa"/>
          </w:tcPr>
          <w:p w:rsidR="00EA5083" w:rsidRPr="00A21A6B" w:rsidRDefault="00EA5083" w:rsidP="00DC25FE">
            <w:pPr>
              <w:jc w:val="both"/>
              <w:rPr>
                <w:rFonts w:asciiTheme="majorHAnsi" w:eastAsia="Times New Roman" w:hAnsiTheme="majorHAnsi" w:cstheme="majorHAnsi"/>
                <w:b/>
                <w:i/>
                <w:sz w:val="24"/>
                <w:szCs w:val="24"/>
                <w:lang w:val="ru-MD"/>
              </w:rPr>
            </w:pPr>
          </w:p>
          <w:p w:rsidR="00F40961" w:rsidRPr="00A21A6B" w:rsidRDefault="00EA5083" w:rsidP="00DC25FE">
            <w:pPr>
              <w:jc w:val="both"/>
              <w:rPr>
                <w:rFonts w:asciiTheme="majorHAnsi" w:eastAsia="Times New Roman" w:hAnsiTheme="majorHAnsi" w:cstheme="majorHAnsi"/>
                <w:b/>
                <w:i/>
                <w:sz w:val="24"/>
                <w:szCs w:val="24"/>
                <w:lang w:val="ru-MD"/>
              </w:rPr>
            </w:pPr>
            <w:r w:rsidRPr="00A21A6B">
              <w:rPr>
                <w:rFonts w:asciiTheme="majorHAnsi" w:eastAsia="Times New Roman" w:hAnsiTheme="majorHAnsi" w:cstheme="majorHAnsi"/>
                <w:b/>
                <w:i/>
                <w:sz w:val="24"/>
                <w:szCs w:val="24"/>
                <w:lang w:val="ru-MD"/>
              </w:rPr>
              <w:t>Члены аудиторской группы</w:t>
            </w:r>
            <w:r w:rsidR="00F40961" w:rsidRPr="00A21A6B">
              <w:rPr>
                <w:rFonts w:asciiTheme="majorHAnsi" w:eastAsia="Times New Roman" w:hAnsiTheme="majorHAnsi" w:cstheme="majorHAnsi"/>
                <w:b/>
                <w:i/>
                <w:sz w:val="24"/>
                <w:szCs w:val="24"/>
                <w:lang w:val="ru-MD"/>
              </w:rPr>
              <w:t>:</w:t>
            </w:r>
          </w:p>
          <w:p w:rsidR="00355CA5" w:rsidRPr="00A21A6B" w:rsidRDefault="00355CA5" w:rsidP="00DC25FE">
            <w:pPr>
              <w:jc w:val="both"/>
              <w:rPr>
                <w:rFonts w:asciiTheme="majorHAnsi" w:eastAsia="Times New Roman" w:hAnsiTheme="majorHAnsi" w:cstheme="majorHAnsi"/>
                <w:b/>
                <w:i/>
                <w:sz w:val="24"/>
                <w:szCs w:val="24"/>
                <w:lang w:val="ru-MD"/>
              </w:rPr>
            </w:pPr>
          </w:p>
          <w:p w:rsidR="00F40961" w:rsidRPr="00A21A6B" w:rsidRDefault="00EA5083" w:rsidP="00DC25FE">
            <w:pPr>
              <w:jc w:val="both"/>
              <w:rPr>
                <w:rFonts w:asciiTheme="majorHAnsi" w:hAnsiTheme="majorHAnsi" w:cstheme="majorHAnsi"/>
                <w:lang w:val="ru-MD"/>
              </w:rPr>
            </w:pPr>
            <w:r w:rsidRPr="00A21A6B">
              <w:rPr>
                <w:rFonts w:asciiTheme="majorHAnsi" w:eastAsia="Times New Roman" w:hAnsiTheme="majorHAnsi" w:cstheme="majorHAnsi"/>
                <w:sz w:val="24"/>
                <w:szCs w:val="24"/>
                <w:lang w:val="ru-MD"/>
              </w:rPr>
              <w:t xml:space="preserve">главный публичный аудитор </w:t>
            </w:r>
            <w:r w:rsidR="00F40961" w:rsidRPr="00A21A6B">
              <w:rPr>
                <w:rFonts w:asciiTheme="majorHAnsi" w:hAnsiTheme="majorHAnsi" w:cstheme="majorHAnsi"/>
                <w:b/>
                <w:sz w:val="24"/>
                <w:szCs w:val="24"/>
                <w:lang w:val="ru-MD"/>
              </w:rPr>
              <w:t xml:space="preserve">                                                                                          </w:t>
            </w:r>
          </w:p>
        </w:tc>
        <w:tc>
          <w:tcPr>
            <w:tcW w:w="2670" w:type="dxa"/>
          </w:tcPr>
          <w:p w:rsidR="00F40961" w:rsidRPr="00A21A6B" w:rsidRDefault="00F40961" w:rsidP="00DC25FE">
            <w:pPr>
              <w:jc w:val="right"/>
              <w:rPr>
                <w:rFonts w:asciiTheme="majorHAnsi" w:hAnsiTheme="majorHAnsi" w:cstheme="majorHAnsi"/>
                <w:b/>
                <w:sz w:val="24"/>
                <w:szCs w:val="24"/>
                <w:lang w:val="ru-MD"/>
              </w:rPr>
            </w:pPr>
          </w:p>
          <w:p w:rsidR="00F40961" w:rsidRPr="00A21A6B" w:rsidRDefault="00F40961" w:rsidP="00DC25FE">
            <w:pPr>
              <w:ind w:right="120"/>
              <w:jc w:val="right"/>
              <w:rPr>
                <w:rFonts w:asciiTheme="majorHAnsi" w:hAnsiTheme="majorHAnsi" w:cstheme="majorHAnsi"/>
                <w:b/>
                <w:sz w:val="24"/>
                <w:szCs w:val="24"/>
                <w:lang w:val="ru-MD"/>
              </w:rPr>
            </w:pPr>
          </w:p>
          <w:p w:rsidR="00DC25FE" w:rsidRPr="00A21A6B" w:rsidRDefault="00DC25FE" w:rsidP="00DC25FE">
            <w:pPr>
              <w:ind w:right="120"/>
              <w:jc w:val="right"/>
              <w:rPr>
                <w:rFonts w:asciiTheme="majorHAnsi" w:hAnsiTheme="majorHAnsi" w:cstheme="majorHAnsi"/>
                <w:b/>
                <w:sz w:val="24"/>
                <w:szCs w:val="24"/>
                <w:lang w:val="ru-MD"/>
              </w:rPr>
            </w:pPr>
          </w:p>
          <w:p w:rsidR="00F40961" w:rsidRPr="00A21A6B" w:rsidRDefault="000F0802" w:rsidP="00DC25FE">
            <w:pPr>
              <w:ind w:right="120"/>
              <w:jc w:val="right"/>
              <w:rPr>
                <w:rFonts w:asciiTheme="majorHAnsi" w:hAnsiTheme="majorHAnsi" w:cstheme="majorHAnsi"/>
                <w:lang w:val="ru-MD"/>
              </w:rPr>
            </w:pPr>
            <w:r w:rsidRPr="00A21A6B">
              <w:rPr>
                <w:rFonts w:asciiTheme="majorHAnsi" w:hAnsiTheme="majorHAnsi" w:cstheme="majorHAnsi"/>
                <w:b/>
                <w:sz w:val="24"/>
                <w:szCs w:val="24"/>
                <w:lang w:val="ru-MD"/>
              </w:rPr>
              <w:t>Вячеслав Дамиан</w:t>
            </w:r>
          </w:p>
        </w:tc>
      </w:tr>
      <w:tr w:rsidR="00F40961" w:rsidRPr="00A21A6B" w:rsidTr="00797CA1">
        <w:trPr>
          <w:trHeight w:val="678"/>
        </w:trPr>
        <w:tc>
          <w:tcPr>
            <w:tcW w:w="6948" w:type="dxa"/>
          </w:tcPr>
          <w:p w:rsidR="00B1260F" w:rsidRPr="00A21A6B" w:rsidRDefault="00B1260F" w:rsidP="00DC25FE">
            <w:pPr>
              <w:pStyle w:val="Default"/>
              <w:rPr>
                <w:rFonts w:asciiTheme="majorHAnsi" w:eastAsia="Times New Roman" w:hAnsiTheme="majorHAnsi" w:cstheme="majorHAnsi"/>
                <w:lang w:val="ru-MD"/>
              </w:rPr>
            </w:pPr>
          </w:p>
          <w:p w:rsidR="00F40961" w:rsidRPr="00A21A6B" w:rsidRDefault="00EA5083" w:rsidP="00DC25FE">
            <w:pPr>
              <w:pStyle w:val="Default"/>
              <w:rPr>
                <w:rFonts w:asciiTheme="majorHAnsi" w:hAnsiTheme="majorHAnsi" w:cstheme="majorHAnsi"/>
                <w:color w:val="auto"/>
                <w:lang w:val="ru-MD"/>
              </w:rPr>
            </w:pPr>
            <w:r w:rsidRPr="00A21A6B">
              <w:rPr>
                <w:rFonts w:asciiTheme="majorHAnsi" w:eastAsia="Times New Roman" w:hAnsiTheme="majorHAnsi" w:cstheme="majorHAnsi"/>
                <w:lang w:val="ru-MD"/>
              </w:rPr>
              <w:t xml:space="preserve">старший публичный аудитор </w:t>
            </w:r>
          </w:p>
        </w:tc>
        <w:tc>
          <w:tcPr>
            <w:tcW w:w="2670" w:type="dxa"/>
          </w:tcPr>
          <w:p w:rsidR="00F40961" w:rsidRPr="00A21A6B" w:rsidRDefault="00F40961" w:rsidP="00DC25FE">
            <w:pPr>
              <w:jc w:val="right"/>
              <w:rPr>
                <w:rFonts w:asciiTheme="majorHAnsi" w:hAnsiTheme="majorHAnsi" w:cstheme="majorHAnsi"/>
                <w:b/>
                <w:sz w:val="24"/>
                <w:szCs w:val="24"/>
                <w:lang w:val="ru-MD"/>
              </w:rPr>
            </w:pPr>
          </w:p>
          <w:p w:rsidR="00F40961" w:rsidRPr="00A21A6B" w:rsidRDefault="000F0802" w:rsidP="00DC25FE">
            <w:pPr>
              <w:jc w:val="right"/>
              <w:rPr>
                <w:rFonts w:asciiTheme="majorHAnsi" w:hAnsiTheme="majorHAnsi" w:cstheme="majorHAnsi"/>
                <w:b/>
                <w:sz w:val="24"/>
                <w:szCs w:val="24"/>
                <w:lang w:val="ru-MD"/>
              </w:rPr>
            </w:pPr>
            <w:r w:rsidRPr="00A21A6B">
              <w:rPr>
                <w:rFonts w:asciiTheme="majorHAnsi" w:hAnsiTheme="majorHAnsi" w:cstheme="majorHAnsi"/>
                <w:b/>
                <w:sz w:val="24"/>
                <w:szCs w:val="24"/>
                <w:lang w:val="ru-MD"/>
              </w:rPr>
              <w:t>Феличия Сырбу</w:t>
            </w:r>
            <w:r w:rsidR="00F40961" w:rsidRPr="00A21A6B">
              <w:rPr>
                <w:rFonts w:asciiTheme="majorHAnsi" w:hAnsiTheme="majorHAnsi" w:cstheme="majorHAnsi"/>
                <w:b/>
                <w:sz w:val="24"/>
                <w:szCs w:val="24"/>
                <w:lang w:val="ru-MD"/>
              </w:rPr>
              <w:t xml:space="preserve"> </w:t>
            </w:r>
          </w:p>
        </w:tc>
      </w:tr>
      <w:tr w:rsidR="00F40961" w:rsidRPr="00A21A6B" w:rsidTr="00797CA1">
        <w:trPr>
          <w:trHeight w:val="52"/>
        </w:trPr>
        <w:tc>
          <w:tcPr>
            <w:tcW w:w="6948" w:type="dxa"/>
          </w:tcPr>
          <w:p w:rsidR="00B1260F" w:rsidRPr="00A21A6B" w:rsidRDefault="00B1260F" w:rsidP="00DC25FE">
            <w:pPr>
              <w:pStyle w:val="Default"/>
              <w:rPr>
                <w:rFonts w:asciiTheme="majorHAnsi" w:eastAsia="Times New Roman" w:hAnsiTheme="majorHAnsi" w:cstheme="majorHAnsi"/>
                <w:lang w:val="ru-MD"/>
              </w:rPr>
            </w:pPr>
          </w:p>
          <w:p w:rsidR="00F40961" w:rsidRPr="00A21A6B" w:rsidRDefault="00EA5083" w:rsidP="00DC25FE">
            <w:pPr>
              <w:pStyle w:val="Default"/>
              <w:rPr>
                <w:rFonts w:asciiTheme="majorHAnsi" w:eastAsia="Times New Roman" w:hAnsiTheme="majorHAnsi" w:cstheme="majorHAnsi"/>
                <w:lang w:val="ru-MD"/>
              </w:rPr>
            </w:pPr>
            <w:r w:rsidRPr="00A21A6B">
              <w:rPr>
                <w:rFonts w:asciiTheme="majorHAnsi" w:eastAsia="Times New Roman" w:hAnsiTheme="majorHAnsi" w:cstheme="majorHAnsi"/>
                <w:lang w:val="ru-MD"/>
              </w:rPr>
              <w:t>старший публичный аудитор</w:t>
            </w:r>
            <w:r w:rsidR="00F40961" w:rsidRPr="00A21A6B">
              <w:rPr>
                <w:rFonts w:asciiTheme="majorHAnsi" w:hAnsiTheme="majorHAnsi" w:cstheme="majorHAnsi"/>
                <w:lang w:val="ru-MD"/>
              </w:rPr>
              <w:t xml:space="preserve">                                                                                                         </w:t>
            </w:r>
          </w:p>
        </w:tc>
        <w:tc>
          <w:tcPr>
            <w:tcW w:w="2670" w:type="dxa"/>
          </w:tcPr>
          <w:p w:rsidR="00F40961" w:rsidRPr="00A21A6B" w:rsidRDefault="00F40961" w:rsidP="00DC25FE">
            <w:pPr>
              <w:jc w:val="right"/>
              <w:rPr>
                <w:rFonts w:asciiTheme="majorHAnsi" w:hAnsiTheme="majorHAnsi" w:cstheme="majorHAnsi"/>
                <w:b/>
                <w:sz w:val="24"/>
                <w:szCs w:val="24"/>
                <w:lang w:val="ru-MD"/>
              </w:rPr>
            </w:pPr>
          </w:p>
          <w:p w:rsidR="00F40961" w:rsidRPr="00A21A6B" w:rsidRDefault="000F0802" w:rsidP="00DC25FE">
            <w:pPr>
              <w:jc w:val="right"/>
              <w:rPr>
                <w:rFonts w:asciiTheme="majorHAnsi" w:hAnsiTheme="majorHAnsi" w:cstheme="majorHAnsi"/>
                <w:b/>
                <w:sz w:val="24"/>
                <w:szCs w:val="24"/>
                <w:lang w:val="ru-MD"/>
              </w:rPr>
            </w:pPr>
            <w:r w:rsidRPr="00A21A6B">
              <w:rPr>
                <w:rFonts w:asciiTheme="majorHAnsi" w:hAnsiTheme="majorHAnsi" w:cstheme="majorHAnsi"/>
                <w:b/>
                <w:sz w:val="24"/>
                <w:szCs w:val="24"/>
                <w:lang w:val="ru-MD"/>
              </w:rPr>
              <w:t>Валентин Будечь</w:t>
            </w:r>
          </w:p>
        </w:tc>
      </w:tr>
      <w:tr w:rsidR="00F40961" w:rsidRPr="00A21A6B" w:rsidTr="00797CA1">
        <w:trPr>
          <w:trHeight w:val="52"/>
        </w:trPr>
        <w:tc>
          <w:tcPr>
            <w:tcW w:w="6948" w:type="dxa"/>
          </w:tcPr>
          <w:p w:rsidR="00F40961" w:rsidRPr="00A21A6B" w:rsidRDefault="00F40961" w:rsidP="00DC25FE">
            <w:pPr>
              <w:pStyle w:val="Default"/>
              <w:rPr>
                <w:rFonts w:asciiTheme="majorHAnsi" w:hAnsiTheme="majorHAnsi" w:cstheme="majorHAnsi"/>
                <w:lang w:val="ru-MD"/>
              </w:rPr>
            </w:pPr>
          </w:p>
          <w:p w:rsidR="00F40961" w:rsidRPr="00A21A6B" w:rsidRDefault="00EA5083" w:rsidP="00DC25FE">
            <w:pPr>
              <w:pStyle w:val="Default"/>
              <w:rPr>
                <w:rFonts w:asciiTheme="majorHAnsi" w:eastAsia="Times New Roman" w:hAnsiTheme="majorHAnsi" w:cstheme="majorHAnsi"/>
                <w:lang w:val="ru-MD"/>
              </w:rPr>
            </w:pPr>
            <w:r w:rsidRPr="00A21A6B">
              <w:rPr>
                <w:rFonts w:asciiTheme="majorHAnsi" w:eastAsia="Times New Roman" w:hAnsiTheme="majorHAnsi" w:cstheme="majorHAnsi"/>
                <w:lang w:val="ru-MD"/>
              </w:rPr>
              <w:t>старший публичный аудитор</w:t>
            </w:r>
            <w:r w:rsidR="00F40961" w:rsidRPr="00A21A6B">
              <w:rPr>
                <w:rFonts w:asciiTheme="majorHAnsi" w:hAnsiTheme="majorHAnsi" w:cstheme="majorHAnsi"/>
                <w:lang w:val="ru-MD"/>
              </w:rPr>
              <w:t xml:space="preserve">                                                                                                         </w:t>
            </w:r>
          </w:p>
        </w:tc>
        <w:tc>
          <w:tcPr>
            <w:tcW w:w="2670" w:type="dxa"/>
          </w:tcPr>
          <w:p w:rsidR="00F40961" w:rsidRPr="00A21A6B" w:rsidRDefault="00F40961" w:rsidP="00DC25FE">
            <w:pPr>
              <w:jc w:val="center"/>
              <w:rPr>
                <w:rFonts w:asciiTheme="majorHAnsi" w:hAnsiTheme="majorHAnsi" w:cstheme="majorHAnsi"/>
                <w:b/>
                <w:sz w:val="24"/>
                <w:szCs w:val="24"/>
                <w:lang w:val="ru-MD"/>
              </w:rPr>
            </w:pPr>
          </w:p>
          <w:p w:rsidR="00F40961" w:rsidRPr="00A21A6B" w:rsidRDefault="000F0802" w:rsidP="00DC25FE">
            <w:pPr>
              <w:jc w:val="right"/>
              <w:rPr>
                <w:rFonts w:asciiTheme="majorHAnsi" w:hAnsiTheme="majorHAnsi" w:cstheme="majorHAnsi"/>
                <w:b/>
                <w:sz w:val="24"/>
                <w:szCs w:val="24"/>
                <w:lang w:val="ru-MD"/>
              </w:rPr>
            </w:pPr>
            <w:r w:rsidRPr="00A21A6B">
              <w:rPr>
                <w:rFonts w:asciiTheme="majorHAnsi" w:hAnsiTheme="majorHAnsi" w:cstheme="majorHAnsi"/>
                <w:b/>
                <w:sz w:val="24"/>
                <w:szCs w:val="24"/>
                <w:lang w:val="ru-MD"/>
              </w:rPr>
              <w:t>Еуджен Попа</w:t>
            </w:r>
          </w:p>
        </w:tc>
      </w:tr>
      <w:tr w:rsidR="00F40961" w:rsidRPr="00A21A6B" w:rsidTr="00797CA1">
        <w:trPr>
          <w:trHeight w:val="727"/>
        </w:trPr>
        <w:tc>
          <w:tcPr>
            <w:tcW w:w="6948" w:type="dxa"/>
          </w:tcPr>
          <w:p w:rsidR="00F40961" w:rsidRPr="00A21A6B" w:rsidRDefault="00F40961" w:rsidP="00DC25FE">
            <w:pPr>
              <w:jc w:val="both"/>
              <w:rPr>
                <w:rFonts w:asciiTheme="majorHAnsi" w:eastAsia="Times New Roman" w:hAnsiTheme="majorHAnsi" w:cstheme="majorHAnsi"/>
                <w:b/>
                <w:i/>
                <w:sz w:val="24"/>
                <w:szCs w:val="24"/>
                <w:lang w:val="ru-MD"/>
              </w:rPr>
            </w:pPr>
          </w:p>
          <w:p w:rsidR="00F40961" w:rsidRPr="00A21A6B" w:rsidRDefault="00F40961" w:rsidP="00DC25FE">
            <w:pPr>
              <w:jc w:val="both"/>
              <w:rPr>
                <w:rFonts w:asciiTheme="majorHAnsi" w:eastAsia="Times New Roman" w:hAnsiTheme="majorHAnsi" w:cstheme="majorHAnsi"/>
                <w:b/>
                <w:i/>
                <w:sz w:val="24"/>
                <w:szCs w:val="24"/>
                <w:lang w:val="ru-MD"/>
              </w:rPr>
            </w:pPr>
          </w:p>
          <w:p w:rsidR="00F40961" w:rsidRPr="00A21A6B" w:rsidRDefault="00766D9F" w:rsidP="00DC25FE">
            <w:pPr>
              <w:jc w:val="both"/>
              <w:rPr>
                <w:rFonts w:asciiTheme="majorHAnsi" w:eastAsia="Times New Roman" w:hAnsiTheme="majorHAnsi" w:cstheme="majorHAnsi"/>
                <w:b/>
                <w:i/>
                <w:sz w:val="24"/>
                <w:szCs w:val="24"/>
                <w:lang w:val="ru-MD"/>
              </w:rPr>
            </w:pPr>
            <w:r w:rsidRPr="00A21A6B">
              <w:rPr>
                <w:rFonts w:asciiTheme="majorHAnsi" w:eastAsia="Times New Roman" w:hAnsiTheme="majorHAnsi" w:cstheme="majorHAnsi"/>
                <w:b/>
                <w:i/>
                <w:sz w:val="24"/>
                <w:szCs w:val="24"/>
                <w:lang w:val="ru-MD"/>
              </w:rPr>
              <w:t>Ответственный за аудит</w:t>
            </w:r>
            <w:r w:rsidR="00F40961" w:rsidRPr="00A21A6B">
              <w:rPr>
                <w:rFonts w:asciiTheme="majorHAnsi" w:eastAsia="Times New Roman" w:hAnsiTheme="majorHAnsi" w:cstheme="majorHAnsi"/>
                <w:b/>
                <w:i/>
                <w:sz w:val="24"/>
                <w:szCs w:val="24"/>
                <w:lang w:val="ru-MD"/>
              </w:rPr>
              <w:t>:</w:t>
            </w:r>
          </w:p>
          <w:p w:rsidR="00F40961" w:rsidRPr="00A21A6B" w:rsidRDefault="00766D9F" w:rsidP="00DC25FE">
            <w:pPr>
              <w:pStyle w:val="Default"/>
              <w:jc w:val="both"/>
              <w:rPr>
                <w:rFonts w:asciiTheme="majorHAnsi" w:hAnsiTheme="majorHAnsi" w:cstheme="majorHAnsi"/>
                <w:color w:val="auto"/>
                <w:lang w:val="ru-MD"/>
              </w:rPr>
            </w:pPr>
            <w:r w:rsidRPr="00A21A6B">
              <w:rPr>
                <w:rFonts w:asciiTheme="majorHAnsi" w:eastAsia="Times New Roman" w:hAnsiTheme="majorHAnsi" w:cstheme="majorHAnsi"/>
                <w:bCs/>
                <w:iCs/>
                <w:noProof/>
                <w:lang w:val="ru-MD"/>
              </w:rPr>
              <w:t>начальник</w:t>
            </w:r>
            <w:r w:rsidR="00F40961" w:rsidRPr="00A21A6B">
              <w:rPr>
                <w:rFonts w:asciiTheme="majorHAnsi" w:hAnsiTheme="majorHAnsi" w:cstheme="majorHAnsi"/>
                <w:lang w:val="ru-MD"/>
              </w:rPr>
              <w:t xml:space="preserve"> </w:t>
            </w:r>
            <w:r w:rsidRPr="00A21A6B">
              <w:rPr>
                <w:rFonts w:asciiTheme="majorHAnsi" w:eastAsia="Times New Roman" w:hAnsiTheme="majorHAnsi" w:cstheme="majorHAnsi"/>
                <w:lang w:val="ru-MD"/>
              </w:rPr>
              <w:t>Главного управления аудита</w:t>
            </w:r>
            <w:r w:rsidRPr="00A21A6B">
              <w:rPr>
                <w:rFonts w:asciiTheme="majorHAnsi" w:hAnsiTheme="majorHAnsi" w:cstheme="majorHAnsi"/>
                <w:lang w:val="ru-MD"/>
              </w:rPr>
              <w:t xml:space="preserve"> III</w:t>
            </w:r>
            <w:r w:rsidR="00F40961" w:rsidRPr="00A21A6B">
              <w:rPr>
                <w:rFonts w:asciiTheme="majorHAnsi" w:hAnsiTheme="majorHAnsi" w:cstheme="majorHAnsi"/>
                <w:lang w:val="ru-MD"/>
              </w:rPr>
              <w:t xml:space="preserve">   </w:t>
            </w:r>
          </w:p>
        </w:tc>
        <w:tc>
          <w:tcPr>
            <w:tcW w:w="2670" w:type="dxa"/>
          </w:tcPr>
          <w:p w:rsidR="00F40961" w:rsidRPr="00A21A6B" w:rsidRDefault="00F40961" w:rsidP="00DC25FE">
            <w:pPr>
              <w:jc w:val="right"/>
              <w:rPr>
                <w:rFonts w:asciiTheme="majorHAnsi" w:hAnsiTheme="majorHAnsi" w:cstheme="majorHAnsi"/>
                <w:b/>
                <w:sz w:val="24"/>
                <w:szCs w:val="24"/>
                <w:lang w:val="ru-MD"/>
              </w:rPr>
            </w:pPr>
          </w:p>
          <w:p w:rsidR="00F40961" w:rsidRPr="00A21A6B" w:rsidRDefault="00F40961" w:rsidP="00DC25FE">
            <w:pPr>
              <w:jc w:val="right"/>
              <w:rPr>
                <w:rFonts w:asciiTheme="majorHAnsi" w:hAnsiTheme="majorHAnsi" w:cstheme="majorHAnsi"/>
                <w:b/>
                <w:sz w:val="24"/>
                <w:szCs w:val="24"/>
                <w:lang w:val="ru-MD"/>
              </w:rPr>
            </w:pPr>
          </w:p>
          <w:p w:rsidR="00F40961" w:rsidRPr="00A21A6B" w:rsidRDefault="00F40961" w:rsidP="00DC25FE">
            <w:pPr>
              <w:jc w:val="right"/>
              <w:rPr>
                <w:rFonts w:asciiTheme="majorHAnsi" w:hAnsiTheme="majorHAnsi" w:cstheme="majorHAnsi"/>
                <w:b/>
                <w:sz w:val="24"/>
                <w:szCs w:val="24"/>
                <w:lang w:val="ru-MD"/>
              </w:rPr>
            </w:pPr>
          </w:p>
          <w:p w:rsidR="00F40961" w:rsidRPr="00A21A6B" w:rsidRDefault="000F0802" w:rsidP="00DC25FE">
            <w:pPr>
              <w:jc w:val="right"/>
              <w:rPr>
                <w:rFonts w:asciiTheme="majorHAnsi" w:hAnsiTheme="majorHAnsi" w:cstheme="majorHAnsi"/>
                <w:b/>
                <w:sz w:val="24"/>
                <w:szCs w:val="24"/>
                <w:lang w:val="ru-MD"/>
              </w:rPr>
            </w:pPr>
            <w:r w:rsidRPr="00A21A6B">
              <w:rPr>
                <w:rFonts w:asciiTheme="majorHAnsi" w:hAnsiTheme="majorHAnsi" w:cstheme="majorHAnsi"/>
                <w:b/>
                <w:sz w:val="24"/>
                <w:szCs w:val="24"/>
                <w:lang w:val="ru-MD"/>
              </w:rPr>
              <w:t>Светлана Пурич</w:t>
            </w:r>
          </w:p>
          <w:p w:rsidR="0011631F" w:rsidRPr="00A21A6B" w:rsidRDefault="0011631F" w:rsidP="00DC25FE">
            <w:pPr>
              <w:jc w:val="right"/>
              <w:rPr>
                <w:rFonts w:asciiTheme="majorHAnsi" w:hAnsiTheme="majorHAnsi" w:cstheme="majorHAnsi"/>
                <w:lang w:val="ru-MD"/>
              </w:rPr>
            </w:pPr>
          </w:p>
        </w:tc>
      </w:tr>
    </w:tbl>
    <w:p w:rsidR="0011631F" w:rsidRPr="00A21A6B" w:rsidRDefault="0011631F" w:rsidP="00F40961">
      <w:pPr>
        <w:spacing w:line="276" w:lineRule="auto"/>
        <w:jc w:val="right"/>
        <w:rPr>
          <w:rFonts w:asciiTheme="majorHAnsi" w:eastAsia="Times New Roman" w:hAnsiTheme="majorHAnsi" w:cstheme="majorHAnsi"/>
          <w:b/>
          <w:bCs/>
          <w:sz w:val="24"/>
          <w:szCs w:val="24"/>
          <w:lang w:val="ru-MD"/>
        </w:rPr>
      </w:pPr>
      <w:bookmarkStart w:id="12" w:name="_Toc106833692"/>
    </w:p>
    <w:p w:rsidR="0011631F" w:rsidRPr="00A21A6B" w:rsidRDefault="0011631F" w:rsidP="00F40961">
      <w:pPr>
        <w:spacing w:line="276" w:lineRule="auto"/>
        <w:jc w:val="right"/>
        <w:rPr>
          <w:rFonts w:asciiTheme="majorHAnsi" w:eastAsia="Times New Roman" w:hAnsiTheme="majorHAnsi" w:cstheme="majorHAnsi"/>
          <w:b/>
          <w:bCs/>
          <w:sz w:val="24"/>
          <w:szCs w:val="24"/>
          <w:lang w:val="ru-MD"/>
        </w:rPr>
      </w:pPr>
    </w:p>
    <w:p w:rsidR="0011631F" w:rsidRPr="00A21A6B" w:rsidRDefault="0011631F" w:rsidP="00F40961">
      <w:pPr>
        <w:spacing w:line="276" w:lineRule="auto"/>
        <w:jc w:val="right"/>
        <w:rPr>
          <w:rFonts w:asciiTheme="majorHAnsi" w:eastAsia="Times New Roman" w:hAnsiTheme="majorHAnsi" w:cstheme="majorHAnsi"/>
          <w:b/>
          <w:bCs/>
          <w:sz w:val="24"/>
          <w:szCs w:val="24"/>
          <w:lang w:val="ru-MD"/>
        </w:rPr>
      </w:pPr>
    </w:p>
    <w:p w:rsidR="0011631F" w:rsidRPr="00A21A6B" w:rsidRDefault="0011631F" w:rsidP="00F40961">
      <w:pPr>
        <w:spacing w:line="276" w:lineRule="auto"/>
        <w:jc w:val="right"/>
        <w:rPr>
          <w:rFonts w:asciiTheme="majorHAnsi" w:eastAsia="Times New Roman" w:hAnsiTheme="majorHAnsi" w:cstheme="majorHAnsi"/>
          <w:b/>
          <w:bCs/>
          <w:sz w:val="24"/>
          <w:szCs w:val="24"/>
          <w:lang w:val="ru-MD"/>
        </w:rPr>
      </w:pPr>
    </w:p>
    <w:p w:rsidR="0011631F" w:rsidRPr="00A21A6B" w:rsidRDefault="0011631F" w:rsidP="00F40961">
      <w:pPr>
        <w:spacing w:line="276" w:lineRule="auto"/>
        <w:jc w:val="right"/>
        <w:rPr>
          <w:rFonts w:asciiTheme="majorHAnsi" w:eastAsia="Times New Roman" w:hAnsiTheme="majorHAnsi" w:cstheme="majorHAnsi"/>
          <w:b/>
          <w:bCs/>
          <w:sz w:val="24"/>
          <w:szCs w:val="24"/>
          <w:lang w:val="ru-MD"/>
        </w:rPr>
      </w:pPr>
      <w:r w:rsidRPr="00A21A6B">
        <w:rPr>
          <w:rFonts w:asciiTheme="majorHAnsi" w:eastAsia="Times New Roman" w:hAnsiTheme="majorHAnsi" w:cstheme="majorHAnsi"/>
          <w:b/>
          <w:bCs/>
          <w:sz w:val="24"/>
          <w:szCs w:val="24"/>
          <w:lang w:val="ru-MD"/>
        </w:rPr>
        <w:br w:type="page"/>
      </w:r>
    </w:p>
    <w:p w:rsidR="00F40961" w:rsidRPr="00A21A6B" w:rsidRDefault="005E5200" w:rsidP="00F40961">
      <w:pPr>
        <w:spacing w:line="276" w:lineRule="auto"/>
        <w:jc w:val="right"/>
        <w:rPr>
          <w:rFonts w:asciiTheme="majorHAnsi" w:eastAsia="Times New Roman" w:hAnsiTheme="majorHAnsi" w:cstheme="majorHAnsi"/>
          <w:b/>
          <w:bCs/>
          <w:sz w:val="24"/>
          <w:szCs w:val="24"/>
          <w:lang w:val="ru-MD"/>
        </w:rPr>
      </w:pPr>
      <w:r w:rsidRPr="00A21A6B">
        <w:rPr>
          <w:rFonts w:asciiTheme="majorHAnsi" w:eastAsia="Times New Roman" w:hAnsiTheme="majorHAnsi" w:cstheme="majorHAnsi"/>
          <w:b/>
          <w:bCs/>
          <w:sz w:val="24"/>
          <w:szCs w:val="24"/>
          <w:lang w:val="ru-MD"/>
        </w:rPr>
        <w:t>Приложение №</w:t>
      </w:r>
      <w:r w:rsidR="00F40961" w:rsidRPr="00A21A6B">
        <w:rPr>
          <w:rFonts w:asciiTheme="majorHAnsi" w:eastAsia="Times New Roman" w:hAnsiTheme="majorHAnsi" w:cstheme="majorHAnsi"/>
          <w:b/>
          <w:bCs/>
          <w:sz w:val="24"/>
          <w:szCs w:val="24"/>
          <w:lang w:val="ru-MD"/>
        </w:rPr>
        <w:t xml:space="preserve">1  </w:t>
      </w:r>
    </w:p>
    <w:p w:rsidR="00F40961" w:rsidRPr="00A21A6B" w:rsidRDefault="005E5200" w:rsidP="00F40961">
      <w:pPr>
        <w:spacing w:before="100" w:beforeAutospacing="1" w:after="0" w:line="240" w:lineRule="auto"/>
        <w:jc w:val="center"/>
        <w:outlineLvl w:val="1"/>
        <w:rPr>
          <w:rFonts w:asciiTheme="majorHAnsi" w:hAnsiTheme="majorHAnsi" w:cstheme="majorHAnsi"/>
          <w:b/>
          <w:sz w:val="24"/>
          <w:szCs w:val="24"/>
          <w:lang w:val="ru-MD"/>
        </w:rPr>
      </w:pPr>
      <w:r w:rsidRPr="00A21A6B">
        <w:rPr>
          <w:rFonts w:asciiTheme="majorHAnsi" w:hAnsiTheme="majorHAnsi" w:cstheme="majorHAnsi"/>
          <w:b/>
          <w:sz w:val="24"/>
          <w:szCs w:val="24"/>
          <w:lang w:val="ru-MD"/>
        </w:rPr>
        <w:t xml:space="preserve">НЕДОСТАТКИ </w:t>
      </w:r>
      <w:r w:rsidR="00296923" w:rsidRPr="00A21A6B">
        <w:rPr>
          <w:rFonts w:asciiTheme="majorHAnsi" w:hAnsiTheme="majorHAnsi" w:cstheme="majorHAnsi"/>
          <w:b/>
          <w:sz w:val="24"/>
          <w:szCs w:val="24"/>
          <w:lang w:val="ru-MD"/>
        </w:rPr>
        <w:t>ПРИ</w:t>
      </w:r>
      <w:r w:rsidRPr="00A21A6B">
        <w:rPr>
          <w:rFonts w:asciiTheme="majorHAnsi" w:hAnsiTheme="majorHAnsi" w:cstheme="majorHAnsi"/>
          <w:b/>
          <w:sz w:val="24"/>
          <w:szCs w:val="24"/>
          <w:lang w:val="ru-MD"/>
        </w:rPr>
        <w:t xml:space="preserve"> ПРОВЕДЕНИИ РЕФОРМ </w:t>
      </w:r>
      <w:r w:rsidR="006D073A" w:rsidRPr="00A21A6B">
        <w:rPr>
          <w:rFonts w:asciiTheme="majorHAnsi" w:hAnsiTheme="majorHAnsi" w:cstheme="majorHAnsi"/>
          <w:b/>
          <w:sz w:val="24"/>
          <w:szCs w:val="24"/>
          <w:lang w:val="ru-MD"/>
        </w:rPr>
        <w:t xml:space="preserve">ЦПУ </w:t>
      </w:r>
      <w:bookmarkEnd w:id="12"/>
    </w:p>
    <w:p w:rsidR="00F40961" w:rsidRPr="00A21A6B" w:rsidRDefault="00562715"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В соответствии с положениями </w:t>
      </w:r>
      <w:r w:rsidR="00AC4713" w:rsidRPr="00A21A6B">
        <w:rPr>
          <w:rFonts w:asciiTheme="majorHAnsi" w:hAnsiTheme="majorHAnsi" w:cstheme="majorHAnsi"/>
          <w:sz w:val="24"/>
          <w:szCs w:val="24"/>
          <w:lang w:val="ru-MD"/>
        </w:rPr>
        <w:t>ПП №</w:t>
      </w:r>
      <w:r w:rsidRPr="00A21A6B">
        <w:rPr>
          <w:rFonts w:asciiTheme="majorHAnsi" w:hAnsiTheme="majorHAnsi" w:cstheme="majorHAnsi"/>
          <w:sz w:val="24"/>
          <w:szCs w:val="24"/>
          <w:lang w:val="ru-MD"/>
        </w:rPr>
        <w:t xml:space="preserve">117/2021 „О реструктуризации центрального отраслевого публичного управления”, реорганизация должна была осуществляться путем составления </w:t>
      </w:r>
      <w:r w:rsidR="00AC4713" w:rsidRPr="00A21A6B">
        <w:rPr>
          <w:rFonts w:asciiTheme="majorHAnsi" w:hAnsiTheme="majorHAnsi" w:cstheme="majorHAnsi"/>
          <w:sz w:val="24"/>
          <w:szCs w:val="24"/>
          <w:lang w:val="ru-MD"/>
        </w:rPr>
        <w:t>ак</w:t>
      </w:r>
      <w:r w:rsidRPr="00A21A6B">
        <w:rPr>
          <w:rFonts w:asciiTheme="majorHAnsi" w:hAnsiTheme="majorHAnsi" w:cstheme="majorHAnsi"/>
          <w:sz w:val="24"/>
          <w:szCs w:val="24"/>
          <w:lang w:val="ru-MD"/>
        </w:rPr>
        <w:t>тов о приеме-</w:t>
      </w:r>
      <w:r w:rsidR="00AC4713" w:rsidRPr="00A21A6B">
        <w:rPr>
          <w:rFonts w:asciiTheme="majorHAnsi" w:hAnsiTheme="majorHAnsi" w:cstheme="majorHAnsi"/>
          <w:sz w:val="24"/>
          <w:szCs w:val="24"/>
          <w:lang w:val="ru-MD"/>
        </w:rPr>
        <w:t>пере</w:t>
      </w:r>
      <w:r w:rsidRPr="00A21A6B">
        <w:rPr>
          <w:rFonts w:asciiTheme="majorHAnsi" w:hAnsiTheme="majorHAnsi" w:cstheme="majorHAnsi"/>
          <w:sz w:val="24"/>
          <w:szCs w:val="24"/>
          <w:lang w:val="ru-MD"/>
        </w:rPr>
        <w:t xml:space="preserve">даче согласно </w:t>
      </w:r>
      <w:r w:rsidR="00AC4713" w:rsidRPr="00A21A6B">
        <w:rPr>
          <w:rFonts w:asciiTheme="majorHAnsi" w:hAnsiTheme="majorHAnsi" w:cstheme="majorHAnsi"/>
          <w:sz w:val="24"/>
          <w:szCs w:val="24"/>
          <w:lang w:val="ru-MD"/>
        </w:rPr>
        <w:t>ПП</w:t>
      </w:r>
      <w:r w:rsidRPr="00A21A6B">
        <w:rPr>
          <w:rFonts w:asciiTheme="majorHAnsi" w:hAnsiTheme="majorHAnsi" w:cstheme="majorHAnsi"/>
          <w:sz w:val="24"/>
          <w:szCs w:val="24"/>
          <w:lang w:val="ru-MD"/>
        </w:rPr>
        <w:t xml:space="preserve"> №</w:t>
      </w:r>
      <w:r w:rsidR="00880C89" w:rsidRPr="00A21A6B">
        <w:rPr>
          <w:rFonts w:asciiTheme="majorHAnsi" w:hAnsiTheme="majorHAnsi" w:cstheme="majorHAnsi"/>
          <w:sz w:val="24"/>
          <w:szCs w:val="24"/>
          <w:lang w:val="ru-MD"/>
        </w:rPr>
        <w:t>901/2015</w:t>
      </w:r>
      <w:r w:rsidR="00F40961" w:rsidRPr="00A21A6B">
        <w:rPr>
          <w:rFonts w:asciiTheme="majorHAnsi" w:hAnsiTheme="majorHAnsi" w:cstheme="majorHAnsi"/>
          <w:sz w:val="24"/>
          <w:szCs w:val="24"/>
          <w:lang w:val="ru-MD"/>
        </w:rPr>
        <w:t xml:space="preserve">. </w:t>
      </w:r>
      <w:r w:rsidR="0002465C" w:rsidRPr="00A21A6B">
        <w:rPr>
          <w:rFonts w:asciiTheme="majorHAnsi" w:hAnsiTheme="majorHAnsi" w:cstheme="majorHAnsi"/>
          <w:sz w:val="24"/>
          <w:szCs w:val="24"/>
          <w:lang w:val="ru-MD"/>
        </w:rPr>
        <w:t xml:space="preserve"> </w:t>
      </w:r>
    </w:p>
    <w:p w:rsidR="00F40961" w:rsidRPr="00A21A6B" w:rsidRDefault="00562715"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Следует отметить, что при разработке циркуляров Министерства финансов</w:t>
      </w:r>
      <w:r w:rsidR="004018F5"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не </w:t>
      </w:r>
      <w:r w:rsidR="004018F5" w:rsidRPr="00A21A6B">
        <w:rPr>
          <w:rFonts w:asciiTheme="majorHAnsi" w:hAnsiTheme="majorHAnsi" w:cstheme="majorHAnsi"/>
          <w:sz w:val="24"/>
          <w:szCs w:val="24"/>
          <w:lang w:val="ru-MD"/>
        </w:rPr>
        <w:t xml:space="preserve">были </w:t>
      </w:r>
      <w:r w:rsidRPr="00A21A6B">
        <w:rPr>
          <w:rFonts w:asciiTheme="majorHAnsi" w:hAnsiTheme="majorHAnsi" w:cstheme="majorHAnsi"/>
          <w:sz w:val="24"/>
          <w:szCs w:val="24"/>
          <w:lang w:val="ru-MD"/>
        </w:rPr>
        <w:t>уч</w:t>
      </w:r>
      <w:r w:rsidR="004018F5" w:rsidRPr="00A21A6B">
        <w:rPr>
          <w:rFonts w:asciiTheme="majorHAnsi" w:hAnsiTheme="majorHAnsi" w:cstheme="majorHAnsi"/>
          <w:sz w:val="24"/>
          <w:szCs w:val="24"/>
          <w:lang w:val="ru-MD"/>
        </w:rPr>
        <w:t>тены</w:t>
      </w:r>
      <w:r w:rsidRPr="00A21A6B">
        <w:rPr>
          <w:rFonts w:asciiTheme="majorHAnsi" w:hAnsiTheme="majorHAnsi" w:cstheme="majorHAnsi"/>
          <w:sz w:val="24"/>
          <w:szCs w:val="24"/>
          <w:lang w:val="ru-MD"/>
        </w:rPr>
        <w:t xml:space="preserve"> </w:t>
      </w:r>
      <w:r w:rsidR="004018F5" w:rsidRPr="00A21A6B">
        <w:rPr>
          <w:rFonts w:asciiTheme="majorHAnsi" w:hAnsiTheme="majorHAnsi" w:cstheme="majorHAnsi"/>
          <w:sz w:val="24"/>
          <w:szCs w:val="24"/>
          <w:lang w:val="ru-MD"/>
        </w:rPr>
        <w:t>предписания</w:t>
      </w:r>
      <w:r w:rsidRPr="00A21A6B">
        <w:rPr>
          <w:rFonts w:asciiTheme="majorHAnsi" w:hAnsiTheme="majorHAnsi" w:cstheme="majorHAnsi"/>
          <w:sz w:val="24"/>
          <w:szCs w:val="24"/>
          <w:lang w:val="ru-MD"/>
        </w:rPr>
        <w:t xml:space="preserve"> </w:t>
      </w:r>
      <w:r w:rsidR="004018F5"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 xml:space="preserve">. 5 </w:t>
      </w:r>
      <w:r w:rsidR="004018F5" w:rsidRPr="00A21A6B">
        <w:rPr>
          <w:rFonts w:asciiTheme="majorHAnsi" w:hAnsiTheme="majorHAnsi" w:cstheme="majorHAnsi"/>
          <w:sz w:val="24"/>
          <w:szCs w:val="24"/>
          <w:lang w:val="ru-MD"/>
        </w:rPr>
        <w:t>Положения</w:t>
      </w:r>
      <w:r w:rsidRPr="00A21A6B">
        <w:rPr>
          <w:rFonts w:asciiTheme="majorHAnsi" w:hAnsiTheme="majorHAnsi" w:cstheme="majorHAnsi"/>
          <w:sz w:val="24"/>
          <w:szCs w:val="24"/>
          <w:lang w:val="ru-MD"/>
        </w:rPr>
        <w:t xml:space="preserve">, </w:t>
      </w:r>
      <w:r w:rsidR="00D12F94" w:rsidRPr="00A21A6B">
        <w:rPr>
          <w:rFonts w:asciiTheme="majorHAnsi" w:hAnsiTheme="majorHAnsi" w:cstheme="majorHAnsi"/>
          <w:sz w:val="24"/>
          <w:szCs w:val="24"/>
          <w:lang w:val="ru-MD"/>
        </w:rPr>
        <w:t>который четко устанавливает</w:t>
      </w:r>
      <w:r w:rsidRPr="00A21A6B">
        <w:rPr>
          <w:rFonts w:asciiTheme="majorHAnsi" w:hAnsiTheme="majorHAnsi" w:cstheme="majorHAnsi"/>
          <w:sz w:val="24"/>
          <w:szCs w:val="24"/>
          <w:lang w:val="ru-MD"/>
        </w:rPr>
        <w:t xml:space="preserve">, что </w:t>
      </w:r>
      <w:r w:rsidR="004018F5" w:rsidRPr="00A21A6B">
        <w:rPr>
          <w:rFonts w:asciiTheme="majorHAnsi" w:hAnsiTheme="majorHAnsi" w:cstheme="majorHAnsi"/>
          <w:sz w:val="24"/>
          <w:szCs w:val="24"/>
          <w:lang w:val="ru-MD"/>
        </w:rPr>
        <w:t>„</w:t>
      </w:r>
      <w:r w:rsidR="00D12F94" w:rsidRPr="00A21A6B">
        <w:rPr>
          <w:rFonts w:asciiTheme="majorHAnsi" w:hAnsiTheme="majorHAnsi" w:cstheme="majorHAnsi"/>
          <w:sz w:val="24"/>
          <w:szCs w:val="24"/>
          <w:lang w:val="ru-MD"/>
        </w:rPr>
        <w:t>передача объектов публичной собственности осуществляется на основании первичных документов - акта передачи и накладной.</w:t>
      </w:r>
      <w:r w:rsidR="00F40961" w:rsidRPr="00A21A6B">
        <w:rPr>
          <w:rFonts w:asciiTheme="majorHAnsi" w:hAnsiTheme="majorHAnsi" w:cstheme="majorHAnsi"/>
          <w:sz w:val="24"/>
          <w:szCs w:val="24"/>
          <w:lang w:val="ru-MD"/>
        </w:rPr>
        <w:t xml:space="preserve"> </w:t>
      </w:r>
      <w:r w:rsidR="00D12F94" w:rsidRPr="00A21A6B">
        <w:rPr>
          <w:rFonts w:asciiTheme="majorHAnsi" w:hAnsiTheme="majorHAnsi" w:cstheme="majorHAnsi"/>
          <w:sz w:val="24"/>
          <w:szCs w:val="24"/>
          <w:lang w:val="ru-MD"/>
        </w:rPr>
        <w:t>Акт передачи составляется согласно требованиям настоящего Положения, а накладная – согласно инструкции, утвержденной Министерством финансов. Их исключение из бухгалтерского учета передающей стороны и отражение в бухгалтерском учете принимающей стороны, а также их перерегистрация осуществляются в порядке, установленном законодательством</w:t>
      </w:r>
      <w:r w:rsidRPr="00A21A6B">
        <w:rPr>
          <w:rFonts w:asciiTheme="majorHAnsi" w:hAnsiTheme="majorHAnsi" w:cstheme="majorHAnsi"/>
          <w:sz w:val="24"/>
          <w:szCs w:val="24"/>
          <w:lang w:val="ru-MD"/>
        </w:rPr>
        <w:t>”</w:t>
      </w:r>
      <w:r w:rsidR="00D12F94" w:rsidRPr="00A21A6B">
        <w:rPr>
          <w:rStyle w:val="FootnoteReference"/>
          <w:rFonts w:asciiTheme="majorHAnsi" w:hAnsiTheme="majorHAnsi" w:cstheme="majorHAnsi"/>
          <w:sz w:val="24"/>
          <w:szCs w:val="24"/>
          <w:lang w:val="ru-MD"/>
        </w:rPr>
        <w:t xml:space="preserve"> </w:t>
      </w:r>
      <w:r w:rsidR="00D12F94" w:rsidRPr="00A21A6B">
        <w:rPr>
          <w:rStyle w:val="FootnoteReference"/>
          <w:rFonts w:asciiTheme="majorHAnsi" w:hAnsiTheme="majorHAnsi" w:cstheme="majorHAnsi"/>
          <w:sz w:val="24"/>
          <w:szCs w:val="24"/>
          <w:lang w:val="ru-MD"/>
        </w:rPr>
        <w:footnoteReference w:id="35"/>
      </w:r>
      <w:r w:rsidRPr="00A21A6B">
        <w:rPr>
          <w:rFonts w:asciiTheme="majorHAnsi" w:hAnsiTheme="majorHAnsi" w:cstheme="majorHAnsi"/>
          <w:sz w:val="24"/>
          <w:szCs w:val="24"/>
          <w:lang w:val="ru-MD"/>
        </w:rPr>
        <w:t xml:space="preserve">. </w:t>
      </w:r>
      <w:r w:rsidR="00D12F94" w:rsidRPr="00A21A6B">
        <w:rPr>
          <w:rFonts w:asciiTheme="majorHAnsi" w:hAnsiTheme="majorHAnsi" w:cstheme="majorHAnsi"/>
          <w:sz w:val="24"/>
          <w:szCs w:val="24"/>
          <w:lang w:val="ru-MD"/>
        </w:rPr>
        <w:t>В итоге</w:t>
      </w:r>
      <w:r w:rsidRPr="00A21A6B">
        <w:rPr>
          <w:rFonts w:asciiTheme="majorHAnsi" w:hAnsiTheme="majorHAnsi" w:cstheme="majorHAnsi"/>
          <w:sz w:val="24"/>
          <w:szCs w:val="24"/>
          <w:lang w:val="ru-MD"/>
        </w:rPr>
        <w:t>, к акту приема-передачи не были приложены балансы распределения/</w:t>
      </w:r>
      <w:r w:rsidR="00D12F94" w:rsidRPr="00A21A6B">
        <w:rPr>
          <w:rFonts w:asciiTheme="majorHAnsi" w:hAnsiTheme="majorHAnsi" w:cstheme="majorHAnsi"/>
          <w:sz w:val="24"/>
          <w:szCs w:val="24"/>
          <w:lang w:val="ru-MD"/>
        </w:rPr>
        <w:t>раз</w:t>
      </w:r>
      <w:r w:rsidRPr="00A21A6B">
        <w:rPr>
          <w:rFonts w:asciiTheme="majorHAnsi" w:hAnsiTheme="majorHAnsi" w:cstheme="majorHAnsi"/>
          <w:sz w:val="24"/>
          <w:szCs w:val="24"/>
          <w:lang w:val="ru-MD"/>
        </w:rPr>
        <w:t xml:space="preserve">деления с указанием остатков по переданным счетам, они были закрыты </w:t>
      </w:r>
      <w:r w:rsidR="00D12F94" w:rsidRPr="00A21A6B">
        <w:rPr>
          <w:rFonts w:asciiTheme="majorHAnsi" w:hAnsiTheme="majorHAnsi" w:cstheme="majorHAnsi"/>
          <w:sz w:val="24"/>
          <w:szCs w:val="24"/>
          <w:lang w:val="ru-MD"/>
        </w:rPr>
        <w:t>со значением</w:t>
      </w:r>
      <w:r w:rsidRPr="00A21A6B">
        <w:rPr>
          <w:rFonts w:asciiTheme="majorHAnsi" w:hAnsiTheme="majorHAnsi" w:cstheme="majorHAnsi"/>
          <w:sz w:val="24"/>
          <w:szCs w:val="24"/>
          <w:lang w:val="ru-MD"/>
        </w:rPr>
        <w:t xml:space="preserve"> </w:t>
      </w:r>
      <w:r w:rsidR="00D12F94" w:rsidRPr="00A21A6B">
        <w:rPr>
          <w:rFonts w:asciiTheme="majorHAnsi" w:hAnsiTheme="majorHAnsi" w:cstheme="majorHAnsi"/>
          <w:sz w:val="24"/>
          <w:szCs w:val="24"/>
          <w:lang w:val="ru-MD"/>
        </w:rPr>
        <w:t>„ноль”</w:t>
      </w:r>
      <w:r w:rsidRPr="00A21A6B">
        <w:rPr>
          <w:rFonts w:asciiTheme="majorHAnsi" w:hAnsiTheme="majorHAnsi" w:cstheme="majorHAnsi"/>
          <w:sz w:val="24"/>
          <w:szCs w:val="24"/>
          <w:lang w:val="ru-MD"/>
        </w:rPr>
        <w:t>, что затрудн</w:t>
      </w:r>
      <w:r w:rsidR="00D12F94"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ло вы</w:t>
      </w:r>
      <w:r w:rsidR="00D12F94" w:rsidRPr="00A21A6B">
        <w:rPr>
          <w:rFonts w:asciiTheme="majorHAnsi" w:hAnsiTheme="majorHAnsi" w:cstheme="majorHAnsi"/>
          <w:sz w:val="24"/>
          <w:szCs w:val="24"/>
          <w:lang w:val="ru-MD"/>
        </w:rPr>
        <w:t>несение</w:t>
      </w:r>
      <w:r w:rsidRPr="00A21A6B">
        <w:rPr>
          <w:rFonts w:asciiTheme="majorHAnsi" w:hAnsiTheme="majorHAnsi" w:cstheme="majorHAnsi"/>
          <w:sz w:val="24"/>
          <w:szCs w:val="24"/>
          <w:lang w:val="ru-MD"/>
        </w:rPr>
        <w:t xml:space="preserve"> аудиторского заключения в условиях </w:t>
      </w:r>
      <w:r w:rsidR="00D12F94" w:rsidRPr="00A21A6B">
        <w:rPr>
          <w:rFonts w:asciiTheme="majorHAnsi" w:hAnsiTheme="majorHAnsi" w:cstheme="majorHAnsi"/>
          <w:sz w:val="24"/>
          <w:szCs w:val="24"/>
          <w:lang w:val="ru-MD"/>
        </w:rPr>
        <w:t>выяв</w:t>
      </w:r>
      <w:r w:rsidRPr="00A21A6B">
        <w:rPr>
          <w:rFonts w:asciiTheme="majorHAnsi" w:hAnsiTheme="majorHAnsi" w:cstheme="majorHAnsi"/>
          <w:sz w:val="24"/>
          <w:szCs w:val="24"/>
          <w:lang w:val="ru-MD"/>
        </w:rPr>
        <w:t>ления искажения стоимости остатков, подлежащих передаче</w:t>
      </w:r>
      <w:r w:rsidR="00F40961" w:rsidRPr="00A21A6B">
        <w:rPr>
          <w:rFonts w:asciiTheme="majorHAnsi" w:hAnsiTheme="majorHAnsi" w:cstheme="majorHAnsi"/>
          <w:sz w:val="24"/>
          <w:szCs w:val="24"/>
          <w:lang w:val="ru-MD"/>
        </w:rPr>
        <w:t xml:space="preserve">. </w:t>
      </w:r>
    </w:p>
    <w:p w:rsidR="00F40961" w:rsidRPr="00A21A6B" w:rsidRDefault="00883531"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Вместе с тем,</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отсутствуют</w:t>
      </w:r>
      <w:r w:rsidR="00562715" w:rsidRPr="00A21A6B">
        <w:rPr>
          <w:rFonts w:asciiTheme="majorHAnsi" w:hAnsiTheme="majorHAnsi" w:cstheme="majorHAnsi"/>
          <w:sz w:val="24"/>
          <w:szCs w:val="24"/>
          <w:lang w:val="ru-MD"/>
        </w:rPr>
        <w:t xml:space="preserve"> исчерпывающи</w:t>
      </w:r>
      <w:r w:rsidRPr="00A21A6B">
        <w:rPr>
          <w:rFonts w:asciiTheme="majorHAnsi" w:hAnsiTheme="majorHAnsi" w:cstheme="majorHAnsi"/>
          <w:sz w:val="24"/>
          <w:szCs w:val="24"/>
          <w:lang w:val="ru-MD"/>
        </w:rPr>
        <w:t>е</w:t>
      </w:r>
      <w:r w:rsidR="00562715" w:rsidRPr="00A21A6B">
        <w:rPr>
          <w:rFonts w:asciiTheme="majorHAnsi" w:hAnsiTheme="majorHAnsi" w:cstheme="majorHAnsi"/>
          <w:sz w:val="24"/>
          <w:szCs w:val="24"/>
          <w:lang w:val="ru-MD"/>
        </w:rPr>
        <w:t xml:space="preserve"> правил</w:t>
      </w:r>
      <w:r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 xml:space="preserve"> относительно </w:t>
      </w:r>
      <w:r w:rsidRPr="00A21A6B">
        <w:rPr>
          <w:rFonts w:asciiTheme="majorHAnsi" w:hAnsiTheme="majorHAnsi" w:cstheme="majorHAnsi"/>
          <w:sz w:val="24"/>
          <w:szCs w:val="24"/>
          <w:lang w:val="ru-MD"/>
        </w:rPr>
        <w:t>календаря</w:t>
      </w:r>
      <w:r w:rsidR="00562715" w:rsidRPr="00A21A6B">
        <w:rPr>
          <w:rFonts w:asciiTheme="majorHAnsi" w:hAnsiTheme="majorHAnsi" w:cstheme="majorHAnsi"/>
          <w:sz w:val="24"/>
          <w:szCs w:val="24"/>
          <w:lang w:val="ru-MD"/>
        </w:rPr>
        <w:t xml:space="preserve"> действий в рамках такого рода</w:t>
      </w:r>
      <w:r w:rsidRPr="00A21A6B">
        <w:rPr>
          <w:rFonts w:asciiTheme="majorHAnsi" w:hAnsiTheme="majorHAnsi" w:cstheme="majorHAnsi"/>
          <w:sz w:val="24"/>
          <w:szCs w:val="24"/>
          <w:lang w:val="ru-MD"/>
        </w:rPr>
        <w:t xml:space="preserve"> реформ</w:t>
      </w:r>
      <w:r w:rsidR="00562715" w:rsidRPr="00A21A6B">
        <w:rPr>
          <w:rFonts w:asciiTheme="majorHAnsi" w:hAnsiTheme="majorHAnsi" w:cstheme="majorHAnsi"/>
          <w:sz w:val="24"/>
          <w:szCs w:val="24"/>
          <w:lang w:val="ru-MD"/>
        </w:rPr>
        <w:t>: 1 этап – составление отчетов</w:t>
      </w:r>
      <w:r w:rsidRPr="00A21A6B">
        <w:rPr>
          <w:rFonts w:asciiTheme="majorHAnsi" w:hAnsiTheme="majorHAnsi" w:cstheme="majorHAnsi"/>
          <w:sz w:val="24"/>
          <w:szCs w:val="24"/>
          <w:lang w:val="ru-MD"/>
        </w:rPr>
        <w:t xml:space="preserve"> субъектами в процессе</w:t>
      </w:r>
      <w:r w:rsidR="00562715" w:rsidRPr="00A21A6B">
        <w:rPr>
          <w:rFonts w:asciiTheme="majorHAnsi" w:hAnsiTheme="majorHAnsi" w:cstheme="majorHAnsi"/>
          <w:sz w:val="24"/>
          <w:szCs w:val="24"/>
          <w:lang w:val="ru-MD"/>
        </w:rPr>
        <w:t xml:space="preserve"> ликвид</w:t>
      </w:r>
      <w:r w:rsidRPr="00A21A6B">
        <w:rPr>
          <w:rFonts w:asciiTheme="majorHAnsi" w:hAnsiTheme="majorHAnsi" w:cstheme="majorHAnsi"/>
          <w:sz w:val="24"/>
          <w:szCs w:val="24"/>
          <w:lang w:val="ru-MD"/>
        </w:rPr>
        <w:t>аци</w:t>
      </w:r>
      <w:r w:rsidR="00562715" w:rsidRPr="00A21A6B">
        <w:rPr>
          <w:rFonts w:asciiTheme="majorHAnsi" w:hAnsiTheme="majorHAnsi" w:cstheme="majorHAnsi"/>
          <w:sz w:val="24"/>
          <w:szCs w:val="24"/>
          <w:lang w:val="ru-MD"/>
        </w:rPr>
        <w:t>и/реорганиз</w:t>
      </w:r>
      <w:r w:rsidRPr="00A21A6B">
        <w:rPr>
          <w:rFonts w:asciiTheme="majorHAnsi" w:hAnsiTheme="majorHAnsi" w:cstheme="majorHAnsi"/>
          <w:sz w:val="24"/>
          <w:szCs w:val="24"/>
          <w:lang w:val="ru-MD"/>
        </w:rPr>
        <w:t>аци</w:t>
      </w:r>
      <w:r w:rsidR="00562715" w:rsidRPr="00A21A6B">
        <w:rPr>
          <w:rFonts w:asciiTheme="majorHAnsi" w:hAnsiTheme="majorHAnsi" w:cstheme="majorHAnsi"/>
          <w:sz w:val="24"/>
          <w:szCs w:val="24"/>
          <w:lang w:val="ru-MD"/>
        </w:rPr>
        <w:t>и (старые коды) до разделения, 2 этап</w:t>
      </w:r>
      <w:r w:rsidRPr="00A21A6B">
        <w:rPr>
          <w:rFonts w:asciiTheme="majorHAnsi" w:hAnsiTheme="majorHAnsi" w:cstheme="majorHAnsi"/>
          <w:sz w:val="24"/>
          <w:szCs w:val="24"/>
          <w:lang w:val="ru-MD"/>
        </w:rPr>
        <w:t xml:space="preserve"> </w:t>
      </w:r>
      <w:r w:rsidR="00562715"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w:t>
      </w:r>
      <w:r w:rsidR="00562715" w:rsidRPr="00A21A6B">
        <w:rPr>
          <w:rFonts w:asciiTheme="majorHAnsi" w:hAnsiTheme="majorHAnsi" w:cstheme="majorHAnsi"/>
          <w:sz w:val="24"/>
          <w:szCs w:val="24"/>
          <w:lang w:val="ru-MD"/>
        </w:rPr>
        <w:t xml:space="preserve">составление консолидированного баланса разделения структурами </w:t>
      </w:r>
      <w:r w:rsidRPr="00A21A6B">
        <w:rPr>
          <w:rFonts w:asciiTheme="majorHAnsi" w:hAnsiTheme="majorHAnsi" w:cstheme="majorHAnsi"/>
          <w:sz w:val="24"/>
          <w:szCs w:val="24"/>
          <w:lang w:val="ru-MD"/>
        </w:rPr>
        <w:t>в процессе</w:t>
      </w:r>
      <w:r w:rsidR="00562715" w:rsidRPr="00A21A6B">
        <w:rPr>
          <w:rFonts w:asciiTheme="majorHAnsi" w:hAnsiTheme="majorHAnsi" w:cstheme="majorHAnsi"/>
          <w:sz w:val="24"/>
          <w:szCs w:val="24"/>
          <w:lang w:val="ru-MD"/>
        </w:rPr>
        <w:t xml:space="preserve"> реорганиз</w:t>
      </w:r>
      <w:r w:rsidRPr="00A21A6B">
        <w:rPr>
          <w:rFonts w:asciiTheme="majorHAnsi" w:hAnsiTheme="majorHAnsi" w:cstheme="majorHAnsi"/>
          <w:sz w:val="24"/>
          <w:szCs w:val="24"/>
          <w:lang w:val="ru-MD"/>
        </w:rPr>
        <w:t>ации</w:t>
      </w:r>
      <w:r w:rsidR="00562715" w:rsidRPr="00A21A6B">
        <w:rPr>
          <w:rFonts w:asciiTheme="majorHAnsi" w:hAnsiTheme="majorHAnsi" w:cstheme="majorHAnsi"/>
          <w:sz w:val="24"/>
          <w:szCs w:val="24"/>
          <w:lang w:val="ru-MD"/>
        </w:rPr>
        <w:t>/ликвид</w:t>
      </w:r>
      <w:r w:rsidRPr="00A21A6B">
        <w:rPr>
          <w:rFonts w:asciiTheme="majorHAnsi" w:hAnsiTheme="majorHAnsi" w:cstheme="majorHAnsi"/>
          <w:sz w:val="24"/>
          <w:szCs w:val="24"/>
          <w:lang w:val="ru-MD"/>
        </w:rPr>
        <w:t>ации</w:t>
      </w:r>
      <w:r w:rsidR="00562715" w:rsidRPr="00A21A6B">
        <w:rPr>
          <w:rFonts w:asciiTheme="majorHAnsi" w:hAnsiTheme="majorHAnsi" w:cstheme="majorHAnsi"/>
          <w:sz w:val="24"/>
          <w:szCs w:val="24"/>
          <w:lang w:val="ru-MD"/>
        </w:rPr>
        <w:t xml:space="preserve">, 3 этап – составление консолидированного баланса вновь созданными структурами. Необходимо </w:t>
      </w:r>
      <w:r w:rsidRPr="00A21A6B">
        <w:rPr>
          <w:rFonts w:asciiTheme="majorHAnsi" w:hAnsiTheme="majorHAnsi" w:cstheme="majorHAnsi"/>
          <w:sz w:val="24"/>
          <w:szCs w:val="24"/>
          <w:lang w:val="ru-MD"/>
        </w:rPr>
        <w:t>выделя</w:t>
      </w:r>
      <w:r w:rsidR="00562715" w:rsidRPr="00A21A6B">
        <w:rPr>
          <w:rFonts w:asciiTheme="majorHAnsi" w:hAnsiTheme="majorHAnsi" w:cstheme="majorHAnsi"/>
          <w:sz w:val="24"/>
          <w:szCs w:val="24"/>
          <w:lang w:val="ru-MD"/>
        </w:rPr>
        <w:t xml:space="preserve">ть </w:t>
      </w:r>
      <w:r w:rsidRPr="00A21A6B">
        <w:rPr>
          <w:rFonts w:asciiTheme="majorHAnsi" w:hAnsiTheme="majorHAnsi" w:cstheme="majorHAnsi"/>
          <w:sz w:val="24"/>
          <w:szCs w:val="24"/>
          <w:lang w:val="ru-MD"/>
        </w:rPr>
        <w:t>для</w:t>
      </w:r>
      <w:r w:rsidR="00562715" w:rsidRPr="00A21A6B">
        <w:rPr>
          <w:rFonts w:asciiTheme="majorHAnsi" w:hAnsiTheme="majorHAnsi" w:cstheme="majorHAnsi"/>
          <w:sz w:val="24"/>
          <w:szCs w:val="24"/>
          <w:lang w:val="ru-MD"/>
        </w:rPr>
        <w:t xml:space="preserve"> каждо</w:t>
      </w:r>
      <w:r w:rsidRPr="00A21A6B">
        <w:rPr>
          <w:rFonts w:asciiTheme="majorHAnsi" w:hAnsiTheme="majorHAnsi" w:cstheme="majorHAnsi"/>
          <w:sz w:val="24"/>
          <w:szCs w:val="24"/>
          <w:lang w:val="ru-MD"/>
        </w:rPr>
        <w:t>го</w:t>
      </w:r>
      <w:r w:rsidR="00562715" w:rsidRPr="00A21A6B">
        <w:rPr>
          <w:rFonts w:asciiTheme="majorHAnsi" w:hAnsiTheme="majorHAnsi" w:cstheme="majorHAnsi"/>
          <w:sz w:val="24"/>
          <w:szCs w:val="24"/>
          <w:lang w:val="ru-MD"/>
        </w:rPr>
        <w:t xml:space="preserve"> этап</w:t>
      </w:r>
      <w:r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 xml:space="preserve"> достаточное количеств</w:t>
      </w:r>
      <w:r w:rsidRPr="00A21A6B">
        <w:rPr>
          <w:rFonts w:asciiTheme="majorHAnsi" w:hAnsiTheme="majorHAnsi" w:cstheme="majorHAnsi"/>
          <w:sz w:val="24"/>
          <w:szCs w:val="24"/>
          <w:lang w:val="ru-MD"/>
        </w:rPr>
        <w:t>о дней для составления балансов, в</w:t>
      </w:r>
      <w:r w:rsidR="00562715" w:rsidRPr="00A21A6B">
        <w:rPr>
          <w:rFonts w:asciiTheme="majorHAnsi" w:hAnsiTheme="majorHAnsi" w:cstheme="majorHAnsi"/>
          <w:sz w:val="24"/>
          <w:szCs w:val="24"/>
          <w:lang w:val="ru-MD"/>
        </w:rPr>
        <w:t>ключая количество дней, предоставленных высшему иерархическому органу для рассмотрения и проверки соответствующих отчетов, а также количество дней, необходимых Министерству финансов для рассмотрения и проверки консолидированных отчетов и т. д</w:t>
      </w:r>
      <w:r w:rsidR="00F40961" w:rsidRPr="00A21A6B">
        <w:rPr>
          <w:rFonts w:asciiTheme="majorHAnsi" w:hAnsiTheme="majorHAnsi" w:cstheme="majorHAnsi"/>
          <w:sz w:val="24"/>
          <w:szCs w:val="24"/>
          <w:lang w:val="ru-MD"/>
        </w:rPr>
        <w:t>.</w:t>
      </w:r>
    </w:p>
    <w:p w:rsidR="00F40961" w:rsidRPr="00A21A6B" w:rsidRDefault="00BA22C1"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Одновременно, </w:t>
      </w:r>
      <w:r w:rsidR="00562715" w:rsidRPr="00A21A6B">
        <w:rPr>
          <w:rFonts w:asciiTheme="majorHAnsi" w:hAnsiTheme="majorHAnsi" w:cstheme="majorHAnsi"/>
          <w:sz w:val="24"/>
          <w:szCs w:val="24"/>
          <w:lang w:val="ru-MD"/>
        </w:rPr>
        <w:t xml:space="preserve">несоблюдение сроков </w:t>
      </w:r>
      <w:r w:rsidRPr="00A21A6B">
        <w:rPr>
          <w:rFonts w:asciiTheme="majorHAnsi" w:hAnsiTheme="majorHAnsi" w:cstheme="majorHAnsi"/>
          <w:sz w:val="24"/>
          <w:szCs w:val="24"/>
          <w:lang w:val="ru-MD"/>
        </w:rPr>
        <w:t>реализации</w:t>
      </w:r>
      <w:r w:rsidR="00562715" w:rsidRPr="00A21A6B">
        <w:rPr>
          <w:rFonts w:asciiTheme="majorHAnsi" w:hAnsiTheme="majorHAnsi" w:cstheme="majorHAnsi"/>
          <w:sz w:val="24"/>
          <w:szCs w:val="24"/>
          <w:lang w:val="ru-MD"/>
        </w:rPr>
        <w:t xml:space="preserve"> реформ </w:t>
      </w:r>
      <w:r w:rsidRPr="00A21A6B">
        <w:rPr>
          <w:rFonts w:asciiTheme="majorHAnsi" w:hAnsiTheme="majorHAnsi" w:cstheme="majorHAnsi"/>
          <w:sz w:val="24"/>
          <w:szCs w:val="24"/>
          <w:lang w:val="ru-MD"/>
        </w:rPr>
        <w:t>ЦПУ</w:t>
      </w:r>
      <w:r w:rsidR="00562715" w:rsidRPr="00A21A6B">
        <w:rPr>
          <w:rFonts w:asciiTheme="majorHAnsi" w:hAnsiTheme="majorHAnsi" w:cstheme="majorHAnsi"/>
          <w:sz w:val="24"/>
          <w:szCs w:val="24"/>
          <w:lang w:val="ru-MD"/>
        </w:rPr>
        <w:t xml:space="preserve">, проведенных в 2021 году и в предыдущие годы, </w:t>
      </w:r>
      <w:r w:rsidRPr="00A21A6B">
        <w:rPr>
          <w:rFonts w:asciiTheme="majorHAnsi" w:hAnsiTheme="majorHAnsi" w:cstheme="majorHAnsi"/>
          <w:sz w:val="24"/>
          <w:szCs w:val="24"/>
          <w:lang w:val="ru-MD"/>
        </w:rPr>
        <w:t>обусловле</w:t>
      </w:r>
      <w:r w:rsidR="00562715" w:rsidRPr="00A21A6B">
        <w:rPr>
          <w:rFonts w:asciiTheme="majorHAnsi" w:hAnsiTheme="majorHAnsi" w:cstheme="majorHAnsi"/>
          <w:sz w:val="24"/>
          <w:szCs w:val="24"/>
          <w:lang w:val="ru-MD"/>
        </w:rPr>
        <w:t xml:space="preserve">но </w:t>
      </w:r>
      <w:r w:rsidRPr="00A21A6B">
        <w:rPr>
          <w:rFonts w:asciiTheme="majorHAnsi" w:hAnsiTheme="majorHAnsi" w:cstheme="majorHAnsi"/>
          <w:sz w:val="24"/>
          <w:szCs w:val="24"/>
          <w:lang w:val="ru-MD"/>
        </w:rPr>
        <w:t>допущенными нарушения</w:t>
      </w:r>
      <w:r w:rsidR="00562715" w:rsidRPr="00A21A6B">
        <w:rPr>
          <w:rFonts w:asciiTheme="majorHAnsi" w:hAnsiTheme="majorHAnsi" w:cstheme="majorHAnsi"/>
          <w:sz w:val="24"/>
          <w:szCs w:val="24"/>
          <w:lang w:val="ru-MD"/>
        </w:rPr>
        <w:t xml:space="preserve">ми </w:t>
      </w:r>
      <w:r w:rsidRPr="00A21A6B">
        <w:rPr>
          <w:rFonts w:asciiTheme="majorHAnsi" w:hAnsiTheme="majorHAnsi" w:cstheme="majorHAnsi"/>
          <w:sz w:val="24"/>
          <w:szCs w:val="24"/>
          <w:lang w:val="ru-MD"/>
        </w:rPr>
        <w:t xml:space="preserve">при </w:t>
      </w:r>
      <w:r w:rsidR="00562715" w:rsidRPr="00A21A6B">
        <w:rPr>
          <w:rFonts w:asciiTheme="majorHAnsi" w:hAnsiTheme="majorHAnsi" w:cstheme="majorHAnsi"/>
          <w:sz w:val="24"/>
          <w:szCs w:val="24"/>
          <w:lang w:val="ru-MD"/>
        </w:rPr>
        <w:t>разделени</w:t>
      </w:r>
      <w:r w:rsidRPr="00A21A6B">
        <w:rPr>
          <w:rFonts w:asciiTheme="majorHAnsi" w:hAnsiTheme="majorHAnsi" w:cstheme="majorHAnsi"/>
          <w:sz w:val="24"/>
          <w:szCs w:val="24"/>
          <w:lang w:val="ru-MD"/>
        </w:rPr>
        <w:t>и</w:t>
      </w:r>
      <w:r w:rsidR="00562715" w:rsidRPr="00A21A6B">
        <w:rPr>
          <w:rFonts w:asciiTheme="majorHAnsi" w:hAnsiTheme="majorHAnsi" w:cstheme="majorHAnsi"/>
          <w:sz w:val="24"/>
          <w:szCs w:val="24"/>
          <w:lang w:val="ru-MD"/>
        </w:rPr>
        <w:t xml:space="preserve"> имущества, </w:t>
      </w:r>
      <w:r w:rsidRPr="00A21A6B">
        <w:rPr>
          <w:rFonts w:asciiTheme="majorHAnsi" w:hAnsiTheme="majorHAnsi" w:cstheme="majorHAnsi"/>
          <w:sz w:val="24"/>
          <w:szCs w:val="24"/>
          <w:lang w:val="ru-MD"/>
        </w:rPr>
        <w:t>вследствие чего</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обязательства</w:t>
      </w:r>
      <w:r w:rsidR="00562715" w:rsidRPr="00A21A6B">
        <w:rPr>
          <w:rFonts w:asciiTheme="majorHAnsi" w:hAnsiTheme="majorHAnsi" w:cstheme="majorHAnsi"/>
          <w:sz w:val="24"/>
          <w:szCs w:val="24"/>
          <w:lang w:val="ru-MD"/>
        </w:rPr>
        <w:t xml:space="preserve"> и долги обычно искажаются </w:t>
      </w:r>
      <w:r w:rsidRPr="00A21A6B">
        <w:rPr>
          <w:rFonts w:asciiTheme="majorHAnsi" w:hAnsiTheme="majorHAnsi" w:cstheme="majorHAnsi"/>
          <w:sz w:val="24"/>
          <w:szCs w:val="24"/>
          <w:lang w:val="ru-MD"/>
        </w:rPr>
        <w:t>на</w:t>
      </w:r>
      <w:r w:rsidR="00562715" w:rsidRPr="00A21A6B">
        <w:rPr>
          <w:rFonts w:asciiTheme="majorHAnsi" w:hAnsiTheme="majorHAnsi" w:cstheme="majorHAnsi"/>
          <w:sz w:val="24"/>
          <w:szCs w:val="24"/>
          <w:lang w:val="ru-MD"/>
        </w:rPr>
        <w:t xml:space="preserve"> кажд</w:t>
      </w:r>
      <w:r w:rsidRPr="00A21A6B">
        <w:rPr>
          <w:rFonts w:asciiTheme="majorHAnsi" w:hAnsiTheme="majorHAnsi" w:cstheme="majorHAnsi"/>
          <w:sz w:val="24"/>
          <w:szCs w:val="24"/>
          <w:lang w:val="ru-MD"/>
        </w:rPr>
        <w:t>ую</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дату </w:t>
      </w:r>
      <w:r w:rsidR="00562715" w:rsidRPr="00A21A6B">
        <w:rPr>
          <w:rFonts w:asciiTheme="majorHAnsi" w:hAnsiTheme="majorHAnsi" w:cstheme="majorHAnsi"/>
          <w:sz w:val="24"/>
          <w:szCs w:val="24"/>
          <w:lang w:val="ru-MD"/>
        </w:rPr>
        <w:t>закрыти</w:t>
      </w:r>
      <w:r w:rsidRPr="00A21A6B">
        <w:rPr>
          <w:rFonts w:asciiTheme="majorHAnsi" w:hAnsiTheme="majorHAnsi" w:cstheme="majorHAnsi"/>
          <w:sz w:val="24"/>
          <w:szCs w:val="24"/>
          <w:lang w:val="ru-MD"/>
        </w:rPr>
        <w:t>я</w:t>
      </w:r>
      <w:r w:rsidR="00562715" w:rsidRPr="00A21A6B">
        <w:rPr>
          <w:rFonts w:asciiTheme="majorHAnsi" w:hAnsiTheme="majorHAnsi" w:cstheme="majorHAnsi"/>
          <w:sz w:val="24"/>
          <w:szCs w:val="24"/>
          <w:lang w:val="ru-MD"/>
        </w:rPr>
        <w:t xml:space="preserve"> отчетности</w:t>
      </w:r>
      <w:r w:rsidR="00F40961" w:rsidRPr="00A21A6B">
        <w:rPr>
          <w:rFonts w:asciiTheme="majorHAnsi" w:hAnsiTheme="majorHAnsi" w:cstheme="majorHAnsi"/>
          <w:sz w:val="24"/>
          <w:szCs w:val="24"/>
          <w:lang w:val="ru-MD"/>
        </w:rPr>
        <w:t>.</w:t>
      </w:r>
    </w:p>
    <w:p w:rsidR="00EB5375" w:rsidRPr="00A21A6B" w:rsidRDefault="00562715" w:rsidP="00355CA5">
      <w:pPr>
        <w:tabs>
          <w:tab w:val="left" w:pos="810"/>
          <w:tab w:val="left" w:pos="1701"/>
        </w:tabs>
        <w:spacing w:before="60" w:after="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Чтобы избежать подобных ситуаций в будущем, было бы целесообразно провести реформы </w:t>
      </w:r>
      <w:r w:rsidR="00BA22C1" w:rsidRPr="00A21A6B">
        <w:rPr>
          <w:rFonts w:asciiTheme="majorHAnsi" w:hAnsiTheme="majorHAnsi" w:cstheme="majorHAnsi"/>
          <w:sz w:val="24"/>
          <w:szCs w:val="24"/>
          <w:lang w:val="ru-MD"/>
        </w:rPr>
        <w:t>ЦПУ</w:t>
      </w:r>
      <w:r w:rsidRPr="00A21A6B">
        <w:rPr>
          <w:rFonts w:asciiTheme="majorHAnsi" w:hAnsiTheme="majorHAnsi" w:cstheme="majorHAnsi"/>
          <w:sz w:val="24"/>
          <w:szCs w:val="24"/>
          <w:lang w:val="ru-MD"/>
        </w:rPr>
        <w:t xml:space="preserve"> в 2 этапа: 1 этап</w:t>
      </w:r>
      <w:r w:rsidR="00BA22C1"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w:t>
      </w:r>
      <w:r w:rsidR="00BA22C1"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передача </w:t>
      </w:r>
      <w:r w:rsidR="00BA22C1" w:rsidRPr="00A21A6B">
        <w:rPr>
          <w:rFonts w:asciiTheme="majorHAnsi" w:hAnsiTheme="majorHAnsi" w:cstheme="majorHAnsi"/>
          <w:sz w:val="24"/>
          <w:szCs w:val="24"/>
          <w:lang w:val="ru-MD"/>
        </w:rPr>
        <w:t>обязательств</w:t>
      </w:r>
      <w:r w:rsidRPr="00A21A6B">
        <w:rPr>
          <w:rFonts w:asciiTheme="majorHAnsi" w:hAnsiTheme="majorHAnsi" w:cstheme="majorHAnsi"/>
          <w:sz w:val="24"/>
          <w:szCs w:val="24"/>
          <w:lang w:val="ru-MD"/>
        </w:rPr>
        <w:t>/долгов и остатков денежных средств, чтобы исключить их искажение в процессе отчетности как реорганизованными/ликвидированными структурами (старый код), так и вновь созданными структурами (новые коды)</w:t>
      </w:r>
      <w:r w:rsidR="00BA22C1"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в результате изменения банковских реквизитов и </w:t>
      </w:r>
      <w:r w:rsidR="00BA22C1" w:rsidRPr="00A21A6B">
        <w:rPr>
          <w:rFonts w:asciiTheme="majorHAnsi" w:hAnsiTheme="majorHAnsi" w:cstheme="majorHAnsi"/>
          <w:sz w:val="24"/>
          <w:szCs w:val="24"/>
          <w:lang w:val="ru-MD"/>
        </w:rPr>
        <w:t xml:space="preserve">регистрации в </w:t>
      </w:r>
      <w:r w:rsidRPr="00A21A6B">
        <w:rPr>
          <w:rFonts w:asciiTheme="majorHAnsi" w:hAnsiTheme="majorHAnsi" w:cstheme="majorHAnsi"/>
          <w:sz w:val="24"/>
          <w:szCs w:val="24"/>
          <w:lang w:val="ru-MD"/>
        </w:rPr>
        <w:t>учет</w:t>
      </w:r>
      <w:r w:rsidR="00BA22C1"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операций </w:t>
      </w:r>
      <w:r w:rsidR="00BA22C1" w:rsidRPr="00A21A6B">
        <w:rPr>
          <w:rFonts w:asciiTheme="majorHAnsi" w:hAnsiTheme="majorHAnsi" w:cstheme="majorHAnsi"/>
          <w:sz w:val="24"/>
          <w:szCs w:val="24"/>
          <w:lang w:val="ru-MD"/>
        </w:rPr>
        <w:t xml:space="preserve">по </w:t>
      </w:r>
      <w:r w:rsidRPr="00A21A6B">
        <w:rPr>
          <w:rFonts w:asciiTheme="majorHAnsi" w:hAnsiTheme="majorHAnsi" w:cstheme="majorHAnsi"/>
          <w:sz w:val="24"/>
          <w:szCs w:val="24"/>
          <w:lang w:val="ru-MD"/>
        </w:rPr>
        <w:t>ввод</w:t>
      </w:r>
      <w:r w:rsidR="00BA22C1"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/вывод</w:t>
      </w:r>
      <w:r w:rsidR="00BA22C1"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на/</w:t>
      </w:r>
      <w:r w:rsidR="00BA22C1" w:rsidRPr="00A21A6B">
        <w:rPr>
          <w:rFonts w:asciiTheme="majorHAnsi" w:hAnsiTheme="majorHAnsi" w:cstheme="majorHAnsi"/>
          <w:sz w:val="24"/>
          <w:szCs w:val="24"/>
          <w:lang w:val="ru-MD"/>
        </w:rPr>
        <w:t>со</w:t>
      </w:r>
      <w:r w:rsidRPr="00A21A6B">
        <w:rPr>
          <w:rFonts w:asciiTheme="majorHAnsi" w:hAnsiTheme="majorHAnsi" w:cstheme="majorHAnsi"/>
          <w:sz w:val="24"/>
          <w:szCs w:val="24"/>
          <w:lang w:val="ru-MD"/>
        </w:rPr>
        <w:t xml:space="preserve"> счета новыми структурами </w:t>
      </w:r>
      <w:r w:rsidR="00DA28DA" w:rsidRPr="00A21A6B">
        <w:rPr>
          <w:rFonts w:asciiTheme="majorHAnsi" w:hAnsiTheme="majorHAnsi" w:cstheme="majorHAnsi"/>
          <w:sz w:val="24"/>
          <w:szCs w:val="24"/>
          <w:lang w:val="ru-MD"/>
        </w:rPr>
        <w:t>в</w:t>
      </w:r>
      <w:r w:rsidRPr="00A21A6B">
        <w:rPr>
          <w:rFonts w:asciiTheme="majorHAnsi" w:hAnsiTheme="majorHAnsi" w:cstheme="majorHAnsi"/>
          <w:sz w:val="24"/>
          <w:szCs w:val="24"/>
          <w:lang w:val="ru-MD"/>
        </w:rPr>
        <w:t xml:space="preserve"> отсутстви</w:t>
      </w:r>
      <w:r w:rsidR="00DA28DA"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актов приема-передачи и, соответственно, </w:t>
      </w:r>
      <w:r w:rsidR="00BA22C1" w:rsidRPr="00A21A6B">
        <w:rPr>
          <w:rFonts w:asciiTheme="majorHAnsi" w:hAnsiTheme="majorHAnsi" w:cstheme="majorHAnsi"/>
          <w:sz w:val="24"/>
          <w:szCs w:val="24"/>
          <w:lang w:val="ru-MD"/>
        </w:rPr>
        <w:t>обязательств</w:t>
      </w:r>
      <w:r w:rsidRPr="00A21A6B">
        <w:rPr>
          <w:rFonts w:asciiTheme="majorHAnsi" w:hAnsiTheme="majorHAnsi" w:cstheme="majorHAnsi"/>
          <w:sz w:val="24"/>
          <w:szCs w:val="24"/>
          <w:lang w:val="ru-MD"/>
        </w:rPr>
        <w:t xml:space="preserve"> и/или долгов, подлежащих передаче; на 2-м этапе будут переданы остатки, относящиеся к имуществу класса 3 „</w:t>
      </w:r>
      <w:r w:rsidR="00DA28DA" w:rsidRPr="00A21A6B">
        <w:rPr>
          <w:rFonts w:asciiTheme="majorHAnsi" w:hAnsiTheme="majorHAnsi" w:cstheme="majorHAnsi"/>
          <w:sz w:val="24"/>
          <w:szCs w:val="24"/>
          <w:lang w:val="ru-MD"/>
        </w:rPr>
        <w:t>Н</w:t>
      </w:r>
      <w:r w:rsidRPr="00A21A6B">
        <w:rPr>
          <w:rFonts w:asciiTheme="majorHAnsi" w:hAnsiTheme="majorHAnsi" w:cstheme="majorHAnsi"/>
          <w:sz w:val="24"/>
          <w:szCs w:val="24"/>
          <w:lang w:val="ru-MD"/>
        </w:rPr>
        <w:t>ефинансовые активы”, п</w:t>
      </w:r>
      <w:r w:rsidR="00DA28DA"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 которы</w:t>
      </w:r>
      <w:r w:rsidR="00DA28DA" w:rsidRPr="00A21A6B">
        <w:rPr>
          <w:rFonts w:asciiTheme="majorHAnsi" w:hAnsiTheme="majorHAnsi" w:cstheme="majorHAnsi"/>
          <w:sz w:val="24"/>
          <w:szCs w:val="24"/>
          <w:lang w:val="ru-MD"/>
        </w:rPr>
        <w:t>м</w:t>
      </w:r>
      <w:r w:rsidRPr="00A21A6B">
        <w:rPr>
          <w:rFonts w:asciiTheme="majorHAnsi" w:hAnsiTheme="majorHAnsi" w:cstheme="majorHAnsi"/>
          <w:sz w:val="24"/>
          <w:szCs w:val="24"/>
          <w:lang w:val="ru-MD"/>
        </w:rPr>
        <w:t xml:space="preserve"> часто возникают ра</w:t>
      </w:r>
      <w:r w:rsidR="00BA22C1" w:rsidRPr="00A21A6B">
        <w:rPr>
          <w:rFonts w:asciiTheme="majorHAnsi" w:hAnsiTheme="majorHAnsi" w:cstheme="majorHAnsi"/>
          <w:sz w:val="24"/>
          <w:szCs w:val="24"/>
          <w:lang w:val="ru-MD"/>
        </w:rPr>
        <w:t>схождения</w:t>
      </w:r>
      <w:r w:rsidRPr="00A21A6B">
        <w:rPr>
          <w:rFonts w:asciiTheme="majorHAnsi" w:hAnsiTheme="majorHAnsi" w:cstheme="majorHAnsi"/>
          <w:sz w:val="24"/>
          <w:szCs w:val="24"/>
          <w:lang w:val="ru-MD"/>
        </w:rPr>
        <w:t xml:space="preserve"> или несоответствия. Такой подход исключит затягивание проведения реформ </w:t>
      </w:r>
      <w:r w:rsidR="00BA22C1" w:rsidRPr="00A21A6B">
        <w:rPr>
          <w:rFonts w:asciiTheme="majorHAnsi" w:hAnsiTheme="majorHAnsi" w:cstheme="majorHAnsi"/>
          <w:sz w:val="24"/>
          <w:szCs w:val="24"/>
          <w:lang w:val="ru-MD"/>
        </w:rPr>
        <w:t>ЦПУ</w:t>
      </w:r>
      <w:r w:rsidRPr="00A21A6B">
        <w:rPr>
          <w:rFonts w:asciiTheme="majorHAnsi" w:hAnsiTheme="majorHAnsi" w:cstheme="majorHAnsi"/>
          <w:sz w:val="24"/>
          <w:szCs w:val="24"/>
          <w:lang w:val="ru-MD"/>
        </w:rPr>
        <w:t xml:space="preserve"> и поможет </w:t>
      </w:r>
      <w:r w:rsidR="00DA28DA" w:rsidRPr="00A21A6B">
        <w:rPr>
          <w:rFonts w:asciiTheme="majorHAnsi" w:hAnsiTheme="majorHAnsi" w:cstheme="majorHAnsi"/>
          <w:sz w:val="24"/>
          <w:szCs w:val="24"/>
          <w:lang w:val="ru-MD"/>
        </w:rPr>
        <w:t xml:space="preserve">представить </w:t>
      </w:r>
      <w:r w:rsidRPr="00A21A6B">
        <w:rPr>
          <w:rFonts w:asciiTheme="majorHAnsi" w:hAnsiTheme="majorHAnsi" w:cstheme="majorHAnsi"/>
          <w:sz w:val="24"/>
          <w:szCs w:val="24"/>
          <w:lang w:val="ru-MD"/>
        </w:rPr>
        <w:t xml:space="preserve">реально ситуации </w:t>
      </w:r>
      <w:r w:rsidR="00DA28DA" w:rsidRPr="00A21A6B">
        <w:rPr>
          <w:rFonts w:asciiTheme="majorHAnsi" w:hAnsiTheme="majorHAnsi" w:cstheme="majorHAnsi"/>
          <w:sz w:val="24"/>
          <w:szCs w:val="24"/>
          <w:lang w:val="ru-MD"/>
        </w:rPr>
        <w:t>по</w:t>
      </w:r>
      <w:r w:rsidRPr="00A21A6B">
        <w:rPr>
          <w:rFonts w:asciiTheme="majorHAnsi" w:hAnsiTheme="majorHAnsi" w:cstheme="majorHAnsi"/>
          <w:sz w:val="24"/>
          <w:szCs w:val="24"/>
          <w:lang w:val="ru-MD"/>
        </w:rPr>
        <w:t xml:space="preserve"> расчетам</w:t>
      </w:r>
      <w:r w:rsidR="00F40961" w:rsidRPr="00A21A6B">
        <w:rPr>
          <w:rFonts w:asciiTheme="majorHAnsi" w:hAnsiTheme="majorHAnsi" w:cstheme="majorHAnsi"/>
          <w:sz w:val="24"/>
          <w:szCs w:val="24"/>
          <w:lang w:val="ru-MD"/>
        </w:rPr>
        <w:t>.</w:t>
      </w:r>
      <w:r w:rsidR="00EB5375" w:rsidRPr="00A21A6B">
        <w:rPr>
          <w:rFonts w:asciiTheme="majorHAnsi" w:hAnsiTheme="majorHAnsi" w:cstheme="majorHAnsi"/>
          <w:sz w:val="24"/>
          <w:szCs w:val="24"/>
          <w:lang w:val="ru-MD"/>
        </w:rPr>
        <w:br w:type="page"/>
      </w:r>
    </w:p>
    <w:p w:rsidR="00F40961" w:rsidRPr="00A21A6B" w:rsidRDefault="00EB5375" w:rsidP="00F40961">
      <w:pPr>
        <w:tabs>
          <w:tab w:val="left" w:pos="810"/>
          <w:tab w:val="left" w:pos="1701"/>
        </w:tabs>
        <w:spacing w:before="120"/>
        <w:jc w:val="right"/>
        <w:rPr>
          <w:rFonts w:asciiTheme="majorHAnsi" w:hAnsiTheme="majorHAnsi" w:cstheme="majorHAnsi"/>
          <w:b/>
          <w:sz w:val="24"/>
          <w:szCs w:val="24"/>
          <w:lang w:val="ru-MD"/>
        </w:rPr>
      </w:pPr>
      <w:r w:rsidRPr="00A21A6B">
        <w:rPr>
          <w:rFonts w:asciiTheme="majorHAnsi" w:hAnsiTheme="majorHAnsi" w:cstheme="majorHAnsi"/>
          <w:b/>
          <w:sz w:val="24"/>
          <w:szCs w:val="24"/>
          <w:lang w:val="ru-MD"/>
        </w:rPr>
        <w:t>Приложение №</w:t>
      </w:r>
      <w:r w:rsidR="00F40961" w:rsidRPr="00A21A6B">
        <w:rPr>
          <w:rFonts w:asciiTheme="majorHAnsi" w:hAnsiTheme="majorHAnsi" w:cstheme="majorHAnsi"/>
          <w:b/>
          <w:sz w:val="24"/>
          <w:szCs w:val="24"/>
          <w:lang w:val="ru-MD"/>
        </w:rPr>
        <w:t>2</w:t>
      </w:r>
    </w:p>
    <w:p w:rsidR="00F40961" w:rsidRPr="00A21A6B" w:rsidRDefault="00EB5375" w:rsidP="00F40961">
      <w:pPr>
        <w:tabs>
          <w:tab w:val="left" w:pos="284"/>
          <w:tab w:val="left" w:pos="426"/>
        </w:tabs>
        <w:spacing w:before="100" w:beforeAutospacing="1" w:after="0" w:line="240" w:lineRule="auto"/>
        <w:jc w:val="center"/>
        <w:outlineLvl w:val="1"/>
        <w:rPr>
          <w:rFonts w:asciiTheme="majorHAnsi" w:hAnsiTheme="majorHAnsi" w:cstheme="majorHAnsi"/>
          <w:b/>
          <w:sz w:val="24"/>
          <w:szCs w:val="24"/>
          <w:lang w:val="ru-MD"/>
        </w:rPr>
      </w:pPr>
      <w:r w:rsidRPr="00A21A6B">
        <w:rPr>
          <w:rFonts w:asciiTheme="majorHAnsi" w:hAnsiTheme="majorHAnsi" w:cstheme="majorHAnsi"/>
          <w:b/>
          <w:sz w:val="24"/>
          <w:szCs w:val="24"/>
          <w:lang w:val="ru-MD"/>
        </w:rPr>
        <w:t>РАСХОДЫ НА ИССЛЕДОВАТЕЛЬСКИЕ ПРОЕКТЫ</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 2021 году расходы на науку составили 19,65 млн.</w:t>
      </w:r>
      <w:r w:rsidR="00922633" w:rsidRPr="00A21A6B">
        <w:rPr>
          <w:rFonts w:asciiTheme="majorHAnsi" w:hAnsiTheme="majorHAnsi" w:cstheme="majorHAnsi"/>
          <w:sz w:val="24"/>
          <w:szCs w:val="24"/>
          <w:lang w:val="ru-MD"/>
        </w:rPr>
        <w:t xml:space="preserve"> л</w:t>
      </w:r>
      <w:r w:rsidRPr="00A21A6B">
        <w:rPr>
          <w:rFonts w:asciiTheme="majorHAnsi" w:hAnsiTheme="majorHAnsi" w:cstheme="majorHAnsi"/>
          <w:sz w:val="24"/>
          <w:szCs w:val="24"/>
          <w:lang w:val="ru-MD"/>
        </w:rPr>
        <w:t>е</w:t>
      </w:r>
      <w:r w:rsidR="00922633" w:rsidRPr="00A21A6B">
        <w:rPr>
          <w:rFonts w:asciiTheme="majorHAnsi" w:hAnsiTheme="majorHAnsi" w:cstheme="majorHAnsi"/>
          <w:sz w:val="24"/>
          <w:szCs w:val="24"/>
          <w:lang w:val="ru-MD"/>
        </w:rPr>
        <w:t>ев</w:t>
      </w:r>
      <w:r w:rsidRPr="00A21A6B">
        <w:rPr>
          <w:rFonts w:asciiTheme="majorHAnsi" w:hAnsiTheme="majorHAnsi" w:cstheme="majorHAnsi"/>
          <w:sz w:val="24"/>
          <w:szCs w:val="24"/>
          <w:lang w:val="ru-MD"/>
        </w:rPr>
        <w:t xml:space="preserve">, из которых 18,04 </w:t>
      </w:r>
      <w:r w:rsidR="00922633" w:rsidRPr="00A21A6B">
        <w:rPr>
          <w:rFonts w:asciiTheme="majorHAnsi" w:hAnsiTheme="majorHAnsi" w:cstheme="majorHAnsi"/>
          <w:sz w:val="24"/>
          <w:szCs w:val="24"/>
          <w:lang w:val="ru-MD"/>
        </w:rPr>
        <w:t>млн. леев</w:t>
      </w:r>
      <w:r w:rsidRPr="00A21A6B">
        <w:rPr>
          <w:rFonts w:asciiTheme="majorHAnsi" w:hAnsiTheme="majorHAnsi" w:cstheme="majorHAnsi"/>
          <w:sz w:val="24"/>
          <w:szCs w:val="24"/>
          <w:lang w:val="ru-MD"/>
        </w:rPr>
        <w:t xml:space="preserve"> - </w:t>
      </w:r>
      <w:r w:rsidR="00922633" w:rsidRPr="00A21A6B">
        <w:rPr>
          <w:rFonts w:asciiTheme="majorHAnsi" w:hAnsiTheme="majorHAnsi" w:cstheme="majorHAnsi"/>
          <w:sz w:val="24"/>
          <w:szCs w:val="24"/>
          <w:lang w:val="ru-MD"/>
        </w:rPr>
        <w:t>по</w:t>
      </w:r>
      <w:r w:rsidRPr="00A21A6B">
        <w:rPr>
          <w:rFonts w:asciiTheme="majorHAnsi" w:hAnsiTheme="majorHAnsi" w:cstheme="majorHAnsi"/>
          <w:sz w:val="24"/>
          <w:szCs w:val="24"/>
          <w:lang w:val="ru-MD"/>
        </w:rPr>
        <w:t xml:space="preserve"> класс</w:t>
      </w:r>
      <w:r w:rsidR="00922633"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2 </w:t>
      </w:r>
      <w:r w:rsidR="00922633" w:rsidRPr="00A21A6B">
        <w:rPr>
          <w:rFonts w:asciiTheme="majorHAnsi" w:hAnsiTheme="majorHAnsi" w:cstheme="majorHAnsi"/>
          <w:sz w:val="24"/>
          <w:szCs w:val="24"/>
          <w:lang w:val="ru-MD"/>
        </w:rPr>
        <w:t>„Р</w:t>
      </w:r>
      <w:r w:rsidRPr="00A21A6B">
        <w:rPr>
          <w:rFonts w:asciiTheme="majorHAnsi" w:hAnsiTheme="majorHAnsi" w:cstheme="majorHAnsi"/>
          <w:sz w:val="24"/>
          <w:szCs w:val="24"/>
          <w:lang w:val="ru-MD"/>
        </w:rPr>
        <w:t>асходы</w:t>
      </w:r>
      <w:r w:rsidR="00922633"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и 1,02 </w:t>
      </w:r>
      <w:r w:rsidR="00922633" w:rsidRPr="00A21A6B">
        <w:rPr>
          <w:rFonts w:asciiTheme="majorHAnsi" w:hAnsiTheme="majorHAnsi" w:cstheme="majorHAnsi"/>
          <w:sz w:val="24"/>
          <w:szCs w:val="24"/>
          <w:lang w:val="ru-MD"/>
        </w:rPr>
        <w:t xml:space="preserve">млн. леев </w:t>
      </w:r>
      <w:r w:rsidRPr="00A21A6B">
        <w:rPr>
          <w:rFonts w:asciiTheme="majorHAnsi" w:hAnsiTheme="majorHAnsi" w:cstheme="majorHAnsi"/>
          <w:sz w:val="24"/>
          <w:szCs w:val="24"/>
          <w:lang w:val="ru-MD"/>
        </w:rPr>
        <w:t>-</w:t>
      </w:r>
      <w:r w:rsidR="00922633" w:rsidRPr="00A21A6B">
        <w:rPr>
          <w:rFonts w:asciiTheme="majorHAnsi" w:hAnsiTheme="majorHAnsi" w:cstheme="majorHAnsi"/>
          <w:sz w:val="24"/>
          <w:szCs w:val="24"/>
          <w:lang w:val="ru-MD"/>
        </w:rPr>
        <w:t xml:space="preserve"> по</w:t>
      </w:r>
      <w:r w:rsidRPr="00A21A6B">
        <w:rPr>
          <w:rFonts w:asciiTheme="majorHAnsi" w:hAnsiTheme="majorHAnsi" w:cstheme="majorHAnsi"/>
          <w:sz w:val="24"/>
          <w:szCs w:val="24"/>
          <w:lang w:val="ru-MD"/>
        </w:rPr>
        <w:t xml:space="preserve"> класс</w:t>
      </w:r>
      <w:r w:rsidR="00922633"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3 „</w:t>
      </w:r>
      <w:r w:rsidR="00922633" w:rsidRPr="00A21A6B">
        <w:rPr>
          <w:rFonts w:asciiTheme="majorHAnsi" w:hAnsiTheme="majorHAnsi" w:cstheme="majorHAnsi"/>
          <w:sz w:val="24"/>
          <w:szCs w:val="24"/>
          <w:lang w:val="ru-MD"/>
        </w:rPr>
        <w:t>Н</w:t>
      </w:r>
      <w:r w:rsidRPr="00A21A6B">
        <w:rPr>
          <w:rFonts w:asciiTheme="majorHAnsi" w:hAnsiTheme="majorHAnsi" w:cstheme="majorHAnsi"/>
          <w:sz w:val="24"/>
          <w:szCs w:val="24"/>
          <w:lang w:val="ru-MD"/>
        </w:rPr>
        <w:t>ефинансовые активы”</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Проекты </w:t>
      </w:r>
      <w:r w:rsidR="00922633" w:rsidRPr="00A21A6B">
        <w:rPr>
          <w:rFonts w:asciiTheme="majorHAnsi" w:hAnsiTheme="majorHAnsi" w:cstheme="majorHAnsi"/>
          <w:sz w:val="24"/>
          <w:szCs w:val="24"/>
          <w:lang w:val="ru-MD"/>
        </w:rPr>
        <w:t>иницииров</w:t>
      </w:r>
      <w:r w:rsidRPr="00A21A6B">
        <w:rPr>
          <w:rFonts w:asciiTheme="majorHAnsi" w:hAnsiTheme="majorHAnsi" w:cstheme="majorHAnsi"/>
          <w:sz w:val="24"/>
          <w:szCs w:val="24"/>
          <w:lang w:val="ru-MD"/>
        </w:rPr>
        <w:t xml:space="preserve">ались в 2020 году, а </w:t>
      </w:r>
      <w:r w:rsidR="00922633" w:rsidRPr="00A21A6B">
        <w:rPr>
          <w:rFonts w:asciiTheme="majorHAnsi" w:hAnsiTheme="majorHAnsi" w:cstheme="majorHAnsi"/>
          <w:sz w:val="24"/>
          <w:szCs w:val="24"/>
          <w:lang w:val="ru-MD"/>
        </w:rPr>
        <w:t xml:space="preserve">их </w:t>
      </w:r>
      <w:r w:rsidRPr="00A21A6B">
        <w:rPr>
          <w:rFonts w:asciiTheme="majorHAnsi" w:hAnsiTheme="majorHAnsi" w:cstheme="majorHAnsi"/>
          <w:sz w:val="24"/>
          <w:szCs w:val="24"/>
          <w:lang w:val="ru-MD"/>
        </w:rPr>
        <w:t xml:space="preserve">совокупная стоимость </w:t>
      </w:r>
      <w:r w:rsidR="00922633" w:rsidRPr="00A21A6B">
        <w:rPr>
          <w:rFonts w:asciiTheme="majorHAnsi" w:hAnsiTheme="majorHAnsi" w:cstheme="majorHAnsi"/>
          <w:sz w:val="24"/>
          <w:szCs w:val="24"/>
          <w:lang w:val="ru-MD"/>
        </w:rPr>
        <w:t>з</w:t>
      </w:r>
      <w:r w:rsidRPr="00A21A6B">
        <w:rPr>
          <w:rFonts w:asciiTheme="majorHAnsi" w:hAnsiTheme="majorHAnsi" w:cstheme="majorHAnsi"/>
          <w:sz w:val="24"/>
          <w:szCs w:val="24"/>
          <w:lang w:val="ru-MD"/>
        </w:rPr>
        <w:t xml:space="preserve">а 2020-2021 годы составила 37,5 </w:t>
      </w:r>
      <w:r w:rsidR="00922633" w:rsidRPr="00A21A6B">
        <w:rPr>
          <w:rFonts w:asciiTheme="majorHAnsi" w:hAnsiTheme="majorHAnsi" w:cstheme="majorHAnsi"/>
          <w:sz w:val="24"/>
          <w:szCs w:val="24"/>
          <w:lang w:val="ru-MD"/>
        </w:rPr>
        <w:t>млн. леев</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Следует отметить, что </w:t>
      </w:r>
      <w:r w:rsidR="00922633" w:rsidRPr="00A21A6B">
        <w:rPr>
          <w:rFonts w:asciiTheme="majorHAnsi" w:hAnsiTheme="majorHAnsi" w:cstheme="majorHAnsi"/>
          <w:sz w:val="24"/>
          <w:szCs w:val="24"/>
          <w:lang w:val="ru-MD"/>
        </w:rPr>
        <w:t>на протяжении многих</w:t>
      </w:r>
      <w:r w:rsidRPr="00A21A6B">
        <w:rPr>
          <w:rFonts w:asciiTheme="majorHAnsi" w:hAnsiTheme="majorHAnsi" w:cstheme="majorHAnsi"/>
          <w:sz w:val="24"/>
          <w:szCs w:val="24"/>
          <w:lang w:val="ru-MD"/>
        </w:rPr>
        <w:t xml:space="preserve"> лет все расходы, связанные с исследовательскими проектами, не под</w:t>
      </w:r>
      <w:r w:rsidR="00922633" w:rsidRPr="00A21A6B">
        <w:rPr>
          <w:rFonts w:asciiTheme="majorHAnsi" w:hAnsiTheme="majorHAnsi" w:cstheme="majorHAnsi"/>
          <w:sz w:val="24"/>
          <w:szCs w:val="24"/>
          <w:lang w:val="ru-MD"/>
        </w:rPr>
        <w:t>вергались</w:t>
      </w:r>
      <w:r w:rsidRPr="00A21A6B">
        <w:rPr>
          <w:rFonts w:asciiTheme="majorHAnsi" w:hAnsiTheme="majorHAnsi" w:cstheme="majorHAnsi"/>
          <w:sz w:val="24"/>
          <w:szCs w:val="24"/>
          <w:lang w:val="ru-MD"/>
        </w:rPr>
        <w:t xml:space="preserve"> капитализации и были списаны/закрыты </w:t>
      </w:r>
      <w:r w:rsidR="00922633" w:rsidRPr="00A21A6B">
        <w:rPr>
          <w:rFonts w:asciiTheme="majorHAnsi" w:hAnsiTheme="majorHAnsi" w:cstheme="majorHAnsi"/>
          <w:sz w:val="24"/>
          <w:szCs w:val="24"/>
          <w:lang w:val="ru-MD"/>
        </w:rPr>
        <w:t>по</w:t>
      </w:r>
      <w:r w:rsidRPr="00A21A6B">
        <w:rPr>
          <w:rFonts w:asciiTheme="majorHAnsi" w:hAnsiTheme="majorHAnsi" w:cstheme="majorHAnsi"/>
          <w:sz w:val="24"/>
          <w:szCs w:val="24"/>
          <w:lang w:val="ru-MD"/>
        </w:rPr>
        <w:t xml:space="preserve"> результат</w:t>
      </w:r>
      <w:r w:rsidR="00922633" w:rsidRPr="00A21A6B">
        <w:rPr>
          <w:rFonts w:asciiTheme="majorHAnsi" w:hAnsiTheme="majorHAnsi" w:cstheme="majorHAnsi"/>
          <w:sz w:val="24"/>
          <w:szCs w:val="24"/>
          <w:lang w:val="ru-MD"/>
        </w:rPr>
        <w:t>ам отчетного года</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Эта ситуация связана с тем, что, хотя Министерство финансов выпустило в 2020 году циркуляр</w:t>
      </w:r>
      <w:r w:rsidR="00AC2AC7" w:rsidRPr="00A21A6B">
        <w:rPr>
          <w:rStyle w:val="FootnoteReference"/>
          <w:rFonts w:asciiTheme="majorHAnsi" w:hAnsiTheme="majorHAnsi" w:cstheme="majorHAnsi"/>
          <w:sz w:val="24"/>
          <w:szCs w:val="24"/>
          <w:lang w:val="ru-MD"/>
        </w:rPr>
        <w:footnoteReference w:id="36"/>
      </w:r>
      <w:r w:rsidRPr="00A21A6B">
        <w:rPr>
          <w:rFonts w:asciiTheme="majorHAnsi" w:hAnsiTheme="majorHAnsi" w:cstheme="majorHAnsi"/>
          <w:sz w:val="24"/>
          <w:szCs w:val="24"/>
          <w:lang w:val="ru-MD"/>
        </w:rPr>
        <w:t>, согласно которому расходы</w:t>
      </w:r>
      <w:r w:rsidR="00922633" w:rsidRPr="00A21A6B">
        <w:rPr>
          <w:rFonts w:asciiTheme="majorHAnsi" w:hAnsiTheme="majorHAnsi" w:cstheme="majorHAnsi"/>
          <w:sz w:val="24"/>
          <w:szCs w:val="24"/>
          <w:lang w:val="ru-MD"/>
        </w:rPr>
        <w:t xml:space="preserve"> на</w:t>
      </w:r>
      <w:r w:rsidRPr="00A21A6B">
        <w:rPr>
          <w:rFonts w:asciiTheme="majorHAnsi" w:hAnsiTheme="majorHAnsi" w:cstheme="majorHAnsi"/>
          <w:sz w:val="24"/>
          <w:szCs w:val="24"/>
          <w:lang w:val="ru-MD"/>
        </w:rPr>
        <w:t xml:space="preserve"> научны</w:t>
      </w:r>
      <w:r w:rsidR="00AC2AC7"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проект</w:t>
      </w:r>
      <w:r w:rsidR="00AC2AC7"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учитываются на счете 319</w:t>
      </w:r>
      <w:r w:rsidR="00AC2AC7" w:rsidRPr="00A21A6B">
        <w:rPr>
          <w:rFonts w:asciiTheme="majorHAnsi" w:hAnsiTheme="majorHAnsi" w:cstheme="majorHAnsi"/>
          <w:sz w:val="24"/>
          <w:szCs w:val="24"/>
          <w:lang w:val="ru-MD"/>
        </w:rPr>
        <w:t xml:space="preserve"> „Незавершенные капитальные инвестиции в активы</w:t>
      </w:r>
      <w:r w:rsidRPr="00A21A6B">
        <w:rPr>
          <w:rFonts w:asciiTheme="majorHAnsi" w:hAnsiTheme="majorHAnsi" w:cstheme="majorHAnsi"/>
          <w:sz w:val="24"/>
          <w:szCs w:val="24"/>
          <w:lang w:val="ru-MD"/>
        </w:rPr>
        <w:t xml:space="preserve">”, он не был </w:t>
      </w:r>
      <w:r w:rsidR="00AC2AC7" w:rsidRPr="00A21A6B">
        <w:rPr>
          <w:rFonts w:asciiTheme="majorHAnsi" w:hAnsiTheme="majorHAnsi" w:cstheme="majorHAnsi"/>
          <w:sz w:val="24"/>
          <w:szCs w:val="24"/>
          <w:lang w:val="ru-MD"/>
        </w:rPr>
        <w:t xml:space="preserve">направлен </w:t>
      </w:r>
      <w:r w:rsidRPr="00A21A6B">
        <w:rPr>
          <w:rFonts w:asciiTheme="majorHAnsi" w:hAnsiTheme="majorHAnsi" w:cstheme="majorHAnsi"/>
          <w:sz w:val="24"/>
          <w:szCs w:val="24"/>
          <w:lang w:val="ru-MD"/>
        </w:rPr>
        <w:t xml:space="preserve">всем </w:t>
      </w:r>
      <w:r w:rsidR="00AC2AC7" w:rsidRPr="00A21A6B">
        <w:rPr>
          <w:rFonts w:asciiTheme="majorHAnsi" w:hAnsiTheme="majorHAnsi" w:cstheme="majorHAnsi"/>
          <w:sz w:val="24"/>
          <w:szCs w:val="24"/>
          <w:lang w:val="ru-MD"/>
        </w:rPr>
        <w:t>ЦПО</w:t>
      </w:r>
      <w:r w:rsidRPr="00A21A6B">
        <w:rPr>
          <w:rFonts w:asciiTheme="majorHAnsi" w:hAnsiTheme="majorHAnsi" w:cstheme="majorHAnsi"/>
          <w:sz w:val="24"/>
          <w:szCs w:val="24"/>
          <w:lang w:val="ru-MD"/>
        </w:rPr>
        <w:t xml:space="preserve">, а был </w:t>
      </w:r>
      <w:r w:rsidR="00AC2AC7" w:rsidRPr="00A21A6B">
        <w:rPr>
          <w:rFonts w:asciiTheme="majorHAnsi" w:hAnsiTheme="majorHAnsi" w:cstheme="majorHAnsi"/>
          <w:sz w:val="24"/>
          <w:szCs w:val="24"/>
          <w:lang w:val="ru-MD"/>
        </w:rPr>
        <w:t xml:space="preserve">адресован </w:t>
      </w:r>
      <w:r w:rsidRPr="00A21A6B">
        <w:rPr>
          <w:rFonts w:asciiTheme="majorHAnsi" w:hAnsiTheme="majorHAnsi" w:cstheme="majorHAnsi"/>
          <w:sz w:val="24"/>
          <w:szCs w:val="24"/>
          <w:lang w:val="ru-MD"/>
        </w:rPr>
        <w:t>только Министерств</w:t>
      </w:r>
      <w:r w:rsidR="00AC2AC7"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 xml:space="preserve"> образования, культуры и исследований</w:t>
      </w:r>
      <w:r w:rsidR="00F40961" w:rsidRPr="00A21A6B">
        <w:rPr>
          <w:rFonts w:asciiTheme="majorHAnsi" w:hAnsiTheme="majorHAnsi" w:cstheme="majorHAnsi"/>
          <w:sz w:val="24"/>
          <w:szCs w:val="24"/>
          <w:lang w:val="ru-MD"/>
        </w:rPr>
        <w:t xml:space="preserve">. </w:t>
      </w:r>
    </w:p>
    <w:p w:rsidR="00F40961" w:rsidRPr="00A21A6B" w:rsidRDefault="00B80A4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 то же время, подход, согласно которому все расходы на научные проекты планируются и осуществляются через счет 319 „Незавершенные капитальные инвестиции в активы”, является неправильным, поскольку в рамках некоторых научных ИП были закуплены основные средства, срок использования которых превышает продолжительность проекта, которая обычно составляет 4 года</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Таким образом, капитализации </w:t>
      </w:r>
      <w:r w:rsidR="00B80A45" w:rsidRPr="00A21A6B">
        <w:rPr>
          <w:rFonts w:asciiTheme="majorHAnsi" w:hAnsiTheme="majorHAnsi" w:cstheme="majorHAnsi"/>
          <w:sz w:val="24"/>
          <w:szCs w:val="24"/>
          <w:lang w:val="ru-MD"/>
        </w:rPr>
        <w:t>подлежат</w:t>
      </w:r>
      <w:r w:rsidR="00C84621">
        <w:rPr>
          <w:rFonts w:asciiTheme="majorHAnsi" w:hAnsiTheme="majorHAnsi" w:cstheme="majorHAnsi"/>
          <w:sz w:val="24"/>
          <w:szCs w:val="24"/>
          <w:lang w:val="ru-MD"/>
        </w:rPr>
        <w:t>ь</w:t>
      </w:r>
      <w:r w:rsidRPr="00A21A6B">
        <w:rPr>
          <w:rFonts w:asciiTheme="majorHAnsi" w:hAnsiTheme="majorHAnsi" w:cstheme="majorHAnsi"/>
          <w:sz w:val="24"/>
          <w:szCs w:val="24"/>
          <w:lang w:val="ru-MD"/>
        </w:rPr>
        <w:t xml:space="preserve"> не все расход</w:t>
      </w:r>
      <w:r w:rsidR="00B80A45" w:rsidRPr="00A21A6B">
        <w:rPr>
          <w:rFonts w:asciiTheme="majorHAnsi" w:hAnsiTheme="majorHAnsi" w:cstheme="majorHAnsi"/>
          <w:sz w:val="24"/>
          <w:szCs w:val="24"/>
          <w:lang w:val="ru-MD"/>
        </w:rPr>
        <w:t>ы, понесенные в рамках проекта</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Для у</w:t>
      </w:r>
      <w:r w:rsidR="00B80A45" w:rsidRPr="00A21A6B">
        <w:rPr>
          <w:rFonts w:asciiTheme="majorHAnsi" w:hAnsiTheme="majorHAnsi" w:cstheme="majorHAnsi"/>
          <w:sz w:val="24"/>
          <w:szCs w:val="24"/>
          <w:lang w:val="ru-MD"/>
        </w:rPr>
        <w:t>яс</w:t>
      </w:r>
      <w:r w:rsidRPr="00A21A6B">
        <w:rPr>
          <w:rFonts w:asciiTheme="majorHAnsi" w:hAnsiTheme="majorHAnsi" w:cstheme="majorHAnsi"/>
          <w:sz w:val="24"/>
          <w:szCs w:val="24"/>
          <w:lang w:val="ru-MD"/>
        </w:rPr>
        <w:t xml:space="preserve">нения сложившейся ситуации и установления четких правил, касающихся </w:t>
      </w:r>
      <w:r w:rsidR="00B80A45" w:rsidRPr="00A21A6B">
        <w:rPr>
          <w:rFonts w:asciiTheme="majorHAnsi" w:hAnsiTheme="majorHAnsi" w:cstheme="majorHAnsi"/>
          <w:sz w:val="24"/>
          <w:szCs w:val="24"/>
          <w:lang w:val="ru-MD"/>
        </w:rPr>
        <w:t>расходов</w:t>
      </w:r>
      <w:r w:rsidRPr="00A21A6B">
        <w:rPr>
          <w:rFonts w:asciiTheme="majorHAnsi" w:hAnsiTheme="majorHAnsi" w:cstheme="majorHAnsi"/>
          <w:sz w:val="24"/>
          <w:szCs w:val="24"/>
          <w:lang w:val="ru-MD"/>
        </w:rPr>
        <w:t xml:space="preserve"> на научные проекты, подлежа</w:t>
      </w:r>
      <w:r w:rsidR="00B80A45" w:rsidRPr="00A21A6B">
        <w:rPr>
          <w:rFonts w:asciiTheme="majorHAnsi" w:hAnsiTheme="majorHAnsi" w:cstheme="majorHAnsi"/>
          <w:sz w:val="24"/>
          <w:szCs w:val="24"/>
          <w:lang w:val="ru-MD"/>
        </w:rPr>
        <w:t>щих</w:t>
      </w:r>
      <w:r w:rsidRPr="00A21A6B">
        <w:rPr>
          <w:rFonts w:asciiTheme="majorHAnsi" w:hAnsiTheme="majorHAnsi" w:cstheme="majorHAnsi"/>
          <w:sz w:val="24"/>
          <w:szCs w:val="24"/>
          <w:lang w:val="ru-MD"/>
        </w:rPr>
        <w:t xml:space="preserve"> капитализации, необходимо, чтобы Министерство финансов разработало механизм капитализации затрат, связанных с научными проектами, с </w:t>
      </w:r>
      <w:r w:rsidR="00E75307" w:rsidRPr="00A21A6B">
        <w:rPr>
          <w:rFonts w:asciiTheme="majorHAnsi" w:hAnsiTheme="majorHAnsi" w:cstheme="majorHAnsi"/>
          <w:sz w:val="24"/>
          <w:szCs w:val="24"/>
          <w:lang w:val="ru-MD"/>
        </w:rPr>
        <w:t>включением</w:t>
      </w:r>
      <w:r w:rsidRPr="00A21A6B">
        <w:rPr>
          <w:rFonts w:asciiTheme="majorHAnsi" w:hAnsiTheme="majorHAnsi" w:cstheme="majorHAnsi"/>
          <w:sz w:val="24"/>
          <w:szCs w:val="24"/>
          <w:lang w:val="ru-MD"/>
        </w:rPr>
        <w:t xml:space="preserve"> его описания в </w:t>
      </w:r>
      <w:r w:rsidR="00E75307" w:rsidRPr="00A21A6B">
        <w:rPr>
          <w:rFonts w:asciiTheme="majorHAnsi" w:hAnsiTheme="majorHAnsi" w:cstheme="majorHAnsi"/>
          <w:sz w:val="24"/>
          <w:szCs w:val="24"/>
          <w:lang w:val="ru-MD"/>
        </w:rPr>
        <w:t>Приказ №</w:t>
      </w:r>
      <w:r w:rsidRPr="00A21A6B">
        <w:rPr>
          <w:rFonts w:asciiTheme="majorHAnsi" w:hAnsiTheme="majorHAnsi" w:cstheme="majorHAnsi"/>
          <w:sz w:val="24"/>
          <w:szCs w:val="24"/>
          <w:lang w:val="ru-MD"/>
        </w:rPr>
        <w:t>216/2015</w:t>
      </w:r>
      <w:r w:rsidR="00F40961" w:rsidRPr="00A21A6B">
        <w:rPr>
          <w:rFonts w:asciiTheme="majorHAnsi" w:hAnsiTheme="majorHAnsi" w:cstheme="majorHAnsi"/>
          <w:sz w:val="24"/>
          <w:szCs w:val="24"/>
          <w:lang w:val="ru-MD"/>
        </w:rPr>
        <w:t>.</w:t>
      </w:r>
    </w:p>
    <w:p w:rsidR="00F40961" w:rsidRPr="00A21A6B" w:rsidRDefault="00E75307"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Также</w:t>
      </w:r>
      <w:r w:rsidR="00562715" w:rsidRPr="00A21A6B">
        <w:rPr>
          <w:rFonts w:asciiTheme="majorHAnsi" w:hAnsiTheme="majorHAnsi" w:cstheme="majorHAnsi"/>
          <w:sz w:val="24"/>
          <w:szCs w:val="24"/>
          <w:lang w:val="ru-MD"/>
        </w:rPr>
        <w:t xml:space="preserve"> необходимо указать, как будут учтены научные результаты, для которых будет получен патент, и как будут учтены результаты без патента</w:t>
      </w:r>
      <w:r w:rsidR="00F40961" w:rsidRPr="00A21A6B">
        <w:rPr>
          <w:rFonts w:asciiTheme="majorHAnsi" w:hAnsiTheme="majorHAnsi" w:cstheme="majorHAnsi"/>
          <w:sz w:val="24"/>
          <w:szCs w:val="24"/>
          <w:lang w:val="ru-MD"/>
        </w:rPr>
        <w:t>.</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 то же время</w:t>
      </w:r>
      <w:r w:rsidR="00E75307"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бенефициары </w:t>
      </w:r>
      <w:r w:rsidR="00E75307" w:rsidRPr="00A21A6B">
        <w:rPr>
          <w:rFonts w:asciiTheme="majorHAnsi" w:hAnsiTheme="majorHAnsi" w:cstheme="majorHAnsi"/>
          <w:sz w:val="24"/>
          <w:szCs w:val="24"/>
          <w:lang w:val="ru-MD"/>
        </w:rPr>
        <w:t>ассигнован</w:t>
      </w:r>
      <w:r w:rsidRPr="00A21A6B">
        <w:rPr>
          <w:rFonts w:asciiTheme="majorHAnsi" w:hAnsiTheme="majorHAnsi" w:cstheme="majorHAnsi"/>
          <w:sz w:val="24"/>
          <w:szCs w:val="24"/>
          <w:lang w:val="ru-MD"/>
        </w:rPr>
        <w:t xml:space="preserve">ий, </w:t>
      </w:r>
      <w:r w:rsidR="00E75307" w:rsidRPr="00A21A6B">
        <w:rPr>
          <w:rFonts w:asciiTheme="majorHAnsi" w:hAnsiTheme="majorHAnsi" w:cstheme="majorHAnsi"/>
          <w:sz w:val="24"/>
          <w:szCs w:val="24"/>
          <w:lang w:val="ru-MD"/>
        </w:rPr>
        <w:t>выдел</w:t>
      </w:r>
      <w:r w:rsidRPr="00A21A6B">
        <w:rPr>
          <w:rFonts w:asciiTheme="majorHAnsi" w:hAnsiTheme="majorHAnsi" w:cstheme="majorHAnsi"/>
          <w:sz w:val="24"/>
          <w:szCs w:val="24"/>
          <w:lang w:val="ru-MD"/>
        </w:rPr>
        <w:t>енных для реализации научных проектов, должны восстановить в сво</w:t>
      </w:r>
      <w:r w:rsidR="00E75307" w:rsidRPr="00A21A6B">
        <w:rPr>
          <w:rFonts w:asciiTheme="majorHAnsi" w:hAnsiTheme="majorHAnsi" w:cstheme="majorHAnsi"/>
          <w:sz w:val="24"/>
          <w:szCs w:val="24"/>
          <w:lang w:val="ru-MD"/>
        </w:rPr>
        <w:t>ем</w:t>
      </w:r>
      <w:r w:rsidRPr="00A21A6B">
        <w:rPr>
          <w:rFonts w:asciiTheme="majorHAnsi" w:hAnsiTheme="majorHAnsi" w:cstheme="majorHAnsi"/>
          <w:sz w:val="24"/>
          <w:szCs w:val="24"/>
          <w:lang w:val="ru-MD"/>
        </w:rPr>
        <w:t xml:space="preserve"> бухгалтерск</w:t>
      </w:r>
      <w:r w:rsidR="00E75307" w:rsidRPr="00A21A6B">
        <w:rPr>
          <w:rFonts w:asciiTheme="majorHAnsi" w:hAnsiTheme="majorHAnsi" w:cstheme="majorHAnsi"/>
          <w:sz w:val="24"/>
          <w:szCs w:val="24"/>
          <w:lang w:val="ru-MD"/>
        </w:rPr>
        <w:t>ом</w:t>
      </w:r>
      <w:r w:rsidRPr="00A21A6B">
        <w:rPr>
          <w:rFonts w:asciiTheme="majorHAnsi" w:hAnsiTheme="majorHAnsi" w:cstheme="majorHAnsi"/>
          <w:sz w:val="24"/>
          <w:szCs w:val="24"/>
          <w:lang w:val="ru-MD"/>
        </w:rPr>
        <w:t xml:space="preserve"> </w:t>
      </w:r>
      <w:r w:rsidR="00E75307" w:rsidRPr="00A21A6B">
        <w:rPr>
          <w:rFonts w:asciiTheme="majorHAnsi" w:hAnsiTheme="majorHAnsi" w:cstheme="majorHAnsi"/>
          <w:sz w:val="24"/>
          <w:szCs w:val="24"/>
          <w:lang w:val="ru-MD"/>
        </w:rPr>
        <w:t>учете</w:t>
      </w:r>
      <w:r w:rsidRPr="00A21A6B">
        <w:rPr>
          <w:rFonts w:asciiTheme="majorHAnsi" w:hAnsiTheme="majorHAnsi" w:cstheme="majorHAnsi"/>
          <w:sz w:val="24"/>
          <w:szCs w:val="24"/>
          <w:lang w:val="ru-MD"/>
        </w:rPr>
        <w:t xml:space="preserve"> понесенные</w:t>
      </w:r>
      <w:r w:rsidR="00E75307" w:rsidRPr="00A21A6B">
        <w:rPr>
          <w:rFonts w:asciiTheme="majorHAnsi" w:hAnsiTheme="majorHAnsi" w:cstheme="majorHAnsi"/>
          <w:sz w:val="24"/>
          <w:szCs w:val="24"/>
          <w:lang w:val="ru-MD"/>
        </w:rPr>
        <w:t xml:space="preserve"> расходы за</w:t>
      </w:r>
      <w:r w:rsidRPr="00A21A6B">
        <w:rPr>
          <w:rFonts w:asciiTheme="majorHAnsi" w:hAnsiTheme="majorHAnsi" w:cstheme="majorHAnsi"/>
          <w:sz w:val="24"/>
          <w:szCs w:val="24"/>
          <w:lang w:val="ru-MD"/>
        </w:rPr>
        <w:t xml:space="preserve"> предыдущие годы, для обеспечения н</w:t>
      </w:r>
      <w:r w:rsidR="00E75307" w:rsidRPr="00A21A6B">
        <w:rPr>
          <w:rFonts w:asciiTheme="majorHAnsi" w:hAnsiTheme="majorHAnsi" w:cstheme="majorHAnsi"/>
          <w:sz w:val="24"/>
          <w:szCs w:val="24"/>
          <w:lang w:val="ru-MD"/>
        </w:rPr>
        <w:t>адлежаще</w:t>
      </w:r>
      <w:r w:rsidRPr="00A21A6B">
        <w:rPr>
          <w:rFonts w:asciiTheme="majorHAnsi" w:hAnsiTheme="majorHAnsi" w:cstheme="majorHAnsi"/>
          <w:sz w:val="24"/>
          <w:szCs w:val="24"/>
          <w:lang w:val="ru-MD"/>
        </w:rPr>
        <w:t>й капитализации и проверки фактически</w:t>
      </w:r>
      <w:r w:rsidR="00E75307" w:rsidRPr="00A21A6B">
        <w:rPr>
          <w:rFonts w:asciiTheme="majorHAnsi" w:hAnsiTheme="majorHAnsi" w:cstheme="majorHAnsi"/>
          <w:sz w:val="24"/>
          <w:szCs w:val="24"/>
          <w:lang w:val="ru-MD"/>
        </w:rPr>
        <w:t xml:space="preserve"> понесенных расходов</w:t>
      </w:r>
      <w:r w:rsidRPr="00A21A6B">
        <w:rPr>
          <w:rFonts w:asciiTheme="majorHAnsi" w:hAnsiTheme="majorHAnsi" w:cstheme="majorHAnsi"/>
          <w:sz w:val="24"/>
          <w:szCs w:val="24"/>
          <w:lang w:val="ru-MD"/>
        </w:rPr>
        <w:t xml:space="preserve"> в рамках завершенного научного проекта</w:t>
      </w:r>
      <w:r w:rsidR="00F40961" w:rsidRPr="00A21A6B">
        <w:rPr>
          <w:rFonts w:asciiTheme="majorHAnsi" w:hAnsiTheme="majorHAnsi" w:cstheme="majorHAnsi"/>
          <w:sz w:val="24"/>
          <w:szCs w:val="24"/>
          <w:lang w:val="ru-MD"/>
        </w:rPr>
        <w:t xml:space="preserve">. </w:t>
      </w:r>
    </w:p>
    <w:p w:rsidR="00F40961" w:rsidRPr="00A21A6B" w:rsidRDefault="00562715" w:rsidP="00F40961">
      <w:pPr>
        <w:tabs>
          <w:tab w:val="left" w:pos="810"/>
          <w:tab w:val="left" w:pos="1701"/>
        </w:tabs>
        <w:spacing w:after="120"/>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Так, очевидна срочная и </w:t>
      </w:r>
      <w:r w:rsidR="00922633" w:rsidRPr="00A21A6B">
        <w:rPr>
          <w:rFonts w:asciiTheme="majorHAnsi" w:hAnsiTheme="majorHAnsi" w:cstheme="majorHAnsi"/>
          <w:sz w:val="24"/>
          <w:szCs w:val="24"/>
          <w:lang w:val="ru-MD"/>
        </w:rPr>
        <w:t>остр</w:t>
      </w:r>
      <w:r w:rsidRPr="00A21A6B">
        <w:rPr>
          <w:rFonts w:asciiTheme="majorHAnsi" w:hAnsiTheme="majorHAnsi" w:cstheme="majorHAnsi"/>
          <w:sz w:val="24"/>
          <w:szCs w:val="24"/>
          <w:lang w:val="ru-MD"/>
        </w:rPr>
        <w:t>ая необходимость разработки механизма в этом отношении</w:t>
      </w:r>
      <w:r w:rsidR="00F40961" w:rsidRPr="00A21A6B">
        <w:rPr>
          <w:rFonts w:asciiTheme="majorHAnsi" w:hAnsiTheme="majorHAnsi" w:cstheme="majorHAnsi"/>
          <w:sz w:val="24"/>
          <w:szCs w:val="24"/>
          <w:lang w:val="ru-MD"/>
        </w:rPr>
        <w:t xml:space="preserve">. </w:t>
      </w:r>
    </w:p>
    <w:p w:rsidR="00F40961" w:rsidRPr="00A21A6B" w:rsidRDefault="00F40961" w:rsidP="00F40961">
      <w:pPr>
        <w:tabs>
          <w:tab w:val="left" w:pos="810"/>
          <w:tab w:val="left" w:pos="1701"/>
        </w:tabs>
        <w:spacing w:after="120"/>
        <w:jc w:val="both"/>
        <w:rPr>
          <w:rFonts w:asciiTheme="majorHAnsi" w:hAnsiTheme="majorHAnsi" w:cstheme="majorHAnsi"/>
          <w:sz w:val="24"/>
          <w:szCs w:val="24"/>
          <w:lang w:val="ru-MD"/>
        </w:rPr>
      </w:pPr>
    </w:p>
    <w:p w:rsidR="00F40961" w:rsidRPr="00A21A6B" w:rsidRDefault="00F40961" w:rsidP="00F40961">
      <w:pPr>
        <w:spacing w:after="0" w:line="276" w:lineRule="auto"/>
        <w:jc w:val="right"/>
        <w:rPr>
          <w:rFonts w:asciiTheme="majorHAnsi" w:eastAsia="Times New Roman" w:hAnsiTheme="majorHAnsi" w:cstheme="majorHAnsi"/>
          <w:bCs/>
          <w:sz w:val="24"/>
          <w:szCs w:val="24"/>
          <w:lang w:val="ru-MD"/>
        </w:rPr>
        <w:sectPr w:rsidR="00F40961" w:rsidRPr="00A21A6B" w:rsidSect="00797CA1">
          <w:footerReference w:type="default" r:id="rId11"/>
          <w:headerReference w:type="first" r:id="rId12"/>
          <w:pgSz w:w="11906" w:h="16838" w:code="9"/>
          <w:pgMar w:top="851" w:right="1133" w:bottom="851" w:left="1701" w:header="720" w:footer="720" w:gutter="0"/>
          <w:pgNumType w:start="1"/>
          <w:cols w:space="720"/>
          <w:titlePg/>
          <w:docGrid w:linePitch="360"/>
        </w:sectPr>
      </w:pPr>
    </w:p>
    <w:p w:rsidR="00F40961" w:rsidRPr="00A21A6B" w:rsidRDefault="00EB5375" w:rsidP="00F40961">
      <w:pPr>
        <w:spacing w:after="0" w:line="276" w:lineRule="auto"/>
        <w:jc w:val="right"/>
        <w:rPr>
          <w:rFonts w:asciiTheme="majorHAnsi" w:eastAsia="Times New Roman" w:hAnsiTheme="majorHAnsi" w:cstheme="majorHAnsi"/>
          <w:b/>
          <w:bCs/>
          <w:sz w:val="24"/>
          <w:szCs w:val="24"/>
          <w:lang w:val="ru-MD"/>
        </w:rPr>
      </w:pPr>
      <w:r w:rsidRPr="00A21A6B">
        <w:rPr>
          <w:rFonts w:asciiTheme="majorHAnsi" w:eastAsia="Times New Roman" w:hAnsiTheme="majorHAnsi" w:cstheme="majorHAnsi"/>
          <w:b/>
          <w:bCs/>
          <w:sz w:val="24"/>
          <w:szCs w:val="24"/>
          <w:lang w:val="ru-MD"/>
        </w:rPr>
        <w:t>Приложение №</w:t>
      </w:r>
      <w:r w:rsidR="00F40961" w:rsidRPr="00A21A6B">
        <w:rPr>
          <w:rFonts w:asciiTheme="majorHAnsi" w:eastAsia="Times New Roman" w:hAnsiTheme="majorHAnsi" w:cstheme="majorHAnsi"/>
          <w:b/>
          <w:bCs/>
          <w:sz w:val="24"/>
          <w:szCs w:val="24"/>
          <w:lang w:val="ru-MD"/>
        </w:rPr>
        <w:t>3</w:t>
      </w:r>
    </w:p>
    <w:p w:rsidR="00F40961" w:rsidRPr="00A21A6B" w:rsidRDefault="00F40961" w:rsidP="00F40961">
      <w:pPr>
        <w:tabs>
          <w:tab w:val="left" w:pos="810"/>
          <w:tab w:val="left" w:pos="1701"/>
        </w:tabs>
        <w:spacing w:after="0"/>
        <w:ind w:firstLine="709"/>
        <w:jc w:val="both"/>
        <w:rPr>
          <w:rFonts w:asciiTheme="majorHAnsi" w:hAnsiTheme="majorHAnsi" w:cstheme="majorHAnsi"/>
          <w:sz w:val="24"/>
          <w:szCs w:val="24"/>
          <w:lang w:val="ru-MD"/>
        </w:rPr>
      </w:pPr>
    </w:p>
    <w:p w:rsidR="00F40961" w:rsidRPr="00A21A6B" w:rsidRDefault="00EB5375" w:rsidP="00F40961">
      <w:pPr>
        <w:tabs>
          <w:tab w:val="left" w:pos="284"/>
          <w:tab w:val="left" w:pos="426"/>
        </w:tabs>
        <w:spacing w:after="0" w:line="240" w:lineRule="auto"/>
        <w:jc w:val="center"/>
        <w:outlineLvl w:val="1"/>
        <w:rPr>
          <w:rFonts w:asciiTheme="majorHAnsi" w:hAnsiTheme="majorHAnsi" w:cstheme="majorHAnsi"/>
          <w:b/>
          <w:sz w:val="24"/>
          <w:szCs w:val="24"/>
          <w:lang w:val="ru-MD"/>
        </w:rPr>
      </w:pPr>
      <w:bookmarkStart w:id="13" w:name="_Toc106833719"/>
      <w:r w:rsidRPr="00A21A6B">
        <w:rPr>
          <w:rFonts w:asciiTheme="majorHAnsi" w:hAnsiTheme="majorHAnsi" w:cstheme="majorHAnsi"/>
          <w:b/>
          <w:sz w:val="24"/>
          <w:szCs w:val="24"/>
          <w:lang w:val="ru-MD"/>
        </w:rPr>
        <w:t xml:space="preserve">НЕДОСТАТКИ ПРИ ПЕРЕДАЧЕ ЗЕМЕЛЬНЫХ УЧАСТКОВ </w:t>
      </w:r>
      <w:bookmarkEnd w:id="13"/>
      <w:r w:rsidRPr="00A21A6B">
        <w:rPr>
          <w:rFonts w:asciiTheme="majorHAnsi" w:hAnsiTheme="majorHAnsi" w:cstheme="majorHAnsi"/>
          <w:b/>
          <w:sz w:val="24"/>
          <w:szCs w:val="24"/>
          <w:lang w:val="ru-MD"/>
        </w:rPr>
        <w:t>АПС</w:t>
      </w:r>
    </w:p>
    <w:p w:rsidR="00F40961" w:rsidRPr="00A21A6B" w:rsidRDefault="00F40961" w:rsidP="00F40961">
      <w:pPr>
        <w:tabs>
          <w:tab w:val="left" w:pos="810"/>
          <w:tab w:val="left" w:pos="1701"/>
        </w:tabs>
        <w:spacing w:after="0"/>
        <w:ind w:firstLine="709"/>
        <w:jc w:val="both"/>
        <w:rPr>
          <w:rFonts w:asciiTheme="majorHAnsi" w:hAnsiTheme="majorHAnsi" w:cstheme="majorHAnsi"/>
          <w:sz w:val="24"/>
          <w:szCs w:val="24"/>
          <w:lang w:val="ru-MD"/>
        </w:rPr>
      </w:pPr>
    </w:p>
    <w:p w:rsidR="00F40961" w:rsidRPr="00A21A6B" w:rsidRDefault="00801661"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Обращаем внимание на</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допущенные </w:t>
      </w:r>
      <w:r w:rsidR="00562715" w:rsidRPr="00A21A6B">
        <w:rPr>
          <w:rFonts w:asciiTheme="majorHAnsi" w:hAnsiTheme="majorHAnsi" w:cstheme="majorHAnsi"/>
          <w:sz w:val="24"/>
          <w:szCs w:val="24"/>
          <w:lang w:val="ru-MD"/>
        </w:rPr>
        <w:t xml:space="preserve">недостатки </w:t>
      </w:r>
      <w:r w:rsidRPr="00A21A6B">
        <w:rPr>
          <w:rFonts w:asciiTheme="majorHAnsi" w:hAnsiTheme="majorHAnsi" w:cstheme="majorHAnsi"/>
          <w:sz w:val="24"/>
          <w:szCs w:val="24"/>
          <w:lang w:val="ru-MD"/>
        </w:rPr>
        <w:t xml:space="preserve">при </w:t>
      </w:r>
      <w:r w:rsidR="00562715" w:rsidRPr="00A21A6B">
        <w:rPr>
          <w:rFonts w:asciiTheme="majorHAnsi" w:hAnsiTheme="majorHAnsi" w:cstheme="majorHAnsi"/>
          <w:sz w:val="24"/>
          <w:szCs w:val="24"/>
          <w:lang w:val="ru-MD"/>
        </w:rPr>
        <w:t>передач</w:t>
      </w:r>
      <w:r w:rsidRPr="00A21A6B">
        <w:rPr>
          <w:rFonts w:asciiTheme="majorHAnsi" w:hAnsiTheme="majorHAnsi" w:cstheme="majorHAnsi"/>
          <w:sz w:val="24"/>
          <w:szCs w:val="24"/>
          <w:lang w:val="ru-MD"/>
        </w:rPr>
        <w:t>е</w:t>
      </w:r>
      <w:r w:rsidR="00562715" w:rsidRPr="00A21A6B">
        <w:rPr>
          <w:rFonts w:asciiTheme="majorHAnsi" w:hAnsiTheme="majorHAnsi" w:cstheme="majorHAnsi"/>
          <w:sz w:val="24"/>
          <w:szCs w:val="24"/>
          <w:lang w:val="ru-MD"/>
        </w:rPr>
        <w:t xml:space="preserve"> зем</w:t>
      </w:r>
      <w:r w:rsidRPr="00A21A6B">
        <w:rPr>
          <w:rFonts w:asciiTheme="majorHAnsi" w:hAnsiTheme="majorHAnsi" w:cstheme="majorHAnsi"/>
          <w:sz w:val="24"/>
          <w:szCs w:val="24"/>
          <w:lang w:val="ru-MD"/>
        </w:rPr>
        <w:t>ельных участков</w:t>
      </w:r>
      <w:r w:rsidR="00562715" w:rsidRPr="00A21A6B">
        <w:rPr>
          <w:rFonts w:asciiTheme="majorHAnsi" w:hAnsiTheme="majorHAnsi" w:cstheme="majorHAnsi"/>
          <w:sz w:val="24"/>
          <w:szCs w:val="24"/>
          <w:lang w:val="ru-MD"/>
        </w:rPr>
        <w:t xml:space="preserve"> от центральных </w:t>
      </w:r>
      <w:r w:rsidRPr="00A21A6B">
        <w:rPr>
          <w:rFonts w:asciiTheme="majorHAnsi" w:hAnsiTheme="majorHAnsi" w:cstheme="majorHAnsi"/>
          <w:sz w:val="24"/>
          <w:szCs w:val="24"/>
          <w:lang w:val="ru-MD"/>
        </w:rPr>
        <w:t xml:space="preserve">публичных </w:t>
      </w:r>
      <w:r w:rsidR="00562715" w:rsidRPr="00A21A6B">
        <w:rPr>
          <w:rFonts w:asciiTheme="majorHAnsi" w:hAnsiTheme="majorHAnsi" w:cstheme="majorHAnsi"/>
          <w:sz w:val="24"/>
          <w:szCs w:val="24"/>
          <w:lang w:val="ru-MD"/>
        </w:rPr>
        <w:t xml:space="preserve">органов </w:t>
      </w:r>
      <w:r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гентству публичной собственности</w:t>
      </w:r>
      <w:r w:rsidR="00F40961" w:rsidRPr="00A21A6B">
        <w:rPr>
          <w:rFonts w:asciiTheme="majorHAnsi" w:hAnsiTheme="majorHAnsi" w:cstheme="majorHAnsi"/>
          <w:sz w:val="24"/>
          <w:szCs w:val="24"/>
          <w:lang w:val="ru-MD"/>
        </w:rPr>
        <w:t xml:space="preserve">. </w:t>
      </w:r>
    </w:p>
    <w:p w:rsidR="00F40961" w:rsidRPr="00A21A6B" w:rsidRDefault="00F40961"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(i)</w:t>
      </w:r>
      <w:r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Исходя из</w:t>
      </w:r>
      <w:r w:rsidR="00562715" w:rsidRPr="00A21A6B">
        <w:rPr>
          <w:rFonts w:asciiTheme="majorHAnsi" w:hAnsiTheme="majorHAnsi" w:cstheme="majorHAnsi"/>
          <w:sz w:val="24"/>
          <w:szCs w:val="24"/>
          <w:lang w:val="ru-MD"/>
        </w:rPr>
        <w:t xml:space="preserve"> того</w:t>
      </w:r>
      <w:r w:rsidR="00801661" w:rsidRPr="00A21A6B">
        <w:rPr>
          <w:rFonts w:asciiTheme="majorHAnsi" w:hAnsiTheme="majorHAnsi" w:cstheme="majorHAnsi"/>
          <w:sz w:val="24"/>
          <w:szCs w:val="24"/>
          <w:lang w:val="ru-MD"/>
        </w:rPr>
        <w:t>, что ПП №</w:t>
      </w:r>
      <w:r w:rsidR="00562715" w:rsidRPr="00A21A6B">
        <w:rPr>
          <w:rFonts w:asciiTheme="majorHAnsi" w:hAnsiTheme="majorHAnsi" w:cstheme="majorHAnsi"/>
          <w:sz w:val="24"/>
          <w:szCs w:val="24"/>
          <w:lang w:val="ru-MD"/>
        </w:rPr>
        <w:t>161/2019</w:t>
      </w:r>
      <w:r w:rsidR="00801661" w:rsidRPr="00A21A6B">
        <w:rPr>
          <w:rStyle w:val="FootnoteReference"/>
          <w:rFonts w:asciiTheme="majorHAnsi" w:hAnsiTheme="majorHAnsi" w:cstheme="majorHAnsi"/>
          <w:sz w:val="24"/>
          <w:szCs w:val="24"/>
          <w:lang w:val="ru-MD"/>
        </w:rPr>
        <w:footnoteReference w:id="37"/>
      </w:r>
      <w:r w:rsidR="00562715" w:rsidRPr="00A21A6B">
        <w:rPr>
          <w:rFonts w:asciiTheme="majorHAnsi" w:hAnsiTheme="majorHAnsi" w:cstheme="majorHAnsi"/>
          <w:sz w:val="24"/>
          <w:szCs w:val="24"/>
          <w:lang w:val="ru-MD"/>
        </w:rPr>
        <w:t xml:space="preserve"> не предусматривает</w:t>
      </w:r>
      <w:r w:rsidR="00801661" w:rsidRPr="00A21A6B">
        <w:rPr>
          <w:rFonts w:asciiTheme="majorHAnsi" w:hAnsiTheme="majorHAnsi" w:cstheme="majorHAnsi"/>
          <w:sz w:val="24"/>
          <w:szCs w:val="24"/>
          <w:lang w:val="ru-MD"/>
        </w:rPr>
        <w:t xml:space="preserve"> порядок</w:t>
      </w:r>
      <w:r w:rsidR="00562715" w:rsidRPr="00A21A6B">
        <w:rPr>
          <w:rFonts w:asciiTheme="majorHAnsi" w:hAnsiTheme="majorHAnsi" w:cstheme="majorHAnsi"/>
          <w:sz w:val="24"/>
          <w:szCs w:val="24"/>
          <w:lang w:val="ru-MD"/>
        </w:rPr>
        <w:t xml:space="preserve"> переда</w:t>
      </w:r>
      <w:r w:rsidR="00801661" w:rsidRPr="00A21A6B">
        <w:rPr>
          <w:rFonts w:asciiTheme="majorHAnsi" w:hAnsiTheme="majorHAnsi" w:cstheme="majorHAnsi"/>
          <w:sz w:val="24"/>
          <w:szCs w:val="24"/>
          <w:lang w:val="ru-MD"/>
        </w:rPr>
        <w:t>чи</w:t>
      </w:r>
      <w:r w:rsidR="00562715"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земельных участков</w:t>
      </w:r>
      <w:r w:rsidR="00562715" w:rsidRPr="00A21A6B">
        <w:rPr>
          <w:rFonts w:asciiTheme="majorHAnsi" w:hAnsiTheme="majorHAnsi" w:cstheme="majorHAnsi"/>
          <w:sz w:val="24"/>
          <w:szCs w:val="24"/>
          <w:lang w:val="ru-MD"/>
        </w:rPr>
        <w:t xml:space="preserve">, находящиеся в ведении </w:t>
      </w:r>
      <w:r w:rsidR="00801661" w:rsidRPr="00A21A6B">
        <w:rPr>
          <w:rFonts w:asciiTheme="majorHAnsi" w:hAnsiTheme="majorHAnsi" w:cstheme="majorHAnsi"/>
          <w:sz w:val="24"/>
          <w:szCs w:val="24"/>
          <w:lang w:val="ru-MD"/>
        </w:rPr>
        <w:t>ЦПО</w:t>
      </w:r>
      <w:r w:rsidR="00562715"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не</w:t>
      </w:r>
      <w:r w:rsidR="00562715" w:rsidRPr="00A21A6B">
        <w:rPr>
          <w:rFonts w:asciiTheme="majorHAnsi" w:hAnsiTheme="majorHAnsi" w:cstheme="majorHAnsi"/>
          <w:sz w:val="24"/>
          <w:szCs w:val="24"/>
          <w:lang w:val="ru-MD"/>
        </w:rPr>
        <w:t xml:space="preserve"> ссыл</w:t>
      </w:r>
      <w:r w:rsidR="00801661" w:rsidRPr="00A21A6B">
        <w:rPr>
          <w:rFonts w:asciiTheme="majorHAnsi" w:hAnsiTheme="majorHAnsi" w:cstheme="majorHAnsi"/>
          <w:sz w:val="24"/>
          <w:szCs w:val="24"/>
          <w:lang w:val="ru-MD"/>
        </w:rPr>
        <w:t>аясь на ПП №</w:t>
      </w:r>
      <w:r w:rsidR="00562715" w:rsidRPr="00A21A6B">
        <w:rPr>
          <w:rFonts w:asciiTheme="majorHAnsi" w:hAnsiTheme="majorHAnsi" w:cstheme="majorHAnsi"/>
          <w:sz w:val="24"/>
          <w:szCs w:val="24"/>
          <w:lang w:val="ru-MD"/>
        </w:rPr>
        <w:t>901/2015</w:t>
      </w:r>
      <w:r w:rsidR="00801661" w:rsidRPr="00A21A6B">
        <w:rPr>
          <w:rStyle w:val="FootnoteReference"/>
          <w:rFonts w:asciiTheme="majorHAnsi" w:hAnsiTheme="majorHAnsi" w:cstheme="majorHAnsi"/>
          <w:sz w:val="24"/>
          <w:szCs w:val="24"/>
          <w:lang w:val="ru-MD"/>
        </w:rPr>
        <w:footnoteReference w:id="38"/>
      </w:r>
      <w:r w:rsidR="00562715"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лишь</w:t>
      </w:r>
      <w:r w:rsidR="00562715" w:rsidRPr="00A21A6B">
        <w:rPr>
          <w:rFonts w:asciiTheme="majorHAnsi" w:hAnsiTheme="majorHAnsi" w:cstheme="majorHAnsi"/>
          <w:sz w:val="24"/>
          <w:szCs w:val="24"/>
          <w:lang w:val="ru-MD"/>
        </w:rPr>
        <w:t xml:space="preserve"> оговаривает</w:t>
      </w:r>
      <w:r w:rsidR="00801661" w:rsidRPr="00A21A6B">
        <w:rPr>
          <w:rStyle w:val="FootnoteReference"/>
          <w:rFonts w:asciiTheme="majorHAnsi" w:hAnsiTheme="majorHAnsi" w:cstheme="majorHAnsi"/>
          <w:sz w:val="24"/>
          <w:szCs w:val="24"/>
          <w:lang w:val="ru-MD"/>
        </w:rPr>
        <w:footnoteReference w:id="39"/>
      </w:r>
      <w:r w:rsidR="00562715" w:rsidRPr="00A21A6B">
        <w:rPr>
          <w:rFonts w:asciiTheme="majorHAnsi" w:hAnsiTheme="majorHAnsi" w:cstheme="majorHAnsi"/>
          <w:sz w:val="24"/>
          <w:szCs w:val="24"/>
          <w:lang w:val="ru-MD"/>
        </w:rPr>
        <w:t xml:space="preserve">, что Агентство </w:t>
      </w:r>
      <w:r w:rsidR="00801661" w:rsidRPr="00A21A6B">
        <w:rPr>
          <w:rFonts w:asciiTheme="majorHAnsi" w:hAnsiTheme="majorHAnsi" w:cstheme="majorHAnsi"/>
          <w:sz w:val="24"/>
          <w:szCs w:val="24"/>
          <w:lang w:val="ru-MD"/>
        </w:rPr>
        <w:t>публич</w:t>
      </w:r>
      <w:r w:rsidR="00562715" w:rsidRPr="00A21A6B">
        <w:rPr>
          <w:rFonts w:asciiTheme="majorHAnsi" w:hAnsiTheme="majorHAnsi" w:cstheme="majorHAnsi"/>
          <w:sz w:val="24"/>
          <w:szCs w:val="24"/>
          <w:lang w:val="ru-MD"/>
        </w:rPr>
        <w:t>ных услуг будет регистрировать</w:t>
      </w:r>
      <w:r w:rsidR="00801661" w:rsidRPr="00A21A6B">
        <w:rPr>
          <w:rFonts w:asciiTheme="majorHAnsi" w:hAnsiTheme="majorHAnsi" w:cstheme="majorHAnsi"/>
          <w:sz w:val="24"/>
          <w:szCs w:val="24"/>
          <w:lang w:val="ru-MD"/>
        </w:rPr>
        <w:t>,</w:t>
      </w:r>
      <w:r w:rsidR="00562715" w:rsidRPr="00A21A6B">
        <w:rPr>
          <w:rFonts w:asciiTheme="majorHAnsi" w:hAnsiTheme="majorHAnsi" w:cstheme="majorHAnsi"/>
          <w:sz w:val="24"/>
          <w:szCs w:val="24"/>
          <w:lang w:val="ru-MD"/>
        </w:rPr>
        <w:t xml:space="preserve"> по требованию</w:t>
      </w:r>
      <w:r w:rsidR="00801661" w:rsidRPr="00A21A6B">
        <w:rPr>
          <w:rFonts w:asciiTheme="majorHAnsi" w:hAnsiTheme="majorHAnsi" w:cstheme="majorHAnsi"/>
          <w:sz w:val="24"/>
          <w:szCs w:val="24"/>
          <w:lang w:val="ru-MD"/>
        </w:rPr>
        <w:t>,</w:t>
      </w:r>
      <w:r w:rsidR="00562715" w:rsidRPr="00A21A6B">
        <w:rPr>
          <w:rFonts w:asciiTheme="majorHAnsi" w:hAnsiTheme="majorHAnsi" w:cstheme="majorHAnsi"/>
          <w:sz w:val="24"/>
          <w:szCs w:val="24"/>
          <w:lang w:val="ru-MD"/>
        </w:rPr>
        <w:t xml:space="preserve"> </w:t>
      </w:r>
      <w:r w:rsidR="00801661" w:rsidRPr="00A21A6B">
        <w:rPr>
          <w:rFonts w:asciiTheme="majorHAnsi" w:hAnsiTheme="majorHAnsi" w:cstheme="majorHAnsi"/>
          <w:sz w:val="24"/>
          <w:szCs w:val="24"/>
          <w:lang w:val="ru-MD"/>
        </w:rPr>
        <w:t xml:space="preserve">земельные участки публичной </w:t>
      </w:r>
      <w:r w:rsidR="00562715" w:rsidRPr="00A21A6B">
        <w:rPr>
          <w:rFonts w:asciiTheme="majorHAnsi" w:hAnsiTheme="majorHAnsi" w:cstheme="majorHAnsi"/>
          <w:sz w:val="24"/>
          <w:szCs w:val="24"/>
          <w:lang w:val="ru-MD"/>
        </w:rPr>
        <w:t>собственности государства, указанн</w:t>
      </w:r>
      <w:r w:rsidR="00801661" w:rsidRPr="00A21A6B">
        <w:rPr>
          <w:rFonts w:asciiTheme="majorHAnsi" w:hAnsiTheme="majorHAnsi" w:cstheme="majorHAnsi"/>
          <w:sz w:val="24"/>
          <w:szCs w:val="24"/>
          <w:lang w:val="ru-MD"/>
        </w:rPr>
        <w:t>ые</w:t>
      </w:r>
      <w:r w:rsidR="00562715" w:rsidRPr="00A21A6B">
        <w:rPr>
          <w:rFonts w:asciiTheme="majorHAnsi" w:hAnsiTheme="majorHAnsi" w:cstheme="majorHAnsi"/>
          <w:sz w:val="24"/>
          <w:szCs w:val="24"/>
          <w:lang w:val="ru-MD"/>
        </w:rPr>
        <w:t xml:space="preserve"> в </w:t>
      </w:r>
      <w:r w:rsidR="00801661"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 xml:space="preserve">.1 и </w:t>
      </w:r>
      <w:r w:rsidR="00801661"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.2</w:t>
      </w:r>
      <w:r w:rsidR="00801661" w:rsidRPr="00A21A6B">
        <w:rPr>
          <w:rFonts w:asciiTheme="majorHAnsi" w:hAnsiTheme="majorHAnsi" w:cstheme="majorHAnsi"/>
          <w:sz w:val="24"/>
          <w:szCs w:val="24"/>
          <w:lang w:val="ru-MD"/>
        </w:rPr>
        <w:t>,</w:t>
      </w:r>
      <w:r w:rsidR="00562715" w:rsidRPr="00A21A6B">
        <w:rPr>
          <w:rFonts w:asciiTheme="majorHAnsi" w:hAnsiTheme="majorHAnsi" w:cstheme="majorHAnsi"/>
          <w:sz w:val="24"/>
          <w:szCs w:val="24"/>
          <w:lang w:val="ru-MD"/>
        </w:rPr>
        <w:t xml:space="preserve"> и </w:t>
      </w:r>
      <w:r w:rsidR="00801661" w:rsidRPr="00A21A6B">
        <w:rPr>
          <w:rFonts w:asciiTheme="majorHAnsi" w:hAnsiTheme="majorHAnsi" w:cstheme="majorHAnsi"/>
          <w:sz w:val="24"/>
          <w:szCs w:val="24"/>
          <w:lang w:val="ru-MD"/>
        </w:rPr>
        <w:t>земельные участки</w:t>
      </w:r>
      <w:r w:rsidR="00562715" w:rsidRPr="00A21A6B">
        <w:rPr>
          <w:rFonts w:asciiTheme="majorHAnsi" w:hAnsiTheme="majorHAnsi" w:cstheme="majorHAnsi"/>
          <w:sz w:val="24"/>
          <w:szCs w:val="24"/>
          <w:lang w:val="ru-MD"/>
        </w:rPr>
        <w:t xml:space="preserve"> публичной собственности государства, относящиеся к </w:t>
      </w:r>
      <w:r w:rsidR="00801661" w:rsidRPr="00A21A6B">
        <w:rPr>
          <w:rFonts w:asciiTheme="majorHAnsi" w:hAnsiTheme="majorHAnsi" w:cstheme="majorHAnsi"/>
          <w:sz w:val="24"/>
          <w:szCs w:val="24"/>
          <w:lang w:val="ru-MD"/>
        </w:rPr>
        <w:t xml:space="preserve">объектам </w:t>
      </w:r>
      <w:r w:rsidR="00562715" w:rsidRPr="00A21A6B">
        <w:rPr>
          <w:rFonts w:asciiTheme="majorHAnsi" w:hAnsiTheme="majorHAnsi" w:cstheme="majorHAnsi"/>
          <w:sz w:val="24"/>
          <w:szCs w:val="24"/>
          <w:lang w:val="ru-MD"/>
        </w:rPr>
        <w:t>недвижимо</w:t>
      </w:r>
      <w:r w:rsidR="00801661" w:rsidRPr="00A21A6B">
        <w:rPr>
          <w:rFonts w:asciiTheme="majorHAnsi" w:hAnsiTheme="majorHAnsi" w:cstheme="majorHAnsi"/>
          <w:sz w:val="24"/>
          <w:szCs w:val="24"/>
          <w:lang w:val="ru-MD"/>
        </w:rPr>
        <w:t>го</w:t>
      </w:r>
      <w:r w:rsidR="00562715" w:rsidRPr="00A21A6B">
        <w:rPr>
          <w:rFonts w:asciiTheme="majorHAnsi" w:hAnsiTheme="majorHAnsi" w:cstheme="majorHAnsi"/>
          <w:sz w:val="24"/>
          <w:szCs w:val="24"/>
          <w:lang w:val="ru-MD"/>
        </w:rPr>
        <w:t xml:space="preserve"> имуществ</w:t>
      </w:r>
      <w:r w:rsidR="00801661"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 xml:space="preserve"> публичной собственности государства, указанн</w:t>
      </w:r>
      <w:r w:rsidR="00801661" w:rsidRPr="00A21A6B">
        <w:rPr>
          <w:rFonts w:asciiTheme="majorHAnsi" w:hAnsiTheme="majorHAnsi" w:cstheme="majorHAnsi"/>
          <w:sz w:val="24"/>
          <w:szCs w:val="24"/>
          <w:lang w:val="ru-MD"/>
        </w:rPr>
        <w:t>ым</w:t>
      </w:r>
      <w:r w:rsidR="00562715" w:rsidRPr="00A21A6B">
        <w:rPr>
          <w:rFonts w:asciiTheme="majorHAnsi" w:hAnsiTheme="majorHAnsi" w:cstheme="majorHAnsi"/>
          <w:sz w:val="24"/>
          <w:szCs w:val="24"/>
          <w:lang w:val="ru-MD"/>
        </w:rPr>
        <w:t xml:space="preserve"> в </w:t>
      </w:r>
      <w:r w:rsidR="00801661"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 xml:space="preserve">.3, </w:t>
      </w:r>
      <w:r w:rsidR="00801661" w:rsidRPr="00A21A6B">
        <w:rPr>
          <w:rFonts w:asciiTheme="majorHAnsi" w:hAnsiTheme="majorHAnsi" w:cstheme="majorHAnsi"/>
          <w:sz w:val="24"/>
          <w:szCs w:val="24"/>
          <w:lang w:val="ru-MD"/>
        </w:rPr>
        <w:t>соответствующая</w:t>
      </w:r>
      <w:r w:rsidR="00562715" w:rsidRPr="00A21A6B">
        <w:rPr>
          <w:rFonts w:asciiTheme="majorHAnsi" w:hAnsiTheme="majorHAnsi" w:cstheme="majorHAnsi"/>
          <w:sz w:val="24"/>
          <w:szCs w:val="24"/>
          <w:lang w:val="ru-MD"/>
        </w:rPr>
        <w:t xml:space="preserve"> реформа не была проведена</w:t>
      </w:r>
      <w:r w:rsidRPr="00A21A6B">
        <w:rPr>
          <w:rFonts w:asciiTheme="majorHAnsi" w:hAnsiTheme="majorHAnsi" w:cstheme="majorHAnsi"/>
          <w:sz w:val="24"/>
          <w:szCs w:val="24"/>
          <w:lang w:val="ru-MD"/>
        </w:rPr>
        <w:t>.</w:t>
      </w:r>
    </w:p>
    <w:p w:rsidR="00F40961" w:rsidRPr="00A21A6B" w:rsidRDefault="0056271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Таким образом, в настоящее время наблюдаются неравномерные и не</w:t>
      </w:r>
      <w:r w:rsidR="00EA70BF" w:rsidRPr="00A21A6B">
        <w:rPr>
          <w:rFonts w:asciiTheme="majorHAnsi" w:hAnsiTheme="majorHAnsi" w:cstheme="majorHAnsi"/>
          <w:sz w:val="24"/>
          <w:szCs w:val="24"/>
          <w:lang w:val="ru-MD"/>
        </w:rPr>
        <w:t>надлежащи</w:t>
      </w:r>
      <w:r w:rsidRPr="00A21A6B">
        <w:rPr>
          <w:rFonts w:asciiTheme="majorHAnsi" w:hAnsiTheme="majorHAnsi" w:cstheme="majorHAnsi"/>
          <w:sz w:val="24"/>
          <w:szCs w:val="24"/>
          <w:lang w:val="ru-MD"/>
        </w:rPr>
        <w:t xml:space="preserve">е подходы к передаче </w:t>
      </w:r>
      <w:r w:rsidR="00EA70BF"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xml:space="preserve">. Часть </w:t>
      </w:r>
      <w:r w:rsidR="00EA70BF"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хотя и не был</w:t>
      </w:r>
      <w:r w:rsidR="00EA70BF"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передан</w:t>
      </w:r>
      <w:r w:rsidR="00EA70BF"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w:t>
      </w:r>
      <w:r w:rsidR="00EA70BF" w:rsidRPr="00A21A6B">
        <w:rPr>
          <w:rFonts w:asciiTheme="majorHAnsi" w:hAnsiTheme="majorHAnsi" w:cstheme="majorHAnsi"/>
          <w:sz w:val="24"/>
          <w:szCs w:val="24"/>
          <w:lang w:val="ru-MD"/>
        </w:rPr>
        <w:t xml:space="preserve">поскольку </w:t>
      </w:r>
      <w:r w:rsidRPr="00A21A6B">
        <w:rPr>
          <w:rFonts w:asciiTheme="majorHAnsi" w:hAnsiTheme="majorHAnsi" w:cstheme="majorHAnsi"/>
          <w:sz w:val="24"/>
          <w:szCs w:val="24"/>
          <w:lang w:val="ru-MD"/>
        </w:rPr>
        <w:t>не был</w:t>
      </w:r>
      <w:r w:rsidR="00EA70BF"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составлен</w:t>
      </w:r>
      <w:r w:rsidR="00EA70BF"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акт</w:t>
      </w:r>
      <w:r w:rsidR="00EA70BF"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приема-передачи, согласно </w:t>
      </w:r>
      <w:r w:rsidR="003D19F9" w:rsidRPr="00A21A6B">
        <w:rPr>
          <w:rFonts w:asciiTheme="majorHAnsi" w:hAnsiTheme="majorHAnsi" w:cstheme="majorHAnsi"/>
          <w:sz w:val="24"/>
          <w:szCs w:val="24"/>
          <w:lang w:val="ru-MD"/>
        </w:rPr>
        <w:t>записям из Регистра недвижимого имущества,</w:t>
      </w:r>
      <w:r w:rsidRPr="00A21A6B">
        <w:rPr>
          <w:rFonts w:asciiTheme="majorHAnsi" w:hAnsiTheme="majorHAnsi" w:cstheme="majorHAnsi"/>
          <w:sz w:val="24"/>
          <w:szCs w:val="24"/>
          <w:lang w:val="ru-MD"/>
        </w:rPr>
        <w:t xml:space="preserve"> уже принадлеж</w:t>
      </w:r>
      <w:r w:rsidR="00EA70BF"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т A</w:t>
      </w:r>
      <w:r w:rsidR="00EA70BF" w:rsidRPr="00A21A6B">
        <w:rPr>
          <w:rFonts w:asciiTheme="majorHAnsi" w:hAnsiTheme="majorHAnsi" w:cstheme="majorHAnsi"/>
          <w:sz w:val="24"/>
          <w:szCs w:val="24"/>
          <w:lang w:val="ru-MD"/>
        </w:rPr>
        <w:t>ПС</w:t>
      </w:r>
      <w:r w:rsidRPr="00A21A6B">
        <w:rPr>
          <w:rFonts w:asciiTheme="majorHAnsi" w:hAnsiTheme="majorHAnsi" w:cstheme="majorHAnsi"/>
          <w:sz w:val="24"/>
          <w:szCs w:val="24"/>
          <w:lang w:val="ru-MD"/>
        </w:rPr>
        <w:t xml:space="preserve">. В этих условиях, </w:t>
      </w:r>
      <w:r w:rsidR="00EA70BF" w:rsidRPr="00A21A6B">
        <w:rPr>
          <w:rFonts w:asciiTheme="majorHAnsi" w:hAnsiTheme="majorHAnsi" w:cstheme="majorHAnsi"/>
          <w:sz w:val="24"/>
          <w:szCs w:val="24"/>
          <w:lang w:val="ru-MD"/>
        </w:rPr>
        <w:t>в</w:t>
      </w:r>
      <w:r w:rsidRPr="00A21A6B">
        <w:rPr>
          <w:rFonts w:asciiTheme="majorHAnsi" w:hAnsiTheme="majorHAnsi" w:cstheme="majorHAnsi"/>
          <w:sz w:val="24"/>
          <w:szCs w:val="24"/>
          <w:lang w:val="ru-MD"/>
        </w:rPr>
        <w:t xml:space="preserve"> отсутстви</w:t>
      </w:r>
      <w:r w:rsidR="00EA70BF"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акта приема-передачи, ни передающая сторона (</w:t>
      </w:r>
      <w:r w:rsidR="00EA70BF" w:rsidRPr="00A21A6B">
        <w:rPr>
          <w:rFonts w:asciiTheme="majorHAnsi" w:hAnsiTheme="majorHAnsi" w:cstheme="majorHAnsi"/>
          <w:sz w:val="24"/>
          <w:szCs w:val="24"/>
          <w:lang w:val="ru-MD"/>
        </w:rPr>
        <w:t>ЦПО</w:t>
      </w:r>
      <w:r w:rsidRPr="00A21A6B">
        <w:rPr>
          <w:rFonts w:asciiTheme="majorHAnsi" w:hAnsiTheme="majorHAnsi" w:cstheme="majorHAnsi"/>
          <w:sz w:val="24"/>
          <w:szCs w:val="24"/>
          <w:lang w:val="ru-MD"/>
        </w:rPr>
        <w:t>), ни принимающая сторона (</w:t>
      </w:r>
      <w:r w:rsidR="00EA70BF"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не имеют оснований для отражения </w:t>
      </w:r>
      <w:r w:rsidR="00EA70BF" w:rsidRPr="00A21A6B">
        <w:rPr>
          <w:rFonts w:asciiTheme="majorHAnsi" w:hAnsiTheme="majorHAnsi" w:cstheme="majorHAnsi"/>
          <w:sz w:val="24"/>
          <w:szCs w:val="24"/>
          <w:lang w:val="ru-MD"/>
        </w:rPr>
        <w:t>поступления</w:t>
      </w:r>
      <w:r w:rsidRPr="00A21A6B">
        <w:rPr>
          <w:rFonts w:asciiTheme="majorHAnsi" w:hAnsiTheme="majorHAnsi" w:cstheme="majorHAnsi"/>
          <w:sz w:val="24"/>
          <w:szCs w:val="24"/>
          <w:lang w:val="ru-MD"/>
        </w:rPr>
        <w:t>/вы</w:t>
      </w:r>
      <w:r w:rsidR="00EA70BF" w:rsidRPr="00A21A6B">
        <w:rPr>
          <w:rFonts w:asciiTheme="majorHAnsi" w:hAnsiTheme="majorHAnsi" w:cstheme="majorHAnsi"/>
          <w:sz w:val="24"/>
          <w:szCs w:val="24"/>
          <w:lang w:val="ru-MD"/>
        </w:rPr>
        <w:t>бытия</w:t>
      </w:r>
      <w:r w:rsidRPr="00A21A6B">
        <w:rPr>
          <w:rFonts w:asciiTheme="majorHAnsi" w:hAnsiTheme="majorHAnsi" w:cstheme="majorHAnsi"/>
          <w:sz w:val="24"/>
          <w:szCs w:val="24"/>
          <w:lang w:val="ru-MD"/>
        </w:rPr>
        <w:t xml:space="preserve"> </w:t>
      </w:r>
      <w:r w:rsidR="003D19F9" w:rsidRPr="00A21A6B">
        <w:rPr>
          <w:rFonts w:asciiTheme="majorHAnsi" w:hAnsiTheme="majorHAnsi" w:cstheme="majorHAnsi"/>
          <w:sz w:val="24"/>
          <w:szCs w:val="24"/>
          <w:lang w:val="ru-MD"/>
        </w:rPr>
        <w:t>активов, что</w:t>
      </w:r>
      <w:r w:rsidRPr="00A21A6B">
        <w:rPr>
          <w:rFonts w:asciiTheme="majorHAnsi" w:hAnsiTheme="majorHAnsi" w:cstheme="majorHAnsi"/>
          <w:sz w:val="24"/>
          <w:szCs w:val="24"/>
          <w:lang w:val="ru-MD"/>
        </w:rPr>
        <w:t xml:space="preserve"> обусловливает, с одной стороны, переоценку активов, управляемых </w:t>
      </w:r>
      <w:r w:rsidR="00EA70BF" w:rsidRPr="00A21A6B">
        <w:rPr>
          <w:rFonts w:asciiTheme="majorHAnsi" w:hAnsiTheme="majorHAnsi" w:cstheme="majorHAnsi"/>
          <w:sz w:val="24"/>
          <w:szCs w:val="24"/>
          <w:lang w:val="ru-MD"/>
        </w:rPr>
        <w:t>ЦПО</w:t>
      </w:r>
      <w:r w:rsidRPr="00A21A6B">
        <w:rPr>
          <w:rFonts w:asciiTheme="majorHAnsi" w:hAnsiTheme="majorHAnsi" w:cstheme="majorHAnsi"/>
          <w:sz w:val="24"/>
          <w:szCs w:val="24"/>
          <w:lang w:val="ru-MD"/>
        </w:rPr>
        <w:t xml:space="preserve">, поскольку </w:t>
      </w:r>
      <w:r w:rsidR="00EA70BF" w:rsidRPr="00A21A6B">
        <w:rPr>
          <w:rFonts w:asciiTheme="majorHAnsi" w:hAnsiTheme="majorHAnsi" w:cstheme="majorHAnsi"/>
          <w:sz w:val="24"/>
          <w:szCs w:val="24"/>
          <w:lang w:val="ru-MD"/>
        </w:rPr>
        <w:t>земельные участки</w:t>
      </w:r>
      <w:r w:rsidRPr="00A21A6B">
        <w:rPr>
          <w:rFonts w:asciiTheme="majorHAnsi" w:hAnsiTheme="majorHAnsi" w:cstheme="majorHAnsi"/>
          <w:sz w:val="24"/>
          <w:szCs w:val="24"/>
          <w:lang w:val="ru-MD"/>
        </w:rPr>
        <w:t>, согласно записям</w:t>
      </w:r>
      <w:r w:rsidR="00EA70BF" w:rsidRPr="00A21A6B">
        <w:rPr>
          <w:rFonts w:asciiTheme="majorHAnsi" w:hAnsiTheme="majorHAnsi" w:cstheme="majorHAnsi"/>
          <w:sz w:val="24"/>
          <w:szCs w:val="24"/>
          <w:lang w:val="ru-MD"/>
        </w:rPr>
        <w:t xml:space="preserve"> </w:t>
      </w:r>
      <w:r w:rsidR="003D19F9">
        <w:rPr>
          <w:rFonts w:asciiTheme="majorHAnsi" w:hAnsiTheme="majorHAnsi" w:cstheme="majorHAnsi"/>
          <w:sz w:val="24"/>
          <w:szCs w:val="24"/>
          <w:lang w:val="ru-MD"/>
        </w:rPr>
        <w:t>из</w:t>
      </w:r>
      <w:r w:rsidR="00EA70BF" w:rsidRPr="00A21A6B">
        <w:rPr>
          <w:rFonts w:asciiTheme="majorHAnsi" w:hAnsiTheme="majorHAnsi" w:cstheme="majorHAnsi"/>
          <w:sz w:val="24"/>
          <w:szCs w:val="24"/>
          <w:lang w:val="ru-MD"/>
        </w:rPr>
        <w:t xml:space="preserve"> РНИ</w:t>
      </w:r>
      <w:r w:rsidRPr="00A21A6B">
        <w:rPr>
          <w:rFonts w:asciiTheme="majorHAnsi" w:hAnsiTheme="majorHAnsi" w:cstheme="majorHAnsi"/>
          <w:sz w:val="24"/>
          <w:szCs w:val="24"/>
          <w:lang w:val="ru-MD"/>
        </w:rPr>
        <w:t>, принадлежат третьим лицам (</w:t>
      </w:r>
      <w:r w:rsidR="00EA70BF"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а с другой стороны, акт приема-передачи между сторонами не был составлен, что послужило бы </w:t>
      </w:r>
      <w:r w:rsidR="00EA70BF" w:rsidRPr="00A21A6B">
        <w:rPr>
          <w:rFonts w:asciiTheme="majorHAnsi" w:hAnsiTheme="majorHAnsi" w:cstheme="majorHAnsi"/>
          <w:sz w:val="24"/>
          <w:szCs w:val="24"/>
          <w:lang w:val="ru-MD"/>
        </w:rPr>
        <w:t>первич</w:t>
      </w:r>
      <w:r w:rsidRPr="00A21A6B">
        <w:rPr>
          <w:rFonts w:asciiTheme="majorHAnsi" w:hAnsiTheme="majorHAnsi" w:cstheme="majorHAnsi"/>
          <w:sz w:val="24"/>
          <w:szCs w:val="24"/>
          <w:lang w:val="ru-MD"/>
        </w:rPr>
        <w:t xml:space="preserve">ным документом для </w:t>
      </w:r>
      <w:r w:rsidR="00EA70BF" w:rsidRPr="00A21A6B">
        <w:rPr>
          <w:rFonts w:asciiTheme="majorHAnsi" w:hAnsiTheme="majorHAnsi" w:cstheme="majorHAnsi"/>
          <w:sz w:val="24"/>
          <w:szCs w:val="24"/>
          <w:lang w:val="ru-MD"/>
        </w:rPr>
        <w:t>надлежаще</w:t>
      </w:r>
      <w:r w:rsidRPr="00A21A6B">
        <w:rPr>
          <w:rFonts w:asciiTheme="majorHAnsi" w:hAnsiTheme="majorHAnsi" w:cstheme="majorHAnsi"/>
          <w:sz w:val="24"/>
          <w:szCs w:val="24"/>
          <w:lang w:val="ru-MD"/>
        </w:rPr>
        <w:t xml:space="preserve">го учета </w:t>
      </w:r>
      <w:r w:rsidR="00EA70BF" w:rsidRPr="00A21A6B">
        <w:rPr>
          <w:rFonts w:asciiTheme="majorHAnsi" w:hAnsiTheme="majorHAnsi" w:cstheme="majorHAnsi"/>
          <w:sz w:val="24"/>
          <w:szCs w:val="24"/>
          <w:lang w:val="ru-MD"/>
        </w:rPr>
        <w:t xml:space="preserve">их </w:t>
      </w:r>
      <w:r w:rsidRPr="00A21A6B">
        <w:rPr>
          <w:rFonts w:asciiTheme="majorHAnsi" w:hAnsiTheme="majorHAnsi" w:cstheme="majorHAnsi"/>
          <w:sz w:val="24"/>
          <w:szCs w:val="24"/>
          <w:lang w:val="ru-MD"/>
        </w:rPr>
        <w:t>поступлени</w:t>
      </w:r>
      <w:r w:rsidR="00EA70BF"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w:t>
      </w:r>
      <w:r w:rsidR="00EA70BF" w:rsidRPr="00A21A6B">
        <w:rPr>
          <w:rFonts w:asciiTheme="majorHAnsi" w:hAnsiTheme="majorHAnsi" w:cstheme="majorHAnsi"/>
          <w:sz w:val="24"/>
          <w:szCs w:val="24"/>
          <w:lang w:val="ru-MD"/>
        </w:rPr>
        <w:t>в АПС</w:t>
      </w:r>
      <w:r w:rsidRPr="00A21A6B">
        <w:rPr>
          <w:rFonts w:asciiTheme="majorHAnsi" w:hAnsiTheme="majorHAnsi" w:cstheme="majorHAnsi"/>
          <w:sz w:val="24"/>
          <w:szCs w:val="24"/>
          <w:lang w:val="ru-MD"/>
        </w:rPr>
        <w:t xml:space="preserve">. </w:t>
      </w:r>
    </w:p>
    <w:p w:rsidR="00F40961" w:rsidRPr="00A21A6B" w:rsidRDefault="0056271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Следует отметить, что, хотя </w:t>
      </w:r>
      <w:r w:rsidR="004D28D2" w:rsidRPr="00A21A6B">
        <w:rPr>
          <w:rFonts w:asciiTheme="majorHAnsi" w:hAnsiTheme="majorHAnsi" w:cstheme="majorHAnsi"/>
          <w:sz w:val="24"/>
          <w:szCs w:val="24"/>
          <w:lang w:val="ru-MD"/>
        </w:rPr>
        <w:t>в записи</w:t>
      </w:r>
      <w:r w:rsidRPr="00A21A6B">
        <w:rPr>
          <w:rFonts w:asciiTheme="majorHAnsi" w:hAnsiTheme="majorHAnsi" w:cstheme="majorHAnsi"/>
          <w:sz w:val="24"/>
          <w:szCs w:val="24"/>
          <w:lang w:val="ru-MD"/>
        </w:rPr>
        <w:t xml:space="preserve"> в </w:t>
      </w:r>
      <w:r w:rsidR="004D28D2" w:rsidRPr="00A21A6B">
        <w:rPr>
          <w:rFonts w:asciiTheme="majorHAnsi" w:hAnsiTheme="majorHAnsi" w:cstheme="majorHAnsi"/>
          <w:sz w:val="24"/>
          <w:szCs w:val="24"/>
          <w:lang w:val="ru-MD"/>
        </w:rPr>
        <w:t>РНИ</w:t>
      </w:r>
      <w:r w:rsidRPr="00A21A6B">
        <w:rPr>
          <w:rFonts w:asciiTheme="majorHAnsi" w:hAnsiTheme="majorHAnsi" w:cstheme="majorHAnsi"/>
          <w:sz w:val="24"/>
          <w:szCs w:val="24"/>
          <w:lang w:val="ru-MD"/>
        </w:rPr>
        <w:t xml:space="preserve"> </w:t>
      </w:r>
      <w:r w:rsidR="004D28D2" w:rsidRPr="00A21A6B">
        <w:rPr>
          <w:rFonts w:asciiTheme="majorHAnsi" w:hAnsiTheme="majorHAnsi" w:cstheme="majorHAnsi"/>
          <w:sz w:val="24"/>
          <w:szCs w:val="24"/>
          <w:lang w:val="ru-MD"/>
        </w:rPr>
        <w:t>уже</w:t>
      </w:r>
      <w:r w:rsidRPr="00A21A6B">
        <w:rPr>
          <w:rFonts w:asciiTheme="majorHAnsi" w:hAnsiTheme="majorHAnsi" w:cstheme="majorHAnsi"/>
          <w:sz w:val="24"/>
          <w:szCs w:val="24"/>
          <w:lang w:val="ru-MD"/>
        </w:rPr>
        <w:t xml:space="preserve"> </w:t>
      </w:r>
      <w:r w:rsidR="004D28D2" w:rsidRPr="00A21A6B">
        <w:rPr>
          <w:rFonts w:asciiTheme="majorHAnsi" w:hAnsiTheme="majorHAnsi" w:cstheme="majorHAnsi"/>
          <w:sz w:val="24"/>
          <w:szCs w:val="24"/>
          <w:lang w:val="ru-MD"/>
        </w:rPr>
        <w:t>давно были внесены изменения</w:t>
      </w:r>
      <w:r w:rsidRPr="00A21A6B">
        <w:rPr>
          <w:rFonts w:asciiTheme="majorHAnsi" w:hAnsiTheme="majorHAnsi" w:cstheme="majorHAnsi"/>
          <w:sz w:val="24"/>
          <w:szCs w:val="24"/>
          <w:lang w:val="ru-MD"/>
        </w:rPr>
        <w:t xml:space="preserve">, только в сентябре 2020 года </w:t>
      </w:r>
      <w:r w:rsidR="004D28D2"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обратил</w:t>
      </w:r>
      <w:r w:rsidR="004D28D2"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сь в </w:t>
      </w:r>
      <w:r w:rsidR="004D28D2" w:rsidRPr="00A21A6B">
        <w:rPr>
          <w:rFonts w:asciiTheme="majorHAnsi" w:hAnsiTheme="majorHAnsi" w:cstheme="majorHAnsi"/>
          <w:sz w:val="24"/>
          <w:szCs w:val="24"/>
          <w:lang w:val="ru-MD"/>
        </w:rPr>
        <w:t>ЦПО</w:t>
      </w:r>
      <w:r w:rsidRPr="00A21A6B">
        <w:rPr>
          <w:rFonts w:asciiTheme="majorHAnsi" w:hAnsiTheme="majorHAnsi" w:cstheme="majorHAnsi"/>
          <w:sz w:val="24"/>
          <w:szCs w:val="24"/>
          <w:lang w:val="ru-MD"/>
        </w:rPr>
        <w:t xml:space="preserve"> с ходатайствами о создании комиссий по приему</w:t>
      </w:r>
      <w:r w:rsidR="006F2652"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передаче, </w:t>
      </w:r>
      <w:r w:rsidR="006F2652" w:rsidRPr="00A21A6B">
        <w:rPr>
          <w:rFonts w:asciiTheme="majorHAnsi" w:hAnsiTheme="majorHAnsi" w:cstheme="majorHAnsi"/>
          <w:sz w:val="24"/>
          <w:szCs w:val="24"/>
          <w:lang w:val="ru-MD"/>
        </w:rPr>
        <w:t>однако</w:t>
      </w:r>
      <w:r w:rsidRPr="00A21A6B">
        <w:rPr>
          <w:rFonts w:asciiTheme="majorHAnsi" w:hAnsiTheme="majorHAnsi" w:cstheme="majorHAnsi"/>
          <w:sz w:val="24"/>
          <w:szCs w:val="24"/>
          <w:lang w:val="ru-MD"/>
        </w:rPr>
        <w:t xml:space="preserve"> до </w:t>
      </w:r>
      <w:r w:rsidR="006F2652" w:rsidRPr="00A21A6B">
        <w:rPr>
          <w:rFonts w:asciiTheme="majorHAnsi" w:hAnsiTheme="majorHAnsi" w:cstheme="majorHAnsi"/>
          <w:sz w:val="24"/>
          <w:szCs w:val="24"/>
          <w:lang w:val="ru-MD"/>
        </w:rPr>
        <w:t>настоящего времени</w:t>
      </w:r>
      <w:r w:rsidRPr="00A21A6B">
        <w:rPr>
          <w:rFonts w:asciiTheme="majorHAnsi" w:hAnsiTheme="majorHAnsi" w:cstheme="majorHAnsi"/>
          <w:sz w:val="24"/>
          <w:szCs w:val="24"/>
          <w:lang w:val="ru-MD"/>
        </w:rPr>
        <w:t xml:space="preserve"> передача </w:t>
      </w:r>
      <w:r w:rsidR="006F2652" w:rsidRPr="00A21A6B">
        <w:rPr>
          <w:rFonts w:asciiTheme="majorHAnsi" w:hAnsiTheme="majorHAnsi" w:cstheme="majorHAnsi"/>
          <w:sz w:val="24"/>
          <w:szCs w:val="24"/>
          <w:lang w:val="ru-MD"/>
        </w:rPr>
        <w:t>земельных участков</w:t>
      </w:r>
      <w:r w:rsidRPr="00A21A6B">
        <w:rPr>
          <w:rFonts w:asciiTheme="majorHAnsi" w:hAnsiTheme="majorHAnsi" w:cstheme="majorHAnsi"/>
          <w:sz w:val="24"/>
          <w:szCs w:val="24"/>
          <w:lang w:val="ru-MD"/>
        </w:rPr>
        <w:t xml:space="preserve"> не </w:t>
      </w:r>
      <w:r w:rsidR="006F2652" w:rsidRPr="00A21A6B">
        <w:rPr>
          <w:rFonts w:asciiTheme="majorHAnsi" w:hAnsiTheme="majorHAnsi" w:cstheme="majorHAnsi"/>
          <w:sz w:val="24"/>
          <w:szCs w:val="24"/>
          <w:lang w:val="ru-MD"/>
        </w:rPr>
        <w:t>состоял</w:t>
      </w:r>
      <w:r w:rsidRPr="00A21A6B">
        <w:rPr>
          <w:rFonts w:asciiTheme="majorHAnsi" w:hAnsiTheme="majorHAnsi" w:cstheme="majorHAnsi"/>
          <w:sz w:val="24"/>
          <w:szCs w:val="24"/>
          <w:lang w:val="ru-MD"/>
        </w:rPr>
        <w:t>ась</w:t>
      </w:r>
      <w:r w:rsidR="00F40961" w:rsidRPr="00A21A6B">
        <w:rPr>
          <w:rFonts w:asciiTheme="majorHAnsi" w:hAnsiTheme="majorHAnsi" w:cstheme="majorHAnsi"/>
          <w:sz w:val="24"/>
          <w:szCs w:val="24"/>
          <w:lang w:val="ru-MD"/>
        </w:rPr>
        <w:t>.</w:t>
      </w:r>
    </w:p>
    <w:p w:rsidR="00F40961" w:rsidRPr="00A21A6B" w:rsidRDefault="006F2652"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Также</w:t>
      </w:r>
      <w:r w:rsidR="00562715" w:rsidRPr="00A21A6B">
        <w:rPr>
          <w:rFonts w:asciiTheme="majorHAnsi" w:hAnsiTheme="majorHAnsi" w:cstheme="majorHAnsi"/>
          <w:sz w:val="24"/>
          <w:szCs w:val="24"/>
          <w:lang w:val="ru-MD"/>
        </w:rPr>
        <w:t xml:space="preserve"> наблюдаются ситуации, когда некоторые субъекты</w:t>
      </w:r>
      <w:r w:rsidRPr="00A21A6B">
        <w:rPr>
          <w:rStyle w:val="FootnoteReference"/>
          <w:rFonts w:asciiTheme="majorHAnsi" w:hAnsiTheme="majorHAnsi" w:cstheme="majorHAnsi"/>
          <w:sz w:val="24"/>
          <w:szCs w:val="24"/>
          <w:lang w:val="ru-MD"/>
        </w:rPr>
        <w:footnoteReference w:id="40"/>
      </w:r>
      <w:r w:rsidR="00562715" w:rsidRPr="00A21A6B">
        <w:rPr>
          <w:rFonts w:asciiTheme="majorHAnsi" w:hAnsiTheme="majorHAnsi" w:cstheme="majorHAnsi"/>
          <w:sz w:val="24"/>
          <w:szCs w:val="24"/>
          <w:lang w:val="ru-MD"/>
        </w:rPr>
        <w:t xml:space="preserve">, подчиненные Министерству сельского хозяйства, регионального развития и окружающей среды , хотя и не составили акты приема-передачи на 9 </w:t>
      </w:r>
      <w:r w:rsidRPr="00A21A6B">
        <w:rPr>
          <w:rFonts w:asciiTheme="majorHAnsi" w:hAnsiTheme="majorHAnsi" w:cstheme="majorHAnsi"/>
          <w:sz w:val="24"/>
          <w:szCs w:val="24"/>
          <w:lang w:val="ru-MD"/>
        </w:rPr>
        <w:t>земельных участков</w:t>
      </w:r>
      <w:r w:rsidRPr="00A21A6B">
        <w:rPr>
          <w:rStyle w:val="FootnoteReference"/>
          <w:rFonts w:asciiTheme="majorHAnsi" w:hAnsiTheme="majorHAnsi" w:cstheme="majorHAnsi"/>
          <w:sz w:val="24"/>
          <w:szCs w:val="24"/>
          <w:lang w:val="ru-MD"/>
        </w:rPr>
        <w:footnoteReference w:id="41"/>
      </w:r>
      <w:r w:rsidR="00562715" w:rsidRPr="00A21A6B">
        <w:rPr>
          <w:rFonts w:asciiTheme="majorHAnsi" w:hAnsiTheme="majorHAnsi" w:cstheme="majorHAnsi"/>
          <w:sz w:val="24"/>
          <w:szCs w:val="24"/>
          <w:lang w:val="ru-MD"/>
        </w:rPr>
        <w:t xml:space="preserve">, заключили с </w:t>
      </w:r>
      <w:r w:rsidRPr="00A21A6B">
        <w:rPr>
          <w:rFonts w:asciiTheme="majorHAnsi" w:hAnsiTheme="majorHAnsi" w:cstheme="majorHAnsi"/>
          <w:sz w:val="24"/>
          <w:szCs w:val="24"/>
          <w:lang w:val="ru-MD"/>
        </w:rPr>
        <w:t>АПС</w:t>
      </w:r>
      <w:r w:rsidR="00562715" w:rsidRPr="00A21A6B">
        <w:rPr>
          <w:rFonts w:asciiTheme="majorHAnsi" w:hAnsiTheme="majorHAnsi" w:cstheme="majorHAnsi"/>
          <w:sz w:val="24"/>
          <w:szCs w:val="24"/>
          <w:lang w:val="ru-MD"/>
        </w:rPr>
        <w:t xml:space="preserve"> договоры о сдаче </w:t>
      </w:r>
      <w:r w:rsidRPr="00A21A6B">
        <w:rPr>
          <w:rFonts w:asciiTheme="majorHAnsi" w:hAnsiTheme="majorHAnsi" w:cstheme="majorHAnsi"/>
          <w:sz w:val="24"/>
          <w:szCs w:val="24"/>
          <w:lang w:val="ru-MD"/>
        </w:rPr>
        <w:t>земельных участков</w:t>
      </w:r>
      <w:r w:rsidR="00562715" w:rsidRPr="00A21A6B">
        <w:rPr>
          <w:rFonts w:asciiTheme="majorHAnsi" w:hAnsiTheme="majorHAnsi" w:cstheme="majorHAnsi"/>
          <w:sz w:val="24"/>
          <w:szCs w:val="24"/>
          <w:lang w:val="ru-MD"/>
        </w:rPr>
        <w:t xml:space="preserve"> в </w:t>
      </w:r>
      <w:r w:rsidRPr="00A21A6B">
        <w:rPr>
          <w:rFonts w:asciiTheme="majorHAnsi" w:hAnsiTheme="majorHAnsi" w:cstheme="majorHAnsi"/>
          <w:sz w:val="24"/>
          <w:szCs w:val="24"/>
          <w:lang w:val="ru-MD"/>
        </w:rPr>
        <w:t>безвозмездное пользование</w:t>
      </w:r>
      <w:r w:rsidR="00562715" w:rsidRPr="00A21A6B">
        <w:rPr>
          <w:rFonts w:asciiTheme="majorHAnsi" w:hAnsiTheme="majorHAnsi" w:cstheme="majorHAnsi"/>
          <w:sz w:val="24"/>
          <w:szCs w:val="24"/>
          <w:lang w:val="ru-MD"/>
        </w:rPr>
        <w:t xml:space="preserve">. Ни в договоре о </w:t>
      </w:r>
      <w:r w:rsidRPr="00A21A6B">
        <w:rPr>
          <w:rFonts w:asciiTheme="majorHAnsi" w:hAnsiTheme="majorHAnsi" w:cstheme="majorHAnsi"/>
          <w:sz w:val="24"/>
          <w:szCs w:val="24"/>
          <w:lang w:val="ru-MD"/>
        </w:rPr>
        <w:t>безвозмездном пользовании</w:t>
      </w:r>
      <w:r w:rsidR="00562715" w:rsidRPr="00A21A6B">
        <w:rPr>
          <w:rFonts w:asciiTheme="majorHAnsi" w:hAnsiTheme="majorHAnsi" w:cstheme="majorHAnsi"/>
          <w:sz w:val="24"/>
          <w:szCs w:val="24"/>
          <w:lang w:val="ru-MD"/>
        </w:rPr>
        <w:t xml:space="preserve">, ни в акте о </w:t>
      </w:r>
      <w:r w:rsidRPr="00A21A6B">
        <w:rPr>
          <w:rFonts w:asciiTheme="majorHAnsi" w:hAnsiTheme="majorHAnsi" w:cstheme="majorHAnsi"/>
          <w:sz w:val="24"/>
          <w:szCs w:val="24"/>
          <w:lang w:val="ru-MD"/>
        </w:rPr>
        <w:t>получении в безвозмездном пользовании</w:t>
      </w:r>
      <w:r w:rsidR="00562715" w:rsidRPr="00A21A6B">
        <w:rPr>
          <w:rFonts w:asciiTheme="majorHAnsi" w:hAnsiTheme="majorHAnsi" w:cstheme="majorHAnsi"/>
          <w:sz w:val="24"/>
          <w:szCs w:val="24"/>
          <w:lang w:val="ru-MD"/>
        </w:rPr>
        <w:t xml:space="preserve"> не указывается стоимость </w:t>
      </w:r>
      <w:r w:rsidRPr="00A21A6B">
        <w:rPr>
          <w:rFonts w:asciiTheme="majorHAnsi" w:hAnsiTheme="majorHAnsi" w:cstheme="majorHAnsi"/>
          <w:sz w:val="24"/>
          <w:szCs w:val="24"/>
          <w:lang w:val="ru-MD"/>
        </w:rPr>
        <w:t>земельных участков</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а </w:t>
      </w:r>
      <w:r w:rsidR="00562715" w:rsidRPr="00A21A6B">
        <w:rPr>
          <w:rFonts w:asciiTheme="majorHAnsi" w:hAnsiTheme="majorHAnsi" w:cstheme="majorHAnsi"/>
          <w:sz w:val="24"/>
          <w:szCs w:val="24"/>
          <w:lang w:val="ru-MD"/>
        </w:rPr>
        <w:t xml:space="preserve">только </w:t>
      </w:r>
      <w:r w:rsidRPr="00A21A6B">
        <w:rPr>
          <w:rFonts w:asciiTheme="majorHAnsi" w:hAnsiTheme="majorHAnsi" w:cstheme="majorHAnsi"/>
          <w:sz w:val="24"/>
          <w:szCs w:val="24"/>
          <w:lang w:val="ru-MD"/>
        </w:rPr>
        <w:t>их</w:t>
      </w:r>
      <w:r w:rsidR="00562715" w:rsidRPr="00A21A6B">
        <w:rPr>
          <w:rFonts w:asciiTheme="majorHAnsi" w:hAnsiTheme="majorHAnsi" w:cstheme="majorHAnsi"/>
          <w:sz w:val="24"/>
          <w:szCs w:val="24"/>
          <w:lang w:val="ru-MD"/>
        </w:rPr>
        <w:t xml:space="preserve"> назначени</w:t>
      </w:r>
      <w:r w:rsidRPr="00A21A6B">
        <w:rPr>
          <w:rFonts w:asciiTheme="majorHAnsi" w:hAnsiTheme="majorHAnsi" w:cstheme="majorHAnsi"/>
          <w:sz w:val="24"/>
          <w:szCs w:val="24"/>
          <w:lang w:val="ru-MD"/>
        </w:rPr>
        <w:t>е</w:t>
      </w:r>
      <w:r w:rsidR="00562715" w:rsidRPr="00A21A6B">
        <w:rPr>
          <w:rFonts w:asciiTheme="majorHAnsi" w:hAnsiTheme="majorHAnsi" w:cstheme="majorHAnsi"/>
          <w:sz w:val="24"/>
          <w:szCs w:val="24"/>
          <w:lang w:val="ru-MD"/>
        </w:rPr>
        <w:t xml:space="preserve">, кадастровый номер и площадь. Следует отметить, что в бухгалтерском учете субъекта соответствующие </w:t>
      </w:r>
      <w:r w:rsidRPr="00A21A6B">
        <w:rPr>
          <w:rFonts w:asciiTheme="majorHAnsi" w:hAnsiTheme="majorHAnsi" w:cstheme="majorHAnsi"/>
          <w:sz w:val="24"/>
          <w:szCs w:val="24"/>
          <w:lang w:val="ru-MD"/>
        </w:rPr>
        <w:t>земельные участки</w:t>
      </w:r>
      <w:r w:rsidR="00562715"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зарегистрированы </w:t>
      </w:r>
      <w:r w:rsidR="00562715" w:rsidRPr="00A21A6B">
        <w:rPr>
          <w:rFonts w:asciiTheme="majorHAnsi" w:hAnsiTheme="majorHAnsi" w:cstheme="majorHAnsi"/>
          <w:sz w:val="24"/>
          <w:szCs w:val="24"/>
          <w:lang w:val="ru-MD"/>
        </w:rPr>
        <w:t xml:space="preserve">по их стоимости, учитываемой до заключения договора </w:t>
      </w:r>
      <w:r w:rsidRPr="00A21A6B">
        <w:rPr>
          <w:rFonts w:asciiTheme="majorHAnsi" w:hAnsiTheme="majorHAnsi" w:cstheme="majorHAnsi"/>
          <w:sz w:val="24"/>
          <w:szCs w:val="24"/>
          <w:lang w:val="ru-MD"/>
        </w:rPr>
        <w:t>безвозмездного пользования</w:t>
      </w:r>
      <w:r w:rsidR="00562715" w:rsidRPr="00A21A6B">
        <w:rPr>
          <w:rFonts w:asciiTheme="majorHAnsi" w:hAnsiTheme="majorHAnsi" w:cstheme="majorHAnsi"/>
          <w:sz w:val="24"/>
          <w:szCs w:val="24"/>
          <w:lang w:val="ru-MD"/>
        </w:rPr>
        <w:t>, котор</w:t>
      </w:r>
      <w:r w:rsidRPr="00A21A6B">
        <w:rPr>
          <w:rFonts w:asciiTheme="majorHAnsi" w:hAnsiTheme="majorHAnsi" w:cstheme="majorHAnsi"/>
          <w:sz w:val="24"/>
          <w:szCs w:val="24"/>
          <w:lang w:val="ru-MD"/>
        </w:rPr>
        <w:t>ая</w:t>
      </w:r>
      <w:r w:rsidR="00562715" w:rsidRPr="00A21A6B">
        <w:rPr>
          <w:rFonts w:asciiTheme="majorHAnsi" w:hAnsiTheme="majorHAnsi" w:cstheme="majorHAnsi"/>
          <w:sz w:val="24"/>
          <w:szCs w:val="24"/>
          <w:lang w:val="ru-MD"/>
        </w:rPr>
        <w:t xml:space="preserve"> составляет 57,13 </w:t>
      </w:r>
      <w:r w:rsidR="00922633" w:rsidRPr="00A21A6B">
        <w:rPr>
          <w:rFonts w:asciiTheme="majorHAnsi" w:hAnsiTheme="majorHAnsi" w:cstheme="majorHAnsi"/>
          <w:sz w:val="24"/>
          <w:szCs w:val="24"/>
          <w:lang w:val="ru-MD"/>
        </w:rPr>
        <w:t>млн. леев</w:t>
      </w:r>
      <w:r w:rsidR="00F40961" w:rsidRPr="00A21A6B">
        <w:rPr>
          <w:rFonts w:asciiTheme="majorHAnsi" w:hAnsiTheme="majorHAnsi" w:cstheme="majorHAnsi"/>
          <w:sz w:val="24"/>
          <w:szCs w:val="24"/>
          <w:lang w:val="ru-MD"/>
        </w:rPr>
        <w:t xml:space="preserve">. </w:t>
      </w:r>
    </w:p>
    <w:p w:rsidR="00F40961" w:rsidRPr="00A21A6B" w:rsidRDefault="00F40961"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(ii)</w:t>
      </w:r>
      <w:r w:rsidRPr="00A21A6B">
        <w:rPr>
          <w:rFonts w:asciiTheme="majorHAnsi" w:hAnsiTheme="majorHAnsi" w:cstheme="majorHAnsi"/>
          <w:sz w:val="24"/>
          <w:szCs w:val="24"/>
          <w:lang w:val="ru-MD"/>
        </w:rPr>
        <w:t xml:space="preserve"> </w:t>
      </w:r>
      <w:r w:rsidR="003E6E6F" w:rsidRPr="00A21A6B">
        <w:rPr>
          <w:rFonts w:asciiTheme="majorHAnsi" w:hAnsiTheme="majorHAnsi" w:cstheme="majorHAnsi"/>
          <w:sz w:val="24"/>
          <w:szCs w:val="24"/>
          <w:lang w:val="ru-MD"/>
        </w:rPr>
        <w:t xml:space="preserve">Мы </w:t>
      </w:r>
      <w:r w:rsidR="00562715" w:rsidRPr="00A21A6B">
        <w:rPr>
          <w:rFonts w:asciiTheme="majorHAnsi" w:hAnsiTheme="majorHAnsi" w:cstheme="majorHAnsi"/>
          <w:sz w:val="24"/>
          <w:szCs w:val="24"/>
          <w:lang w:val="ru-MD"/>
        </w:rPr>
        <w:t xml:space="preserve">также </w:t>
      </w:r>
      <w:r w:rsidR="003E6E6F" w:rsidRPr="00A21A6B">
        <w:rPr>
          <w:rFonts w:asciiTheme="majorHAnsi" w:hAnsiTheme="majorHAnsi" w:cstheme="majorHAnsi"/>
          <w:sz w:val="24"/>
          <w:szCs w:val="24"/>
          <w:lang w:val="ru-MD"/>
        </w:rPr>
        <w:t>обращаем внимание</w:t>
      </w:r>
      <w:r w:rsidR="00562715" w:rsidRPr="00A21A6B">
        <w:rPr>
          <w:rFonts w:asciiTheme="majorHAnsi" w:hAnsiTheme="majorHAnsi" w:cstheme="majorHAnsi"/>
          <w:sz w:val="24"/>
          <w:szCs w:val="24"/>
          <w:lang w:val="ru-MD"/>
        </w:rPr>
        <w:t xml:space="preserve">, что, хотя </w:t>
      </w:r>
      <w:r w:rsidR="003E6E6F"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 xml:space="preserve">лан счетов включает в себя отдельные счета для передачи </w:t>
      </w:r>
      <w:r w:rsidR="003E6E6F" w:rsidRPr="00A21A6B">
        <w:rPr>
          <w:rFonts w:asciiTheme="majorHAnsi" w:hAnsiTheme="majorHAnsi" w:cstheme="majorHAnsi"/>
          <w:sz w:val="24"/>
          <w:szCs w:val="24"/>
          <w:lang w:val="ru-MD"/>
        </w:rPr>
        <w:t>актив</w:t>
      </w:r>
      <w:r w:rsidR="00562715" w:rsidRPr="00A21A6B">
        <w:rPr>
          <w:rFonts w:asciiTheme="majorHAnsi" w:hAnsiTheme="majorHAnsi" w:cstheme="majorHAnsi"/>
          <w:sz w:val="24"/>
          <w:szCs w:val="24"/>
          <w:lang w:val="ru-MD"/>
        </w:rPr>
        <w:t xml:space="preserve">ов </w:t>
      </w:r>
      <w:r w:rsidR="003E6E6F" w:rsidRPr="00A21A6B">
        <w:rPr>
          <w:rFonts w:asciiTheme="majorHAnsi" w:hAnsiTheme="majorHAnsi" w:cstheme="majorHAnsi"/>
          <w:sz w:val="24"/>
          <w:szCs w:val="24"/>
          <w:lang w:val="ru-MD"/>
        </w:rPr>
        <w:t>в</w:t>
      </w:r>
      <w:r w:rsidR="00562715" w:rsidRPr="00A21A6B">
        <w:rPr>
          <w:rFonts w:asciiTheme="majorHAnsi" w:hAnsiTheme="majorHAnsi" w:cstheme="majorHAnsi"/>
          <w:sz w:val="24"/>
          <w:szCs w:val="24"/>
          <w:lang w:val="ru-MD"/>
        </w:rPr>
        <w:t xml:space="preserve"> управление (4153 </w:t>
      </w:r>
      <w:r w:rsidR="003E6E6F" w:rsidRPr="00A21A6B">
        <w:rPr>
          <w:rFonts w:asciiTheme="majorHAnsi" w:hAnsiTheme="majorHAnsi" w:cstheme="majorHAnsi"/>
          <w:sz w:val="24"/>
          <w:szCs w:val="24"/>
          <w:lang w:val="ru-MD"/>
        </w:rPr>
        <w:t>„И</w:t>
      </w:r>
      <w:r w:rsidR="00562715" w:rsidRPr="00A21A6B">
        <w:rPr>
          <w:rFonts w:asciiTheme="majorHAnsi" w:hAnsiTheme="majorHAnsi" w:cstheme="majorHAnsi"/>
          <w:sz w:val="24"/>
          <w:szCs w:val="24"/>
          <w:lang w:val="ru-MD"/>
        </w:rPr>
        <w:t xml:space="preserve">нвестиции в связанные и несвязанные </w:t>
      </w:r>
      <w:r w:rsidR="003E6E6F" w:rsidRPr="00A21A6B">
        <w:rPr>
          <w:rFonts w:asciiTheme="majorHAnsi" w:hAnsiTheme="majorHAnsi" w:cstheme="majorHAnsi"/>
          <w:sz w:val="24"/>
          <w:szCs w:val="24"/>
          <w:lang w:val="ru-MD"/>
        </w:rPr>
        <w:t>стороны</w:t>
      </w:r>
      <w:r w:rsidR="00562715" w:rsidRPr="00A21A6B">
        <w:rPr>
          <w:rFonts w:asciiTheme="majorHAnsi" w:hAnsiTheme="majorHAnsi" w:cstheme="majorHAnsi"/>
          <w:sz w:val="24"/>
          <w:szCs w:val="24"/>
          <w:lang w:val="ru-MD"/>
        </w:rPr>
        <w:t>”</w:t>
      </w:r>
      <w:r w:rsidR="00AF664F">
        <w:rPr>
          <w:rFonts w:asciiTheme="majorHAnsi" w:hAnsiTheme="majorHAnsi" w:cstheme="majorHAnsi"/>
          <w:sz w:val="24"/>
          <w:szCs w:val="24"/>
          <w:lang w:val="ru-MD"/>
        </w:rPr>
        <w:t>)</w:t>
      </w:r>
      <w:r w:rsidR="00562715" w:rsidRPr="00A21A6B">
        <w:rPr>
          <w:rFonts w:asciiTheme="majorHAnsi" w:hAnsiTheme="majorHAnsi" w:cstheme="majorHAnsi"/>
          <w:sz w:val="24"/>
          <w:szCs w:val="24"/>
          <w:lang w:val="ru-MD"/>
        </w:rPr>
        <w:t xml:space="preserve">, </w:t>
      </w:r>
      <w:r w:rsidR="003E6E6F" w:rsidRPr="00A21A6B">
        <w:rPr>
          <w:rFonts w:asciiTheme="majorHAnsi" w:hAnsiTheme="majorHAnsi" w:cstheme="majorHAnsi"/>
          <w:sz w:val="24"/>
          <w:szCs w:val="24"/>
          <w:lang w:val="ru-MD"/>
        </w:rPr>
        <w:t>в нем</w:t>
      </w:r>
      <w:r w:rsidR="00562715" w:rsidRPr="00A21A6B">
        <w:rPr>
          <w:rFonts w:asciiTheme="majorHAnsi" w:hAnsiTheme="majorHAnsi" w:cstheme="majorHAnsi"/>
          <w:sz w:val="24"/>
          <w:szCs w:val="24"/>
          <w:lang w:val="ru-MD"/>
        </w:rPr>
        <w:t xml:space="preserve"> не</w:t>
      </w:r>
      <w:r w:rsidR="003E6E6F" w:rsidRPr="00A21A6B">
        <w:rPr>
          <w:rFonts w:asciiTheme="majorHAnsi" w:hAnsiTheme="majorHAnsi" w:cstheme="majorHAnsi"/>
          <w:sz w:val="24"/>
          <w:szCs w:val="24"/>
          <w:lang w:val="ru-MD"/>
        </w:rPr>
        <w:t>т</w:t>
      </w:r>
      <w:r w:rsidR="00562715" w:rsidRPr="00A21A6B">
        <w:rPr>
          <w:rFonts w:asciiTheme="majorHAnsi" w:hAnsiTheme="majorHAnsi" w:cstheme="majorHAnsi"/>
          <w:sz w:val="24"/>
          <w:szCs w:val="24"/>
          <w:lang w:val="ru-MD"/>
        </w:rPr>
        <w:t xml:space="preserve"> </w:t>
      </w:r>
      <w:r w:rsidR="003E6E6F" w:rsidRPr="00A21A6B">
        <w:rPr>
          <w:rFonts w:asciiTheme="majorHAnsi" w:hAnsiTheme="majorHAnsi" w:cstheme="majorHAnsi"/>
          <w:sz w:val="24"/>
          <w:szCs w:val="24"/>
          <w:lang w:val="ru-MD"/>
        </w:rPr>
        <w:t>отдельны</w:t>
      </w:r>
      <w:r w:rsidR="00562715" w:rsidRPr="00A21A6B">
        <w:rPr>
          <w:rFonts w:asciiTheme="majorHAnsi" w:hAnsiTheme="majorHAnsi" w:cstheme="majorHAnsi"/>
          <w:sz w:val="24"/>
          <w:szCs w:val="24"/>
          <w:lang w:val="ru-MD"/>
        </w:rPr>
        <w:t xml:space="preserve">х позиций для </w:t>
      </w:r>
      <w:r w:rsidR="003E6E6F" w:rsidRPr="00A21A6B">
        <w:rPr>
          <w:rFonts w:asciiTheme="majorHAnsi" w:hAnsiTheme="majorHAnsi" w:cstheme="majorHAnsi"/>
          <w:sz w:val="24"/>
          <w:szCs w:val="24"/>
          <w:lang w:val="ru-MD"/>
        </w:rPr>
        <w:t>активов</w:t>
      </w:r>
      <w:r w:rsidR="00562715" w:rsidRPr="00A21A6B">
        <w:rPr>
          <w:rFonts w:asciiTheme="majorHAnsi" w:hAnsiTheme="majorHAnsi" w:cstheme="majorHAnsi"/>
          <w:sz w:val="24"/>
          <w:szCs w:val="24"/>
          <w:lang w:val="ru-MD"/>
        </w:rPr>
        <w:t xml:space="preserve">, полученных </w:t>
      </w:r>
      <w:r w:rsidR="003E6E6F" w:rsidRPr="00A21A6B">
        <w:rPr>
          <w:rFonts w:asciiTheme="majorHAnsi" w:hAnsiTheme="majorHAnsi" w:cstheme="majorHAnsi"/>
          <w:sz w:val="24"/>
          <w:szCs w:val="24"/>
          <w:lang w:val="ru-MD"/>
        </w:rPr>
        <w:t>в</w:t>
      </w:r>
      <w:r w:rsidR="00562715" w:rsidRPr="00A21A6B">
        <w:rPr>
          <w:rFonts w:asciiTheme="majorHAnsi" w:hAnsiTheme="majorHAnsi" w:cstheme="majorHAnsi"/>
          <w:sz w:val="24"/>
          <w:szCs w:val="24"/>
          <w:lang w:val="ru-MD"/>
        </w:rPr>
        <w:t xml:space="preserve"> управление</w:t>
      </w:r>
      <w:r w:rsidRPr="00A21A6B">
        <w:rPr>
          <w:rFonts w:asciiTheme="majorHAnsi" w:hAnsiTheme="majorHAnsi" w:cstheme="majorHAnsi"/>
          <w:sz w:val="24"/>
          <w:szCs w:val="24"/>
          <w:lang w:val="ru-MD"/>
        </w:rPr>
        <w:t>.</w:t>
      </w:r>
    </w:p>
    <w:p w:rsidR="00F40961" w:rsidRPr="00A21A6B" w:rsidRDefault="0056271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 этих условиях</w:t>
      </w:r>
      <w:r w:rsidR="003E6E6F"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в бухгалтерском учете субъекта </w:t>
      </w:r>
      <w:r w:rsidR="003E6E6F" w:rsidRPr="00A21A6B">
        <w:rPr>
          <w:rFonts w:asciiTheme="majorHAnsi" w:hAnsiTheme="majorHAnsi" w:cstheme="majorHAnsi"/>
          <w:sz w:val="24"/>
          <w:szCs w:val="24"/>
          <w:lang w:val="ru-MD"/>
        </w:rPr>
        <w:t>земельные участки</w:t>
      </w:r>
      <w:r w:rsidRPr="00A21A6B">
        <w:rPr>
          <w:rFonts w:asciiTheme="majorHAnsi" w:hAnsiTheme="majorHAnsi" w:cstheme="majorHAnsi"/>
          <w:sz w:val="24"/>
          <w:szCs w:val="24"/>
          <w:lang w:val="ru-MD"/>
        </w:rPr>
        <w:t xml:space="preserve">, полученные в </w:t>
      </w:r>
      <w:r w:rsidR="00B60500" w:rsidRPr="00A21A6B">
        <w:rPr>
          <w:rFonts w:asciiTheme="majorHAnsi" w:hAnsiTheme="majorHAnsi" w:cstheme="majorHAnsi"/>
          <w:sz w:val="24"/>
          <w:szCs w:val="24"/>
          <w:lang w:val="ru-MD"/>
        </w:rPr>
        <w:t>безвозмездном пользовании</w:t>
      </w:r>
      <w:r w:rsidRPr="00A21A6B">
        <w:rPr>
          <w:rFonts w:asciiTheme="majorHAnsi" w:hAnsiTheme="majorHAnsi" w:cstheme="majorHAnsi"/>
          <w:sz w:val="24"/>
          <w:szCs w:val="24"/>
          <w:lang w:val="ru-MD"/>
        </w:rPr>
        <w:t xml:space="preserve">, регистрируются по цене, по которой они были ранее учтены (57,13 </w:t>
      </w:r>
      <w:r w:rsidR="00922633" w:rsidRPr="00A21A6B">
        <w:rPr>
          <w:rFonts w:asciiTheme="majorHAnsi" w:hAnsiTheme="majorHAnsi" w:cstheme="majorHAnsi"/>
          <w:sz w:val="24"/>
          <w:szCs w:val="24"/>
          <w:lang w:val="ru-MD"/>
        </w:rPr>
        <w:t>млн. леев</w:t>
      </w:r>
      <w:r w:rsidRPr="00A21A6B">
        <w:rPr>
          <w:rFonts w:asciiTheme="majorHAnsi" w:hAnsiTheme="majorHAnsi" w:cstheme="majorHAnsi"/>
          <w:sz w:val="24"/>
          <w:szCs w:val="24"/>
          <w:lang w:val="ru-MD"/>
        </w:rPr>
        <w:t>)</w:t>
      </w:r>
      <w:r w:rsidR="00F40961" w:rsidRPr="00A21A6B">
        <w:rPr>
          <w:rFonts w:asciiTheme="majorHAnsi" w:hAnsiTheme="majorHAnsi" w:cstheme="majorHAnsi"/>
          <w:sz w:val="24"/>
          <w:szCs w:val="24"/>
          <w:lang w:val="ru-MD"/>
        </w:rPr>
        <w:t>.</w:t>
      </w:r>
    </w:p>
    <w:p w:rsidR="00F40961" w:rsidRPr="00A21A6B" w:rsidRDefault="0056271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Следует отметить, что в </w:t>
      </w:r>
      <w:r w:rsidR="00B60500" w:rsidRPr="00A21A6B">
        <w:rPr>
          <w:rFonts w:asciiTheme="majorHAnsi" w:hAnsiTheme="majorHAnsi" w:cstheme="majorHAnsi"/>
          <w:sz w:val="24"/>
          <w:szCs w:val="24"/>
          <w:lang w:val="ru-MD"/>
        </w:rPr>
        <w:t xml:space="preserve">целях исполнения положений </w:t>
      </w:r>
      <w:r w:rsidR="0067125D" w:rsidRPr="00A21A6B">
        <w:rPr>
          <w:rFonts w:asciiTheme="majorHAnsi" w:hAnsiTheme="majorHAnsi" w:cstheme="majorHAnsi"/>
          <w:sz w:val="24"/>
          <w:szCs w:val="24"/>
          <w:lang w:val="ru-MD"/>
        </w:rPr>
        <w:t>ПП</w:t>
      </w:r>
      <w:r w:rsidR="00B60500"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161/2019 </w:t>
      </w:r>
      <w:r w:rsidR="00B60500"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издало приказ</w:t>
      </w:r>
      <w:r w:rsidR="00B60500" w:rsidRPr="00A21A6B">
        <w:rPr>
          <w:rStyle w:val="FootnoteReference"/>
          <w:rFonts w:asciiTheme="majorHAnsi" w:hAnsiTheme="majorHAnsi" w:cstheme="majorHAnsi"/>
          <w:sz w:val="24"/>
          <w:szCs w:val="24"/>
          <w:lang w:val="ru-MD"/>
        </w:rPr>
        <w:footnoteReference w:id="42"/>
      </w:r>
      <w:r w:rsidRPr="00A21A6B">
        <w:rPr>
          <w:rFonts w:asciiTheme="majorHAnsi" w:hAnsiTheme="majorHAnsi" w:cstheme="majorHAnsi"/>
          <w:sz w:val="24"/>
          <w:szCs w:val="24"/>
          <w:lang w:val="ru-MD"/>
        </w:rPr>
        <w:t xml:space="preserve"> о создании рабочей группы (5 человек). Согласно этому приказу, </w:t>
      </w:r>
      <w:r w:rsidR="00B60500" w:rsidRPr="00A21A6B">
        <w:rPr>
          <w:rFonts w:asciiTheme="majorHAnsi" w:hAnsiTheme="majorHAnsi" w:cstheme="majorHAnsi"/>
          <w:sz w:val="24"/>
          <w:szCs w:val="24"/>
          <w:lang w:val="ru-MD"/>
        </w:rPr>
        <w:t>Ф</w:t>
      </w:r>
      <w:r w:rsidRPr="00A21A6B">
        <w:rPr>
          <w:rFonts w:asciiTheme="majorHAnsi" w:hAnsiTheme="majorHAnsi" w:cstheme="majorHAnsi"/>
          <w:sz w:val="24"/>
          <w:szCs w:val="24"/>
          <w:lang w:val="ru-MD"/>
        </w:rPr>
        <w:t xml:space="preserve">инансовое управление </w:t>
      </w:r>
      <w:r w:rsidR="00B60500"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должно зарегистрировать в бухгалтерском учете </w:t>
      </w:r>
      <w:r w:rsidR="00B60500" w:rsidRPr="00A21A6B">
        <w:rPr>
          <w:rFonts w:asciiTheme="majorHAnsi" w:hAnsiTheme="majorHAnsi" w:cstheme="majorHAnsi"/>
          <w:sz w:val="24"/>
          <w:szCs w:val="24"/>
          <w:lang w:val="ru-MD"/>
        </w:rPr>
        <w:t>земельные участки</w:t>
      </w:r>
      <w:r w:rsidRPr="00A21A6B">
        <w:rPr>
          <w:rFonts w:asciiTheme="majorHAnsi" w:hAnsiTheme="majorHAnsi" w:cstheme="majorHAnsi"/>
          <w:sz w:val="24"/>
          <w:szCs w:val="24"/>
          <w:lang w:val="ru-MD"/>
        </w:rPr>
        <w:t xml:space="preserve"> </w:t>
      </w:r>
      <w:r w:rsidR="00B60500" w:rsidRPr="00A21A6B">
        <w:rPr>
          <w:rFonts w:asciiTheme="majorHAnsi" w:hAnsiTheme="majorHAnsi" w:cstheme="majorHAnsi"/>
          <w:sz w:val="24"/>
          <w:szCs w:val="24"/>
          <w:lang w:val="ru-MD"/>
        </w:rPr>
        <w:t>публич</w:t>
      </w:r>
      <w:r w:rsidRPr="00A21A6B">
        <w:rPr>
          <w:rFonts w:asciiTheme="majorHAnsi" w:hAnsiTheme="majorHAnsi" w:cstheme="majorHAnsi"/>
          <w:sz w:val="24"/>
          <w:szCs w:val="24"/>
          <w:lang w:val="ru-MD"/>
        </w:rPr>
        <w:t xml:space="preserve">ной собственности, находящиеся в ведении </w:t>
      </w:r>
      <w:r w:rsidR="00B60500"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w:t>
      </w:r>
      <w:r w:rsidR="00B60500" w:rsidRPr="00A21A6B">
        <w:rPr>
          <w:rFonts w:asciiTheme="majorHAnsi" w:hAnsiTheme="majorHAnsi" w:cstheme="majorHAnsi"/>
          <w:sz w:val="24"/>
          <w:szCs w:val="24"/>
          <w:lang w:val="ru-MD"/>
        </w:rPr>
        <w:t>согласно</w:t>
      </w:r>
      <w:r w:rsidRPr="00A21A6B">
        <w:rPr>
          <w:rFonts w:asciiTheme="majorHAnsi" w:hAnsiTheme="majorHAnsi" w:cstheme="majorHAnsi"/>
          <w:sz w:val="24"/>
          <w:szCs w:val="24"/>
          <w:lang w:val="ru-MD"/>
        </w:rPr>
        <w:t xml:space="preserve"> выпис</w:t>
      </w:r>
      <w:r w:rsidR="00BE37BF">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к из </w:t>
      </w:r>
      <w:r w:rsidR="00B60500" w:rsidRPr="00A21A6B">
        <w:rPr>
          <w:rFonts w:asciiTheme="majorHAnsi" w:hAnsiTheme="majorHAnsi" w:cstheme="majorHAnsi"/>
          <w:sz w:val="24"/>
          <w:szCs w:val="24"/>
          <w:lang w:val="ru-MD"/>
        </w:rPr>
        <w:t>РНИ</w:t>
      </w:r>
      <w:r w:rsidRPr="00A21A6B">
        <w:rPr>
          <w:rFonts w:asciiTheme="majorHAnsi" w:hAnsiTheme="majorHAnsi" w:cstheme="majorHAnsi"/>
          <w:sz w:val="24"/>
          <w:szCs w:val="24"/>
          <w:lang w:val="ru-MD"/>
        </w:rPr>
        <w:t xml:space="preserve"> и </w:t>
      </w:r>
      <w:r w:rsidR="00B60500" w:rsidRPr="00A21A6B">
        <w:rPr>
          <w:rFonts w:asciiTheme="majorHAnsi" w:hAnsiTheme="majorHAnsi" w:cstheme="majorHAnsi"/>
          <w:sz w:val="24"/>
          <w:szCs w:val="24"/>
          <w:lang w:val="ru-MD"/>
        </w:rPr>
        <w:t xml:space="preserve">расчетной ведомости цены купли-продажи </w:t>
      </w:r>
      <w:r w:rsidRPr="00A21A6B">
        <w:rPr>
          <w:rFonts w:asciiTheme="majorHAnsi" w:hAnsiTheme="majorHAnsi" w:cstheme="majorHAnsi"/>
          <w:sz w:val="24"/>
          <w:szCs w:val="24"/>
          <w:lang w:val="ru-MD"/>
        </w:rPr>
        <w:t>земл</w:t>
      </w:r>
      <w:r w:rsidR="00B60500"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Таким образом, субъекты, передающие </w:t>
      </w:r>
      <w:r w:rsidR="00B60500" w:rsidRPr="00A21A6B">
        <w:rPr>
          <w:rFonts w:asciiTheme="majorHAnsi" w:hAnsiTheme="majorHAnsi" w:cstheme="majorHAnsi"/>
          <w:sz w:val="24"/>
          <w:szCs w:val="24"/>
          <w:lang w:val="ru-MD"/>
        </w:rPr>
        <w:t>з</w:t>
      </w:r>
      <w:r w:rsidRPr="00A21A6B">
        <w:rPr>
          <w:rFonts w:asciiTheme="majorHAnsi" w:hAnsiTheme="majorHAnsi" w:cstheme="majorHAnsi"/>
          <w:sz w:val="24"/>
          <w:szCs w:val="24"/>
          <w:lang w:val="ru-MD"/>
        </w:rPr>
        <w:t xml:space="preserve">емлю, </w:t>
      </w:r>
      <w:r w:rsidR="00055B67" w:rsidRPr="00A21A6B">
        <w:rPr>
          <w:rFonts w:asciiTheme="majorHAnsi" w:hAnsiTheme="majorHAnsi" w:cstheme="majorHAnsi"/>
          <w:sz w:val="24"/>
          <w:szCs w:val="24"/>
          <w:lang w:val="ru-MD"/>
        </w:rPr>
        <w:t>должны</w:t>
      </w:r>
      <w:r w:rsidRPr="00A21A6B">
        <w:rPr>
          <w:rFonts w:asciiTheme="majorHAnsi" w:hAnsiTheme="majorHAnsi" w:cstheme="majorHAnsi"/>
          <w:sz w:val="24"/>
          <w:szCs w:val="24"/>
          <w:lang w:val="ru-MD"/>
        </w:rPr>
        <w:t xml:space="preserve"> исключать из бухгалтерского учета </w:t>
      </w:r>
      <w:r w:rsidR="00055B67" w:rsidRPr="00A21A6B">
        <w:rPr>
          <w:rFonts w:asciiTheme="majorHAnsi" w:hAnsiTheme="majorHAnsi" w:cstheme="majorHAnsi"/>
          <w:sz w:val="24"/>
          <w:szCs w:val="24"/>
          <w:lang w:val="ru-MD"/>
        </w:rPr>
        <w:t>земельные участки</w:t>
      </w:r>
      <w:r w:rsidRPr="00A21A6B">
        <w:rPr>
          <w:rFonts w:asciiTheme="majorHAnsi" w:hAnsiTheme="majorHAnsi" w:cstheme="majorHAnsi"/>
          <w:sz w:val="24"/>
          <w:szCs w:val="24"/>
          <w:lang w:val="ru-MD"/>
        </w:rPr>
        <w:t xml:space="preserve"> по их учтенной цене, а </w:t>
      </w:r>
      <w:r w:rsidR="00055B67"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w:t>
      </w:r>
      <w:r w:rsidR="00055B67" w:rsidRPr="00A21A6B">
        <w:rPr>
          <w:rFonts w:asciiTheme="majorHAnsi" w:hAnsiTheme="majorHAnsi" w:cstheme="majorHAnsi"/>
          <w:sz w:val="24"/>
          <w:szCs w:val="24"/>
          <w:lang w:val="ru-MD"/>
        </w:rPr>
        <w:t>должно</w:t>
      </w:r>
      <w:r w:rsidRPr="00A21A6B">
        <w:rPr>
          <w:rFonts w:asciiTheme="majorHAnsi" w:hAnsiTheme="majorHAnsi" w:cstheme="majorHAnsi"/>
          <w:sz w:val="24"/>
          <w:szCs w:val="24"/>
          <w:lang w:val="ru-MD"/>
        </w:rPr>
        <w:t xml:space="preserve"> </w:t>
      </w:r>
      <w:r w:rsidR="00055B67" w:rsidRPr="00A21A6B">
        <w:rPr>
          <w:rFonts w:asciiTheme="majorHAnsi" w:hAnsiTheme="majorHAnsi" w:cstheme="majorHAnsi"/>
          <w:sz w:val="24"/>
          <w:szCs w:val="24"/>
          <w:lang w:val="ru-MD"/>
        </w:rPr>
        <w:t>регистриро</w:t>
      </w:r>
      <w:r w:rsidRPr="00A21A6B">
        <w:rPr>
          <w:rFonts w:asciiTheme="majorHAnsi" w:hAnsiTheme="majorHAnsi" w:cstheme="majorHAnsi"/>
          <w:sz w:val="24"/>
          <w:szCs w:val="24"/>
          <w:lang w:val="ru-MD"/>
        </w:rPr>
        <w:t xml:space="preserve">вать их как </w:t>
      </w:r>
      <w:r w:rsidR="00BE37BF">
        <w:rPr>
          <w:rFonts w:asciiTheme="majorHAnsi" w:hAnsiTheme="majorHAnsi" w:cstheme="majorHAnsi"/>
          <w:sz w:val="24"/>
          <w:szCs w:val="24"/>
          <w:lang w:val="ru-MD"/>
        </w:rPr>
        <w:t>входя</w:t>
      </w:r>
      <w:r w:rsidR="00055B67" w:rsidRPr="00A21A6B">
        <w:rPr>
          <w:rFonts w:asciiTheme="majorHAnsi" w:hAnsiTheme="majorHAnsi" w:cstheme="majorHAnsi"/>
          <w:sz w:val="24"/>
          <w:szCs w:val="24"/>
          <w:lang w:val="ru-MD"/>
        </w:rPr>
        <w:t>ю</w:t>
      </w:r>
      <w:r w:rsidRPr="00A21A6B">
        <w:rPr>
          <w:rFonts w:asciiTheme="majorHAnsi" w:hAnsiTheme="majorHAnsi" w:cstheme="majorHAnsi"/>
          <w:sz w:val="24"/>
          <w:szCs w:val="24"/>
          <w:lang w:val="ru-MD"/>
        </w:rPr>
        <w:t>щие по нормативной цене</w:t>
      </w:r>
      <w:r w:rsidR="00F40961" w:rsidRPr="00A21A6B">
        <w:rPr>
          <w:rFonts w:asciiTheme="majorHAnsi" w:hAnsiTheme="majorHAnsi" w:cstheme="majorHAnsi"/>
          <w:sz w:val="24"/>
          <w:szCs w:val="24"/>
          <w:lang w:val="ru-MD"/>
        </w:rPr>
        <w:t>.</w:t>
      </w:r>
    </w:p>
    <w:p w:rsidR="00F40961" w:rsidRPr="00A21A6B" w:rsidRDefault="005056C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w:t>
      </w:r>
      <w:r w:rsidR="00562715" w:rsidRPr="00A21A6B">
        <w:rPr>
          <w:rFonts w:asciiTheme="majorHAnsi" w:hAnsiTheme="majorHAnsi" w:cstheme="majorHAnsi"/>
          <w:sz w:val="24"/>
          <w:szCs w:val="24"/>
          <w:lang w:val="ru-MD"/>
        </w:rPr>
        <w:t xml:space="preserve">бращаем внимание, что в </w:t>
      </w:r>
      <w:r w:rsidR="00F32218" w:rsidRPr="00A21A6B">
        <w:rPr>
          <w:rFonts w:asciiTheme="majorHAnsi" w:hAnsiTheme="majorHAnsi" w:cstheme="majorHAnsi"/>
          <w:sz w:val="24"/>
          <w:szCs w:val="24"/>
          <w:lang w:val="ru-MD"/>
        </w:rPr>
        <w:t>действую</w:t>
      </w:r>
      <w:r w:rsidR="00562715" w:rsidRPr="00A21A6B">
        <w:rPr>
          <w:rFonts w:asciiTheme="majorHAnsi" w:hAnsiTheme="majorHAnsi" w:cstheme="majorHAnsi"/>
          <w:sz w:val="24"/>
          <w:szCs w:val="24"/>
          <w:lang w:val="ru-MD"/>
        </w:rPr>
        <w:t xml:space="preserve">щем </w:t>
      </w:r>
      <w:r w:rsidR="00F32218"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 xml:space="preserve">лане счетов не </w:t>
      </w:r>
      <w:r w:rsidR="00F32218" w:rsidRPr="00A21A6B">
        <w:rPr>
          <w:rFonts w:asciiTheme="majorHAnsi" w:hAnsiTheme="majorHAnsi" w:cstheme="majorHAnsi"/>
          <w:sz w:val="24"/>
          <w:szCs w:val="24"/>
          <w:lang w:val="ru-MD"/>
        </w:rPr>
        <w:t>делает</w:t>
      </w:r>
      <w:r w:rsidR="00562715" w:rsidRPr="00A21A6B">
        <w:rPr>
          <w:rFonts w:asciiTheme="majorHAnsi" w:hAnsiTheme="majorHAnsi" w:cstheme="majorHAnsi"/>
          <w:sz w:val="24"/>
          <w:szCs w:val="24"/>
          <w:lang w:val="ru-MD"/>
        </w:rPr>
        <w:t xml:space="preserve">ся различие между </w:t>
      </w:r>
      <w:r w:rsidR="00F32218" w:rsidRPr="00A21A6B">
        <w:rPr>
          <w:rFonts w:asciiTheme="majorHAnsi" w:hAnsiTheme="majorHAnsi" w:cstheme="majorHAnsi"/>
          <w:sz w:val="24"/>
          <w:szCs w:val="24"/>
          <w:lang w:val="ru-MD"/>
        </w:rPr>
        <w:t>актив</w:t>
      </w:r>
      <w:r w:rsidR="00562715" w:rsidRPr="00A21A6B">
        <w:rPr>
          <w:rFonts w:asciiTheme="majorHAnsi" w:hAnsiTheme="majorHAnsi" w:cstheme="majorHAnsi"/>
          <w:sz w:val="24"/>
          <w:szCs w:val="24"/>
          <w:lang w:val="ru-MD"/>
        </w:rPr>
        <w:t>ами, принадлежащими субъекту</w:t>
      </w:r>
      <w:r w:rsidR="00F32218" w:rsidRPr="00A21A6B">
        <w:rPr>
          <w:rFonts w:asciiTheme="majorHAnsi" w:hAnsiTheme="majorHAnsi" w:cstheme="majorHAnsi"/>
          <w:sz w:val="24"/>
          <w:szCs w:val="24"/>
          <w:lang w:val="ru-MD"/>
        </w:rPr>
        <w:t xml:space="preserve"> по</w:t>
      </w:r>
      <w:r w:rsidR="00562715" w:rsidRPr="00A21A6B">
        <w:rPr>
          <w:rFonts w:asciiTheme="majorHAnsi" w:hAnsiTheme="majorHAnsi" w:cstheme="majorHAnsi"/>
          <w:sz w:val="24"/>
          <w:szCs w:val="24"/>
          <w:lang w:val="ru-MD"/>
        </w:rPr>
        <w:t xml:space="preserve"> прав</w:t>
      </w:r>
      <w:r w:rsidR="00F32218" w:rsidRPr="00A21A6B">
        <w:rPr>
          <w:rFonts w:asciiTheme="majorHAnsi" w:hAnsiTheme="majorHAnsi" w:cstheme="majorHAnsi"/>
          <w:sz w:val="24"/>
          <w:szCs w:val="24"/>
          <w:lang w:val="ru-MD"/>
        </w:rPr>
        <w:t>у</w:t>
      </w:r>
      <w:r w:rsidR="00562715" w:rsidRPr="00A21A6B">
        <w:rPr>
          <w:rFonts w:asciiTheme="majorHAnsi" w:hAnsiTheme="majorHAnsi" w:cstheme="majorHAnsi"/>
          <w:sz w:val="24"/>
          <w:szCs w:val="24"/>
          <w:lang w:val="ru-MD"/>
        </w:rPr>
        <w:t xml:space="preserve"> собственности, и </w:t>
      </w:r>
      <w:r w:rsidR="00F32218" w:rsidRPr="00A21A6B">
        <w:rPr>
          <w:rFonts w:asciiTheme="majorHAnsi" w:hAnsiTheme="majorHAnsi" w:cstheme="majorHAnsi"/>
          <w:sz w:val="24"/>
          <w:szCs w:val="24"/>
          <w:lang w:val="ru-MD"/>
        </w:rPr>
        <w:t>актива</w:t>
      </w:r>
      <w:r w:rsidR="00562715" w:rsidRPr="00A21A6B">
        <w:rPr>
          <w:rFonts w:asciiTheme="majorHAnsi" w:hAnsiTheme="majorHAnsi" w:cstheme="majorHAnsi"/>
          <w:sz w:val="24"/>
          <w:szCs w:val="24"/>
          <w:lang w:val="ru-MD"/>
        </w:rPr>
        <w:t xml:space="preserve">ми, </w:t>
      </w:r>
      <w:r w:rsidR="00F32218" w:rsidRPr="00A21A6B">
        <w:rPr>
          <w:rFonts w:asciiTheme="majorHAnsi" w:hAnsiTheme="majorHAnsi" w:cstheme="majorHAnsi"/>
          <w:sz w:val="24"/>
          <w:szCs w:val="24"/>
          <w:lang w:val="ru-MD"/>
        </w:rPr>
        <w:t>полученными</w:t>
      </w:r>
      <w:r w:rsidR="00562715" w:rsidRPr="00A21A6B">
        <w:rPr>
          <w:rFonts w:asciiTheme="majorHAnsi" w:hAnsiTheme="majorHAnsi" w:cstheme="majorHAnsi"/>
          <w:sz w:val="24"/>
          <w:szCs w:val="24"/>
          <w:lang w:val="ru-MD"/>
        </w:rPr>
        <w:t xml:space="preserve"> </w:t>
      </w:r>
      <w:r w:rsidR="00F32218" w:rsidRPr="00A21A6B">
        <w:rPr>
          <w:rFonts w:asciiTheme="majorHAnsi" w:hAnsiTheme="majorHAnsi" w:cstheme="majorHAnsi"/>
          <w:sz w:val="24"/>
          <w:szCs w:val="24"/>
          <w:lang w:val="ru-MD"/>
        </w:rPr>
        <w:t>в</w:t>
      </w:r>
      <w:r w:rsidR="00562715" w:rsidRPr="00A21A6B">
        <w:rPr>
          <w:rFonts w:asciiTheme="majorHAnsi" w:hAnsiTheme="majorHAnsi" w:cstheme="majorHAnsi"/>
          <w:sz w:val="24"/>
          <w:szCs w:val="24"/>
          <w:lang w:val="ru-MD"/>
        </w:rPr>
        <w:t xml:space="preserve"> управление, пользование</w:t>
      </w:r>
      <w:r w:rsidR="00F32218" w:rsidRPr="00A21A6B">
        <w:rPr>
          <w:rFonts w:asciiTheme="majorHAnsi" w:hAnsiTheme="majorHAnsi" w:cstheme="majorHAnsi"/>
          <w:sz w:val="24"/>
          <w:szCs w:val="24"/>
          <w:lang w:val="ru-MD"/>
        </w:rPr>
        <w:t xml:space="preserve"> </w:t>
      </w:r>
      <w:r w:rsidR="00562715" w:rsidRPr="00A21A6B">
        <w:rPr>
          <w:rFonts w:asciiTheme="majorHAnsi" w:hAnsiTheme="majorHAnsi" w:cstheme="majorHAnsi"/>
          <w:sz w:val="24"/>
          <w:szCs w:val="24"/>
          <w:lang w:val="ru-MD"/>
        </w:rPr>
        <w:t xml:space="preserve">или </w:t>
      </w:r>
      <w:r w:rsidR="00F32218" w:rsidRPr="00A21A6B">
        <w:rPr>
          <w:rFonts w:asciiTheme="majorHAnsi" w:hAnsiTheme="majorHAnsi" w:cstheme="majorHAnsi"/>
          <w:sz w:val="24"/>
          <w:szCs w:val="24"/>
          <w:lang w:val="ru-MD"/>
        </w:rPr>
        <w:t>безвозмездное пользование</w:t>
      </w:r>
      <w:r w:rsidR="00562715" w:rsidRPr="00A21A6B">
        <w:rPr>
          <w:rFonts w:asciiTheme="majorHAnsi" w:hAnsiTheme="majorHAnsi" w:cstheme="majorHAnsi"/>
          <w:sz w:val="24"/>
          <w:szCs w:val="24"/>
          <w:lang w:val="ru-MD"/>
        </w:rPr>
        <w:t xml:space="preserve">, </w:t>
      </w:r>
      <w:r w:rsidR="00F32218" w:rsidRPr="00A21A6B">
        <w:rPr>
          <w:rFonts w:asciiTheme="majorHAnsi" w:hAnsiTheme="majorHAnsi" w:cstheme="majorHAnsi"/>
          <w:sz w:val="24"/>
          <w:szCs w:val="24"/>
          <w:lang w:val="ru-MD"/>
        </w:rPr>
        <w:t>а</w:t>
      </w:r>
      <w:r w:rsidR="00562715" w:rsidRPr="00A21A6B">
        <w:rPr>
          <w:rFonts w:asciiTheme="majorHAnsi" w:hAnsiTheme="majorHAnsi" w:cstheme="majorHAnsi"/>
          <w:sz w:val="24"/>
          <w:szCs w:val="24"/>
          <w:lang w:val="ru-MD"/>
        </w:rPr>
        <w:t xml:space="preserve"> настоящи</w:t>
      </w:r>
      <w:r w:rsidR="00F32218" w:rsidRPr="00A21A6B">
        <w:rPr>
          <w:rFonts w:asciiTheme="majorHAnsi" w:hAnsiTheme="majorHAnsi" w:cstheme="majorHAnsi"/>
          <w:sz w:val="24"/>
          <w:szCs w:val="24"/>
          <w:lang w:val="ru-MD"/>
        </w:rPr>
        <w:t>ми</w:t>
      </w:r>
      <w:r w:rsidR="00562715" w:rsidRPr="00A21A6B">
        <w:rPr>
          <w:rFonts w:asciiTheme="majorHAnsi" w:hAnsiTheme="majorHAnsi" w:cstheme="majorHAnsi"/>
          <w:sz w:val="24"/>
          <w:szCs w:val="24"/>
          <w:lang w:val="ru-MD"/>
        </w:rPr>
        <w:t xml:space="preserve"> владельц</w:t>
      </w:r>
      <w:r w:rsidR="00F32218" w:rsidRPr="00A21A6B">
        <w:rPr>
          <w:rFonts w:asciiTheme="majorHAnsi" w:hAnsiTheme="majorHAnsi" w:cstheme="majorHAnsi"/>
          <w:sz w:val="24"/>
          <w:szCs w:val="24"/>
          <w:lang w:val="ru-MD"/>
        </w:rPr>
        <w:t>ами</w:t>
      </w:r>
      <w:r w:rsidR="00562715" w:rsidRPr="00A21A6B">
        <w:rPr>
          <w:rFonts w:asciiTheme="majorHAnsi" w:hAnsiTheme="majorHAnsi" w:cstheme="majorHAnsi"/>
          <w:sz w:val="24"/>
          <w:szCs w:val="24"/>
          <w:lang w:val="ru-MD"/>
        </w:rPr>
        <w:t xml:space="preserve"> имущества являются третьи лица. В </w:t>
      </w:r>
      <w:r w:rsidR="00F32218" w:rsidRPr="00A21A6B">
        <w:rPr>
          <w:rFonts w:asciiTheme="majorHAnsi" w:hAnsiTheme="majorHAnsi" w:cstheme="majorHAnsi"/>
          <w:sz w:val="24"/>
          <w:szCs w:val="24"/>
          <w:lang w:val="ru-MD"/>
        </w:rPr>
        <w:t xml:space="preserve">этой </w:t>
      </w:r>
      <w:r w:rsidR="00562715" w:rsidRPr="00A21A6B">
        <w:rPr>
          <w:rFonts w:asciiTheme="majorHAnsi" w:hAnsiTheme="majorHAnsi" w:cstheme="majorHAnsi"/>
          <w:sz w:val="24"/>
          <w:szCs w:val="24"/>
          <w:lang w:val="ru-MD"/>
        </w:rPr>
        <w:t>связи</w:t>
      </w:r>
      <w:r w:rsidR="00F32218" w:rsidRPr="00A21A6B">
        <w:rPr>
          <w:rFonts w:asciiTheme="majorHAnsi" w:hAnsiTheme="majorHAnsi" w:cstheme="majorHAnsi"/>
          <w:sz w:val="24"/>
          <w:szCs w:val="24"/>
          <w:lang w:val="ru-MD"/>
        </w:rPr>
        <w:t>,</w:t>
      </w:r>
      <w:r w:rsidR="00562715" w:rsidRPr="00A21A6B">
        <w:rPr>
          <w:rFonts w:asciiTheme="majorHAnsi" w:hAnsiTheme="majorHAnsi" w:cstheme="majorHAnsi"/>
          <w:sz w:val="24"/>
          <w:szCs w:val="24"/>
          <w:lang w:val="ru-MD"/>
        </w:rPr>
        <w:t xml:space="preserve"> Министерству финансов необходимо </w:t>
      </w:r>
      <w:r w:rsidR="00F32218" w:rsidRPr="00A21A6B">
        <w:rPr>
          <w:rFonts w:asciiTheme="majorHAnsi" w:hAnsiTheme="majorHAnsi" w:cstheme="majorHAnsi"/>
          <w:sz w:val="24"/>
          <w:szCs w:val="24"/>
          <w:lang w:val="ru-MD"/>
        </w:rPr>
        <w:t>до</w:t>
      </w:r>
      <w:r w:rsidR="00562715" w:rsidRPr="00A21A6B">
        <w:rPr>
          <w:rFonts w:asciiTheme="majorHAnsi" w:hAnsiTheme="majorHAnsi" w:cstheme="majorHAnsi"/>
          <w:sz w:val="24"/>
          <w:szCs w:val="24"/>
          <w:lang w:val="ru-MD"/>
        </w:rPr>
        <w:t xml:space="preserve">полнить </w:t>
      </w:r>
      <w:r w:rsidR="00F32218" w:rsidRPr="00A21A6B">
        <w:rPr>
          <w:rFonts w:asciiTheme="majorHAnsi" w:hAnsiTheme="majorHAnsi" w:cstheme="majorHAnsi"/>
          <w:sz w:val="24"/>
          <w:szCs w:val="24"/>
          <w:lang w:val="ru-MD"/>
        </w:rPr>
        <w:t>П</w:t>
      </w:r>
      <w:r w:rsidR="00562715" w:rsidRPr="00A21A6B">
        <w:rPr>
          <w:rFonts w:asciiTheme="majorHAnsi" w:hAnsiTheme="majorHAnsi" w:cstheme="majorHAnsi"/>
          <w:sz w:val="24"/>
          <w:szCs w:val="24"/>
          <w:lang w:val="ru-MD"/>
        </w:rPr>
        <w:t>лан счетов новыми счетами</w:t>
      </w:r>
      <w:r w:rsidR="00F32218" w:rsidRPr="00A21A6B">
        <w:rPr>
          <w:rFonts w:asciiTheme="majorHAnsi" w:hAnsiTheme="majorHAnsi" w:cstheme="majorHAnsi"/>
          <w:sz w:val="24"/>
          <w:szCs w:val="24"/>
          <w:lang w:val="ru-MD"/>
        </w:rPr>
        <w:t xml:space="preserve"> для</w:t>
      </w:r>
      <w:r w:rsidR="00562715" w:rsidRPr="00A21A6B">
        <w:rPr>
          <w:rFonts w:asciiTheme="majorHAnsi" w:hAnsiTheme="majorHAnsi" w:cstheme="majorHAnsi"/>
          <w:sz w:val="24"/>
          <w:szCs w:val="24"/>
          <w:lang w:val="ru-MD"/>
        </w:rPr>
        <w:t xml:space="preserve"> актив</w:t>
      </w:r>
      <w:r w:rsidR="00F32218" w:rsidRPr="00A21A6B">
        <w:rPr>
          <w:rFonts w:asciiTheme="majorHAnsi" w:hAnsiTheme="majorHAnsi" w:cstheme="majorHAnsi"/>
          <w:sz w:val="24"/>
          <w:szCs w:val="24"/>
          <w:lang w:val="ru-MD"/>
        </w:rPr>
        <w:t>ов</w:t>
      </w:r>
      <w:r w:rsidR="00562715" w:rsidRPr="00A21A6B">
        <w:rPr>
          <w:rFonts w:asciiTheme="majorHAnsi" w:hAnsiTheme="majorHAnsi" w:cstheme="majorHAnsi"/>
          <w:sz w:val="24"/>
          <w:szCs w:val="24"/>
          <w:lang w:val="ru-MD"/>
        </w:rPr>
        <w:t>, полученны</w:t>
      </w:r>
      <w:r w:rsidR="00F32218" w:rsidRPr="00A21A6B">
        <w:rPr>
          <w:rFonts w:asciiTheme="majorHAnsi" w:hAnsiTheme="majorHAnsi" w:cstheme="majorHAnsi"/>
          <w:sz w:val="24"/>
          <w:szCs w:val="24"/>
          <w:lang w:val="ru-MD"/>
        </w:rPr>
        <w:t>х</w:t>
      </w:r>
      <w:r w:rsidR="00562715" w:rsidRPr="00A21A6B">
        <w:rPr>
          <w:rFonts w:asciiTheme="majorHAnsi" w:hAnsiTheme="majorHAnsi" w:cstheme="majorHAnsi"/>
          <w:sz w:val="24"/>
          <w:szCs w:val="24"/>
          <w:lang w:val="ru-MD"/>
        </w:rPr>
        <w:t xml:space="preserve"> </w:t>
      </w:r>
      <w:r w:rsidR="00F32218" w:rsidRPr="00A21A6B">
        <w:rPr>
          <w:rFonts w:asciiTheme="majorHAnsi" w:hAnsiTheme="majorHAnsi" w:cstheme="majorHAnsi"/>
          <w:sz w:val="24"/>
          <w:szCs w:val="24"/>
          <w:lang w:val="ru-MD"/>
        </w:rPr>
        <w:t>в</w:t>
      </w:r>
      <w:r w:rsidR="00562715" w:rsidRPr="00A21A6B">
        <w:rPr>
          <w:rFonts w:asciiTheme="majorHAnsi" w:hAnsiTheme="majorHAnsi" w:cstheme="majorHAnsi"/>
          <w:sz w:val="24"/>
          <w:szCs w:val="24"/>
          <w:lang w:val="ru-MD"/>
        </w:rPr>
        <w:t xml:space="preserve"> управление</w:t>
      </w:r>
      <w:r w:rsidR="00F40961" w:rsidRPr="00A21A6B">
        <w:rPr>
          <w:rFonts w:asciiTheme="majorHAnsi" w:hAnsiTheme="majorHAnsi" w:cstheme="majorHAnsi"/>
          <w:sz w:val="24"/>
          <w:szCs w:val="24"/>
          <w:lang w:val="ru-MD"/>
        </w:rPr>
        <w:t>.</w:t>
      </w:r>
    </w:p>
    <w:p w:rsidR="00F40961" w:rsidRPr="00A21A6B" w:rsidRDefault="00F40961" w:rsidP="00F40961">
      <w:pPr>
        <w:spacing w:after="120" w:line="276" w:lineRule="auto"/>
        <w:jc w:val="both"/>
        <w:rPr>
          <w:rFonts w:asciiTheme="majorHAnsi" w:hAnsiTheme="majorHAnsi" w:cstheme="majorHAnsi"/>
          <w:bCs/>
          <w:color w:val="000000"/>
          <w:sz w:val="24"/>
          <w:szCs w:val="24"/>
          <w:lang w:val="ru-MD"/>
        </w:rPr>
      </w:pPr>
      <w:r w:rsidRPr="00A21A6B">
        <w:rPr>
          <w:rFonts w:asciiTheme="majorHAnsi" w:hAnsiTheme="majorHAnsi" w:cstheme="majorHAnsi"/>
          <w:b/>
          <w:sz w:val="24"/>
          <w:szCs w:val="24"/>
          <w:lang w:val="ru-MD"/>
        </w:rPr>
        <w:t>(iii)</w:t>
      </w:r>
      <w:r w:rsidRPr="00A21A6B">
        <w:rPr>
          <w:rFonts w:asciiTheme="majorHAnsi" w:hAnsiTheme="majorHAnsi" w:cstheme="majorHAnsi"/>
          <w:sz w:val="24"/>
          <w:szCs w:val="24"/>
          <w:lang w:val="ru-MD"/>
        </w:rPr>
        <w:t xml:space="preserve"> </w:t>
      </w:r>
      <w:r w:rsidR="00F32218" w:rsidRPr="00A21A6B">
        <w:rPr>
          <w:rFonts w:asciiTheme="majorHAnsi" w:hAnsiTheme="majorHAnsi" w:cstheme="majorHAnsi"/>
          <w:sz w:val="24"/>
          <w:szCs w:val="24"/>
          <w:lang w:val="ru-MD"/>
        </w:rPr>
        <w:t>В</w:t>
      </w:r>
      <w:r w:rsidR="00562715" w:rsidRPr="00A21A6B">
        <w:rPr>
          <w:rFonts w:asciiTheme="majorHAnsi" w:hAnsiTheme="majorHAnsi" w:cstheme="majorHAnsi"/>
          <w:sz w:val="24"/>
          <w:szCs w:val="24"/>
          <w:lang w:val="ru-MD"/>
        </w:rPr>
        <w:t xml:space="preserve"> этом </w:t>
      </w:r>
      <w:r w:rsidR="00F32218" w:rsidRPr="00A21A6B">
        <w:rPr>
          <w:rFonts w:asciiTheme="majorHAnsi" w:hAnsiTheme="majorHAnsi" w:cstheme="majorHAnsi"/>
          <w:sz w:val="24"/>
          <w:szCs w:val="24"/>
          <w:lang w:val="ru-MD"/>
        </w:rPr>
        <w:t xml:space="preserve">же </w:t>
      </w:r>
      <w:r w:rsidR="00562715" w:rsidRPr="00A21A6B">
        <w:rPr>
          <w:rFonts w:asciiTheme="majorHAnsi" w:hAnsiTheme="majorHAnsi" w:cstheme="majorHAnsi"/>
          <w:sz w:val="24"/>
          <w:szCs w:val="24"/>
          <w:lang w:val="ru-MD"/>
        </w:rPr>
        <w:t>контексте отме</w:t>
      </w:r>
      <w:r w:rsidR="00F32218" w:rsidRPr="00A21A6B">
        <w:rPr>
          <w:rFonts w:asciiTheme="majorHAnsi" w:hAnsiTheme="majorHAnsi" w:cstheme="majorHAnsi"/>
          <w:sz w:val="24"/>
          <w:szCs w:val="24"/>
          <w:lang w:val="ru-MD"/>
        </w:rPr>
        <w:t>чается</w:t>
      </w:r>
      <w:r w:rsidR="00562715" w:rsidRPr="00A21A6B">
        <w:rPr>
          <w:rFonts w:asciiTheme="majorHAnsi" w:hAnsiTheme="majorHAnsi" w:cstheme="majorHAnsi"/>
          <w:sz w:val="24"/>
          <w:szCs w:val="24"/>
          <w:lang w:val="ru-MD"/>
        </w:rPr>
        <w:t xml:space="preserve">, что </w:t>
      </w:r>
      <w:r w:rsidR="00F32218" w:rsidRPr="00A21A6B">
        <w:rPr>
          <w:rFonts w:asciiTheme="majorHAnsi" w:hAnsiTheme="majorHAnsi" w:cstheme="majorHAnsi"/>
          <w:sz w:val="24"/>
          <w:szCs w:val="24"/>
          <w:lang w:val="ru-MD"/>
        </w:rPr>
        <w:t>АПС</w:t>
      </w:r>
      <w:r w:rsidR="00562715" w:rsidRPr="00A21A6B">
        <w:rPr>
          <w:rFonts w:asciiTheme="majorHAnsi" w:hAnsiTheme="majorHAnsi" w:cstheme="majorHAnsi"/>
          <w:sz w:val="24"/>
          <w:szCs w:val="24"/>
          <w:lang w:val="ru-MD"/>
        </w:rPr>
        <w:t xml:space="preserve"> в рамках </w:t>
      </w:r>
      <w:r w:rsidR="00F32218" w:rsidRPr="00A21A6B">
        <w:rPr>
          <w:rFonts w:asciiTheme="majorHAnsi" w:hAnsiTheme="majorHAnsi" w:cstheme="majorHAnsi"/>
          <w:sz w:val="24"/>
          <w:szCs w:val="24"/>
          <w:lang w:val="ru-MD"/>
        </w:rPr>
        <w:t>Г</w:t>
      </w:r>
      <w:r w:rsidR="00562715" w:rsidRPr="00A21A6B">
        <w:rPr>
          <w:rFonts w:asciiTheme="majorHAnsi" w:hAnsiTheme="majorHAnsi" w:cstheme="majorHAnsi"/>
          <w:sz w:val="24"/>
          <w:szCs w:val="24"/>
          <w:lang w:val="ru-MD"/>
        </w:rPr>
        <w:t>осударственной программы по разграничению недвижимого имущества, в том числе земель</w:t>
      </w:r>
      <w:r w:rsidR="00F32218" w:rsidRPr="00A21A6B">
        <w:rPr>
          <w:rFonts w:asciiTheme="majorHAnsi" w:hAnsiTheme="majorHAnsi" w:cstheme="majorHAnsi"/>
          <w:sz w:val="24"/>
          <w:szCs w:val="24"/>
          <w:lang w:val="ru-MD"/>
        </w:rPr>
        <w:t xml:space="preserve"> </w:t>
      </w:r>
      <w:r w:rsidR="00562715" w:rsidRPr="00A21A6B">
        <w:rPr>
          <w:rFonts w:asciiTheme="majorHAnsi" w:hAnsiTheme="majorHAnsi" w:cstheme="majorHAnsi"/>
          <w:sz w:val="24"/>
          <w:szCs w:val="24"/>
          <w:lang w:val="ru-MD"/>
        </w:rPr>
        <w:t>публичной собственности, на 2019-2023 г</w:t>
      </w:r>
      <w:r w:rsidR="00F32218" w:rsidRPr="00A21A6B">
        <w:rPr>
          <w:rFonts w:asciiTheme="majorHAnsi" w:hAnsiTheme="majorHAnsi" w:cstheme="majorHAnsi"/>
          <w:sz w:val="24"/>
          <w:szCs w:val="24"/>
          <w:lang w:val="ru-MD"/>
        </w:rPr>
        <w:t>оды,</w:t>
      </w:r>
      <w:r w:rsidR="00562715" w:rsidRPr="00A21A6B">
        <w:rPr>
          <w:rFonts w:asciiTheme="majorHAnsi" w:hAnsiTheme="majorHAnsi" w:cstheme="majorHAnsi"/>
          <w:sz w:val="24"/>
          <w:szCs w:val="24"/>
          <w:lang w:val="ru-MD"/>
        </w:rPr>
        <w:t xml:space="preserve"> утвержден</w:t>
      </w:r>
      <w:r w:rsidR="00F32218" w:rsidRPr="00A21A6B">
        <w:rPr>
          <w:rFonts w:asciiTheme="majorHAnsi" w:hAnsiTheme="majorHAnsi" w:cstheme="majorHAnsi"/>
          <w:sz w:val="24"/>
          <w:szCs w:val="24"/>
          <w:lang w:val="ru-MD"/>
        </w:rPr>
        <w:t>ной ПП №</w:t>
      </w:r>
      <w:r w:rsidR="00562715" w:rsidRPr="00A21A6B">
        <w:rPr>
          <w:rFonts w:asciiTheme="majorHAnsi" w:hAnsiTheme="majorHAnsi" w:cstheme="majorHAnsi"/>
          <w:sz w:val="24"/>
          <w:szCs w:val="24"/>
          <w:lang w:val="ru-MD"/>
        </w:rPr>
        <w:t>80/2019, оценил</w:t>
      </w:r>
      <w:r w:rsidR="00F32218" w:rsidRPr="00A21A6B">
        <w:rPr>
          <w:rFonts w:asciiTheme="majorHAnsi" w:hAnsiTheme="majorHAnsi" w:cstheme="majorHAnsi"/>
          <w:sz w:val="24"/>
          <w:szCs w:val="24"/>
          <w:lang w:val="ru-MD"/>
        </w:rPr>
        <w:t>о</w:t>
      </w:r>
      <w:r w:rsidR="00562715" w:rsidRPr="00A21A6B">
        <w:rPr>
          <w:rFonts w:asciiTheme="majorHAnsi" w:hAnsiTheme="majorHAnsi" w:cstheme="majorHAnsi"/>
          <w:sz w:val="24"/>
          <w:szCs w:val="24"/>
          <w:lang w:val="ru-MD"/>
        </w:rPr>
        <w:t xml:space="preserve"> зем</w:t>
      </w:r>
      <w:r w:rsidR="00F32218" w:rsidRPr="00A21A6B">
        <w:rPr>
          <w:rFonts w:asciiTheme="majorHAnsi" w:hAnsiTheme="majorHAnsi" w:cstheme="majorHAnsi"/>
          <w:sz w:val="24"/>
          <w:szCs w:val="24"/>
          <w:lang w:val="ru-MD"/>
        </w:rPr>
        <w:t>ельные участки</w:t>
      </w:r>
      <w:r w:rsidR="00562715" w:rsidRPr="00A21A6B">
        <w:rPr>
          <w:rFonts w:asciiTheme="majorHAnsi" w:hAnsiTheme="majorHAnsi" w:cstheme="majorHAnsi"/>
          <w:sz w:val="24"/>
          <w:szCs w:val="24"/>
          <w:lang w:val="ru-MD"/>
        </w:rPr>
        <w:t xml:space="preserve"> по </w:t>
      </w:r>
      <w:r w:rsidR="00F32218" w:rsidRPr="00A21A6B">
        <w:rPr>
          <w:rFonts w:asciiTheme="majorHAnsi" w:hAnsiTheme="majorHAnsi" w:cstheme="majorHAnsi"/>
          <w:sz w:val="24"/>
          <w:szCs w:val="24"/>
          <w:lang w:val="ru-MD"/>
        </w:rPr>
        <w:t>их</w:t>
      </w:r>
      <w:r w:rsidR="00562715" w:rsidRPr="00A21A6B">
        <w:rPr>
          <w:rFonts w:asciiTheme="majorHAnsi" w:hAnsiTheme="majorHAnsi" w:cstheme="majorHAnsi"/>
          <w:sz w:val="24"/>
          <w:szCs w:val="24"/>
          <w:lang w:val="ru-MD"/>
        </w:rPr>
        <w:t xml:space="preserve"> рыночной цене, но будет использовать эту информацию только в случае сдачи </w:t>
      </w:r>
      <w:r w:rsidR="00F32218" w:rsidRPr="00A21A6B">
        <w:rPr>
          <w:rFonts w:asciiTheme="majorHAnsi" w:hAnsiTheme="majorHAnsi" w:cstheme="majorHAnsi"/>
          <w:sz w:val="24"/>
          <w:szCs w:val="24"/>
          <w:lang w:val="ru-MD"/>
        </w:rPr>
        <w:t xml:space="preserve">земельных участков </w:t>
      </w:r>
      <w:r w:rsidR="00562715" w:rsidRPr="00A21A6B">
        <w:rPr>
          <w:rFonts w:asciiTheme="majorHAnsi" w:hAnsiTheme="majorHAnsi" w:cstheme="majorHAnsi"/>
          <w:sz w:val="24"/>
          <w:szCs w:val="24"/>
          <w:lang w:val="ru-MD"/>
        </w:rPr>
        <w:t xml:space="preserve">в аренду, а не в случае продажи/приватизации или даже </w:t>
      </w:r>
      <w:r w:rsidR="00F32218" w:rsidRPr="00A21A6B">
        <w:rPr>
          <w:rFonts w:asciiTheme="majorHAnsi" w:hAnsiTheme="majorHAnsi" w:cstheme="majorHAnsi"/>
          <w:sz w:val="24"/>
          <w:szCs w:val="24"/>
          <w:lang w:val="ru-MD"/>
        </w:rPr>
        <w:t xml:space="preserve">для </w:t>
      </w:r>
      <w:r w:rsidR="00562715" w:rsidRPr="00A21A6B">
        <w:rPr>
          <w:rFonts w:asciiTheme="majorHAnsi" w:hAnsiTheme="majorHAnsi" w:cstheme="majorHAnsi"/>
          <w:sz w:val="24"/>
          <w:szCs w:val="24"/>
          <w:lang w:val="ru-MD"/>
        </w:rPr>
        <w:t xml:space="preserve">учета </w:t>
      </w:r>
      <w:r w:rsidR="00F32218" w:rsidRPr="00A21A6B">
        <w:rPr>
          <w:rFonts w:asciiTheme="majorHAnsi" w:hAnsiTheme="majorHAnsi" w:cstheme="majorHAnsi"/>
          <w:sz w:val="24"/>
          <w:szCs w:val="24"/>
          <w:lang w:val="ru-MD"/>
        </w:rPr>
        <w:t>земельных участков</w:t>
      </w:r>
      <w:r w:rsidR="00562715" w:rsidRPr="00A21A6B">
        <w:rPr>
          <w:rFonts w:asciiTheme="majorHAnsi" w:hAnsiTheme="majorHAnsi" w:cstheme="majorHAnsi"/>
          <w:sz w:val="24"/>
          <w:szCs w:val="24"/>
          <w:lang w:val="ru-MD"/>
        </w:rPr>
        <w:t xml:space="preserve"> по </w:t>
      </w:r>
      <w:r w:rsidR="00F32218" w:rsidRPr="00A21A6B">
        <w:rPr>
          <w:rFonts w:asciiTheme="majorHAnsi" w:hAnsiTheme="majorHAnsi" w:cstheme="majorHAnsi"/>
          <w:sz w:val="24"/>
          <w:szCs w:val="24"/>
          <w:lang w:val="ru-MD"/>
        </w:rPr>
        <w:t>их</w:t>
      </w:r>
      <w:r w:rsidR="00562715" w:rsidRPr="00A21A6B">
        <w:rPr>
          <w:rFonts w:asciiTheme="majorHAnsi" w:hAnsiTheme="majorHAnsi" w:cstheme="majorHAnsi"/>
          <w:sz w:val="24"/>
          <w:szCs w:val="24"/>
          <w:lang w:val="ru-MD"/>
        </w:rPr>
        <w:t xml:space="preserve"> справедливой стоимости</w:t>
      </w:r>
      <w:r w:rsidRPr="00A21A6B">
        <w:rPr>
          <w:rFonts w:asciiTheme="majorHAnsi" w:hAnsiTheme="majorHAnsi" w:cstheme="majorHAnsi"/>
          <w:bCs/>
          <w:color w:val="000000"/>
          <w:sz w:val="24"/>
          <w:szCs w:val="24"/>
          <w:lang w:val="ru-MD"/>
        </w:rPr>
        <w:t>.</w:t>
      </w:r>
    </w:p>
    <w:p w:rsidR="00F40961" w:rsidRPr="00A21A6B" w:rsidRDefault="00F40961" w:rsidP="00F40961">
      <w:pPr>
        <w:pStyle w:val="ListParagraph"/>
        <w:tabs>
          <w:tab w:val="left" w:pos="284"/>
        </w:tabs>
        <w:spacing w:after="120" w:line="276" w:lineRule="auto"/>
        <w:ind w:left="0"/>
        <w:jc w:val="both"/>
        <w:rPr>
          <w:rFonts w:asciiTheme="majorHAnsi" w:hAnsiTheme="majorHAnsi" w:cstheme="majorHAnsi"/>
          <w:bCs/>
          <w:color w:val="000000"/>
          <w:sz w:val="24"/>
          <w:szCs w:val="24"/>
          <w:lang w:val="ru-MD"/>
        </w:rPr>
      </w:pPr>
      <w:r w:rsidRPr="00A21A6B">
        <w:rPr>
          <w:rFonts w:asciiTheme="majorHAnsi" w:hAnsiTheme="majorHAnsi" w:cstheme="majorHAnsi"/>
          <w:bCs/>
          <w:color w:val="000000"/>
          <w:sz w:val="24"/>
          <w:szCs w:val="24"/>
          <w:lang w:val="ru-MD"/>
        </w:rPr>
        <w:tab/>
      </w:r>
      <w:r w:rsidR="00562715" w:rsidRPr="00A21A6B">
        <w:rPr>
          <w:rFonts w:asciiTheme="majorHAnsi" w:hAnsiTheme="majorHAnsi" w:cstheme="majorHAnsi"/>
          <w:bCs/>
          <w:color w:val="000000"/>
          <w:sz w:val="24"/>
          <w:szCs w:val="24"/>
          <w:lang w:val="ru-MD"/>
        </w:rPr>
        <w:t xml:space="preserve">В этих условиях, если </w:t>
      </w:r>
      <w:r w:rsidR="00F32218" w:rsidRPr="00A21A6B">
        <w:rPr>
          <w:rFonts w:asciiTheme="majorHAnsi" w:hAnsiTheme="majorHAnsi" w:cstheme="majorHAnsi"/>
          <w:bCs/>
          <w:color w:val="000000"/>
          <w:sz w:val="24"/>
          <w:szCs w:val="24"/>
          <w:lang w:val="ru-MD"/>
        </w:rPr>
        <w:t xml:space="preserve">какая-либо </w:t>
      </w:r>
      <w:r w:rsidR="00562715" w:rsidRPr="00A21A6B">
        <w:rPr>
          <w:rFonts w:asciiTheme="majorHAnsi" w:hAnsiTheme="majorHAnsi" w:cstheme="majorHAnsi"/>
          <w:bCs/>
          <w:color w:val="000000"/>
          <w:sz w:val="24"/>
          <w:szCs w:val="24"/>
          <w:lang w:val="ru-MD"/>
        </w:rPr>
        <w:t xml:space="preserve">организация захочет </w:t>
      </w:r>
      <w:r w:rsidR="00F32218" w:rsidRPr="00A21A6B">
        <w:rPr>
          <w:rFonts w:asciiTheme="majorHAnsi" w:hAnsiTheme="majorHAnsi" w:cstheme="majorHAnsi"/>
          <w:bCs/>
          <w:color w:val="000000"/>
          <w:sz w:val="24"/>
          <w:szCs w:val="24"/>
          <w:lang w:val="ru-MD"/>
        </w:rPr>
        <w:t>зарегистриро</w:t>
      </w:r>
      <w:r w:rsidR="00562715" w:rsidRPr="00A21A6B">
        <w:rPr>
          <w:rFonts w:asciiTheme="majorHAnsi" w:hAnsiTheme="majorHAnsi" w:cstheme="majorHAnsi"/>
          <w:bCs/>
          <w:color w:val="000000"/>
          <w:sz w:val="24"/>
          <w:szCs w:val="24"/>
          <w:lang w:val="ru-MD"/>
        </w:rPr>
        <w:t xml:space="preserve">вать </w:t>
      </w:r>
      <w:r w:rsidR="00F32218" w:rsidRPr="00A21A6B">
        <w:rPr>
          <w:rFonts w:asciiTheme="majorHAnsi" w:hAnsiTheme="majorHAnsi" w:cstheme="majorHAnsi"/>
          <w:sz w:val="24"/>
          <w:szCs w:val="24"/>
          <w:lang w:val="ru-MD"/>
        </w:rPr>
        <w:t>земельные участки</w:t>
      </w:r>
      <w:r w:rsidR="00562715" w:rsidRPr="00A21A6B">
        <w:rPr>
          <w:rFonts w:asciiTheme="majorHAnsi" w:hAnsiTheme="majorHAnsi" w:cstheme="majorHAnsi"/>
          <w:bCs/>
          <w:color w:val="000000"/>
          <w:sz w:val="24"/>
          <w:szCs w:val="24"/>
          <w:lang w:val="ru-MD"/>
        </w:rPr>
        <w:t xml:space="preserve"> по их справедливой (рыночной) стоимости, она </w:t>
      </w:r>
      <w:r w:rsidR="00F32218" w:rsidRPr="00A21A6B">
        <w:rPr>
          <w:rFonts w:asciiTheme="majorHAnsi" w:hAnsiTheme="majorHAnsi" w:cstheme="majorHAnsi"/>
          <w:bCs/>
          <w:color w:val="000000"/>
          <w:sz w:val="24"/>
          <w:szCs w:val="24"/>
          <w:lang w:val="ru-MD"/>
        </w:rPr>
        <w:t xml:space="preserve">должна будет </w:t>
      </w:r>
      <w:r w:rsidR="00562715" w:rsidRPr="00A21A6B">
        <w:rPr>
          <w:rFonts w:asciiTheme="majorHAnsi" w:hAnsiTheme="majorHAnsi" w:cstheme="majorHAnsi"/>
          <w:bCs/>
          <w:color w:val="000000"/>
          <w:sz w:val="24"/>
          <w:szCs w:val="24"/>
          <w:lang w:val="ru-MD"/>
        </w:rPr>
        <w:t>снова законтракт</w:t>
      </w:r>
      <w:r w:rsidR="00F32218" w:rsidRPr="00A21A6B">
        <w:rPr>
          <w:rFonts w:asciiTheme="majorHAnsi" w:hAnsiTheme="majorHAnsi" w:cstheme="majorHAnsi"/>
          <w:bCs/>
          <w:color w:val="000000"/>
          <w:sz w:val="24"/>
          <w:szCs w:val="24"/>
          <w:lang w:val="ru-MD"/>
        </w:rPr>
        <w:t>овать</w:t>
      </w:r>
      <w:r w:rsidR="00562715" w:rsidRPr="00A21A6B">
        <w:rPr>
          <w:rFonts w:asciiTheme="majorHAnsi" w:hAnsiTheme="majorHAnsi" w:cstheme="majorHAnsi"/>
          <w:bCs/>
          <w:color w:val="000000"/>
          <w:sz w:val="24"/>
          <w:szCs w:val="24"/>
          <w:lang w:val="ru-MD"/>
        </w:rPr>
        <w:t xml:space="preserve"> специализированн</w:t>
      </w:r>
      <w:r w:rsidR="00F32218" w:rsidRPr="00A21A6B">
        <w:rPr>
          <w:rFonts w:asciiTheme="majorHAnsi" w:hAnsiTheme="majorHAnsi" w:cstheme="majorHAnsi"/>
          <w:bCs/>
          <w:color w:val="000000"/>
          <w:sz w:val="24"/>
          <w:szCs w:val="24"/>
          <w:lang w:val="ru-MD"/>
        </w:rPr>
        <w:t>ого</w:t>
      </w:r>
      <w:r w:rsidR="00562715" w:rsidRPr="00A21A6B">
        <w:rPr>
          <w:rFonts w:asciiTheme="majorHAnsi" w:hAnsiTheme="majorHAnsi" w:cstheme="majorHAnsi"/>
          <w:bCs/>
          <w:color w:val="000000"/>
          <w:sz w:val="24"/>
          <w:szCs w:val="24"/>
          <w:lang w:val="ru-MD"/>
        </w:rPr>
        <w:t xml:space="preserve"> оценщик</w:t>
      </w:r>
      <w:r w:rsidR="00F32218" w:rsidRPr="00A21A6B">
        <w:rPr>
          <w:rFonts w:asciiTheme="majorHAnsi" w:hAnsiTheme="majorHAnsi" w:cstheme="majorHAnsi"/>
          <w:bCs/>
          <w:color w:val="000000"/>
          <w:sz w:val="24"/>
          <w:szCs w:val="24"/>
          <w:lang w:val="ru-MD"/>
        </w:rPr>
        <w:t>а</w:t>
      </w:r>
      <w:r w:rsidR="00562715" w:rsidRPr="00A21A6B">
        <w:rPr>
          <w:rFonts w:asciiTheme="majorHAnsi" w:hAnsiTheme="majorHAnsi" w:cstheme="majorHAnsi"/>
          <w:bCs/>
          <w:color w:val="000000"/>
          <w:sz w:val="24"/>
          <w:szCs w:val="24"/>
          <w:lang w:val="ru-MD"/>
        </w:rPr>
        <w:t xml:space="preserve"> и использовать </w:t>
      </w:r>
      <w:r w:rsidR="005E0E3A" w:rsidRPr="00A21A6B">
        <w:rPr>
          <w:rFonts w:asciiTheme="majorHAnsi" w:hAnsiTheme="majorHAnsi" w:cstheme="majorHAnsi"/>
          <w:bCs/>
          <w:color w:val="000000"/>
          <w:sz w:val="24"/>
          <w:szCs w:val="24"/>
          <w:lang w:val="ru-MD"/>
        </w:rPr>
        <w:t>публич</w:t>
      </w:r>
      <w:r w:rsidR="00562715" w:rsidRPr="00A21A6B">
        <w:rPr>
          <w:rFonts w:asciiTheme="majorHAnsi" w:hAnsiTheme="majorHAnsi" w:cstheme="majorHAnsi"/>
          <w:bCs/>
          <w:color w:val="000000"/>
          <w:sz w:val="24"/>
          <w:szCs w:val="24"/>
          <w:lang w:val="ru-MD"/>
        </w:rPr>
        <w:t>ные ден</w:t>
      </w:r>
      <w:r w:rsidR="005E0E3A" w:rsidRPr="00A21A6B">
        <w:rPr>
          <w:rFonts w:asciiTheme="majorHAnsi" w:hAnsiTheme="majorHAnsi" w:cstheme="majorHAnsi"/>
          <w:bCs/>
          <w:color w:val="000000"/>
          <w:sz w:val="24"/>
          <w:szCs w:val="24"/>
          <w:lang w:val="ru-MD"/>
        </w:rPr>
        <w:t>ежные средства</w:t>
      </w:r>
      <w:r w:rsidR="00562715" w:rsidRPr="00A21A6B">
        <w:rPr>
          <w:rFonts w:asciiTheme="majorHAnsi" w:hAnsiTheme="majorHAnsi" w:cstheme="majorHAnsi"/>
          <w:bCs/>
          <w:color w:val="000000"/>
          <w:sz w:val="24"/>
          <w:szCs w:val="24"/>
          <w:lang w:val="ru-MD"/>
        </w:rPr>
        <w:t xml:space="preserve"> для тех же целей, </w:t>
      </w:r>
      <w:r w:rsidR="005E0E3A" w:rsidRPr="00A21A6B">
        <w:rPr>
          <w:rFonts w:asciiTheme="majorHAnsi" w:hAnsiTheme="majorHAnsi" w:cstheme="majorHAnsi"/>
          <w:bCs/>
          <w:color w:val="000000"/>
          <w:sz w:val="24"/>
          <w:szCs w:val="24"/>
          <w:lang w:val="ru-MD"/>
        </w:rPr>
        <w:t>для которых</w:t>
      </w:r>
      <w:r w:rsidR="00562715" w:rsidRPr="00A21A6B">
        <w:rPr>
          <w:rFonts w:asciiTheme="majorHAnsi" w:hAnsiTheme="majorHAnsi" w:cstheme="majorHAnsi"/>
          <w:bCs/>
          <w:color w:val="000000"/>
          <w:sz w:val="24"/>
          <w:szCs w:val="24"/>
          <w:lang w:val="ru-MD"/>
        </w:rPr>
        <w:t xml:space="preserve"> государство</w:t>
      </w:r>
      <w:r w:rsidR="005E0E3A" w:rsidRPr="00A21A6B">
        <w:rPr>
          <w:rFonts w:asciiTheme="majorHAnsi" w:hAnsiTheme="majorHAnsi" w:cstheme="majorHAnsi"/>
          <w:bCs/>
          <w:color w:val="000000"/>
          <w:sz w:val="24"/>
          <w:szCs w:val="24"/>
          <w:lang w:val="ru-MD"/>
        </w:rPr>
        <w:t>,</w:t>
      </w:r>
      <w:r w:rsidR="00562715" w:rsidRPr="00A21A6B">
        <w:rPr>
          <w:rFonts w:asciiTheme="majorHAnsi" w:hAnsiTheme="majorHAnsi" w:cstheme="majorHAnsi"/>
          <w:bCs/>
          <w:color w:val="000000"/>
          <w:sz w:val="24"/>
          <w:szCs w:val="24"/>
          <w:lang w:val="ru-MD"/>
        </w:rPr>
        <w:t xml:space="preserve"> через </w:t>
      </w:r>
      <w:r w:rsidR="005E0E3A" w:rsidRPr="00A21A6B">
        <w:rPr>
          <w:rFonts w:asciiTheme="majorHAnsi" w:hAnsiTheme="majorHAnsi" w:cstheme="majorHAnsi"/>
          <w:bCs/>
          <w:color w:val="000000"/>
          <w:sz w:val="24"/>
          <w:szCs w:val="24"/>
          <w:lang w:val="ru-MD"/>
        </w:rPr>
        <w:t>АПС</w:t>
      </w:r>
      <w:r w:rsidR="00562715" w:rsidRPr="00A21A6B">
        <w:rPr>
          <w:rFonts w:asciiTheme="majorHAnsi" w:hAnsiTheme="majorHAnsi" w:cstheme="majorHAnsi"/>
          <w:bCs/>
          <w:color w:val="000000"/>
          <w:sz w:val="24"/>
          <w:szCs w:val="24"/>
          <w:lang w:val="ru-MD"/>
        </w:rPr>
        <w:t>, уже закупило услуги по оценке и переоценке зем</w:t>
      </w:r>
      <w:r w:rsidR="005E0E3A" w:rsidRPr="00A21A6B">
        <w:rPr>
          <w:rFonts w:asciiTheme="majorHAnsi" w:hAnsiTheme="majorHAnsi" w:cstheme="majorHAnsi"/>
          <w:bCs/>
          <w:color w:val="000000"/>
          <w:sz w:val="24"/>
          <w:szCs w:val="24"/>
          <w:lang w:val="ru-MD"/>
        </w:rPr>
        <w:t>ельных участков</w:t>
      </w:r>
      <w:r w:rsidR="00562715" w:rsidRPr="00A21A6B">
        <w:rPr>
          <w:rFonts w:asciiTheme="majorHAnsi" w:hAnsiTheme="majorHAnsi" w:cstheme="majorHAnsi"/>
          <w:bCs/>
          <w:color w:val="000000"/>
          <w:sz w:val="24"/>
          <w:szCs w:val="24"/>
          <w:lang w:val="ru-MD"/>
        </w:rPr>
        <w:t xml:space="preserve">. Таким образом, </w:t>
      </w:r>
      <w:r w:rsidR="005E0E3A" w:rsidRPr="00A21A6B">
        <w:rPr>
          <w:rFonts w:asciiTheme="majorHAnsi" w:hAnsiTheme="majorHAnsi" w:cstheme="majorHAnsi"/>
          <w:bCs/>
          <w:color w:val="000000"/>
          <w:sz w:val="24"/>
          <w:szCs w:val="24"/>
          <w:lang w:val="ru-MD"/>
        </w:rPr>
        <w:t>возникает потенциальный</w:t>
      </w:r>
      <w:r w:rsidR="00562715" w:rsidRPr="00A21A6B">
        <w:rPr>
          <w:rFonts w:asciiTheme="majorHAnsi" w:hAnsiTheme="majorHAnsi" w:cstheme="majorHAnsi"/>
          <w:bCs/>
          <w:color w:val="000000"/>
          <w:sz w:val="24"/>
          <w:szCs w:val="24"/>
          <w:lang w:val="ru-MD"/>
        </w:rPr>
        <w:t xml:space="preserve"> риск </w:t>
      </w:r>
      <w:r w:rsidR="005E0E3A" w:rsidRPr="00A21A6B">
        <w:rPr>
          <w:rFonts w:asciiTheme="majorHAnsi" w:hAnsiTheme="majorHAnsi" w:cstheme="majorHAnsi"/>
          <w:bCs/>
          <w:color w:val="000000"/>
          <w:sz w:val="24"/>
          <w:szCs w:val="24"/>
          <w:lang w:val="ru-MD"/>
        </w:rPr>
        <w:t>растраты</w:t>
      </w:r>
      <w:r w:rsidR="00562715" w:rsidRPr="00A21A6B">
        <w:rPr>
          <w:rFonts w:asciiTheme="majorHAnsi" w:hAnsiTheme="majorHAnsi" w:cstheme="majorHAnsi"/>
          <w:bCs/>
          <w:color w:val="000000"/>
          <w:sz w:val="24"/>
          <w:szCs w:val="24"/>
          <w:lang w:val="ru-MD"/>
        </w:rPr>
        <w:t xml:space="preserve"> </w:t>
      </w:r>
      <w:r w:rsidR="005E0E3A" w:rsidRPr="00A21A6B">
        <w:rPr>
          <w:rFonts w:asciiTheme="majorHAnsi" w:hAnsiTheme="majorHAnsi" w:cstheme="majorHAnsi"/>
          <w:bCs/>
          <w:color w:val="000000"/>
          <w:sz w:val="24"/>
          <w:szCs w:val="24"/>
          <w:lang w:val="ru-MD"/>
        </w:rPr>
        <w:t>публич</w:t>
      </w:r>
      <w:r w:rsidR="00562715" w:rsidRPr="00A21A6B">
        <w:rPr>
          <w:rFonts w:asciiTheme="majorHAnsi" w:hAnsiTheme="majorHAnsi" w:cstheme="majorHAnsi"/>
          <w:bCs/>
          <w:color w:val="000000"/>
          <w:sz w:val="24"/>
          <w:szCs w:val="24"/>
          <w:lang w:val="ru-MD"/>
        </w:rPr>
        <w:t xml:space="preserve">ных денег </w:t>
      </w:r>
      <w:r w:rsidR="005E0E3A" w:rsidRPr="00A21A6B">
        <w:rPr>
          <w:rFonts w:asciiTheme="majorHAnsi" w:hAnsiTheme="majorHAnsi" w:cstheme="majorHAnsi"/>
          <w:bCs/>
          <w:color w:val="000000"/>
          <w:sz w:val="24"/>
          <w:szCs w:val="24"/>
          <w:lang w:val="ru-MD"/>
        </w:rPr>
        <w:t xml:space="preserve">путем </w:t>
      </w:r>
      <w:r w:rsidR="00562715" w:rsidRPr="00A21A6B">
        <w:rPr>
          <w:rFonts w:asciiTheme="majorHAnsi" w:hAnsiTheme="majorHAnsi" w:cstheme="majorHAnsi"/>
          <w:bCs/>
          <w:color w:val="000000"/>
          <w:sz w:val="24"/>
          <w:szCs w:val="24"/>
          <w:lang w:val="ru-MD"/>
        </w:rPr>
        <w:t>контракт</w:t>
      </w:r>
      <w:r w:rsidR="005E0E3A" w:rsidRPr="00A21A6B">
        <w:rPr>
          <w:rFonts w:asciiTheme="majorHAnsi" w:hAnsiTheme="majorHAnsi" w:cstheme="majorHAnsi"/>
          <w:bCs/>
          <w:color w:val="000000"/>
          <w:sz w:val="24"/>
          <w:szCs w:val="24"/>
          <w:lang w:val="ru-MD"/>
        </w:rPr>
        <w:t>ации</w:t>
      </w:r>
      <w:r w:rsidR="00562715" w:rsidRPr="00A21A6B">
        <w:rPr>
          <w:rFonts w:asciiTheme="majorHAnsi" w:hAnsiTheme="majorHAnsi" w:cstheme="majorHAnsi"/>
          <w:bCs/>
          <w:color w:val="000000"/>
          <w:sz w:val="24"/>
          <w:szCs w:val="24"/>
          <w:lang w:val="ru-MD"/>
        </w:rPr>
        <w:t xml:space="preserve"> услуг по оценке/переоценке одних и тех же земель</w:t>
      </w:r>
      <w:r w:rsidR="005E0E3A" w:rsidRPr="00A21A6B">
        <w:rPr>
          <w:rFonts w:asciiTheme="majorHAnsi" w:hAnsiTheme="majorHAnsi" w:cstheme="majorHAnsi"/>
          <w:bCs/>
          <w:color w:val="000000"/>
          <w:sz w:val="24"/>
          <w:szCs w:val="24"/>
          <w:lang w:val="ru-MD"/>
        </w:rPr>
        <w:t>ных участков</w:t>
      </w:r>
      <w:r w:rsidR="00562715" w:rsidRPr="00A21A6B">
        <w:rPr>
          <w:rFonts w:asciiTheme="majorHAnsi" w:hAnsiTheme="majorHAnsi" w:cstheme="majorHAnsi"/>
          <w:bCs/>
          <w:color w:val="000000"/>
          <w:sz w:val="24"/>
          <w:szCs w:val="24"/>
          <w:lang w:val="ru-MD"/>
        </w:rPr>
        <w:t xml:space="preserve"> различными государственными структурами, или </w:t>
      </w:r>
      <w:r w:rsidR="005E0E3A" w:rsidRPr="00A21A6B">
        <w:rPr>
          <w:rFonts w:asciiTheme="majorHAnsi" w:hAnsiTheme="majorHAnsi" w:cstheme="majorHAnsi"/>
          <w:bCs/>
          <w:color w:val="000000"/>
          <w:sz w:val="24"/>
          <w:szCs w:val="24"/>
          <w:lang w:val="ru-MD"/>
        </w:rPr>
        <w:t xml:space="preserve">же </w:t>
      </w:r>
      <w:r w:rsidR="00562715" w:rsidRPr="00A21A6B">
        <w:rPr>
          <w:rFonts w:asciiTheme="majorHAnsi" w:hAnsiTheme="majorHAnsi" w:cstheme="majorHAnsi"/>
          <w:bCs/>
          <w:color w:val="000000"/>
          <w:sz w:val="24"/>
          <w:szCs w:val="24"/>
          <w:lang w:val="ru-MD"/>
        </w:rPr>
        <w:t xml:space="preserve">стоимость </w:t>
      </w:r>
      <w:r w:rsidR="005E0E3A" w:rsidRPr="00A21A6B">
        <w:rPr>
          <w:rFonts w:asciiTheme="majorHAnsi" w:hAnsiTheme="majorHAnsi" w:cstheme="majorHAnsi"/>
          <w:bCs/>
          <w:color w:val="000000"/>
          <w:sz w:val="24"/>
          <w:szCs w:val="24"/>
          <w:lang w:val="ru-MD"/>
        </w:rPr>
        <w:t>земельных участков</w:t>
      </w:r>
      <w:r w:rsidR="00562715" w:rsidRPr="00A21A6B">
        <w:rPr>
          <w:rFonts w:asciiTheme="majorHAnsi" w:hAnsiTheme="majorHAnsi" w:cstheme="majorHAnsi"/>
          <w:bCs/>
          <w:color w:val="000000"/>
          <w:sz w:val="24"/>
          <w:szCs w:val="24"/>
          <w:lang w:val="ru-MD"/>
        </w:rPr>
        <w:t xml:space="preserve"> будет постоянно </w:t>
      </w:r>
      <w:r w:rsidR="005E0E3A" w:rsidRPr="00A21A6B">
        <w:rPr>
          <w:rFonts w:asciiTheme="majorHAnsi" w:hAnsiTheme="majorHAnsi" w:cstheme="majorHAnsi"/>
          <w:bCs/>
          <w:color w:val="000000"/>
          <w:sz w:val="24"/>
          <w:szCs w:val="24"/>
          <w:lang w:val="ru-MD"/>
        </w:rPr>
        <w:t>заниж</w:t>
      </w:r>
      <w:r w:rsidR="00562715" w:rsidRPr="00A21A6B">
        <w:rPr>
          <w:rFonts w:asciiTheme="majorHAnsi" w:hAnsiTheme="majorHAnsi" w:cstheme="majorHAnsi"/>
          <w:bCs/>
          <w:color w:val="000000"/>
          <w:sz w:val="24"/>
          <w:szCs w:val="24"/>
          <w:lang w:val="ru-MD"/>
        </w:rPr>
        <w:t xml:space="preserve">ена, </w:t>
      </w:r>
      <w:r w:rsidR="005E0E3A" w:rsidRPr="00A21A6B">
        <w:rPr>
          <w:rFonts w:asciiTheme="majorHAnsi" w:hAnsiTheme="majorHAnsi" w:cstheme="majorHAnsi"/>
          <w:bCs/>
          <w:color w:val="000000"/>
          <w:sz w:val="24"/>
          <w:szCs w:val="24"/>
          <w:lang w:val="ru-MD"/>
        </w:rPr>
        <w:t xml:space="preserve">в случае </w:t>
      </w:r>
      <w:r w:rsidR="00562715" w:rsidRPr="00A21A6B">
        <w:rPr>
          <w:rFonts w:asciiTheme="majorHAnsi" w:hAnsiTheme="majorHAnsi" w:cstheme="majorHAnsi"/>
          <w:bCs/>
          <w:color w:val="000000"/>
          <w:sz w:val="24"/>
          <w:szCs w:val="24"/>
          <w:lang w:val="ru-MD"/>
        </w:rPr>
        <w:t xml:space="preserve">если </w:t>
      </w:r>
      <w:r w:rsidR="005E0E3A" w:rsidRPr="00A21A6B">
        <w:rPr>
          <w:rFonts w:asciiTheme="majorHAnsi" w:hAnsiTheme="majorHAnsi" w:cstheme="majorHAnsi"/>
          <w:bCs/>
          <w:color w:val="000000"/>
          <w:sz w:val="24"/>
          <w:szCs w:val="24"/>
          <w:lang w:val="ru-MD"/>
        </w:rPr>
        <w:t>АПС</w:t>
      </w:r>
      <w:r w:rsidR="00562715" w:rsidRPr="00A21A6B">
        <w:rPr>
          <w:rFonts w:asciiTheme="majorHAnsi" w:hAnsiTheme="majorHAnsi" w:cstheme="majorHAnsi"/>
          <w:bCs/>
          <w:color w:val="000000"/>
          <w:sz w:val="24"/>
          <w:szCs w:val="24"/>
          <w:lang w:val="ru-MD"/>
        </w:rPr>
        <w:t xml:space="preserve"> будет учитывать их по нормативной цене</w:t>
      </w:r>
      <w:r w:rsidRPr="00A21A6B">
        <w:rPr>
          <w:rFonts w:asciiTheme="majorHAnsi" w:hAnsiTheme="majorHAnsi" w:cstheme="majorHAnsi"/>
          <w:bCs/>
          <w:color w:val="000000"/>
          <w:sz w:val="24"/>
          <w:szCs w:val="24"/>
          <w:lang w:val="ru-MD"/>
        </w:rPr>
        <w:t>.</w:t>
      </w:r>
    </w:p>
    <w:p w:rsidR="00F40961" w:rsidRPr="00A21A6B" w:rsidRDefault="00562715"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Таким образом, механизм приема-передачи, </w:t>
      </w:r>
      <w:r w:rsidR="001F25D2" w:rsidRPr="00A21A6B">
        <w:rPr>
          <w:rFonts w:asciiTheme="majorHAnsi" w:hAnsiTheme="majorHAnsi" w:cstheme="majorHAnsi"/>
          <w:sz w:val="24"/>
          <w:szCs w:val="24"/>
          <w:lang w:val="ru-MD"/>
        </w:rPr>
        <w:t>установле</w:t>
      </w:r>
      <w:r w:rsidRPr="00A21A6B">
        <w:rPr>
          <w:rFonts w:asciiTheme="majorHAnsi" w:hAnsiTheme="majorHAnsi" w:cstheme="majorHAnsi"/>
          <w:sz w:val="24"/>
          <w:szCs w:val="24"/>
          <w:lang w:val="ru-MD"/>
        </w:rPr>
        <w:t xml:space="preserve">нный </w:t>
      </w:r>
      <w:r w:rsidR="001F25D2"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является </w:t>
      </w:r>
      <w:r w:rsidR="001F25D2" w:rsidRPr="00A21A6B">
        <w:rPr>
          <w:rFonts w:asciiTheme="majorHAnsi" w:hAnsiTheme="majorHAnsi" w:cstheme="majorHAnsi"/>
          <w:sz w:val="24"/>
          <w:szCs w:val="24"/>
          <w:lang w:val="ru-MD"/>
        </w:rPr>
        <w:t>неэффектив</w:t>
      </w:r>
      <w:r w:rsidRPr="00A21A6B">
        <w:rPr>
          <w:rFonts w:asciiTheme="majorHAnsi" w:hAnsiTheme="majorHAnsi" w:cstheme="majorHAnsi"/>
          <w:sz w:val="24"/>
          <w:szCs w:val="24"/>
          <w:lang w:val="ru-MD"/>
        </w:rPr>
        <w:t xml:space="preserve">ным, </w:t>
      </w:r>
      <w:r w:rsidR="001F25D2" w:rsidRPr="00A21A6B">
        <w:rPr>
          <w:rFonts w:asciiTheme="majorHAnsi" w:hAnsiTheme="majorHAnsi" w:cstheme="majorHAnsi"/>
          <w:sz w:val="24"/>
          <w:szCs w:val="24"/>
          <w:lang w:val="ru-MD"/>
        </w:rPr>
        <w:t>и</w:t>
      </w:r>
      <w:r w:rsidRPr="00A21A6B">
        <w:rPr>
          <w:rFonts w:asciiTheme="majorHAnsi" w:hAnsiTheme="majorHAnsi" w:cstheme="majorHAnsi"/>
          <w:sz w:val="24"/>
          <w:szCs w:val="24"/>
          <w:lang w:val="ru-MD"/>
        </w:rPr>
        <w:t xml:space="preserve">, как следствие, приводит к ошибочному представлению имущественных ситуаций и стоимости земли. В этих условиях не исключено, что земельные участки, </w:t>
      </w:r>
      <w:r w:rsidR="001F25D2" w:rsidRPr="00A21A6B">
        <w:rPr>
          <w:rFonts w:asciiTheme="majorHAnsi" w:hAnsiTheme="majorHAnsi" w:cstheme="majorHAnsi"/>
          <w:sz w:val="24"/>
          <w:szCs w:val="24"/>
          <w:lang w:val="ru-MD"/>
        </w:rPr>
        <w:t>администратором</w:t>
      </w:r>
      <w:r w:rsidRPr="00A21A6B">
        <w:rPr>
          <w:rFonts w:asciiTheme="majorHAnsi" w:hAnsiTheme="majorHAnsi" w:cstheme="majorHAnsi"/>
          <w:sz w:val="24"/>
          <w:szCs w:val="24"/>
          <w:lang w:val="ru-MD"/>
        </w:rPr>
        <w:t xml:space="preserve"> которых, согласно </w:t>
      </w:r>
      <w:r w:rsidR="001F25D2"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ри</w:t>
      </w:r>
      <w:r w:rsidR="001F25D2" w:rsidRPr="00A21A6B">
        <w:rPr>
          <w:rFonts w:asciiTheme="majorHAnsi" w:hAnsiTheme="majorHAnsi" w:cstheme="majorHAnsi"/>
          <w:sz w:val="24"/>
          <w:szCs w:val="24"/>
          <w:lang w:val="ru-MD"/>
        </w:rPr>
        <w:t>ложени</w:t>
      </w:r>
      <w:r w:rsidR="00EB0F3F">
        <w:rPr>
          <w:rFonts w:asciiTheme="majorHAnsi" w:hAnsiTheme="majorHAnsi" w:cstheme="majorHAnsi"/>
          <w:sz w:val="24"/>
          <w:szCs w:val="24"/>
          <w:lang w:val="ru-MD"/>
        </w:rPr>
        <w:t>й</w:t>
      </w:r>
      <w:r w:rsidRPr="00A21A6B">
        <w:rPr>
          <w:rFonts w:asciiTheme="majorHAnsi" w:hAnsiTheme="majorHAnsi" w:cstheme="majorHAnsi"/>
          <w:sz w:val="24"/>
          <w:szCs w:val="24"/>
          <w:lang w:val="ru-MD"/>
        </w:rPr>
        <w:t xml:space="preserve"> к </w:t>
      </w:r>
      <w:r w:rsidR="001F25D2" w:rsidRPr="00A21A6B">
        <w:rPr>
          <w:rFonts w:asciiTheme="majorHAnsi" w:hAnsiTheme="majorHAnsi" w:cstheme="majorHAnsi"/>
          <w:sz w:val="24"/>
          <w:szCs w:val="24"/>
          <w:lang w:val="ru-MD"/>
        </w:rPr>
        <w:t>ПП №</w:t>
      </w:r>
      <w:r w:rsidRPr="00A21A6B">
        <w:rPr>
          <w:rFonts w:asciiTheme="majorHAnsi" w:hAnsiTheme="majorHAnsi" w:cstheme="majorHAnsi"/>
          <w:sz w:val="24"/>
          <w:szCs w:val="24"/>
          <w:lang w:val="ru-MD"/>
        </w:rPr>
        <w:t xml:space="preserve">161/2019, </w:t>
      </w:r>
      <w:r w:rsidR="001F25D2" w:rsidRPr="00A21A6B">
        <w:rPr>
          <w:rFonts w:asciiTheme="majorHAnsi" w:hAnsiTheme="majorHAnsi" w:cstheme="majorHAnsi"/>
          <w:sz w:val="24"/>
          <w:szCs w:val="24"/>
          <w:lang w:val="ru-MD"/>
        </w:rPr>
        <w:t>является АПС,</w:t>
      </w:r>
      <w:r w:rsidRPr="00A21A6B">
        <w:rPr>
          <w:rFonts w:asciiTheme="majorHAnsi" w:hAnsiTheme="majorHAnsi" w:cstheme="majorHAnsi"/>
          <w:sz w:val="24"/>
          <w:szCs w:val="24"/>
          <w:lang w:val="ru-MD"/>
        </w:rPr>
        <w:t xml:space="preserve"> буд</w:t>
      </w:r>
      <w:r w:rsidR="001F25D2" w:rsidRPr="00A21A6B">
        <w:rPr>
          <w:rFonts w:asciiTheme="majorHAnsi" w:hAnsiTheme="majorHAnsi" w:cstheme="majorHAnsi"/>
          <w:sz w:val="24"/>
          <w:szCs w:val="24"/>
          <w:lang w:val="ru-MD"/>
        </w:rPr>
        <w:t>у</w:t>
      </w:r>
      <w:r w:rsidRPr="00A21A6B">
        <w:rPr>
          <w:rFonts w:asciiTheme="majorHAnsi" w:hAnsiTheme="majorHAnsi" w:cstheme="majorHAnsi"/>
          <w:sz w:val="24"/>
          <w:szCs w:val="24"/>
          <w:lang w:val="ru-MD"/>
        </w:rPr>
        <w:t>т исключен</w:t>
      </w:r>
      <w:r w:rsidR="001F25D2"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w:t>
      </w:r>
      <w:r w:rsidR="001F25D2" w:rsidRPr="00A21A6B">
        <w:rPr>
          <w:rFonts w:asciiTheme="majorHAnsi" w:hAnsiTheme="majorHAnsi" w:cstheme="majorHAnsi"/>
          <w:sz w:val="24"/>
          <w:szCs w:val="24"/>
          <w:lang w:val="ru-MD"/>
        </w:rPr>
        <w:t>ЦПО</w:t>
      </w:r>
      <w:r w:rsidRPr="00A21A6B">
        <w:rPr>
          <w:rFonts w:asciiTheme="majorHAnsi" w:hAnsiTheme="majorHAnsi" w:cstheme="majorHAnsi"/>
          <w:sz w:val="24"/>
          <w:szCs w:val="24"/>
          <w:lang w:val="ru-MD"/>
        </w:rPr>
        <w:t xml:space="preserve"> из бухгалтерского учета в одностороннем порядке, не </w:t>
      </w:r>
      <w:r w:rsidR="001F25D2" w:rsidRPr="00A21A6B">
        <w:rPr>
          <w:rFonts w:asciiTheme="majorHAnsi" w:hAnsiTheme="majorHAnsi" w:cstheme="majorHAnsi"/>
          <w:sz w:val="24"/>
          <w:szCs w:val="24"/>
          <w:lang w:val="ru-MD"/>
        </w:rPr>
        <w:t xml:space="preserve">будучи зарегистрированы в </w:t>
      </w:r>
      <w:r w:rsidRPr="00A21A6B">
        <w:rPr>
          <w:rFonts w:asciiTheme="majorHAnsi" w:hAnsiTheme="majorHAnsi" w:cstheme="majorHAnsi"/>
          <w:sz w:val="24"/>
          <w:szCs w:val="24"/>
          <w:lang w:val="ru-MD"/>
        </w:rPr>
        <w:t>уч</w:t>
      </w:r>
      <w:r w:rsidR="001F25D2" w:rsidRPr="00A21A6B">
        <w:rPr>
          <w:rFonts w:asciiTheme="majorHAnsi" w:hAnsiTheme="majorHAnsi" w:cstheme="majorHAnsi"/>
          <w:sz w:val="24"/>
          <w:szCs w:val="24"/>
          <w:lang w:val="ru-MD"/>
        </w:rPr>
        <w:t>ете АПС</w:t>
      </w:r>
      <w:r w:rsidRPr="00A21A6B">
        <w:rPr>
          <w:rFonts w:asciiTheme="majorHAnsi" w:hAnsiTheme="majorHAnsi" w:cstheme="majorHAnsi"/>
          <w:sz w:val="24"/>
          <w:szCs w:val="24"/>
          <w:lang w:val="ru-MD"/>
        </w:rPr>
        <w:t xml:space="preserve">. </w:t>
      </w:r>
      <w:r w:rsidR="001F25D2" w:rsidRPr="00A21A6B">
        <w:rPr>
          <w:rFonts w:asciiTheme="majorHAnsi" w:hAnsiTheme="majorHAnsi" w:cstheme="majorHAnsi"/>
          <w:sz w:val="24"/>
          <w:szCs w:val="24"/>
          <w:lang w:val="ru-MD"/>
        </w:rPr>
        <w:t>Одновременно</w:t>
      </w:r>
      <w:r w:rsidRPr="00A21A6B">
        <w:rPr>
          <w:rFonts w:asciiTheme="majorHAnsi" w:hAnsiTheme="majorHAnsi" w:cstheme="majorHAnsi"/>
          <w:sz w:val="24"/>
          <w:szCs w:val="24"/>
          <w:lang w:val="ru-MD"/>
        </w:rPr>
        <w:t xml:space="preserve">, обращаем внимание, что при </w:t>
      </w:r>
      <w:r w:rsidR="001F25D2" w:rsidRPr="00A21A6B">
        <w:rPr>
          <w:rFonts w:asciiTheme="majorHAnsi" w:hAnsiTheme="majorHAnsi" w:cstheme="majorHAnsi"/>
          <w:sz w:val="24"/>
          <w:szCs w:val="24"/>
          <w:lang w:val="ru-MD"/>
        </w:rPr>
        <w:t xml:space="preserve">регистрации в </w:t>
      </w:r>
      <w:r w:rsidRPr="00A21A6B">
        <w:rPr>
          <w:rFonts w:asciiTheme="majorHAnsi" w:hAnsiTheme="majorHAnsi" w:cstheme="majorHAnsi"/>
          <w:sz w:val="24"/>
          <w:szCs w:val="24"/>
          <w:lang w:val="ru-MD"/>
        </w:rPr>
        <w:t xml:space="preserve">учете земельных участков </w:t>
      </w:r>
      <w:r w:rsidR="001F25D2"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исходя из положений приказа, изданного </w:t>
      </w:r>
      <w:r w:rsidR="0052742A" w:rsidRPr="00A21A6B">
        <w:rPr>
          <w:rFonts w:asciiTheme="majorHAnsi" w:hAnsiTheme="majorHAnsi" w:cstheme="majorHAnsi"/>
          <w:sz w:val="24"/>
          <w:szCs w:val="24"/>
          <w:lang w:val="ru-MD"/>
        </w:rPr>
        <w:t>АПС</w:t>
      </w:r>
      <w:r w:rsidRPr="00A21A6B">
        <w:rPr>
          <w:rFonts w:asciiTheme="majorHAnsi" w:hAnsiTheme="majorHAnsi" w:cstheme="majorHAnsi"/>
          <w:sz w:val="24"/>
          <w:szCs w:val="24"/>
          <w:lang w:val="ru-MD"/>
        </w:rPr>
        <w:t xml:space="preserve"> (нормативная цена), </w:t>
      </w:r>
      <w:r w:rsidR="001F25D2" w:rsidRPr="00A21A6B">
        <w:rPr>
          <w:rFonts w:asciiTheme="majorHAnsi" w:hAnsiTheme="majorHAnsi" w:cstheme="majorHAnsi"/>
          <w:sz w:val="24"/>
          <w:szCs w:val="24"/>
          <w:lang w:val="ru-MD"/>
        </w:rPr>
        <w:t xml:space="preserve">не будут применяться </w:t>
      </w:r>
      <w:r w:rsidRPr="00A21A6B">
        <w:rPr>
          <w:rFonts w:asciiTheme="majorHAnsi" w:hAnsiTheme="majorHAnsi" w:cstheme="majorHAnsi"/>
          <w:sz w:val="24"/>
          <w:szCs w:val="24"/>
          <w:lang w:val="ru-MD"/>
        </w:rPr>
        <w:t xml:space="preserve">положения </w:t>
      </w:r>
      <w:r w:rsidR="0052742A" w:rsidRPr="00A21A6B">
        <w:rPr>
          <w:rFonts w:asciiTheme="majorHAnsi" w:hAnsiTheme="majorHAnsi" w:cstheme="majorHAnsi"/>
          <w:sz w:val="24"/>
          <w:szCs w:val="24"/>
          <w:lang w:val="ru-MD"/>
        </w:rPr>
        <w:t>п</w:t>
      </w:r>
      <w:r w:rsidR="001F25D2"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1.4.5.1. (оценка) и </w:t>
      </w:r>
      <w:r w:rsidR="0052742A"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 xml:space="preserve">.1.4.5.2. (переоценка) </w:t>
      </w:r>
      <w:r w:rsidR="001F25D2" w:rsidRPr="00A21A6B">
        <w:rPr>
          <w:rFonts w:asciiTheme="majorHAnsi" w:hAnsiTheme="majorHAnsi" w:cstheme="majorHAnsi"/>
          <w:sz w:val="24"/>
          <w:szCs w:val="24"/>
          <w:lang w:val="ru-MD"/>
        </w:rPr>
        <w:t>Приказа Министра финансов №</w:t>
      </w:r>
      <w:r w:rsidRPr="00A21A6B">
        <w:rPr>
          <w:rFonts w:asciiTheme="majorHAnsi" w:hAnsiTheme="majorHAnsi" w:cstheme="majorHAnsi"/>
          <w:sz w:val="24"/>
          <w:szCs w:val="24"/>
          <w:lang w:val="ru-MD"/>
        </w:rPr>
        <w:t>216/2015</w:t>
      </w:r>
      <w:r w:rsidR="00F40961" w:rsidRPr="00A21A6B">
        <w:rPr>
          <w:rFonts w:asciiTheme="majorHAnsi" w:hAnsiTheme="majorHAnsi" w:cstheme="majorHAnsi"/>
          <w:sz w:val="24"/>
          <w:szCs w:val="24"/>
          <w:lang w:val="ru-MD"/>
        </w:rPr>
        <w:t>.</w:t>
      </w:r>
    </w:p>
    <w:p w:rsidR="00C96C43" w:rsidRPr="00A21A6B" w:rsidRDefault="00F40961"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b/>
          <w:sz w:val="24"/>
          <w:szCs w:val="24"/>
          <w:lang w:val="ru-MD"/>
        </w:rPr>
        <w:t>(iv)</w:t>
      </w:r>
      <w:r w:rsidRPr="00A21A6B">
        <w:rPr>
          <w:rFonts w:asciiTheme="majorHAnsi" w:hAnsiTheme="majorHAnsi" w:cstheme="majorHAnsi"/>
          <w:sz w:val="24"/>
          <w:szCs w:val="24"/>
          <w:lang w:val="ru-MD"/>
        </w:rPr>
        <w:t xml:space="preserve">  </w:t>
      </w:r>
      <w:r w:rsidR="00562715" w:rsidRPr="00A21A6B">
        <w:rPr>
          <w:rFonts w:asciiTheme="majorHAnsi" w:hAnsiTheme="majorHAnsi" w:cstheme="majorHAnsi"/>
          <w:sz w:val="24"/>
          <w:szCs w:val="24"/>
          <w:lang w:val="ru-MD"/>
        </w:rPr>
        <w:t xml:space="preserve">Следует отметить, что </w:t>
      </w:r>
      <w:r w:rsidR="00592BC8" w:rsidRPr="00A21A6B">
        <w:rPr>
          <w:rFonts w:asciiTheme="majorHAnsi" w:hAnsiTheme="majorHAnsi" w:cstheme="majorHAnsi"/>
          <w:sz w:val="24"/>
          <w:szCs w:val="24"/>
          <w:lang w:val="ru-MD"/>
        </w:rPr>
        <w:t>договор</w:t>
      </w:r>
      <w:r w:rsidR="00562715" w:rsidRPr="00A21A6B">
        <w:rPr>
          <w:rFonts w:asciiTheme="majorHAnsi" w:hAnsiTheme="majorHAnsi" w:cstheme="majorHAnsi"/>
          <w:sz w:val="24"/>
          <w:szCs w:val="24"/>
          <w:lang w:val="ru-MD"/>
        </w:rPr>
        <w:t xml:space="preserve">ы </w:t>
      </w:r>
      <w:r w:rsidR="00592BC8" w:rsidRPr="00A21A6B">
        <w:rPr>
          <w:rFonts w:asciiTheme="majorHAnsi" w:hAnsiTheme="majorHAnsi" w:cstheme="majorHAnsi"/>
          <w:sz w:val="24"/>
          <w:szCs w:val="24"/>
          <w:lang w:val="ru-MD"/>
        </w:rPr>
        <w:t>безвозмездного пользования</w:t>
      </w:r>
      <w:r w:rsidR="00562715" w:rsidRPr="00A21A6B">
        <w:rPr>
          <w:rFonts w:asciiTheme="majorHAnsi" w:hAnsiTheme="majorHAnsi" w:cstheme="majorHAnsi"/>
          <w:sz w:val="24"/>
          <w:szCs w:val="24"/>
          <w:lang w:val="ru-MD"/>
        </w:rPr>
        <w:t xml:space="preserve"> не были представлены </w:t>
      </w:r>
      <w:r w:rsidR="00B6522A" w:rsidRPr="00A21A6B">
        <w:rPr>
          <w:rFonts w:asciiTheme="majorHAnsi" w:hAnsiTheme="majorHAnsi" w:cstheme="majorHAnsi"/>
          <w:sz w:val="24"/>
          <w:szCs w:val="24"/>
          <w:lang w:val="ru-MD"/>
        </w:rPr>
        <w:t xml:space="preserve">в </w:t>
      </w:r>
      <w:r w:rsidR="00562715" w:rsidRPr="00A21A6B">
        <w:rPr>
          <w:rFonts w:asciiTheme="majorHAnsi" w:hAnsiTheme="majorHAnsi" w:cstheme="majorHAnsi"/>
          <w:sz w:val="24"/>
          <w:szCs w:val="24"/>
          <w:lang w:val="ru-MD"/>
        </w:rPr>
        <w:t>бухгалтер</w:t>
      </w:r>
      <w:r w:rsidR="00B6522A" w:rsidRPr="00A21A6B">
        <w:rPr>
          <w:rFonts w:asciiTheme="majorHAnsi" w:hAnsiTheme="majorHAnsi" w:cstheme="majorHAnsi"/>
          <w:sz w:val="24"/>
          <w:szCs w:val="24"/>
          <w:lang w:val="ru-MD"/>
        </w:rPr>
        <w:t>ию АПС</w:t>
      </w:r>
      <w:r w:rsidR="00562715" w:rsidRPr="00A21A6B">
        <w:rPr>
          <w:rFonts w:asciiTheme="majorHAnsi" w:hAnsiTheme="majorHAnsi" w:cstheme="majorHAnsi"/>
          <w:sz w:val="24"/>
          <w:szCs w:val="24"/>
          <w:lang w:val="ru-MD"/>
        </w:rPr>
        <w:t xml:space="preserve">, чтобы служить основанием для </w:t>
      </w:r>
      <w:r w:rsidR="00B6522A" w:rsidRPr="00A21A6B">
        <w:rPr>
          <w:rFonts w:asciiTheme="majorHAnsi" w:hAnsiTheme="majorHAnsi" w:cstheme="majorHAnsi"/>
          <w:sz w:val="24"/>
          <w:szCs w:val="24"/>
          <w:lang w:val="ru-MD"/>
        </w:rPr>
        <w:t xml:space="preserve">их </w:t>
      </w:r>
      <w:r w:rsidR="00DF5321">
        <w:rPr>
          <w:rFonts w:asciiTheme="majorHAnsi" w:hAnsiTheme="majorHAnsi" w:cstheme="majorHAnsi"/>
          <w:sz w:val="24"/>
          <w:szCs w:val="24"/>
          <w:lang w:val="ru-MD"/>
        </w:rPr>
        <w:t>регистрации</w:t>
      </w:r>
      <w:r w:rsidR="00562715" w:rsidRPr="00A21A6B">
        <w:rPr>
          <w:rFonts w:asciiTheme="majorHAnsi" w:hAnsiTheme="majorHAnsi" w:cstheme="majorHAnsi"/>
          <w:sz w:val="24"/>
          <w:szCs w:val="24"/>
          <w:lang w:val="ru-MD"/>
        </w:rPr>
        <w:t xml:space="preserve"> на счете 415300 </w:t>
      </w:r>
      <w:r w:rsidR="00B6522A" w:rsidRPr="00A21A6B">
        <w:rPr>
          <w:rFonts w:asciiTheme="majorHAnsi" w:hAnsiTheme="majorHAnsi" w:cstheme="majorHAnsi"/>
          <w:sz w:val="24"/>
          <w:szCs w:val="24"/>
          <w:lang w:val="ru-MD"/>
        </w:rPr>
        <w:t>„И</w:t>
      </w:r>
      <w:r w:rsidR="00562715" w:rsidRPr="00A21A6B">
        <w:rPr>
          <w:rFonts w:asciiTheme="majorHAnsi" w:hAnsiTheme="majorHAnsi" w:cstheme="majorHAnsi"/>
          <w:sz w:val="24"/>
          <w:szCs w:val="24"/>
          <w:lang w:val="ru-MD"/>
        </w:rPr>
        <w:t xml:space="preserve">нвестиции в связанные и несвязанные </w:t>
      </w:r>
      <w:r w:rsidR="00B6522A" w:rsidRPr="00A21A6B">
        <w:rPr>
          <w:rFonts w:asciiTheme="majorHAnsi" w:hAnsiTheme="majorHAnsi" w:cstheme="majorHAnsi"/>
          <w:sz w:val="24"/>
          <w:szCs w:val="24"/>
          <w:lang w:val="ru-MD"/>
        </w:rPr>
        <w:t>стороны”</w:t>
      </w:r>
      <w:r w:rsidR="00562715" w:rsidRPr="00A21A6B">
        <w:rPr>
          <w:rFonts w:asciiTheme="majorHAnsi" w:hAnsiTheme="majorHAnsi" w:cstheme="majorHAnsi"/>
          <w:sz w:val="24"/>
          <w:szCs w:val="24"/>
          <w:lang w:val="ru-MD"/>
        </w:rPr>
        <w:t xml:space="preserve">. Таким образом, отмечается отсутствие </w:t>
      </w:r>
      <w:r w:rsidR="00B6522A" w:rsidRPr="00A21A6B">
        <w:rPr>
          <w:rFonts w:asciiTheme="majorHAnsi" w:hAnsiTheme="majorHAnsi" w:cstheme="majorHAnsi"/>
          <w:sz w:val="24"/>
          <w:szCs w:val="24"/>
          <w:lang w:val="ru-MD"/>
        </w:rPr>
        <w:t>внутренней коммуникации</w:t>
      </w:r>
      <w:r w:rsidR="00562715" w:rsidRPr="00A21A6B">
        <w:rPr>
          <w:rFonts w:asciiTheme="majorHAnsi" w:hAnsiTheme="majorHAnsi" w:cstheme="majorHAnsi"/>
          <w:sz w:val="24"/>
          <w:szCs w:val="24"/>
          <w:lang w:val="ru-MD"/>
        </w:rPr>
        <w:t xml:space="preserve"> в рамках </w:t>
      </w:r>
      <w:r w:rsidR="00B6522A" w:rsidRPr="00A21A6B">
        <w:rPr>
          <w:rFonts w:asciiTheme="majorHAnsi" w:hAnsiTheme="majorHAnsi" w:cstheme="majorHAnsi"/>
          <w:sz w:val="24"/>
          <w:szCs w:val="24"/>
          <w:lang w:val="ru-MD"/>
        </w:rPr>
        <w:t>АПС</w:t>
      </w:r>
      <w:r w:rsidR="00562715" w:rsidRPr="00A21A6B">
        <w:rPr>
          <w:rFonts w:asciiTheme="majorHAnsi" w:hAnsiTheme="majorHAnsi" w:cstheme="majorHAnsi"/>
          <w:sz w:val="24"/>
          <w:szCs w:val="24"/>
          <w:lang w:val="ru-MD"/>
        </w:rPr>
        <w:t xml:space="preserve"> между различными структурами, участвующими в реформе </w:t>
      </w:r>
      <w:r w:rsidR="0052742A" w:rsidRPr="00A21A6B">
        <w:rPr>
          <w:rFonts w:asciiTheme="majorHAnsi" w:hAnsiTheme="majorHAnsi" w:cstheme="majorHAnsi"/>
          <w:sz w:val="24"/>
          <w:szCs w:val="24"/>
          <w:lang w:val="ru-MD"/>
        </w:rPr>
        <w:t xml:space="preserve">управления земельными участками публичной собственности </w:t>
      </w:r>
      <w:r w:rsidR="00562715" w:rsidRPr="00A21A6B">
        <w:rPr>
          <w:rFonts w:asciiTheme="majorHAnsi" w:hAnsiTheme="majorHAnsi" w:cstheme="majorHAnsi"/>
          <w:sz w:val="24"/>
          <w:szCs w:val="24"/>
          <w:lang w:val="ru-MD"/>
        </w:rPr>
        <w:t>государств</w:t>
      </w:r>
      <w:r w:rsidR="0052742A"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w:t>
      </w:r>
      <w:r w:rsidR="00C96C43" w:rsidRPr="00A21A6B">
        <w:rPr>
          <w:rFonts w:asciiTheme="majorHAnsi" w:hAnsiTheme="majorHAnsi" w:cstheme="majorHAnsi"/>
          <w:sz w:val="24"/>
          <w:szCs w:val="24"/>
          <w:lang w:val="ru-MD"/>
        </w:rPr>
        <w:br w:type="page"/>
      </w:r>
    </w:p>
    <w:p w:rsidR="00F40961" w:rsidRPr="00A21A6B" w:rsidRDefault="00C96C43" w:rsidP="00F40961">
      <w:pPr>
        <w:spacing w:after="0" w:line="276" w:lineRule="auto"/>
        <w:jc w:val="right"/>
        <w:rPr>
          <w:rFonts w:asciiTheme="majorHAnsi" w:eastAsia="Times New Roman" w:hAnsiTheme="majorHAnsi" w:cstheme="majorHAnsi"/>
          <w:b/>
          <w:bCs/>
          <w:sz w:val="24"/>
          <w:szCs w:val="24"/>
          <w:lang w:val="ru-MD"/>
        </w:rPr>
      </w:pPr>
      <w:r w:rsidRPr="00A21A6B">
        <w:rPr>
          <w:rFonts w:asciiTheme="majorHAnsi" w:eastAsia="Times New Roman" w:hAnsiTheme="majorHAnsi" w:cstheme="majorHAnsi"/>
          <w:b/>
          <w:bCs/>
          <w:sz w:val="24"/>
          <w:szCs w:val="24"/>
          <w:lang w:val="ru-MD"/>
        </w:rPr>
        <w:t>Приложение №</w:t>
      </w:r>
      <w:r w:rsidR="00F40961" w:rsidRPr="00A21A6B">
        <w:rPr>
          <w:rFonts w:asciiTheme="majorHAnsi" w:eastAsia="Times New Roman" w:hAnsiTheme="majorHAnsi" w:cstheme="majorHAnsi"/>
          <w:b/>
          <w:bCs/>
          <w:sz w:val="24"/>
          <w:szCs w:val="24"/>
          <w:lang w:val="ru-MD"/>
        </w:rPr>
        <w:t>4</w:t>
      </w:r>
    </w:p>
    <w:p w:rsidR="00F40961" w:rsidRPr="00A21A6B" w:rsidRDefault="00C96C43" w:rsidP="00F40961">
      <w:pPr>
        <w:ind w:firstLine="709"/>
        <w:jc w:val="center"/>
        <w:rPr>
          <w:rFonts w:asciiTheme="majorHAnsi" w:eastAsia="Times New Roman" w:hAnsiTheme="majorHAnsi" w:cstheme="majorHAnsi"/>
          <w:bCs/>
          <w:sz w:val="24"/>
          <w:szCs w:val="24"/>
          <w:lang w:val="ru-MD"/>
        </w:rPr>
      </w:pPr>
      <w:r w:rsidRPr="00A21A6B">
        <w:rPr>
          <w:rFonts w:asciiTheme="majorHAnsi" w:hAnsiTheme="majorHAnsi" w:cstheme="majorHAnsi"/>
          <w:b/>
          <w:sz w:val="24"/>
          <w:szCs w:val="24"/>
          <w:lang w:val="ru-MD"/>
        </w:rPr>
        <w:t xml:space="preserve">РАЗМЕРЫ ПЛАТЕЖЕЙ ПО СДАЧЕ В АРЕНДУ ЗЕМЕЛЬ ЛЕСНОГО ФОНДА </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Размер арендной платы земель лесного фонда для рекреационных и/или охотничьих целей утвержден ПП №187/2008 и составляет 315 леев/га для охотничьих целей и, соответственно, 19 092,37 леев/га для рекреационных целей</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Эти суммы включают и НДС, хотя </w:t>
      </w:r>
      <w:r w:rsidR="00F67B98"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гентство „Moldsilva” с 2021 года имеет статус </w:t>
      </w:r>
      <w:r w:rsidR="00F67B98" w:rsidRPr="00A21A6B">
        <w:rPr>
          <w:rFonts w:asciiTheme="majorHAnsi" w:hAnsiTheme="majorHAnsi" w:cstheme="majorHAnsi"/>
          <w:sz w:val="24"/>
          <w:szCs w:val="24"/>
          <w:lang w:val="ru-MD"/>
        </w:rPr>
        <w:t>публич</w:t>
      </w:r>
      <w:r w:rsidRPr="00A21A6B">
        <w:rPr>
          <w:rFonts w:asciiTheme="majorHAnsi" w:hAnsiTheme="majorHAnsi" w:cstheme="majorHAnsi"/>
          <w:sz w:val="24"/>
          <w:szCs w:val="24"/>
          <w:lang w:val="ru-MD"/>
        </w:rPr>
        <w:t>ного учрежд</w:t>
      </w:r>
      <w:r w:rsidR="00F67B98" w:rsidRPr="00A21A6B">
        <w:rPr>
          <w:rFonts w:asciiTheme="majorHAnsi" w:hAnsiTheme="majorHAnsi" w:cstheme="majorHAnsi"/>
          <w:sz w:val="24"/>
          <w:szCs w:val="24"/>
          <w:lang w:val="ru-MD"/>
        </w:rPr>
        <w:t>ения и, согласно положениям ст.</w:t>
      </w:r>
      <w:r w:rsidRPr="00A21A6B">
        <w:rPr>
          <w:rFonts w:asciiTheme="majorHAnsi" w:hAnsiTheme="majorHAnsi" w:cstheme="majorHAnsi"/>
          <w:sz w:val="24"/>
          <w:szCs w:val="24"/>
          <w:lang w:val="ru-MD"/>
        </w:rPr>
        <w:t xml:space="preserve">4 </w:t>
      </w:r>
      <w:r w:rsidR="00F67B98" w:rsidRPr="00A21A6B">
        <w:rPr>
          <w:rFonts w:asciiTheme="majorHAnsi" w:hAnsiTheme="majorHAnsi" w:cstheme="majorHAnsi"/>
          <w:sz w:val="24"/>
          <w:szCs w:val="24"/>
          <w:lang w:val="ru-MD"/>
        </w:rPr>
        <w:t>(20</w:t>
      </w:r>
      <w:r w:rsidR="00F67B98" w:rsidRPr="00A21A6B">
        <w:rPr>
          <w:rFonts w:asciiTheme="majorHAnsi" w:hAnsiTheme="majorHAnsi" w:cstheme="majorHAnsi"/>
          <w:sz w:val="24"/>
          <w:szCs w:val="24"/>
          <w:vertAlign w:val="superscript"/>
          <w:lang w:val="ru-MD"/>
        </w:rPr>
        <w:t>8</w:t>
      </w:r>
      <w:r w:rsidR="00F67B98" w:rsidRPr="00A21A6B">
        <w:rPr>
          <w:rFonts w:asciiTheme="majorHAnsi" w:hAnsiTheme="majorHAnsi" w:cstheme="majorHAnsi"/>
          <w:sz w:val="24"/>
          <w:szCs w:val="24"/>
          <w:lang w:val="ru-MD"/>
        </w:rPr>
        <w:t>) Закона №</w:t>
      </w:r>
      <w:r w:rsidRPr="00A21A6B">
        <w:rPr>
          <w:rFonts w:asciiTheme="majorHAnsi" w:hAnsiTheme="majorHAnsi" w:cstheme="majorHAnsi"/>
          <w:sz w:val="24"/>
          <w:szCs w:val="24"/>
          <w:lang w:val="ru-MD"/>
        </w:rPr>
        <w:t>1417/1997</w:t>
      </w:r>
      <w:r w:rsidR="00F67B98"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не является плательщиком НДС, что подтверждается </w:t>
      </w:r>
      <w:r w:rsidR="00F67B98" w:rsidRPr="00A21A6B">
        <w:rPr>
          <w:rFonts w:asciiTheme="majorHAnsi" w:hAnsiTheme="majorHAnsi" w:cstheme="majorHAnsi"/>
          <w:sz w:val="24"/>
          <w:szCs w:val="24"/>
          <w:lang w:val="ru-MD"/>
        </w:rPr>
        <w:t>Акт</w:t>
      </w:r>
      <w:r w:rsidRPr="00A21A6B">
        <w:rPr>
          <w:rFonts w:asciiTheme="majorHAnsi" w:hAnsiTheme="majorHAnsi" w:cstheme="majorHAnsi"/>
          <w:sz w:val="24"/>
          <w:szCs w:val="24"/>
          <w:lang w:val="ru-MD"/>
        </w:rPr>
        <w:t>ом, выданным Госу</w:t>
      </w:r>
      <w:r w:rsidR="00F67B98" w:rsidRPr="00A21A6B">
        <w:rPr>
          <w:rFonts w:asciiTheme="majorHAnsi" w:hAnsiTheme="majorHAnsi" w:cstheme="majorHAnsi"/>
          <w:sz w:val="24"/>
          <w:szCs w:val="24"/>
          <w:lang w:val="ru-MD"/>
        </w:rPr>
        <w:t>дарственной налоговой службой №</w:t>
      </w:r>
      <w:r w:rsidRPr="00A21A6B">
        <w:rPr>
          <w:rFonts w:asciiTheme="majorHAnsi" w:hAnsiTheme="majorHAnsi" w:cstheme="majorHAnsi"/>
          <w:sz w:val="24"/>
          <w:szCs w:val="24"/>
          <w:lang w:val="ru-MD"/>
        </w:rPr>
        <w:t xml:space="preserve">836572 от 28.02.2020, согласно которому Агентство </w:t>
      </w:r>
      <w:r w:rsidR="00F67B98" w:rsidRPr="00A21A6B">
        <w:rPr>
          <w:rFonts w:asciiTheme="majorHAnsi" w:hAnsiTheme="majorHAnsi" w:cstheme="majorHAnsi"/>
          <w:sz w:val="24"/>
          <w:szCs w:val="24"/>
          <w:lang w:val="ru-MD"/>
        </w:rPr>
        <w:t>„Moldsilva”</w:t>
      </w:r>
      <w:r w:rsidRPr="00A21A6B">
        <w:rPr>
          <w:rFonts w:asciiTheme="majorHAnsi" w:hAnsiTheme="majorHAnsi" w:cstheme="majorHAnsi"/>
          <w:sz w:val="24"/>
          <w:szCs w:val="24"/>
          <w:lang w:val="ru-MD"/>
        </w:rPr>
        <w:t xml:space="preserve"> больше не отвечает требованиям субъекта налогообложения НДС</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Такая ситуация обусловлена тем, что до 2010 года </w:t>
      </w:r>
      <w:r w:rsidR="00C0625F"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гентство имело статус государственного учреждения на </w:t>
      </w:r>
      <w:r w:rsidR="00C0625F" w:rsidRPr="00A21A6B">
        <w:rPr>
          <w:rFonts w:asciiTheme="majorHAnsi" w:hAnsiTheme="majorHAnsi" w:cstheme="majorHAnsi"/>
          <w:sz w:val="24"/>
          <w:szCs w:val="24"/>
          <w:lang w:val="ru-MD"/>
        </w:rPr>
        <w:t>самоуправлении</w:t>
      </w:r>
      <w:r w:rsidRPr="00A21A6B">
        <w:rPr>
          <w:rFonts w:asciiTheme="majorHAnsi" w:hAnsiTheme="majorHAnsi" w:cstheme="majorHAnsi"/>
          <w:sz w:val="24"/>
          <w:szCs w:val="24"/>
          <w:lang w:val="ru-MD"/>
        </w:rPr>
        <w:t xml:space="preserve">, а в результате перехода на полное финансирование из </w:t>
      </w:r>
      <w:r w:rsidR="00C0625F" w:rsidRPr="00A21A6B">
        <w:rPr>
          <w:rFonts w:asciiTheme="majorHAnsi" w:hAnsiTheme="majorHAnsi" w:cstheme="majorHAnsi"/>
          <w:sz w:val="24"/>
          <w:szCs w:val="24"/>
          <w:lang w:val="ru-MD"/>
        </w:rPr>
        <w:t>ГБ,</w:t>
      </w:r>
      <w:r w:rsidRPr="00A21A6B">
        <w:rPr>
          <w:rFonts w:asciiTheme="majorHAnsi" w:hAnsiTheme="majorHAnsi" w:cstheme="majorHAnsi"/>
          <w:sz w:val="24"/>
          <w:szCs w:val="24"/>
          <w:lang w:val="ru-MD"/>
        </w:rPr>
        <w:t xml:space="preserve"> получило статус </w:t>
      </w:r>
      <w:r w:rsidR="00C0625F"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рг.1, а </w:t>
      </w:r>
      <w:r w:rsidR="00C0625F" w:rsidRPr="00A21A6B">
        <w:rPr>
          <w:rFonts w:asciiTheme="majorHAnsi" w:hAnsiTheme="majorHAnsi" w:cstheme="majorHAnsi"/>
          <w:sz w:val="24"/>
          <w:szCs w:val="24"/>
          <w:lang w:val="ru-MD"/>
        </w:rPr>
        <w:t xml:space="preserve">начиная </w:t>
      </w:r>
      <w:r w:rsidRPr="00A21A6B">
        <w:rPr>
          <w:rFonts w:asciiTheme="majorHAnsi" w:hAnsiTheme="majorHAnsi" w:cstheme="majorHAnsi"/>
          <w:sz w:val="24"/>
          <w:szCs w:val="24"/>
          <w:lang w:val="ru-MD"/>
        </w:rPr>
        <w:t xml:space="preserve">с 2021 года ему был присвоен статус </w:t>
      </w:r>
      <w:r w:rsidR="00C0625F" w:rsidRPr="00A21A6B">
        <w:rPr>
          <w:rFonts w:asciiTheme="majorHAnsi" w:hAnsiTheme="majorHAnsi" w:cstheme="majorHAnsi"/>
          <w:sz w:val="24"/>
          <w:szCs w:val="24"/>
          <w:lang w:val="ru-MD"/>
        </w:rPr>
        <w:t>Орг</w:t>
      </w:r>
      <w:r w:rsidRPr="00A21A6B">
        <w:rPr>
          <w:rFonts w:asciiTheme="majorHAnsi" w:hAnsiTheme="majorHAnsi" w:cstheme="majorHAnsi"/>
          <w:sz w:val="24"/>
          <w:szCs w:val="24"/>
          <w:lang w:val="ru-MD"/>
        </w:rPr>
        <w:t>.2</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Хотя Агентств</w:t>
      </w:r>
      <w:r w:rsidR="00C0625F"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 </w:t>
      </w:r>
      <w:r w:rsidR="00D90F06" w:rsidRPr="00A21A6B">
        <w:rPr>
          <w:rFonts w:asciiTheme="majorHAnsi" w:hAnsiTheme="majorHAnsi" w:cstheme="majorHAnsi"/>
          <w:sz w:val="24"/>
          <w:szCs w:val="24"/>
          <w:lang w:val="ru-MD"/>
        </w:rPr>
        <w:t>получило</w:t>
      </w:r>
      <w:r w:rsidRPr="00A21A6B">
        <w:rPr>
          <w:rFonts w:asciiTheme="majorHAnsi" w:hAnsiTheme="majorHAnsi" w:cstheme="majorHAnsi"/>
          <w:sz w:val="24"/>
          <w:szCs w:val="24"/>
          <w:lang w:val="ru-MD"/>
        </w:rPr>
        <w:t xml:space="preserve"> статус </w:t>
      </w:r>
      <w:r w:rsidR="00D90F06" w:rsidRPr="00A21A6B">
        <w:rPr>
          <w:rFonts w:asciiTheme="majorHAnsi" w:hAnsiTheme="majorHAnsi" w:cstheme="majorHAnsi"/>
          <w:sz w:val="24"/>
          <w:szCs w:val="24"/>
          <w:lang w:val="ru-MD"/>
        </w:rPr>
        <w:t>О</w:t>
      </w:r>
      <w:r w:rsidRPr="00A21A6B">
        <w:rPr>
          <w:rFonts w:asciiTheme="majorHAnsi" w:hAnsiTheme="majorHAnsi" w:cstheme="majorHAnsi"/>
          <w:sz w:val="24"/>
          <w:szCs w:val="24"/>
          <w:lang w:val="ru-MD"/>
        </w:rPr>
        <w:t xml:space="preserve">рг.1 в 2010 году, а кодификация </w:t>
      </w:r>
      <w:r w:rsidR="00D90F06" w:rsidRPr="00A21A6B">
        <w:rPr>
          <w:rFonts w:asciiTheme="majorHAnsi" w:hAnsiTheme="majorHAnsi" w:cstheme="majorHAnsi"/>
          <w:sz w:val="24"/>
          <w:szCs w:val="24"/>
          <w:lang w:val="ru-MD"/>
        </w:rPr>
        <w:t>в сторону</w:t>
      </w:r>
      <w:r w:rsidRPr="00A21A6B">
        <w:rPr>
          <w:rFonts w:asciiTheme="majorHAnsi" w:hAnsiTheme="majorHAnsi" w:cstheme="majorHAnsi"/>
          <w:sz w:val="24"/>
          <w:szCs w:val="24"/>
          <w:lang w:val="ru-MD"/>
        </w:rPr>
        <w:t xml:space="preserve"> увеличени</w:t>
      </w:r>
      <w:r w:rsidR="00D90F06"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w:t>
      </w:r>
      <w:r w:rsidR="00D90F06" w:rsidRPr="00A21A6B">
        <w:rPr>
          <w:rFonts w:asciiTheme="majorHAnsi" w:hAnsiTheme="majorHAnsi" w:cstheme="majorHAnsi"/>
          <w:sz w:val="24"/>
          <w:szCs w:val="24"/>
          <w:lang w:val="ru-MD"/>
        </w:rPr>
        <w:t>платежей по</w:t>
      </w:r>
      <w:r w:rsidRPr="00A21A6B">
        <w:rPr>
          <w:rFonts w:asciiTheme="majorHAnsi" w:hAnsiTheme="majorHAnsi" w:cstheme="majorHAnsi"/>
          <w:sz w:val="24"/>
          <w:szCs w:val="24"/>
          <w:lang w:val="ru-MD"/>
        </w:rPr>
        <w:t xml:space="preserve"> аренд</w:t>
      </w:r>
      <w:r w:rsidR="00D90F06"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земель лесного фонда </w:t>
      </w:r>
      <w:r w:rsidR="00D90F06" w:rsidRPr="00A21A6B">
        <w:rPr>
          <w:rFonts w:asciiTheme="majorHAnsi" w:hAnsiTheme="majorHAnsi" w:cstheme="majorHAnsi"/>
          <w:sz w:val="24"/>
          <w:szCs w:val="24"/>
          <w:lang w:val="ru-MD"/>
        </w:rPr>
        <w:t xml:space="preserve">была </w:t>
      </w:r>
      <w:r w:rsidRPr="00A21A6B">
        <w:rPr>
          <w:rFonts w:asciiTheme="majorHAnsi" w:hAnsiTheme="majorHAnsi" w:cstheme="majorHAnsi"/>
          <w:sz w:val="24"/>
          <w:szCs w:val="24"/>
          <w:lang w:val="ru-MD"/>
        </w:rPr>
        <w:t>произ</w:t>
      </w:r>
      <w:r w:rsidR="00D90F06" w:rsidRPr="00A21A6B">
        <w:rPr>
          <w:rFonts w:asciiTheme="majorHAnsi" w:hAnsiTheme="majorHAnsi" w:cstheme="majorHAnsi"/>
          <w:sz w:val="24"/>
          <w:szCs w:val="24"/>
          <w:lang w:val="ru-MD"/>
        </w:rPr>
        <w:t>веден</w:t>
      </w:r>
      <w:r w:rsidRPr="00A21A6B">
        <w:rPr>
          <w:rFonts w:asciiTheme="majorHAnsi" w:hAnsiTheme="majorHAnsi" w:cstheme="majorHAnsi"/>
          <w:sz w:val="24"/>
          <w:szCs w:val="24"/>
          <w:lang w:val="ru-MD"/>
        </w:rPr>
        <w:t xml:space="preserve">а в 2016 году, </w:t>
      </w:r>
      <w:r w:rsidR="00D90F06" w:rsidRPr="00A21A6B">
        <w:rPr>
          <w:rFonts w:asciiTheme="majorHAnsi" w:hAnsiTheme="majorHAnsi" w:cstheme="majorHAnsi"/>
          <w:sz w:val="24"/>
          <w:szCs w:val="24"/>
          <w:lang w:val="ru-MD"/>
        </w:rPr>
        <w:t xml:space="preserve">отраслевое министерство </w:t>
      </w:r>
      <w:r w:rsidRPr="00A21A6B">
        <w:rPr>
          <w:rFonts w:asciiTheme="majorHAnsi" w:hAnsiTheme="majorHAnsi" w:cstheme="majorHAnsi"/>
          <w:sz w:val="24"/>
          <w:szCs w:val="24"/>
          <w:lang w:val="ru-MD"/>
        </w:rPr>
        <w:t xml:space="preserve">не учло этот аспект и одобрило новые </w:t>
      </w:r>
      <w:r w:rsidR="00D90F06" w:rsidRPr="00A21A6B">
        <w:rPr>
          <w:rFonts w:asciiTheme="majorHAnsi" w:hAnsiTheme="majorHAnsi" w:cstheme="majorHAnsi"/>
          <w:sz w:val="24"/>
          <w:szCs w:val="24"/>
          <w:lang w:val="ru-MD"/>
        </w:rPr>
        <w:t>платежи</w:t>
      </w:r>
      <w:r w:rsidRPr="00A21A6B">
        <w:rPr>
          <w:rFonts w:asciiTheme="majorHAnsi" w:hAnsiTheme="majorHAnsi" w:cstheme="majorHAnsi"/>
          <w:sz w:val="24"/>
          <w:szCs w:val="24"/>
          <w:lang w:val="ru-MD"/>
        </w:rPr>
        <w:t xml:space="preserve"> с включением в них НДС, таким образом, </w:t>
      </w:r>
      <w:r w:rsidR="00D90F06" w:rsidRPr="00A21A6B">
        <w:rPr>
          <w:rFonts w:asciiTheme="majorHAnsi" w:hAnsiTheme="majorHAnsi" w:cstheme="majorHAnsi"/>
          <w:sz w:val="24"/>
          <w:szCs w:val="24"/>
          <w:lang w:val="ru-MD"/>
        </w:rPr>
        <w:t>платежи</w:t>
      </w:r>
      <w:r w:rsidRPr="00A21A6B">
        <w:rPr>
          <w:rFonts w:asciiTheme="majorHAnsi" w:hAnsiTheme="majorHAnsi" w:cstheme="majorHAnsi"/>
          <w:sz w:val="24"/>
          <w:szCs w:val="24"/>
          <w:lang w:val="ru-MD"/>
        </w:rPr>
        <w:t xml:space="preserve">, утвержденные </w:t>
      </w:r>
      <w:r w:rsidR="00D90F06" w:rsidRPr="00A21A6B">
        <w:rPr>
          <w:rFonts w:asciiTheme="majorHAnsi" w:hAnsiTheme="majorHAnsi" w:cstheme="majorHAnsi"/>
          <w:sz w:val="24"/>
          <w:szCs w:val="24"/>
          <w:lang w:val="ru-MD"/>
        </w:rPr>
        <w:t>ПП №</w:t>
      </w:r>
      <w:r w:rsidRPr="00A21A6B">
        <w:rPr>
          <w:rFonts w:asciiTheme="majorHAnsi" w:hAnsiTheme="majorHAnsi" w:cstheme="majorHAnsi"/>
          <w:sz w:val="24"/>
          <w:szCs w:val="24"/>
          <w:lang w:val="ru-MD"/>
        </w:rPr>
        <w:t xml:space="preserve">187/2008 </w:t>
      </w:r>
      <w:r w:rsidR="00D90F06" w:rsidRPr="00A21A6B">
        <w:rPr>
          <w:rFonts w:asciiTheme="majorHAnsi" w:hAnsiTheme="majorHAnsi" w:cstheme="majorHAnsi"/>
          <w:sz w:val="24"/>
          <w:szCs w:val="24"/>
          <w:lang w:val="ru-MD"/>
        </w:rPr>
        <w:t xml:space="preserve">были </w:t>
      </w:r>
      <w:r w:rsidRPr="00A21A6B">
        <w:rPr>
          <w:rFonts w:asciiTheme="majorHAnsi" w:hAnsiTheme="majorHAnsi" w:cstheme="majorHAnsi"/>
          <w:sz w:val="24"/>
          <w:szCs w:val="24"/>
          <w:lang w:val="ru-MD"/>
        </w:rPr>
        <w:t>увеличен</w:t>
      </w:r>
      <w:r w:rsidR="00D90F06" w:rsidRPr="00A21A6B">
        <w:rPr>
          <w:rFonts w:asciiTheme="majorHAnsi" w:hAnsiTheme="majorHAnsi" w:cstheme="majorHAnsi"/>
          <w:sz w:val="24"/>
          <w:szCs w:val="24"/>
          <w:lang w:val="ru-MD"/>
        </w:rPr>
        <w:t>ы</w:t>
      </w:r>
      <w:r w:rsidRPr="00A21A6B">
        <w:rPr>
          <w:rFonts w:asciiTheme="majorHAnsi" w:hAnsiTheme="majorHAnsi" w:cstheme="majorHAnsi"/>
          <w:sz w:val="24"/>
          <w:szCs w:val="24"/>
          <w:lang w:val="ru-MD"/>
        </w:rPr>
        <w:t xml:space="preserve"> на 20% (НДС)</w:t>
      </w:r>
      <w:r w:rsidR="00F40961" w:rsidRPr="00A21A6B">
        <w:rPr>
          <w:rFonts w:asciiTheme="majorHAnsi" w:hAnsiTheme="majorHAnsi" w:cstheme="majorHAnsi"/>
          <w:sz w:val="24"/>
          <w:szCs w:val="24"/>
          <w:lang w:val="ru-MD"/>
        </w:rPr>
        <w:t>.</w:t>
      </w:r>
    </w:p>
    <w:p w:rsidR="00F40961" w:rsidRPr="00A21A6B" w:rsidRDefault="0072360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Учитывая тот факт</w:t>
      </w:r>
      <w:r w:rsidR="00381CBB" w:rsidRPr="00A21A6B">
        <w:rPr>
          <w:rFonts w:asciiTheme="majorHAnsi" w:hAnsiTheme="majorHAnsi" w:cstheme="majorHAnsi"/>
          <w:sz w:val="24"/>
          <w:szCs w:val="24"/>
          <w:lang w:val="ru-MD"/>
        </w:rPr>
        <w:t xml:space="preserve">, что </w:t>
      </w:r>
      <w:r w:rsidR="0025595F" w:rsidRPr="00A21A6B">
        <w:rPr>
          <w:rFonts w:asciiTheme="majorHAnsi" w:hAnsiTheme="majorHAnsi" w:cstheme="majorHAnsi"/>
          <w:sz w:val="24"/>
          <w:szCs w:val="24"/>
          <w:lang w:val="ru-MD"/>
        </w:rPr>
        <w:t>платежи арендной платы</w:t>
      </w:r>
      <w:r w:rsidR="00381CBB" w:rsidRPr="00A21A6B">
        <w:rPr>
          <w:rFonts w:asciiTheme="majorHAnsi" w:hAnsiTheme="majorHAnsi" w:cstheme="majorHAnsi"/>
          <w:sz w:val="24"/>
          <w:szCs w:val="24"/>
          <w:lang w:val="ru-MD"/>
        </w:rPr>
        <w:t xml:space="preserve"> земель лесного фонда утвержда</w:t>
      </w:r>
      <w:r w:rsidR="0025595F" w:rsidRPr="00A21A6B">
        <w:rPr>
          <w:rFonts w:asciiTheme="majorHAnsi" w:hAnsiTheme="majorHAnsi" w:cstheme="majorHAnsi"/>
          <w:sz w:val="24"/>
          <w:szCs w:val="24"/>
          <w:lang w:val="ru-MD"/>
        </w:rPr>
        <w:t>ю</w:t>
      </w:r>
      <w:r w:rsidR="00381CBB" w:rsidRPr="00A21A6B">
        <w:rPr>
          <w:rFonts w:asciiTheme="majorHAnsi" w:hAnsiTheme="majorHAnsi" w:cstheme="majorHAnsi"/>
          <w:sz w:val="24"/>
          <w:szCs w:val="24"/>
          <w:lang w:val="ru-MD"/>
        </w:rPr>
        <w:t xml:space="preserve">тся </w:t>
      </w:r>
      <w:r w:rsidR="0025595F" w:rsidRPr="00A21A6B">
        <w:rPr>
          <w:rFonts w:asciiTheme="majorHAnsi" w:hAnsiTheme="majorHAnsi" w:cstheme="majorHAnsi"/>
          <w:sz w:val="24"/>
          <w:szCs w:val="24"/>
          <w:lang w:val="ru-MD"/>
        </w:rPr>
        <w:t>ПП</w:t>
      </w:r>
      <w:r w:rsidR="00381CBB" w:rsidRPr="00A21A6B">
        <w:rPr>
          <w:rFonts w:asciiTheme="majorHAnsi" w:hAnsiTheme="majorHAnsi" w:cstheme="majorHAnsi"/>
          <w:sz w:val="24"/>
          <w:szCs w:val="24"/>
          <w:lang w:val="ru-MD"/>
        </w:rPr>
        <w:t xml:space="preserve"> в фиксированных </w:t>
      </w:r>
      <w:r w:rsidR="0025595F" w:rsidRPr="00A21A6B">
        <w:rPr>
          <w:rFonts w:asciiTheme="majorHAnsi" w:hAnsiTheme="majorHAnsi" w:cstheme="majorHAnsi"/>
          <w:sz w:val="24"/>
          <w:szCs w:val="24"/>
          <w:lang w:val="ru-MD"/>
        </w:rPr>
        <w:t>размера</w:t>
      </w:r>
      <w:r w:rsidR="00381CBB" w:rsidRPr="00A21A6B">
        <w:rPr>
          <w:rFonts w:asciiTheme="majorHAnsi" w:hAnsiTheme="majorHAnsi" w:cstheme="majorHAnsi"/>
          <w:sz w:val="24"/>
          <w:szCs w:val="24"/>
          <w:lang w:val="ru-MD"/>
        </w:rPr>
        <w:t xml:space="preserve">х, очевидна необходимость изменения соответствующих положений и пересмотра утвержденных </w:t>
      </w:r>
      <w:r w:rsidR="0025595F" w:rsidRPr="00A21A6B">
        <w:rPr>
          <w:rFonts w:asciiTheme="majorHAnsi" w:hAnsiTheme="majorHAnsi" w:cstheme="majorHAnsi"/>
          <w:sz w:val="24"/>
          <w:szCs w:val="24"/>
          <w:lang w:val="ru-MD"/>
        </w:rPr>
        <w:t>платежей</w:t>
      </w:r>
      <w:r w:rsidR="00381CBB" w:rsidRPr="00A21A6B">
        <w:rPr>
          <w:rFonts w:asciiTheme="majorHAnsi" w:hAnsiTheme="majorHAnsi" w:cstheme="majorHAnsi"/>
          <w:sz w:val="24"/>
          <w:szCs w:val="24"/>
          <w:lang w:val="ru-MD"/>
        </w:rPr>
        <w:t xml:space="preserve"> для их сдачи в аренду</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Кроме того, для повышения прозрачности способа установления </w:t>
      </w:r>
      <w:r w:rsidR="00C1618D" w:rsidRPr="00A21A6B">
        <w:rPr>
          <w:rFonts w:asciiTheme="majorHAnsi" w:hAnsiTheme="majorHAnsi" w:cstheme="majorHAnsi"/>
          <w:sz w:val="24"/>
          <w:szCs w:val="24"/>
          <w:lang w:val="ru-MD"/>
        </w:rPr>
        <w:t>платежей по</w:t>
      </w:r>
      <w:r w:rsidRPr="00A21A6B">
        <w:rPr>
          <w:rFonts w:asciiTheme="majorHAnsi" w:hAnsiTheme="majorHAnsi" w:cstheme="majorHAnsi"/>
          <w:sz w:val="24"/>
          <w:szCs w:val="24"/>
          <w:lang w:val="ru-MD"/>
        </w:rPr>
        <w:t xml:space="preserve"> сдач</w:t>
      </w:r>
      <w:r w:rsidR="00C1618D"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в аренду земель лесного фонда</w:t>
      </w:r>
      <w:r w:rsidR="009E0977" w:rsidRPr="00A21A6B">
        <w:rPr>
          <w:rFonts w:asciiTheme="majorHAnsi" w:hAnsiTheme="majorHAnsi" w:cstheme="majorHAnsi"/>
          <w:sz w:val="24"/>
          <w:szCs w:val="24"/>
          <w:lang w:val="ru-MD"/>
        </w:rPr>
        <w:t>,</w:t>
      </w:r>
      <w:r w:rsidRPr="00A21A6B">
        <w:rPr>
          <w:rFonts w:asciiTheme="majorHAnsi" w:hAnsiTheme="majorHAnsi" w:cstheme="majorHAnsi"/>
          <w:sz w:val="24"/>
          <w:szCs w:val="24"/>
          <w:lang w:val="ru-MD"/>
        </w:rPr>
        <w:t xml:space="preserve"> было бы целесообразно о</w:t>
      </w:r>
      <w:r w:rsidR="00C1618D" w:rsidRPr="00A21A6B">
        <w:rPr>
          <w:rFonts w:asciiTheme="majorHAnsi" w:hAnsiTheme="majorHAnsi" w:cstheme="majorHAnsi"/>
          <w:sz w:val="24"/>
          <w:szCs w:val="24"/>
          <w:lang w:val="ru-MD"/>
        </w:rPr>
        <w:t>публико</w:t>
      </w:r>
      <w:r w:rsidRPr="00A21A6B">
        <w:rPr>
          <w:rFonts w:asciiTheme="majorHAnsi" w:hAnsiTheme="majorHAnsi" w:cstheme="majorHAnsi"/>
          <w:sz w:val="24"/>
          <w:szCs w:val="24"/>
          <w:lang w:val="ru-MD"/>
        </w:rPr>
        <w:t xml:space="preserve">вать расчеты, согласно которым были утверждены соответствующие </w:t>
      </w:r>
      <w:r w:rsidR="00C1618D" w:rsidRPr="00A21A6B">
        <w:rPr>
          <w:rFonts w:asciiTheme="majorHAnsi" w:hAnsiTheme="majorHAnsi" w:cstheme="majorHAnsi"/>
          <w:sz w:val="24"/>
          <w:szCs w:val="24"/>
          <w:lang w:val="ru-MD"/>
        </w:rPr>
        <w:t>размеры</w:t>
      </w:r>
      <w:r w:rsidRPr="00A21A6B">
        <w:rPr>
          <w:rFonts w:asciiTheme="majorHAnsi" w:hAnsiTheme="majorHAnsi" w:cstheme="majorHAnsi"/>
          <w:sz w:val="24"/>
          <w:szCs w:val="24"/>
          <w:lang w:val="ru-MD"/>
        </w:rPr>
        <w:t>, с их при</w:t>
      </w:r>
      <w:r w:rsidR="00C1618D" w:rsidRPr="00A21A6B">
        <w:rPr>
          <w:rFonts w:asciiTheme="majorHAnsi" w:hAnsiTheme="majorHAnsi" w:cstheme="majorHAnsi"/>
          <w:sz w:val="24"/>
          <w:szCs w:val="24"/>
          <w:lang w:val="ru-MD"/>
        </w:rPr>
        <w:t>лож</w:t>
      </w:r>
      <w:r w:rsidRPr="00A21A6B">
        <w:rPr>
          <w:rFonts w:asciiTheme="majorHAnsi" w:hAnsiTheme="majorHAnsi" w:cstheme="majorHAnsi"/>
          <w:sz w:val="24"/>
          <w:szCs w:val="24"/>
          <w:lang w:val="ru-MD"/>
        </w:rPr>
        <w:t xml:space="preserve">ением к </w:t>
      </w:r>
      <w:r w:rsidR="00C1618D" w:rsidRPr="00A21A6B">
        <w:rPr>
          <w:rFonts w:asciiTheme="majorHAnsi" w:hAnsiTheme="majorHAnsi" w:cstheme="majorHAnsi"/>
          <w:sz w:val="24"/>
          <w:szCs w:val="24"/>
          <w:lang w:val="ru-MD"/>
        </w:rPr>
        <w:t>ПП</w:t>
      </w:r>
      <w:r w:rsidRPr="00A21A6B">
        <w:rPr>
          <w:rFonts w:asciiTheme="majorHAnsi" w:hAnsiTheme="majorHAnsi" w:cstheme="majorHAnsi"/>
          <w:sz w:val="24"/>
          <w:szCs w:val="24"/>
          <w:lang w:val="ru-MD"/>
        </w:rPr>
        <w:t xml:space="preserve">, в том числе исходя из того, что </w:t>
      </w:r>
      <w:r w:rsidR="00C1618D" w:rsidRPr="00A21A6B">
        <w:rPr>
          <w:rFonts w:asciiTheme="majorHAnsi" w:hAnsiTheme="majorHAnsi" w:cstheme="majorHAnsi"/>
          <w:sz w:val="24"/>
          <w:szCs w:val="24"/>
          <w:lang w:val="ru-MD"/>
        </w:rPr>
        <w:t>М</w:t>
      </w:r>
      <w:r w:rsidRPr="00A21A6B">
        <w:rPr>
          <w:rFonts w:asciiTheme="majorHAnsi" w:hAnsiTheme="majorHAnsi" w:cstheme="majorHAnsi"/>
          <w:sz w:val="24"/>
          <w:szCs w:val="24"/>
          <w:lang w:val="ru-MD"/>
        </w:rPr>
        <w:t>етод</w:t>
      </w:r>
      <w:r w:rsidR="00C1618D" w:rsidRPr="00A21A6B">
        <w:rPr>
          <w:rFonts w:asciiTheme="majorHAnsi" w:hAnsiTheme="majorHAnsi" w:cstheme="majorHAnsi"/>
          <w:sz w:val="24"/>
          <w:szCs w:val="24"/>
          <w:lang w:val="ru-MD"/>
        </w:rPr>
        <w:t>ики</w:t>
      </w:r>
      <w:r w:rsidRPr="00A21A6B">
        <w:rPr>
          <w:rFonts w:asciiTheme="majorHAnsi" w:hAnsiTheme="majorHAnsi" w:cstheme="majorHAnsi"/>
          <w:sz w:val="24"/>
          <w:szCs w:val="24"/>
          <w:lang w:val="ru-MD"/>
        </w:rPr>
        <w:t xml:space="preserve"> формирования </w:t>
      </w:r>
      <w:r w:rsidR="00C1618D" w:rsidRPr="00A21A6B">
        <w:rPr>
          <w:rFonts w:asciiTheme="majorHAnsi" w:hAnsiTheme="majorHAnsi" w:cstheme="majorHAnsi"/>
          <w:sz w:val="24"/>
          <w:szCs w:val="24"/>
          <w:lang w:val="ru-MD"/>
        </w:rPr>
        <w:t xml:space="preserve">размера </w:t>
      </w:r>
      <w:r w:rsidRPr="00A21A6B">
        <w:rPr>
          <w:rFonts w:asciiTheme="majorHAnsi" w:hAnsiTheme="majorHAnsi" w:cstheme="majorHAnsi"/>
          <w:sz w:val="24"/>
          <w:szCs w:val="24"/>
          <w:lang w:val="ru-MD"/>
        </w:rPr>
        <w:t>арендно</w:t>
      </w:r>
      <w:r w:rsidR="00C1618D" w:rsidRPr="00A21A6B">
        <w:rPr>
          <w:rFonts w:asciiTheme="majorHAnsi" w:hAnsiTheme="majorHAnsi" w:cstheme="majorHAnsi"/>
          <w:sz w:val="24"/>
          <w:szCs w:val="24"/>
          <w:lang w:val="ru-MD"/>
        </w:rPr>
        <w:t>й платы</w:t>
      </w:r>
      <w:r w:rsidRPr="00A21A6B">
        <w:rPr>
          <w:rFonts w:asciiTheme="majorHAnsi" w:hAnsiTheme="majorHAnsi" w:cstheme="majorHAnsi"/>
          <w:sz w:val="24"/>
          <w:szCs w:val="24"/>
          <w:lang w:val="ru-MD"/>
        </w:rPr>
        <w:t xml:space="preserve"> являются </w:t>
      </w:r>
      <w:r w:rsidR="00C1618D" w:rsidRPr="00A21A6B">
        <w:rPr>
          <w:rFonts w:asciiTheme="majorHAnsi" w:hAnsiTheme="majorHAnsi" w:cstheme="majorHAnsi"/>
          <w:sz w:val="24"/>
          <w:szCs w:val="24"/>
          <w:lang w:val="ru-MD"/>
        </w:rPr>
        <w:t>составной частью ПП №</w:t>
      </w:r>
      <w:r w:rsidRPr="00A21A6B">
        <w:rPr>
          <w:rFonts w:asciiTheme="majorHAnsi" w:hAnsiTheme="majorHAnsi" w:cstheme="majorHAnsi"/>
          <w:sz w:val="24"/>
          <w:szCs w:val="24"/>
          <w:lang w:val="ru-MD"/>
        </w:rPr>
        <w:t>187/2008, и они не включают НДС</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 xml:space="preserve">Включение в </w:t>
      </w:r>
      <w:r w:rsidR="00FE6157" w:rsidRPr="00A21A6B">
        <w:rPr>
          <w:rFonts w:asciiTheme="majorHAnsi" w:hAnsiTheme="majorHAnsi" w:cstheme="majorHAnsi"/>
          <w:sz w:val="24"/>
          <w:szCs w:val="24"/>
          <w:lang w:val="ru-MD"/>
        </w:rPr>
        <w:t>размер арендной платы</w:t>
      </w:r>
      <w:r w:rsidRPr="00A21A6B">
        <w:rPr>
          <w:rFonts w:asciiTheme="majorHAnsi" w:hAnsiTheme="majorHAnsi" w:cstheme="majorHAnsi"/>
          <w:sz w:val="24"/>
          <w:szCs w:val="24"/>
          <w:lang w:val="ru-MD"/>
        </w:rPr>
        <w:t xml:space="preserve"> земель лесного фонда НДС в скрытой форме означает, что он взимается </w:t>
      </w:r>
      <w:r w:rsidR="00E5151E" w:rsidRPr="00A21A6B">
        <w:rPr>
          <w:rFonts w:asciiTheme="majorHAnsi" w:hAnsiTheme="majorHAnsi" w:cstheme="majorHAnsi"/>
          <w:sz w:val="24"/>
          <w:szCs w:val="24"/>
          <w:lang w:val="ru-MD"/>
        </w:rPr>
        <w:t>в ГБ</w:t>
      </w:r>
      <w:r w:rsidRPr="00A21A6B">
        <w:rPr>
          <w:rFonts w:asciiTheme="majorHAnsi" w:hAnsiTheme="majorHAnsi" w:cstheme="majorHAnsi"/>
          <w:sz w:val="24"/>
          <w:szCs w:val="24"/>
          <w:lang w:val="ru-MD"/>
        </w:rPr>
        <w:t xml:space="preserve"> не по отдельной позиции (ECO 114110 „</w:t>
      </w:r>
      <w:r w:rsidR="00E5151E" w:rsidRPr="00A21A6B">
        <w:rPr>
          <w:rFonts w:asciiTheme="majorHAnsi" w:hAnsiTheme="majorHAnsi" w:cstheme="majorHAnsi"/>
          <w:sz w:val="24"/>
          <w:szCs w:val="24"/>
          <w:lang w:val="ru-MD"/>
        </w:rPr>
        <w:t>Н</w:t>
      </w:r>
      <w:r w:rsidRPr="00A21A6B">
        <w:rPr>
          <w:rFonts w:asciiTheme="majorHAnsi" w:hAnsiTheme="majorHAnsi" w:cstheme="majorHAnsi"/>
          <w:sz w:val="24"/>
          <w:szCs w:val="24"/>
          <w:lang w:val="ru-MD"/>
        </w:rPr>
        <w:t xml:space="preserve">алог на добавленную стоимость товаров и услуг, оказываемых на территории Республики Молдова”), </w:t>
      </w:r>
      <w:r w:rsidR="00E5151E"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 вместе с арендной платой (ECO 141534 „</w:t>
      </w:r>
      <w:r w:rsidR="00E5151E" w:rsidRPr="00A21A6B">
        <w:rPr>
          <w:rFonts w:asciiTheme="majorHAnsi" w:hAnsiTheme="majorHAnsi" w:cstheme="majorHAnsi"/>
          <w:sz w:val="24"/>
          <w:szCs w:val="24"/>
          <w:lang w:val="ru-MD"/>
        </w:rPr>
        <w:t>А</w:t>
      </w:r>
      <w:r w:rsidRPr="00A21A6B">
        <w:rPr>
          <w:rFonts w:asciiTheme="majorHAnsi" w:hAnsiTheme="majorHAnsi" w:cstheme="majorHAnsi"/>
          <w:sz w:val="24"/>
          <w:szCs w:val="24"/>
          <w:lang w:val="ru-MD"/>
        </w:rPr>
        <w:t xml:space="preserve">ренда земель лесного фонда, </w:t>
      </w:r>
      <w:r w:rsidR="00E5151E" w:rsidRPr="00A21A6B">
        <w:rPr>
          <w:rFonts w:asciiTheme="majorHAnsi" w:hAnsiTheme="majorHAnsi" w:cstheme="majorHAnsi"/>
          <w:sz w:val="24"/>
          <w:szCs w:val="24"/>
          <w:lang w:val="ru-MD"/>
        </w:rPr>
        <w:t>взимаемая</w:t>
      </w:r>
      <w:r w:rsidRPr="00A21A6B">
        <w:rPr>
          <w:rFonts w:asciiTheme="majorHAnsi" w:hAnsiTheme="majorHAnsi" w:cstheme="majorHAnsi"/>
          <w:sz w:val="24"/>
          <w:szCs w:val="24"/>
          <w:lang w:val="ru-MD"/>
        </w:rPr>
        <w:t xml:space="preserve"> в государственный бюджет”), что искажает представление информации об исполнении доходов </w:t>
      </w:r>
      <w:r w:rsidR="00E5151E" w:rsidRPr="00A21A6B">
        <w:rPr>
          <w:rFonts w:asciiTheme="majorHAnsi" w:hAnsiTheme="majorHAnsi" w:cstheme="majorHAnsi"/>
          <w:sz w:val="24"/>
          <w:szCs w:val="24"/>
          <w:lang w:val="ru-MD"/>
        </w:rPr>
        <w:t>ГБ</w:t>
      </w:r>
      <w:r w:rsidRPr="00A21A6B">
        <w:rPr>
          <w:rFonts w:asciiTheme="majorHAnsi" w:hAnsiTheme="majorHAnsi" w:cstheme="majorHAnsi"/>
          <w:sz w:val="24"/>
          <w:szCs w:val="24"/>
          <w:lang w:val="ru-MD"/>
        </w:rPr>
        <w:t xml:space="preserve"> (ошибочная классификация)</w:t>
      </w:r>
      <w:r w:rsidR="00F40961" w:rsidRPr="00A21A6B">
        <w:rPr>
          <w:rFonts w:asciiTheme="majorHAnsi" w:hAnsiTheme="majorHAnsi" w:cstheme="majorHAnsi"/>
          <w:sz w:val="24"/>
          <w:szCs w:val="24"/>
          <w:lang w:val="ru-MD"/>
        </w:rPr>
        <w:t>.</w:t>
      </w:r>
    </w:p>
    <w:p w:rsidR="00F40961" w:rsidRPr="00A21A6B" w:rsidRDefault="00FE7424"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Обеспечение п</w:t>
      </w:r>
      <w:r w:rsidR="00381CBB" w:rsidRPr="00A21A6B">
        <w:rPr>
          <w:rFonts w:asciiTheme="majorHAnsi" w:hAnsiTheme="majorHAnsi" w:cstheme="majorHAnsi"/>
          <w:sz w:val="24"/>
          <w:szCs w:val="24"/>
          <w:lang w:val="ru-MD"/>
        </w:rPr>
        <w:t>розрачност</w:t>
      </w:r>
      <w:r w:rsidRPr="00A21A6B">
        <w:rPr>
          <w:rFonts w:asciiTheme="majorHAnsi" w:hAnsiTheme="majorHAnsi" w:cstheme="majorHAnsi"/>
          <w:sz w:val="24"/>
          <w:szCs w:val="24"/>
          <w:lang w:val="ru-MD"/>
        </w:rPr>
        <w:t>и</w:t>
      </w:r>
      <w:r w:rsidR="00381CBB" w:rsidRPr="00A21A6B">
        <w:rPr>
          <w:rFonts w:asciiTheme="majorHAnsi" w:hAnsiTheme="majorHAnsi" w:cstheme="majorHAnsi"/>
          <w:sz w:val="24"/>
          <w:szCs w:val="24"/>
          <w:lang w:val="ru-MD"/>
        </w:rPr>
        <w:t xml:space="preserve"> расчета </w:t>
      </w:r>
      <w:r w:rsidRPr="00A21A6B">
        <w:rPr>
          <w:rFonts w:asciiTheme="majorHAnsi" w:hAnsiTheme="majorHAnsi" w:cstheme="majorHAnsi"/>
          <w:sz w:val="24"/>
          <w:szCs w:val="24"/>
          <w:lang w:val="ru-MD"/>
        </w:rPr>
        <w:t xml:space="preserve">размера </w:t>
      </w:r>
      <w:r w:rsidR="00381CBB" w:rsidRPr="00A21A6B">
        <w:rPr>
          <w:rFonts w:asciiTheme="majorHAnsi" w:hAnsiTheme="majorHAnsi" w:cstheme="majorHAnsi"/>
          <w:sz w:val="24"/>
          <w:szCs w:val="24"/>
          <w:lang w:val="ru-MD"/>
        </w:rPr>
        <w:t xml:space="preserve">арендной платы позволит </w:t>
      </w:r>
      <w:r w:rsidRPr="00A21A6B">
        <w:rPr>
          <w:rFonts w:asciiTheme="majorHAnsi" w:hAnsiTheme="majorHAnsi" w:cstheme="majorHAnsi"/>
          <w:sz w:val="24"/>
          <w:szCs w:val="24"/>
          <w:lang w:val="ru-MD"/>
        </w:rPr>
        <w:t xml:space="preserve">также </w:t>
      </w:r>
      <w:r w:rsidR="00381CBB" w:rsidRPr="00A21A6B">
        <w:rPr>
          <w:rFonts w:asciiTheme="majorHAnsi" w:hAnsiTheme="majorHAnsi" w:cstheme="majorHAnsi"/>
          <w:sz w:val="24"/>
          <w:szCs w:val="24"/>
          <w:lang w:val="ru-MD"/>
        </w:rPr>
        <w:t xml:space="preserve">арендаторам </w:t>
      </w:r>
      <w:r w:rsidRPr="00A21A6B">
        <w:rPr>
          <w:rFonts w:asciiTheme="majorHAnsi" w:hAnsiTheme="majorHAnsi" w:cstheme="majorHAnsi"/>
          <w:sz w:val="24"/>
          <w:szCs w:val="24"/>
          <w:lang w:val="ru-MD"/>
        </w:rPr>
        <w:t>ознакомиться с</w:t>
      </w:r>
      <w:r w:rsidR="00381CBB" w:rsidRPr="00A21A6B">
        <w:rPr>
          <w:rFonts w:asciiTheme="majorHAnsi" w:hAnsiTheme="majorHAnsi" w:cstheme="majorHAnsi"/>
          <w:sz w:val="24"/>
          <w:szCs w:val="24"/>
          <w:lang w:val="ru-MD"/>
        </w:rPr>
        <w:t xml:space="preserve"> компонент</w:t>
      </w:r>
      <w:r w:rsidRPr="00A21A6B">
        <w:rPr>
          <w:rFonts w:asciiTheme="majorHAnsi" w:hAnsiTheme="majorHAnsi" w:cstheme="majorHAnsi"/>
          <w:sz w:val="24"/>
          <w:szCs w:val="24"/>
          <w:lang w:val="ru-MD"/>
        </w:rPr>
        <w:t>ами</w:t>
      </w:r>
      <w:r w:rsidR="00381CBB" w:rsidRPr="00A21A6B">
        <w:rPr>
          <w:rFonts w:asciiTheme="majorHAnsi" w:hAnsiTheme="majorHAnsi" w:cstheme="majorHAnsi"/>
          <w:sz w:val="24"/>
          <w:szCs w:val="24"/>
          <w:lang w:val="ru-MD"/>
        </w:rPr>
        <w:t xml:space="preserve"> расчет</w:t>
      </w:r>
      <w:r w:rsidRPr="00A21A6B">
        <w:rPr>
          <w:rFonts w:asciiTheme="majorHAnsi" w:hAnsiTheme="majorHAnsi" w:cstheme="majorHAnsi"/>
          <w:sz w:val="24"/>
          <w:szCs w:val="24"/>
          <w:lang w:val="ru-MD"/>
        </w:rPr>
        <w:t>а</w:t>
      </w:r>
      <w:r w:rsidR="00381CBB" w:rsidRPr="00A21A6B">
        <w:rPr>
          <w:rFonts w:asciiTheme="majorHAnsi" w:hAnsiTheme="majorHAnsi" w:cstheme="majorHAnsi"/>
          <w:sz w:val="24"/>
          <w:szCs w:val="24"/>
          <w:lang w:val="ru-MD"/>
        </w:rPr>
        <w:t xml:space="preserve"> арендной платы, которые </w:t>
      </w:r>
      <w:r w:rsidRPr="00A21A6B">
        <w:rPr>
          <w:rFonts w:asciiTheme="majorHAnsi" w:hAnsiTheme="majorHAnsi" w:cstheme="majorHAnsi"/>
          <w:sz w:val="24"/>
          <w:szCs w:val="24"/>
          <w:lang w:val="ru-MD"/>
        </w:rPr>
        <w:t>повлияли на его</w:t>
      </w:r>
      <w:r w:rsidR="00381CBB" w:rsidRPr="00A21A6B">
        <w:rPr>
          <w:rFonts w:asciiTheme="majorHAnsi" w:hAnsiTheme="majorHAnsi" w:cstheme="majorHAnsi"/>
          <w:sz w:val="24"/>
          <w:szCs w:val="24"/>
          <w:lang w:val="ru-MD"/>
        </w:rPr>
        <w:t xml:space="preserve"> ее изменение (</w:t>
      </w:r>
      <w:r w:rsidR="00416CD2" w:rsidRPr="00A21A6B">
        <w:rPr>
          <w:rFonts w:asciiTheme="majorHAnsi" w:hAnsiTheme="majorHAnsi" w:cstheme="majorHAnsi"/>
          <w:sz w:val="24"/>
          <w:szCs w:val="24"/>
          <w:lang w:val="ru-MD"/>
        </w:rPr>
        <w:t>понесенные</w:t>
      </w:r>
      <w:r w:rsidR="00381CBB" w:rsidRPr="00A21A6B">
        <w:rPr>
          <w:rFonts w:asciiTheme="majorHAnsi" w:hAnsiTheme="majorHAnsi" w:cstheme="majorHAnsi"/>
          <w:sz w:val="24"/>
          <w:szCs w:val="24"/>
          <w:lang w:val="ru-MD"/>
        </w:rPr>
        <w:t xml:space="preserve"> затраты или теоретический коэффициент экологической важности леса), что исключит в будущем отказ арендаторов заключать дополнительные соглашения в случае пересмотра </w:t>
      </w:r>
      <w:r w:rsidR="00416CD2" w:rsidRPr="00A21A6B">
        <w:rPr>
          <w:rFonts w:asciiTheme="majorHAnsi" w:hAnsiTheme="majorHAnsi" w:cstheme="majorHAnsi"/>
          <w:sz w:val="24"/>
          <w:szCs w:val="24"/>
          <w:lang w:val="ru-MD"/>
        </w:rPr>
        <w:t>ее размера</w:t>
      </w:r>
      <w:r w:rsidR="00381CBB" w:rsidRPr="00A21A6B">
        <w:rPr>
          <w:rFonts w:asciiTheme="majorHAnsi" w:hAnsiTheme="majorHAnsi" w:cstheme="majorHAnsi"/>
          <w:sz w:val="24"/>
          <w:szCs w:val="24"/>
          <w:lang w:val="ru-MD"/>
        </w:rPr>
        <w:t xml:space="preserve">. Следует отметить, что </w:t>
      </w:r>
      <w:r w:rsidR="00416CD2" w:rsidRPr="00A21A6B">
        <w:rPr>
          <w:rFonts w:asciiTheme="majorHAnsi" w:hAnsiTheme="majorHAnsi" w:cstheme="majorHAnsi"/>
          <w:sz w:val="24"/>
          <w:szCs w:val="24"/>
          <w:lang w:val="ru-MD"/>
        </w:rPr>
        <w:t>арендаторы</w:t>
      </w:r>
      <w:r w:rsidR="00381CBB" w:rsidRPr="00A21A6B">
        <w:rPr>
          <w:rFonts w:asciiTheme="majorHAnsi" w:hAnsiTheme="majorHAnsi" w:cstheme="majorHAnsi"/>
          <w:sz w:val="24"/>
          <w:szCs w:val="24"/>
          <w:lang w:val="ru-MD"/>
        </w:rPr>
        <w:t xml:space="preserve"> в качестве </w:t>
      </w:r>
      <w:r w:rsidR="00416CD2" w:rsidRPr="00A21A6B">
        <w:rPr>
          <w:rFonts w:asciiTheme="majorHAnsi" w:hAnsiTheme="majorHAnsi" w:cstheme="majorHAnsi"/>
          <w:sz w:val="24"/>
          <w:szCs w:val="24"/>
          <w:lang w:val="ru-MD"/>
        </w:rPr>
        <w:t>обоснования своего</w:t>
      </w:r>
      <w:r w:rsidR="00381CBB" w:rsidRPr="00A21A6B">
        <w:rPr>
          <w:rFonts w:asciiTheme="majorHAnsi" w:hAnsiTheme="majorHAnsi" w:cstheme="majorHAnsi"/>
          <w:sz w:val="24"/>
          <w:szCs w:val="24"/>
          <w:lang w:val="ru-MD"/>
        </w:rPr>
        <w:t xml:space="preserve"> отказа ссылались на то, что </w:t>
      </w:r>
      <w:r w:rsidR="00416CD2" w:rsidRPr="00A21A6B">
        <w:rPr>
          <w:rFonts w:asciiTheme="majorHAnsi" w:hAnsiTheme="majorHAnsi" w:cstheme="majorHAnsi"/>
          <w:sz w:val="24"/>
          <w:szCs w:val="24"/>
          <w:lang w:val="ru-MD"/>
        </w:rPr>
        <w:t xml:space="preserve">не известны </w:t>
      </w:r>
      <w:r w:rsidR="00381CBB" w:rsidRPr="00A21A6B">
        <w:rPr>
          <w:rFonts w:asciiTheme="majorHAnsi" w:hAnsiTheme="majorHAnsi" w:cstheme="majorHAnsi"/>
          <w:sz w:val="24"/>
          <w:szCs w:val="24"/>
          <w:lang w:val="ru-MD"/>
        </w:rPr>
        <w:t xml:space="preserve">социально-экономические условия и конъюнктура рынка, которые легли в основу изменения соответствующих </w:t>
      </w:r>
      <w:r w:rsidR="00416CD2" w:rsidRPr="00A21A6B">
        <w:rPr>
          <w:rFonts w:asciiTheme="majorHAnsi" w:hAnsiTheme="majorHAnsi" w:cstheme="majorHAnsi"/>
          <w:sz w:val="24"/>
          <w:szCs w:val="24"/>
          <w:lang w:val="ru-MD"/>
        </w:rPr>
        <w:t>размеров</w:t>
      </w:r>
      <w:r w:rsidR="00381CBB" w:rsidRPr="00A21A6B">
        <w:rPr>
          <w:rFonts w:asciiTheme="majorHAnsi" w:hAnsiTheme="majorHAnsi" w:cstheme="majorHAnsi"/>
          <w:sz w:val="24"/>
          <w:szCs w:val="24"/>
          <w:lang w:val="ru-MD"/>
        </w:rPr>
        <w:t>. Было бы целесообразно, чтобы расшифровка аренд</w:t>
      </w:r>
      <w:r w:rsidR="00416CD2" w:rsidRPr="00A21A6B">
        <w:rPr>
          <w:rFonts w:asciiTheme="majorHAnsi" w:hAnsiTheme="majorHAnsi" w:cstheme="majorHAnsi"/>
          <w:sz w:val="24"/>
          <w:szCs w:val="24"/>
          <w:lang w:val="ru-MD"/>
        </w:rPr>
        <w:t xml:space="preserve">ной платы </w:t>
      </w:r>
      <w:r w:rsidR="00381CBB" w:rsidRPr="00A21A6B">
        <w:rPr>
          <w:rFonts w:asciiTheme="majorHAnsi" w:hAnsiTheme="majorHAnsi" w:cstheme="majorHAnsi"/>
          <w:sz w:val="24"/>
          <w:szCs w:val="24"/>
          <w:lang w:val="ru-MD"/>
        </w:rPr>
        <w:t xml:space="preserve">была </w:t>
      </w:r>
      <w:r w:rsidR="00416CD2" w:rsidRPr="00A21A6B">
        <w:rPr>
          <w:rFonts w:asciiTheme="majorHAnsi" w:hAnsiTheme="majorHAnsi" w:cstheme="majorHAnsi"/>
          <w:sz w:val="24"/>
          <w:szCs w:val="24"/>
          <w:lang w:val="ru-MD"/>
        </w:rPr>
        <w:t xml:space="preserve">включена как </w:t>
      </w:r>
      <w:r w:rsidR="00381CBB" w:rsidRPr="00A21A6B">
        <w:rPr>
          <w:rFonts w:asciiTheme="majorHAnsi" w:hAnsiTheme="majorHAnsi" w:cstheme="majorHAnsi"/>
          <w:sz w:val="24"/>
          <w:szCs w:val="24"/>
          <w:lang w:val="ru-MD"/>
        </w:rPr>
        <w:t>составн</w:t>
      </w:r>
      <w:r w:rsidR="00416CD2" w:rsidRPr="00A21A6B">
        <w:rPr>
          <w:rFonts w:asciiTheme="majorHAnsi" w:hAnsiTheme="majorHAnsi" w:cstheme="majorHAnsi"/>
          <w:sz w:val="24"/>
          <w:szCs w:val="24"/>
          <w:lang w:val="ru-MD"/>
        </w:rPr>
        <w:t>ая</w:t>
      </w:r>
      <w:r w:rsidR="00381CBB" w:rsidRPr="00A21A6B">
        <w:rPr>
          <w:rFonts w:asciiTheme="majorHAnsi" w:hAnsiTheme="majorHAnsi" w:cstheme="majorHAnsi"/>
          <w:sz w:val="24"/>
          <w:szCs w:val="24"/>
          <w:lang w:val="ru-MD"/>
        </w:rPr>
        <w:t xml:space="preserve"> часть договора аренды</w:t>
      </w:r>
      <w:r w:rsidR="00F40961" w:rsidRPr="00A21A6B">
        <w:rPr>
          <w:rFonts w:asciiTheme="majorHAnsi" w:hAnsiTheme="majorHAnsi" w:cstheme="majorHAnsi"/>
          <w:sz w:val="24"/>
          <w:szCs w:val="24"/>
          <w:lang w:val="ru-MD"/>
        </w:rPr>
        <w:t>.</w:t>
      </w:r>
    </w:p>
    <w:p w:rsidR="00F40961" w:rsidRPr="00A21A6B" w:rsidRDefault="00205916"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Необходимо</w:t>
      </w:r>
      <w:r w:rsidR="00381CBB" w:rsidRPr="00A21A6B">
        <w:rPr>
          <w:rFonts w:asciiTheme="majorHAnsi" w:hAnsiTheme="majorHAnsi" w:cstheme="majorHAnsi"/>
          <w:sz w:val="24"/>
          <w:szCs w:val="24"/>
          <w:lang w:val="ru-MD"/>
        </w:rPr>
        <w:t xml:space="preserve"> отметить, что последнее изменение размера платы </w:t>
      </w:r>
      <w:r w:rsidRPr="00A21A6B">
        <w:rPr>
          <w:rFonts w:asciiTheme="majorHAnsi" w:hAnsiTheme="majorHAnsi" w:cstheme="majorHAnsi"/>
          <w:sz w:val="24"/>
          <w:szCs w:val="24"/>
          <w:lang w:val="ru-MD"/>
        </w:rPr>
        <w:t xml:space="preserve">за </w:t>
      </w:r>
      <w:r w:rsidR="00381CBB" w:rsidRPr="00A21A6B">
        <w:rPr>
          <w:rFonts w:asciiTheme="majorHAnsi" w:hAnsiTheme="majorHAnsi" w:cstheme="majorHAnsi"/>
          <w:sz w:val="24"/>
          <w:szCs w:val="24"/>
          <w:lang w:val="ru-MD"/>
        </w:rPr>
        <w:t>аренд</w:t>
      </w:r>
      <w:r w:rsidRPr="00A21A6B">
        <w:rPr>
          <w:rFonts w:asciiTheme="majorHAnsi" w:hAnsiTheme="majorHAnsi" w:cstheme="majorHAnsi"/>
          <w:sz w:val="24"/>
          <w:szCs w:val="24"/>
          <w:lang w:val="ru-MD"/>
        </w:rPr>
        <w:t>у</w:t>
      </w:r>
      <w:r w:rsidR="00381CBB" w:rsidRPr="00A21A6B">
        <w:rPr>
          <w:rFonts w:asciiTheme="majorHAnsi" w:hAnsiTheme="majorHAnsi" w:cstheme="majorHAnsi"/>
          <w:sz w:val="24"/>
          <w:szCs w:val="24"/>
          <w:lang w:val="ru-MD"/>
        </w:rPr>
        <w:t xml:space="preserve"> земель лесного фонда произошло в 2016 году, при этом арендн</w:t>
      </w:r>
      <w:r w:rsidRPr="00A21A6B">
        <w:rPr>
          <w:rFonts w:asciiTheme="majorHAnsi" w:hAnsiTheme="majorHAnsi" w:cstheme="majorHAnsi"/>
          <w:sz w:val="24"/>
          <w:szCs w:val="24"/>
          <w:lang w:val="ru-MD"/>
        </w:rPr>
        <w:t>ая</w:t>
      </w:r>
      <w:r w:rsidR="00381CBB"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плата земель </w:t>
      </w:r>
      <w:r w:rsidR="00381CBB" w:rsidRPr="00A21A6B">
        <w:rPr>
          <w:rFonts w:asciiTheme="majorHAnsi" w:hAnsiTheme="majorHAnsi" w:cstheme="majorHAnsi"/>
          <w:sz w:val="24"/>
          <w:szCs w:val="24"/>
          <w:lang w:val="ru-MD"/>
        </w:rPr>
        <w:t>лесно</w:t>
      </w:r>
      <w:r w:rsidRPr="00A21A6B">
        <w:rPr>
          <w:rFonts w:asciiTheme="majorHAnsi" w:hAnsiTheme="majorHAnsi" w:cstheme="majorHAnsi"/>
          <w:sz w:val="24"/>
          <w:szCs w:val="24"/>
          <w:lang w:val="ru-MD"/>
        </w:rPr>
        <w:t>го</w:t>
      </w:r>
      <w:r w:rsidR="00381CBB" w:rsidRPr="00A21A6B">
        <w:rPr>
          <w:rFonts w:asciiTheme="majorHAnsi" w:hAnsiTheme="majorHAnsi" w:cstheme="majorHAnsi"/>
          <w:sz w:val="24"/>
          <w:szCs w:val="24"/>
          <w:lang w:val="ru-MD"/>
        </w:rPr>
        <w:t xml:space="preserve"> фонд</w:t>
      </w:r>
      <w:r w:rsidRPr="00A21A6B">
        <w:rPr>
          <w:rFonts w:asciiTheme="majorHAnsi" w:hAnsiTheme="majorHAnsi" w:cstheme="majorHAnsi"/>
          <w:sz w:val="24"/>
          <w:szCs w:val="24"/>
          <w:lang w:val="ru-MD"/>
        </w:rPr>
        <w:t>а</w:t>
      </w:r>
      <w:r w:rsidR="00381CBB"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для</w:t>
      </w:r>
      <w:r w:rsidR="00381CBB" w:rsidRPr="00A21A6B">
        <w:rPr>
          <w:rFonts w:asciiTheme="majorHAnsi" w:hAnsiTheme="majorHAnsi" w:cstheme="majorHAnsi"/>
          <w:sz w:val="24"/>
          <w:szCs w:val="24"/>
          <w:lang w:val="ru-MD"/>
        </w:rPr>
        <w:t xml:space="preserve"> </w:t>
      </w:r>
      <w:r w:rsidRPr="00A21A6B">
        <w:rPr>
          <w:rFonts w:asciiTheme="majorHAnsi" w:hAnsiTheme="majorHAnsi" w:cstheme="majorHAnsi"/>
          <w:sz w:val="24"/>
          <w:szCs w:val="24"/>
          <w:lang w:val="ru-MD"/>
        </w:rPr>
        <w:t xml:space="preserve">рекреационных </w:t>
      </w:r>
      <w:r w:rsidR="00381CBB" w:rsidRPr="00A21A6B">
        <w:rPr>
          <w:rFonts w:asciiTheme="majorHAnsi" w:hAnsiTheme="majorHAnsi" w:cstheme="majorHAnsi"/>
          <w:sz w:val="24"/>
          <w:szCs w:val="24"/>
          <w:lang w:val="ru-MD"/>
        </w:rPr>
        <w:t>цел</w:t>
      </w:r>
      <w:r w:rsidRPr="00A21A6B">
        <w:rPr>
          <w:rFonts w:asciiTheme="majorHAnsi" w:hAnsiTheme="majorHAnsi" w:cstheme="majorHAnsi"/>
          <w:sz w:val="24"/>
          <w:szCs w:val="24"/>
          <w:lang w:val="ru-MD"/>
        </w:rPr>
        <w:t>ей</w:t>
      </w:r>
      <w:r w:rsidR="00381CBB" w:rsidRPr="00A21A6B">
        <w:rPr>
          <w:rFonts w:asciiTheme="majorHAnsi" w:hAnsiTheme="majorHAnsi" w:cstheme="majorHAnsi"/>
          <w:sz w:val="24"/>
          <w:szCs w:val="24"/>
          <w:lang w:val="ru-MD"/>
        </w:rPr>
        <w:t xml:space="preserve"> была увеличена с 4 025 леев/га до 19 092,37 леев/га (+15 067,37 </w:t>
      </w:r>
      <w:r w:rsidRPr="00A21A6B">
        <w:rPr>
          <w:rFonts w:asciiTheme="majorHAnsi" w:hAnsiTheme="majorHAnsi" w:cstheme="majorHAnsi"/>
          <w:sz w:val="24"/>
          <w:szCs w:val="24"/>
          <w:lang w:val="ru-MD"/>
        </w:rPr>
        <w:t>л</w:t>
      </w:r>
      <w:r w:rsidR="00381CBB"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ев</w:t>
      </w:r>
      <w:r w:rsidR="00381CBB" w:rsidRPr="00A21A6B">
        <w:rPr>
          <w:rFonts w:asciiTheme="majorHAnsi" w:hAnsiTheme="majorHAnsi" w:cstheme="majorHAnsi"/>
          <w:sz w:val="24"/>
          <w:szCs w:val="24"/>
          <w:lang w:val="ru-MD"/>
        </w:rPr>
        <w:t>) в результате увеличения расходов лесн</w:t>
      </w:r>
      <w:r w:rsidRPr="00A21A6B">
        <w:rPr>
          <w:rFonts w:asciiTheme="majorHAnsi" w:hAnsiTheme="majorHAnsi" w:cstheme="majorHAnsi"/>
          <w:sz w:val="24"/>
          <w:szCs w:val="24"/>
          <w:lang w:val="ru-MD"/>
        </w:rPr>
        <w:t>ых</w:t>
      </w:r>
      <w:r w:rsidR="00381CBB" w:rsidRPr="00A21A6B">
        <w:rPr>
          <w:rFonts w:asciiTheme="majorHAnsi" w:hAnsiTheme="majorHAnsi" w:cstheme="majorHAnsi"/>
          <w:sz w:val="24"/>
          <w:szCs w:val="24"/>
          <w:lang w:val="ru-MD"/>
        </w:rPr>
        <w:t xml:space="preserve"> хозяйств,</w:t>
      </w:r>
      <w:r w:rsidRPr="00A21A6B">
        <w:rPr>
          <w:rFonts w:asciiTheme="majorHAnsi" w:hAnsiTheme="majorHAnsi" w:cstheme="majorHAnsi"/>
          <w:sz w:val="24"/>
          <w:szCs w:val="24"/>
          <w:lang w:val="ru-MD"/>
        </w:rPr>
        <w:t xml:space="preserve"> </w:t>
      </w:r>
      <w:r w:rsidR="00381CBB" w:rsidRPr="00A21A6B">
        <w:rPr>
          <w:rFonts w:asciiTheme="majorHAnsi" w:hAnsiTheme="majorHAnsi" w:cstheme="majorHAnsi"/>
          <w:sz w:val="24"/>
          <w:szCs w:val="24"/>
          <w:lang w:val="ru-MD"/>
        </w:rPr>
        <w:t>участвующ</w:t>
      </w:r>
      <w:r w:rsidRPr="00A21A6B">
        <w:rPr>
          <w:rFonts w:asciiTheme="majorHAnsi" w:hAnsiTheme="majorHAnsi" w:cstheme="majorHAnsi"/>
          <w:sz w:val="24"/>
          <w:szCs w:val="24"/>
          <w:lang w:val="ru-MD"/>
        </w:rPr>
        <w:t>их</w:t>
      </w:r>
      <w:r w:rsidR="00381CBB" w:rsidRPr="00A21A6B">
        <w:rPr>
          <w:rFonts w:asciiTheme="majorHAnsi" w:hAnsiTheme="majorHAnsi" w:cstheme="majorHAnsi"/>
          <w:sz w:val="24"/>
          <w:szCs w:val="24"/>
          <w:lang w:val="ru-MD"/>
        </w:rPr>
        <w:t xml:space="preserve"> в формировании </w:t>
      </w:r>
      <w:r w:rsidRPr="00A21A6B">
        <w:rPr>
          <w:rFonts w:asciiTheme="majorHAnsi" w:hAnsiTheme="majorHAnsi" w:cstheme="majorHAnsi"/>
          <w:sz w:val="24"/>
          <w:szCs w:val="24"/>
          <w:lang w:val="ru-MD"/>
        </w:rPr>
        <w:t>размера</w:t>
      </w:r>
      <w:r w:rsidR="00381CBB" w:rsidRPr="00A21A6B">
        <w:rPr>
          <w:rFonts w:asciiTheme="majorHAnsi" w:hAnsiTheme="majorHAnsi" w:cstheme="majorHAnsi"/>
          <w:sz w:val="24"/>
          <w:szCs w:val="24"/>
          <w:lang w:val="ru-MD"/>
        </w:rPr>
        <w:t xml:space="preserve"> аренд</w:t>
      </w:r>
      <w:r w:rsidRPr="00A21A6B">
        <w:rPr>
          <w:rFonts w:asciiTheme="majorHAnsi" w:hAnsiTheme="majorHAnsi" w:cstheme="majorHAnsi"/>
          <w:sz w:val="24"/>
          <w:szCs w:val="24"/>
          <w:lang w:val="ru-MD"/>
        </w:rPr>
        <w:t>ной платы,</w:t>
      </w:r>
      <w:r w:rsidR="00381CBB" w:rsidRPr="00A21A6B">
        <w:rPr>
          <w:rFonts w:asciiTheme="majorHAnsi" w:hAnsiTheme="majorHAnsi" w:cstheme="majorHAnsi"/>
          <w:sz w:val="24"/>
          <w:szCs w:val="24"/>
          <w:lang w:val="ru-MD"/>
        </w:rPr>
        <w:t xml:space="preserve"> и значительного увеличения коэффициента </w:t>
      </w:r>
      <w:r w:rsidRPr="00A21A6B">
        <w:rPr>
          <w:rFonts w:asciiTheme="majorHAnsi" w:hAnsiTheme="majorHAnsi" w:cstheme="majorHAnsi"/>
          <w:sz w:val="24"/>
          <w:szCs w:val="24"/>
          <w:lang w:val="ru-MD"/>
        </w:rPr>
        <w:t xml:space="preserve">за </w:t>
      </w:r>
      <w:r w:rsidR="00381CBB" w:rsidRPr="00A21A6B">
        <w:rPr>
          <w:rFonts w:asciiTheme="majorHAnsi" w:hAnsiTheme="majorHAnsi" w:cstheme="majorHAnsi"/>
          <w:sz w:val="24"/>
          <w:szCs w:val="24"/>
          <w:lang w:val="ru-MD"/>
        </w:rPr>
        <w:t>экологическо</w:t>
      </w:r>
      <w:r w:rsidRPr="00A21A6B">
        <w:rPr>
          <w:rFonts w:asciiTheme="majorHAnsi" w:hAnsiTheme="majorHAnsi" w:cstheme="majorHAnsi"/>
          <w:sz w:val="24"/>
          <w:szCs w:val="24"/>
          <w:lang w:val="ru-MD"/>
        </w:rPr>
        <w:t>е</w:t>
      </w:r>
      <w:r w:rsidR="00381CBB" w:rsidRPr="00A21A6B">
        <w:rPr>
          <w:rFonts w:asciiTheme="majorHAnsi" w:hAnsiTheme="majorHAnsi" w:cstheme="majorHAnsi"/>
          <w:sz w:val="24"/>
          <w:szCs w:val="24"/>
          <w:lang w:val="ru-MD"/>
        </w:rPr>
        <w:t xml:space="preserve"> воздействи</w:t>
      </w:r>
      <w:r w:rsidRPr="00A21A6B">
        <w:rPr>
          <w:rFonts w:asciiTheme="majorHAnsi" w:hAnsiTheme="majorHAnsi" w:cstheme="majorHAnsi"/>
          <w:sz w:val="24"/>
          <w:szCs w:val="24"/>
          <w:lang w:val="ru-MD"/>
        </w:rPr>
        <w:t>е</w:t>
      </w:r>
      <w:r w:rsidR="00381CBB" w:rsidRPr="00A21A6B">
        <w:rPr>
          <w:rFonts w:asciiTheme="majorHAnsi" w:hAnsiTheme="majorHAnsi" w:cstheme="majorHAnsi"/>
          <w:sz w:val="24"/>
          <w:szCs w:val="24"/>
          <w:lang w:val="ru-MD"/>
        </w:rPr>
        <w:t xml:space="preserve">. В условиях непрозрачности расчета </w:t>
      </w:r>
      <w:r w:rsidR="00E211F4" w:rsidRPr="00A21A6B">
        <w:rPr>
          <w:rFonts w:asciiTheme="majorHAnsi" w:hAnsiTheme="majorHAnsi" w:cstheme="majorHAnsi"/>
          <w:sz w:val="24"/>
          <w:szCs w:val="24"/>
          <w:lang w:val="ru-MD"/>
        </w:rPr>
        <w:t>размера</w:t>
      </w:r>
      <w:r w:rsidR="00381CBB" w:rsidRPr="00A21A6B">
        <w:rPr>
          <w:rFonts w:asciiTheme="majorHAnsi" w:hAnsiTheme="majorHAnsi" w:cstheme="majorHAnsi"/>
          <w:sz w:val="24"/>
          <w:szCs w:val="24"/>
          <w:lang w:val="ru-MD"/>
        </w:rPr>
        <w:t xml:space="preserve"> аренд</w:t>
      </w:r>
      <w:r w:rsidR="00E211F4" w:rsidRPr="00A21A6B">
        <w:rPr>
          <w:rFonts w:asciiTheme="majorHAnsi" w:hAnsiTheme="majorHAnsi" w:cstheme="majorHAnsi"/>
          <w:sz w:val="24"/>
          <w:szCs w:val="24"/>
          <w:lang w:val="ru-MD"/>
        </w:rPr>
        <w:t>ной платы,</w:t>
      </w:r>
      <w:r w:rsidR="00381CBB" w:rsidRPr="00A21A6B">
        <w:rPr>
          <w:rFonts w:asciiTheme="majorHAnsi" w:hAnsiTheme="majorHAnsi" w:cstheme="majorHAnsi"/>
          <w:sz w:val="24"/>
          <w:szCs w:val="24"/>
          <w:lang w:val="ru-MD"/>
        </w:rPr>
        <w:t xml:space="preserve"> Агентство испытывает трудности с возобновлением договоров аренды, п</w:t>
      </w:r>
      <w:r w:rsidR="005529A4" w:rsidRPr="00A21A6B">
        <w:rPr>
          <w:rFonts w:asciiTheme="majorHAnsi" w:hAnsiTheme="majorHAnsi" w:cstheme="majorHAnsi"/>
          <w:sz w:val="24"/>
          <w:szCs w:val="24"/>
          <w:lang w:val="ru-MD"/>
        </w:rPr>
        <w:t>оскольку</w:t>
      </w:r>
      <w:r w:rsidR="00381CBB" w:rsidRPr="00A21A6B">
        <w:rPr>
          <w:rFonts w:asciiTheme="majorHAnsi" w:hAnsiTheme="majorHAnsi" w:cstheme="majorHAnsi"/>
          <w:sz w:val="24"/>
          <w:szCs w:val="24"/>
          <w:lang w:val="ru-MD"/>
        </w:rPr>
        <w:t xml:space="preserve"> арендаторы не</w:t>
      </w:r>
      <w:r w:rsidR="005529A4" w:rsidRPr="00A21A6B">
        <w:rPr>
          <w:rFonts w:asciiTheme="majorHAnsi" w:hAnsiTheme="majorHAnsi" w:cstheme="majorHAnsi"/>
          <w:sz w:val="24"/>
          <w:szCs w:val="24"/>
          <w:lang w:val="ru-MD"/>
        </w:rPr>
        <w:t xml:space="preserve"> </w:t>
      </w:r>
      <w:r w:rsidR="00381CBB" w:rsidRPr="00A21A6B">
        <w:rPr>
          <w:rFonts w:asciiTheme="majorHAnsi" w:hAnsiTheme="majorHAnsi" w:cstheme="majorHAnsi"/>
          <w:sz w:val="24"/>
          <w:szCs w:val="24"/>
          <w:lang w:val="ru-MD"/>
        </w:rPr>
        <w:t>соглас</w:t>
      </w:r>
      <w:r w:rsidR="005529A4" w:rsidRPr="00A21A6B">
        <w:rPr>
          <w:rFonts w:asciiTheme="majorHAnsi" w:hAnsiTheme="majorHAnsi" w:cstheme="majorHAnsi"/>
          <w:sz w:val="24"/>
          <w:szCs w:val="24"/>
          <w:lang w:val="ru-MD"/>
        </w:rPr>
        <w:t>ны</w:t>
      </w:r>
      <w:r w:rsidR="00381CBB" w:rsidRPr="00A21A6B">
        <w:rPr>
          <w:rFonts w:asciiTheme="majorHAnsi" w:hAnsiTheme="majorHAnsi" w:cstheme="majorHAnsi"/>
          <w:sz w:val="24"/>
          <w:szCs w:val="24"/>
          <w:lang w:val="ru-MD"/>
        </w:rPr>
        <w:t xml:space="preserve"> с их возобновлением из-за незнания обстоятельств, которые повлияли на его изменение.  В </w:t>
      </w:r>
      <w:r w:rsidR="005529A4" w:rsidRPr="00A21A6B">
        <w:rPr>
          <w:rFonts w:asciiTheme="majorHAnsi" w:hAnsiTheme="majorHAnsi" w:cstheme="majorHAnsi"/>
          <w:sz w:val="24"/>
          <w:szCs w:val="24"/>
          <w:lang w:val="ru-MD"/>
        </w:rPr>
        <w:t>итоге,</w:t>
      </w:r>
      <w:r w:rsidR="00381CBB" w:rsidRPr="00A21A6B">
        <w:rPr>
          <w:rFonts w:asciiTheme="majorHAnsi" w:hAnsiTheme="majorHAnsi" w:cstheme="majorHAnsi"/>
          <w:sz w:val="24"/>
          <w:szCs w:val="24"/>
          <w:lang w:val="ru-MD"/>
        </w:rPr>
        <w:t xml:space="preserve"> все действия, бездействие или </w:t>
      </w:r>
      <w:r w:rsidR="005529A4" w:rsidRPr="00A21A6B">
        <w:rPr>
          <w:rFonts w:asciiTheme="majorHAnsi" w:hAnsiTheme="majorHAnsi" w:cstheme="majorHAnsi"/>
          <w:sz w:val="24"/>
          <w:szCs w:val="24"/>
          <w:lang w:val="ru-MD"/>
        </w:rPr>
        <w:t xml:space="preserve">ненадлежащие </w:t>
      </w:r>
      <w:r w:rsidR="00381CBB" w:rsidRPr="00A21A6B">
        <w:rPr>
          <w:rFonts w:asciiTheme="majorHAnsi" w:hAnsiTheme="majorHAnsi" w:cstheme="majorHAnsi"/>
          <w:sz w:val="24"/>
          <w:szCs w:val="24"/>
          <w:lang w:val="ru-MD"/>
        </w:rPr>
        <w:t>действия способствовали не</w:t>
      </w:r>
      <w:r w:rsidR="005529A4" w:rsidRPr="00A21A6B">
        <w:rPr>
          <w:rFonts w:asciiTheme="majorHAnsi" w:hAnsiTheme="majorHAnsi" w:cstheme="majorHAnsi"/>
          <w:sz w:val="24"/>
          <w:szCs w:val="24"/>
          <w:lang w:val="ru-MD"/>
        </w:rPr>
        <w:t>актуализации</w:t>
      </w:r>
      <w:r w:rsidR="00381CBB" w:rsidRPr="00A21A6B">
        <w:rPr>
          <w:rFonts w:asciiTheme="majorHAnsi" w:hAnsiTheme="majorHAnsi" w:cstheme="majorHAnsi"/>
          <w:sz w:val="24"/>
          <w:szCs w:val="24"/>
          <w:lang w:val="ru-MD"/>
        </w:rPr>
        <w:t xml:space="preserve"> договоров аренды, что обусловило сокращение поступлений в государственный бюджет </w:t>
      </w:r>
      <w:r w:rsidR="005529A4" w:rsidRPr="00A21A6B">
        <w:rPr>
          <w:rFonts w:asciiTheme="majorHAnsi" w:hAnsiTheme="majorHAnsi" w:cstheme="majorHAnsi"/>
          <w:sz w:val="24"/>
          <w:szCs w:val="24"/>
          <w:lang w:val="ru-MD"/>
        </w:rPr>
        <w:t xml:space="preserve">минимум </w:t>
      </w:r>
      <w:r w:rsidR="00381CBB" w:rsidRPr="00A21A6B">
        <w:rPr>
          <w:rFonts w:asciiTheme="majorHAnsi" w:hAnsiTheme="majorHAnsi" w:cstheme="majorHAnsi"/>
          <w:sz w:val="24"/>
          <w:szCs w:val="24"/>
          <w:lang w:val="ru-MD"/>
        </w:rPr>
        <w:t>на 23,59 млн. ле</w:t>
      </w:r>
      <w:r w:rsidR="005529A4" w:rsidRPr="00A21A6B">
        <w:rPr>
          <w:rFonts w:asciiTheme="majorHAnsi" w:hAnsiTheme="majorHAnsi" w:cstheme="majorHAnsi"/>
          <w:sz w:val="24"/>
          <w:szCs w:val="24"/>
          <w:lang w:val="ru-MD"/>
        </w:rPr>
        <w:t>ев</w:t>
      </w:r>
      <w:r w:rsidR="00F40961" w:rsidRPr="00A21A6B">
        <w:rPr>
          <w:rFonts w:asciiTheme="majorHAnsi" w:hAnsiTheme="majorHAnsi" w:cstheme="majorHAnsi"/>
          <w:sz w:val="24"/>
          <w:szCs w:val="24"/>
          <w:lang w:val="ru-MD"/>
        </w:rPr>
        <w:t>.</w:t>
      </w:r>
    </w:p>
    <w:p w:rsidR="00F40961" w:rsidRPr="00A21A6B" w:rsidRDefault="00381CBB"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Следует также отметить, что отказ арендаторов заключ</w:t>
      </w:r>
      <w:r w:rsidR="00E211F4" w:rsidRPr="00A21A6B">
        <w:rPr>
          <w:rFonts w:asciiTheme="majorHAnsi" w:hAnsiTheme="majorHAnsi" w:cstheme="majorHAnsi"/>
          <w:sz w:val="24"/>
          <w:szCs w:val="24"/>
          <w:lang w:val="ru-MD"/>
        </w:rPr>
        <w:t>ать</w:t>
      </w:r>
      <w:r w:rsidRPr="00A21A6B">
        <w:rPr>
          <w:rFonts w:asciiTheme="majorHAnsi" w:hAnsiTheme="majorHAnsi" w:cstheme="majorHAnsi"/>
          <w:sz w:val="24"/>
          <w:szCs w:val="24"/>
          <w:lang w:val="ru-MD"/>
        </w:rPr>
        <w:t xml:space="preserve"> дополнительны</w:t>
      </w:r>
      <w:r w:rsidR="00E211F4" w:rsidRPr="00A21A6B">
        <w:rPr>
          <w:rFonts w:asciiTheme="majorHAnsi" w:hAnsiTheme="majorHAnsi" w:cstheme="majorHAnsi"/>
          <w:sz w:val="24"/>
          <w:szCs w:val="24"/>
          <w:lang w:val="ru-MD"/>
        </w:rPr>
        <w:t>е</w:t>
      </w:r>
      <w:r w:rsidRPr="00A21A6B">
        <w:rPr>
          <w:rFonts w:asciiTheme="majorHAnsi" w:hAnsiTheme="majorHAnsi" w:cstheme="majorHAnsi"/>
          <w:sz w:val="24"/>
          <w:szCs w:val="24"/>
          <w:lang w:val="ru-MD"/>
        </w:rPr>
        <w:t xml:space="preserve"> соглашени</w:t>
      </w:r>
      <w:r w:rsidR="00E211F4" w:rsidRPr="00A21A6B">
        <w:rPr>
          <w:rFonts w:asciiTheme="majorHAnsi" w:hAnsiTheme="majorHAnsi" w:cstheme="majorHAnsi"/>
          <w:sz w:val="24"/>
          <w:szCs w:val="24"/>
          <w:lang w:val="ru-MD"/>
        </w:rPr>
        <w:t>я</w:t>
      </w:r>
      <w:r w:rsidRPr="00A21A6B">
        <w:rPr>
          <w:rFonts w:asciiTheme="majorHAnsi" w:hAnsiTheme="majorHAnsi" w:cstheme="majorHAnsi"/>
          <w:sz w:val="24"/>
          <w:szCs w:val="24"/>
          <w:lang w:val="ru-MD"/>
        </w:rPr>
        <w:t xml:space="preserve"> также вызван не</w:t>
      </w:r>
      <w:r w:rsidR="00E211F4" w:rsidRPr="00A21A6B">
        <w:rPr>
          <w:rFonts w:asciiTheme="majorHAnsi" w:hAnsiTheme="majorHAnsi" w:cstheme="majorHAnsi"/>
          <w:sz w:val="24"/>
          <w:szCs w:val="24"/>
          <w:lang w:val="ru-MD"/>
        </w:rPr>
        <w:t>то</w:t>
      </w:r>
      <w:r w:rsidRPr="00A21A6B">
        <w:rPr>
          <w:rFonts w:asciiTheme="majorHAnsi" w:hAnsiTheme="majorHAnsi" w:cstheme="majorHAnsi"/>
          <w:sz w:val="24"/>
          <w:szCs w:val="24"/>
          <w:lang w:val="ru-MD"/>
        </w:rPr>
        <w:t>чными и не</w:t>
      </w:r>
      <w:r w:rsidR="00E211F4" w:rsidRPr="00A21A6B">
        <w:rPr>
          <w:rFonts w:asciiTheme="majorHAnsi" w:hAnsiTheme="majorHAnsi" w:cstheme="majorHAnsi"/>
          <w:sz w:val="24"/>
          <w:szCs w:val="24"/>
          <w:lang w:val="ru-MD"/>
        </w:rPr>
        <w:t>соответствую</w:t>
      </w:r>
      <w:r w:rsidRPr="00A21A6B">
        <w:rPr>
          <w:rFonts w:asciiTheme="majorHAnsi" w:hAnsiTheme="majorHAnsi" w:cstheme="majorHAnsi"/>
          <w:sz w:val="24"/>
          <w:szCs w:val="24"/>
          <w:lang w:val="ru-MD"/>
        </w:rPr>
        <w:t xml:space="preserve">щими положениями, включенными в договоры аренды (п..21), которые </w:t>
      </w:r>
      <w:r w:rsidR="00E211F4" w:rsidRPr="00A21A6B">
        <w:rPr>
          <w:rFonts w:asciiTheme="majorHAnsi" w:hAnsiTheme="majorHAnsi" w:cstheme="majorHAnsi"/>
          <w:sz w:val="24"/>
          <w:szCs w:val="24"/>
          <w:lang w:val="ru-MD"/>
        </w:rPr>
        <w:t>непосредственно заимствованы</w:t>
      </w:r>
      <w:r w:rsidRPr="00A21A6B">
        <w:rPr>
          <w:rFonts w:asciiTheme="majorHAnsi" w:hAnsiTheme="majorHAnsi" w:cstheme="majorHAnsi"/>
          <w:sz w:val="24"/>
          <w:szCs w:val="24"/>
          <w:lang w:val="ru-MD"/>
        </w:rPr>
        <w:t xml:space="preserve"> из </w:t>
      </w:r>
      <w:r w:rsidR="00E211F4" w:rsidRPr="00A21A6B">
        <w:rPr>
          <w:rFonts w:asciiTheme="majorHAnsi" w:hAnsiTheme="majorHAnsi" w:cstheme="majorHAnsi"/>
          <w:sz w:val="24"/>
          <w:szCs w:val="24"/>
          <w:lang w:val="ru-MD"/>
        </w:rPr>
        <w:t>п</w:t>
      </w:r>
      <w:r w:rsidRPr="00A21A6B">
        <w:rPr>
          <w:rFonts w:asciiTheme="majorHAnsi" w:hAnsiTheme="majorHAnsi" w:cstheme="majorHAnsi"/>
          <w:sz w:val="24"/>
          <w:szCs w:val="24"/>
          <w:lang w:val="ru-MD"/>
        </w:rPr>
        <w:t xml:space="preserve">.4 Приложения к </w:t>
      </w:r>
      <w:r w:rsidR="00E211F4" w:rsidRPr="00A21A6B">
        <w:rPr>
          <w:rFonts w:asciiTheme="majorHAnsi" w:hAnsiTheme="majorHAnsi" w:cstheme="majorHAnsi"/>
          <w:sz w:val="24"/>
          <w:szCs w:val="24"/>
          <w:lang w:val="ru-MD"/>
        </w:rPr>
        <w:t>ПП</w:t>
      </w:r>
      <w:r w:rsidRPr="00A21A6B">
        <w:rPr>
          <w:rFonts w:asciiTheme="majorHAnsi" w:hAnsiTheme="majorHAnsi" w:cstheme="majorHAnsi"/>
          <w:sz w:val="24"/>
          <w:szCs w:val="24"/>
          <w:lang w:val="ru-MD"/>
        </w:rPr>
        <w:t xml:space="preserve"> №187/2018 и предназначены для разработчика политики в этой области, но не для арендаторов</w:t>
      </w:r>
      <w:r w:rsidR="00F40961" w:rsidRPr="00A21A6B">
        <w:rPr>
          <w:rFonts w:asciiTheme="majorHAnsi" w:hAnsiTheme="majorHAnsi" w:cstheme="majorHAnsi"/>
          <w:sz w:val="24"/>
          <w:szCs w:val="24"/>
          <w:lang w:val="ru-MD"/>
        </w:rPr>
        <w:t>.</w:t>
      </w:r>
    </w:p>
    <w:p w:rsidR="00F40961" w:rsidRPr="00A21A6B" w:rsidRDefault="00E211F4" w:rsidP="00F40961">
      <w:pPr>
        <w:spacing w:after="120" w:line="276" w:lineRule="auto"/>
        <w:jc w:val="both"/>
        <w:rPr>
          <w:rFonts w:asciiTheme="majorHAnsi" w:hAnsiTheme="majorHAnsi" w:cstheme="majorHAnsi"/>
          <w:sz w:val="24"/>
          <w:szCs w:val="24"/>
          <w:lang w:val="ru-MD"/>
        </w:rPr>
      </w:pPr>
      <w:r w:rsidRPr="00A21A6B">
        <w:rPr>
          <w:rFonts w:asciiTheme="majorHAnsi" w:hAnsiTheme="majorHAnsi" w:cstheme="majorHAnsi"/>
          <w:sz w:val="24"/>
          <w:szCs w:val="24"/>
          <w:lang w:val="ru-MD"/>
        </w:rPr>
        <w:t>Вышеизложенные ситуации указывают на острую необходимость принятия срочных мер для устранения выявленных недостатков</w:t>
      </w:r>
      <w:r w:rsidR="00F40961" w:rsidRPr="00A21A6B">
        <w:rPr>
          <w:rFonts w:asciiTheme="majorHAnsi" w:hAnsiTheme="majorHAnsi" w:cstheme="majorHAnsi"/>
          <w:sz w:val="24"/>
          <w:szCs w:val="24"/>
          <w:lang w:val="ru-MD"/>
        </w:rPr>
        <w:t>.</w:t>
      </w:r>
    </w:p>
    <w:p w:rsidR="00F40961" w:rsidRPr="00A21A6B" w:rsidRDefault="00F40961" w:rsidP="00F40961">
      <w:pPr>
        <w:ind w:firstLine="709"/>
        <w:jc w:val="right"/>
        <w:rPr>
          <w:rFonts w:asciiTheme="majorHAnsi" w:hAnsiTheme="majorHAnsi" w:cstheme="majorHAnsi"/>
          <w:sz w:val="24"/>
          <w:szCs w:val="24"/>
          <w:lang w:val="ru-MD"/>
        </w:rPr>
      </w:pPr>
    </w:p>
    <w:p w:rsidR="00F40961" w:rsidRPr="00A21A6B" w:rsidRDefault="00F40961" w:rsidP="00F40961">
      <w:pPr>
        <w:tabs>
          <w:tab w:val="left" w:pos="810"/>
          <w:tab w:val="left" w:pos="1701"/>
        </w:tabs>
        <w:spacing w:after="0"/>
        <w:ind w:firstLine="709"/>
        <w:jc w:val="both"/>
        <w:rPr>
          <w:rFonts w:asciiTheme="majorHAnsi" w:hAnsiTheme="majorHAnsi" w:cstheme="majorHAnsi"/>
          <w:sz w:val="24"/>
          <w:szCs w:val="24"/>
          <w:lang w:val="ru-MD"/>
        </w:rPr>
      </w:pPr>
    </w:p>
    <w:p w:rsidR="00F40961" w:rsidRPr="00A21A6B" w:rsidRDefault="00F40961" w:rsidP="00F40961">
      <w:pPr>
        <w:rPr>
          <w:rFonts w:asciiTheme="majorHAnsi" w:hAnsiTheme="majorHAnsi" w:cstheme="majorHAnsi"/>
          <w:sz w:val="24"/>
          <w:szCs w:val="24"/>
          <w:lang w:val="ru-MD"/>
        </w:rPr>
      </w:pPr>
    </w:p>
    <w:p w:rsidR="00E74F96" w:rsidRPr="00A21A6B" w:rsidRDefault="00E74F96">
      <w:pPr>
        <w:rPr>
          <w:lang w:val="ru-MD"/>
        </w:rPr>
      </w:pPr>
    </w:p>
    <w:sectPr w:rsidR="00E74F96" w:rsidRPr="00A21A6B" w:rsidSect="00797CA1">
      <w:pgSz w:w="11906" w:h="16838" w:code="9"/>
      <w:pgMar w:top="851" w:right="1133"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22" w:rsidRDefault="001C0122" w:rsidP="00F40961">
      <w:pPr>
        <w:spacing w:after="0" w:line="240" w:lineRule="auto"/>
      </w:pPr>
      <w:r>
        <w:separator/>
      </w:r>
    </w:p>
  </w:endnote>
  <w:endnote w:type="continuationSeparator" w:id="0">
    <w:p w:rsidR="001C0122" w:rsidRDefault="001C0122" w:rsidP="00F4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295"/>
      <w:docPartObj>
        <w:docPartGallery w:val="Page Numbers (Bottom of Page)"/>
        <w:docPartUnique/>
      </w:docPartObj>
    </w:sdtPr>
    <w:sdtEndPr>
      <w:rPr>
        <w:rFonts w:asciiTheme="majorHAnsi" w:hAnsiTheme="majorHAnsi"/>
      </w:rPr>
    </w:sdtEndPr>
    <w:sdtContent>
      <w:p w:rsidR="00801661" w:rsidRPr="000A27D8" w:rsidRDefault="00801661">
        <w:pPr>
          <w:pStyle w:val="Footer"/>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2B6AA4">
          <w:rPr>
            <w:rFonts w:asciiTheme="majorHAnsi" w:hAnsiTheme="majorHAnsi"/>
            <w:noProof/>
          </w:rPr>
          <w:t>5</w:t>
        </w:r>
        <w:r w:rsidRPr="000A27D8">
          <w:rPr>
            <w:rFonts w:asciiTheme="majorHAnsi" w:hAnsiTheme="majorHAnsi"/>
            <w:noProof/>
          </w:rPr>
          <w:fldChar w:fldCharType="end"/>
        </w:r>
      </w:p>
    </w:sdtContent>
  </w:sdt>
  <w:p w:rsidR="00801661" w:rsidRDefault="00801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22" w:rsidRDefault="001C0122" w:rsidP="00F40961">
      <w:pPr>
        <w:spacing w:after="0" w:line="240" w:lineRule="auto"/>
      </w:pPr>
      <w:r>
        <w:separator/>
      </w:r>
    </w:p>
  </w:footnote>
  <w:footnote w:type="continuationSeparator" w:id="0">
    <w:p w:rsidR="001C0122" w:rsidRDefault="001C0122" w:rsidP="00F40961">
      <w:pPr>
        <w:spacing w:after="0" w:line="240" w:lineRule="auto"/>
      </w:pPr>
      <w:r>
        <w:continuationSeparator/>
      </w:r>
    </w:p>
  </w:footnote>
  <w:footnote w:id="1">
    <w:p w:rsidR="00801661" w:rsidRPr="00893AA8" w:rsidRDefault="00801661" w:rsidP="00893AA8">
      <w:pPr>
        <w:pStyle w:val="FootnoteText"/>
        <w:ind w:right="-285"/>
        <w:jc w:val="both"/>
        <w:rPr>
          <w:rFonts w:asciiTheme="majorHAnsi" w:hAnsiTheme="majorHAnsi" w:cstheme="majorHAnsi"/>
          <w:lang w:val="ru-MD"/>
        </w:rPr>
      </w:pPr>
      <w:r w:rsidRPr="00893AA8">
        <w:rPr>
          <w:rFonts w:asciiTheme="majorHAnsi" w:eastAsia="Times New Roman" w:hAnsiTheme="majorHAnsi" w:cstheme="majorHAnsi"/>
          <w:vertAlign w:val="superscript"/>
          <w:lang w:val="ru-MD"/>
        </w:rPr>
        <w:footnoteRef/>
      </w:r>
      <w:r w:rsidRPr="00893AA8">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(далее - </w:t>
      </w:r>
      <w:r w:rsidRPr="00893AA8">
        <w:rPr>
          <w:rFonts w:asciiTheme="majorHAnsi" w:hAnsiTheme="majorHAnsi" w:cstheme="majorHAnsi"/>
          <w:lang w:val="ru-MD"/>
        </w:rPr>
        <w:t xml:space="preserve">Приказ министра финансов </w:t>
      </w:r>
      <w:r w:rsidRPr="00893AA8">
        <w:rPr>
          <w:rFonts w:asciiTheme="majorHAnsi" w:eastAsia="Times New Roman" w:hAnsiTheme="majorHAnsi" w:cstheme="majorHAnsi"/>
          <w:lang w:val="ru-MD"/>
        </w:rPr>
        <w:t xml:space="preserve">№216 от 28.12.15). </w:t>
      </w:r>
    </w:p>
  </w:footnote>
  <w:footnote w:id="2">
    <w:p w:rsidR="00801661" w:rsidRPr="00893AA8" w:rsidRDefault="00801661" w:rsidP="00893AA8">
      <w:pPr>
        <w:pStyle w:val="FootnoteText"/>
        <w:tabs>
          <w:tab w:val="left" w:pos="180"/>
        </w:tabs>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Согласно выписке из Единого государственного реестра юридических лиц, индивидуальных предпринимателей и общественных объединений Украины, учредителем 2 государственных предприятий (Черновицкого карьера и Первомайского карьера) является Агентство публичной собственности.</w:t>
      </w:r>
    </w:p>
  </w:footnote>
  <w:footnote w:id="3">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№1077/2016</w:t>
      </w:r>
      <w:r w:rsidR="00893AA8">
        <w:rPr>
          <w:rFonts w:asciiTheme="majorHAnsi" w:hAnsiTheme="majorHAnsi" w:cstheme="majorHAnsi"/>
          <w:lang w:val="ru-MD"/>
        </w:rPr>
        <w:t xml:space="preserve"> </w:t>
      </w:r>
      <w:r w:rsidRPr="00893AA8">
        <w:rPr>
          <w:rFonts w:asciiTheme="majorHAnsi" w:hAnsiTheme="majorHAnsi" w:cstheme="majorHAnsi"/>
          <w:lang w:val="ru-MD"/>
        </w:rPr>
        <w:t>”О профессионально-технических учебных заведениях". Переход колледжей на самоуправление произошел в 2020 году.</w:t>
      </w:r>
    </w:p>
  </w:footnote>
  <w:footnote w:id="4">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Расчет: 247,5 млн. леев + 24.827,5 млн. леев – 25,7 млн. леев – 20,5 млн. леев = 25.028,8 млн. леев.</w:t>
      </w:r>
    </w:p>
  </w:footnote>
  <w:footnote w:id="5">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Закон о разграничении публичной собственности №29/2018.</w:t>
      </w:r>
    </w:p>
  </w:footnote>
  <w:footnote w:id="6">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Закон о государственном предприятии и муниципальном предприятии №246/2017 (далее – Закон №246/2017.</w:t>
      </w:r>
    </w:p>
  </w:footnote>
  <w:footnote w:id="7">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Ст.4 Закона №246/2017.</w:t>
      </w:r>
    </w:p>
  </w:footnote>
  <w:footnote w:id="8">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Чтобы определить стоимость земельных участков, субъект должен был применить, для признания, кадастровую стоимость, указанную в Регистре недвижимого имущества, или, в случае его отсутствия, нормативную цену, рассчитанную в соответствии с положениями Закона о нормативной цене и порядке купли-продажи земли №1308-XIII от 25 июля 1997 года.</w:t>
      </w:r>
    </w:p>
  </w:footnote>
  <w:footnote w:id="9">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Расчет: 48,51 млн. леев (незарегистрированные земельные участки) – 37,88 млн. леев (земельные участки третьих лиц) = 10,63 млн. леев.</w:t>
      </w:r>
    </w:p>
  </w:footnote>
  <w:footnote w:id="10">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База отдыха „Selecția”, в управлении Научно-исследовательского института полевых культур „Selecția”.</w:t>
      </w:r>
    </w:p>
  </w:footnote>
  <w:footnote w:id="11">
    <w:p w:rsidR="00801661" w:rsidRPr="00893AA8" w:rsidRDefault="00801661" w:rsidP="00893AA8">
      <w:pPr>
        <w:pStyle w:val="FootnoteText"/>
        <w:jc w:val="both"/>
        <w:rPr>
          <w:rFonts w:asciiTheme="majorHAnsi" w:eastAsia="Times New Roman"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893AA8">
        <w:rPr>
          <w:rFonts w:asciiTheme="majorHAnsi" w:eastAsia="Times New Roman" w:hAnsiTheme="majorHAnsi" w:cstheme="majorHAnsi"/>
          <w:lang w:val="ru-MD"/>
        </w:rPr>
        <w:t xml:space="preserve">.  </w:t>
      </w:r>
    </w:p>
  </w:footnote>
  <w:footnote w:id="12">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Закон о несостоятельности №</w:t>
      </w:r>
      <w:r w:rsidRPr="00893AA8">
        <w:rPr>
          <w:rFonts w:asciiTheme="majorHAnsi" w:hAnsiTheme="majorHAnsi" w:cstheme="majorHAnsi"/>
          <w:noProof/>
          <w:lang w:val="ru-MD"/>
        </w:rPr>
        <w:t>149 от 29.06.2012.</w:t>
      </w:r>
    </w:p>
  </w:footnote>
  <w:footnote w:id="13">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Счет 128 „Обесценение земельных участков” и счет 1226 „Земельные участки, полученные в управление”.</w:t>
      </w:r>
    </w:p>
  </w:footnote>
  <w:footnote w:id="14">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ГП Бельцкий комбинат пищевых продуктов – с 2010 года, ГП „Moldresurse” –  с 2010 года.</w:t>
      </w:r>
    </w:p>
  </w:footnote>
  <w:footnote w:id="15">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ПУ Подразделение по внедрению проектов в области окружающей среды, код ECO 331110 „Покупка топлива, горюче-смазочных материалов” – 2.269,55 леев. </w:t>
      </w:r>
    </w:p>
  </w:footnote>
  <w:footnote w:id="16">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Объединенное подразделение по внедрению проектов IFAD (ОПВП-IFAD) 16353 – 458.707,68 леев.</w:t>
      </w:r>
    </w:p>
  </w:footnote>
  <w:footnote w:id="17">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НБВВ.</w:t>
      </w:r>
    </w:p>
  </w:footnote>
  <w:footnote w:id="18">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31.03.2021.</w:t>
      </w:r>
    </w:p>
  </w:footnote>
  <w:footnote w:id="19">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11 субъектов заявили, что установленный у них внутренний управленческий контроль соответствует нормам, 8 субъектов - частично соответствует нормам.</w:t>
      </w:r>
    </w:p>
  </w:footnote>
  <w:footnote w:id="20">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Фитотехнический институт „Porumbeni”.</w:t>
      </w:r>
    </w:p>
  </w:footnote>
  <w:footnote w:id="21">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В условиях отсутствия разрешения на забор воды для специального использования, учреждение подлежит наложению штрафа в размере не менее 103 тысяч леев.</w:t>
      </w:r>
    </w:p>
  </w:footnote>
  <w:footnote w:id="22">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Тарифы могут быть утверждены НАРЭ или местным советом.</w:t>
      </w:r>
    </w:p>
  </w:footnote>
  <w:footnote w:id="23">
    <w:p w:rsidR="00801661" w:rsidRPr="00893AA8" w:rsidRDefault="00801661" w:rsidP="00893AA8">
      <w:pPr>
        <w:spacing w:after="0" w:line="240" w:lineRule="auto"/>
        <w:jc w:val="both"/>
        <w:rPr>
          <w:rFonts w:asciiTheme="majorHAnsi" w:hAnsiTheme="majorHAnsi" w:cstheme="majorHAnsi"/>
          <w:sz w:val="20"/>
          <w:szCs w:val="20"/>
          <w:lang w:val="ru-MD"/>
        </w:rPr>
      </w:pPr>
      <w:r w:rsidRPr="00893AA8">
        <w:rPr>
          <w:rStyle w:val="FootnoteReference"/>
          <w:rFonts w:asciiTheme="majorHAnsi" w:hAnsiTheme="majorHAnsi" w:cstheme="majorHAnsi"/>
          <w:sz w:val="20"/>
          <w:szCs w:val="20"/>
          <w:lang w:val="ru-MD"/>
        </w:rPr>
        <w:footnoteRef/>
      </w:r>
      <w:r w:rsidRPr="00893AA8">
        <w:rPr>
          <w:rFonts w:asciiTheme="majorHAnsi" w:hAnsiTheme="majorHAnsi" w:cstheme="majorHAnsi"/>
          <w:sz w:val="20"/>
          <w:szCs w:val="20"/>
          <w:lang w:val="ru-MD"/>
        </w:rPr>
        <w:t xml:space="preserve"> Субсидии, выделенные ГП Ирригационные </w:t>
      </w:r>
      <w:r w:rsidRPr="00893AA8">
        <w:rPr>
          <w:rFonts w:asciiTheme="majorHAnsi" w:hAnsiTheme="majorHAnsi" w:cstheme="majorHAnsi"/>
          <w:bCs/>
          <w:sz w:val="20"/>
          <w:szCs w:val="20"/>
          <w:lang w:val="ru-MD"/>
        </w:rPr>
        <w:t>технологические станции</w:t>
      </w:r>
      <w:r w:rsidRPr="00893AA8">
        <w:rPr>
          <w:rFonts w:asciiTheme="majorHAnsi" w:hAnsiTheme="majorHAnsi" w:cstheme="majorHAnsi"/>
          <w:sz w:val="20"/>
          <w:szCs w:val="20"/>
          <w:lang w:val="ru-MD"/>
        </w:rPr>
        <w:t xml:space="preserve"> (ИТС) – 3,64 млн. леев, ГП Гидроузел Костешть-Стынка и Центральная Днестровская система водного хозяйства – 3,2 млн. леев</w:t>
      </w:r>
      <w:r w:rsidRPr="00893AA8">
        <w:rPr>
          <w:rFonts w:asciiTheme="majorHAnsi" w:hAnsiTheme="majorHAnsi" w:cstheme="majorHAnsi"/>
          <w:iCs/>
          <w:sz w:val="20"/>
          <w:szCs w:val="20"/>
          <w:lang w:val="ru-MD"/>
        </w:rPr>
        <w:t>.</w:t>
      </w:r>
    </w:p>
  </w:footnote>
  <w:footnote w:id="24">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№902/2017 „Об организации и функционировании Агентства публичной собственности”.</w:t>
      </w:r>
    </w:p>
  </w:footnote>
  <w:footnote w:id="25">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AO „Reciclare”.</w:t>
      </w:r>
    </w:p>
  </w:footnote>
  <w:footnote w:id="26">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„ABS” ООО.</w:t>
      </w:r>
    </w:p>
  </w:footnote>
  <w:footnote w:id="27">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„ABS” ООО.</w:t>
      </w:r>
    </w:p>
  </w:footnote>
  <w:footnote w:id="28">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Разрешение №AM2204904 от 25.05.2022.</w:t>
      </w:r>
    </w:p>
  </w:footnote>
  <w:footnote w:id="29">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bCs/>
          <w:lang w:val="ru-MD"/>
        </w:rPr>
        <w:t xml:space="preserve"> Договор подряда №MD-2020-09-07-000001-1-11/001 от 07.09.2020 ООО „Dacvi-Com” о выполнении работ по </w:t>
      </w:r>
      <w:r w:rsidRPr="00893AA8">
        <w:rPr>
          <w:rFonts w:asciiTheme="majorHAnsi" w:hAnsiTheme="majorHAnsi" w:cstheme="majorHAnsi"/>
          <w:bCs/>
          <w:i/>
          <w:lang w:val="ru-MD"/>
        </w:rPr>
        <w:t>„Укрепление дамб насосных станций NSP-1 и NSP-2 Криулень”,</w:t>
      </w:r>
      <w:r w:rsidRPr="00893AA8">
        <w:rPr>
          <w:rFonts w:asciiTheme="majorHAnsi" w:hAnsiTheme="majorHAnsi" w:cstheme="majorHAnsi"/>
          <w:bCs/>
          <w:lang w:val="ru-MD"/>
        </w:rPr>
        <w:t xml:space="preserve"> на сумму 9 981,8 тыс. леев.</w:t>
      </w:r>
    </w:p>
  </w:footnote>
  <w:footnote w:id="30">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№725/2019 о Национальном бюро винограда и вина.</w:t>
      </w:r>
    </w:p>
  </w:footnote>
  <w:footnote w:id="31">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Организационная бюджетная классификация.</w:t>
      </w:r>
    </w:p>
  </w:footnote>
  <w:footnote w:id="32">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Экономическая бюджетная классификация.</w:t>
      </w:r>
    </w:p>
  </w:footnote>
  <w:footnote w:id="33">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Ст.13 (2) </w:t>
      </w:r>
      <w:r w:rsidRPr="00893AA8">
        <w:rPr>
          <w:rFonts w:asciiTheme="majorHAnsi" w:eastAsia="Times New Roman" w:hAnsiTheme="majorHAnsi" w:cstheme="majorHAnsi"/>
          <w:lang w:val="ru-MD"/>
        </w:rPr>
        <w:t>Закона о бухгалтерском учете №</w:t>
      </w:r>
      <w:r w:rsidRPr="00893AA8">
        <w:rPr>
          <w:rFonts w:asciiTheme="majorHAnsi" w:hAnsiTheme="majorHAnsi" w:cstheme="majorHAnsi"/>
          <w:lang w:val="ru-MD"/>
        </w:rPr>
        <w:t>113-XVI от 27.04.2007</w:t>
      </w:r>
      <w:r w:rsidRPr="00893AA8">
        <w:rPr>
          <w:rFonts w:asciiTheme="majorHAnsi" w:eastAsia="Times New Roman" w:hAnsiTheme="majorHAnsi" w:cstheme="majorHAnsi"/>
          <w:lang w:val="ru-MD"/>
        </w:rPr>
        <w:t>.</w:t>
      </w:r>
    </w:p>
  </w:footnote>
  <w:footnote w:id="34">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Pr="00893AA8">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893AA8">
        <w:rPr>
          <w:rFonts w:ascii="Calibri Light" w:hAnsi="Calibri Light" w:cs="Calibri Light"/>
          <w:lang w:val="ru-MD"/>
        </w:rPr>
        <w:t>Приказ министра финансов №164 от</w:t>
      </w:r>
      <w:r w:rsidRPr="00893AA8">
        <w:rPr>
          <w:rFonts w:asciiTheme="majorHAnsi" w:eastAsia="Times New Roman" w:hAnsiTheme="majorHAnsi" w:cstheme="majorHAnsi"/>
          <w:lang w:val="ru-MD"/>
        </w:rPr>
        <w:t xml:space="preserve"> 09.12.2019 „Об утверждении сроков представления финансовых отчетов за 2019 год”; </w:t>
      </w:r>
      <w:r w:rsidRPr="00893AA8">
        <w:rPr>
          <w:rFonts w:ascii="Calibri Light" w:hAnsi="Calibri Light" w:cs="Calibri Light"/>
          <w:lang w:val="ru-MD"/>
        </w:rPr>
        <w:t>Приказ министра финансов №164 от 30.12.2016 „</w:t>
      </w:r>
      <w:r w:rsidRPr="00893AA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893AA8">
        <w:rPr>
          <w:rFonts w:ascii="Calibri Light" w:hAnsi="Calibri Light" w:cs="Calibri Light"/>
          <w:lang w:val="ru-MD"/>
        </w:rPr>
        <w:t>”</w:t>
      </w:r>
      <w:r w:rsidRPr="00893AA8">
        <w:rPr>
          <w:rFonts w:asciiTheme="majorHAnsi" w:eastAsia="Times New Roman" w:hAnsiTheme="majorHAnsi" w:cstheme="majorHAnsi"/>
          <w:lang w:val="ru-MD"/>
        </w:rPr>
        <w:t>.</w:t>
      </w:r>
    </w:p>
  </w:footnote>
  <w:footnote w:id="35">
    <w:p w:rsidR="00801661" w:rsidRPr="00893AA8" w:rsidRDefault="00801661" w:rsidP="00893AA8">
      <w:pPr>
        <w:pStyle w:val="FootnoteText"/>
        <w:jc w:val="both"/>
        <w:rPr>
          <w:rFonts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П.5 ПП №901 от 31.12.2015 „</w:t>
      </w:r>
      <w:r w:rsidRPr="00893AA8">
        <w:rPr>
          <w:rFonts w:asciiTheme="majorHAnsi" w:hAnsiTheme="majorHAnsi" w:cstheme="majorHAnsi"/>
          <w:bCs/>
          <w:lang w:val="ru-MD"/>
        </w:rPr>
        <w:t>Об утверждении Положения о порядке передачи объектов публичной собственности</w:t>
      </w:r>
      <w:r w:rsidRPr="00893AA8">
        <w:rPr>
          <w:rFonts w:asciiTheme="majorHAnsi" w:hAnsiTheme="majorHAnsi" w:cstheme="majorHAnsi"/>
          <w:lang w:val="ru-MD"/>
        </w:rPr>
        <w:t>”.</w:t>
      </w:r>
    </w:p>
  </w:footnote>
  <w:footnote w:id="36">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Ответ Министерства финансов №12/3-4-138 от 26.08.2020 на запрос MОКИ о предоставлении методической поддержки по отражению расходов, связанных с созданием бюджетным учреждением новых нематериальных активов.  </w:t>
      </w:r>
    </w:p>
  </w:footnote>
  <w:footnote w:id="37">
    <w:p w:rsidR="00801661" w:rsidRPr="00893AA8" w:rsidRDefault="00801661" w:rsidP="00893AA8">
      <w:pPr>
        <w:pStyle w:val="FootnoteText"/>
        <w:jc w:val="both"/>
        <w:rPr>
          <w:rFonts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385902" w:rsidRPr="00893AA8">
        <w:rPr>
          <w:rFonts w:asciiTheme="majorHAnsi" w:hAnsiTheme="majorHAnsi" w:cstheme="majorHAnsi"/>
          <w:lang w:val="ru-MD"/>
        </w:rPr>
        <w:t>Постановление Правительства №</w:t>
      </w:r>
      <w:r w:rsidRPr="00893AA8">
        <w:rPr>
          <w:rFonts w:asciiTheme="majorHAnsi" w:hAnsiTheme="majorHAnsi" w:cstheme="majorHAnsi"/>
          <w:lang w:val="ru-MD"/>
        </w:rPr>
        <w:t>161/2019 „</w:t>
      </w:r>
      <w:r w:rsidR="00385902"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38">
    <w:p w:rsidR="00801661" w:rsidRPr="00893AA8" w:rsidRDefault="00801661" w:rsidP="00893AA8">
      <w:pPr>
        <w:pStyle w:val="FootnoteText"/>
        <w:jc w:val="both"/>
        <w:rPr>
          <w:rFonts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385902" w:rsidRPr="00893AA8">
        <w:rPr>
          <w:rFonts w:asciiTheme="majorHAnsi" w:hAnsiTheme="majorHAnsi" w:cstheme="majorHAnsi"/>
          <w:lang w:val="ru-MD"/>
        </w:rPr>
        <w:t>Постановление Правительства №</w:t>
      </w:r>
      <w:r w:rsidRPr="00893AA8">
        <w:rPr>
          <w:rFonts w:asciiTheme="majorHAnsi" w:hAnsiTheme="majorHAnsi" w:cstheme="majorHAnsi"/>
          <w:lang w:val="ru-MD"/>
        </w:rPr>
        <w:t>901/2015</w:t>
      </w:r>
      <w:r w:rsidRPr="00893AA8">
        <w:rPr>
          <w:rFonts w:asciiTheme="majorHAnsi" w:hAnsiTheme="majorHAnsi" w:cstheme="majorHAnsi"/>
          <w:b/>
          <w:bCs/>
          <w:color w:val="000000"/>
          <w:lang w:val="ru-MD"/>
        </w:rPr>
        <w:t xml:space="preserve"> </w:t>
      </w:r>
      <w:r w:rsidRPr="00893AA8">
        <w:rPr>
          <w:rFonts w:asciiTheme="majorHAnsi" w:hAnsiTheme="majorHAnsi" w:cstheme="majorHAnsi"/>
          <w:bCs/>
          <w:color w:val="000000"/>
          <w:lang w:val="ru-MD"/>
        </w:rPr>
        <w:t>„</w:t>
      </w:r>
      <w:r w:rsidR="00385902" w:rsidRPr="00893AA8">
        <w:rPr>
          <w:rFonts w:asciiTheme="majorHAnsi" w:hAnsiTheme="majorHAnsi" w:cstheme="majorHAnsi"/>
          <w:bCs/>
          <w:lang w:val="ru-MD"/>
        </w:rPr>
        <w:t>Об утверждении Положения о порядке передачи объектов публичной собственности</w:t>
      </w:r>
      <w:r w:rsidRPr="00893AA8">
        <w:rPr>
          <w:rFonts w:asciiTheme="majorHAnsi" w:hAnsiTheme="majorHAnsi" w:cstheme="majorHAnsi"/>
          <w:lang w:val="ru-MD"/>
        </w:rPr>
        <w:t>”.</w:t>
      </w:r>
    </w:p>
  </w:footnote>
  <w:footnote w:id="39">
    <w:p w:rsidR="00801661" w:rsidRPr="00893AA8" w:rsidRDefault="00801661"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385902" w:rsidRPr="00893AA8">
        <w:rPr>
          <w:rFonts w:asciiTheme="majorHAnsi" w:hAnsiTheme="majorHAnsi" w:cstheme="majorHAnsi"/>
          <w:lang w:val="ru-MD"/>
        </w:rPr>
        <w:t>П</w:t>
      </w:r>
      <w:r w:rsidRPr="00893AA8">
        <w:rPr>
          <w:rFonts w:asciiTheme="majorHAnsi" w:hAnsiTheme="majorHAnsi" w:cstheme="majorHAnsi"/>
          <w:lang w:val="ru-MD"/>
        </w:rPr>
        <w:t xml:space="preserve">. 4 </w:t>
      </w:r>
      <w:r w:rsidR="00385902" w:rsidRPr="00893AA8">
        <w:rPr>
          <w:rFonts w:asciiTheme="majorHAnsi" w:hAnsiTheme="majorHAnsi" w:cstheme="majorHAnsi"/>
          <w:lang w:val="ru-MD"/>
        </w:rPr>
        <w:t>Постановления Правительства №</w:t>
      </w:r>
      <w:r w:rsidRPr="00893AA8">
        <w:rPr>
          <w:rFonts w:asciiTheme="majorHAnsi" w:hAnsiTheme="majorHAnsi" w:cstheme="majorHAnsi"/>
          <w:lang w:val="ru-MD"/>
        </w:rPr>
        <w:t>161/2019 „</w:t>
      </w:r>
      <w:r w:rsidR="00385902"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40">
    <w:p w:rsidR="006F2652" w:rsidRPr="00893AA8" w:rsidRDefault="006F2652"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385902" w:rsidRPr="00893AA8">
        <w:rPr>
          <w:rFonts w:asciiTheme="majorHAnsi" w:hAnsiTheme="majorHAnsi" w:cstheme="majorHAnsi"/>
          <w:lang w:val="ru-MD"/>
        </w:rPr>
        <w:t xml:space="preserve">ПУ Научно-исследовательский институт полевых культур </w:t>
      </w:r>
      <w:r w:rsidRPr="00893AA8">
        <w:rPr>
          <w:rFonts w:asciiTheme="majorHAnsi" w:hAnsiTheme="majorHAnsi" w:cstheme="majorHAnsi"/>
          <w:lang w:val="ru-MD"/>
        </w:rPr>
        <w:t>„Selecția".</w:t>
      </w:r>
    </w:p>
  </w:footnote>
  <w:footnote w:id="41">
    <w:p w:rsidR="006F2652" w:rsidRPr="00893AA8" w:rsidRDefault="006F2652"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385902" w:rsidRPr="00893AA8">
        <w:rPr>
          <w:rFonts w:asciiTheme="majorHAnsi" w:hAnsiTheme="majorHAnsi" w:cstheme="majorHAnsi"/>
          <w:lang w:val="ru-MD"/>
        </w:rPr>
        <w:t>Акт приема-передачи №</w:t>
      </w:r>
      <w:r w:rsidRPr="00893AA8">
        <w:rPr>
          <w:rFonts w:asciiTheme="majorHAnsi" w:hAnsiTheme="majorHAnsi" w:cstheme="majorHAnsi"/>
          <w:lang w:val="ru-MD"/>
        </w:rPr>
        <w:t xml:space="preserve">2 </w:t>
      </w:r>
      <w:r w:rsidR="00385902" w:rsidRPr="00893AA8">
        <w:rPr>
          <w:rFonts w:asciiTheme="majorHAnsi" w:hAnsiTheme="majorHAnsi" w:cstheme="majorHAnsi"/>
          <w:lang w:val="ru-MD"/>
        </w:rPr>
        <w:t>от</w:t>
      </w:r>
      <w:r w:rsidRPr="00893AA8">
        <w:rPr>
          <w:rFonts w:asciiTheme="majorHAnsi" w:hAnsiTheme="majorHAnsi" w:cstheme="majorHAnsi"/>
          <w:lang w:val="ru-MD"/>
        </w:rPr>
        <w:t xml:space="preserve"> 23.09.2020.</w:t>
      </w:r>
    </w:p>
  </w:footnote>
  <w:footnote w:id="42">
    <w:p w:rsidR="00B60500" w:rsidRPr="00893AA8" w:rsidRDefault="00B60500" w:rsidP="00893AA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00E72D2F" w:rsidRPr="00893AA8">
        <w:rPr>
          <w:rFonts w:asciiTheme="majorHAnsi" w:hAnsiTheme="majorHAnsi" w:cstheme="majorHAnsi"/>
          <w:lang w:val="ru-MD"/>
        </w:rPr>
        <w:t>Приказ АПС №356 от 09.10.2020 „О регистрации в бухгалтерском учете земельных участков публичной собственности государства, право управлени</w:t>
      </w:r>
      <w:r w:rsidR="00BA6F95" w:rsidRPr="00893AA8">
        <w:rPr>
          <w:rFonts w:asciiTheme="majorHAnsi" w:hAnsiTheme="majorHAnsi" w:cstheme="majorHAnsi"/>
          <w:lang w:val="ru-MD"/>
        </w:rPr>
        <w:t>я</w:t>
      </w:r>
      <w:r w:rsidR="00E72D2F" w:rsidRPr="00893AA8">
        <w:rPr>
          <w:rFonts w:asciiTheme="majorHAnsi" w:hAnsiTheme="majorHAnsi" w:cstheme="majorHAnsi"/>
          <w:lang w:val="ru-MD"/>
        </w:rPr>
        <w:t xml:space="preserve"> которыми был</w:t>
      </w:r>
      <w:r w:rsidR="00BA6F95" w:rsidRPr="00893AA8">
        <w:rPr>
          <w:rFonts w:asciiTheme="majorHAnsi" w:hAnsiTheme="majorHAnsi" w:cstheme="majorHAnsi"/>
          <w:lang w:val="ru-MD"/>
        </w:rPr>
        <w:t>о</w:t>
      </w:r>
      <w:r w:rsidR="00E72D2F" w:rsidRPr="00893AA8">
        <w:rPr>
          <w:rFonts w:asciiTheme="majorHAnsi" w:hAnsiTheme="majorHAnsi" w:cstheme="majorHAnsi"/>
          <w:lang w:val="ru-MD"/>
        </w:rPr>
        <w:t xml:space="preserve"> закреплен</w:t>
      </w:r>
      <w:r w:rsidR="00BA6F95" w:rsidRPr="00893AA8">
        <w:rPr>
          <w:rFonts w:asciiTheme="majorHAnsi" w:hAnsiTheme="majorHAnsi" w:cstheme="majorHAnsi"/>
          <w:lang w:val="ru-MD"/>
        </w:rPr>
        <w:t>о</w:t>
      </w:r>
      <w:r w:rsidR="00E72D2F" w:rsidRPr="00893AA8">
        <w:rPr>
          <w:rFonts w:asciiTheme="majorHAnsi" w:hAnsiTheme="majorHAnsi" w:cstheme="majorHAnsi"/>
          <w:lang w:val="ru-MD"/>
        </w:rPr>
        <w:t xml:space="preserve"> в </w:t>
      </w:r>
      <w:r w:rsidR="00BA6F95" w:rsidRPr="00893AA8">
        <w:rPr>
          <w:rFonts w:asciiTheme="majorHAnsi" w:hAnsiTheme="majorHAnsi" w:cstheme="majorHAnsi"/>
          <w:lang w:val="ru-MD"/>
        </w:rPr>
        <w:t>Р</w:t>
      </w:r>
      <w:r w:rsidR="00E72D2F" w:rsidRPr="00893AA8">
        <w:rPr>
          <w:rFonts w:asciiTheme="majorHAnsi" w:hAnsiTheme="majorHAnsi" w:cstheme="majorHAnsi"/>
          <w:lang w:val="ru-MD"/>
        </w:rPr>
        <w:t xml:space="preserve">еестре недвижимого имущества </w:t>
      </w:r>
      <w:r w:rsidR="00BA6F95" w:rsidRPr="00893AA8">
        <w:rPr>
          <w:rFonts w:asciiTheme="majorHAnsi" w:hAnsiTheme="majorHAnsi" w:cstheme="majorHAnsi"/>
          <w:lang w:val="ru-MD"/>
        </w:rPr>
        <w:t>за АПС</w:t>
      </w:r>
      <w:r w:rsidR="00E72D2F" w:rsidRPr="00893AA8">
        <w:rPr>
          <w:rFonts w:asciiTheme="majorHAnsi" w:hAnsiTheme="majorHAnsi" w:cstheme="majorHAnsi"/>
          <w:lang w:val="ru-MD"/>
        </w:rPr>
        <w:t>”</w:t>
      </w:r>
      <w:r w:rsidRPr="00893AA8">
        <w:rPr>
          <w:rFonts w:asciiTheme="majorHAnsi" w:hAnsiTheme="majorHAnsi" w:cstheme="majorHAnsi"/>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61" w:rsidRPr="00275472" w:rsidRDefault="00801661" w:rsidP="00797CA1">
    <w:pPr>
      <w:pStyle w:val="Header"/>
      <w:jc w:val="right"/>
      <w:rPr>
        <w:rFonts w:asciiTheme="majorHAnsi" w:hAnsiTheme="majorHAnsi"/>
        <w:b/>
        <w:i/>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01538C"/>
    <w:multiLevelType w:val="hybridMultilevel"/>
    <w:tmpl w:val="001EE24A"/>
    <w:lvl w:ilvl="0" w:tplc="BE463120">
      <w:start w:val="3"/>
      <w:numFmt w:val="upperRoman"/>
      <w:lvlText w:val="%1."/>
      <w:lvlJc w:val="left"/>
      <w:pPr>
        <w:ind w:left="1222" w:hanging="72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4A75D6E"/>
    <w:multiLevelType w:val="hybridMultilevel"/>
    <w:tmpl w:val="3918D062"/>
    <w:lvl w:ilvl="0" w:tplc="85407586">
      <w:start w:val="32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EA1"/>
    <w:multiLevelType w:val="multilevel"/>
    <w:tmpl w:val="1DEC4598"/>
    <w:lvl w:ilvl="0">
      <w:start w:val="3"/>
      <w:numFmt w:val="upperRoman"/>
      <w:lvlText w:val="%1."/>
      <w:lvlJc w:val="left"/>
      <w:pPr>
        <w:ind w:left="1222" w:hanging="720"/>
      </w:pPr>
      <w:rPr>
        <w:rFonts w:hint="default"/>
        <w:color w:val="000000" w:themeColor="text1"/>
      </w:rPr>
    </w:lvl>
    <w:lvl w:ilvl="1">
      <w:start w:val="1"/>
      <w:numFmt w:val="decimal"/>
      <w:isLgl/>
      <w:lvlText w:val="%1.%2."/>
      <w:lvlJc w:val="left"/>
      <w:pPr>
        <w:ind w:left="922" w:hanging="420"/>
      </w:pPr>
      <w:rPr>
        <w:rFonts w:cstheme="majorHAnsi" w:hint="default"/>
        <w:b/>
      </w:rPr>
    </w:lvl>
    <w:lvl w:ilvl="2">
      <w:start w:val="1"/>
      <w:numFmt w:val="decimal"/>
      <w:isLgl/>
      <w:lvlText w:val="%1.%2.%3."/>
      <w:lvlJc w:val="left"/>
      <w:pPr>
        <w:ind w:left="1222" w:hanging="720"/>
      </w:pPr>
      <w:rPr>
        <w:rFonts w:cstheme="majorHAnsi" w:hint="default"/>
        <w:b/>
      </w:rPr>
    </w:lvl>
    <w:lvl w:ilvl="3">
      <w:start w:val="1"/>
      <w:numFmt w:val="decimal"/>
      <w:isLgl/>
      <w:lvlText w:val="%1.%2.%3.%4."/>
      <w:lvlJc w:val="left"/>
      <w:pPr>
        <w:ind w:left="1222" w:hanging="720"/>
      </w:pPr>
      <w:rPr>
        <w:rFonts w:cstheme="majorHAnsi" w:hint="default"/>
        <w:b/>
      </w:rPr>
    </w:lvl>
    <w:lvl w:ilvl="4">
      <w:start w:val="1"/>
      <w:numFmt w:val="decimal"/>
      <w:isLgl/>
      <w:lvlText w:val="%1.%2.%3.%4.%5."/>
      <w:lvlJc w:val="left"/>
      <w:pPr>
        <w:ind w:left="1582" w:hanging="1080"/>
      </w:pPr>
      <w:rPr>
        <w:rFonts w:cstheme="majorHAnsi" w:hint="default"/>
        <w:b/>
      </w:rPr>
    </w:lvl>
    <w:lvl w:ilvl="5">
      <w:start w:val="1"/>
      <w:numFmt w:val="decimal"/>
      <w:isLgl/>
      <w:lvlText w:val="%1.%2.%3.%4.%5.%6."/>
      <w:lvlJc w:val="left"/>
      <w:pPr>
        <w:ind w:left="1582" w:hanging="1080"/>
      </w:pPr>
      <w:rPr>
        <w:rFonts w:cstheme="majorHAnsi" w:hint="default"/>
        <w:b/>
      </w:rPr>
    </w:lvl>
    <w:lvl w:ilvl="6">
      <w:start w:val="1"/>
      <w:numFmt w:val="decimal"/>
      <w:isLgl/>
      <w:lvlText w:val="%1.%2.%3.%4.%5.%6.%7."/>
      <w:lvlJc w:val="left"/>
      <w:pPr>
        <w:ind w:left="1942" w:hanging="1440"/>
      </w:pPr>
      <w:rPr>
        <w:rFonts w:cstheme="majorHAnsi" w:hint="default"/>
        <w:b/>
      </w:rPr>
    </w:lvl>
    <w:lvl w:ilvl="7">
      <w:start w:val="1"/>
      <w:numFmt w:val="decimal"/>
      <w:isLgl/>
      <w:lvlText w:val="%1.%2.%3.%4.%5.%6.%7.%8."/>
      <w:lvlJc w:val="left"/>
      <w:pPr>
        <w:ind w:left="1942" w:hanging="1440"/>
      </w:pPr>
      <w:rPr>
        <w:rFonts w:cstheme="majorHAnsi" w:hint="default"/>
        <w:b/>
      </w:rPr>
    </w:lvl>
    <w:lvl w:ilvl="8">
      <w:start w:val="1"/>
      <w:numFmt w:val="decimal"/>
      <w:isLgl/>
      <w:lvlText w:val="%1.%2.%3.%4.%5.%6.%7.%8.%9."/>
      <w:lvlJc w:val="left"/>
      <w:pPr>
        <w:ind w:left="2302" w:hanging="1800"/>
      </w:pPr>
      <w:rPr>
        <w:rFonts w:cstheme="majorHAnsi" w:hint="default"/>
        <w:b/>
      </w:rPr>
    </w:lvl>
  </w:abstractNum>
  <w:abstractNum w:abstractNumId="4" w15:restartNumberingAfterBreak="0">
    <w:nsid w:val="329D6E1C"/>
    <w:multiLevelType w:val="multilevel"/>
    <w:tmpl w:val="0540AEEC"/>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8154A2A"/>
    <w:multiLevelType w:val="hybridMultilevel"/>
    <w:tmpl w:val="68A62900"/>
    <w:lvl w:ilvl="0" w:tplc="FCD666C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F51F4"/>
    <w:multiLevelType w:val="multilevel"/>
    <w:tmpl w:val="C64A83EE"/>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7A790A"/>
    <w:multiLevelType w:val="multilevel"/>
    <w:tmpl w:val="8BB04F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8351DD"/>
    <w:multiLevelType w:val="hybridMultilevel"/>
    <w:tmpl w:val="840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D3F61"/>
    <w:multiLevelType w:val="multilevel"/>
    <w:tmpl w:val="728254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946EF"/>
    <w:multiLevelType w:val="multilevel"/>
    <w:tmpl w:val="FDC4D75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3926E8"/>
    <w:multiLevelType w:val="multilevel"/>
    <w:tmpl w:val="BAD87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9E0C83"/>
    <w:multiLevelType w:val="multilevel"/>
    <w:tmpl w:val="9E0248D8"/>
    <w:lvl w:ilvl="0">
      <w:start w:val="5"/>
      <w:numFmt w:val="decimal"/>
      <w:lvlText w:val="%1."/>
      <w:lvlJc w:val="left"/>
      <w:pPr>
        <w:ind w:left="480" w:hanging="480"/>
      </w:pPr>
      <w:rPr>
        <w:rFonts w:hint="default"/>
      </w:rPr>
    </w:lvl>
    <w:lvl w:ilvl="1">
      <w:start w:val="12"/>
      <w:numFmt w:val="decimal"/>
      <w:lvlText w:val="%1.%2."/>
      <w:lvlJc w:val="left"/>
      <w:pPr>
        <w:ind w:left="906" w:hanging="48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49038E"/>
    <w:multiLevelType w:val="hybridMultilevel"/>
    <w:tmpl w:val="230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248"/>
    <w:multiLevelType w:val="multilevel"/>
    <w:tmpl w:val="DFE0195A"/>
    <w:lvl w:ilvl="0">
      <w:start w:val="1"/>
      <w:numFmt w:val="upperRoman"/>
      <w:lvlText w:val="%1."/>
      <w:lvlJc w:val="left"/>
      <w:pPr>
        <w:ind w:left="1080" w:hanging="720"/>
      </w:pPr>
      <w:rPr>
        <w:rFonts w:hint="default"/>
        <w:b/>
      </w:rPr>
    </w:lvl>
    <w:lvl w:ilvl="1">
      <w:start w:val="4"/>
      <w:numFmt w:val="decimal"/>
      <w:isLgl/>
      <w:lvlText w:val="%1.%2."/>
      <w:lvlJc w:val="left"/>
      <w:pPr>
        <w:ind w:left="2948"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043931"/>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4"/>
  </w:num>
  <w:num w:numId="2">
    <w:abstractNumId w:val="0"/>
  </w:num>
  <w:num w:numId="3">
    <w:abstractNumId w:val="2"/>
  </w:num>
  <w:num w:numId="4">
    <w:abstractNumId w:val="15"/>
  </w:num>
  <w:num w:numId="5">
    <w:abstractNumId w:val="19"/>
  </w:num>
  <w:num w:numId="6">
    <w:abstractNumId w:val="3"/>
  </w:num>
  <w:num w:numId="7">
    <w:abstractNumId w:val="8"/>
  </w:num>
  <w:num w:numId="8">
    <w:abstractNumId w:val="5"/>
  </w:num>
  <w:num w:numId="9">
    <w:abstractNumId w:val="1"/>
  </w:num>
  <w:num w:numId="10">
    <w:abstractNumId w:val="7"/>
  </w:num>
  <w:num w:numId="11">
    <w:abstractNumId w:val="17"/>
  </w:num>
  <w:num w:numId="12">
    <w:abstractNumId w:val="11"/>
  </w:num>
  <w:num w:numId="13">
    <w:abstractNumId w:val="4"/>
  </w:num>
  <w:num w:numId="14">
    <w:abstractNumId w:val="9"/>
  </w:num>
  <w:num w:numId="15">
    <w:abstractNumId w:val="10"/>
  </w:num>
  <w:num w:numId="16">
    <w:abstractNumId w:val="16"/>
  </w:num>
  <w:num w:numId="17">
    <w:abstractNumId w:val="18"/>
  </w:num>
  <w:num w:numId="18">
    <w:abstractNumId w:val="13"/>
  </w:num>
  <w:num w:numId="19">
    <w:abstractNumId w:val="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61"/>
    <w:rsid w:val="0002465C"/>
    <w:rsid w:val="000247DD"/>
    <w:rsid w:val="00031F1C"/>
    <w:rsid w:val="00036042"/>
    <w:rsid w:val="00055B67"/>
    <w:rsid w:val="00065D6F"/>
    <w:rsid w:val="000A03FA"/>
    <w:rsid w:val="000C6E21"/>
    <w:rsid w:val="000E22E1"/>
    <w:rsid w:val="000F0802"/>
    <w:rsid w:val="00110084"/>
    <w:rsid w:val="0011631F"/>
    <w:rsid w:val="00140668"/>
    <w:rsid w:val="001422DE"/>
    <w:rsid w:val="001511A2"/>
    <w:rsid w:val="00155976"/>
    <w:rsid w:val="001837CC"/>
    <w:rsid w:val="001A089F"/>
    <w:rsid w:val="001A42E9"/>
    <w:rsid w:val="001C0122"/>
    <w:rsid w:val="001F25D2"/>
    <w:rsid w:val="001F311F"/>
    <w:rsid w:val="001F3E42"/>
    <w:rsid w:val="001F68D0"/>
    <w:rsid w:val="0020361D"/>
    <w:rsid w:val="00205916"/>
    <w:rsid w:val="00234783"/>
    <w:rsid w:val="002455CF"/>
    <w:rsid w:val="00254B4B"/>
    <w:rsid w:val="0025595F"/>
    <w:rsid w:val="00281111"/>
    <w:rsid w:val="00286015"/>
    <w:rsid w:val="00296923"/>
    <w:rsid w:val="002B6AA4"/>
    <w:rsid w:val="002E6D75"/>
    <w:rsid w:val="00315177"/>
    <w:rsid w:val="003232BE"/>
    <w:rsid w:val="00355CA5"/>
    <w:rsid w:val="00381CBB"/>
    <w:rsid w:val="00384176"/>
    <w:rsid w:val="00385902"/>
    <w:rsid w:val="003B583A"/>
    <w:rsid w:val="003D19F9"/>
    <w:rsid w:val="003E064F"/>
    <w:rsid w:val="003E1E9C"/>
    <w:rsid w:val="003E6E6F"/>
    <w:rsid w:val="004018F5"/>
    <w:rsid w:val="004138F3"/>
    <w:rsid w:val="00416CD2"/>
    <w:rsid w:val="00424C7F"/>
    <w:rsid w:val="004535CA"/>
    <w:rsid w:val="004759B1"/>
    <w:rsid w:val="00475D6C"/>
    <w:rsid w:val="00490DDC"/>
    <w:rsid w:val="004B14F9"/>
    <w:rsid w:val="004C6E3A"/>
    <w:rsid w:val="004D28D2"/>
    <w:rsid w:val="004E216D"/>
    <w:rsid w:val="005056C5"/>
    <w:rsid w:val="0052742A"/>
    <w:rsid w:val="0053731C"/>
    <w:rsid w:val="005529A4"/>
    <w:rsid w:val="00562715"/>
    <w:rsid w:val="0056466F"/>
    <w:rsid w:val="0059174A"/>
    <w:rsid w:val="00592BC8"/>
    <w:rsid w:val="00597B10"/>
    <w:rsid w:val="005A5BCA"/>
    <w:rsid w:val="005C02B2"/>
    <w:rsid w:val="005C2E30"/>
    <w:rsid w:val="005E0E3A"/>
    <w:rsid w:val="005E5200"/>
    <w:rsid w:val="00622DB3"/>
    <w:rsid w:val="00631629"/>
    <w:rsid w:val="00640173"/>
    <w:rsid w:val="006403B1"/>
    <w:rsid w:val="00641889"/>
    <w:rsid w:val="0065667B"/>
    <w:rsid w:val="00657206"/>
    <w:rsid w:val="0067125D"/>
    <w:rsid w:val="0067160D"/>
    <w:rsid w:val="0067369A"/>
    <w:rsid w:val="006808F7"/>
    <w:rsid w:val="006A1F78"/>
    <w:rsid w:val="006A6510"/>
    <w:rsid w:val="006B26B7"/>
    <w:rsid w:val="006C26BF"/>
    <w:rsid w:val="006C54C1"/>
    <w:rsid w:val="006D073A"/>
    <w:rsid w:val="006E3971"/>
    <w:rsid w:val="006F2652"/>
    <w:rsid w:val="006F3703"/>
    <w:rsid w:val="00711B9C"/>
    <w:rsid w:val="00714762"/>
    <w:rsid w:val="0072360B"/>
    <w:rsid w:val="00723724"/>
    <w:rsid w:val="00731E28"/>
    <w:rsid w:val="0075380B"/>
    <w:rsid w:val="00766D9F"/>
    <w:rsid w:val="00793C21"/>
    <w:rsid w:val="00797CA1"/>
    <w:rsid w:val="007C3FCD"/>
    <w:rsid w:val="007F41E7"/>
    <w:rsid w:val="007F6C5C"/>
    <w:rsid w:val="00801661"/>
    <w:rsid w:val="00806B11"/>
    <w:rsid w:val="00835DA8"/>
    <w:rsid w:val="00837672"/>
    <w:rsid w:val="008507F0"/>
    <w:rsid w:val="0085493D"/>
    <w:rsid w:val="00867302"/>
    <w:rsid w:val="00880C89"/>
    <w:rsid w:val="00883531"/>
    <w:rsid w:val="008861FB"/>
    <w:rsid w:val="00893AA8"/>
    <w:rsid w:val="008B3758"/>
    <w:rsid w:val="008F7876"/>
    <w:rsid w:val="00922633"/>
    <w:rsid w:val="00931BD7"/>
    <w:rsid w:val="00934117"/>
    <w:rsid w:val="00934B5C"/>
    <w:rsid w:val="0095192F"/>
    <w:rsid w:val="009B3ECB"/>
    <w:rsid w:val="009D0AC3"/>
    <w:rsid w:val="009E0977"/>
    <w:rsid w:val="009E78F1"/>
    <w:rsid w:val="00A03471"/>
    <w:rsid w:val="00A21A6B"/>
    <w:rsid w:val="00A245BB"/>
    <w:rsid w:val="00A270B4"/>
    <w:rsid w:val="00A92F43"/>
    <w:rsid w:val="00AC2AC7"/>
    <w:rsid w:val="00AC4713"/>
    <w:rsid w:val="00AD3B65"/>
    <w:rsid w:val="00AF289F"/>
    <w:rsid w:val="00AF664F"/>
    <w:rsid w:val="00B05EB4"/>
    <w:rsid w:val="00B10DE7"/>
    <w:rsid w:val="00B1260F"/>
    <w:rsid w:val="00B37F2F"/>
    <w:rsid w:val="00B60500"/>
    <w:rsid w:val="00B6074B"/>
    <w:rsid w:val="00B62691"/>
    <w:rsid w:val="00B6522A"/>
    <w:rsid w:val="00B674A9"/>
    <w:rsid w:val="00B80A45"/>
    <w:rsid w:val="00BA22C1"/>
    <w:rsid w:val="00BA32A0"/>
    <w:rsid w:val="00BA3D5E"/>
    <w:rsid w:val="00BA6F95"/>
    <w:rsid w:val="00BD6F1D"/>
    <w:rsid w:val="00BE37BF"/>
    <w:rsid w:val="00C0625F"/>
    <w:rsid w:val="00C1618D"/>
    <w:rsid w:val="00C546C4"/>
    <w:rsid w:val="00C84621"/>
    <w:rsid w:val="00C9365A"/>
    <w:rsid w:val="00C94B1D"/>
    <w:rsid w:val="00C94CB2"/>
    <w:rsid w:val="00C96C43"/>
    <w:rsid w:val="00CB5643"/>
    <w:rsid w:val="00D07ED6"/>
    <w:rsid w:val="00D12F94"/>
    <w:rsid w:val="00D35CBA"/>
    <w:rsid w:val="00D90F06"/>
    <w:rsid w:val="00DA28DA"/>
    <w:rsid w:val="00DC25FE"/>
    <w:rsid w:val="00DE01DD"/>
    <w:rsid w:val="00DF5321"/>
    <w:rsid w:val="00E211F4"/>
    <w:rsid w:val="00E26A96"/>
    <w:rsid w:val="00E5151E"/>
    <w:rsid w:val="00E5676E"/>
    <w:rsid w:val="00E577EF"/>
    <w:rsid w:val="00E72D2F"/>
    <w:rsid w:val="00E74F96"/>
    <w:rsid w:val="00E75307"/>
    <w:rsid w:val="00E75E1E"/>
    <w:rsid w:val="00E930C8"/>
    <w:rsid w:val="00E955CE"/>
    <w:rsid w:val="00E9611E"/>
    <w:rsid w:val="00EA210C"/>
    <w:rsid w:val="00EA5083"/>
    <w:rsid w:val="00EA6FD6"/>
    <w:rsid w:val="00EA70BF"/>
    <w:rsid w:val="00EB0F3F"/>
    <w:rsid w:val="00EB5375"/>
    <w:rsid w:val="00ED0A85"/>
    <w:rsid w:val="00F10CF3"/>
    <w:rsid w:val="00F32218"/>
    <w:rsid w:val="00F40961"/>
    <w:rsid w:val="00F53D1E"/>
    <w:rsid w:val="00F61AD7"/>
    <w:rsid w:val="00F67B98"/>
    <w:rsid w:val="00F950AA"/>
    <w:rsid w:val="00FB3AEA"/>
    <w:rsid w:val="00FE6157"/>
    <w:rsid w:val="00FE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CF92-FAB0-4FE7-8DCD-97ADA006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61"/>
  </w:style>
  <w:style w:type="paragraph" w:styleId="Heading4">
    <w:name w:val="heading 4"/>
    <w:basedOn w:val="Normal"/>
    <w:next w:val="Normal"/>
    <w:link w:val="Heading4Char"/>
    <w:uiPriority w:val="9"/>
    <w:semiHidden/>
    <w:unhideWhenUsed/>
    <w:qFormat/>
    <w:rsid w:val="004018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961"/>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F40961"/>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F40961"/>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qFormat/>
    <w:rsid w:val="00F40961"/>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F40961"/>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F40961"/>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F40961"/>
    <w:pPr>
      <w:spacing w:line="240" w:lineRule="exact"/>
    </w:pPr>
    <w:rPr>
      <w:vertAlign w:val="superscript"/>
    </w:rPr>
  </w:style>
  <w:style w:type="paragraph" w:customStyle="1" w:styleId="Default">
    <w:name w:val="Default"/>
    <w:rsid w:val="00F4096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40961"/>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40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961"/>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F40961"/>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F40961"/>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F40961"/>
    <w:rPr>
      <w:szCs w:val="24"/>
    </w:rPr>
  </w:style>
  <w:style w:type="paragraph" w:styleId="HTMLPreformatted">
    <w:name w:val="HTML Preformatted"/>
    <w:basedOn w:val="Normal"/>
    <w:link w:val="HTMLPreformattedChar"/>
    <w:uiPriority w:val="99"/>
    <w:rsid w:val="00F4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F40961"/>
    <w:rPr>
      <w:rFonts w:ascii="Courier New" w:eastAsia="Calibri" w:hAnsi="Courier New" w:cs="Courier New"/>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F40961"/>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rsid w:val="00F40961"/>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F4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61"/>
    <w:rPr>
      <w:rFonts w:ascii="Segoe UI" w:hAnsi="Segoe UI" w:cs="Segoe UI"/>
      <w:sz w:val="18"/>
      <w:szCs w:val="18"/>
    </w:rPr>
  </w:style>
  <w:style w:type="character" w:styleId="CommentReference">
    <w:name w:val="annotation reference"/>
    <w:basedOn w:val="DefaultParagraphFont"/>
    <w:uiPriority w:val="99"/>
    <w:semiHidden/>
    <w:unhideWhenUsed/>
    <w:rsid w:val="00F40961"/>
    <w:rPr>
      <w:sz w:val="16"/>
      <w:szCs w:val="16"/>
    </w:rPr>
  </w:style>
  <w:style w:type="paragraph" w:styleId="CommentSubject">
    <w:name w:val="annotation subject"/>
    <w:basedOn w:val="CommentText"/>
    <w:next w:val="CommentText"/>
    <w:link w:val="CommentSubjectChar"/>
    <w:uiPriority w:val="99"/>
    <w:semiHidden/>
    <w:unhideWhenUsed/>
    <w:rsid w:val="00F40961"/>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0961"/>
    <w:rPr>
      <w:rFonts w:ascii="Times New Roman" w:eastAsia="Times New Roman" w:hAnsi="Times New Roman" w:cs="Times New Roman"/>
      <w:b/>
      <w:bCs/>
      <w:sz w:val="20"/>
      <w:szCs w:val="20"/>
    </w:rPr>
  </w:style>
  <w:style w:type="paragraph" w:styleId="Revision">
    <w:name w:val="Revision"/>
    <w:hidden/>
    <w:uiPriority w:val="99"/>
    <w:semiHidden/>
    <w:rsid w:val="00F40961"/>
    <w:pPr>
      <w:spacing w:after="0" w:line="240" w:lineRule="auto"/>
    </w:pPr>
  </w:style>
  <w:style w:type="character" w:customStyle="1" w:styleId="Heading4Char">
    <w:name w:val="Heading 4 Char"/>
    <w:basedOn w:val="DefaultParagraphFont"/>
    <w:link w:val="Heading4"/>
    <w:uiPriority w:val="9"/>
    <w:semiHidden/>
    <w:rsid w:val="004018F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96386">
      <w:bodyDiv w:val="1"/>
      <w:marLeft w:val="0"/>
      <w:marRight w:val="0"/>
      <w:marTop w:val="0"/>
      <w:marBottom w:val="0"/>
      <w:divBdr>
        <w:top w:val="none" w:sz="0" w:space="0" w:color="auto"/>
        <w:left w:val="none" w:sz="0" w:space="0" w:color="auto"/>
        <w:bottom w:val="none" w:sz="0" w:space="0" w:color="auto"/>
        <w:right w:val="none" w:sz="0" w:space="0" w:color="auto"/>
      </w:divBdr>
    </w:div>
    <w:div w:id="900210681">
      <w:bodyDiv w:val="1"/>
      <w:marLeft w:val="0"/>
      <w:marRight w:val="0"/>
      <w:marTop w:val="0"/>
      <w:marBottom w:val="0"/>
      <w:divBdr>
        <w:top w:val="none" w:sz="0" w:space="0" w:color="auto"/>
        <w:left w:val="none" w:sz="0" w:space="0" w:color="auto"/>
        <w:bottom w:val="none" w:sz="0" w:space="0" w:color="auto"/>
        <w:right w:val="none" w:sz="0" w:space="0" w:color="auto"/>
      </w:divBdr>
    </w:div>
    <w:div w:id="936210262">
      <w:bodyDiv w:val="1"/>
      <w:marLeft w:val="0"/>
      <w:marRight w:val="0"/>
      <w:marTop w:val="0"/>
      <w:marBottom w:val="0"/>
      <w:divBdr>
        <w:top w:val="none" w:sz="0" w:space="0" w:color="auto"/>
        <w:left w:val="none" w:sz="0" w:space="0" w:color="auto"/>
        <w:bottom w:val="none" w:sz="0" w:space="0" w:color="auto"/>
        <w:right w:val="none" w:sz="0" w:space="0" w:color="auto"/>
      </w:divBdr>
    </w:div>
    <w:div w:id="1100838079">
      <w:bodyDiv w:val="1"/>
      <w:marLeft w:val="0"/>
      <w:marRight w:val="0"/>
      <w:marTop w:val="0"/>
      <w:marBottom w:val="0"/>
      <w:divBdr>
        <w:top w:val="none" w:sz="0" w:space="0" w:color="auto"/>
        <w:left w:val="none" w:sz="0" w:space="0" w:color="auto"/>
        <w:bottom w:val="none" w:sz="0" w:space="0" w:color="auto"/>
        <w:right w:val="none" w:sz="0" w:space="0" w:color="auto"/>
      </w:divBdr>
    </w:div>
    <w:div w:id="1597443879">
      <w:bodyDiv w:val="1"/>
      <w:marLeft w:val="0"/>
      <w:marRight w:val="0"/>
      <w:marTop w:val="0"/>
      <w:marBottom w:val="0"/>
      <w:divBdr>
        <w:top w:val="none" w:sz="0" w:space="0" w:color="auto"/>
        <w:left w:val="none" w:sz="0" w:space="0" w:color="auto"/>
        <w:bottom w:val="none" w:sz="0" w:space="0" w:color="auto"/>
        <w:right w:val="none" w:sz="0" w:space="0" w:color="auto"/>
      </w:divBdr>
    </w:div>
    <w:div w:id="19348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8362</Words>
  <Characters>47666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Verdeș</dc:creator>
  <cp:keywords/>
  <dc:description/>
  <cp:lastModifiedBy>Paiu Eugenia</cp:lastModifiedBy>
  <cp:revision>2</cp:revision>
  <dcterms:created xsi:type="dcterms:W3CDTF">2022-10-16T15:32:00Z</dcterms:created>
  <dcterms:modified xsi:type="dcterms:W3CDTF">2022-10-16T15:32:00Z</dcterms:modified>
</cp:coreProperties>
</file>